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rPr>
          <w:rFonts w:hint="eastAsia" w:ascii="宋体" w:hAnsi="宋体"/>
          <w:b/>
          <w:bCs/>
          <w:sz w:val="72"/>
          <w:szCs w:val="72"/>
        </w:rPr>
      </w:pPr>
      <w:r>
        <w:rPr>
          <w:rFonts w:hint="eastAsia" w:ascii="宋体" w:hAnsi="宋体"/>
          <w:b/>
          <w:bCs/>
          <w:sz w:val="72"/>
          <w:szCs w:val="72"/>
        </w:rPr>
      </w:r>
      <w:r/>
    </w:p>
    <w:p>
      <w:pPr>
        <w:pStyle w:val="951"/>
        <w:ind w:firstLine="0"/>
        <w:jc w:val="center"/>
        <w:rPr>
          <w:rStyle w:val="950"/>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51"/>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51"/>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西二环高架智能化设施项目</w:t>
      </w:r>
      <w:r/>
    </w:p>
    <w:p>
      <w:pPr>
        <w:pStyle w:val="951"/>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JSZC-320582-JZCG-G2026-0024</w:t>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2"/>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51"/>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7</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2"/>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53"/>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54"/>
        <w:spacing w:line="440" w:lineRule="exact"/>
        <w:rPr>
          <w:rStyle w:val="948"/>
          <w:rFonts w:hint="eastAsia" w:ascii="宋体" w:hAnsi="宋体"/>
          <w:color w:val="auto"/>
          <w:spacing w:val="7"/>
          <w:highlight w:val="none"/>
        </w:rPr>
      </w:pPr>
      <w:r>
        <w:rPr>
          <w:rFonts w:hint="eastAsia" w:ascii="宋体" w:hAnsi="宋体"/>
          <w:color w:val="auto"/>
          <w:spacing w:val="7"/>
          <w:highlight w:val="none"/>
        </w:rPr>
      </w:r>
      <w:r/>
    </w:p>
    <w:p>
      <w:pPr>
        <w:pStyle w:val="935"/>
        <w:ind w:firstLine="961"/>
        <w:jc w:val="center"/>
        <w:keepLines w:val="0"/>
        <w:keepNext w:val="0"/>
        <w:spacing w:before="0" w:after="0" w:line="580" w:lineRule="exact"/>
        <w:widowControl/>
        <w:tabs>
          <w:tab w:val="left" w:pos="0" w:leader="none"/>
        </w:tabs>
        <w:rPr>
          <w:rStyle w:val="946"/>
          <w:rFonts w:hint="eastAsia" w:ascii="华文中宋" w:hAnsi="华文中宋" w:eastAsia="华文中宋"/>
          <w:color w:val="auto"/>
          <w:sz w:val="48"/>
          <w:szCs w:val="48"/>
          <w:highlight w:val="none"/>
        </w:rPr>
      </w:pPr>
      <w:r/>
      <w:bookmarkStart w:id="2" w:name="_Toc21529"/>
      <w:r/>
      <w:bookmarkStart w:id="3" w:name="_Toc2781"/>
      <w:r>
        <w:rPr>
          <w:rStyle w:val="946"/>
          <w:rFonts w:hint="eastAsia" w:ascii="华文中宋" w:hAnsi="华文中宋" w:eastAsia="华文中宋"/>
          <w:color w:val="auto"/>
          <w:sz w:val="48"/>
          <w:szCs w:val="48"/>
          <w:highlight w:val="none"/>
        </w:rPr>
        <w:t xml:space="preserve">第一章  投标邀请</w:t>
      </w:r>
      <w:bookmarkEnd w:id="2"/>
      <w:r/>
      <w:bookmarkEnd w:id="3"/>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张家港市公安局西二环高架智能化设施项目</w:t>
      </w:r>
      <w:r>
        <w:rPr>
          <w:rFonts w:hint="eastAsia" w:ascii="宋体" w:hAnsi="宋体"/>
          <w:color w:val="auto"/>
          <w:szCs w:val="24"/>
          <w:highlight w:val="none"/>
          <w:lang w:val="en-US" w:eastAsia="zh-CN"/>
        </w:rPr>
        <w:t xml:space="preserve">JSZC-320582-JZCG-G2026-0024</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08</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25</w:t>
      </w:r>
      <w:r>
        <w:rPr>
          <w:rFonts w:hint="eastAsia" w:ascii="宋体" w:hAnsi="宋体"/>
          <w:color w:val="auto"/>
          <w:szCs w:val="24"/>
          <w:highlight w:val="none"/>
        </w:rPr>
        <w:t xml:space="preserve"> 09:30（北京时间）前递交投标文件。</w:t>
      </w:r>
      <w:r/>
    </w:p>
    <w:p>
      <w:pPr>
        <w:pStyle w:val="943"/>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43"/>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48"/>
          <w:rFonts w:hint="eastAsia" w:ascii="宋体" w:hAnsi="宋体"/>
          <w:color w:val="auto"/>
          <w:spacing w:val="7"/>
          <w:sz w:val="24"/>
          <w:szCs w:val="24"/>
          <w:highlight w:val="none"/>
          <w:lang w:val="en-US"/>
        </w:rPr>
        <w:t xml:space="preserve">JSZC-320582-JZCG-G2026-0024</w:t>
      </w:r>
      <w:r/>
    </w:p>
    <w:p>
      <w:pPr>
        <w:pStyle w:val="943"/>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西二环高架智能化设施项目</w:t>
      </w:r>
      <w:r/>
    </w:p>
    <w:p>
      <w:pPr>
        <w:pStyle w:val="943"/>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5602万元</w:t>
      </w:r>
      <w:r/>
    </w:p>
    <w:p>
      <w:pPr>
        <w:pStyle w:val="943"/>
        <w:ind w:firstLine="480"/>
        <w:spacing w:beforeAutospacing="0" w:afterAutospacing="0" w:line="440" w:lineRule="exact"/>
        <w:widowControl/>
        <w:rPr>
          <w:rFonts w:hint="eastAsia" w:ascii="宋体" w:hAnsi="宋体"/>
          <w:color w:val="auto"/>
          <w:szCs w:val="24"/>
          <w:highlight w:val="none"/>
          <w:lang w:val="en-US" w:eastAsia="zh-CN"/>
        </w:rPr>
      </w:pPr>
      <w:r>
        <w:rPr>
          <w:rFonts w:hint="eastAsia" w:ascii="宋体" w:hAnsi="宋体"/>
          <w:color w:val="auto"/>
          <w:szCs w:val="24"/>
          <w:highlight w:val="none"/>
        </w:rPr>
        <w:t xml:space="preserve">最高限价（如有）：</w:t>
      </w:r>
      <w:bookmarkEnd w:id="5"/>
      <w:r>
        <w:rPr>
          <w:rFonts w:hint="eastAsia" w:ascii="宋体" w:hAnsi="宋体"/>
          <w:color w:val="auto"/>
          <w:szCs w:val="24"/>
          <w:highlight w:val="none"/>
          <w:lang w:val="en-US" w:eastAsia="zh-CN"/>
        </w:rPr>
        <w:t xml:space="preserve">5602万元</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6" w:name="OLE_LINK24"/>
      <w:r/>
      <w:bookmarkStart w:id="7" w:name="OLE_LINK18"/>
      <w:r>
        <w:rPr>
          <w:rFonts w:hint="eastAsia" w:ascii="宋体" w:hAnsi="宋体"/>
          <w:color w:val="auto"/>
          <w:sz w:val="24"/>
          <w:szCs w:val="24"/>
          <w:highlight w:val="none"/>
          <w:lang w:val="en-US" w:eastAsia="zh-CN"/>
        </w:rPr>
        <w:t xml:space="preserve">本项目是对西二环--杨新公路快速路配套建设智能交通设施，包括标前现场踏勘、设备采购、安装、系统调试和运维。</w:t>
      </w:r>
      <w:bookmarkEnd w:id="6"/>
      <w:r/>
      <w:bookmarkEnd w:id="7"/>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8" w:name="OLE_LINK25"/>
      <w:r/>
      <w:bookmarkStart w:id="9" w:name="OLE_LINK20"/>
      <w:r>
        <w:rPr>
          <w:rFonts w:hint="eastAsia" w:ascii="宋体" w:hAnsi="宋体"/>
          <w:color w:val="auto"/>
          <w:sz w:val="24"/>
          <w:szCs w:val="24"/>
          <w:highlight w:val="none"/>
        </w:rPr>
        <w:t xml:space="preserve">在合同生效后90日内供货安装调试结束。</w:t>
      </w:r>
      <w:bookmarkEnd w:id="8"/>
      <w:r/>
      <w:bookmarkEnd w:id="9"/>
      <w:r/>
      <w:r/>
    </w:p>
    <w:p>
      <w:pPr>
        <w:pStyle w:val="943"/>
        <w:ind w:firstLine="480"/>
        <w:spacing w:beforeAutospacing="0" w:afterAutospacing="0" w:line="440" w:lineRule="exact"/>
        <w:widowControl/>
        <w:rPr>
          <w:rFonts w:hint="eastAsia" w:ascii="宋体" w:hAnsi="宋体"/>
          <w:color w:val="auto"/>
          <w:szCs w:val="24"/>
          <w:highlight w:val="yellow"/>
        </w:rPr>
      </w:pPr>
      <w:r>
        <w:rPr>
          <w:rFonts w:hint="eastAsia" w:ascii="宋体" w:hAnsi="宋体"/>
          <w:color w:val="auto"/>
          <w:szCs w:val="24"/>
          <w:highlight w:val="none"/>
        </w:rPr>
        <w:t xml:space="preserve">本项目（是/否）接受联合体投标：</w:t>
      </w:r>
      <w:r>
        <w:rPr>
          <w:rFonts w:hint="eastAsia" w:ascii="宋体" w:hAnsi="宋体"/>
          <w:color w:val="auto"/>
          <w:szCs w:val="24"/>
          <w:highlight w:val="yellow"/>
        </w:rPr>
        <w:t xml:space="preserve">接受联合体</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二、申请人的资格要求</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auto"/>
          <w:szCs w:val="24"/>
          <w:highlight w:val="none"/>
          <w:lang w:eastAsia="zh-CN"/>
        </w:rPr>
        <w:t xml:space="preserve">；</w:t>
      </w:r>
      <w:r>
        <w:rPr>
          <w:rFonts w:hint="eastAsia" w:ascii="宋体" w:hAnsi="宋体"/>
          <w:color w:val="auto"/>
          <w:szCs w:val="24"/>
          <w:highlight w:val="yellow"/>
          <w:lang w:eastAsia="zh-CN"/>
        </w:rPr>
        <w:t xml:space="preserve">如为联合体参加投标的，联合体各方均须提供</w:t>
      </w:r>
      <w:r>
        <w:rPr>
          <w:rFonts w:hint="eastAsia" w:ascii="宋体" w:hAnsi="宋体"/>
          <w:color w:val="auto"/>
          <w:szCs w:val="24"/>
          <w:highlight w:val="none"/>
        </w:rPr>
        <w:t xml:space="preserve">）</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rPr>
          <w:rFonts w:hint="eastAsia" w:ascii="宋体" w:hAnsi="宋体"/>
          <w:color w:val="auto"/>
          <w:szCs w:val="24"/>
          <w:highlight w:val="yellow"/>
        </w:rPr>
        <w:t xml:space="preserve">如</w:t>
      </w:r>
      <w:r>
        <w:rPr>
          <w:rFonts w:hint="eastAsia" w:ascii="宋体" w:hAnsi="宋体"/>
          <w:color w:val="auto"/>
          <w:szCs w:val="24"/>
          <w:highlight w:val="yellow"/>
          <w:lang w:eastAsia="zh-CN"/>
        </w:rPr>
        <w:t xml:space="preserve">为</w:t>
      </w:r>
      <w:r>
        <w:rPr>
          <w:rFonts w:hint="eastAsia" w:ascii="宋体" w:hAnsi="宋体"/>
          <w:color w:val="auto"/>
          <w:szCs w:val="24"/>
          <w:highlight w:val="yellow"/>
        </w:rPr>
        <w:t xml:space="preserve">联合体参加投标的，联合体各方均须提供</w:t>
      </w:r>
      <w:r>
        <w:rPr>
          <w:rFonts w:hint="eastAsia" w:ascii="宋体" w:hAnsi="宋体"/>
          <w:color w:val="auto"/>
          <w:szCs w:val="24"/>
          <w:highlight w:val="none"/>
        </w:rPr>
        <w:t xml:space="preserve">）</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rPr>
          <w:rFonts w:hint="eastAsia" w:ascii="宋体" w:hAnsi="宋体"/>
          <w:color w:val="auto"/>
          <w:szCs w:val="24"/>
          <w:highlight w:val="yellow"/>
        </w:rPr>
        <w:t xml:space="preserve">如</w:t>
      </w:r>
      <w:r>
        <w:rPr>
          <w:rFonts w:hint="eastAsia" w:ascii="宋体" w:hAnsi="宋体"/>
          <w:color w:val="auto"/>
          <w:szCs w:val="24"/>
          <w:highlight w:val="yellow"/>
          <w:lang w:eastAsia="zh-CN"/>
        </w:rPr>
        <w:t xml:space="preserve">为</w:t>
      </w:r>
      <w:r>
        <w:rPr>
          <w:rFonts w:hint="eastAsia" w:ascii="宋体" w:hAnsi="宋体"/>
          <w:color w:val="auto"/>
          <w:szCs w:val="24"/>
          <w:highlight w:val="yellow"/>
        </w:rPr>
        <w:t xml:space="preserve">联合体参加投标的，联合体各方均须提供</w:t>
      </w:r>
      <w:r>
        <w:rPr>
          <w:rFonts w:hint="eastAsia" w:ascii="宋体" w:hAnsi="宋体"/>
          <w:color w:val="auto"/>
          <w:szCs w:val="24"/>
          <w:highlight w:val="none"/>
        </w:rPr>
        <w:t xml:space="preserve">）；</w:t>
      </w:r>
      <w:r/>
    </w:p>
    <w:p>
      <w:pPr>
        <w:pStyle w:val="943"/>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4.具备履行合同所必需的设备和专业技术能力的书面声明（</w:t>
      </w:r>
      <w:r>
        <w:rPr>
          <w:rFonts w:hint="eastAsia" w:ascii="宋体" w:hAnsi="宋体"/>
          <w:color w:val="auto"/>
          <w:szCs w:val="24"/>
          <w:highlight w:val="yellow"/>
        </w:rPr>
        <w:t xml:space="preserve">如</w:t>
      </w:r>
      <w:r>
        <w:rPr>
          <w:rFonts w:hint="eastAsia" w:ascii="宋体" w:hAnsi="宋体"/>
          <w:color w:val="auto"/>
          <w:szCs w:val="24"/>
          <w:highlight w:val="yellow"/>
          <w:lang w:eastAsia="zh-CN"/>
        </w:rPr>
        <w:t xml:space="preserve">为</w:t>
      </w:r>
      <w:r>
        <w:rPr>
          <w:rFonts w:hint="eastAsia" w:ascii="宋体" w:hAnsi="宋体"/>
          <w:color w:val="auto"/>
          <w:szCs w:val="24"/>
          <w:highlight w:val="yellow"/>
        </w:rPr>
        <w:t xml:space="preserve">联合体参加投标的，联合体各方均须提供</w:t>
      </w:r>
      <w:r>
        <w:rPr>
          <w:rFonts w:hint="eastAsia" w:ascii="宋体" w:hAnsi="宋体"/>
          <w:color w:val="auto"/>
          <w:szCs w:val="24"/>
          <w:highlight w:val="none"/>
        </w:rPr>
        <w:t xml:space="preserve">）</w:t>
      </w:r>
      <w:r>
        <w:rPr>
          <w:rFonts w:hint="eastAsia" w:ascii="宋体" w:hAnsi="宋体"/>
          <w:color w:val="auto"/>
          <w:szCs w:val="24"/>
          <w:highlight w:val="none"/>
          <w:lang w:eastAsia="zh-CN"/>
        </w:rPr>
        <w:t xml:space="preserve">；</w:t>
      </w:r>
      <w:r/>
    </w:p>
    <w:p>
      <w:pPr>
        <w:pStyle w:val="943"/>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5.参加政府采购活动前3年内在经营活动中没有重大违法记录的书面声明（</w:t>
      </w:r>
      <w:r>
        <w:rPr>
          <w:rFonts w:hint="eastAsia" w:ascii="宋体" w:hAnsi="宋体"/>
          <w:color w:val="auto"/>
          <w:szCs w:val="24"/>
          <w:highlight w:val="yellow"/>
        </w:rPr>
        <w:t xml:space="preserve">如</w:t>
      </w:r>
      <w:r>
        <w:rPr>
          <w:rFonts w:hint="eastAsia" w:ascii="宋体" w:hAnsi="宋体"/>
          <w:color w:val="auto"/>
          <w:szCs w:val="24"/>
          <w:highlight w:val="yellow"/>
          <w:lang w:eastAsia="zh-CN"/>
        </w:rPr>
        <w:t xml:space="preserve">为</w:t>
      </w:r>
      <w:r>
        <w:rPr>
          <w:rFonts w:hint="eastAsia" w:ascii="宋体" w:hAnsi="宋体"/>
          <w:color w:val="auto"/>
          <w:szCs w:val="24"/>
          <w:highlight w:val="yellow"/>
        </w:rPr>
        <w:t xml:space="preserve">联合体参加投标的，联合体各方均须提供</w:t>
      </w:r>
      <w:r>
        <w:rPr>
          <w:rFonts w:hint="eastAsia" w:ascii="宋体" w:hAnsi="宋体"/>
          <w:color w:val="auto"/>
          <w:szCs w:val="24"/>
          <w:highlight w:val="none"/>
        </w:rPr>
        <w:t xml:space="preserve">）</w:t>
      </w:r>
      <w:r>
        <w:rPr>
          <w:rFonts w:hint="eastAsia" w:ascii="宋体" w:hAnsi="宋体"/>
          <w:color w:val="auto"/>
          <w:szCs w:val="24"/>
          <w:highlight w:val="none"/>
          <w:lang w:eastAsia="zh-CN"/>
        </w:rPr>
        <w:t xml:space="preserve">；</w:t>
      </w:r>
      <w:r/>
    </w:p>
    <w:p>
      <w:pPr>
        <w:pStyle w:val="943"/>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6.资格证明文件的书面承诺（</w:t>
      </w:r>
      <w:r>
        <w:rPr>
          <w:rFonts w:hint="eastAsia" w:ascii="宋体" w:hAnsi="宋体"/>
          <w:color w:val="auto"/>
          <w:szCs w:val="24"/>
          <w:highlight w:val="yellow"/>
        </w:rPr>
        <w:t xml:space="preserve">如</w:t>
      </w:r>
      <w:r>
        <w:rPr>
          <w:rFonts w:hint="eastAsia" w:ascii="宋体" w:hAnsi="宋体"/>
          <w:color w:val="auto"/>
          <w:szCs w:val="24"/>
          <w:highlight w:val="yellow"/>
          <w:lang w:eastAsia="zh-CN"/>
        </w:rPr>
        <w:t xml:space="preserve">为</w:t>
      </w:r>
      <w:r>
        <w:rPr>
          <w:rFonts w:hint="eastAsia" w:ascii="宋体" w:hAnsi="宋体"/>
          <w:color w:val="auto"/>
          <w:szCs w:val="24"/>
          <w:highlight w:val="yellow"/>
        </w:rPr>
        <w:t xml:space="preserve">联合体参加投标的，联合体各方均须提供</w:t>
      </w:r>
      <w:r>
        <w:rPr>
          <w:rFonts w:hint="eastAsia" w:ascii="宋体" w:hAnsi="宋体"/>
          <w:color w:val="auto"/>
          <w:szCs w:val="24"/>
          <w:highlight w:val="none"/>
        </w:rPr>
        <w:t xml:space="preserve">）</w:t>
      </w:r>
      <w:r>
        <w:rPr>
          <w:rFonts w:hint="eastAsia" w:ascii="宋体" w:hAnsi="宋体"/>
          <w:color w:val="auto"/>
          <w:szCs w:val="24"/>
          <w:highlight w:val="none"/>
          <w:lang w:eastAsia="zh-CN"/>
        </w:rPr>
        <w:t xml:space="preserve">；</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auto"/>
          <w:szCs w:val="24"/>
          <w:highlight w:val="none"/>
          <w:lang w:eastAsia="zh-CN"/>
        </w:rPr>
        <w:t xml:space="preserve">；</w:t>
      </w:r>
      <w:r>
        <w:rPr>
          <w:rFonts w:hint="eastAsia" w:ascii="宋体" w:hAnsi="宋体"/>
          <w:color w:val="auto"/>
          <w:szCs w:val="24"/>
          <w:highlight w:val="yellow"/>
          <w:lang w:eastAsia="zh-CN"/>
        </w:rPr>
        <w:t xml:space="preserve">如为联合体参加投标的，则联合体牵头方须提供</w:t>
      </w:r>
      <w:r>
        <w:rPr>
          <w:rFonts w:hint="eastAsia" w:ascii="宋体" w:hAnsi="宋体"/>
          <w:color w:val="auto"/>
          <w:szCs w:val="24"/>
          <w:highlight w:val="none"/>
        </w:rPr>
        <w:t xml:space="preserve">）</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780"/>
        <w:ind w:firstLine="480"/>
        <w:spacing w:before="0" w:beforeAutospacing="0" w:after="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（五）</w:t>
      </w:r>
      <w:r>
        <w:rPr>
          <w:rFonts w:hint="eastAsia" w:ascii="宋体" w:hAnsi="宋体" w:cs="宋体"/>
          <w:color w:val="auto"/>
          <w:szCs w:val="24"/>
          <w:highlight w:val="yellow"/>
          <w:lang w:eastAsia="zh-CN"/>
        </w:rPr>
        <w:t xml:space="preserve">采用联合体投标的，联合体各成员之间应签订《联合体协议书》及《联合体授权委托书》。联合体各成员之间签订的《联合体协议书》及《联合体授权委托书》应与投标文件一起递交。参加联合体的各成员不得再以自己名义单独投标，也不得参加其他联合体参与本项目的招标活动。以联合体名义参加投标的，联合体牵头人</w:t>
      </w:r>
      <w:r>
        <w:rPr>
          <w:rFonts w:hint="eastAsia" w:cs="宋体"/>
          <w:color w:val="auto"/>
          <w:szCs w:val="24"/>
          <w:highlight w:val="yellow"/>
          <w:lang w:val="en-US" w:eastAsia="zh-CN"/>
        </w:rPr>
        <w:t xml:space="preserve">须</w:t>
      </w:r>
      <w:r>
        <w:rPr>
          <w:rFonts w:hint="eastAsia" w:ascii="宋体" w:hAnsi="宋体" w:cs="宋体"/>
          <w:color w:val="auto"/>
          <w:szCs w:val="24"/>
          <w:highlight w:val="yellow"/>
          <w:lang w:eastAsia="zh-CN"/>
        </w:rPr>
        <w:t xml:space="preserve">进行登记领取招标文件。联合体成员不允许超过两家。</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四、提交投标文件截止时间、开标时间和地点</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08</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25 </w:t>
      </w:r>
      <w:r>
        <w:rPr>
          <w:rFonts w:hint="eastAsia" w:ascii="宋体" w:hAnsi="宋体"/>
          <w:color w:val="auto"/>
          <w:szCs w:val="24"/>
          <w:highlight w:val="none"/>
        </w:rPr>
        <w:t xml:space="preserve"> 09:30（北京时间）</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五、公告期限</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六、其他补充事宜</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43"/>
        <w:ind w:firstLine="482"/>
        <w:spacing w:beforeAutospacing="0" w:afterAutospacing="0" w:line="440" w:lineRule="exact"/>
        <w:widowControl/>
        <w:rPr>
          <w:rStyle w:val="946"/>
          <w:rFonts w:hint="eastAsia" w:ascii="宋体" w:hAnsi="宋体"/>
          <w:color w:val="auto"/>
          <w:szCs w:val="24"/>
          <w:highlight w:val="none"/>
        </w:rPr>
      </w:pPr>
      <w:r>
        <w:rPr>
          <w:rStyle w:val="946"/>
          <w:rFonts w:hint="eastAsia" w:ascii="宋体" w:hAnsi="宋体"/>
          <w:color w:val="auto"/>
          <w:szCs w:val="24"/>
          <w:highlight w:val="none"/>
        </w:rPr>
        <w:t xml:space="preserve">七、对本次招标提出询问，请按以下方式联系</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单位名称：张家港市公安局</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单位地址：张家港市港城大道180号</w:t>
      </w:r>
      <w:r/>
    </w:p>
    <w:p>
      <w:pPr>
        <w:pStyle w:val="943"/>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张皓彦</w:t>
      </w:r>
      <w:r/>
    </w:p>
    <w:p>
      <w:pPr>
        <w:pStyle w:val="943"/>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val="en-US" w:eastAsia="zh-CN"/>
        </w:rPr>
        <w:t xml:space="preserve">0512-55371239</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4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54"/>
        <w:ind w:firstLine="500"/>
        <w:spacing w:line="440" w:lineRule="exact"/>
        <w:rPr>
          <w:rStyle w:val="948"/>
          <w:rFonts w:hint="eastAsia" w:ascii="宋体" w:hAnsi="宋体"/>
          <w:color w:val="auto"/>
          <w:spacing w:val="7"/>
          <w:highlight w:val="none"/>
        </w:rPr>
      </w:pPr>
      <w:r>
        <w:rPr>
          <w:rFonts w:hint="eastAsia" w:ascii="宋体" w:hAnsi="宋体"/>
          <w:color w:val="auto"/>
          <w:spacing w:val="7"/>
          <w:highlight w:val="none"/>
        </w:rPr>
      </w:r>
      <w:r/>
    </w:p>
    <w:p>
      <w:pPr>
        <w:pStyle w:val="954"/>
        <w:ind w:firstLine="500"/>
        <w:spacing w:line="440" w:lineRule="exact"/>
        <w:rPr>
          <w:rStyle w:val="948"/>
          <w:rFonts w:hint="eastAsia" w:ascii="宋体" w:hAnsi="宋体"/>
          <w:color w:val="auto"/>
          <w:spacing w:val="7"/>
          <w:highlight w:val="none"/>
        </w:rPr>
      </w:pPr>
      <w:r>
        <w:rPr>
          <w:rFonts w:hint="eastAsia" w:ascii="宋体" w:hAnsi="宋体"/>
          <w:color w:val="auto"/>
          <w:spacing w:val="7"/>
          <w:highlight w:val="none"/>
        </w:rPr>
      </w:r>
      <w:r/>
    </w:p>
    <w:p>
      <w:pPr>
        <w:pStyle w:val="955"/>
        <w:pageBreakBefore/>
        <w:spacing w:line="360" w:lineRule="auto"/>
        <w:rPr>
          <w:rFonts w:hint="eastAsia" w:ascii="宋体" w:hAnsi="宋体" w:eastAsia="宋体"/>
          <w:color w:val="auto"/>
          <w:highlight w:val="none"/>
        </w:rPr>
      </w:pPr>
      <w:r/>
      <w:bookmarkStart w:id="10" w:name="_Toc4059"/>
      <w:r/>
      <w:bookmarkStart w:id="11" w:name="_Toc10079"/>
      <w:r>
        <w:rPr>
          <w:rFonts w:hint="eastAsia" w:ascii="宋体" w:hAnsi="宋体" w:eastAsia="宋体"/>
          <w:color w:val="auto"/>
          <w:highlight w:val="none"/>
        </w:rPr>
        <w:t xml:space="preserve">第二章  </w:t>
      </w:r>
      <w:bookmarkStart w:id="12" w:name="_Toc120614213"/>
      <w:r/>
      <w:bookmarkStart w:id="13" w:name="_Toc513029202"/>
      <w:r/>
      <w:bookmarkStart w:id="14" w:name="_Toc16938518"/>
      <w:r/>
      <w:bookmarkStart w:id="15" w:name="_Toc20823274"/>
      <w:r>
        <w:rPr>
          <w:rFonts w:hint="eastAsia" w:ascii="宋体" w:hAnsi="宋体" w:eastAsia="宋体"/>
          <w:color w:val="auto"/>
          <w:highlight w:val="none"/>
        </w:rPr>
        <w:t xml:space="preserve">投标人须知</w:t>
      </w:r>
      <w:bookmarkEnd w:id="10"/>
      <w:r/>
      <w:bookmarkEnd w:id="11"/>
      <w:r/>
      <w:bookmarkEnd w:id="12"/>
      <w:r/>
      <w:bookmarkEnd w:id="13"/>
      <w:r/>
      <w:bookmarkEnd w:id="14"/>
      <w:r/>
      <w:bookmarkEnd w:id="15"/>
      <w:r/>
      <w:r/>
    </w:p>
    <w:p>
      <w:pPr>
        <w:pStyle w:val="956"/>
        <w:ind w:firstLine="482"/>
        <w:jc w:val="left"/>
        <w:spacing w:before="0" w:after="0" w:line="440" w:lineRule="exact"/>
        <w:rPr>
          <w:rStyle w:val="957"/>
          <w:rFonts w:hint="eastAsia" w:ascii="宋体" w:hAnsi="宋体"/>
          <w:b w:val="0"/>
          <w:bCs w:val="0"/>
          <w:color w:val="auto"/>
          <w:sz w:val="24"/>
          <w:szCs w:val="24"/>
          <w:highlight w:val="none"/>
        </w:rPr>
      </w:pPr>
      <w:r/>
      <w:bookmarkStart w:id="16" w:name="_Toc513029203"/>
      <w:r/>
      <w:bookmarkStart w:id="17" w:name="_Toc35266020"/>
      <w:r/>
      <w:bookmarkStart w:id="18" w:name="_Toc20823275"/>
      <w:r/>
      <w:bookmarkStart w:id="19" w:name="_Toc29619"/>
      <w:r/>
      <w:bookmarkStart w:id="20" w:name="_Toc38368120"/>
      <w:r/>
      <w:bookmarkStart w:id="21" w:name="_Toc16938519"/>
      <w:r/>
      <w:bookmarkStart w:id="22" w:name="_Toc54615239"/>
      <w:r/>
      <w:bookmarkStart w:id="23" w:name="_Toc120614214"/>
      <w:r>
        <w:rPr>
          <w:rStyle w:val="957"/>
          <w:rFonts w:hint="eastAsia" w:ascii="宋体" w:hAnsi="宋体"/>
          <w:b w:val="0"/>
          <w:bCs w:val="0"/>
          <w:color w:val="auto"/>
          <w:sz w:val="24"/>
          <w:szCs w:val="24"/>
          <w:highlight w:val="none"/>
        </w:rPr>
        <w:t xml:space="preserve">一、总则</w:t>
      </w:r>
      <w:bookmarkEnd w:id="16"/>
      <w:r/>
      <w:bookmarkEnd w:id="17"/>
      <w:r/>
      <w:bookmarkEnd w:id="18"/>
      <w:r/>
      <w:bookmarkEnd w:id="19"/>
      <w:r/>
      <w:bookmarkEnd w:id="20"/>
      <w:r/>
      <w:bookmarkEnd w:id="21"/>
      <w:r/>
      <w:bookmarkEnd w:id="22"/>
      <w:r/>
      <w:bookmarkEnd w:id="23"/>
      <w:r/>
      <w:r/>
    </w:p>
    <w:p>
      <w:pPr>
        <w:ind w:firstLine="482"/>
        <w:keepLines/>
        <w:keepNext/>
        <w:spacing w:line="440" w:lineRule="exact"/>
        <w:rPr>
          <w:rFonts w:hint="eastAsia" w:ascii="宋体" w:hAnsi="宋体"/>
          <w:b/>
          <w:bCs/>
          <w:color w:val="auto"/>
          <w:sz w:val="24"/>
          <w:szCs w:val="24"/>
          <w:highlight w:val="none"/>
        </w:rPr>
        <w:outlineLvl w:val="3"/>
      </w:pPr>
      <w:r/>
      <w:bookmarkStart w:id="24" w:name="_Hlt16619475"/>
      <w:r/>
      <w:bookmarkEnd w:id="24"/>
      <w:r/>
      <w:bookmarkStart w:id="25" w:name="_Toc458694821"/>
      <w:r/>
      <w:bookmarkStart w:id="26" w:name="_Toc513029204"/>
      <w:r/>
      <w:bookmarkStart w:id="27" w:name="_Toc20823276"/>
      <w:r/>
      <w:bookmarkStart w:id="28" w:name="_Toc16938520"/>
      <w:r>
        <w:rPr>
          <w:rFonts w:hint="eastAsia" w:ascii="宋体" w:hAnsi="宋体"/>
          <w:b/>
          <w:bCs/>
          <w:color w:val="auto"/>
          <w:sz w:val="24"/>
          <w:szCs w:val="24"/>
          <w:highlight w:val="none"/>
        </w:rPr>
        <w:t xml:space="preserve">1</w:t>
      </w:r>
      <w:bookmarkEnd w:id="25"/>
      <w:r>
        <w:rPr>
          <w:rFonts w:hint="eastAsia" w:ascii="宋体" w:hAnsi="宋体"/>
          <w:b/>
          <w:bCs/>
          <w:color w:val="auto"/>
          <w:sz w:val="24"/>
          <w:szCs w:val="24"/>
          <w:highlight w:val="none"/>
        </w:rPr>
        <w:t xml:space="preserve">.招标方式</w:t>
      </w:r>
      <w:bookmarkEnd w:id="26"/>
      <w:r/>
      <w:bookmarkEnd w:id="27"/>
      <w:r/>
      <w:bookmarkEnd w:id="28"/>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29" w:name="_Toc16938521"/>
      <w:r/>
      <w:bookmarkStart w:id="30" w:name="_Toc513029205"/>
      <w:r/>
      <w:bookmarkStart w:id="31" w:name="_Toc20823277"/>
      <w:r>
        <w:rPr>
          <w:rFonts w:hint="eastAsia" w:ascii="宋体" w:hAnsi="宋体"/>
          <w:b/>
          <w:bCs/>
          <w:color w:val="auto"/>
          <w:sz w:val="24"/>
          <w:szCs w:val="24"/>
          <w:highlight w:val="none"/>
        </w:rPr>
        <w:t xml:space="preserve">2.合格的投标人</w:t>
      </w:r>
      <w:bookmarkEnd w:id="29"/>
      <w:r/>
      <w:bookmarkEnd w:id="30"/>
      <w:r/>
      <w:bookmarkEnd w:id="31"/>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2" w:name="_Toc20823278"/>
      <w:r/>
      <w:bookmarkStart w:id="33" w:name="_Toc513029206"/>
      <w:r/>
      <w:bookmarkStart w:id="34" w:name="_Toc16938522"/>
      <w:r>
        <w:rPr>
          <w:rFonts w:hint="eastAsia" w:ascii="宋体" w:hAnsi="宋体"/>
          <w:b/>
          <w:bCs/>
          <w:color w:val="auto"/>
          <w:sz w:val="24"/>
          <w:szCs w:val="24"/>
          <w:highlight w:val="none"/>
        </w:rPr>
        <w:t xml:space="preserve">3.适用法律</w:t>
      </w:r>
      <w:bookmarkEnd w:id="32"/>
      <w:r/>
      <w:bookmarkEnd w:id="33"/>
      <w:r/>
      <w:bookmarkEnd w:id="34"/>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5" w:name="_Toc513029207"/>
      <w:r/>
      <w:bookmarkStart w:id="36" w:name="_Toc462564067"/>
      <w:r/>
      <w:bookmarkStart w:id="37" w:name="_Toc16938523"/>
      <w:r/>
      <w:bookmarkStart w:id="38" w:name="_Toc20823279"/>
      <w:r>
        <w:rPr>
          <w:rFonts w:hint="eastAsia" w:ascii="宋体" w:hAnsi="宋体"/>
          <w:b/>
          <w:bCs/>
          <w:color w:val="auto"/>
          <w:sz w:val="24"/>
          <w:szCs w:val="24"/>
          <w:highlight w:val="none"/>
        </w:rPr>
        <w:t xml:space="preserve">4.投标费用</w:t>
      </w:r>
      <w:bookmarkEnd w:id="35"/>
      <w:r/>
      <w:bookmarkEnd w:id="36"/>
      <w:r/>
      <w:bookmarkEnd w:id="37"/>
      <w:r/>
      <w:bookmarkEnd w:id="3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39"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39"/>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4.2本次招标公共资源交易中心和采购人不收取标书工本费与中标服务费。</w:t>
      </w:r>
      <w:bookmarkStart w:id="40" w:name="EB4bef91ec166246f78c716ddc8194a87a"/>
      <w:r/>
      <w:bookmarkEnd w:id="4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56"/>
        <w:ind w:firstLine="482"/>
        <w:jc w:val="left"/>
        <w:spacing w:before="0" w:after="0" w:line="440" w:lineRule="exact"/>
        <w:rPr>
          <w:rStyle w:val="957"/>
          <w:rFonts w:hint="eastAsia" w:ascii="宋体" w:hAnsi="宋体"/>
          <w:b w:val="0"/>
          <w:bCs w:val="0"/>
          <w:color w:val="auto"/>
          <w:sz w:val="24"/>
          <w:szCs w:val="24"/>
          <w:highlight w:val="none"/>
        </w:rPr>
      </w:pPr>
      <w:r/>
      <w:bookmarkStart w:id="41" w:name="_Toc54615240"/>
      <w:r/>
      <w:bookmarkStart w:id="42" w:name="_Toc38368121"/>
      <w:r/>
      <w:bookmarkStart w:id="43" w:name="_Toc513029209"/>
      <w:r/>
      <w:bookmarkStart w:id="44" w:name="_Toc20823281"/>
      <w:r/>
      <w:bookmarkStart w:id="45" w:name="_Toc120614215"/>
      <w:r/>
      <w:bookmarkStart w:id="46" w:name="_Toc35266021"/>
      <w:r/>
      <w:bookmarkStart w:id="47" w:name="_Toc12536"/>
      <w:r/>
      <w:bookmarkStart w:id="48" w:name="_Toc16938525"/>
      <w:r>
        <w:rPr>
          <w:rStyle w:val="957"/>
          <w:rFonts w:hint="eastAsia" w:ascii="宋体" w:hAnsi="宋体"/>
          <w:b w:val="0"/>
          <w:bCs w:val="0"/>
          <w:color w:val="auto"/>
          <w:sz w:val="24"/>
          <w:szCs w:val="24"/>
          <w:highlight w:val="none"/>
        </w:rPr>
        <w:t xml:space="preserve">二、招标文件</w:t>
      </w:r>
      <w:bookmarkEnd w:id="41"/>
      <w:r/>
      <w:bookmarkEnd w:id="42"/>
      <w:r/>
      <w:bookmarkEnd w:id="43"/>
      <w:r/>
      <w:bookmarkEnd w:id="44"/>
      <w:r/>
      <w:bookmarkEnd w:id="45"/>
      <w:r/>
      <w:bookmarkEnd w:id="46"/>
      <w:r/>
      <w:bookmarkEnd w:id="47"/>
      <w:r/>
      <w:bookmarkEnd w:id="48"/>
      <w:r/>
      <w:r/>
    </w:p>
    <w:p>
      <w:pPr>
        <w:ind w:firstLine="482"/>
        <w:keepLines/>
        <w:keepNext/>
        <w:spacing w:line="440" w:lineRule="exact"/>
        <w:rPr>
          <w:rFonts w:hint="eastAsia" w:ascii="宋体" w:hAnsi="宋体"/>
          <w:b/>
          <w:bCs/>
          <w:color w:val="auto"/>
          <w:sz w:val="24"/>
          <w:szCs w:val="24"/>
          <w:highlight w:val="none"/>
        </w:rPr>
        <w:outlineLvl w:val="3"/>
      </w:pPr>
      <w:r/>
      <w:bookmarkStart w:id="49" w:name="_Toc20823282"/>
      <w:r/>
      <w:bookmarkStart w:id="50" w:name="_Toc16938526"/>
      <w:r/>
      <w:bookmarkStart w:id="51" w:name="_Toc513029210"/>
      <w:r>
        <w:rPr>
          <w:rFonts w:hint="eastAsia" w:ascii="宋体" w:hAnsi="宋体"/>
          <w:b/>
          <w:bCs/>
          <w:color w:val="auto"/>
          <w:sz w:val="24"/>
          <w:szCs w:val="24"/>
          <w:highlight w:val="none"/>
        </w:rPr>
        <w:t xml:space="preserve">6.招标文件构成</w:t>
      </w:r>
      <w:bookmarkEnd w:id="49"/>
      <w:r/>
      <w:bookmarkEnd w:id="50"/>
      <w:r/>
      <w:bookmarkEnd w:id="51"/>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2" w:name="EBbdde166065d14b62851231a61e89e609"/>
      <w:r>
        <w:rPr>
          <w:rFonts w:hint="eastAsia" w:ascii="宋体" w:hAnsi="宋体"/>
          <w:color w:val="auto"/>
          <w:sz w:val="24"/>
          <w:szCs w:val="24"/>
          <w:highlight w:val="none"/>
        </w:rPr>
        <w:t xml:space="preserve">公共资源交易中心</w:t>
      </w:r>
      <w:bookmarkEnd w:id="52"/>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3" w:name="_Toc16938528"/>
      <w:r/>
      <w:bookmarkStart w:id="54" w:name="_Toc462564071"/>
      <w:r/>
      <w:bookmarkStart w:id="55" w:name="_Toc20823284"/>
      <w:r/>
      <w:bookmarkStart w:id="56" w:name="_Toc513029212"/>
      <w:r>
        <w:rPr>
          <w:rFonts w:hint="eastAsia" w:ascii="宋体" w:hAnsi="宋体"/>
          <w:b/>
          <w:bCs/>
          <w:color w:val="auto"/>
          <w:sz w:val="24"/>
          <w:szCs w:val="24"/>
          <w:highlight w:val="none"/>
        </w:rPr>
        <w:t xml:space="preserve">7.招标文件的澄清或修改</w:t>
      </w:r>
      <w:bookmarkEnd w:id="53"/>
      <w:r/>
      <w:bookmarkEnd w:id="54"/>
      <w:r/>
      <w:bookmarkEnd w:id="55"/>
      <w:r/>
      <w:bookmarkEnd w:id="5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7" w:name="EBeec936f32a574d52a4992a8b94773f89"/>
      <w:r>
        <w:rPr>
          <w:rFonts w:hint="eastAsia" w:ascii="宋体" w:hAnsi="宋体"/>
          <w:color w:val="auto"/>
          <w:sz w:val="24"/>
          <w:szCs w:val="24"/>
          <w:highlight w:val="none"/>
        </w:rPr>
        <w:t xml:space="preserve">，公共资源交易中心</w:t>
      </w:r>
      <w:bookmarkEnd w:id="57"/>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8" w:name="EB14f04c7329d342c2b5d53bfcbbeaa167"/>
      <w:r>
        <w:rPr>
          <w:rFonts w:hint="eastAsia" w:ascii="宋体" w:hAnsi="宋体"/>
          <w:bCs/>
          <w:color w:val="auto"/>
          <w:sz w:val="24"/>
          <w:szCs w:val="24"/>
          <w:highlight w:val="none"/>
        </w:rPr>
        <w:t xml:space="preserve">公共资源交易中心</w:t>
      </w:r>
      <w:bookmarkEnd w:id="58"/>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56"/>
        <w:ind w:firstLine="480"/>
        <w:jc w:val="left"/>
        <w:spacing w:before="0" w:after="0" w:line="440" w:lineRule="exact"/>
        <w:rPr>
          <w:rStyle w:val="957"/>
          <w:rFonts w:hint="eastAsia" w:ascii="宋体" w:hAnsi="宋体"/>
          <w:b w:val="0"/>
          <w:bCs w:val="0"/>
          <w:color w:val="auto"/>
          <w:sz w:val="24"/>
          <w:szCs w:val="24"/>
          <w:highlight w:val="none"/>
        </w:rPr>
      </w:pPr>
      <w:r/>
      <w:bookmarkStart w:id="59" w:name="_Toc462564072"/>
      <w:r/>
      <w:bookmarkStart w:id="60" w:name="_Toc38368122"/>
      <w:r/>
      <w:bookmarkStart w:id="61" w:name="_Toc120614216"/>
      <w:r/>
      <w:bookmarkStart w:id="62" w:name="_Toc35266022"/>
      <w:r/>
      <w:bookmarkStart w:id="63" w:name="_Toc12827"/>
      <w:r/>
      <w:bookmarkStart w:id="64" w:name="_Toc513029213"/>
      <w:r/>
      <w:bookmarkStart w:id="65" w:name="_Toc54615241"/>
      <w:r/>
      <w:bookmarkStart w:id="66" w:name="_Toc20823285"/>
      <w:r/>
      <w:bookmarkStart w:id="67" w:name="_Toc16938529"/>
      <w:r>
        <w:rPr>
          <w:rStyle w:val="957"/>
          <w:rFonts w:hint="eastAsia" w:ascii="宋体" w:hAnsi="宋体"/>
          <w:b w:val="0"/>
          <w:bCs w:val="0"/>
          <w:color w:val="auto"/>
          <w:sz w:val="24"/>
          <w:szCs w:val="24"/>
          <w:highlight w:val="none"/>
        </w:rPr>
        <w:t xml:space="preserve">三、投标文件的编制</w:t>
      </w:r>
      <w:bookmarkEnd w:id="59"/>
      <w:r/>
      <w:bookmarkEnd w:id="60"/>
      <w:r/>
      <w:bookmarkEnd w:id="61"/>
      <w:r/>
      <w:bookmarkEnd w:id="62"/>
      <w:r/>
      <w:bookmarkEnd w:id="63"/>
      <w:r/>
      <w:bookmarkEnd w:id="64"/>
      <w:r/>
      <w:bookmarkEnd w:id="65"/>
      <w:r/>
      <w:bookmarkEnd w:id="66"/>
      <w:r/>
      <w:bookmarkEnd w:id="67"/>
      <w:r/>
      <w:r/>
    </w:p>
    <w:p>
      <w:pPr>
        <w:ind w:firstLine="482"/>
        <w:keepLines/>
        <w:keepNext/>
        <w:spacing w:line="440" w:lineRule="exact"/>
        <w:rPr>
          <w:rFonts w:hint="eastAsia" w:ascii="宋体" w:hAnsi="宋体"/>
          <w:b/>
          <w:bCs/>
          <w:color w:val="auto"/>
          <w:sz w:val="24"/>
          <w:szCs w:val="24"/>
          <w:highlight w:val="none"/>
        </w:rPr>
        <w:outlineLvl w:val="3"/>
      </w:pPr>
      <w:r/>
      <w:bookmarkStart w:id="68" w:name="_Toc462564073"/>
      <w:r/>
      <w:bookmarkStart w:id="69" w:name="_Toc20823286"/>
      <w:r/>
      <w:bookmarkStart w:id="70" w:name="_Toc513029214"/>
      <w:r/>
      <w:bookmarkStart w:id="71" w:name="_Toc16938530"/>
      <w:r>
        <w:rPr>
          <w:rFonts w:hint="eastAsia" w:ascii="宋体" w:hAnsi="宋体"/>
          <w:b/>
          <w:bCs/>
          <w:color w:val="auto"/>
          <w:sz w:val="24"/>
          <w:szCs w:val="24"/>
          <w:highlight w:val="none"/>
        </w:rPr>
        <w:t xml:space="preserve">8.投标文件的语言及度量衡单位</w:t>
      </w:r>
      <w:bookmarkEnd w:id="68"/>
      <w:r/>
      <w:bookmarkEnd w:id="69"/>
      <w:r/>
      <w:bookmarkEnd w:id="70"/>
      <w:r/>
      <w:bookmarkEnd w:id="71"/>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2" w:name="EB93850d2cac274df984aa2f93878c3cfe"/>
      <w:r>
        <w:rPr>
          <w:rFonts w:hint="eastAsia" w:ascii="宋体" w:hAnsi="宋体"/>
          <w:color w:val="auto"/>
          <w:sz w:val="24"/>
          <w:szCs w:val="24"/>
          <w:highlight w:val="none"/>
        </w:rPr>
        <w:t xml:space="preserve">公共资源交易中心</w:t>
      </w:r>
      <w:bookmarkEnd w:id="72"/>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3" w:name="_Toc20823287"/>
      <w:r/>
      <w:bookmarkStart w:id="74" w:name="_Toc513029215"/>
      <w:r/>
      <w:bookmarkStart w:id="75" w:name="_Toc16938531"/>
      <w:r/>
      <w:bookmarkStart w:id="76" w:name="_Toc462564074"/>
      <w:r>
        <w:rPr>
          <w:rFonts w:hint="eastAsia" w:ascii="宋体" w:hAnsi="宋体"/>
          <w:b/>
          <w:bCs/>
          <w:color w:val="auto"/>
          <w:sz w:val="24"/>
          <w:szCs w:val="24"/>
          <w:highlight w:val="none"/>
        </w:rPr>
        <w:t xml:space="preserve">9.投标文件构成</w:t>
      </w:r>
      <w:bookmarkEnd w:id="73"/>
      <w:r/>
      <w:bookmarkEnd w:id="74"/>
      <w:r/>
      <w:bookmarkEnd w:id="75"/>
      <w:r/>
      <w:bookmarkEnd w:id="7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7" w:name="_Hlt26670360"/>
      <w:r/>
      <w:bookmarkEnd w:id="77"/>
      <w:r/>
      <w:bookmarkStart w:id="78" w:name="_Hlt26668975"/>
      <w:r/>
      <w:bookmarkEnd w:id="78"/>
      <w:r/>
      <w:bookmarkStart w:id="79" w:name="_Hlt26954838"/>
      <w:r/>
      <w:bookmarkEnd w:id="79"/>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0" w:name="_Hlt26668999"/>
      <w:r/>
      <w:bookmarkEnd w:id="80"/>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1" w:name="_Toc14577355"/>
      <w:r/>
      <w:bookmarkStart w:id="82" w:name="_Toc49090508"/>
      <w:r>
        <w:rPr>
          <w:rFonts w:hint="eastAsia" w:ascii="宋体" w:hAnsi="宋体"/>
          <w:b/>
          <w:bCs/>
          <w:color w:val="auto"/>
          <w:sz w:val="24"/>
          <w:szCs w:val="24"/>
          <w:highlight w:val="none"/>
        </w:rPr>
        <w:t xml:space="preserve">12.投标配置与分项报价</w:t>
      </w:r>
      <w:bookmarkStart w:id="83" w:name="_Hlt26670373"/>
      <w:r/>
      <w:bookmarkEnd w:id="83"/>
      <w:r>
        <w:rPr>
          <w:rFonts w:hint="eastAsia" w:ascii="宋体" w:hAnsi="宋体"/>
          <w:b/>
          <w:bCs/>
          <w:color w:val="auto"/>
          <w:sz w:val="24"/>
          <w:szCs w:val="24"/>
          <w:highlight w:val="none"/>
        </w:rPr>
        <w:t xml:space="preserve">表</w:t>
      </w:r>
      <w:bookmarkEnd w:id="81"/>
      <w:r/>
      <w:bookmarkEnd w:id="82"/>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4" w:name="EB8486dd9157984dc9aa62437fb6aa6f0f"/>
      <w:r/>
      <w:bookmarkEnd w:id="84"/>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5" w:name="_Hlt26670486"/>
      <w:r/>
      <w:bookmarkEnd w:id="85"/>
      <w:r/>
      <w:bookmarkStart w:id="86" w:name="_Hlt26670482"/>
      <w:r/>
      <w:bookmarkEnd w:id="86"/>
      <w:r/>
      <w:bookmarkStart w:id="87" w:name="_Hlt26954731"/>
      <w:r/>
      <w:bookmarkEnd w:id="87"/>
      <w:r/>
      <w:bookmarkStart w:id="88" w:name="_Hlt26954846"/>
      <w:r/>
      <w:bookmarkEnd w:id="88"/>
      <w:r/>
      <w:bookmarkStart w:id="89" w:name="_Hlt26954848"/>
      <w:r/>
      <w:bookmarkEnd w:id="89"/>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5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5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48"/>
          <w:rFonts w:hint="eastAsia" w:ascii="宋体" w:hAnsi="宋体"/>
          <w:color w:val="auto"/>
          <w:spacing w:val="7"/>
          <w:sz w:val="24"/>
          <w:szCs w:val="24"/>
          <w:highlight w:val="none"/>
        </w:rPr>
        <w:outlineLvl w:val="3"/>
      </w:pPr>
      <w:r>
        <w:rPr>
          <w:rStyle w:val="948"/>
          <w:rFonts w:hint="eastAsia" w:ascii="宋体" w:hAnsi="宋体"/>
          <w:color w:val="auto"/>
          <w:spacing w:val="7"/>
          <w:sz w:val="24"/>
          <w:szCs w:val="24"/>
          <w:highlight w:val="none"/>
        </w:rPr>
        <w:t xml:space="preserve">14.1 投标人的总体情况应在电子投标文件中作出说明。</w:t>
      </w:r>
      <w:bookmarkStart w:id="90" w:name="EBf6e5e332cb7245ab8f3a9801503c122b"/>
      <w:r/>
      <w:bookmarkEnd w:id="90"/>
      <w:r/>
      <w:bookmarkStart w:id="91" w:name="_Hlt26670489"/>
      <w:r/>
      <w:bookmarkEnd w:id="91"/>
      <w:r/>
      <w:bookmarkStart w:id="92" w:name="_Hlt26954850"/>
      <w:r/>
      <w:bookmarkEnd w:id="92"/>
      <w:r/>
      <w:bookmarkStart w:id="93" w:name="_Hlt26954734"/>
      <w:r/>
      <w:bookmarkEnd w:id="93"/>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5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58"/>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4" w:name="EB42bffacbc3774d8f9be92be41fabfc13"/>
      <w:r>
        <w:rPr>
          <w:rFonts w:hint="eastAsia" w:ascii="宋体" w:hAnsi="宋体"/>
          <w:bCs/>
          <w:color w:val="auto"/>
          <w:sz w:val="24"/>
          <w:szCs w:val="24"/>
          <w:highlight w:val="none"/>
        </w:rPr>
        <w:t xml:space="preserve">公共资源交易中心</w:t>
      </w:r>
      <w:bookmarkEnd w:id="94"/>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5" w:name="EB1a73f2f6d8ff43b6a705c8d1929594b0"/>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6" w:name="EBcd0282bdfe9441e3bba982eac64d1aaa"/>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7" w:name="_Hlt26954852"/>
      <w:r/>
      <w:bookmarkEnd w:id="97"/>
      <w:r/>
      <w:bookmarkStart w:id="98" w:name="EBfdb2e00cf1ee477a9cdb47d13b603829"/>
      <w:r/>
      <w:bookmarkEnd w:id="98"/>
      <w:r/>
      <w:bookmarkStart w:id="99" w:name="_Hlt26954739"/>
      <w:r/>
      <w:bookmarkEnd w:id="99"/>
      <w:r/>
      <w:r/>
    </w:p>
    <w:p>
      <w:pPr>
        <w:pStyle w:val="959"/>
        <w:ind w:firstLine="482"/>
        <w:spacing w:line="440" w:lineRule="exact"/>
        <w:rPr>
          <w:rStyle w:val="957"/>
          <w:rFonts w:hint="eastAsia" w:ascii="宋体" w:hAnsi="宋体"/>
          <w:color w:val="auto"/>
          <w:sz w:val="24"/>
          <w:szCs w:val="24"/>
          <w:highlight w:val="none"/>
        </w:rPr>
      </w:pPr>
      <w:r>
        <w:rPr>
          <w:rStyle w:val="957"/>
          <w:rFonts w:hint="eastAsia" w:ascii="宋体" w:hAnsi="宋体"/>
          <w:color w:val="auto"/>
          <w:sz w:val="24"/>
          <w:szCs w:val="24"/>
          <w:highlight w:val="none"/>
        </w:rPr>
        <w:t xml:space="preserve">四、投标文件的制作、上传、递交</w:t>
      </w:r>
      <w:r/>
    </w:p>
    <w:p>
      <w:pPr>
        <w:pStyle w:val="960"/>
        <w:ind w:firstLine="500"/>
        <w:spacing w:line="440" w:lineRule="exact"/>
        <w:rPr>
          <w:rStyle w:val="948"/>
          <w:rFonts w:hint="eastAsia" w:ascii="宋体" w:hAnsi="宋体"/>
          <w:b/>
          <w:bCs/>
          <w:color w:val="auto"/>
          <w:spacing w:val="7"/>
          <w:sz w:val="24"/>
          <w:szCs w:val="24"/>
          <w:highlight w:val="none"/>
        </w:rPr>
        <w:outlineLvl w:val="3"/>
      </w:pPr>
      <w:r>
        <w:rPr>
          <w:rStyle w:val="948"/>
          <w:rFonts w:hint="eastAsia" w:ascii="宋体" w:hAnsi="宋体"/>
          <w:b/>
          <w:bCs/>
          <w:color w:val="auto"/>
          <w:spacing w:val="7"/>
          <w:sz w:val="24"/>
          <w:szCs w:val="24"/>
          <w:highlight w:val="none"/>
        </w:rPr>
        <w:t xml:space="preserve">18.投标文件的递交</w:t>
      </w:r>
      <w:r/>
    </w:p>
    <w:p>
      <w:pPr>
        <w:pStyle w:val="960"/>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18.1电子投标文件的递交</w:t>
      </w:r>
      <w:r/>
    </w:p>
    <w:p>
      <w:pPr>
        <w:pStyle w:val="960"/>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0" w:name="EB5e78b12e89984a20ab881c475623475b"/>
      <w:r/>
      <w:bookmarkEnd w:id="100"/>
      <w:r/>
      <w:r/>
    </w:p>
    <w:p>
      <w:pPr>
        <w:pStyle w:val="960"/>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61"/>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61"/>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1" w:name="EB4c6421107b4c4e38bf2769d0237905a7"/>
      <w:r/>
      <w:bookmarkEnd w:id="101"/>
      <w:r/>
      <w:r/>
    </w:p>
    <w:p>
      <w:pPr>
        <w:pStyle w:val="961"/>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61"/>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2" w:name="EBfffe463a2deb4e7cad93cb8e37ffda5e"/>
      <w:r>
        <w:rPr>
          <w:rFonts w:hint="eastAsia" w:ascii="宋体" w:hAnsi="宋体" w:eastAsia="宋体"/>
          <w:color w:val="auto"/>
          <w:highlight w:val="none"/>
        </w:rPr>
        <w:t xml:space="preserve">公共资源交易中心</w:t>
      </w:r>
      <w:bookmarkEnd w:id="102"/>
      <w:r>
        <w:rPr>
          <w:rFonts w:hint="eastAsia" w:ascii="宋体" w:hAnsi="宋体" w:eastAsia="宋体"/>
          <w:color w:val="auto"/>
          <w:highlight w:val="none"/>
        </w:rPr>
        <w:t xml:space="preserve">拒绝接收在其规定的投标截止时间后递交的任何投标文件。</w:t>
      </w:r>
      <w:r/>
    </w:p>
    <w:p>
      <w:pPr>
        <w:pStyle w:val="961"/>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61"/>
        <w:ind w:firstLine="508"/>
        <w:spacing w:line="440" w:lineRule="exact"/>
        <w:rPr>
          <w:rStyle w:val="948"/>
          <w:rFonts w:hint="eastAsia" w:ascii="宋体" w:hAnsi="宋体"/>
          <w:color w:val="auto"/>
          <w:spacing w:val="7"/>
          <w:sz w:val="24"/>
          <w:szCs w:val="28"/>
          <w:highlight w:val="none"/>
        </w:rPr>
      </w:pPr>
      <w:r>
        <w:rPr>
          <w:rStyle w:val="948"/>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62"/>
        <w:ind w:firstLine="500"/>
        <w:spacing w:line="440" w:lineRule="exact"/>
        <w:rPr>
          <w:rStyle w:val="948"/>
          <w:rFonts w:hint="eastAsia" w:ascii="宋体" w:hAnsi="宋体"/>
          <w:color w:val="auto"/>
          <w:spacing w:val="7"/>
          <w:sz w:val="24"/>
          <w:szCs w:val="28"/>
          <w:highlight w:val="none"/>
        </w:rPr>
      </w:pPr>
      <w:r>
        <w:rPr>
          <w:rStyle w:val="948"/>
          <w:rFonts w:hint="eastAsia" w:ascii="宋体" w:hAnsi="宋体"/>
          <w:color w:val="auto"/>
          <w:spacing w:val="7"/>
          <w:sz w:val="24"/>
          <w:szCs w:val="28"/>
          <w:highlight w:val="none"/>
        </w:rPr>
        <w:t xml:space="preserve">21.2 投标人撤回电子投标文件，则认为其不再参与本项目投标活动。</w:t>
      </w:r>
      <w:r/>
    </w:p>
    <w:p>
      <w:pPr>
        <w:pStyle w:val="962"/>
        <w:ind w:firstLine="500"/>
        <w:spacing w:line="440" w:lineRule="exact"/>
        <w:rPr>
          <w:rStyle w:val="948"/>
          <w:rFonts w:hint="eastAsia" w:ascii="宋体" w:hAnsi="宋体"/>
          <w:color w:val="auto"/>
          <w:spacing w:val="7"/>
          <w:sz w:val="24"/>
          <w:szCs w:val="28"/>
          <w:highlight w:val="none"/>
        </w:rPr>
      </w:pPr>
      <w:r>
        <w:rPr>
          <w:rStyle w:val="948"/>
          <w:rFonts w:hint="eastAsia" w:ascii="宋体" w:hAnsi="宋体"/>
          <w:color w:val="auto"/>
          <w:spacing w:val="7"/>
          <w:sz w:val="24"/>
          <w:szCs w:val="28"/>
          <w:highlight w:val="none"/>
        </w:rPr>
        <w:t xml:space="preserve">21.3 在投标截止时间之后，投标人不得对其电子投标文件作任何修改。</w:t>
      </w:r>
      <w:r/>
    </w:p>
    <w:p>
      <w:pPr>
        <w:pStyle w:val="962"/>
        <w:ind w:firstLine="500"/>
        <w:spacing w:line="440" w:lineRule="exact"/>
        <w:rPr>
          <w:rStyle w:val="948"/>
          <w:rFonts w:hint="eastAsia" w:ascii="宋体" w:hAnsi="宋体"/>
          <w:color w:val="auto"/>
          <w:spacing w:val="7"/>
          <w:sz w:val="24"/>
          <w:szCs w:val="28"/>
          <w:highlight w:val="none"/>
        </w:rPr>
      </w:pPr>
      <w:r>
        <w:rPr>
          <w:rStyle w:val="948"/>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62"/>
        <w:ind w:firstLine="500"/>
        <w:spacing w:line="440" w:lineRule="exact"/>
        <w:rPr>
          <w:rStyle w:val="948"/>
          <w:rFonts w:hint="eastAsia" w:ascii="宋体" w:hAnsi="宋体"/>
          <w:color w:val="auto"/>
          <w:spacing w:val="7"/>
          <w:sz w:val="24"/>
          <w:szCs w:val="28"/>
          <w:highlight w:val="none"/>
        </w:rPr>
      </w:pPr>
      <w:r>
        <w:rPr>
          <w:rStyle w:val="948"/>
          <w:rFonts w:hint="eastAsia" w:ascii="宋体" w:hAnsi="宋体"/>
          <w:color w:val="auto"/>
          <w:spacing w:val="7"/>
          <w:sz w:val="24"/>
          <w:szCs w:val="28"/>
          <w:highlight w:val="none"/>
        </w:rPr>
        <w:t xml:space="preserve">21.5 不论投标人中标与否，投标文件均不退回。</w:t>
      </w:r>
      <w:r/>
    </w:p>
    <w:p>
      <w:pPr>
        <w:pStyle w:val="956"/>
        <w:ind w:firstLine="482"/>
        <w:jc w:val="left"/>
        <w:spacing w:before="0" w:after="0" w:line="440" w:lineRule="exact"/>
        <w:rPr>
          <w:rStyle w:val="957"/>
          <w:rFonts w:hint="eastAsia" w:ascii="宋体" w:hAnsi="宋体"/>
          <w:b w:val="0"/>
          <w:bCs w:val="0"/>
          <w:color w:val="auto"/>
          <w:sz w:val="24"/>
          <w:szCs w:val="24"/>
          <w:highlight w:val="none"/>
        </w:rPr>
      </w:pPr>
      <w:r/>
      <w:bookmarkStart w:id="103" w:name="EB7c302f080cf342679641097daf23b42b"/>
      <w:r/>
      <w:bookmarkEnd w:id="103"/>
      <w:r/>
      <w:bookmarkStart w:id="104" w:name="_Toc16938545"/>
      <w:r/>
      <w:bookmarkStart w:id="105" w:name="_Toc513029229"/>
      <w:r/>
      <w:bookmarkStart w:id="106" w:name="_Toc38368124"/>
      <w:r/>
      <w:bookmarkStart w:id="107" w:name="_Toc120614218"/>
      <w:r/>
      <w:bookmarkStart w:id="108" w:name="_Toc20823301"/>
      <w:r/>
      <w:bookmarkStart w:id="109" w:name="_Toc35266024"/>
      <w:r/>
      <w:bookmarkStart w:id="110" w:name="_Toc17299"/>
      <w:r/>
      <w:bookmarkStart w:id="111" w:name="_Toc54615243"/>
      <w:r>
        <w:rPr>
          <w:rStyle w:val="957"/>
          <w:rFonts w:hint="eastAsia" w:ascii="宋体" w:hAnsi="宋体"/>
          <w:b w:val="0"/>
          <w:bCs w:val="0"/>
          <w:color w:val="auto"/>
          <w:sz w:val="24"/>
          <w:szCs w:val="24"/>
          <w:highlight w:val="none"/>
        </w:rPr>
        <w:t xml:space="preserve">五、开标与评标</w:t>
      </w:r>
      <w:bookmarkEnd w:id="104"/>
      <w:r/>
      <w:bookmarkEnd w:id="105"/>
      <w:r/>
      <w:bookmarkEnd w:id="106"/>
      <w:r/>
      <w:bookmarkEnd w:id="107"/>
      <w:r/>
      <w:bookmarkEnd w:id="108"/>
      <w:r/>
      <w:bookmarkEnd w:id="109"/>
      <w:r/>
      <w:bookmarkEnd w:id="110"/>
      <w:r/>
      <w:bookmarkEnd w:id="111"/>
      <w:r/>
      <w:r/>
    </w:p>
    <w:p>
      <w:pPr>
        <w:ind w:firstLine="482"/>
        <w:keepLines/>
        <w:keepNext/>
        <w:spacing w:line="440" w:lineRule="exact"/>
        <w:rPr>
          <w:rFonts w:hint="eastAsia" w:ascii="宋体" w:hAnsi="宋体"/>
          <w:b/>
          <w:bCs/>
          <w:color w:val="auto"/>
          <w:sz w:val="24"/>
          <w:szCs w:val="24"/>
          <w:highlight w:val="none"/>
        </w:rPr>
        <w:outlineLvl w:val="3"/>
      </w:pPr>
      <w:r/>
      <w:bookmarkStart w:id="112" w:name="_Toc20823302"/>
      <w:r/>
      <w:bookmarkStart w:id="113" w:name="_Toc16938546"/>
      <w:r/>
      <w:bookmarkStart w:id="114" w:name="_Toc513029230"/>
      <w:r>
        <w:rPr>
          <w:rFonts w:hint="eastAsia" w:ascii="宋体" w:hAnsi="宋体"/>
          <w:b/>
          <w:bCs/>
          <w:color w:val="auto"/>
          <w:sz w:val="24"/>
          <w:szCs w:val="24"/>
          <w:highlight w:val="none"/>
        </w:rPr>
        <w:t xml:space="preserve">22.开标</w:t>
      </w:r>
      <w:bookmarkEnd w:id="112"/>
      <w:r/>
      <w:bookmarkEnd w:id="113"/>
      <w:r/>
      <w:bookmarkEnd w:id="114"/>
      <w:r/>
      <w:r/>
    </w:p>
    <w:p>
      <w:pPr>
        <w:ind w:firstLine="480"/>
        <w:spacing w:line="440" w:lineRule="exact"/>
        <w:rPr>
          <w:rStyle w:val="948"/>
          <w:rFonts w:hint="eastAsia" w:ascii="宋体" w:hAnsi="宋体"/>
          <w:color w:val="auto"/>
          <w:spacing w:val="7"/>
          <w:sz w:val="24"/>
          <w:szCs w:val="24"/>
          <w:highlight w:val="none"/>
        </w:rPr>
      </w:pPr>
      <w:r/>
      <w:bookmarkStart w:id="115" w:name="EB45a41a7a147945c0bb92535f2d40058d"/>
      <w:r/>
      <w:bookmarkEnd w:id="115"/>
      <w:r>
        <w:rPr>
          <w:rStyle w:val="948"/>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6" w:name="EBd93f728e80de47e5afd77299c0ffdfa6"/>
      <w:r>
        <w:rPr>
          <w:rFonts w:hint="eastAsia" w:ascii="宋体" w:hAnsi="宋体"/>
          <w:color w:val="auto"/>
          <w:sz w:val="24"/>
          <w:szCs w:val="24"/>
          <w:highlight w:val="none"/>
        </w:rPr>
        <w:t xml:space="preserve">公共资源交易中心</w:t>
      </w:r>
      <w:bookmarkEnd w:id="116"/>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7" w:name="EB8495c46e8cb146ec80ae8c0f7928221c"/>
      <w:r>
        <w:rPr>
          <w:rFonts w:hint="eastAsia" w:ascii="宋体" w:hAnsi="宋体"/>
          <w:color w:val="auto"/>
          <w:sz w:val="24"/>
          <w:szCs w:val="24"/>
          <w:highlight w:val="none"/>
        </w:rPr>
        <w:t xml:space="preserve">公共资源交易中心</w:t>
      </w:r>
      <w:bookmarkEnd w:id="117"/>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8" w:name="_Toc20823304"/>
      <w:r/>
      <w:bookmarkStart w:id="119" w:name="_Toc513029232"/>
      <w:r/>
      <w:bookmarkStart w:id="120" w:name="_Toc16938548"/>
      <w:r>
        <w:rPr>
          <w:rFonts w:hint="eastAsia" w:ascii="宋体" w:hAnsi="宋体"/>
          <w:b/>
          <w:bCs/>
          <w:color w:val="auto"/>
          <w:sz w:val="24"/>
          <w:szCs w:val="24"/>
          <w:highlight w:val="none"/>
        </w:rPr>
        <w:t xml:space="preserve">25．投标的澄清</w:t>
      </w:r>
      <w:bookmarkEnd w:id="118"/>
      <w:r/>
      <w:bookmarkEnd w:id="119"/>
      <w:r/>
      <w:bookmarkEnd w:id="120"/>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63"/>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48"/>
          <w:rFonts w:hint="eastAsia" w:ascii="宋体" w:hAnsi="宋体"/>
          <w:b/>
          <w:bCs/>
          <w:color w:val="auto"/>
          <w:spacing w:val="7"/>
          <w:sz w:val="24"/>
          <w:szCs w:val="24"/>
          <w:highlight w:val="none"/>
          <w:lang w:val="zh-CN"/>
        </w:rPr>
      </w:pPr>
      <w:r>
        <w:rPr>
          <w:rStyle w:val="948"/>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8"/>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1" w:name="EB3164982f155e42e086cd4685f4d2aafa"/>
      <w:r/>
      <w:bookmarkEnd w:id="121"/>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2" w:name="_Toc20823305"/>
      <w:r/>
      <w:bookmarkStart w:id="123" w:name="_Toc513029233"/>
      <w:r/>
      <w:bookmarkStart w:id="124" w:name="_Toc16938549"/>
      <w:r>
        <w:rPr>
          <w:rFonts w:hint="eastAsia" w:ascii="宋体" w:hAnsi="宋体"/>
          <w:b/>
          <w:bCs/>
          <w:color w:val="auto"/>
          <w:sz w:val="24"/>
          <w:szCs w:val="24"/>
          <w:highlight w:val="none"/>
        </w:rPr>
        <w:t xml:space="preserve">26</w:t>
      </w:r>
      <w:bookmarkEnd w:id="122"/>
      <w:r/>
      <w:bookmarkEnd w:id="123"/>
      <w:r/>
      <w:bookmarkEnd w:id="124"/>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5" w:name="EB8e3ec86c09a94dac9cc9034e6027ee19"/>
      <w:r/>
      <w:bookmarkEnd w:id="125"/>
      <w:r/>
      <w:r/>
    </w:p>
    <w:p>
      <w:pPr>
        <w:pStyle w:val="762"/>
        <w:spacing w:line="440" w:lineRule="exact"/>
        <w:rPr>
          <w:rFonts w:hint="eastAsia"/>
          <w:b/>
          <w:bCs/>
          <w:color w:val="auto"/>
          <w:highlight w:val="none"/>
        </w:rPr>
      </w:pPr>
      <w:r>
        <w:rPr>
          <w:rFonts w:hint="eastAsia"/>
          <w:b/>
          <w:bCs/>
          <w:color w:val="auto"/>
          <w:highlight w:val="none"/>
        </w:rPr>
        <w:t xml:space="preserve">26.6 异常低价投标审查</w:t>
      </w:r>
      <w:r/>
    </w:p>
    <w:p>
      <w:pPr>
        <w:pStyle w:val="762"/>
        <w:spacing w:line="440" w:lineRule="exact"/>
        <w:rPr>
          <w:rFonts w:hint="eastAsia" w:ascii="宋体" w:hAnsi="宋体" w:eastAsia="宋体" w:cs="宋体"/>
          <w:sz w:val="24"/>
          <w:szCs w:val="28"/>
          <w:highlight w:val="none"/>
        </w:rPr>
      </w:pPr>
      <w:r/>
      <w:bookmarkStart w:id="126" w:name="_Toc16938550"/>
      <w:r/>
      <w:bookmarkStart w:id="127" w:name="_Toc20823306"/>
      <w:r/>
      <w:bookmarkStart w:id="128" w:name="_Toc513029234"/>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6"/>
      <w:r/>
      <w:bookmarkEnd w:id="127"/>
      <w:r/>
      <w:bookmarkEnd w:id="128"/>
      <w:r>
        <w:rPr>
          <w:rFonts w:hint="eastAsia" w:ascii="宋体" w:hAnsi="宋体"/>
          <w:b/>
          <w:bCs/>
          <w:color w:val="auto"/>
          <w:sz w:val="24"/>
          <w:szCs w:val="24"/>
          <w:highlight w:val="none"/>
        </w:rPr>
        <w:t xml:space="preserve">.无效投标条款和废标条款</w:t>
      </w:r>
      <w:r/>
    </w:p>
    <w:p>
      <w:pPr>
        <w:pStyle w:val="964"/>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 无效投标条款</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 投标人未按照招标文件要求上传电子投标文件的；</w:t>
      </w:r>
      <w:r/>
    </w:p>
    <w:p>
      <w:pPr>
        <w:pStyle w:val="965"/>
        <w:ind w:firstLine="508"/>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27.1.3 投标文件中没有《开标一览表》或《开标一览表》未加盖投标人公章的；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27.1.4 投标文件中任何有选择的报价；</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27.1.6 不同投标人的投标文件由同一单位或者个人编制；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27.1.7 不同投标人委托同一单位或者个人办理投标事宜；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27.1.8 不同投标人的投标文件制作机器码一致的；</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27.1.9 不同投标人的投标文件载明的项目管理成员或者联系人员为同一人；</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27.1.10 不同投标人的投标文件异常一致或者投标报价呈规律性差异；</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27.1.11 </w:t>
      </w:r>
      <w:r>
        <w:rPr>
          <w:rStyle w:val="948"/>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48"/>
          <w:rFonts w:hint="eastAsia" w:ascii="宋体" w:hAnsi="宋体"/>
          <w:color w:val="auto"/>
          <w:spacing w:val="7"/>
          <w:sz w:val="24"/>
          <w:szCs w:val="24"/>
          <w:highlight w:val="none"/>
        </w:rPr>
        <w:t xml:space="preserve">；</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27.1.14 不同供应商的单位负责人为同一人或者存在直接控股、管理关系的；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27.1.15 为采购项目提供整体设计、规范编制或者项目管理、监理、检测等服务的；</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27.1.16 资格证明文件中要求加盖公章而未加盖公章的；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27.1.17 投标文件未按招标文件要求签署、盖章的；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27.1.19 报价超过招标文件中规定的预算金额或者最高限价的；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27.1.20 投标文件含有采购人不能接受的附加条件的； </w:t>
      </w:r>
      <w:r/>
    </w:p>
    <w:p>
      <w:pPr>
        <w:pStyle w:val="965"/>
        <w:ind w:firstLine="500"/>
        <w:spacing w:line="440" w:lineRule="exact"/>
        <w:rPr>
          <w:rStyle w:val="948"/>
          <w:rFonts w:hint="eastAsia" w:ascii="宋体" w:hAnsi="宋体"/>
          <w:b/>
          <w:bCs/>
          <w:color w:val="auto"/>
          <w:spacing w:val="7"/>
          <w:sz w:val="24"/>
          <w:szCs w:val="24"/>
          <w:highlight w:val="none"/>
        </w:rPr>
      </w:pPr>
      <w:r>
        <w:rPr>
          <w:rStyle w:val="948"/>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48"/>
          <w:rFonts w:hint="eastAsia" w:ascii="宋体" w:hAnsi="宋体"/>
          <w:color w:val="auto"/>
          <w:spacing w:val="7"/>
          <w:sz w:val="24"/>
          <w:szCs w:val="24"/>
          <w:highlight w:val="none"/>
        </w:rPr>
        <w:t xml:space="preserve"> </w:t>
      </w:r>
      <w:r/>
    </w:p>
    <w:p>
      <w:pPr>
        <w:pStyle w:val="965"/>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27.1.22 法律、法规和采购文件规定的其他无效情形; </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27.2 废标条款：</w:t>
      </w:r>
      <w:r/>
    </w:p>
    <w:p>
      <w:pPr>
        <w:pStyle w:val="966"/>
        <w:ind w:firstLine="508"/>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(1)符合专业条件的供应商或者对招标文件作实质响应的供应商不足三家的； </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(2)出现影响采购公正的违法、违规行为的；</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(3)投标人的报价均超过了采购预算，采购人不能支付的；</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(4)因重大变故，采购任务取消的。</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(5)因苏采云系统系统故障原因造成开标不成功的。</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27.3 投标截止时间结束后参加投标的供应商不足三家的处理：</w:t>
      </w:r>
      <w:r/>
    </w:p>
    <w:p>
      <w:pPr>
        <w:pStyle w:val="966"/>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56"/>
        <w:ind w:firstLine="482"/>
        <w:jc w:val="left"/>
        <w:spacing w:before="0" w:after="0" w:line="440" w:lineRule="exact"/>
        <w:rPr>
          <w:rStyle w:val="957"/>
          <w:rFonts w:hint="eastAsia" w:ascii="宋体" w:hAnsi="宋体"/>
          <w:b w:val="0"/>
          <w:bCs w:val="0"/>
          <w:color w:val="auto"/>
          <w:sz w:val="24"/>
          <w:szCs w:val="24"/>
          <w:highlight w:val="none"/>
        </w:rPr>
      </w:pPr>
      <w:r/>
      <w:bookmarkStart w:id="129" w:name="_Toc20823307"/>
      <w:r/>
      <w:bookmarkStart w:id="130" w:name="_Toc513029235"/>
      <w:r/>
      <w:bookmarkStart w:id="131" w:name="_Toc16938551"/>
      <w:r/>
      <w:bookmarkStart w:id="132" w:name="_Toc38368125"/>
      <w:r/>
      <w:bookmarkStart w:id="133" w:name="_Toc35266025"/>
      <w:r/>
      <w:bookmarkStart w:id="134" w:name="_Toc28184"/>
      <w:r/>
      <w:bookmarkStart w:id="135" w:name="_Toc54615244"/>
      <w:r/>
      <w:bookmarkStart w:id="136" w:name="_Toc120614219"/>
      <w:r>
        <w:rPr>
          <w:rStyle w:val="957"/>
          <w:rFonts w:hint="eastAsia" w:ascii="宋体" w:hAnsi="宋体"/>
          <w:b w:val="0"/>
          <w:bCs w:val="0"/>
          <w:color w:val="auto"/>
          <w:sz w:val="24"/>
          <w:szCs w:val="24"/>
          <w:highlight w:val="none"/>
        </w:rPr>
        <w:t xml:space="preserve">六、</w:t>
      </w:r>
      <w:bookmarkEnd w:id="129"/>
      <w:r/>
      <w:bookmarkEnd w:id="130"/>
      <w:r/>
      <w:bookmarkEnd w:id="131"/>
      <w:r>
        <w:rPr>
          <w:rStyle w:val="957"/>
          <w:rFonts w:hint="eastAsia" w:ascii="宋体" w:hAnsi="宋体"/>
          <w:b w:val="0"/>
          <w:bCs w:val="0"/>
          <w:color w:val="auto"/>
          <w:sz w:val="24"/>
          <w:szCs w:val="24"/>
          <w:highlight w:val="none"/>
        </w:rPr>
        <w:t xml:space="preserve">定标</w:t>
      </w:r>
      <w:bookmarkEnd w:id="132"/>
      <w:r/>
      <w:bookmarkEnd w:id="133"/>
      <w:r/>
      <w:bookmarkEnd w:id="134"/>
      <w:r/>
      <w:bookmarkEnd w:id="135"/>
      <w:r/>
      <w:bookmarkEnd w:id="136"/>
      <w:r/>
      <w:r/>
    </w:p>
    <w:p>
      <w:pPr>
        <w:ind w:firstLine="482"/>
        <w:keepLines/>
        <w:keepNext/>
        <w:spacing w:line="440" w:lineRule="exact"/>
        <w:rPr>
          <w:rFonts w:hint="eastAsia" w:ascii="宋体" w:hAnsi="宋体"/>
          <w:b/>
          <w:bCs/>
          <w:color w:val="auto"/>
          <w:sz w:val="24"/>
          <w:szCs w:val="24"/>
          <w:highlight w:val="none"/>
        </w:rPr>
        <w:outlineLvl w:val="3"/>
      </w:pPr>
      <w:r/>
      <w:bookmarkStart w:id="137" w:name="_Toc513029238"/>
      <w:r/>
      <w:bookmarkStart w:id="138" w:name="_Toc20823310"/>
      <w:r/>
      <w:bookmarkStart w:id="139" w:name="_Toc16938554"/>
      <w:r>
        <w:rPr>
          <w:rFonts w:hint="eastAsia" w:ascii="宋体" w:hAnsi="宋体"/>
          <w:b/>
          <w:bCs/>
          <w:color w:val="auto"/>
          <w:sz w:val="24"/>
          <w:szCs w:val="24"/>
          <w:highlight w:val="none"/>
        </w:rPr>
        <w:t xml:space="preserve">28</w:t>
      </w:r>
      <w:bookmarkEnd w:id="137"/>
      <w:r>
        <w:rPr>
          <w:rFonts w:hint="eastAsia" w:ascii="宋体" w:hAnsi="宋体"/>
          <w:b/>
          <w:bCs/>
          <w:color w:val="auto"/>
          <w:sz w:val="24"/>
          <w:szCs w:val="24"/>
          <w:highlight w:val="none"/>
        </w:rPr>
        <w:t xml:space="preserve">.确定</w:t>
      </w:r>
      <w:bookmarkEnd w:id="138"/>
      <w:r/>
      <w:bookmarkEnd w:id="139"/>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0" w:name="EB0a0bb8d9f8954ef79aa564dbfd72d9f1"/>
      <w:r>
        <w:rPr>
          <w:rFonts w:hint="eastAsia" w:ascii="宋体" w:hAnsi="宋体"/>
          <w:color w:val="auto"/>
          <w:sz w:val="24"/>
          <w:szCs w:val="24"/>
          <w:highlight w:val="none"/>
        </w:rPr>
        <w:t xml:space="preserve">公共资源交易中心</w:t>
      </w:r>
      <w:bookmarkEnd w:id="140"/>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1" w:name="EB099f29e99fec42e0b68e9bb29a0c4ea8"/>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2" w:name="EB8773124fd4fb4b248e75c3aa7fb3bbda"/>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3" w:name="EB74ca8e7cbd0c43048dde3bacda3415fd"/>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67"/>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32.1合同签订前，中标人向采购单位交付的履约保证金为合同总价款的</w:t>
      </w:r>
      <w:r>
        <w:rPr>
          <w:rStyle w:val="948"/>
          <w:rFonts w:hint="eastAsia" w:ascii="宋体" w:hAnsi="宋体"/>
          <w:color w:val="auto"/>
          <w:spacing w:val="7"/>
          <w:sz w:val="24"/>
          <w:szCs w:val="24"/>
          <w:highlight w:val="none"/>
          <w:lang w:val="en-US"/>
        </w:rPr>
        <w:t xml:space="preserve">2</w:t>
      </w:r>
      <w:r>
        <w:rPr>
          <w:rStyle w:val="948"/>
          <w:rFonts w:hint="eastAsia" w:ascii="宋体" w:hAnsi="宋体"/>
          <w:color w:val="auto"/>
          <w:spacing w:val="7"/>
          <w:sz w:val="24"/>
          <w:szCs w:val="24"/>
          <w:highlight w:val="none"/>
        </w:rPr>
        <w:t xml:space="preserve">％。</w:t>
      </w:r>
      <w:bookmarkStart w:id="144" w:name="EB8c6891da72364e93a7598f4884fbe954"/>
      <w:r/>
      <w:bookmarkEnd w:id="144"/>
      <w:r>
        <w:rPr>
          <w:rStyle w:val="948"/>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55"/>
        <w:pageBreakBefore/>
        <w:spacing w:line="360" w:lineRule="auto"/>
        <w:rPr>
          <w:rFonts w:hint="eastAsia" w:ascii="宋体" w:hAnsi="宋体" w:eastAsia="宋体"/>
          <w:color w:val="auto"/>
          <w:highlight w:val="none"/>
        </w:rPr>
      </w:pPr>
      <w:r/>
      <w:bookmarkStart w:id="145" w:name="_Toc38368127"/>
      <w:r/>
      <w:bookmarkStart w:id="146" w:name="_Toc35266027"/>
      <w:r/>
      <w:bookmarkStart w:id="147" w:name="_Toc31775"/>
      <w:r/>
      <w:bookmarkStart w:id="148" w:name="_Toc22460"/>
      <w:r/>
      <w:bookmarkStart w:id="149" w:name="_Toc12745"/>
      <w:r/>
      <w:bookmarkStart w:id="150" w:name="_Toc3449"/>
      <w:r/>
      <w:bookmarkStart w:id="151" w:name="_Toc54615245"/>
      <w:r>
        <w:rPr>
          <w:rFonts w:hint="eastAsia" w:ascii="宋体" w:hAnsi="宋体" w:eastAsia="宋体"/>
          <w:color w:val="auto"/>
          <w:highlight w:val="none"/>
        </w:rPr>
        <w:t xml:space="preserve">第三章 合同条款及格式</w:t>
      </w:r>
      <w:bookmarkEnd w:id="145"/>
      <w:r/>
      <w:bookmarkEnd w:id="146"/>
      <w:r/>
      <w:bookmarkEnd w:id="147"/>
      <w:r/>
      <w:bookmarkEnd w:id="148"/>
      <w:r/>
      <w:bookmarkEnd w:id="149"/>
      <w:r/>
      <w:bookmarkEnd w:id="150"/>
      <w:r/>
      <w:bookmarkEnd w:id="151"/>
      <w:r/>
      <w:r/>
    </w:p>
    <w:p>
      <w:pPr>
        <w:pStyle w:val="968"/>
        <w:ind w:firstLine="480"/>
        <w:spacing w:line="440" w:lineRule="exact"/>
        <w:rPr>
          <w:rStyle w:val="948"/>
          <w:rFonts w:hAnsi="宋体" w:eastAsia="Times New Roman"/>
          <w:color w:val="auto"/>
          <w:sz w:val="24"/>
          <w:highlight w:val="none"/>
        </w:rPr>
      </w:pPr>
      <w:r>
        <w:rPr>
          <w:rStyle w:val="948"/>
          <w:rFonts w:hAnsi="宋体" w:eastAsia="Times New Roman"/>
          <w:color w:val="auto"/>
          <w:sz w:val="24"/>
          <w:highlight w:val="none"/>
        </w:rPr>
        <w:t xml:space="preserve">以下为中标</w:t>
      </w:r>
      <w:r>
        <w:rPr>
          <w:rStyle w:val="948"/>
          <w:rFonts w:hint="eastAsia" w:ascii="宋体" w:hAnsi="宋体"/>
          <w:color w:val="auto"/>
          <w:sz w:val="24"/>
          <w:highlight w:val="none"/>
        </w:rPr>
        <w:t xml:space="preserve">(</w:t>
      </w:r>
      <w:r>
        <w:rPr>
          <w:rStyle w:val="948"/>
          <w:rFonts w:hAnsi="宋体" w:eastAsia="Times New Roman"/>
          <w:color w:val="auto"/>
          <w:sz w:val="24"/>
          <w:highlight w:val="none"/>
        </w:rPr>
        <w:t xml:space="preserve">成交</w:t>
      </w:r>
      <w:r>
        <w:rPr>
          <w:rStyle w:val="948"/>
          <w:rFonts w:hint="eastAsia" w:ascii="宋体" w:hAnsi="宋体"/>
          <w:color w:val="auto"/>
          <w:sz w:val="24"/>
          <w:highlight w:val="none"/>
        </w:rPr>
        <w:t xml:space="preserve">)</w:t>
      </w:r>
      <w:r>
        <w:rPr>
          <w:rStyle w:val="948"/>
          <w:rFonts w:hAnsi="宋体" w:eastAsia="Times New Roman"/>
          <w:color w:val="auto"/>
          <w:sz w:val="24"/>
          <w:highlight w:val="none"/>
        </w:rPr>
        <w:t xml:space="preserve">后签定本项目合同的通用条款，中标</w:t>
      </w:r>
      <w:r>
        <w:rPr>
          <w:rStyle w:val="948"/>
          <w:rFonts w:hint="eastAsia" w:ascii="宋体" w:hAnsi="宋体"/>
          <w:color w:val="auto"/>
          <w:sz w:val="24"/>
          <w:highlight w:val="none"/>
        </w:rPr>
        <w:t xml:space="preserve">(</w:t>
      </w:r>
      <w:r>
        <w:rPr>
          <w:rStyle w:val="948"/>
          <w:rFonts w:hAnsi="宋体" w:eastAsia="Times New Roman"/>
          <w:color w:val="auto"/>
          <w:sz w:val="24"/>
          <w:highlight w:val="none"/>
        </w:rPr>
        <w:t xml:space="preserve">成交</w:t>
      </w:r>
      <w:r>
        <w:rPr>
          <w:rStyle w:val="948"/>
          <w:rFonts w:hint="eastAsia" w:ascii="宋体" w:hAnsi="宋体"/>
          <w:color w:val="auto"/>
          <w:sz w:val="24"/>
          <w:highlight w:val="none"/>
        </w:rPr>
        <w:t xml:space="preserve">)</w:t>
      </w:r>
      <w:r>
        <w:rPr>
          <w:rStyle w:val="948"/>
          <w:rFonts w:hAnsi="宋体" w:eastAsia="Times New Roman"/>
          <w:color w:val="auto"/>
          <w:sz w:val="24"/>
          <w:highlight w:val="none"/>
        </w:rPr>
        <w:t xml:space="preserve">供应商不得提出实质性的修改。</w:t>
      </w:r>
      <w:r/>
    </w:p>
    <w:p>
      <w:pPr>
        <w:pStyle w:val="968"/>
        <w:jc w:val="center"/>
        <w:rPr>
          <w:rStyle w:val="948"/>
          <w:rFonts w:hint="eastAsia"/>
          <w:b/>
          <w:color w:val="auto"/>
          <w:sz w:val="32"/>
          <w:highlight w:val="none"/>
        </w:rPr>
      </w:pPr>
      <w:r>
        <w:rPr>
          <w:rStyle w:val="948"/>
          <w:rFonts w:hint="eastAsia"/>
          <w:b/>
          <w:color w:val="auto"/>
          <w:sz w:val="32"/>
          <w:highlight w:val="none"/>
        </w:rPr>
        <w:t xml:space="preserve">张家港市政府采购合同</w:t>
      </w:r>
      <w:r/>
    </w:p>
    <w:p>
      <w:pPr>
        <w:pStyle w:val="968"/>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项目名称：</w:t>
      </w:r>
      <w:bookmarkStart w:id="152" w:name="biaoduanname_1"/>
      <w:r>
        <w:rPr>
          <w:rStyle w:val="948"/>
          <w:rFonts w:hint="eastAsia" w:ascii="宋体" w:hAnsi="宋体"/>
          <w:color w:val="auto"/>
          <w:sz w:val="24"/>
          <w:highlight w:val="none"/>
        </w:rPr>
        <w:t xml:space="preserve">                   </w:t>
      </w:r>
      <w:bookmarkEnd w:id="152"/>
      <w:r>
        <w:rPr>
          <w:rStyle w:val="948"/>
          <w:rFonts w:hint="eastAsia" w:ascii="宋体" w:hAnsi="宋体"/>
          <w:color w:val="auto"/>
          <w:sz w:val="24"/>
          <w:highlight w:val="none"/>
        </w:rPr>
        <w:t xml:space="preserve">         </w:t>
      </w:r>
      <w:r/>
    </w:p>
    <w:p>
      <w:pPr>
        <w:pStyle w:val="968"/>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项目编号：</w:t>
      </w:r>
      <w:bookmarkStart w:id="153" w:name="projectno"/>
      <w:r>
        <w:rPr>
          <w:rStyle w:val="948"/>
          <w:rFonts w:hint="eastAsia" w:ascii="宋体" w:hAnsi="宋体"/>
          <w:color w:val="auto"/>
          <w:sz w:val="24"/>
          <w:highlight w:val="none"/>
        </w:rPr>
        <w:t xml:space="preserve">                  </w:t>
      </w:r>
      <w:bookmarkEnd w:id="153"/>
      <w:r/>
      <w:r/>
    </w:p>
    <w:p>
      <w:pPr>
        <w:pStyle w:val="968"/>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甲方：（买方）</w:t>
      </w:r>
      <w:r>
        <w:rPr>
          <w:rStyle w:val="948"/>
          <w:rFonts w:hint="eastAsia" w:ascii="宋体" w:hAnsi="宋体"/>
          <w:color w:val="auto"/>
          <w:sz w:val="24"/>
          <w:highlight w:val="none"/>
          <w:u w:val="single"/>
        </w:rPr>
        <w:t xml:space="preserve"> </w:t>
      </w:r>
      <w:bookmarkStart w:id="154" w:name="jianshedanwei_1"/>
      <w:r>
        <w:rPr>
          <w:rStyle w:val="948"/>
          <w:rFonts w:hint="eastAsia" w:ascii="宋体" w:hAnsi="宋体"/>
          <w:color w:val="auto"/>
          <w:sz w:val="24"/>
          <w:highlight w:val="none"/>
          <w:u w:val="single"/>
        </w:rPr>
        <w:t xml:space="preserve">                  </w:t>
      </w:r>
      <w:bookmarkEnd w:id="154"/>
      <w:r>
        <w:rPr>
          <w:rStyle w:val="948"/>
          <w:rFonts w:hint="eastAsia" w:ascii="宋体" w:hAnsi="宋体"/>
          <w:color w:val="auto"/>
          <w:sz w:val="24"/>
          <w:highlight w:val="none"/>
          <w:u w:val="single"/>
        </w:rPr>
        <w:t xml:space="preserve"> </w:t>
      </w:r>
      <w:r/>
    </w:p>
    <w:p>
      <w:pPr>
        <w:pStyle w:val="968"/>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乙方：（卖方）</w:t>
      </w:r>
      <w:r>
        <w:rPr>
          <w:rStyle w:val="948"/>
          <w:rFonts w:hint="eastAsia" w:ascii="宋体" w:hAnsi="宋体"/>
          <w:color w:val="auto"/>
          <w:sz w:val="24"/>
          <w:highlight w:val="none"/>
          <w:u w:val="single"/>
        </w:rPr>
        <w:t xml:space="preserve"> </w:t>
      </w:r>
      <w:bookmarkStart w:id="155" w:name="zhongbiaodanweiname_1"/>
      <w:r>
        <w:rPr>
          <w:rStyle w:val="948"/>
          <w:rFonts w:hint="eastAsia" w:ascii="宋体" w:hAnsi="宋体"/>
          <w:color w:val="auto"/>
          <w:sz w:val="24"/>
          <w:highlight w:val="none"/>
          <w:u w:val="single"/>
        </w:rPr>
        <w:t xml:space="preserve">                    </w:t>
      </w:r>
      <w:bookmarkEnd w:id="155"/>
      <w:r>
        <w:rPr>
          <w:rStyle w:val="948"/>
          <w:rFonts w:hint="eastAsia" w:ascii="宋体" w:hAnsi="宋体"/>
          <w:color w:val="auto"/>
          <w:sz w:val="24"/>
          <w:highlight w:val="none"/>
          <w:u w:val="single"/>
        </w:rPr>
        <w:t xml:space="preserve"> </w:t>
      </w:r>
      <w:r/>
    </w:p>
    <w:p>
      <w:pPr>
        <w:pStyle w:val="968"/>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61"/>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6" w:name="itemname"/>
            <w:r>
              <w:rPr>
                <w:rFonts w:hint="eastAsia" w:ascii="宋体" w:hAnsi="宋体"/>
                <w:color w:val="auto"/>
                <w:sz w:val="24"/>
                <w:szCs w:val="24"/>
                <w:highlight w:val="none"/>
              </w:rPr>
              <w:t xml:space="preserve">      </w:t>
            </w:r>
            <w:bookmarkEnd w:id="156"/>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7"/>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68"/>
        <w:ind w:firstLine="480"/>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2.1 本合同金额为（大写）：</w:t>
      </w:r>
      <w:r>
        <w:rPr>
          <w:rStyle w:val="948"/>
          <w:rFonts w:hint="eastAsia" w:ascii="宋体" w:hAnsi="宋体"/>
          <w:color w:val="auto"/>
          <w:sz w:val="24"/>
          <w:highlight w:val="none"/>
          <w:u w:val="single"/>
        </w:rPr>
        <w:t xml:space="preserve"> </w:t>
      </w:r>
      <w:bookmarkStart w:id="158" w:name="zhongbiaopriceup"/>
      <w:r>
        <w:rPr>
          <w:rStyle w:val="948"/>
          <w:rFonts w:hint="eastAsia" w:ascii="宋体" w:hAnsi="宋体"/>
          <w:color w:val="auto"/>
          <w:sz w:val="24"/>
          <w:highlight w:val="none"/>
          <w:u w:val="single"/>
        </w:rPr>
        <w:t xml:space="preserve">             </w:t>
      </w:r>
      <w:bookmarkEnd w:id="158"/>
      <w:r>
        <w:rPr>
          <w:rStyle w:val="948"/>
          <w:rFonts w:hint="eastAsia" w:ascii="宋体" w:hAnsi="宋体"/>
          <w:color w:val="auto"/>
          <w:sz w:val="24"/>
          <w:highlight w:val="none"/>
        </w:rPr>
        <w:t xml:space="preserve">（</w:t>
      </w:r>
      <w:r>
        <w:rPr>
          <w:rStyle w:val="948"/>
          <w:rFonts w:hint="eastAsia" w:ascii="宋体" w:hAnsi="宋体"/>
          <w:color w:val="auto"/>
          <w:sz w:val="24"/>
          <w:highlight w:val="none"/>
          <w:u w:val="single"/>
        </w:rPr>
        <w:t xml:space="preserve"> </w:t>
      </w:r>
      <w:bookmarkStart w:id="159" w:name="zhongbiaopricelow"/>
      <w:r>
        <w:rPr>
          <w:rStyle w:val="948"/>
          <w:rFonts w:hint="eastAsia" w:ascii="宋体" w:hAnsi="宋体"/>
          <w:color w:val="auto"/>
          <w:sz w:val="24"/>
          <w:highlight w:val="none"/>
          <w:u w:val="single"/>
        </w:rPr>
        <w:t xml:space="preserve">           </w:t>
      </w:r>
      <w:bookmarkEnd w:id="159"/>
      <w:r>
        <w:rPr>
          <w:rStyle w:val="948"/>
          <w:rFonts w:hint="eastAsia" w:ascii="宋体" w:hAnsi="宋体"/>
          <w:color w:val="auto"/>
          <w:sz w:val="24"/>
          <w:highlight w:val="none"/>
          <w:u w:val="single"/>
        </w:rPr>
        <w:t xml:space="preserve"> </w:t>
      </w:r>
      <w:r>
        <w:rPr>
          <w:rStyle w:val="948"/>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68"/>
        <w:ind w:left="407"/>
        <w:spacing w:line="440" w:lineRule="exact"/>
        <w:rPr>
          <w:rStyle w:val="948"/>
          <w:rFonts w:hint="eastAsia" w:ascii="宋体" w:hAnsi="宋体"/>
          <w:b/>
          <w:color w:val="auto"/>
          <w:sz w:val="24"/>
          <w:highlight w:val="none"/>
        </w:rPr>
      </w:pPr>
      <w:r>
        <w:rPr>
          <w:rStyle w:val="948"/>
          <w:rFonts w:hint="eastAsia" w:ascii="宋体" w:hAnsi="宋体"/>
          <w:b/>
          <w:color w:val="auto"/>
          <w:sz w:val="24"/>
          <w:highlight w:val="none"/>
        </w:rPr>
        <w:t xml:space="preserve">六、履约保证金</w:t>
      </w:r>
      <w:r/>
    </w:p>
    <w:p>
      <w:pPr>
        <w:pStyle w:val="968"/>
        <w:ind w:firstLine="480"/>
        <w:spacing w:line="440" w:lineRule="exact"/>
        <w:rPr>
          <w:rStyle w:val="948"/>
          <w:rFonts w:hint="eastAsia" w:ascii="宋体" w:hAnsi="宋体"/>
          <w:color w:val="auto"/>
          <w:sz w:val="24"/>
          <w:highlight w:val="none"/>
        </w:rPr>
      </w:pPr>
      <w:r>
        <w:rPr>
          <w:rStyle w:val="948"/>
          <w:rFonts w:hint="eastAsia" w:ascii="宋体" w:hAnsi="宋体"/>
          <w:color w:val="auto"/>
          <w:sz w:val="24"/>
          <w:highlight w:val="none"/>
        </w:rPr>
        <w:t xml:space="preserve">6.1合同签订前，乙方向采购单位交纳人民币</w:t>
      </w:r>
      <w:r>
        <w:rPr>
          <w:rStyle w:val="948"/>
          <w:rFonts w:hint="eastAsia" w:ascii="宋体" w:hAnsi="宋体"/>
          <w:color w:val="auto"/>
          <w:sz w:val="24"/>
          <w:highlight w:val="none"/>
          <w:u w:val="single"/>
        </w:rPr>
        <w:t xml:space="preserve"> </w:t>
      </w:r>
      <w:bookmarkStart w:id="160" w:name="lvbzj"/>
      <w:r>
        <w:rPr>
          <w:rStyle w:val="948"/>
          <w:rFonts w:hint="eastAsia" w:ascii="宋体" w:hAnsi="宋体"/>
          <w:color w:val="auto"/>
          <w:sz w:val="24"/>
          <w:highlight w:val="none"/>
          <w:u w:val="single"/>
        </w:rPr>
        <w:t xml:space="preserve">  </w:t>
      </w:r>
      <w:bookmarkEnd w:id="160"/>
      <w:r>
        <w:rPr>
          <w:rStyle w:val="948"/>
          <w:rFonts w:hint="eastAsia" w:ascii="宋体" w:hAnsi="宋体"/>
          <w:color w:val="auto"/>
          <w:sz w:val="24"/>
          <w:highlight w:val="none"/>
          <w:u w:val="single"/>
        </w:rPr>
        <w:t xml:space="preserve"> </w:t>
      </w:r>
      <w:r>
        <w:rPr>
          <w:rStyle w:val="948"/>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69"/>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69"/>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69"/>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69"/>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69"/>
        <w:spacing w:line="440" w:lineRule="exact"/>
        <w:rPr>
          <w:rFonts w:hint="eastAsia"/>
          <w:b/>
          <w:color w:val="auto"/>
          <w:highlight w:val="none"/>
        </w:rPr>
      </w:pPr>
      <w:r>
        <w:rPr>
          <w:rFonts w:hint="eastAsia"/>
          <w:b/>
          <w:color w:val="auto"/>
          <w:highlight w:val="none"/>
        </w:rPr>
        <w:t xml:space="preserve">七、转包或分包 </w:t>
      </w:r>
      <w:r/>
    </w:p>
    <w:p>
      <w:pPr>
        <w:pStyle w:val="969"/>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69"/>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1" w:name="jiaohuoqi"/>
      <w:r>
        <w:rPr>
          <w:rFonts w:hint="eastAsia" w:ascii="宋体" w:hAnsi="宋体"/>
          <w:color w:val="auto"/>
          <w:sz w:val="24"/>
          <w:szCs w:val="24"/>
          <w:highlight w:val="none"/>
          <w:u w:val="single"/>
        </w:rPr>
        <w:t xml:space="preserve">                    </w:t>
      </w:r>
      <w:bookmarkEnd w:id="161"/>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2" w:name="jiaohuofangsh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3" w:name="jiaohuodidian"/>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pStyle w:val="969"/>
        <w:spacing w:line="440" w:lineRule="exact"/>
        <w:rPr>
          <w:rFonts w:hint="eastAsia"/>
          <w:b/>
          <w:color w:val="auto"/>
          <w:highlight w:val="none"/>
        </w:rPr>
      </w:pPr>
      <w:r>
        <w:rPr>
          <w:rFonts w:hint="eastAsia"/>
          <w:b/>
          <w:color w:val="auto"/>
          <w:highlight w:val="none"/>
        </w:rPr>
        <w:t xml:space="preserve">九、货款支付 </w:t>
      </w:r>
      <w:r/>
    </w:p>
    <w:p>
      <w:pPr>
        <w:pStyle w:val="969"/>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69"/>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69"/>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69"/>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69"/>
        <w:spacing w:line="440" w:lineRule="exact"/>
        <w:rPr>
          <w:rFonts w:hint="eastAsia"/>
          <w:b/>
          <w:color w:val="auto"/>
          <w:highlight w:val="none"/>
        </w:rPr>
      </w:pPr>
      <w:r>
        <w:rPr>
          <w:rFonts w:hint="eastAsia"/>
          <w:b/>
          <w:color w:val="auto"/>
          <w:highlight w:val="none"/>
        </w:rPr>
        <w:t xml:space="preserve">十、税 </w:t>
      </w:r>
      <w:r/>
    </w:p>
    <w:p>
      <w:pPr>
        <w:pStyle w:val="969"/>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4" w:name="xiangyingdate"/>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5"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6" w:name="wanchengyanshou"/>
      <w:r>
        <w:rPr>
          <w:rFonts w:hint="eastAsia" w:ascii="宋体" w:hAnsi="宋体"/>
          <w:b/>
          <w:color w:val="auto"/>
          <w:sz w:val="24"/>
          <w:szCs w:val="24"/>
          <w:highlight w:val="none"/>
          <w:u w:val="single"/>
        </w:rPr>
        <w:t xml:space="preserve">       </w:t>
      </w:r>
      <w:bookmarkEnd w:id="166"/>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69"/>
        <w:spacing w:line="440" w:lineRule="exact"/>
        <w:rPr>
          <w:rFonts w:hint="eastAsia"/>
          <w:color w:val="auto"/>
          <w:highlight w:val="none"/>
        </w:rPr>
      </w:pPr>
      <w:r>
        <w:rPr>
          <w:rFonts w:hint="eastAsia"/>
          <w:color w:val="auto"/>
          <w:highlight w:val="none"/>
        </w:rPr>
      </w:r>
      <w:r/>
    </w:p>
    <w:p>
      <w:pPr>
        <w:pStyle w:val="969"/>
        <w:spacing w:line="440" w:lineRule="exact"/>
        <w:rPr>
          <w:rFonts w:hint="eastAsia"/>
          <w:color w:val="auto"/>
          <w:highlight w:val="none"/>
        </w:rPr>
      </w:pPr>
      <w:r>
        <w:rPr>
          <w:rFonts w:hint="eastAsia"/>
          <w:color w:val="auto"/>
          <w:highlight w:val="none"/>
        </w:rPr>
        <w:t xml:space="preserve">甲方： </w:t>
      </w:r>
      <w:r/>
    </w:p>
    <w:p>
      <w:pPr>
        <w:pStyle w:val="969"/>
        <w:spacing w:line="440" w:lineRule="exact"/>
        <w:rPr>
          <w:rFonts w:hint="eastAsia"/>
          <w:color w:val="auto"/>
          <w:highlight w:val="none"/>
        </w:rPr>
      </w:pPr>
      <w:r>
        <w:rPr>
          <w:rFonts w:hint="eastAsia"/>
          <w:color w:val="auto"/>
          <w:highlight w:val="none"/>
        </w:rPr>
        <w:t xml:space="preserve">地址： </w:t>
      </w:r>
      <w:r/>
    </w:p>
    <w:p>
      <w:pPr>
        <w:pStyle w:val="969"/>
        <w:spacing w:line="440" w:lineRule="exact"/>
        <w:rPr>
          <w:rFonts w:hint="eastAsia"/>
          <w:color w:val="auto"/>
          <w:highlight w:val="none"/>
        </w:rPr>
      </w:pPr>
      <w:r>
        <w:rPr>
          <w:rFonts w:hint="eastAsia"/>
          <w:color w:val="auto"/>
          <w:highlight w:val="none"/>
        </w:rPr>
        <w:t xml:space="preserve">法定代表人或授权代表： </w:t>
      </w:r>
      <w:r/>
    </w:p>
    <w:p>
      <w:pPr>
        <w:pStyle w:val="969"/>
        <w:spacing w:line="440" w:lineRule="exact"/>
        <w:rPr>
          <w:rFonts w:hint="eastAsia"/>
          <w:color w:val="auto"/>
          <w:highlight w:val="none"/>
        </w:rPr>
      </w:pPr>
      <w:r>
        <w:rPr>
          <w:rFonts w:hint="eastAsia"/>
          <w:color w:val="auto"/>
          <w:highlight w:val="none"/>
        </w:rPr>
        <w:t xml:space="preserve">联系电话： </w:t>
      </w:r>
      <w:r/>
    </w:p>
    <w:p>
      <w:pPr>
        <w:pStyle w:val="969"/>
        <w:spacing w:line="440" w:lineRule="exact"/>
        <w:rPr>
          <w:rFonts w:hint="eastAsia"/>
          <w:color w:val="auto"/>
          <w:highlight w:val="none"/>
        </w:rPr>
      </w:pPr>
      <w:r>
        <w:rPr>
          <w:rFonts w:hint="eastAsia"/>
          <w:color w:val="auto"/>
          <w:highlight w:val="none"/>
        </w:rPr>
        <w:t xml:space="preserve">签订日期： 年 月 日 </w:t>
      </w:r>
      <w:r/>
    </w:p>
    <w:p>
      <w:pPr>
        <w:pStyle w:val="969"/>
        <w:spacing w:line="440" w:lineRule="exact"/>
        <w:rPr>
          <w:color w:val="auto"/>
          <w:highlight w:val="none"/>
        </w:rPr>
      </w:pPr>
      <w:r>
        <w:rPr>
          <w:color w:val="auto"/>
          <w:highlight w:val="none"/>
        </w:rPr>
      </w:r>
      <w:r/>
    </w:p>
    <w:p>
      <w:pPr>
        <w:pStyle w:val="969"/>
        <w:spacing w:line="440" w:lineRule="exact"/>
        <w:rPr>
          <w:rFonts w:hint="eastAsia"/>
          <w:color w:val="auto"/>
          <w:highlight w:val="none"/>
        </w:rPr>
      </w:pPr>
      <w:r>
        <w:rPr>
          <w:rFonts w:hint="eastAsia"/>
          <w:color w:val="auto"/>
          <w:highlight w:val="none"/>
        </w:rPr>
        <w:t xml:space="preserve">乙方： </w:t>
      </w:r>
      <w:r/>
    </w:p>
    <w:p>
      <w:pPr>
        <w:pStyle w:val="969"/>
        <w:spacing w:line="440" w:lineRule="exact"/>
        <w:rPr>
          <w:rFonts w:hint="eastAsia"/>
          <w:color w:val="auto"/>
          <w:highlight w:val="none"/>
        </w:rPr>
      </w:pPr>
      <w:r>
        <w:rPr>
          <w:rFonts w:hint="eastAsia"/>
          <w:color w:val="auto"/>
          <w:highlight w:val="none"/>
        </w:rPr>
        <w:t xml:space="preserve">地址： </w:t>
      </w:r>
      <w:r/>
    </w:p>
    <w:p>
      <w:pPr>
        <w:pStyle w:val="969"/>
        <w:spacing w:line="440" w:lineRule="exact"/>
        <w:rPr>
          <w:rFonts w:hint="eastAsia"/>
          <w:color w:val="auto"/>
          <w:highlight w:val="none"/>
        </w:rPr>
      </w:pPr>
      <w:r>
        <w:rPr>
          <w:rFonts w:hint="eastAsia"/>
          <w:color w:val="auto"/>
          <w:highlight w:val="none"/>
        </w:rPr>
        <w:t xml:space="preserve">法定代表人（或负责人）或授权代表： </w:t>
      </w:r>
      <w:r/>
    </w:p>
    <w:p>
      <w:pPr>
        <w:pStyle w:val="969"/>
        <w:spacing w:line="440" w:lineRule="exact"/>
        <w:rPr>
          <w:rFonts w:hint="eastAsia"/>
          <w:color w:val="auto"/>
          <w:highlight w:val="none"/>
        </w:rPr>
      </w:pPr>
      <w:r>
        <w:rPr>
          <w:rFonts w:hint="eastAsia"/>
          <w:color w:val="auto"/>
          <w:highlight w:val="none"/>
        </w:rPr>
        <w:t xml:space="preserve">联系电话： </w:t>
      </w:r>
      <w:r/>
    </w:p>
    <w:p>
      <w:pPr>
        <w:pStyle w:val="969"/>
        <w:spacing w:line="440" w:lineRule="exact"/>
        <w:rPr>
          <w:rFonts w:hint="eastAsia"/>
          <w:color w:val="auto"/>
          <w:highlight w:val="none"/>
        </w:rPr>
      </w:pPr>
      <w:r>
        <w:rPr>
          <w:rFonts w:hint="eastAsia"/>
          <w:color w:val="auto"/>
          <w:highlight w:val="none"/>
        </w:rPr>
        <w:t xml:space="preserve">签订日期： 年 月 日</w:t>
      </w:r>
      <w:r/>
    </w:p>
    <w:p>
      <w:pPr>
        <w:pStyle w:val="955"/>
        <w:pageBreakBefore/>
        <w:spacing w:line="360" w:lineRule="auto"/>
        <w:rPr>
          <w:rFonts w:hint="eastAsia" w:ascii="宋体" w:hAnsi="宋体" w:eastAsia="宋体"/>
          <w:color w:val="auto"/>
          <w:highlight w:val="none"/>
        </w:rPr>
      </w:pPr>
      <w:r/>
      <w:bookmarkStart w:id="167" w:name="_Toc31993"/>
      <w:r>
        <w:rPr>
          <w:rFonts w:hint="eastAsia" w:ascii="宋体" w:hAnsi="宋体" w:eastAsia="宋体"/>
          <w:color w:val="auto"/>
          <w:highlight w:val="none"/>
        </w:rPr>
        <w:t xml:space="preserve">第四章 项目需求</w:t>
      </w:r>
      <w:bookmarkEnd w:id="167"/>
      <w:r/>
      <w:bookmarkStart w:id="168" w:name="_Toc319429198"/>
      <w:r/>
      <w:bookmarkEnd w:id="168"/>
      <w:r/>
      <w:bookmarkStart w:id="169" w:name="_Toc274321794"/>
      <w:r/>
      <w:bookmarkEnd w:id="169"/>
      <w:r/>
      <w:r/>
    </w:p>
    <w:p>
      <w:pPr>
        <w:spacing w:line="360" w:lineRule="auto"/>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一、清单</w:t>
      </w:r>
      <w:r/>
    </w:p>
    <w:p>
      <w:pPr>
        <w:ind w:firstLine="500"/>
        <w:spacing w:line="440" w:lineRule="exac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1.清单</w:t>
      </w:r>
      <w:r/>
    </w:p>
    <w:tbl>
      <w:tblPr>
        <w:tblStyle w:val="761"/>
        <w:tblW w:w="84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984"/>
        <w:gridCol w:w="638"/>
        <w:gridCol w:w="675"/>
        <w:gridCol w:w="2701"/>
        <w:gridCol w:w="874"/>
        <w:gridCol w:w="851"/>
      </w:tblGrid>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书宋-简" w:hAnsi="书宋-简" w:eastAsia="书宋-简" w:cs="书宋-简"/>
                <w:b/>
                <w:bCs/>
                <w:i w:val="0"/>
                <w:iCs w:val="0"/>
                <w:color w:val="auto"/>
                <w:sz w:val="24"/>
                <w:szCs w:val="24"/>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一、交通信号控制系统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13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机动车圆盘信号灯（400mm）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机动车箭头信号灯（400mm）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机动车圆盘信号灯（300mm）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机动车箭头信号灯（300mm）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非机动车左转信号灯（400mm）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非机动车信号灯（400mm）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非机动车左转信号灯（300mm）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非机动车信号灯（300mm）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人行信号灯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人行信号灯立杆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人行信号灯立杆基础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单柱式机动车信号灯立杆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单柱式信号灯立杆基础1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单柱式信号灯立杆基础2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机动车信号灯立杆5</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机动车信号灯立杆基础2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信号灯支架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控制软电缆1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18000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控制软电缆2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14125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控制软电缆3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4080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控制软电缆4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1085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8154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配电箱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配电箱基础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交通信号控制机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信号机基础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无线遥控手动装置</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行人二次过街指示牌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信号灯指示牌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二、高清视频监控系统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2.1.1、地面监控</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一体化高清球型摄像机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高清枪型摄像机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2.1.2、高架监控</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一体化高清球型摄像机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2.2、公路监控</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一体化高清高倍球型摄像机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2.3、西二环监控</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一体化高清高倍球型摄像机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5500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三、高清电子警察系统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红灯信号检测器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工业级交换机1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F式立杆5</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T型立杆1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T型立杆2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F式立杆背包箱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16240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568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568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四、交通信息采集系统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4.1.1、地面部分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雷视一体机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19800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660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660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19800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4.1.2、高架部分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雷视一体机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横臂支架1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边缘计算单元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工业级交换机1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29700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29700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792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396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792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配电箱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配电箱基础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公路交通调查系统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集成式交通气象监测仪</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横臂支架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微光抓拍单元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雷视一体化微波检测器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工业级交换机3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西二环交通调查系统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集成式交通气象监测仪</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横臂支架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eastAsia="zh-CN"/>
              </w:rPr>
              <w:t xml:space="preserve">气象数据接收处理配套服务器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微光抓拍单元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雷视一体化微波检测器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传输网络1</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五、交通诱导发布系统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5.1.1、地面部分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交通微诱导屏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微诱导屏支架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交通信息诱导屏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诱导屏立杆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诱导屏立杆基础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智能设备箱（小）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设备箱基础（小）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5160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5.1.2、高架部分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交通信息诱导屏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诱导屏门架安装支架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可变限速显示屏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借用门架安装支架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诱导屏门架式立杆2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诱导屏门架式立杆1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电力电缆5</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8500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15215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六、违停抓拍系统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违停抓拍球型摄像机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警告标志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七、实景指挥系统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both"/>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180°全景网络高清摄像机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both"/>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网络传输</w:t>
            </w:r>
            <w:r>
              <w:rPr>
                <w:rFonts w:hint="eastAsia" w:ascii="宋体" w:hAnsi="宋体" w:eastAsia="宋体" w:cs="宋体"/>
                <w:i w:val="0"/>
                <w:iCs w:val="0"/>
                <w:color w:val="auto"/>
                <w:sz w:val="24"/>
                <w:szCs w:val="24"/>
                <w:highlight w:val="none"/>
                <w:u w:val="none"/>
                <w:lang w:val="en-US" w:eastAsia="zh-CN" w:bidi="ar"/>
              </w:rPr>
              <w:t xml:space="preserve">（租赁）</w:t>
            </w: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八、上下匝道抓拍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全结构化摄像机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前端管理单元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预警屏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2190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九、入口匝道控制系统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交通信息屏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上匝道车道灯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工业级交换机2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交通信号控制机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信号机基础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2805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2805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控制软电缆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十、区间测速系统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环保生态抓拍单元（前牌）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限速标志牌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全程区间测速提醒标志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测速距离提示标志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测速起终点提示标志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工业级交换机3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标定费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十一、广播系统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室外防水音柱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IP网络解码带功放终端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智能设备箱（小）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设备箱基础（小）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广播线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3840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十二、鱼腹线实线变道抓拍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default" w:ascii="书宋-简" w:hAnsi="书宋-简" w:eastAsia="书宋-简" w:cs="书宋-简"/>
                <w:b/>
                <w:bCs/>
                <w:i w:val="0"/>
                <w:iCs w:val="0"/>
                <w:color w:val="auto"/>
                <w:sz w:val="24"/>
                <w:szCs w:val="24"/>
                <w:highlight w:val="none"/>
                <w:u w:val="none"/>
                <w:lang w:val="en-US"/>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十三、停车收费管理系统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书宋-简" w:hAnsi="书宋-简" w:eastAsia="书宋-简" w:cs="书宋-简"/>
                <w:b/>
                <w:bCs/>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高位相机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立杆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万向节支架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路侧停车智能终端管理盒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b/>
                <w:bCs/>
                <w:i w:val="0"/>
                <w:iCs w:val="0"/>
                <w:color w:val="auto"/>
                <w:sz w:val="24"/>
                <w:szCs w:val="24"/>
                <w:highlight w:val="none"/>
                <w:u w:val="none"/>
                <w:lang w:val="en-US" w:eastAsia="zh-CN" w:bidi="ar"/>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bCs/>
                <w:i w:val="0"/>
                <w:iCs w:val="0"/>
                <w:color w:val="auto"/>
                <w:sz w:val="24"/>
                <w:szCs w:val="24"/>
                <w:highlight w:val="none"/>
                <w:u w:val="none"/>
                <w:lang w:val="en-US" w:eastAsia="zh-CN" w:bidi="ar"/>
              </w:rPr>
              <w:t xml:space="preserve">十四、中心设备扩容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14.1视频云存储扩容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云存储节点1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管理服务器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汇聚交换机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管理交换机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应用服务器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接入服务器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图形工作站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云数据库一体机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14.2中心存储扩容（公路）</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云存储节点2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视频算法识别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事件检测智能服务器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视图智能引擎算法服务基础授权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14.3西二环交通局中心存储扩容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云存储节点2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视频算法识别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事件检测智能服务器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视图智能引擎算法服务基础授权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14.4 AI智能分析服务器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bCs/>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default"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default"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default"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default"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b w:val="0"/>
                <w:bCs w:val="0"/>
                <w:i w:val="0"/>
                <w:iCs w:val="0"/>
                <w:color w:val="auto"/>
                <w:sz w:val="24"/>
                <w:szCs w:val="24"/>
                <w:highlight w:val="none"/>
                <w:u w:val="none"/>
                <w:lang w:val="en-US" w:eastAsia="zh-CN" w:bidi="ar"/>
              </w:rPr>
              <w:t xml:space="preserve">AI智能分析服务器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14.5车辆二次分析设备扩容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bCs/>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应用服务节点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大数据存储节点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高性能GPU分析节点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视频准入设备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14.6虚拟化扩容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虚拟化节点（扩容）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虚拟化授权扩容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SA"/>
              </w:rPr>
              <w:t xml:space="preserve">超融合万兆接入交换机</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sz w:val="24"/>
                <w:szCs w:val="24"/>
                <w:highlight w:val="none"/>
                <w:u w:val="none"/>
                <w:lang w:val="en-US" w:eastAsia="zh-CN" w:bidi="ar"/>
              </w:rPr>
              <w:t xml:space="preserve">14.7数据平台软件扩容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全息监管平台（扩容）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SA"/>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lang w:val="en-US" w:eastAsia="zh-CN"/>
              </w:rPr>
              <w:suppressLineNumbers w:val="0"/>
            </w:pPr>
            <w:r>
              <w:rPr>
                <w:rFonts w:hint="eastAsia" w:ascii="书宋-简" w:hAnsi="书宋-简" w:eastAsia="书宋-简" w:cs="书宋-简"/>
                <w:b/>
                <w:bCs/>
                <w:i w:val="0"/>
                <w:iCs w:val="0"/>
                <w:color w:val="auto"/>
                <w:sz w:val="24"/>
                <w:szCs w:val="24"/>
                <w:highlight w:val="none"/>
                <w:u w:val="none"/>
                <w:lang w:val="en-US" w:eastAsia="zh-CN"/>
              </w:rPr>
              <w:t xml:space="preserve">十五、管道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水泥管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镀锌钢管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尼龙管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41250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手孔井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人孔井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开挖土方路面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16688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开挖人行道板</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拖拉管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接线箱（引下型）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接线箱（普通型）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桥架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3350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DN65</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PE25</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PVC管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953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200KVA箱变</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电缆直通井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电缆三通井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电缆转角井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电力电缆7</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635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两通道排管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605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580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十六、合杆杆件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LED单臂合杆路灯二</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LED单臂合杆路灯二</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LED单臂合杆路灯二</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LED单臂合杆路灯五</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LED单臂合杆路灯五</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LED单臂合杆路灯五</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LED单臂合杆路灯五</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LED双臂合杆路灯二</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LED双臂合杆路灯二</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LED双臂合杆路灯三</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LED双臂合杆路灯三</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LED双臂合杆路灯三</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LED双臂合杆路灯三</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（智能化单悬臂11米+3米）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（智能化单悬臂9米+3米）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（智能化单悬臂12米+3米）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LED合杆中杆灯一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LED合杆中杆灯一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（智能化单悬臂12米+3米）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LED合杆中杆灯一（附着）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LED单臂合杆路灯二（附着）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LED单臂合杆路灯五（附着）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LED双臂合杆路灯四（附着）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LED单臂合杆路灯二（交安单侧4.0mx2.5m标志牌）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LED双臂合杆路灯二（交安单侧φ1.2m×3标志牌）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LED双臂合杆路灯二（交安单侧4.0mx2.5m标志牌）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LED双臂合杆路灯四（交安单侧φ1.2m×3标志牌）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LED双臂合杆路灯四（交安单侧4.0mx2.5m标志牌）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路灯接地极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路灯基础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综合杆基础一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综合杆基础二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综合杆基础三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w:t>
            </w:r>
            <w:r>
              <w:rPr>
                <w:rFonts w:hint="eastAsia" w:ascii="书宋-简" w:hAnsi="书宋-简" w:eastAsia="书宋-简" w:cs="书宋-简"/>
                <w:i w:val="0"/>
                <w:iCs w:val="0"/>
                <w:color w:val="auto"/>
                <w:sz w:val="24"/>
                <w:szCs w:val="24"/>
                <w:highlight w:val="none"/>
                <w:u w:val="none"/>
                <w:lang w:val="en-US" w:eastAsia="zh-CN" w:bidi="ar"/>
              </w:rPr>
              <w:br/>
            </w:r>
            <w:r>
              <w:rPr>
                <w:rFonts w:hint="eastAsia" w:ascii="书宋-简" w:hAnsi="书宋-简" w:eastAsia="书宋-简" w:cs="书宋-简"/>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LED单臂合杆路灯一（附着）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129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LED单臂合杆路灯一（交安单侧3.2m×3.1m标志牌）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LED单臂合杆路灯一（交安双侧3.2m×3.1m标志牌）</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路灯接线盒</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283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高架双悬臂交安杆件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可变限速显示屏门架式立杆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高架上匝道门架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地面接地极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门架基础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地面双悬臂交安杆件</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地面双悬臂交安杆件基础</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地面单悬臂交安杆件1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地面单悬臂交安杆件2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地面单悬臂交安杆件3</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地面单悬臂交安杆件基础1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地面单悬臂交安杆件基础2</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货物类</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keepLines w:val="0"/>
              <w:keepNext w:val="0"/>
              <w:widowControl/>
              <w:rPr>
                <w:rFonts w:hint="eastAsia" w:ascii="书宋-简" w:hAnsi="书宋-简" w:eastAsia="书宋-简" w:cs="书宋-简"/>
                <w:b/>
                <w:bCs/>
                <w:i w:val="0"/>
                <w:iCs w:val="0"/>
                <w:color w:val="auto"/>
                <w:sz w:val="24"/>
                <w:szCs w:val="24"/>
                <w:highlight w:val="none"/>
                <w:u w:val="none"/>
              </w:rPr>
              <w:suppressLineNumbers w:val="0"/>
            </w:pPr>
            <w:r>
              <w:rPr>
                <w:rFonts w:hint="eastAsia" w:ascii="书宋-简" w:hAnsi="书宋-简" w:eastAsia="书宋-简" w:cs="书宋-简"/>
                <w:b/>
                <w:bCs/>
                <w:i w:val="0"/>
                <w:iCs w:val="0"/>
                <w:color w:val="auto"/>
                <w:sz w:val="24"/>
                <w:szCs w:val="24"/>
                <w:highlight w:val="none"/>
                <w:u w:val="none"/>
                <w:lang w:val="en-US" w:eastAsia="zh-CN" w:bidi="ar"/>
              </w:rPr>
              <w:t xml:space="preserve">十七、其他暂定费用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开挖补偿费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安装调试</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传输网络</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50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运维管理平台接入费用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679</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信控平台接入费用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视频监控平台接入费用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实战应用平台接入费用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交通违法处理平台接入费用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both"/>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全息高架平台接入费用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书宋-简" w:hAnsi="书宋-简" w:eastAsia="书宋-简" w:cs="书宋-简"/>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配件辅料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书宋-简" w:hAnsi="书宋-简" w:eastAsia="书宋-简" w:cs="书宋-简"/>
                <w:i w:val="0"/>
                <w:iCs w:val="0"/>
                <w:color w:val="auto"/>
                <w:sz w:val="24"/>
                <w:szCs w:val="24"/>
                <w:highlight w:val="none"/>
                <w:u w:val="none"/>
                <w:lang w:val="en-US" w:eastAsia="zh-CN" w:bidi="ar"/>
              </w:rPr>
              <w:t xml:space="preserve">服务类</w:t>
            </w:r>
            <w:r/>
          </w:p>
        </w:tc>
      </w:tr>
    </w:tbl>
    <w:p>
      <w:pPr>
        <w:pStyle w:val="972"/>
        <w:ind w:firstLine="500"/>
        <w:spacing w:line="440" w:lineRule="exact"/>
        <w:rPr>
          <w:rStyle w:val="948"/>
          <w:rFonts w:ascii="宋体" w:hAnsi="宋体"/>
          <w:color w:val="auto"/>
          <w:spacing w:val="7"/>
          <w:sz w:val="24"/>
          <w:szCs w:val="24"/>
          <w:highlight w:val="none"/>
        </w:rPr>
      </w:pPr>
      <w:r>
        <w:rPr>
          <w:rFonts w:ascii="宋体" w:hAnsi="宋体"/>
          <w:color w:val="auto"/>
          <w:spacing w:val="7"/>
          <w:sz w:val="24"/>
          <w:szCs w:val="24"/>
          <w:highlight w:val="none"/>
        </w:rPr>
      </w:r>
      <w:r/>
    </w:p>
    <w:p>
      <w:pPr>
        <w:pStyle w:val="972"/>
        <w:ind w:firstLine="500"/>
        <w:spacing w:line="440" w:lineRule="exact"/>
        <w:rPr>
          <w:rStyle w:val="948"/>
          <w:rFonts w:ascii="宋体" w:hAnsi="宋体"/>
          <w:color w:val="auto"/>
          <w:spacing w:val="7"/>
          <w:sz w:val="24"/>
          <w:szCs w:val="24"/>
          <w:highlight w:val="none"/>
        </w:rPr>
      </w:pPr>
      <w:r>
        <w:rPr>
          <w:rFonts w:ascii="宋体" w:hAnsi="宋体"/>
          <w:color w:val="auto"/>
          <w:spacing w:val="7"/>
          <w:sz w:val="24"/>
          <w:szCs w:val="24"/>
          <w:highlight w:val="none"/>
        </w:rPr>
      </w:r>
      <w:r/>
    </w:p>
    <w:p>
      <w:pPr>
        <w:pStyle w:val="972"/>
        <w:ind w:firstLine="500"/>
        <w:spacing w:line="440" w:lineRule="exact"/>
        <w:rPr>
          <w:rStyle w:val="948"/>
          <w:rFonts w:ascii="宋体" w:hAnsi="宋体"/>
          <w:color w:val="auto"/>
          <w:spacing w:val="7"/>
          <w:sz w:val="24"/>
          <w:szCs w:val="24"/>
          <w:highlight w:val="none"/>
        </w:rPr>
      </w:pPr>
      <w:r>
        <w:rPr>
          <w:rStyle w:val="948"/>
          <w:rFonts w:ascii="宋体" w:hAnsi="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70"/>
        <w:numPr>
          <w:ilvl w:val="0"/>
          <w:numId w:val="2"/>
        </w:numPr>
        <w:ind w:firstLine="499"/>
        <w:spacing w:before="120" w:line="440" w:lineRule="exact"/>
        <w:rPr>
          <w:rStyle w:val="948"/>
          <w:rFonts w:ascii="宋体" w:hAnsi="宋体"/>
          <w:b/>
          <w:bCs/>
          <w:color w:val="auto"/>
          <w:spacing w:val="7"/>
          <w:sz w:val="24"/>
          <w:szCs w:val="24"/>
          <w:highlight w:val="none"/>
        </w:rPr>
      </w:pPr>
      <w:r>
        <w:rPr>
          <w:rStyle w:val="948"/>
          <w:rFonts w:ascii="宋体" w:hAnsi="宋体"/>
          <w:b/>
          <w:bCs/>
          <w:color w:val="auto"/>
          <w:spacing w:val="7"/>
          <w:sz w:val="24"/>
          <w:szCs w:val="24"/>
          <w:highlight w:val="none"/>
        </w:rPr>
        <w:t xml:space="preserve">核心产品清单</w:t>
      </w:r>
      <w:r/>
    </w:p>
    <w:tbl>
      <w:tblPr>
        <w:tblStyle w:val="761"/>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971"/>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top"/>
            <w:textDirection w:val="lrTb"/>
            <w:noWrap w:val="false"/>
          </w:tcPr>
          <w:p>
            <w:pPr>
              <w:pStyle w:val="971"/>
              <w:jc w:val="center"/>
              <w:rPr>
                <w:rFonts w:hint="default" w:ascii="宋体" w:hAnsi="宋体" w:eastAsia="宋体" w:cs="宋体"/>
                <w:color w:val="auto"/>
                <w:sz w:val="24"/>
                <w:szCs w:val="24"/>
                <w:highlight w:val="none"/>
                <w:lang w:val="en-US" w:eastAsia="zh-CN" w:bidi="ar"/>
              </w:rPr>
            </w:pPr>
            <w:r>
              <w:rPr>
                <w:rFonts w:hint="eastAsia" w:eastAsia="宋体"/>
                <w:highlight w:val="none"/>
                <w:lang w:val="en-US" w:eastAsia="zh-CN"/>
              </w:rPr>
              <w:t xml:space="preserve">微光高清抓拍单元1（尾牌）</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971"/>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84" w:type="dxa"/>
            <w:vAlign w:val="top"/>
            <w:textDirection w:val="lrTb"/>
            <w:noWrap w:val="false"/>
          </w:tcPr>
          <w:p>
            <w:pPr>
              <w:pStyle w:val="971"/>
              <w:jc w:val="center"/>
              <w:rPr>
                <w:rFonts w:hint="eastAsia" w:ascii="宋体" w:hAnsi="宋体" w:eastAsia="宋体" w:cs="宋体"/>
                <w:color w:val="auto"/>
                <w:sz w:val="24"/>
                <w:szCs w:val="24"/>
                <w:highlight w:val="none"/>
                <w:lang w:bidi="ar"/>
              </w:rPr>
            </w:pPr>
            <w:r>
              <w:rPr>
                <w:rFonts w:hint="eastAsia" w:eastAsia="宋体"/>
                <w:highlight w:val="none"/>
                <w:lang w:val="en-US" w:eastAsia="zh-CN"/>
              </w:rPr>
              <w:t xml:space="preserve">雷视一体化微波检测器</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971"/>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584" w:type="dxa"/>
            <w:vAlign w:val="top"/>
            <w:textDirection w:val="lrTb"/>
            <w:noWrap w:val="false"/>
          </w:tcPr>
          <w:p>
            <w:pPr>
              <w:pStyle w:val="971"/>
              <w:jc w:val="center"/>
              <w:rPr>
                <w:rFonts w:hint="eastAsia" w:ascii="宋体" w:hAnsi="宋体" w:eastAsia="宋体" w:cs="宋体"/>
                <w:color w:val="auto"/>
                <w:sz w:val="24"/>
                <w:szCs w:val="24"/>
                <w:highlight w:val="none"/>
                <w:lang w:bidi="ar"/>
              </w:rPr>
            </w:pPr>
            <w:r>
              <w:rPr>
                <w:rFonts w:hint="eastAsia" w:eastAsia="宋体"/>
                <w:highlight w:val="none"/>
                <w:lang w:val="en-US" w:eastAsia="zh-CN"/>
              </w:rPr>
              <w:t xml:space="preserve">机动车圆盘信号灯</w:t>
            </w:r>
            <w:r/>
          </w:p>
        </w:tc>
      </w:tr>
    </w:tbl>
    <w:p>
      <w:pPr>
        <w:pStyle w:val="976"/>
        <w:jc w:val="center"/>
        <w:rPr>
          <w:rStyle w:val="760"/>
          <w:rFonts w:ascii="宋体" w:hAnsi="宋体" w:eastAsia="宋体" w:cs="宋体"/>
          <w:color w:val="auto"/>
          <w:sz w:val="24"/>
          <w:highlight w:val="none"/>
        </w:rPr>
      </w:pPr>
      <w:r>
        <w:rPr>
          <w:rFonts w:ascii="宋体" w:hAnsi="宋体" w:eastAsia="宋体" w:cs="宋体"/>
          <w:color w:val="auto"/>
          <w:sz w:val="24"/>
          <w:highlight w:val="none"/>
        </w:rPr>
      </w:r>
      <w:r/>
    </w:p>
    <w:p>
      <w:pPr>
        <w:pStyle w:val="970"/>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73"/>
        <w:ind w:firstLine="500"/>
        <w:spacing w:line="440" w:lineRule="exact"/>
        <w:rPr>
          <w:rStyle w:val="948"/>
          <w:rFonts w:hint="eastAsia"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70"/>
        <w:ind w:firstLine="499"/>
        <w:spacing w:before="120" w:line="440" w:lineRule="exact"/>
        <w:rPr>
          <w:rStyle w:val="948"/>
          <w:rFonts w:ascii="宋体" w:hAnsi="宋体"/>
          <w:b/>
          <w:bCs/>
          <w:color w:val="auto"/>
          <w:spacing w:val="7"/>
          <w:sz w:val="24"/>
          <w:szCs w:val="24"/>
          <w:highlight w:val="none"/>
        </w:rPr>
      </w:pPr>
      <w:r>
        <w:rPr>
          <w:rStyle w:val="948"/>
          <w:rFonts w:ascii="宋体" w:hAnsi="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76"/>
        <w:ind w:firstLine="508"/>
        <w:keepLines w:val="0"/>
        <w:keepNext w:val="0"/>
        <w:pageBreakBefore w:val="0"/>
        <w:widowControl/>
        <w:rPr>
          <w:rStyle w:val="948"/>
          <w:rFonts w:ascii="宋体" w:hAnsi="宋体"/>
          <w:color w:val="auto"/>
          <w:spacing w:val="7"/>
          <w:sz w:val="24"/>
          <w:szCs w:val="24"/>
          <w:highlight w:val="none"/>
        </w:rPr>
      </w:pPr>
      <w:r>
        <w:rPr>
          <w:rStyle w:val="948"/>
          <w:rFonts w:ascii="宋体" w:hAnsi="宋体"/>
          <w:color w:val="auto"/>
          <w:spacing w:val="7"/>
          <w:sz w:val="24"/>
          <w:szCs w:val="24"/>
          <w:highlight w:val="none"/>
        </w:rPr>
        <w:t xml:space="preserve">节能产品政府采购品目清单：</w:t>
      </w:r>
      <w:r/>
    </w:p>
    <w:p>
      <w:pPr>
        <w:pStyle w:val="973"/>
        <w:ind w:firstLine="508"/>
        <w:keepLines w:val="0"/>
        <w:keepNext w:val="0"/>
        <w:pageBreakBefore w:val="0"/>
        <w:spacing w:line="440" w:lineRule="exact"/>
        <w:widowControl/>
        <w:rPr>
          <w:rStyle w:val="948"/>
          <w:rFonts w:ascii="宋体" w:hAnsi="宋体"/>
          <w:color w:val="auto"/>
          <w:spacing w:val="7"/>
          <w:sz w:val="24"/>
          <w:szCs w:val="24"/>
          <w:highlight w:val="none"/>
        </w:rPr>
      </w:pPr>
      <w:r>
        <w:rPr>
          <w:rStyle w:val="948"/>
          <w:rFonts w:hint="eastAsia" w:ascii="宋体" w:hAnsi="宋体"/>
          <w:color w:val="auto"/>
          <w:spacing w:val="7"/>
          <w:sz w:val="24"/>
          <w:szCs w:val="24"/>
          <w:highlight w:val="none"/>
        </w:rPr>
        <w:t xml:space="preserve">无</w:t>
      </w:r>
      <w:r/>
    </w:p>
    <w:p>
      <w:pPr>
        <w:pStyle w:val="973"/>
        <w:ind w:firstLine="500"/>
        <w:spacing w:line="440" w:lineRule="exact"/>
        <w:rPr>
          <w:rStyle w:val="948"/>
          <w:rFonts w:ascii="宋体" w:hAnsi="宋体"/>
          <w:color w:val="auto"/>
          <w:spacing w:val="7"/>
          <w:sz w:val="24"/>
          <w:szCs w:val="24"/>
          <w:highlight w:val="none"/>
        </w:rPr>
      </w:pPr>
      <w:r>
        <w:rPr>
          <w:rStyle w:val="948"/>
          <w:rFonts w:ascii="宋体" w:hAnsi="宋体"/>
          <w:color w:val="auto"/>
          <w:spacing w:val="7"/>
          <w:sz w:val="24"/>
          <w:szCs w:val="24"/>
          <w:highlight w:val="none"/>
        </w:rPr>
        <w:t xml:space="preserve"> </w:t>
      </w:r>
      <w:r>
        <w:rPr>
          <w:rStyle w:val="948"/>
          <w:rFonts w:hint="eastAsia" w:ascii="宋体" w:hAnsi="宋体"/>
          <w:color w:val="auto"/>
          <w:spacing w:val="7"/>
          <w:sz w:val="24"/>
          <w:szCs w:val="24"/>
          <w:highlight w:val="none"/>
          <w:lang w:val="zh-CN"/>
        </w:rPr>
        <w:t xml:space="preserve">注：以</w:t>
      </w:r>
      <w:r>
        <w:rPr>
          <w:rStyle w:val="948"/>
          <w:rFonts w:hint="eastAsia" w:ascii="宋体" w:hAnsi="宋体"/>
          <w:color w:val="auto"/>
          <w:spacing w:val="7"/>
          <w:sz w:val="24"/>
          <w:szCs w:val="24"/>
          <w:highlight w:val="none"/>
        </w:rPr>
        <w:t xml:space="preserve">★</w:t>
      </w:r>
      <w:r>
        <w:rPr>
          <w:rStyle w:val="948"/>
          <w:rFonts w:hint="eastAsia" w:ascii="宋体" w:hAnsi="宋体"/>
          <w:color w:val="auto"/>
          <w:spacing w:val="7"/>
          <w:sz w:val="24"/>
          <w:szCs w:val="24"/>
          <w:highlight w:val="none"/>
          <w:lang w:val="zh-CN"/>
        </w:rPr>
        <w:t xml:space="preserve">标注的为政府强制采购产品</w:t>
      </w:r>
      <w:r/>
    </w:p>
    <w:p>
      <w:pPr>
        <w:pStyle w:val="973"/>
        <w:ind w:firstLine="500"/>
        <w:spacing w:line="440" w:lineRule="exact"/>
        <w:rPr>
          <w:rStyle w:val="948"/>
          <w:rFonts w:ascii="宋体" w:hAnsi="宋体"/>
          <w:color w:val="auto"/>
          <w:spacing w:val="7"/>
          <w:sz w:val="24"/>
          <w:szCs w:val="24"/>
          <w:highlight w:val="none"/>
        </w:rPr>
      </w:pPr>
      <w:r>
        <w:rPr>
          <w:rStyle w:val="948"/>
          <w:rFonts w:ascii="宋体" w:hAnsi="宋体"/>
          <w:color w:val="auto"/>
          <w:spacing w:val="7"/>
          <w:sz w:val="24"/>
          <w:szCs w:val="24"/>
          <w:highlight w:val="none"/>
        </w:rPr>
        <w:t xml:space="preserve">凡“节能产品政府采购品目清单”中以★标注的为政府强制采购产品</w:t>
      </w:r>
      <w:r/>
    </w:p>
    <w:p>
      <w:pPr>
        <w:pStyle w:val="976"/>
        <w:ind w:firstLine="508"/>
        <w:rPr>
          <w:rStyle w:val="948"/>
          <w:rFonts w:ascii="宋体" w:hAnsi="宋体"/>
          <w:color w:val="auto"/>
          <w:spacing w:val="7"/>
          <w:sz w:val="24"/>
          <w:szCs w:val="24"/>
          <w:highlight w:val="none"/>
        </w:rPr>
      </w:pPr>
      <w:r>
        <w:rPr>
          <w:rStyle w:val="948"/>
          <w:rFonts w:ascii="宋体" w:hAnsi="宋体"/>
          <w:color w:val="auto"/>
          <w:spacing w:val="7"/>
          <w:sz w:val="24"/>
          <w:szCs w:val="24"/>
          <w:highlight w:val="none"/>
        </w:rPr>
        <w:t xml:space="preserve">环境标志产品政府采购品目清单:</w:t>
      </w:r>
      <w:r/>
    </w:p>
    <w:tbl>
      <w:tblPr>
        <w:tblStyle w:val="761"/>
        <w:tblpPr w:horzAnchor="page" w:tblpX="2411" w:vertAnchor="text" w:tblpY="577"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1</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eastAsia="宋体"/>
                <w:highlight w:val="none"/>
                <w:lang w:val="en-US" w:eastAsia="zh-CN"/>
              </w:rPr>
              <w:t xml:space="preserve">管理服务器</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2</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eastAsia="宋体"/>
                <w:highlight w:val="none"/>
                <w:lang w:val="en-US" w:eastAsia="zh-CN"/>
              </w:rPr>
              <w:t xml:space="preserve">数据库服务器</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3</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eastAsia="宋体"/>
                <w:highlight w:val="none"/>
                <w:lang w:val="en-US" w:eastAsia="zh-CN"/>
              </w:rPr>
              <w:t xml:space="preserve">应用服务器</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4</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eastAsia="宋体"/>
                <w:highlight w:val="none"/>
                <w:lang w:val="en-US" w:eastAsia="zh-CN"/>
              </w:rPr>
              <w:t xml:space="preserve">接入服务器</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5</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eastAsia="宋体"/>
                <w:highlight w:val="none"/>
                <w:lang w:val="en-US" w:eastAsia="zh-CN"/>
              </w:rPr>
              <w:t xml:space="preserve">事件检测智能服务器</w:t>
            </w:r>
            <w:r/>
          </w:p>
        </w:tc>
      </w:tr>
      <w:tr>
        <w:trPr/>
        <w:tc>
          <w:tcPr>
            <w:tcMar>
              <w:top w:w="100" w:type="dxa"/>
              <w:bottom w:w="100" w:type="dxa"/>
            </w:tcMar>
            <w:tcW w:w="1231" w:type="dxa"/>
            <w:vAlign w:val="top"/>
            <w:textDirection w:val="lrTb"/>
            <w:noWrap w:val="false"/>
          </w:tcPr>
          <w:p>
            <w:pPr>
              <w:pStyle w:val="971"/>
              <w:jc w:val="center"/>
              <w:rPr>
                <w:rFonts w:hint="eastAsia" w:ascii="宋体" w:hAnsi="宋体" w:eastAsia="宋体" w:cs="Times New Roman"/>
                <w:color w:val="auto"/>
                <w:sz w:val="24"/>
                <w:szCs w:val="24"/>
                <w:lang w:val="en-US" w:eastAsia="zh-CN" w:bidi="ar-SA"/>
              </w:rPr>
            </w:pPr>
            <w:r>
              <w:rPr>
                <w:rFonts w:hint="eastAsia" w:eastAsia="宋体"/>
                <w:highlight w:val="none"/>
                <w:lang w:val="en-US" w:eastAsia="zh-CN"/>
              </w:rPr>
              <w:t xml:space="preserve">6</w:t>
            </w:r>
            <w:r/>
          </w:p>
        </w:tc>
        <w:tc>
          <w:tcPr>
            <w:tcMar>
              <w:top w:w="100" w:type="dxa"/>
              <w:bottom w:w="100" w:type="dxa"/>
            </w:tcMar>
            <w:tcW w:w="7095" w:type="dxa"/>
            <w:vAlign w:val="top"/>
            <w:textDirection w:val="lrTb"/>
            <w:noWrap w:val="false"/>
          </w:tcPr>
          <w:p>
            <w:pPr>
              <w:pStyle w:val="971"/>
              <w:jc w:val="center"/>
              <w:rPr>
                <w:rFonts w:hint="default" w:ascii="宋体" w:hAnsi="宋体" w:eastAsia="宋体" w:cs="Times New Roman"/>
                <w:color w:val="auto"/>
                <w:sz w:val="22"/>
                <w:szCs w:val="24"/>
                <w:lang w:val="en-US" w:eastAsia="zh-CN" w:bidi="ar"/>
              </w:rPr>
            </w:pPr>
            <w:r>
              <w:rPr>
                <w:rFonts w:hint="eastAsia" w:ascii="Times New Roman" w:hAnsi="Times New Roman" w:eastAsia="宋体" w:cs="Times New Roman"/>
                <w:iCs/>
                <w:highlight w:val="none"/>
                <w:lang w:val="en-US" w:eastAsia="zh-CN"/>
              </w:rPr>
              <w:t xml:space="preserve">AI智能分析服务器</w:t>
            </w:r>
            <w:r>
              <w:rPr>
                <w:rFonts w:hint="eastAsia" w:eastAsia="宋体"/>
                <w:highlight w:val="none"/>
                <w:lang w:val="en-US" w:eastAsia="zh-CN"/>
              </w:rPr>
              <w:t xml:space="preserve">智能服务器</w:t>
            </w:r>
            <w:r/>
          </w:p>
        </w:tc>
      </w:tr>
      <w:tr>
        <w:trPr/>
        <w:tc>
          <w:tcPr>
            <w:tcMar>
              <w:top w:w="100" w:type="dxa"/>
              <w:bottom w:w="100" w:type="dxa"/>
            </w:tcMar>
            <w:tcW w:w="1231" w:type="dxa"/>
            <w:vAlign w:val="top"/>
            <w:textDirection w:val="lrTb"/>
            <w:noWrap w:val="false"/>
          </w:tcPr>
          <w:p>
            <w:pPr>
              <w:pStyle w:val="971"/>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 xml:space="preserve">7</w:t>
            </w:r>
            <w:r/>
          </w:p>
        </w:tc>
        <w:tc>
          <w:tcPr>
            <w:tcMar>
              <w:top w:w="100" w:type="dxa"/>
              <w:bottom w:w="100" w:type="dxa"/>
            </w:tcMar>
            <w:tcW w:w="7095" w:type="dxa"/>
            <w:vAlign w:val="top"/>
            <w:textDirection w:val="lrTb"/>
            <w:noWrap w:val="false"/>
          </w:tcPr>
          <w:p>
            <w:pPr>
              <w:pStyle w:val="971"/>
              <w:jc w:val="center"/>
              <w:rPr>
                <w:rFonts w:hint="eastAsia" w:ascii="宋体" w:hAnsi="宋体" w:cs="宋体"/>
                <w:sz w:val="24"/>
                <w:szCs w:val="24"/>
              </w:rPr>
            </w:pPr>
            <w:r>
              <w:rPr>
                <w:rFonts w:hint="eastAsia" w:ascii="Times New Roman" w:hAnsi="Times New Roman" w:eastAsia="宋体" w:cs="Times New Roman"/>
                <w:highlight w:val="none"/>
                <w:lang w:eastAsia="zh-CN"/>
              </w:rPr>
              <w:t xml:space="preserve">气象数据接收处理配套</w:t>
            </w:r>
            <w:r>
              <w:rPr>
                <w:rFonts w:hint="eastAsia" w:eastAsia="宋体" w:cs="Times New Roman"/>
                <w:highlight w:val="none"/>
                <w:lang w:eastAsia="zh-CN"/>
              </w:rPr>
              <w:t xml:space="preserve">服务器</w:t>
            </w:r>
            <w:r/>
          </w:p>
        </w:tc>
      </w:tr>
    </w:tbl>
    <w:p>
      <w:pPr>
        <w:pStyle w:val="975"/>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r>
      <w:r/>
    </w:p>
    <w:p>
      <w:pPr>
        <w:pStyle w:val="975"/>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r/>
    </w:p>
    <w:p>
      <w:pPr>
        <w:pStyle w:val="975"/>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75"/>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72"/>
        <w:ind w:firstLine="500"/>
        <w:spacing w:line="440" w:lineRule="exact"/>
        <w:rPr>
          <w:rStyle w:val="948"/>
          <w:rFonts w:hint="eastAsia" w:ascii="宋体" w:hAnsi="宋体"/>
          <w:b/>
          <w:bCs/>
          <w:spacing w:val="7"/>
          <w:sz w:val="24"/>
          <w:szCs w:val="24"/>
          <w:highlight w:val="none"/>
        </w:rPr>
      </w:pPr>
      <w:r/>
      <w:bookmarkStart w:id="170" w:name="OLE_LINK22"/>
      <w:r>
        <w:rPr>
          <w:rStyle w:val="948"/>
          <w:rFonts w:hint="eastAsia" w:ascii="宋体" w:hAnsi="宋体"/>
          <w:b/>
          <w:bCs/>
          <w:spacing w:val="7"/>
          <w:sz w:val="24"/>
          <w:szCs w:val="24"/>
          <w:highlight w:val="none"/>
          <w:lang w:val="en-US"/>
        </w:rPr>
        <w:t xml:space="preserve">5、</w:t>
      </w:r>
      <w:r>
        <w:rPr>
          <w:rStyle w:val="948"/>
          <w:rFonts w:hint="eastAsia" w:ascii="宋体" w:hAnsi="宋体"/>
          <w:b/>
          <w:bCs/>
          <w:spacing w:val="7"/>
          <w:sz w:val="24"/>
          <w:szCs w:val="24"/>
          <w:highlight w:val="none"/>
        </w:rPr>
        <w:t xml:space="preserve">政府采购中实施本国产品标准及相关政策</w:t>
      </w:r>
      <w:r/>
    </w:p>
    <w:p>
      <w:pPr>
        <w:pStyle w:val="972"/>
        <w:ind w:firstLine="500"/>
        <w:spacing w:line="440" w:lineRule="exact"/>
        <w:rPr>
          <w:rStyle w:val="948"/>
          <w:rFonts w:hint="eastAsia" w:ascii="宋体" w:hAnsi="宋体"/>
          <w:spacing w:val="7"/>
          <w:sz w:val="24"/>
          <w:szCs w:val="24"/>
          <w:highlight w:val="none"/>
        </w:rPr>
      </w:pPr>
      <w:r>
        <w:rPr>
          <w:rStyle w:val="948"/>
          <w:rFonts w:hint="eastAsia" w:ascii="宋体" w:hAnsi="宋体"/>
          <w:spacing w:val="7"/>
          <w:sz w:val="24"/>
          <w:szCs w:val="24"/>
          <w:highlight w:val="none"/>
        </w:rPr>
        <w:t xml:space="preserve">（</w:t>
      </w:r>
      <w:r>
        <w:rPr>
          <w:rStyle w:val="948"/>
          <w:rFonts w:hint="eastAsia" w:ascii="宋体" w:hAnsi="宋体"/>
          <w:spacing w:val="7"/>
          <w:sz w:val="24"/>
          <w:szCs w:val="24"/>
          <w:highlight w:val="none"/>
          <w:lang w:val="en-US"/>
        </w:rPr>
        <w:t xml:space="preserve">1</w:t>
      </w:r>
      <w:r>
        <w:rPr>
          <w:rStyle w:val="948"/>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2"/>
        <w:ind w:firstLine="500"/>
        <w:spacing w:line="440" w:lineRule="exact"/>
        <w:rPr>
          <w:rFonts w:hint="eastAsia" w:ascii="宋体" w:hAnsi="宋体" w:eastAsia="宋体"/>
          <w:color w:val="auto"/>
          <w:spacing w:val="7"/>
          <w:szCs w:val="22"/>
          <w:highlight w:val="none"/>
          <w:lang w:eastAsia="zh-CN"/>
        </w:rPr>
      </w:pPr>
      <w:r>
        <w:rPr>
          <w:rStyle w:val="948"/>
          <w:rFonts w:hint="eastAsia" w:ascii="宋体" w:hAnsi="宋体"/>
          <w:spacing w:val="7"/>
          <w:sz w:val="24"/>
          <w:szCs w:val="24"/>
          <w:highlight w:val="none"/>
        </w:rPr>
        <w:t xml:space="preserve">（</w:t>
      </w:r>
      <w:r>
        <w:rPr>
          <w:rStyle w:val="948"/>
          <w:rFonts w:hint="eastAsia" w:ascii="宋体" w:hAnsi="宋体"/>
          <w:spacing w:val="7"/>
          <w:sz w:val="24"/>
          <w:szCs w:val="24"/>
          <w:highlight w:val="none"/>
          <w:lang w:val="en-US"/>
        </w:rPr>
        <w:t xml:space="preserve">2</w:t>
      </w:r>
      <w:r>
        <w:rPr>
          <w:rStyle w:val="948"/>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48"/>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color w:val="auto"/>
          <w:spacing w:val="7"/>
          <w:sz w:val="24"/>
          <w:szCs w:val="24"/>
          <w:highlight w:val="none"/>
          <w:lang w:eastAsia="zh-CN"/>
        </w:rPr>
      </w:pPr>
      <w:r>
        <w:rPr>
          <w:rFonts w:hint="eastAsia"/>
          <w:b w:val="0"/>
          <w:bCs w:val="0"/>
          <w:color w:val="auto"/>
          <w:spacing w:val="7"/>
          <w:sz w:val="24"/>
          <w:szCs w:val="24"/>
          <w:highlight w:val="none"/>
          <w:lang w:val="en-US" w:eastAsia="zh-CN"/>
        </w:rPr>
        <w:t xml:space="preserve">1.</w:t>
      </w:r>
      <w:r>
        <w:rPr>
          <w:rFonts w:hint="eastAsia"/>
          <w:b w:val="0"/>
          <w:bCs w:val="0"/>
          <w:color w:val="auto"/>
          <w:spacing w:val="7"/>
          <w:sz w:val="24"/>
          <w:szCs w:val="24"/>
          <w:highlight w:val="none"/>
          <w:lang w:eastAsia="zh-CN"/>
        </w:rPr>
        <w:t xml:space="preserve">在项目实施过程中，涉及到与第三方系统对接的，由采购单位负责与第三方系统主管单位、第三方系统供应商沟通协调，确保第三方系统接口开放。</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val="en-US" w:eastAsia="zh-CN"/>
        </w:rPr>
        <w:t xml:space="preserve">2.</w:t>
      </w:r>
      <w:r>
        <w:rPr>
          <w:rFonts w:hint="eastAsia"/>
          <w:b w:val="0"/>
          <w:bCs w:val="0"/>
          <w:spacing w:val="7"/>
          <w:sz w:val="24"/>
          <w:szCs w:val="24"/>
          <w:highlight w:val="none"/>
          <w:lang w:eastAsia="zh-CN"/>
        </w:rPr>
        <w:t xml:space="preserve">项目需求中涉及到的各项标准如有最新标准按最新标准执行。</w:t>
      </w:r>
      <w:bookmarkEnd w:id="170"/>
      <w:r/>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spacing w:before="120" w:after="120" w:line="440" w:lineRule="exact"/>
        <w:rPr>
          <w:rFonts w:hint="default" w:ascii="Times New Roman" w:hAnsi="Times New Roman" w:eastAsia="宋体" w:cs="Times New Roman"/>
          <w:b/>
          <w:sz w:val="28"/>
          <w:szCs w:val="28"/>
          <w:highlight w:val="none"/>
        </w:rPr>
      </w:pPr>
      <w:r>
        <w:rPr>
          <w:rFonts w:hint="eastAsia" w:ascii="宋体" w:hAnsi="宋体" w:eastAsia="宋体"/>
          <w:b/>
          <w:color w:val="auto"/>
          <w:sz w:val="28"/>
          <w:szCs w:val="28"/>
          <w:highlight w:val="none"/>
          <w:lang w:eastAsia="zh-CN"/>
        </w:rPr>
        <w:t xml:space="preserve">二、</w:t>
      </w:r>
      <w:r>
        <w:rPr>
          <w:rFonts w:hint="eastAsia" w:ascii="宋体" w:hAnsi="宋体" w:eastAsia="宋体"/>
          <w:b/>
          <w:color w:val="auto"/>
          <w:sz w:val="28"/>
          <w:szCs w:val="28"/>
          <w:highlight w:val="none"/>
        </w:rPr>
        <w:t xml:space="preserve">技术要求</w:t>
      </w:r>
      <w:r/>
    </w:p>
    <w:tbl>
      <w:tblPr>
        <w:tblStyle w:val="761"/>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36"/>
        <w:gridCol w:w="360"/>
        <w:gridCol w:w="8275"/>
      </w:tblGrid>
      <w:tr>
        <w:trPr/>
        <w:tc>
          <w:tcPr>
            <w:tcMar>
              <w:left w:w="108" w:type="dxa"/>
              <w:top w:w="100" w:type="dxa"/>
              <w:right w:w="108" w:type="dxa"/>
              <w:bottom w:w="100" w:type="dxa"/>
            </w:tcMar>
            <w:tcW w:w="936"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bookmarkStart w:id="171" w:name="_Hlk160095828"/>
            <w:r>
              <w:rPr>
                <w:rFonts w:ascii="Times New Roman" w:hAnsi="Times New Roman" w:eastAsia="宋体" w:cs="Times New Roman"/>
                <w:color w:val="auto"/>
                <w:sz w:val="24"/>
                <w:szCs w:val="24"/>
                <w:highlight w:val="none"/>
                <w:lang w:val="en-US" w:eastAsia="zh-CN" w:bidi="ar-SA"/>
              </w:rPr>
              <w:t xml:space="preserve">序号</w:t>
            </w:r>
            <w:r/>
          </w:p>
        </w:tc>
        <w:tc>
          <w:tcPr>
            <w:tcMar>
              <w:left w:w="108" w:type="dxa"/>
              <w:top w:w="100" w:type="dxa"/>
              <w:right w:w="108" w:type="dxa"/>
              <w:bottom w:w="100" w:type="dxa"/>
            </w:tcMar>
            <w:tcW w:w="360"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名称</w:t>
            </w:r>
            <w:r/>
          </w:p>
        </w:tc>
        <w:tc>
          <w:tcPr>
            <w:tcMar>
              <w:left w:w="108" w:type="dxa"/>
              <w:top w:w="100" w:type="dxa"/>
              <w:right w:w="108" w:type="dxa"/>
              <w:bottom w:w="100" w:type="dxa"/>
            </w:tcMar>
            <w:tcW w:w="8275"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内容</w:t>
            </w:r>
            <w:r/>
          </w:p>
        </w:tc>
      </w:tr>
      <w:tr>
        <w:trPr/>
        <w:tc>
          <w:tcPr>
            <w:tcMar>
              <w:left w:w="108" w:type="dxa"/>
              <w:top w:w="100" w:type="dxa"/>
              <w:right w:w="108" w:type="dxa"/>
              <w:bottom w:w="100" w:type="dxa"/>
            </w:tcMar>
            <w:tcW w:w="936"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p>
        </w:tc>
        <w:tc>
          <w:tcPr>
            <w:tcMar>
              <w:left w:w="108" w:type="dxa"/>
              <w:top w:w="100" w:type="dxa"/>
              <w:right w:w="108" w:type="dxa"/>
              <w:bottom w:w="100" w:type="dxa"/>
            </w:tcMar>
            <w:tcW w:w="360"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项目背景</w:t>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eastAsia" w:ascii="Times New Roman" w:hAnsi="Times New Roman" w:eastAsia="宋体" w:cs="Times New Roman"/>
                <w:bCs/>
                <w:i w:val="0"/>
                <w:iCs w:val="0"/>
                <w:color w:val="auto"/>
                <w:sz w:val="24"/>
                <w:highlight w:val="none"/>
                <w:u w:val="none"/>
                <w:lang w:val="en-US" w:eastAsia="zh-CN"/>
              </w:rPr>
              <w:t xml:space="preserve">西二环--杨新公路快速化改造工程，位于张家港城西、城北片区，是张家港市“五纵四横”快速路网布局的重要组成部分。西二环--杨新公路快速化改造工程起点位于长安南路，对既有老路采用高架形式进行快速化改造，主线高架跨越老张扬公路落地后，以隧道形式下穿南沿江铁路与晨丰公路，止于晨阳路，路线全场约8.737km。沿线设置6对上下匝道、2对地面出入口，与张扬公路交叉设全互通枢纽，并同时改造张扬公路（港城大道--疏港高速段）约4.222km。</w:t>
            </w:r>
            <w:r/>
          </w:p>
        </w:tc>
      </w:tr>
      <w:tr>
        <w:trPr/>
        <w:tc>
          <w:tcPr>
            <w:tcMar>
              <w:left w:w="108" w:type="dxa"/>
              <w:top w:w="100" w:type="dxa"/>
              <w:right w:w="108" w:type="dxa"/>
              <w:bottom w:w="100" w:type="dxa"/>
            </w:tcMar>
            <w:tcW w:w="936"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p>
        </w:tc>
        <w:tc>
          <w:tcPr>
            <w:tcMar>
              <w:left w:w="108" w:type="dxa"/>
              <w:top w:w="100" w:type="dxa"/>
              <w:right w:w="108" w:type="dxa"/>
              <w:bottom w:w="100" w:type="dxa"/>
            </w:tcMar>
            <w:tcW w:w="360" w:type="dxa"/>
            <w:vAlign w:val="center"/>
            <w:textDirection w:val="lrTb"/>
            <w:noWrap w:val="false"/>
          </w:tcPr>
          <w:p>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建设内容</w:t>
            </w:r>
            <w:r/>
          </w:p>
        </w:tc>
        <w:tc>
          <w:tcPr>
            <w:tcMar>
              <w:left w:w="108" w:type="dxa"/>
              <w:top w:w="100" w:type="dxa"/>
              <w:right w:w="108" w:type="dxa"/>
              <w:bottom w:w="100" w:type="dxa"/>
            </w:tcMar>
            <w:tcW w:w="8275" w:type="dxa"/>
            <w:vAlign w:val="center"/>
            <w:textDirection w:val="lrTb"/>
            <w:noWrap w:val="false"/>
          </w:tcPr>
          <w:p>
            <w:pPr>
              <w:ind w:firstLine="0"/>
              <w:jc w:val="left"/>
              <w:spacing w:before="156" w:line="360" w:lineRule="auto"/>
              <w:widowControl w:val="off"/>
              <w:rPr>
                <w:rFonts w:ascii="Times New Roman" w:hAnsi="Times New Roman" w:eastAsia="宋体" w:cs="Times New Roman"/>
                <w:bCs/>
                <w:i/>
                <w:iCs/>
                <w:color w:val="auto"/>
                <w:sz w:val="24"/>
                <w:szCs w:val="20"/>
                <w:highlight w:val="none"/>
                <w:u w:val="single"/>
                <w:lang w:val="en-US" w:eastAsia="zh-CN" w:bidi="ar-SA"/>
              </w:rPr>
            </w:pPr>
            <w:r>
              <w:rPr>
                <w:rFonts w:ascii="Times New Roman" w:hAnsi="Times New Roman" w:eastAsia="宋体" w:cs="Times New Roman"/>
                <w:bCs/>
                <w:i/>
                <w:iCs/>
                <w:color w:val="auto"/>
                <w:sz w:val="24"/>
                <w:szCs w:val="20"/>
                <w:highlight w:val="none"/>
                <w:u w:val="single"/>
                <w:lang w:val="en-US" w:eastAsia="zh-CN" w:bidi="ar-SA"/>
              </w:rPr>
              <w:t xml:space="preserve">1、本项目</w:t>
            </w:r>
            <w:r>
              <w:rPr>
                <w:rFonts w:hint="eastAsia" w:ascii="Times New Roman" w:hAnsi="Times New Roman" w:eastAsia="宋体" w:cs="Times New Roman"/>
                <w:bCs/>
                <w:i/>
                <w:iCs/>
                <w:color w:val="auto"/>
                <w:sz w:val="24"/>
                <w:szCs w:val="20"/>
                <w:highlight w:val="none"/>
                <w:u w:val="single"/>
                <w:lang w:val="en-US" w:eastAsia="zh-CN" w:bidi="ar-SA"/>
              </w:rPr>
              <w:t xml:space="preserve">包括</w:t>
            </w:r>
            <w:r>
              <w:rPr>
                <w:rFonts w:ascii="Times New Roman" w:hAnsi="Times New Roman" w:eastAsia="宋体" w:cs="Times New Roman"/>
                <w:bCs/>
                <w:i/>
                <w:iCs/>
                <w:color w:val="auto"/>
                <w:sz w:val="24"/>
                <w:szCs w:val="20"/>
                <w:highlight w:val="none"/>
                <w:u w:val="single"/>
                <w:lang w:val="en-US" w:eastAsia="zh-CN" w:bidi="ar-SA"/>
              </w:rPr>
              <w:t xml:space="preserve">交通信号控制系统、高清视频监控系统、高清电子警察系统、交通信息采集系统、交通诱导发布系统、违停抓拍系统、实景指挥系统、上下匝道抓拍系统、主线卡口抓拍系统、入口匝道控制系统、区间测速系统、交通广播系统、鱼腹线实线变道抓拍系统、中心软硬件扩容、合杆杆件、管道等。完成配套通信设施、供</w:t>
            </w:r>
            <w:r>
              <w:rPr>
                <w:rFonts w:hint="eastAsia" w:ascii="Times New Roman" w:hAnsi="Times New Roman" w:eastAsia="宋体" w:cs="Times New Roman"/>
                <w:bCs/>
                <w:i/>
                <w:iCs/>
                <w:color w:val="auto"/>
                <w:sz w:val="24"/>
                <w:szCs w:val="20"/>
                <w:highlight w:val="none"/>
                <w:u w:val="single"/>
                <w:lang w:val="en-US" w:eastAsia="zh-CN" w:bidi="ar-SA"/>
              </w:rPr>
              <w:t xml:space="preserve">配</w:t>
            </w:r>
            <w:r>
              <w:rPr>
                <w:rFonts w:ascii="Times New Roman" w:hAnsi="Times New Roman" w:eastAsia="宋体" w:cs="Times New Roman"/>
                <w:bCs/>
                <w:i/>
                <w:iCs/>
                <w:color w:val="auto"/>
                <w:sz w:val="24"/>
                <w:szCs w:val="20"/>
                <w:highlight w:val="none"/>
                <w:u w:val="single"/>
                <w:lang w:val="en-US" w:eastAsia="zh-CN" w:bidi="ar-SA"/>
              </w:rPr>
              <w:t xml:space="preserve">电设施、安装支架、</w:t>
            </w:r>
            <w:r>
              <w:rPr>
                <w:rFonts w:hint="eastAsia" w:ascii="Times New Roman" w:hAnsi="Times New Roman" w:eastAsia="宋体" w:cs="Times New Roman"/>
                <w:bCs/>
                <w:i/>
                <w:iCs/>
                <w:color w:val="auto"/>
                <w:sz w:val="24"/>
                <w:szCs w:val="20"/>
                <w:highlight w:val="none"/>
                <w:u w:val="single"/>
                <w:lang w:val="en-US" w:eastAsia="zh-CN" w:bidi="ar-SA"/>
              </w:rPr>
              <w:t xml:space="preserve">立杆</w:t>
            </w:r>
            <w:r>
              <w:rPr>
                <w:rFonts w:ascii="Times New Roman" w:hAnsi="Times New Roman" w:eastAsia="宋体" w:cs="Times New Roman"/>
                <w:bCs/>
                <w:i/>
                <w:iCs/>
                <w:color w:val="auto"/>
                <w:sz w:val="24"/>
                <w:szCs w:val="20"/>
                <w:highlight w:val="none"/>
                <w:u w:val="single"/>
                <w:lang w:val="en-US" w:eastAsia="zh-CN" w:bidi="ar-SA"/>
              </w:rPr>
              <w:t xml:space="preserve">等附属设施的建设。完成</w:t>
            </w:r>
            <w:r>
              <w:rPr>
                <w:rFonts w:hint="eastAsia" w:ascii="Times New Roman" w:hAnsi="Times New Roman" w:eastAsia="宋体" w:cs="Times New Roman"/>
                <w:bCs/>
                <w:i/>
                <w:iCs/>
                <w:color w:val="auto"/>
                <w:sz w:val="24"/>
                <w:szCs w:val="20"/>
                <w:highlight w:val="none"/>
                <w:u w:val="single"/>
                <w:lang w:val="en-US" w:eastAsia="zh-CN" w:bidi="ar-SA"/>
              </w:rPr>
              <w:t xml:space="preserve">张家港</w:t>
            </w:r>
            <w:r>
              <w:rPr>
                <w:rFonts w:ascii="Times New Roman" w:hAnsi="Times New Roman" w:eastAsia="宋体" w:cs="Times New Roman"/>
                <w:bCs/>
                <w:i/>
                <w:iCs/>
                <w:color w:val="auto"/>
                <w:sz w:val="24"/>
                <w:szCs w:val="20"/>
                <w:highlight w:val="none"/>
                <w:u w:val="single"/>
                <w:lang w:val="en-US" w:eastAsia="zh-CN" w:bidi="ar-SA"/>
              </w:rPr>
              <w:t xml:space="preserve">市</w:t>
            </w:r>
            <w:r>
              <w:rPr>
                <w:rFonts w:hint="eastAsia" w:ascii="Times New Roman" w:hAnsi="Times New Roman" w:eastAsia="宋体" w:cs="Times New Roman"/>
                <w:bCs/>
                <w:i/>
                <w:iCs/>
                <w:color w:val="auto"/>
                <w:sz w:val="24"/>
                <w:szCs w:val="20"/>
                <w:highlight w:val="none"/>
                <w:u w:val="single"/>
                <w:lang w:val="en-US" w:eastAsia="zh-CN" w:bidi="ar-SA"/>
              </w:rPr>
              <w:t xml:space="preserve">公安局</w:t>
            </w:r>
            <w:r>
              <w:rPr>
                <w:rFonts w:ascii="Times New Roman" w:hAnsi="Times New Roman" w:eastAsia="宋体" w:cs="Times New Roman"/>
                <w:bCs/>
                <w:i/>
                <w:iCs/>
                <w:color w:val="auto"/>
                <w:sz w:val="24"/>
                <w:szCs w:val="20"/>
                <w:highlight w:val="none"/>
                <w:u w:val="single"/>
                <w:lang w:val="en-US" w:eastAsia="zh-CN" w:bidi="ar-SA"/>
              </w:rPr>
              <w:t xml:space="preserve">交</w:t>
            </w:r>
            <w:r>
              <w:rPr>
                <w:rFonts w:hint="eastAsia" w:ascii="Times New Roman" w:hAnsi="Times New Roman" w:eastAsia="宋体" w:cs="Times New Roman"/>
                <w:bCs/>
                <w:i/>
                <w:iCs/>
                <w:color w:val="auto"/>
                <w:sz w:val="24"/>
                <w:szCs w:val="20"/>
                <w:highlight w:val="none"/>
                <w:u w:val="single"/>
                <w:lang w:val="en-US" w:eastAsia="zh-CN" w:bidi="ar-SA"/>
              </w:rPr>
              <w:t xml:space="preserve">通警察大</w:t>
            </w:r>
            <w:r>
              <w:rPr>
                <w:rFonts w:ascii="Times New Roman" w:hAnsi="Times New Roman" w:eastAsia="宋体" w:cs="Times New Roman"/>
                <w:bCs/>
                <w:i/>
                <w:iCs/>
                <w:color w:val="auto"/>
                <w:sz w:val="24"/>
                <w:szCs w:val="20"/>
                <w:highlight w:val="none"/>
                <w:u w:val="single"/>
                <w:lang w:val="en-US" w:eastAsia="zh-CN" w:bidi="ar-SA"/>
              </w:rPr>
              <w:t xml:space="preserve">队</w:t>
            </w:r>
            <w:r>
              <w:rPr>
                <w:rFonts w:hint="eastAsia" w:ascii="Times New Roman" w:hAnsi="Times New Roman" w:eastAsia="宋体" w:cs="Times New Roman"/>
                <w:bCs/>
                <w:i/>
                <w:iCs/>
                <w:color w:val="auto"/>
                <w:sz w:val="24"/>
                <w:szCs w:val="20"/>
                <w:highlight w:val="none"/>
                <w:u w:val="single"/>
                <w:lang w:val="en-US" w:eastAsia="zh-Hans" w:bidi="ar-SA"/>
              </w:rPr>
              <w:t xml:space="preserve">及交通运输局</w:t>
            </w:r>
            <w:r>
              <w:rPr>
                <w:rFonts w:hint="eastAsia" w:ascii="Times New Roman" w:hAnsi="Times New Roman" w:eastAsia="宋体" w:cs="Times New Roman"/>
                <w:bCs/>
                <w:i/>
                <w:iCs/>
                <w:color w:val="auto"/>
                <w:sz w:val="24"/>
                <w:szCs w:val="20"/>
                <w:highlight w:val="none"/>
                <w:u w:val="single"/>
                <w:lang w:val="en-US" w:eastAsia="zh-CN" w:bidi="ar-SA"/>
              </w:rPr>
              <w:t xml:space="preserve">控制</w:t>
            </w:r>
            <w:r>
              <w:rPr>
                <w:rFonts w:ascii="Times New Roman" w:hAnsi="Times New Roman" w:eastAsia="宋体" w:cs="Times New Roman"/>
                <w:bCs/>
                <w:i/>
                <w:iCs/>
                <w:color w:val="auto"/>
                <w:sz w:val="24"/>
                <w:szCs w:val="20"/>
                <w:highlight w:val="none"/>
                <w:u w:val="single"/>
                <w:lang w:val="en-US" w:eastAsia="zh-CN" w:bidi="ar-SA"/>
              </w:rPr>
              <w:t xml:space="preserve">中心内硬件设备的扩容，及应用软件</w:t>
            </w:r>
            <w:r>
              <w:rPr>
                <w:rFonts w:hint="eastAsia" w:ascii="Times New Roman" w:hAnsi="Times New Roman" w:eastAsia="宋体" w:cs="Times New Roman"/>
                <w:bCs/>
                <w:i/>
                <w:iCs/>
                <w:color w:val="auto"/>
                <w:sz w:val="24"/>
                <w:szCs w:val="20"/>
                <w:highlight w:val="none"/>
                <w:u w:val="single"/>
                <w:lang w:val="en-US" w:eastAsia="zh-CN" w:bidi="ar-SA"/>
              </w:rPr>
              <w:t xml:space="preserve">接口</w:t>
            </w:r>
            <w:r>
              <w:rPr>
                <w:rFonts w:ascii="Times New Roman" w:hAnsi="Times New Roman" w:eastAsia="宋体" w:cs="Times New Roman"/>
                <w:bCs/>
                <w:i/>
                <w:iCs/>
                <w:color w:val="auto"/>
                <w:sz w:val="24"/>
                <w:szCs w:val="20"/>
                <w:highlight w:val="none"/>
                <w:u w:val="single"/>
                <w:lang w:val="en-US" w:eastAsia="zh-CN" w:bidi="ar-SA"/>
              </w:rPr>
              <w:t xml:space="preserve">模块的开发、编制等内容。</w:t>
            </w:r>
            <w:r>
              <w:rPr>
                <w:rFonts w:hint="eastAsia" w:ascii="Times New Roman" w:hAnsi="Times New Roman" w:eastAsia="宋体" w:cs="Times New Roman"/>
                <w:bCs/>
                <w:i/>
                <w:iCs/>
                <w:color w:val="auto"/>
                <w:sz w:val="24"/>
                <w:szCs w:val="20"/>
                <w:highlight w:val="none"/>
                <w:u w:val="single"/>
                <w:lang w:val="en-US" w:eastAsia="zh-CN" w:bidi="ar-SA"/>
              </w:rPr>
              <w:t xml:space="preserve">利用本</w:t>
            </w:r>
            <w:r>
              <w:rPr>
                <w:rFonts w:ascii="Times New Roman" w:hAnsi="Times New Roman" w:eastAsia="宋体" w:cs="Times New Roman"/>
                <w:bCs/>
                <w:i/>
                <w:iCs/>
                <w:color w:val="auto"/>
                <w:sz w:val="24"/>
                <w:szCs w:val="20"/>
                <w:highlight w:val="none"/>
                <w:u w:val="single"/>
                <w:lang w:val="en-US" w:eastAsia="zh-CN" w:bidi="ar-SA"/>
              </w:rPr>
              <w:t xml:space="preserve">项目</w:t>
            </w:r>
            <w:r>
              <w:rPr>
                <w:rFonts w:hint="eastAsia" w:ascii="Times New Roman" w:hAnsi="Times New Roman" w:eastAsia="宋体" w:cs="Times New Roman"/>
                <w:bCs/>
                <w:i/>
                <w:iCs/>
                <w:color w:val="auto"/>
                <w:sz w:val="24"/>
                <w:szCs w:val="20"/>
                <w:highlight w:val="none"/>
                <w:u w:val="single"/>
                <w:lang w:val="en-US" w:eastAsia="zh-CN" w:bidi="ar-SA"/>
              </w:rPr>
              <w:t xml:space="preserve">租赁的通信设施，将各类摄像机采集的交通参数、视频、违法数据、设备工作状态等信息及交通诱导屏接入交通指挥</w:t>
            </w:r>
            <w:r>
              <w:rPr>
                <w:rFonts w:ascii="Times New Roman" w:hAnsi="Times New Roman" w:eastAsia="宋体" w:cs="Times New Roman"/>
                <w:bCs/>
                <w:i/>
                <w:iCs/>
                <w:color w:val="auto"/>
                <w:sz w:val="24"/>
                <w:szCs w:val="20"/>
                <w:highlight w:val="none"/>
                <w:u w:val="single"/>
                <w:lang w:val="en-US" w:eastAsia="zh-CN" w:bidi="ar-SA"/>
              </w:rPr>
              <w:t xml:space="preserve">中心</w:t>
            </w:r>
            <w:r>
              <w:rPr>
                <w:rFonts w:hint="eastAsia" w:ascii="Times New Roman" w:hAnsi="Times New Roman" w:eastAsia="宋体" w:cs="Times New Roman"/>
                <w:bCs/>
                <w:i/>
                <w:iCs/>
                <w:color w:val="auto"/>
                <w:sz w:val="24"/>
                <w:szCs w:val="20"/>
                <w:highlight w:val="none"/>
                <w:u w:val="single"/>
                <w:lang w:val="en-US" w:eastAsia="zh-CN" w:bidi="ar-SA"/>
              </w:rPr>
              <w:t xml:space="preserve">。交通信号系统接入交管大队现有信控平台</w:t>
            </w:r>
            <w:r>
              <w:rPr>
                <w:rFonts w:hint="eastAsia" w:ascii="Times New Roman" w:hAnsi="Times New Roman" w:eastAsia="宋体" w:cs="Times New Roman"/>
                <w:i/>
                <w:color w:val="auto"/>
                <w:sz w:val="24"/>
                <w:szCs w:val="20"/>
                <w:highlight w:val="none"/>
                <w:u w:val="single"/>
                <w:lang w:val="en-US" w:eastAsia="zh-CN" w:bidi="ar-SA"/>
              </w:rPr>
              <w:t xml:space="preserve">（信号机设备端需支持GB/T20999-2017通信协议，系统端支持GA/T 1049.2-2024通信协议）</w:t>
            </w:r>
            <w:r>
              <w:rPr>
                <w:rFonts w:hint="eastAsia" w:ascii="Times New Roman" w:hAnsi="Times New Roman" w:eastAsia="宋体" w:cs="Times New Roman"/>
                <w:bCs/>
                <w:i/>
                <w:iCs/>
                <w:color w:val="auto"/>
                <w:sz w:val="24"/>
                <w:szCs w:val="20"/>
                <w:highlight w:val="none"/>
                <w:u w:val="single"/>
                <w:lang w:val="en-US" w:eastAsia="zh-CN" w:bidi="ar-SA"/>
              </w:rPr>
              <w:t xml:space="preserve">、视频接入市局现有的视频监控平台、卡口图片接入市</w:t>
            </w:r>
            <w:r>
              <w:rPr>
                <w:rFonts w:hint="eastAsia" w:ascii="Times New Roman" w:hAnsi="Times New Roman" w:eastAsia="宋体" w:cs="Times New Roman"/>
                <w:b w:val="0"/>
                <w:bCs/>
                <w:i/>
                <w:iCs/>
                <w:color w:val="auto"/>
                <w:sz w:val="24"/>
                <w:szCs w:val="20"/>
                <w:highlight w:val="none"/>
                <w:u w:val="single"/>
                <w:lang w:val="en-US" w:eastAsia="zh-CN" w:bidi="ar-SA"/>
              </w:rPr>
              <w:t xml:space="preserve">局实战应用平台</w:t>
            </w:r>
            <w:r>
              <w:rPr>
                <w:rFonts w:hint="eastAsia" w:ascii="Times New Roman" w:hAnsi="Times New Roman" w:eastAsia="宋体" w:cs="Times New Roman"/>
                <w:bCs/>
                <w:i/>
                <w:iCs/>
                <w:color w:val="auto"/>
                <w:sz w:val="24"/>
                <w:szCs w:val="20"/>
                <w:highlight w:val="none"/>
                <w:u w:val="single"/>
                <w:lang w:val="en-US" w:eastAsia="zh-CN" w:bidi="ar-SA"/>
              </w:rPr>
              <w:t xml:space="preserve">、交通违法图片接入大队现有的交通违法处理平台、雷视一体机接入大队全息高架平台，以上设备均需接入大队运维管理系统（平台及系统接口详见附件），</w:t>
            </w:r>
            <w:r>
              <w:rPr>
                <w:rFonts w:ascii="Times New Roman" w:hAnsi="Times New Roman" w:eastAsia="宋体" w:cs="Times New Roman"/>
                <w:bCs/>
                <w:i/>
                <w:iCs/>
                <w:color w:val="auto"/>
                <w:sz w:val="24"/>
                <w:szCs w:val="20"/>
                <w:highlight w:val="none"/>
                <w:u w:val="single"/>
                <w:lang w:val="en-US" w:eastAsia="zh-CN" w:bidi="ar-SA"/>
              </w:rPr>
              <w:t xml:space="preserve">项目所涉及光纤租用、市电接电、电费、道路开挖、市政赔补等费用均包含在</w:t>
            </w:r>
            <w:r>
              <w:rPr>
                <w:rFonts w:hint="eastAsia" w:ascii="Times New Roman" w:hAnsi="Times New Roman" w:eastAsia="宋体" w:cs="Times New Roman"/>
                <w:bCs/>
                <w:i/>
                <w:iCs/>
                <w:color w:val="auto"/>
                <w:sz w:val="24"/>
                <w:szCs w:val="20"/>
                <w:highlight w:val="none"/>
                <w:u w:val="single"/>
                <w:lang w:val="en-US" w:eastAsia="zh-CN" w:bidi="ar-SA"/>
              </w:rPr>
              <w:t xml:space="preserve">项目</w:t>
            </w:r>
            <w:r>
              <w:rPr>
                <w:rFonts w:ascii="Times New Roman" w:hAnsi="Times New Roman" w:eastAsia="宋体" w:cs="Times New Roman"/>
                <w:bCs/>
                <w:i/>
                <w:iCs/>
                <w:color w:val="auto"/>
                <w:sz w:val="24"/>
                <w:szCs w:val="20"/>
                <w:highlight w:val="none"/>
                <w:u w:val="single"/>
                <w:lang w:val="en-US" w:eastAsia="zh-CN" w:bidi="ar-SA"/>
              </w:rPr>
              <w:t xml:space="preserve">内。采购人不再支付以外的任何费用。</w:t>
            </w:r>
            <w:r/>
          </w:p>
          <w:p>
            <w:pPr>
              <w:spacing w:line="440" w:lineRule="exact"/>
              <w:rPr>
                <w:rFonts w:hint="eastAsia" w:ascii="宋体" w:hAnsi="宋体" w:eastAsia="宋体" w:cs="Times New Roman"/>
                <w:color w:val="auto"/>
                <w:szCs w:val="21"/>
                <w:highlight w:val="none"/>
                <w:lang w:eastAsia="zh-CN"/>
              </w:rPr>
            </w:pPr>
            <w:r>
              <w:rPr>
                <w:rFonts w:hint="default" w:ascii="Times New Roman" w:hAnsi="Times New Roman" w:eastAsia="宋体" w:cs="Times New Roman"/>
                <w:bCs/>
                <w:i/>
                <w:iCs/>
                <w:color w:val="auto"/>
                <w:sz w:val="24"/>
                <w:highlight w:val="none"/>
                <w:u w:val="single"/>
              </w:rPr>
              <w:t xml:space="preserve">2、本招标文件提出的技术要求应视为保证项目（含平台、传输、网络、供电、运输、立杆、设备箱、开挖、设施、税率等）运行所需的最低要求，</w:t>
            </w:r>
            <w:r>
              <w:rPr>
                <w:rFonts w:hint="eastAsia" w:ascii="Times New Roman" w:hAnsi="Times New Roman" w:eastAsia="宋体" w:cs="Times New Roman"/>
                <w:bCs/>
                <w:i/>
                <w:iCs/>
                <w:color w:val="auto"/>
                <w:sz w:val="24"/>
                <w:highlight w:val="none"/>
                <w:u w:val="single"/>
                <w:lang w:val="en-US" w:eastAsia="zh-CN"/>
              </w:rPr>
              <w:t xml:space="preserve">是否满足技术要求以保证项目运行为准，技术要求</w:t>
            </w:r>
            <w:r>
              <w:rPr>
                <w:rFonts w:hint="default" w:ascii="Times New Roman" w:hAnsi="Times New Roman" w:eastAsia="宋体" w:cs="Times New Roman"/>
                <w:bCs/>
                <w:i/>
                <w:iCs/>
                <w:color w:val="auto"/>
                <w:sz w:val="24"/>
                <w:highlight w:val="none"/>
                <w:u w:val="single"/>
              </w:rPr>
              <w:t xml:space="preserve">如有遗漏，投标人应予以补充</w:t>
            </w:r>
            <w:r>
              <w:rPr>
                <w:rFonts w:hint="eastAsia" w:ascii="Times New Roman" w:hAnsi="Times New Roman" w:eastAsia="宋体" w:cs="Times New Roman"/>
                <w:bCs/>
                <w:i/>
                <w:iCs/>
                <w:color w:val="auto"/>
                <w:sz w:val="24"/>
                <w:highlight w:val="none"/>
                <w:u w:val="single"/>
                <w:lang w:eastAsia="zh-CN"/>
              </w:rPr>
              <w:t xml:space="preserve">。</w:t>
            </w:r>
            <w:r>
              <w:rPr>
                <w:rFonts w:hint="default" w:ascii="Times New Roman" w:hAnsi="Times New Roman" w:eastAsia="宋体" w:cs="Times New Roman"/>
                <w:bCs/>
                <w:i/>
                <w:iCs/>
                <w:color w:val="auto"/>
                <w:sz w:val="24"/>
                <w:highlight w:val="none"/>
                <w:u w:val="single"/>
              </w:rPr>
              <w:t xml:space="preserve">投标人的运营工作应满足但不限于本招标文件要求</w:t>
            </w:r>
            <w:r>
              <w:rPr>
                <w:rFonts w:hint="eastAsia" w:ascii="Times New Roman" w:hAnsi="Times New Roman" w:eastAsia="宋体" w:cs="Times New Roman"/>
                <w:bCs/>
                <w:i/>
                <w:iCs/>
                <w:color w:val="auto"/>
                <w:sz w:val="24"/>
                <w:highlight w:val="none"/>
                <w:u w:val="single"/>
                <w:lang w:eastAsia="zh-CN"/>
              </w:rPr>
              <w:t xml:space="preserve">。</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3、项目所产生的数据、文件、视频等所有权归属采购人，其使用由采购人按需支配，投标人应无条件配合。</w:t>
            </w:r>
            <w:r/>
          </w:p>
        </w:tc>
      </w:tr>
      <w:tr>
        <w:trPr/>
        <w:tc>
          <w:tcPr>
            <w:tcMar>
              <w:left w:w="108" w:type="dxa"/>
              <w:top w:w="100" w:type="dxa"/>
              <w:right w:w="108" w:type="dxa"/>
              <w:bottom w:w="100" w:type="dxa"/>
            </w:tcMar>
            <w:tcW w:w="936" w:type="dxa"/>
            <w:vAlign w:val="center"/>
            <w:textDirection w:val="lrTb"/>
            <w:noWrap w:val="false"/>
          </w:tcPr>
          <w:p>
            <w:pPr>
              <w:jc w:val="cente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p>
        </w:tc>
        <w:tc>
          <w:tcPr>
            <w:tcMar>
              <w:left w:w="108" w:type="dxa"/>
              <w:top w:w="100" w:type="dxa"/>
              <w:right w:w="108" w:type="dxa"/>
              <w:bottom w:w="100" w:type="dxa"/>
            </w:tcMar>
            <w:tcW w:w="360"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项目</w:t>
            </w:r>
            <w:r>
              <w:rPr>
                <w:rFonts w:ascii="Times New Roman" w:hAnsi="Times New Roman" w:eastAsia="宋体" w:cs="Times New Roman"/>
                <w:color w:val="auto"/>
                <w:sz w:val="24"/>
                <w:szCs w:val="24"/>
                <w:highlight w:val="none"/>
                <w:lang w:val="en-US" w:eastAsia="zh-CN" w:bidi="ar-SA"/>
              </w:rPr>
              <w:t xml:space="preserve">清单</w:t>
            </w:r>
            <w:r/>
          </w:p>
        </w:tc>
        <w:tc>
          <w:tcPr>
            <w:tcMar>
              <w:left w:w="108" w:type="dxa"/>
              <w:top w:w="100" w:type="dxa"/>
              <w:right w:w="108" w:type="dxa"/>
              <w:bottom w:w="100" w:type="dxa"/>
            </w:tcMar>
            <w:tcW w:w="8275" w:type="dxa"/>
            <w:vAlign w:val="center"/>
            <w:textDirection w:val="lrTb"/>
            <w:noWrap w:val="false"/>
          </w:tcPr>
          <w:tbl>
            <w:tblPr>
              <w:tblStyle w:val="761"/>
              <w:tblW w:w="61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2506"/>
              <w:gridCol w:w="3096"/>
            </w:tblGrid>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一、交通信号控制系统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机动车圆盘信号灯（400mm）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机动车箭头信号灯（400mm）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机动车圆盘信号灯（300mm）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机动车箭头信号灯（300mm）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非机动车左转信号灯（400mm）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非机动车信号灯（400mm）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非机动车左转信号灯（300mm）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非机动车信号灯（300mm）</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人行信号灯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人行信号灯立杆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立杆3.2m，安装净高2.5M，热镀锌喷塑</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人行信号灯立杆基础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rPr>
                    <w:suppressLineNumbers w:val="0"/>
                  </w:pPr>
                  <w:r>
                    <w:rPr>
                      <w:rFonts w:hint="eastAsia" w:ascii="宋体" w:hAnsi="宋体" w:eastAsia="宋体" w:cs="宋体"/>
                      <w:i/>
                      <w:iCs/>
                      <w:color w:val="auto"/>
                      <w:sz w:val="24"/>
                      <w:szCs w:val="24"/>
                      <w:highlight w:val="none"/>
                      <w:u w:val="single"/>
                      <w:lang w:val="en-US" w:eastAsia="zh-CN" w:bidi="ar"/>
                    </w:rPr>
                    <w:t xml:space="preserve">500*500*1300mm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单柱式机动车信号灯立杆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立杆5m，安装净高3.2M，热镀锌喷塑</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单柱式信号灯立杆基础1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rPr>
                    <w:suppressLineNumbers w:val="0"/>
                  </w:pPr>
                  <w:r>
                    <w:rPr>
                      <w:rFonts w:hint="eastAsia" w:ascii="宋体" w:hAnsi="宋体" w:eastAsia="宋体" w:cs="宋体"/>
                      <w:i/>
                      <w:iCs/>
                      <w:color w:val="auto"/>
                      <w:sz w:val="24"/>
                      <w:szCs w:val="24"/>
                      <w:highlight w:val="none"/>
                      <w:u w:val="single"/>
                      <w:lang w:val="en-US" w:eastAsia="zh-CN" w:bidi="ar"/>
                    </w:rPr>
                    <w:t xml:space="preserve">600*600*1500mm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单柱式信号灯立杆基础2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地面护栏预埋基础，法兰尺寸:350*250</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悬臂5米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悬臂7米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悬臂9米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机动车信号灯立杆4</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悬臂10米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机动车信号灯立杆5</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悬臂12米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机动车信号灯立杆基础2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rPr>
                    <w:suppressLineNumbers w:val="0"/>
                  </w:pPr>
                  <w:r>
                    <w:rPr>
                      <w:rFonts w:hint="eastAsia" w:ascii="宋体" w:hAnsi="宋体" w:eastAsia="宋体" w:cs="宋体"/>
                      <w:i/>
                      <w:iCs/>
                      <w:color w:val="auto"/>
                      <w:sz w:val="24"/>
                      <w:szCs w:val="24"/>
                      <w:highlight w:val="none"/>
                      <w:u w:val="single"/>
                      <w:lang w:val="en-US" w:eastAsia="zh-CN" w:bidi="ar"/>
                    </w:rPr>
                    <w:t xml:space="preserve">1400*1400*1700mm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信号灯支架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60mm*60mm*5m方管，5-7米横臂*1（长度按实调整），≥1米竖向吊臂*3（长度按实调整）；300mm*300mm*10mm固定法兰*3（每个法兰至少8个M16化学螺栓与桥体固定）</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KVVR-450/750-（20X1.0mm）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KVVR-450/750-（10X1.0mm）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KVVR-450/750-（5X1.0mm）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控制软电缆4</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KVVR-450/750-（4X1.0mm）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BV-10mm</w:t>
                  </w:r>
                  <w:r>
                    <w:rPr>
                      <w:rFonts w:hint="eastAsia" w:ascii="宋体" w:hAnsi="宋体" w:eastAsia="宋体" w:cs="宋体"/>
                      <w:i/>
                      <w:iCs/>
                      <w:color w:val="auto"/>
                      <w:sz w:val="24"/>
                      <w:szCs w:val="24"/>
                      <w:highlight w:val="none"/>
                      <w:u w:val="single"/>
                      <w:lang w:val="en-US" w:eastAsia="zh-CN" w:bidi="ar"/>
                    </w:rPr>
                    <w:t xml:space="preserve">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YJV3*4mm</w:t>
                  </w:r>
                  <w:r>
                    <w:rPr>
                      <w:rFonts w:hint="eastAsia" w:ascii="宋体" w:hAnsi="宋体" w:eastAsia="宋体" w:cs="宋体"/>
                      <w:i/>
                      <w:iCs/>
                      <w:color w:val="auto"/>
                      <w:sz w:val="24"/>
                      <w:szCs w:val="24"/>
                      <w:highlight w:val="none"/>
                      <w:u w:val="single"/>
                      <w:lang w:val="en-US" w:eastAsia="zh-CN" w:bidi="ar"/>
                    </w:rPr>
                    <w:t xml:space="preserve">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YJV5*25mm</w:t>
                  </w:r>
                  <w:r>
                    <w:rPr>
                      <w:rFonts w:hint="eastAsia" w:ascii="宋体" w:hAnsi="宋体" w:eastAsia="宋体" w:cs="宋体"/>
                      <w:i/>
                      <w:iCs/>
                      <w:color w:val="auto"/>
                      <w:sz w:val="24"/>
                      <w:szCs w:val="24"/>
                      <w:highlight w:val="none"/>
                      <w:u w:val="single"/>
                      <w:lang w:val="en-US" w:eastAsia="zh-CN" w:bidi="ar"/>
                    </w:rPr>
                    <w:t xml:space="preserve">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YJV5*35mm</w:t>
                  </w:r>
                  <w:r>
                    <w:rPr>
                      <w:rFonts w:hint="eastAsia" w:ascii="宋体" w:hAnsi="宋体" w:eastAsia="宋体" w:cs="宋体"/>
                      <w:i/>
                      <w:iCs/>
                      <w:color w:val="auto"/>
                      <w:sz w:val="24"/>
                      <w:szCs w:val="24"/>
                      <w:highlight w:val="none"/>
                      <w:u w:val="single"/>
                      <w:lang w:val="en-US" w:eastAsia="zh-CN" w:bidi="ar"/>
                    </w:rPr>
                    <w:t xml:space="preserve">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外壳采用不锈钢，喷塑，厚度不小于1.5mm，含电表（支持远程抄表），空开，含自动重合闸控制器</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配电箱基础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垫层：1060mm*800mm*100mm，C15混凝土；基础：860mm*600mm*800mm，C25混凝土；含钢筋笼、地脚螺栓等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交通信号控制机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信号机基础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iCs/>
                      <w:color w:val="auto"/>
                      <w:sz w:val="24"/>
                      <w:szCs w:val="24"/>
                      <w:highlight w:val="none"/>
                      <w:u w:val="single"/>
                      <w:lang w:val="en-US" w:eastAsia="zh-CN" w:bidi="ar"/>
                    </w:rPr>
                    <w:t xml:space="preserve">1000*600*900mm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无线遥控手动装置</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行人二次过街指示牌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1500*500mm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信号灯指示牌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高架信号灯指示牌、地面信号灯指示牌</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二、高清视频监控系统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2.1.1、地面监控</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一体化高清球型摄像机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高清枪型摄像机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高3.5米，臂长1米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eastAsia="宋体" w:cs="Times New Roman"/>
                      <w:color w:val="auto"/>
                      <w:lang w:val="en-US" w:eastAsia="zh-CN"/>
                    </w:rPr>
                    <w:suppressLineNumbers w:val="0"/>
                  </w:pPr>
                  <w:r>
                    <w:rPr>
                      <w:rFonts w:hint="eastAsia" w:ascii="宋体" w:hAnsi="宋体" w:eastAsia="宋体" w:cs="宋体"/>
                      <w:i/>
                      <w:iCs/>
                      <w:color w:val="auto"/>
                      <w:sz w:val="24"/>
                      <w:szCs w:val="24"/>
                      <w:highlight w:val="none"/>
                      <w:u w:val="single"/>
                      <w:lang w:val="en-US" w:eastAsia="zh-CN" w:bidi="ar"/>
                    </w:rPr>
                    <w:t xml:space="preserve">700*700*700mm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2.1.2、高架监控</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一体化高清球型摄像机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2.2、公路监控</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一体化高清高倍球型摄像机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二合一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传输网络（租赁）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百兆/三年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2.3、西二环监控</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一体化高清高倍球型摄像机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二合</w:t>
                  </w:r>
                  <w:r>
                    <w:rPr>
                      <w:rFonts w:hint="eastAsia" w:ascii="宋体" w:hAnsi="宋体" w:eastAsia="宋体" w:cs="宋体"/>
                      <w:i w:val="0"/>
                      <w:iCs w:val="0"/>
                      <w:color w:val="auto"/>
                      <w:sz w:val="24"/>
                      <w:szCs w:val="24"/>
                      <w:highlight w:val="none"/>
                      <w:u w:val="none"/>
                      <w:lang w:val="en-US" w:eastAsia="zh-CN" w:bidi="ar"/>
                    </w:rPr>
                    <w:t xml:space="preserve">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高3.5米，臂长1米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eastAsia="宋体" w:cs="Times New Roman"/>
                      <w:color w:val="auto"/>
                      <w:lang w:val="en-US" w:eastAsia="zh-CN"/>
                    </w:rPr>
                    <w:suppressLineNumbers w:val="0"/>
                  </w:pPr>
                  <w:r>
                    <w:rPr>
                      <w:rFonts w:hint="eastAsia" w:ascii="宋体" w:hAnsi="宋体" w:eastAsia="宋体" w:cs="宋体"/>
                      <w:i/>
                      <w:iCs/>
                      <w:color w:val="auto"/>
                      <w:sz w:val="24"/>
                      <w:szCs w:val="24"/>
                      <w:highlight w:val="none"/>
                      <w:u w:val="single"/>
                      <w:lang w:val="en-US" w:eastAsia="zh-CN" w:bidi="ar"/>
                    </w:rPr>
                    <w:t xml:space="preserve">700*700*700mm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传输网络（租赁）1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百兆/三年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三、高清电子警察系统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红灯信号检测器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工业级交换机1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垫层：1060mm*800mm*100mm，C15混凝土；基础：860mm*600mm*800mm，C25混凝土；含钢筋笼、地脚螺栓等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高6米，臂长7米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F式立杆4</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高6米，臂长9米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F式立杆5</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高6米，臂长12米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F式立杆6</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高6米，臂长13米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T型立杆1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高6米，臂长9米+5米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T型立杆2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高6米，臂长12米+5米</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1400*1400*1700mm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立杆基础4</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2000*2400*2500mm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F式立杆背包箱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法兰盘：700mm*700mm*10mm；基础：890mm*（1940~1200）mm*1620mm，C40混凝土，含基础配筋、地脚螺栓等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白底、蓝图形、黑边框、白色衬边，600mm*800mm,附着式安装</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RVSP2*1.0mm²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四、交通信息采集系统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4.1.1、地面部分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雷视一体机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4.1.2、高架部分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雷视一体机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横臂支架1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iCs/>
                      <w:color w:val="auto"/>
                      <w:sz w:val="24"/>
                      <w:szCs w:val="24"/>
                      <w:highlight w:val="none"/>
                      <w:u w:val="single"/>
                      <w:lang w:val="en-US" w:eastAsia="zh-CN" w:bidi="ar"/>
                    </w:rPr>
                    <w:t xml:space="preserve">向外延申50-80cm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边缘计算单元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工业级交换机1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外壳采用不锈钢，喷塑，厚度不小于1.5mm，含电表（支持远程抄表），空开，含自动重合闸控制器</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配电箱基础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垫层：1060mm*800mm*100mm，C15混凝土；基础：860mm*600mm*800mm，C25混凝土；含钢筋笼、地脚螺栓等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垫层：1060mm*800mm*100mm，C15混凝土；基础：860mm*600mm*800mm，C25混凝土；含钢筋笼、地脚螺栓等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公路交通调查系统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集成式交通气象监测仪</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横臂支架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直径32mm，臂长不低于50cm，含抱箍等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微光抓拍单元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二合一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雷视一体化微波检测器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rPr>
                      <w:rFonts w:hint="eastAsia" w:ascii="宋体" w:hAnsi="宋体" w:eastAsia="宋体" w:cs="宋体"/>
                      <w:color w:val="auto"/>
                      <w:sz w:val="24"/>
                      <w:szCs w:val="24"/>
                      <w:highlight w:val="none"/>
                    </w:rPr>
                    <w:t xml:space="preserve">同4.2.4</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工业级交换机3</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至少八个百兆电口，含电源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RVVSP2*1.0mm²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传输网络1（租赁）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百兆/三年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传输网络（租赁）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裸纤,三年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西二环交通调查系统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集成式交通气象监测仪</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横臂支架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直径32mm，臂长不低于50cm，含抱箍等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eastAsia="zh-CN"/>
                    </w:rPr>
                    <w:t xml:space="preserve">气象数据接收处理配套服务器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微光抓拍单元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二合一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雷视一体化微波检测器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rPr>
                      <w:rFonts w:hint="eastAsia" w:ascii="宋体" w:hAnsi="宋体" w:eastAsia="宋体" w:cs="宋体"/>
                      <w:color w:val="auto"/>
                      <w:sz w:val="24"/>
                      <w:szCs w:val="24"/>
                      <w:highlight w:val="none"/>
                    </w:rPr>
                    <w:t xml:space="preserve">同4.2.4</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高6米，臂长7米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RVVSP2*1.0mm²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w:t>
                  </w:r>
                  <w:r>
                    <w:rPr>
                      <w:rFonts w:hint="eastAsia" w:eastAsia="宋体" w:cs="Times New Roman"/>
                      <w:color w:val="auto"/>
                      <w:lang w:val="en-US" w:eastAsia="zh-CN"/>
                    </w:rPr>
                    <w:t xml:space="preserve">1</w:t>
                  </w:r>
                  <w:r>
                    <w:rPr>
                      <w:rFonts w:hint="eastAsia" w:ascii="宋体" w:hAnsi="宋体" w:eastAsia="宋体" w:cs="宋体"/>
                      <w:i w:val="0"/>
                      <w:iCs w:val="0"/>
                      <w:color w:val="auto"/>
                      <w:sz w:val="24"/>
                      <w:szCs w:val="24"/>
                      <w:highlight w:val="none"/>
                      <w:u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百兆/三年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传输网络（租赁）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裸纤,三年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五、交通诱导发布系统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5.1.1、地面部分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交通微诱导屏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single"/>
                    </w:rPr>
                    <w:suppressLineNumbers w:val="0"/>
                  </w:pPr>
                  <w:r>
                    <w:rPr>
                      <w:rFonts w:hint="eastAsia" w:ascii="宋体" w:hAnsi="宋体" w:eastAsia="宋体" w:cs="宋体"/>
                      <w:i w:val="0"/>
                      <w:iCs w:val="0"/>
                      <w:color w:val="auto"/>
                      <w:sz w:val="24"/>
                      <w:szCs w:val="24"/>
                      <w:highlight w:val="none"/>
                      <w:u w:val="single"/>
                      <w:lang w:val="en-US" w:eastAsia="zh-CN" w:bidi="ar"/>
                    </w:rPr>
                    <w:t xml:space="preserve">微诱导屏支架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借用路口信号灯杆安装，每块屏至少含3对（⌀260~⌀190）mm U型抱箍支架</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交通信息诱导屏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诱导屏立杆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高9米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诱导屏立杆基础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1500*1500*2800mm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智能设备箱（小）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尺寸不低于400mm*350mm*670mm(长*宽*高)，详见招标技术要求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设备箱基础（小）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垫层：500mm*410mm*50mm，C15混凝土；基础：400mm*310mm*500mm，C25混凝土；含地脚螺栓等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电力电缆4</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YJV5*10mm2</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5.1.2、高架部分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交通信息诱导屏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诱导屏门架安装支架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底撑：200mm*200mm*6mm*4620mm矩形管；斜撑：100mm*100mm*5mm*3300mm方管*4，横撑：100mm*100mm*5mm*（600mm~800mm)方管*9</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可变限速显示屏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借用门架安装支架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每块屏至少6对⌀114mmU型抱箍支架，上横臂3对，下横臂3对</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诱导屏门架式立杆2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跨度16米以下</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诱导屏门架式立杆1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跨度16米以上</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YJV3*4mm2</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电力电缆5</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YJV5*16mm2</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六、违停抓拍系统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违停抓拍球型摄像机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借助标志牌杆件安装支架，60-120cm可伸缩不对称U型支架，铝合金表面喷塑，主杆⌀45mm圆管(厚度1.5mm)，内套管⌀38mm圆管(厚度1.5mm)，⌀140mm圆形底座,⌀48mm球机接头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警告标志</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1200mm*900mm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白底、蓝图形、黑边框、白色衬边，600mm*800mm,附着式安装</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七、实景指挥系统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180°全景网络高清摄像机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60-120cm可伸缩不对称U型支架，铝合金表面喷塑，主杆⌀45mm圆管(厚度1.5mm)，内套管⌀38mm圆管(厚度1.5mm)，⌀140mm圆形底座,⌀48mm球机接头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网络传输（租赁）1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百兆/三年</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安装于配电箱内，4G三相四线智能电能表，含10年电表流量。参比电流：3x1.5(6)A，3x5(20)A，3x10(40)A3x5(60)A，3x15(60)A 3x20(80)A3x30(100)A,3x10(100)A。特点：1、全电子式三相交流有功电能双向计量功能,反向计入总电量另外具备光伏双向两个电量独立显示。2、具有4G数据远程和控制功能。3、RS485通讯接口，支持MODBUS-RTU协议或DL/T645协议。4、远程拉合闸功能。</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八、上下匝道抓拍</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全结构化摄像机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前端管理单元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预警屏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高6米，臂长5米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白底、绿图形、黑边框、白色衬边，600mm*800mm,附着式安装</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九、入口匝道控制系统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交通信息屏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上匝道车道灯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工业级交换机2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交通信号控制机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信号机基础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1000*600*900mm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智能设备箱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垫层：1060mm*800mm*100mm，C15混凝土；基础：860mm*600mm*800mm，C25混凝土；含钢筋笼、地脚螺栓等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YJV3*4mm²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电力电缆6</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YJV3*6mm²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KVVR-450/750-（4X1.0mm）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十、区间测速系统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西二环-杨新公路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环保生态抓拍单元（前牌）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二合一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限速标志牌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Φ1000mm，附着式，含抱箍等安装辅材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全程区间测速提醒标志</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700mm*1050mm，附着式，含抱箍等安装辅材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测速距离提示标志</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700mm*1205mm，附着式，含抱箍等安装辅材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测速起终点提示标志</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700mm*1050mm，附着式，含抱箍等安装辅材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前端存储管理主机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工业级交换机3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标定费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12车道，1年</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十一、广播系统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室外防水音柱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IP网络解码带功放终端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智能设备箱（小）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尺寸不低于400mm*350mm*670mm(长*宽*高)，详见招标技术要求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设备箱基础（小）</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垫层：500mm*410mm*50mm，C15混凝土；基础：400mm*310mm*500mm，C25混凝土；含地脚螺栓等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广播线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RVS2*1.0mm²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接地镀锌角钢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L5X5,L=2.5m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热镀锌扁钢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40X4热镀锌扁钢</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接地连接线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BV-10mm²</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十二、鱼腹线实线变道抓拍</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微光高清抓拍单元1（尾牌）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微光高清抓拍单元（前牌）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智能补光灯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交通监控设备标志牌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白底、绿图形、黑边框、白色衬边，600mm*800mm,附着式安装</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十三、停车收费管理系统</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高位相机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立杆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高6米，挑臂1米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1000mm*1000mm*1500mm，C25混凝土，含钢筋笼、地脚螺栓等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万向节支架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铁质喷塑，2mm厚，整体尺寸：105*100*52mm，支持上下180°，左右360°调节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与相机配套</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路侧停车智能终端管理盒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智能抱杆箱</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i w:val="0"/>
                      <w:iCs w:val="0"/>
                      <w:color w:val="auto"/>
                      <w:sz w:val="24"/>
                      <w:szCs w:val="24"/>
                      <w:highlight w:val="none"/>
                      <w:u w:val="none"/>
                      <w:lang w:val="en-US" w:eastAsia="zh-CN" w:bidi="ar"/>
                    </w:rPr>
                    <w:t xml:space="preserve">十四、中心设备扩容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14.1视频云存储扩容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云存储节点1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管理服务器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汇聚交换机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管理交换机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应用服务器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接入服务器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图形工作站</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云数据库一体机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14.2中心存储扩容（公路）</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云存储节点2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视频算法识别</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事件检测智能服务器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视图智能引擎算法服务基础授权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i w:val="0"/>
                      <w:iCs w:val="0"/>
                      <w:color w:val="auto"/>
                      <w:sz w:val="24"/>
                      <w:szCs w:val="24"/>
                      <w:highlight w:val="none"/>
                      <w:u w:val="none"/>
                      <w:lang w:val="en-US" w:eastAsia="zh-CN" w:bidi="ar"/>
                    </w:rPr>
                    <w:t xml:space="preserve">14.3</w:t>
                  </w:r>
                  <w:r>
                    <w:rPr>
                      <w:rFonts w:hint="eastAsia" w:ascii="宋体" w:hAnsi="宋体" w:eastAsia="宋体" w:cs="宋体"/>
                      <w:b w:val="0"/>
                      <w:bCs w:val="0"/>
                      <w:i w:val="0"/>
                      <w:iCs w:val="0"/>
                      <w:color w:val="auto"/>
                      <w:sz w:val="24"/>
                      <w:szCs w:val="24"/>
                      <w:highlight w:val="none"/>
                      <w:u w:val="none"/>
                      <w:lang w:val="en-US" w:eastAsia="zh-CN" w:bidi="ar"/>
                    </w:rPr>
                    <w:t xml:space="preserve">西二环交通局中心存储扩容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云存储节点2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视频算法识别</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事件检测智能服务器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视图智能引擎算法服务基础授权</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14.4 AI智能分析服务器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 AI智能分析服务器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14.5车辆二次分析设备扩容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应用服务节点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大数据存储节点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高性能GPU分析节点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视频准入设备</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14.6虚拟化扩容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虚拟化节点（扩容）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详见招标技术要求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虚拟化授权扩容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虚拟化许可（4CPU），含实施服务</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网卡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双端口万兆网卡</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超融合万兆接入交换机</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至少24个万兆光口，6个40/100GE光口（含一条堆叠线缆）；交换容量≥4.8Tbps，包转发率≥1620Mpps，至少包含交流电源模块2个，风扇模块2个；至少万兆多模模块24个；至少包含12条多模光纤跳线。</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
                    </w:rPr>
                    <w:t xml:space="preserve">14.7数据平台软件扩容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sz w:val="24"/>
                      <w:szCs w:val="24"/>
                      <w:highlight w:val="none"/>
                      <w:u w:val="none"/>
                      <w:lang w:val="en-US" w:eastAsia="zh-CN" w:bidi="ar-SA"/>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全息监管平台（扩容）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将西二环接入现有的全息高架平台，包括数据对接、三维地图建模（西二环全线以及东二环、南二环、西二环、张杨公路合围区域的市区道路）、数字孪生、平台接入等详见招标技术要求，</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十五、管道</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KVV3*1.0mm²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KVV3*2.5mm²</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室外屏蔽超五类</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室外单模4芯</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4口</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光纤尾纤</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单模3米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国产</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水泥管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φ400mm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镀锌钢管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GG100mm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尼龙管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φ80mm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HDPEφ63mm，地面预埋</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手孔井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500*500*800mm，含井盖</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人孔井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800*1000*1350mm，含井盖</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开挖土方路面</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宽度400mm，深度600mm，土方回填</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开挖人行道板</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eastAsia="宋体" w:cs="Times New Roman"/>
                      <w:i/>
                      <w:iCs/>
                      <w:color w:val="auto"/>
                      <w:sz w:val="22"/>
                      <w:szCs w:val="24"/>
                      <w:u w:val="single"/>
                    </w:rPr>
                    <w:t xml:space="preserve">宽度400mm，深度600mm，土方回填，5cm碎石层，10cm混凝土层，水泥砂浆找平层及道板砖面层恢复</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拖拉管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2根HDPEφ100mm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接线箱（引下型）</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2.5mm厚钢制热镀锌箱体，700mm*650mm*底深350mm，2mm厚不锈钢浅灰色哑光喷塑盖板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接线箱（普通型）</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2.5mm厚钢制热镀锌箱体，700mm*650mm*底深350mm，2mm厚不锈钢浅灰色哑光喷塑盖板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桥架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桥架300mm*100mm*1.5mm，含盖板，含安装配件</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HDPEφ63mm，护栏、挡墙内预埋</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硅芯管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HDPEφ32mm，接线箱至杆件基础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DN65</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DN65mm热镀锌钢管，接线箱引下管</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PE25</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落水管</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PVC100mm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含水晶头、扎带、标签、螺丝、压线端子等辅材；</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200KVA箱变</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10.5±2x2.5%/0.4KV，D.yn11，Ud%=4.0式节能型欧式箱变，符合当地供电部门能效等级要求，箱体热镀锌钢板喷塑+防腐木，高压柜进线柜出线柜电容柜各一，四出，含土建基础，接地网</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电缆直通井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砖砌砂浆抹面，C30钢砼圈梁，304不锈钢防盗盖板，井盖凹字宋体“路灯”，字高100mm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电缆三通井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砖砌砂浆抹面，C30钢砼圈梁，304不锈钢防盗盖板，井盖凹字宋体“路灯”，字高100mm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电缆转角井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砖砌砂浆抹面，C30钢砼圈梁，304不锈钢防盗盖板，井盖凹字宋体“路灯”，字高100mm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电力电缆7</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YJV22-8.7/15KV-3x70mm，变压器进线电缆</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两通道排管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2xCPVC160mm排管，公差±0.2mm，管壁厚5mm，C15垫层，C30砼包管，箱变进线电缆管道，用一备一</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4xCPVC110mm，管壁厚5mm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10KV进线电缆套管、控制箱进线电缆套管及水泥管管沟，断面尺寸:宽750mm深1300mm</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十六、合杆杆件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灯杆高12m，Q355B+Q235B钢灯杆热镀锌喷塑，含4道挂载C槽、4套热镀锌双螺帽及4厚热镀锌垫片、智能化5米悬臂，使用部位：地面主线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灯杆高12m，Q355B+Q235B钢灯杆热镀锌喷塑，含4道挂载C槽、4套热镀锌双螺帽及4厚热镀锌垫片、智能化9米悬臂，使用部位：地面主线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灯杆高12m，Q355B+Q235B钢灯杆热镀锌喷塑，含4道挂载C槽、4套热镀锌双螺帽及4厚热镀锌垫片、智能化12米悬臂，使用部位：地面主线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灯杆高9m，Q355B+Q235B钢灯杆热镀锌喷塑，含4道挂载C槽、4套热镀锌双螺帽及4厚热镀锌垫片、智能化5米悬臂，使用部位：地面主线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灯杆高9m，Q355B+Q235B钢灯杆热镀锌喷塑，含4道挂载C槽、4套热镀锌双螺帽及4厚热镀锌垫片、智能化7米悬臂，使用部位：地面主线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灯杆高9m，Q355B+Q235B钢灯杆热镀锌喷塑，含4道挂载C槽、4套热镀锌双螺帽及4厚热镀锌垫片、智能化9米悬臂，使用部位：地面主线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灯杆高9m，Q355B+Q235B钢灯杆热镀锌喷塑，含4道挂载C槽、4套热镀锌双螺帽及4厚热镀锌垫片、智能化12米悬臂，使用部位：地面主线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灯杆高10.5m，Q355B+Q235B钢灯杆热镀锌喷塑，含4道挂载C槽、4套热镀锌双螺帽及4厚热镀锌垫片、智能化5米悬臂，使用部位：地面主线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灯杆高10.5m，Q355B+Q235B钢灯杆热镀锌喷塑，含4道挂载C槽、4套热镀锌双螺帽及4厚热镀锌垫片、智能化7米悬臂，使用部位：地面主线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灯杆高8m，Q355B+Q235B钢灯杆热镀锌喷塑，含4道挂载C槽、4套热镀锌双螺帽及4厚热镀锌垫片、智能化5米悬臂，使用部位：地面主线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灯杆高8m，Q355B+Q235B钢灯杆热镀锌喷塑，含4道挂载C槽、4套热镀锌双螺帽及4厚热镀锌垫片、智能化7米悬臂，使用部位：地面主线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（智能化单悬臂12米）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灯杆高8m，Q355B+Q235B钢灯杆热镀锌喷塑，含4道挂载C槽、4套热镀锌双螺帽及4厚热镀锌垫片、智能化12米悬臂，使用部位：地面主线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（智能化单悬臂11米+3米）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灯杆高8m，Q355B+Q235B钢灯杆热镀锌喷塑，含4道挂载C槽、4套热镀锌双螺帽及4厚热镀锌垫片、11米+3米悬臂，使用部位：地面主线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灯杆高12m，Q355B+Q235B钢灯杆热镀锌喷塑，含4道挂载C槽、4套热镀锌双螺帽及4厚热镀锌垫片、智能化7米悬臂，使用部位：地面主线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（智能化单悬臂9米+3米）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灯杆高12m，Q355B+Q235B钢灯杆热镀锌喷塑，含4道挂载C槽、4套热镀锌双螺帽及4厚热镀锌垫片、智能化9米+3米悬臂，使用部位：地面主线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（智能化单悬臂12米+3米）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灯杆高12m，Q355B+Q235B钢灯杆热镀锌喷塑，含4道挂载C槽、4套热镀锌双螺帽及4厚热镀锌垫片、智能化12米+3米悬臂，使用部位：地面主线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LED合杆中杆灯一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灯杆高14m，Q355B+Q235B钢灯杆热镀锌喷塑，含4道挂载C槽、4套热镀锌双螺帽及4厚热镀锌垫片、智能化5米悬臂，使用部位：地面主线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LED合杆中杆灯一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（智能化单悬臂12米+3米）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灯杆高14m，Q355B+Q235B钢灯杆热镀锌喷塑，含4道挂载C槽、4套热镀锌双螺帽及4厚热镀锌垫片、智能化12米+3米悬臂，使用部位：地面主线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LED合杆中杆灯一（附着）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灯杆高14m，Q235B钢灯杆热镀锌喷塑，含2道挂载C槽、4套热镀锌双螺帽及4厚热镀锌垫片，使用部位：地面主线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LED单臂合杆路灯二（附着）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灯杆高12m，Q235B钢灯杆热镀锌喷塑，含2道挂载C槽、4套热镀锌双螺帽及4厚热镀锌垫片，使用部位：地面主线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LED单臂合杆路灯五（附着）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灯杆高9m，Q235B钢灯杆热镀锌喷塑，含2道挂载C槽、4套热镀锌双螺帽及4厚热镀锌垫片，使用部位：地面主线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LED双臂合杆路灯四（附着）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灯杆高12m，Q235B钢灯杆热镀锌喷塑，含2道挂载C槽、4套热镀锌双螺帽及4厚热镀锌垫片，使用部位：地面主线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LED单臂合杆路灯二（交安单侧4.0mx2.5m标志牌）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灯杆高12m，Q355B+Q235B钢灯杆热镀锌喷塑，含4道挂载C槽、4套热镀锌双螺帽及4厚热镀锌垫片、交安单侧悬臂，使用部位：地面主线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LED双臂合杆路灯二（交安单侧φ1.2m×3标志牌）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灯杆高10.5m，Q355B+Q235B钢灯杆热镀锌喷塑，含4道挂载C槽、4套热镀锌双螺帽及4厚热镀锌垫片、交安单侧悬臂，使用部位：地面主线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LED双臂合杆路灯二（交安单侧4.0mx2.5m标志牌）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灯杆高10.5m，Q355B+Q235B钢灯杆热镀锌喷塑，含4道挂载C槽、4套热镀锌双螺帽及4厚热镀锌垫片、交安单侧悬臂，使用部位：地面主线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LED双臂合杆路灯四（交安单侧φ1.2m×3标志牌）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LED双臂合杆路灯四（交安单侧φ1.2m×3标志牌）</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LED双臂合杆路灯四（交安单侧4.0mx2.5m标志牌）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灯杆高12m，Q355B+Q235B钢灯杆热镀锌喷塑，含4道挂载C槽、4套热镀锌双螺帽及4厚热镀锌垫片、交安单侧悬臂，使用部位：地面主线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路灯接地极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4mm厚4#热镀锌扁钢+5mm厚5#热镀锌角钢，角钢长2.5米，整体热镀锌</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Q235B钢预埋件，螺纹热镀锌，C30砼</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综合杆基础一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Q355B钢预埋件，螺纹热镀锌，C30砼，配筋基础，交安D120cm×3单悬臂综合杆及智能化9m及以下悬臂综合杆</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综合杆基础二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Q355B钢预埋件，螺纹热镀锌，C30砼，配筋基础，交安500cm×300cm、400cm×250cm单悬臂综合杆</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综合杆基础三</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Q355B钢预埋件，螺纹热镀锌，C30砼，配筋基础，交安300cm×120cm单悬臂综合杆及智能化10m及以上悬臂综合杆</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灯杆高11m，Q355B+Q235B钢灯杆热镀锌喷塑，含450双面发光标识、4道挂载C槽、4套热镀锌双螺帽及4厚热镀锌垫片、5G驳接法兰、智能化5米悬臂，使用部位：高架主线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（智能化单悬臂5米）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智能化5米悬臂，使用部位：高架主线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（智能化单悬臂7米）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灯杆高11m，Q355B+Q235B钢灯杆热镀锌喷塑，含450双面发光标识、4道挂载C槽、4套热镀锌双螺帽及4厚热镀锌垫片、5G驳接法兰、智能化7米悬臂，使用部位：高架主线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灯杆高11m，Q355B+Q235B钢灯杆热镀锌喷塑，含450双面发光标识、4道挂载C槽、4套热镀锌双螺帽及4厚热镀锌垫片、5G驳接法兰、智能化9米悬臂，使用部位：高架主线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（智能化单悬臂9米）</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智能化9米悬臂，使用部位：高架主线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LED单臂合杆路灯一（附着）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灯杆高11m，Q235B钢灯杆热镀锌喷塑,含450双面发光标识、2道挂载C槽、4套热镀锌双螺帽及4厚热镀锌垫片，使用部位：高架主线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LED单臂合杆路灯一（交安单侧3.2m×3.1m标志牌）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灯杆高11m，Q355B+Q235B钢灯杆热镀锌喷塑，含450双面发光标识、4道挂载C槽、4套热镀锌双螺帽及4厚热镀锌垫片、5G驳接法兰、交安单侧悬臂4m*3，使用部位：高架主线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LED单臂合杆路灯一（交安双侧3.2m×3.1m标志牌）</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灯杆高11m，Q355B+Q235B钢灯杆热镀锌喷塑，含450双面发光标识、4道挂载C槽、4套热镀锌双螺帽及4厚热镀锌垫片、5G驳接法兰，含交安侧悬臂4m*3*2，使用部位：西二环高架主线</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路灯接线盒</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含RT-14 6A 220V三相熔断器，8位带盖接线排，2位标准卡槽接线端，4厚环氧树脂接线板，配套安装在灯杆检修门内</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高架双悬臂交安杆件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双悬臂</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可变限速显示屏门架式立杆</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跨度13米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高架上匝道门架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9米</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地面接地极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4mm厚4#热镀锌扁钢+5mm厚5#热镀锌角钢，角钢长2.5米，整体热镀锌</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门架基础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沉台型基础，1600mm*1600mm*2100mm+1600mm*2600mm*400mm，C25混凝土，含钢筋笼、地脚螺栓等</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地面双悬臂交安杆件</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上匝道处</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地面双悬臂交安杆件基础</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1400*1400*2500mm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地面单悬臂交安杆件1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4.0m×2.5m标志牌安装杆件</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地面单悬臂交安杆件2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5.0m×3.0m标志牌安装杆件</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地面单悬臂交安杆件3</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单侧φ1.2m×3标志牌安装杆件</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地面单悬臂交安杆件基础1</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1400*1400*1800mm</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地面单悬臂交安杆件基础2</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1200*1200*1500mm</w:t>
                  </w:r>
                  <w:r/>
                </w:p>
              </w:tc>
            </w:tr>
            <w:tr>
              <w:trPr>
                <w:jc w:val="center"/>
                <w:trHeight w:val="220"/>
              </w:trPr>
              <w:tc>
                <w:tcPr>
                  <w:gridSpan w:val="2"/>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十七、其他暂定费用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开挖补偿费</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暂定10万元，按实结算</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传输网络（租赁）</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裸纤,十年（租赁）</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运维管理平台接入费用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预估20万元</w:t>
                  </w:r>
                  <w:r>
                    <w:rPr>
                      <w:rFonts w:hint="eastAsia" w:ascii="宋体" w:hAnsi="宋体" w:cs="宋体"/>
                      <w:i/>
                      <w:iCs/>
                      <w:color w:val="auto"/>
                      <w:sz w:val="24"/>
                      <w:szCs w:val="24"/>
                      <w:highlight w:val="none"/>
                      <w:u w:val="single"/>
                      <w:lang w:val="en-US" w:eastAsia="zh-CN" w:bidi="ar"/>
                    </w:rPr>
                    <w:t xml:space="preserve">（不超过20万元）</w:t>
                  </w:r>
                  <w:r>
                    <w:rPr>
                      <w:rFonts w:hint="eastAsia" w:ascii="宋体" w:hAnsi="宋体" w:eastAsia="宋体" w:cs="宋体"/>
                      <w:i/>
                      <w:iCs/>
                      <w:color w:val="auto"/>
                      <w:sz w:val="24"/>
                      <w:szCs w:val="24"/>
                      <w:highlight w:val="none"/>
                      <w:u w:val="single"/>
                      <w:lang w:val="en-US" w:eastAsia="zh-CN" w:bidi="ar"/>
                    </w:rPr>
                    <w:t xml:space="preserve">，按实结算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信控平台接入费用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预计28个路口，2000元/路口，共5.6万元</w:t>
                  </w:r>
                  <w:r>
                    <w:rPr>
                      <w:rFonts w:hint="eastAsia" w:ascii="宋体" w:hAnsi="宋体" w:cs="宋体"/>
                      <w:i/>
                      <w:iCs/>
                      <w:color w:val="auto"/>
                      <w:sz w:val="24"/>
                      <w:szCs w:val="24"/>
                      <w:highlight w:val="none"/>
                      <w:u w:val="single"/>
                      <w:lang w:val="en-US" w:eastAsia="zh-CN" w:bidi="ar"/>
                    </w:rPr>
                    <w:t xml:space="preserve">（不超过7万元），按实结算。</w:t>
                  </w:r>
                  <w:r>
                    <w:rPr>
                      <w:rFonts w:hint="eastAsia" w:ascii="宋体" w:hAnsi="宋体" w:eastAsia="宋体" w:cs="宋体"/>
                      <w:i/>
                      <w:iCs/>
                      <w:color w:val="auto"/>
                      <w:sz w:val="24"/>
                      <w:szCs w:val="24"/>
                      <w:highlight w:val="none"/>
                      <w:u w:val="single"/>
                      <w:lang w:val="en-US" w:eastAsia="zh-CN" w:bidi="ar"/>
                    </w:rPr>
                    <w:t xml:space="preserve">该费用仅设备包含接入服务费用，不包含接口开发，接口开发由中标方按协议开发后接入。</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交通违法处理平台接入费用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default"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预计400路设备，400元/路，预计共16万元</w:t>
                  </w:r>
                  <w:r>
                    <w:rPr>
                      <w:rFonts w:hint="eastAsia" w:ascii="宋体" w:hAnsi="宋体" w:cs="宋体"/>
                      <w:i/>
                      <w:iCs/>
                      <w:color w:val="auto"/>
                      <w:sz w:val="24"/>
                      <w:szCs w:val="24"/>
                      <w:highlight w:val="none"/>
                      <w:u w:val="single"/>
                      <w:lang w:val="en-US" w:eastAsia="zh-CN" w:bidi="ar"/>
                    </w:rPr>
                    <w:t xml:space="preserve">（</w:t>
                  </w:r>
                  <w:bookmarkStart w:id="172" w:name="OLE_LINK1"/>
                  <w:r>
                    <w:rPr>
                      <w:rFonts w:hint="eastAsia" w:ascii="宋体" w:hAnsi="宋体" w:cs="宋体"/>
                      <w:i/>
                      <w:iCs/>
                      <w:color w:val="auto"/>
                      <w:sz w:val="24"/>
                      <w:szCs w:val="24"/>
                      <w:highlight w:val="none"/>
                      <w:u w:val="single"/>
                      <w:lang w:val="en-US" w:eastAsia="zh-CN" w:bidi="ar"/>
                    </w:rPr>
                    <w:t xml:space="preserve">不超过20万元）</w:t>
                  </w:r>
                  <w:bookmarkEnd w:id="172"/>
                  <w:r>
                    <w:rPr>
                      <w:rFonts w:hint="eastAsia" w:ascii="宋体" w:hAnsi="宋体" w:cs="宋体"/>
                      <w:i/>
                      <w:iCs/>
                      <w:color w:val="auto"/>
                      <w:sz w:val="24"/>
                      <w:szCs w:val="24"/>
                      <w:highlight w:val="none"/>
                      <w:u w:val="single"/>
                      <w:lang w:val="en-US" w:eastAsia="zh-CN" w:bidi="ar"/>
                    </w:rPr>
                    <w:t xml:space="preserve">，按实结算</w:t>
                  </w:r>
                  <w:r>
                    <w:rPr>
                      <w:rFonts w:hint="eastAsia" w:ascii="宋体" w:hAnsi="宋体" w:eastAsia="宋体" w:cs="宋体"/>
                      <w:i/>
                      <w:iCs/>
                      <w:color w:val="auto"/>
                      <w:sz w:val="24"/>
                      <w:szCs w:val="24"/>
                      <w:highlight w:val="none"/>
                      <w:u w:val="single"/>
                      <w:lang w:val="en-US" w:eastAsia="zh-CN" w:bidi="ar"/>
                    </w:rPr>
                    <w:t xml:space="preserve">。包含接口对接开发，系统链路聚合，质保期内点位维护等，按实际接入路数结算</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全息高架平台接入费用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预计168路，100元/路，共1</w:t>
                  </w:r>
                  <w:r>
                    <w:rPr>
                      <w:rFonts w:hint="eastAsia" w:ascii="宋体" w:hAnsi="宋体" w:cs="宋体"/>
                      <w:i/>
                      <w:iCs/>
                      <w:color w:val="auto"/>
                      <w:sz w:val="24"/>
                      <w:szCs w:val="24"/>
                      <w:highlight w:val="none"/>
                      <w:u w:val="single"/>
                      <w:lang w:val="en-US" w:eastAsia="zh-CN" w:bidi="ar"/>
                    </w:rPr>
                    <w:t xml:space="preserve">.68万</w:t>
                  </w:r>
                  <w:r>
                    <w:rPr>
                      <w:rFonts w:hint="eastAsia" w:ascii="宋体" w:hAnsi="宋体" w:eastAsia="宋体" w:cs="宋体"/>
                      <w:i/>
                      <w:iCs/>
                      <w:color w:val="auto"/>
                      <w:sz w:val="24"/>
                      <w:szCs w:val="24"/>
                      <w:highlight w:val="none"/>
                      <w:u w:val="single"/>
                      <w:lang w:val="en-US" w:eastAsia="zh-CN" w:bidi="ar"/>
                    </w:rPr>
                    <w:t xml:space="preserve">元</w:t>
                  </w:r>
                  <w:r>
                    <w:rPr>
                      <w:rFonts w:hint="eastAsia" w:ascii="宋体" w:hAnsi="宋体" w:cs="宋体"/>
                      <w:i/>
                      <w:iCs/>
                      <w:color w:val="auto"/>
                      <w:sz w:val="24"/>
                      <w:szCs w:val="24"/>
                      <w:highlight w:val="none"/>
                      <w:u w:val="single"/>
                      <w:lang w:val="en-US" w:eastAsia="zh-CN" w:bidi="ar"/>
                    </w:rPr>
                    <w:t xml:space="preserve">（不超过2.5万元），</w:t>
                  </w:r>
                  <w:r>
                    <w:rPr>
                      <w:rFonts w:hint="eastAsia" w:ascii="宋体" w:hAnsi="宋体" w:eastAsia="宋体" w:cs="宋体"/>
                      <w:i/>
                      <w:iCs/>
                      <w:color w:val="auto"/>
                      <w:sz w:val="24"/>
                      <w:szCs w:val="24"/>
                      <w:highlight w:val="none"/>
                      <w:u w:val="single"/>
                      <w:lang w:val="en-US" w:eastAsia="zh-CN" w:bidi="ar"/>
                    </w:rPr>
                    <w:t xml:space="preserve">按实结算。该费用仅设备包含接入服务费用，不包含接口开发，接口开发由中标方按协议开发后接入</w:t>
                  </w:r>
                  <w:r/>
                </w:p>
              </w:tc>
            </w:tr>
            <w:tr>
              <w:trPr>
                <w:jc w:val="center"/>
                <w:trHeight w:val="22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视频监控平台接入费用</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实战应用平台接入费用</w:t>
                  </w:r>
                  <w:r/>
                </w:p>
              </w:tc>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预估20万元</w:t>
                  </w:r>
                  <w:r>
                    <w:rPr>
                      <w:rFonts w:hint="eastAsia" w:ascii="宋体" w:hAnsi="宋体" w:cs="宋体"/>
                      <w:i/>
                      <w:iCs/>
                      <w:color w:val="auto"/>
                      <w:sz w:val="24"/>
                      <w:szCs w:val="24"/>
                      <w:highlight w:val="none"/>
                      <w:u w:val="single"/>
                      <w:lang w:val="en-US" w:eastAsia="zh-CN" w:bidi="ar"/>
                    </w:rPr>
                    <w:t xml:space="preserve">（不超过25万元）</w:t>
                  </w:r>
                  <w:r>
                    <w:rPr>
                      <w:rFonts w:hint="eastAsia" w:ascii="宋体" w:hAnsi="宋体" w:eastAsia="宋体" w:cs="宋体"/>
                      <w:i/>
                      <w:iCs/>
                      <w:color w:val="auto"/>
                      <w:sz w:val="24"/>
                      <w:szCs w:val="24"/>
                      <w:highlight w:val="none"/>
                      <w:u w:val="single"/>
                      <w:lang w:val="en-US" w:eastAsia="zh-CN" w:bidi="ar"/>
                    </w:rPr>
                    <w:t xml:space="preserve">，按实结算</w:t>
                  </w:r>
                  <w:r/>
                </w:p>
              </w:tc>
            </w:tr>
          </w:tbl>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tc>
          <w:tcPr>
            <w:tcW w:w="936" w:type="dxa"/>
            <w:vAlign w:val="center"/>
            <w:vMerge w:val="restart"/>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p>
        </w:tc>
        <w:tc>
          <w:tcPr>
            <w:tcW w:w="360" w:type="dxa"/>
            <w:vAlign w:val="center"/>
            <w:vMerge w:val="restart"/>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主要系统及设备技术参数要求及施工要求</w:t>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4.1交通信号控制系统技术要求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4.1.1 交通信号控制系统</w:t>
            </w:r>
            <w:r/>
          </w:p>
          <w:p>
            <w:pPr>
              <w:ind w:firstLine="480"/>
              <w:jc w:val="left"/>
              <w:spacing w:line="360" w:lineRule="auto"/>
              <w:widowControl w:val="off"/>
              <w:rPr>
                <w:rFonts w:hint="eastAsia" w:ascii="Times New Roman" w:hAnsi="Times New Roman" w:eastAsia="宋体" w:cs="Times New Roman"/>
                <w:color w:val="auto"/>
                <w:sz w:val="24"/>
                <w:szCs w:val="22"/>
                <w:highlight w:val="none"/>
                <w:lang w:val="en-US" w:eastAsia="zh-CN" w:bidi="ar-SA"/>
              </w:rPr>
            </w:pPr>
            <w:r>
              <w:rPr>
                <w:rFonts w:ascii="Times New Roman" w:hAnsi="Times New Roman" w:eastAsia="宋体" w:cs="Times New Roman"/>
                <w:i/>
                <w:color w:val="auto"/>
                <w:sz w:val="24"/>
                <w:szCs w:val="22"/>
                <w:highlight w:val="none"/>
                <w:u w:val="single"/>
                <w:lang w:val="en-US" w:eastAsia="zh-CN" w:bidi="ar-SA"/>
              </w:rPr>
              <w:t xml:space="preserve">交通信号机需接入到张家港市交警大队指挥中心交通信号控制平台中并与张家港市信号控制系统兼容</w:t>
            </w:r>
            <w:r>
              <w:rPr>
                <w:rFonts w:hint="eastAsia" w:ascii="Times New Roman" w:hAnsi="Times New Roman" w:eastAsia="宋体" w:cs="Times New Roman"/>
                <w:i/>
                <w:color w:val="auto"/>
                <w:sz w:val="24"/>
                <w:szCs w:val="22"/>
                <w:highlight w:val="none"/>
                <w:u w:val="single"/>
                <w:lang w:val="en-US" w:eastAsia="zh-CN" w:bidi="ar-SA"/>
              </w:rPr>
              <w:t xml:space="preserve">。</w:t>
            </w:r>
            <w:r/>
          </w:p>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1、系统基本控制功能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实时协调控制功能。系统具有实时自适应的区域性交通控制功能，控制区域内交通信号机与交通控制中心区域控制机联网运行，信号配时方案由优化算法软件根据交通流量检测设备获得到的车流量、占有率等交通信息进行优化计算实时生成，下载给交通信号机实施区域协调控制，实现区域优化的效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降级协调控制功能。系统具有降级协调控制功能，实施协调控制的路口交通信号机都在区域控制计算机的控制之下，系统根据路网情况及实时交通情况，自动或人工选择需要降级协调控制的路口，信号配时方案由系统优化算法软件根据交通情况实时生成，下载给交通信号机实施降级协调控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无电缆协调控制功能。实施干线协调的路口交通信号机运行在单点工作方式下，交通信号机软件根据预先设置好的相序、配时、相位差等参数，自主进行协调平滑处理，使干线道路实现绿波带的效果。在此控制方式下，交通信号机需选配GPS模块校正信号机内部时钟。</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◆（4）单点感应控制功能。交通信号机具有全感应、半感应两种单点感应控制方式。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全感应控制方式功能。交通信号机工作在全感应控制方式时，每个相位首先执行初始绿长度，在到达截止绿范围内时，判断当前相位所对应的检测器上是否有车辆到达，如果超过门限则增加当前相位的放行时间一个步长，否则，做完当前长度之后，切换到下一个相位；如果在放行的过程中不断有车辆到达，则每次在相位进入截止绿长度范围内后，增加一个步长，直至到达相位的最大绿为止。在此工作方式下，关闭倒计时屏的显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半感应控制方式功能。交通信号机工作在半感应控制方式时，在无车辆到达时跳过半感应的相位，只有当半感应相位所在的检测器有车辆到达时，才按照相序运行半感应相位。在此工作方式下，关闭倒计时屏显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◆（7）多时段定周期控制方式功能。信号机在不同的时段执行相应的控制方案。</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◆（8）黄闪控制功能。信号灯黄灯以特定的频率闪烁，向车辆和行人发出警告或提示。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◆（9）全红功能。全红路口各方向均亮红灯。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◆（10）关灯功能。关闭信号灯。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上述控制方式可根据需要进行转换。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2、系统特殊控制功能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◆（1）指定相位控制功能。在指挥中心可人工在线修改系统或路口控制参数，特殊情况下还可人工指定相位控制，强制进行交通疏导。</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◆（2）模拟手动功能。根据路口交通需求，由指挥中心发出命令模拟交通信号机的手动控制方式，进行交通疏导。</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◆（3）警卫路线控制功能。在特殊情况下，如警卫、消防、救护、抢险等，信号灯按预定的路线进行绿波推进，以保证车辆畅通无阻。绿波线路由指挥中心指挥员预先设置。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◆（4）手动功能。在特殊情况下，由路口执勤的交警手动控制交通信号机进行交通疏导，在交通信号机进入手动工作状态时，交警通过手动按钮来调整路口放行状态。</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◆（5）公交优先功能。根据路口的需求，对公交车专用信号灯进行优先通行设置。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3、其他功能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◆（1）交通信息采集功能。通过车辆检测器对路口每个车道的车流信息进行自动采集、处理和存储，为改善城市交通控制和城市规划提供决策依据。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提供对从现场路口传送上来的各类交通流数据进行统计分析的工具；可提供每5分钟到年为单位的查询方式并可以进行报表打印。在GIS地图上可以查看某一个时段整个区域的流量分布情况，可以通过电子地图直观的了解到路口是否处于拥挤状态。能较精确地求取车流量、占有率，评估交通负荷度，建立交通信息管理数据库，打印分析交通信息各类图表。</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系统监测功能。对系统设备和软件运行状况和故障进行全面监测和管理。以报表的形式清晰的反映系统操作员的操作记录，系统参数的修改记录，系统登录记录，系统故障及处理记录，系统运行方案的历史记录，交通阻塞报警及处理记录。</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遥设信号机参数功能。区域机可以调看、修改和设置信号机参数，具体参数如下：信号机配时方案参数；信号机普通、特殊时段参数；信号机相位配置参数；信号机单点线控参数；信号机感应配置参数；信号机过渡灯色参数；信号机“车辆违法拍照”参数；信号机时间参数。</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系统远程监控与维护功能。可通过PSTN、DDN、ISDN等以远程联网方式注册进入用户系统，实现系统远程故障诊断，系统监控与维护：与本地系统控制台一样，监控系统的运行；调看、设置路口交通信号机控制参数，对系统软件进行诊断、修改和升级。</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◆（6）系统接口开放。</w:t>
            </w:r>
            <w:r>
              <w:rPr>
                <w:rFonts w:hint="eastAsia" w:ascii="Times New Roman" w:hAnsi="Times New Roman" w:eastAsia="宋体" w:cs="Times New Roman"/>
                <w:color w:val="auto"/>
                <w:sz w:val="24"/>
                <w:szCs w:val="24"/>
                <w:highlight w:val="none"/>
                <w:lang w:val="en-US" w:eastAsia="zh-CN" w:bidi="ar-SA"/>
              </w:rPr>
              <w:t xml:space="preserve">按照采购人需求，能够</w:t>
            </w:r>
            <w:r>
              <w:rPr>
                <w:rFonts w:ascii="Times New Roman" w:hAnsi="Times New Roman" w:eastAsia="宋体" w:cs="Times New Roman"/>
                <w:color w:val="auto"/>
                <w:sz w:val="24"/>
                <w:szCs w:val="24"/>
                <w:highlight w:val="none"/>
                <w:lang w:val="en-US" w:eastAsia="zh-CN" w:bidi="ar-SA"/>
              </w:rPr>
              <w:t xml:space="preserve">把采集处理的交通流信息、系统主要控制信息等提供给指挥集成等系统使用，可进行二次开发；</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i/>
                <w:iCs/>
                <w:color w:val="auto"/>
                <w:sz w:val="24"/>
                <w:szCs w:val="24"/>
                <w:highlight w:val="none"/>
                <w:u w:val="single"/>
                <w:lang w:val="en-US" w:eastAsia="zh-CN" w:bidi="ar-SA"/>
              </w:rPr>
              <w:t xml:space="preserve">机动车信号灯、箭头信号灯</w:t>
            </w:r>
            <w:r>
              <w:rPr>
                <w:rFonts w:hint="eastAsia" w:ascii="Times New Roman" w:hAnsi="Times New Roman" w:eastAsia="宋体" w:cs="Times New Roman"/>
                <w:i/>
                <w:iCs/>
                <w:color w:val="auto"/>
                <w:sz w:val="24"/>
                <w:szCs w:val="24"/>
                <w:highlight w:val="none"/>
                <w:u w:val="single"/>
                <w:lang w:val="en-US" w:eastAsia="zh-CN" w:bidi="ar-SA"/>
              </w:rPr>
              <w:t xml:space="preserve">、非机动车信号灯</w:t>
            </w:r>
            <w:r>
              <w:rPr>
                <w:rFonts w:ascii="Times New Roman" w:hAnsi="Times New Roman" w:eastAsia="宋体" w:cs="Times New Roman"/>
                <w:i/>
                <w:iCs/>
                <w:color w:val="auto"/>
                <w:sz w:val="24"/>
                <w:szCs w:val="24"/>
                <w:highlight w:val="none"/>
                <w:u w:val="single"/>
                <w:lang w:val="en-US" w:eastAsia="zh-CN" w:bidi="ar-SA"/>
              </w:rPr>
              <w:t xml:space="preserve">总体要求（300mm、400mm）：信号灯具由单灯组合装入外框中形成三联组合，整个三联组合外框可镶嵌安装。适用于长臂灯杆应用场合。单个灯具由面罩、面框、后盖、光源板、电源控制板组成。面框和后盖将灯芯部分密合在其内。有防水、防尘密封胶垫，防止水及灰尘进入，确保信号灯全天候正常使用；</w:t>
            </w:r>
            <w:r/>
          </w:p>
          <w:p>
            <w:pPr>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信号灯由三个分立的发光单元组成，红色、绿色发光单元都采用有配光设计无色面罩，黄色发光单元采用无色透明面罩，透过面罩可见, LED 排列成圆形和“18”字样。</w:t>
            </w:r>
            <w:r>
              <w:rPr>
                <w:rFonts w:hint="eastAsia" w:ascii="Times New Roman" w:hAnsi="Times New Roman" w:eastAsia="宋体" w:cs="Times New Roman"/>
                <w:i/>
                <w:iCs/>
                <w:color w:val="auto"/>
                <w:sz w:val="24"/>
                <w:szCs w:val="24"/>
                <w:highlight w:val="none"/>
                <w:u w:val="single"/>
                <w:lang w:val="en-US" w:eastAsia="zh-CN" w:bidi="ar-SA"/>
              </w:rPr>
              <w:t xml:space="preserve">采用大功率LED光源（单颗LED功率≥1W），LED 的光衰 L70（光通量维持在初始时 70%时间）指标≥60000 小时.</w:t>
            </w:r>
            <w:r/>
          </w:p>
          <w:p>
            <w:pPr>
              <w:spacing w:line="440" w:lineRule="exact"/>
              <w:rPr>
                <w:rFonts w:hint="default"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(8)信号灯</w:t>
            </w:r>
            <w:r>
              <w:rPr>
                <w:rFonts w:ascii="Times New Roman" w:hAnsi="Times New Roman" w:eastAsia="宋体" w:cs="Times New Roman"/>
                <w:color w:val="auto"/>
                <w:sz w:val="24"/>
                <w:szCs w:val="24"/>
                <w:highlight w:val="none"/>
                <w:lang w:val="en-US" w:eastAsia="zh-CN" w:bidi="ar-SA"/>
              </w:rPr>
              <w:t xml:space="preserve">发光单元采用合理的光学配光设计，透光面罩内含菲涅尔透镜，以达到良好的出光效果，灯面呈面发光特性，没有明显的光点；灯面亮度均匀，灯色目视明亮、清晰不刺眼。</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4.1.2 机动车箭头信号灯（300mm）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1、光强分布：符合GB14887-2011  表2信号灯光强分布。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2、发光强度：符合GB14887-2011  400 cd ≤ 发光中心 ≤1000 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7、灯面尺寸：不低于Φ300mm。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、功率因数： ≥0.9。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4.1.3 机动车圆盘信号灯（300mm）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1、光强分布：符合GB14887-2011  表2信号灯光强分布。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2、发光强度：符合GB14887-2011  400 cd ≤ 发光中心 ≤1000 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7、灯面尺寸：不低于Φ300mm。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、功率因数： ≥0.96。</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 xml:space="preserve">4.1.4 机动车箭头信号灯（400mm）</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1、光强分布：符合GB14887-2011  表2信号灯光强分布。</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2、发光强度：符合GB14887-2011 400 cd ≤ 发光中心 ≤1000 cd。</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3、色坐标：符合GB14887-2011  色度性能表6。</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4、红色625±5nm    X=0.6984，Y=0.3014。</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5、黄色590±5nm    X=0.5802，Y=0.4137。</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6、绿色505±4nm    X=0.0848，Y=0.5739。</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7、灯面尺寸：不低于Φ400mm。</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8、功率因数： ≥0.96。</w:t>
            </w:r>
            <w:r/>
          </w:p>
          <w:p>
            <w:pPr>
              <w:spacing w:line="440" w:lineRule="exact"/>
              <w:rPr>
                <w:rFonts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9</w:t>
            </w:r>
            <w:r>
              <w:rPr>
                <w:rFonts w:ascii="Times New Roman" w:hAnsi="Times New Roman" w:eastAsia="宋体" w:cs="Times New Roman"/>
                <w:b w:val="0"/>
                <w:bCs w:val="0"/>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1</w:t>
            </w:r>
            <w:r>
              <w:rPr>
                <w:rFonts w:hint="eastAsia" w:ascii="Times New Roman" w:hAnsi="Times New Roman" w:eastAsia="宋体" w:cs="Times New Roman"/>
                <w:b w:val="0"/>
                <w:bCs w:val="0"/>
                <w:i/>
                <w:iCs/>
                <w:color w:val="auto"/>
                <w:sz w:val="24"/>
                <w:szCs w:val="24"/>
                <w:highlight w:val="none"/>
                <w:u w:val="single"/>
                <w:lang w:val="en-US" w:eastAsia="zh-CN" w:bidi="ar-SA"/>
              </w:rPr>
              <w:t xml:space="preserve">0</w:t>
            </w:r>
            <w:r>
              <w:rPr>
                <w:rFonts w:ascii="Times New Roman" w:hAnsi="Times New Roman" w:eastAsia="宋体" w:cs="Times New Roman"/>
                <w:b w:val="0"/>
                <w:bCs w:val="0"/>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1</w:t>
            </w:r>
            <w:r>
              <w:rPr>
                <w:rFonts w:hint="eastAsia" w:ascii="Times New Roman" w:hAnsi="Times New Roman" w:eastAsia="宋体" w:cs="Times New Roman"/>
                <w:b w:val="0"/>
                <w:bCs w:val="0"/>
                <w:i/>
                <w:iCs/>
                <w:color w:val="auto"/>
                <w:sz w:val="24"/>
                <w:szCs w:val="24"/>
                <w:highlight w:val="none"/>
                <w:u w:val="single"/>
                <w:lang w:val="en-US" w:eastAsia="zh-CN" w:bidi="ar-SA"/>
              </w:rPr>
              <w:t xml:space="preserve">1</w:t>
            </w:r>
            <w:r>
              <w:rPr>
                <w:rFonts w:ascii="Times New Roman" w:hAnsi="Times New Roman" w:eastAsia="宋体" w:cs="Times New Roman"/>
                <w:b w:val="0"/>
                <w:bCs w:val="0"/>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 xml:space="preserve">1</w:t>
            </w:r>
            <w:r>
              <w:rPr>
                <w:rFonts w:hint="eastAsia" w:ascii="Times New Roman" w:hAnsi="Times New Roman" w:eastAsia="宋体" w:cs="Times New Roman"/>
                <w:b w:val="0"/>
                <w:bCs w:val="0"/>
                <w:i/>
                <w:iCs/>
                <w:color w:val="auto"/>
                <w:sz w:val="24"/>
                <w:szCs w:val="24"/>
                <w:highlight w:val="none"/>
                <w:u w:val="single"/>
                <w:lang w:val="en-US" w:eastAsia="zh-CN" w:bidi="ar-SA"/>
              </w:rPr>
              <w:t xml:space="preserve">2</w:t>
            </w:r>
            <w:r>
              <w:rPr>
                <w:rFonts w:ascii="Times New Roman" w:hAnsi="Times New Roman" w:eastAsia="宋体" w:cs="Times New Roman"/>
                <w:b w:val="0"/>
                <w:bCs w:val="0"/>
                <w:i/>
                <w:iCs/>
                <w:color w:val="auto"/>
                <w:sz w:val="24"/>
                <w:szCs w:val="24"/>
                <w:highlight w:val="none"/>
                <w:u w:val="single"/>
                <w:lang w:val="en-US" w:eastAsia="zh-CN" w:bidi="ar-SA"/>
              </w:rPr>
              <w:t xml:space="preserve">、外壳材质：聚碳酸酯(PC)工程塑料。</w:t>
            </w:r>
            <w:r/>
          </w:p>
          <w:p>
            <w:pPr>
              <w:spacing w:line="440" w:lineRule="exact"/>
              <w:rPr>
                <w:rFonts w:hint="default" w:ascii="Times New Roman" w:hAnsi="Times New Roman" w:eastAsia="宋体" w:cs="Times New Roman"/>
                <w:b w:val="0"/>
                <w:bCs w:val="0"/>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13、箭头信号灯基准轴上的发光亮度最大值与最小值之比不大于1（投标时须在响应文件中提供第三方检测机构出具的合格检验报告或功能截图等相关证明材料）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4.1.5 机动车圆盘信号灯（400mm）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1、光强分布：符合GB14887-2011  表2信号灯光强分布。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2、发光强度：符合GB14887-2011  400 cd ≤ 发光中心 ≤1000 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7、灯面尺寸：不低于Φ400mm， LED灯珠颗数：红色≤7颗，黄色≤7颗，绿色≤7颗。</w:t>
            </w:r>
            <w:r/>
          </w:p>
          <w:p>
            <w:pPr>
              <w:spacing w:line="440" w:lineRule="exact"/>
              <w:rPr>
                <w:rFonts w:ascii="Times New Roman" w:hAnsi="Times New Roman" w:eastAsia="宋体" w:cs="Times New Roman"/>
                <w:i w:val="0"/>
                <w:iCs w:val="0"/>
                <w:color w:val="auto"/>
                <w:sz w:val="24"/>
                <w:szCs w:val="24"/>
                <w:highlight w:val="none"/>
                <w:u w:val="none"/>
                <w:lang w:val="en-US" w:eastAsia="zh-CN" w:bidi="ar-SA"/>
              </w:rPr>
            </w:pPr>
            <w:r>
              <w:rPr>
                <w:rFonts w:ascii="Times New Roman" w:hAnsi="Times New Roman" w:eastAsia="宋体" w:cs="Times New Roman"/>
                <w:i w:val="0"/>
                <w:iCs w:val="0"/>
                <w:color w:val="auto"/>
                <w:sz w:val="24"/>
                <w:szCs w:val="24"/>
                <w:highlight w:val="none"/>
                <w:u w:val="none"/>
                <w:lang w:val="en-US" w:eastAsia="zh-CN" w:bidi="ar-SA"/>
              </w:rPr>
              <w:t xml:space="preserve">◆</w:t>
            </w:r>
            <w:r>
              <w:rPr>
                <w:rFonts w:hint="eastAsia" w:ascii="Times New Roman" w:hAnsi="Times New Roman" w:eastAsia="宋体" w:cs="Times New Roman"/>
                <w:i w:val="0"/>
                <w:iCs w:val="0"/>
                <w:color w:val="auto"/>
                <w:sz w:val="24"/>
                <w:szCs w:val="24"/>
                <w:highlight w:val="none"/>
                <w:u w:val="none"/>
                <w:lang w:val="en-US" w:eastAsia="zh-CN" w:bidi="ar-SA"/>
              </w:rPr>
              <w:t xml:space="preserve">8、</w:t>
            </w:r>
            <w:r>
              <w:rPr>
                <w:rFonts w:ascii="Times New Roman" w:hAnsi="Times New Roman" w:eastAsia="宋体" w:cs="Times New Roman"/>
                <w:i w:val="0"/>
                <w:iCs w:val="0"/>
                <w:color w:val="auto"/>
                <w:sz w:val="24"/>
                <w:szCs w:val="24"/>
                <w:highlight w:val="none"/>
                <w:u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12</w:t>
            </w:r>
            <w:r>
              <w:rPr>
                <w:rFonts w:ascii="Times New Roman" w:hAnsi="Times New Roman" w:eastAsia="宋体" w:cs="Times New Roman"/>
                <w:i/>
                <w:iCs/>
                <w:color w:val="auto"/>
                <w:sz w:val="24"/>
                <w:szCs w:val="24"/>
                <w:highlight w:val="none"/>
                <w:u w:val="single"/>
                <w:lang w:val="en-US" w:eastAsia="zh-CN" w:bidi="ar-SA"/>
              </w:rPr>
              <w:t xml:space="preserve">、功率： ≤</w:t>
            </w:r>
            <w:r>
              <w:rPr>
                <w:rFonts w:hint="eastAsia" w:ascii="Times New Roman" w:hAnsi="Times New Roman" w:eastAsia="宋体" w:cs="Times New Roman"/>
                <w:i/>
                <w:iCs/>
                <w:color w:val="auto"/>
                <w:sz w:val="24"/>
                <w:szCs w:val="24"/>
                <w:highlight w:val="none"/>
                <w:u w:val="single"/>
                <w:lang w:val="en-US" w:eastAsia="zh-CN" w:bidi="ar-SA"/>
              </w:rPr>
              <w:t xml:space="preserve">20</w:t>
            </w:r>
            <w:r>
              <w:rPr>
                <w:rFonts w:ascii="Times New Roman" w:hAnsi="Times New Roman" w:eastAsia="宋体" w:cs="Times New Roman"/>
                <w:i/>
                <w:iCs/>
                <w:color w:val="auto"/>
                <w:sz w:val="24"/>
                <w:szCs w:val="24"/>
                <w:highlight w:val="none"/>
                <w:u w:val="single"/>
                <w:lang w:val="en-US" w:eastAsia="zh-CN" w:bidi="ar-SA"/>
              </w:rPr>
              <w:t xml:space="preserve">W  功率因数：≥0.96。</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4.1.6 人行信号灯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1、二联铝合金整灯，上联为红色站立人形与绿色双8倒计时复合，下联为绿色行走人形。</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2、灯面尺寸：不低于Φ300mm。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3、显示尺寸：红人、绿人高度≥280mm；倒计时字高≥220mm。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4、光强：符合GB14887-2011的5.2.2.2光强要求，具体表格详见其他部分。</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5、色度：符合GB14887-2011表6的相关标准。</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、功率：小于12W，功率因数≥0.90，采用开关电源。</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、计时方式：绿灯闪烁时显示“倒计时”，红灯不显示“倒计时”；“倒计时”显示时间范围0-99，“倒计时”结束时显示数字为“1”。</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、计时方向设置：可通过外部开关设置每个灯的地址，与信号机配合，对相应方向的人行灯时间计时。</w:t>
            </w:r>
            <w:r/>
          </w:p>
          <w:p>
            <w:pPr>
              <w:spacing w:line="440" w:lineRule="exact"/>
              <w:rPr>
                <w:rFonts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、使用寿命：大于50000h。</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eastAsia="宋体" w:cs="Times New Roman"/>
                <w:color w:val="auto"/>
                <w:sz w:val="24"/>
                <w:szCs w:val="24"/>
              </w:rPr>
            </w:pPr>
            <w:r>
              <w:rPr>
                <w:rFonts w:hint="default" w:ascii="Times New Roman" w:hAnsi="Times New Roman" w:eastAsia="宋体" w:cs="Times New Roman"/>
                <w:color w:val="auto"/>
                <w:sz w:val="24"/>
                <w:szCs w:val="24"/>
                <w:highlight w:val="none"/>
              </w:rPr>
              <w:t xml:space="preserve">4.1.7 非机动车信号灯</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1）非机动车信号灯（400mm）</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具体要求：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1、亮度分布：符合GB14887-2011表3信号灯亮度分布。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6、灯面尺寸：不小于Φ400mm。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7、功率因数： ≥0.9。</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非机动车</w:t>
            </w:r>
            <w:r>
              <w:rPr>
                <w:rFonts w:hint="eastAsia" w:ascii="Times New Roman" w:hAnsi="Times New Roman" w:eastAsia="宋体" w:cs="Times New Roman"/>
                <w:color w:val="auto"/>
                <w:sz w:val="24"/>
                <w:szCs w:val="24"/>
                <w:highlight w:val="none"/>
                <w:lang w:val="en-US" w:eastAsia="zh-CN" w:bidi="ar-SA"/>
              </w:rPr>
              <w:t xml:space="preserve">左转</w:t>
            </w:r>
            <w:r>
              <w:rPr>
                <w:rFonts w:ascii="Times New Roman" w:hAnsi="Times New Roman" w:eastAsia="宋体" w:cs="Times New Roman"/>
                <w:color w:val="auto"/>
                <w:sz w:val="24"/>
                <w:szCs w:val="24"/>
                <w:highlight w:val="none"/>
                <w:lang w:val="en-US" w:eastAsia="zh-CN" w:bidi="ar-SA"/>
              </w:rPr>
              <w:t xml:space="preserve">信号灯</w:t>
            </w:r>
            <w:r>
              <w:rPr>
                <w:rFonts w:hint="eastAsia" w:ascii="Times New Roman" w:hAnsi="Times New Roman" w:eastAsia="宋体" w:cs="Times New Roman"/>
                <w:color w:val="auto"/>
                <w:sz w:val="24"/>
                <w:szCs w:val="24"/>
                <w:highlight w:val="none"/>
                <w:lang w:val="en-US" w:eastAsia="zh-CN" w:bidi="ar-SA"/>
              </w:rPr>
              <w:t xml:space="preserve">（400mm）</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采用发光二极管（LED）为光源的信号灯，发光单元透面光尺寸为Ф400，绿灯采用静止图案，外壳采用聚酸碳脂工程塑料，黑色亚光喷塑防护，遮光防护罩，在左转非机动车信号灯黄色发光单元内嵌“一位半”半程倒计时装置，显示红灯和绿灯相位的最后时间。含安装支架及配件。具体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1、亮度分布：符合GB14887-2011表3信号灯亮度分布。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6、灯面尺寸：不小于Φ400mm。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7、功率因数： ≥0.9。</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p>
            <w:pPr>
              <w:ind w:left="0" w:firstLine="0"/>
              <w:jc w:val="both"/>
              <w:spacing w:line="480" w:lineRule="atLeast"/>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w:t>
            </w:r>
            <w:r>
              <w:rPr>
                <w:rFonts w:ascii="Times New Roman" w:hAnsi="Times New Roman" w:eastAsia="宋体" w:cs="Times New Roman"/>
                <w:b/>
                <w:bCs/>
                <w:color w:val="auto"/>
                <w:sz w:val="24"/>
                <w:szCs w:val="24"/>
                <w:highlight w:val="none"/>
                <w:lang w:val="en-US" w:eastAsia="zh-CN" w:bidi="ar-SA"/>
              </w:rPr>
              <w:t xml:space="preserve">非机动车信号灯</w:t>
            </w:r>
            <w:r>
              <w:rPr>
                <w:rFonts w:hint="eastAsia" w:ascii="Times New Roman" w:hAnsi="Times New Roman" w:eastAsia="宋体" w:cs="Times New Roman"/>
                <w:b/>
                <w:bCs/>
                <w:color w:val="auto"/>
                <w:sz w:val="24"/>
                <w:szCs w:val="24"/>
                <w:highlight w:val="none"/>
                <w:lang w:val="en-US" w:eastAsia="zh-CN" w:bidi="ar-SA"/>
              </w:rPr>
              <w:t xml:space="preserve">（300mm）</w:t>
            </w:r>
            <w:r/>
          </w:p>
          <w:p>
            <w:pPr>
              <w:spacing w:line="440" w:lineRule="exact"/>
              <w:rPr>
                <w:rFonts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 xml:space="preserve">◆非机动车信号灯采用发光二极管（LED）为光源的信号灯，发光单元透面光尺寸为Ф</w:t>
            </w:r>
            <w:r>
              <w:rPr>
                <w:rFonts w:hint="eastAsia" w:ascii="Times New Roman" w:hAnsi="Times New Roman" w:eastAsia="宋体" w:cs="Times New Roman"/>
                <w:b w:val="0"/>
                <w:bCs w:val="0"/>
                <w:color w:val="auto"/>
                <w:sz w:val="24"/>
                <w:szCs w:val="24"/>
                <w:highlight w:val="none"/>
                <w:lang w:val="en-US" w:eastAsia="zh-CN" w:bidi="ar-SA"/>
              </w:rPr>
              <w:t xml:space="preserve">3</w:t>
            </w:r>
            <w:r>
              <w:rPr>
                <w:rFonts w:ascii="Times New Roman" w:hAnsi="Times New Roman" w:eastAsia="宋体" w:cs="Times New Roman"/>
                <w:b w:val="0"/>
                <w:bCs w:val="0"/>
                <w:color w:val="auto"/>
                <w:sz w:val="24"/>
                <w:szCs w:val="24"/>
                <w:highlight w:val="none"/>
                <w:lang w:val="en-US" w:eastAsia="zh-CN" w:bidi="ar-SA"/>
              </w:rPr>
              <w:t xml:space="preserve">00，绿灯采用静止图案，外壳采用聚酸碳脂工程塑料，黑色亚光喷塑防护，遮光防护罩，在非机动车信号灯黄色发光单元内嵌“一位半”半程倒计时装置，显示红灯和绿灯相位的最后时间。含安装支架及配件。具体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1、亮度分布：符合GB14887-2011表3信号灯亮度分布。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6、灯面尺寸：不小于Φ</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7、功率因数： ≥0.9。</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p>
            <w:pPr>
              <w:ind w:left="0" w:firstLine="0"/>
              <w:jc w:val="both"/>
              <w:spacing w:line="480" w:lineRule="atLeast"/>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4）</w:t>
            </w:r>
            <w:r>
              <w:rPr>
                <w:rFonts w:ascii="Times New Roman" w:hAnsi="Times New Roman" w:eastAsia="宋体" w:cs="Times New Roman"/>
                <w:b/>
                <w:bCs/>
                <w:color w:val="auto"/>
                <w:sz w:val="24"/>
                <w:szCs w:val="24"/>
                <w:highlight w:val="none"/>
                <w:lang w:val="en-US" w:eastAsia="zh-CN" w:bidi="ar-SA"/>
              </w:rPr>
              <w:t xml:space="preserve">非机动</w:t>
            </w:r>
            <w:r>
              <w:rPr>
                <w:rFonts w:hint="eastAsia" w:ascii="Times New Roman" w:hAnsi="Times New Roman" w:eastAsia="宋体" w:cs="Times New Roman"/>
                <w:b/>
                <w:bCs/>
                <w:color w:val="auto"/>
                <w:sz w:val="24"/>
                <w:szCs w:val="24"/>
                <w:highlight w:val="none"/>
                <w:lang w:val="en-US" w:eastAsia="zh-CN" w:bidi="ar-SA"/>
              </w:rPr>
              <w:t xml:space="preserve">车</w:t>
            </w:r>
            <w:r>
              <w:rPr>
                <w:rFonts w:ascii="Times New Roman" w:hAnsi="Times New Roman" w:eastAsia="宋体" w:cs="Times New Roman"/>
                <w:b/>
                <w:bCs/>
                <w:color w:val="auto"/>
                <w:sz w:val="24"/>
                <w:szCs w:val="24"/>
                <w:highlight w:val="none"/>
                <w:lang w:val="en-US" w:eastAsia="zh-CN" w:bidi="ar-SA"/>
              </w:rPr>
              <w:t xml:space="preserve">左转信号灯</w:t>
            </w:r>
            <w:r>
              <w:rPr>
                <w:rFonts w:hint="eastAsia" w:ascii="Times New Roman" w:hAnsi="Times New Roman" w:eastAsia="宋体" w:cs="Times New Roman"/>
                <w:b/>
                <w:bCs/>
                <w:color w:val="auto"/>
                <w:sz w:val="24"/>
                <w:szCs w:val="24"/>
                <w:highlight w:val="none"/>
                <w:lang w:val="en-US" w:eastAsia="zh-CN" w:bidi="ar-SA"/>
              </w:rPr>
              <w:t xml:space="preserve">（300mm）</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采用发光二极管（LED）为光源的信号灯，发光单元透面光尺寸为Ф</w:t>
            </w:r>
            <w:r>
              <w:rPr>
                <w:rFonts w:hint="eastAsia" w:ascii="Times New Roman" w:hAnsi="Times New Roman" w:eastAsia="宋体" w:cs="Times New Roman"/>
                <w:color w:val="auto"/>
                <w:sz w:val="24"/>
                <w:szCs w:val="24"/>
                <w:highlight w:val="none"/>
                <w:lang w:val="en-US" w:eastAsia="zh-CN" w:bidi="ar-SA"/>
              </w:rPr>
              <w:t xml:space="preserve">3</w:t>
            </w:r>
            <w:r>
              <w:rPr>
                <w:rFonts w:ascii="Times New Roman" w:hAnsi="Times New Roman" w:eastAsia="宋体" w:cs="Times New Roman"/>
                <w:color w:val="auto"/>
                <w:sz w:val="24"/>
                <w:szCs w:val="24"/>
                <w:highlight w:val="none"/>
                <w:lang w:val="en-US" w:eastAsia="zh-CN" w:bidi="ar-SA"/>
              </w:rPr>
              <w:t xml:space="preserve">00，绿灯采用静止图案，外壳采用聚酸碳脂工程塑料，黑色亚光喷塑防护，遮光防护罩，在左转非机动车信号灯黄色发光单元内嵌“一位半”半程倒计时装置，显示红灯和绿灯相位的最后时间。含安装支架及配件。具体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1、亮度分布：符合GB14887-2011表3信号灯亮度分布。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4、黄色590±5nm    X=0.5802，Y=0.4137。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6、灯面尺寸：不小于Φ</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00mm。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7、功率因数： ≥0.9。</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、使用寿命：＞50000h。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、防水、防尘措施防护等级：不低于IP54。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、外壳材质：聚碳酸酯(PC)工程塑料。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4.1.8 交通信号控制机</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1、交通信号控制机应为集中协调式信号控制机，相关控制功能要求符合国家标准GB25280-2016《道路交通信号控制机》C类A级的规范要求。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2、交通信号控制机应具备区域联网控制，同时应能实现线控、感应、多时段、单点优化、单点无电缆线控、黄闪、全红、关灯、手控等单点控制功能。</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3、可接入不少于32路车流量检测设备，支持无线线圈、地磁、微波、视频、正向雷达等多种车流量检测方式。</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4、可控制不少于4块通信式三色倒计时显示屏，并可扩充至16块；为适应优化或线控的需要，可支持倒9秒显示。</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5、具备红绿冲突、灯不亮、红绿同时亮等信号灯故障检测功能，发生故障后自动降级处理。</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6、交通信号控制机支持双电源供电功能，采用双路电源供电，当任一路电源故障时，系统能正常工作。</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7、联网情况下，信号机支持为勤务车辆/VIP车辆配置紧急优先相位，可配置不少于8个以上紧急优先相位。</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8、交通信号控制机支持优先控制功能，可通过检测多路检测器的触发信号进行相位配时调整，实现特殊车辆的绝对优先和相对优先控制。</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9、交通信号控制机支持无线手控功能，可通过外接无线手持终端实现手动/自动切换、相位步进、跳相。</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10、信号机具备无电缆协调控制功能。信号控制机之间没有通信链路时，可通过信号控制机内部时钟同步的方式设定相位差，实现交叉路口的交通信号协调的控制方式。</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11、通讯接口：≥1个RS485，≥1个RS422，≥1个RJ45。</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12、信号机箱要求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（2）机箱顶开口能放GPS/北斗天线。</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）外壳对外界机械碰撞的防护等级达到IK10。</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4.1.9 无线遥控手动装置</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含手持遥控器及接收机，兼容信号控制系统，具备良好的防水防尘性能，IP65防护级别，完全防止灰尘和</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12.5L/min水流侵入；加强外壳，玻璃纤维增强尼龙材料；在中心能对路口遥控器进行远程授权使用。</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4.1.10 线缆敷设要求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1、主干线缆要求：所有铜芯聚氯乙烯绝缘聚氯乙烯护套控制软电缆的导线截面</w:t>
            </w:r>
            <w:r>
              <w:rPr>
                <w:rFonts w:ascii="Times New Roman" w:hAnsi="Times New Roman" w:eastAsia="宋体" w:cs="Times New Roman"/>
                <w:color w:val="auto"/>
                <w:sz w:val="24"/>
                <w:szCs w:val="24"/>
                <w:highlight w:val="none"/>
                <w:lang w:val="en-US" w:eastAsia="zh-CN" w:bidi="ar-SA"/>
              </w:rPr>
              <w:t xml:space="preserve">必须符合国标标准。每只发光单元的电源引线，需采用聚氯乙烯黑色护套线，红、黄、绿三个发光单元，除回路线用黑色外，应分别用红、黄、绿色导线。主干线缆采用KVVR20*1.0mm2或KVVR10*1.0mm2。KVVR20*1.0mm2用4种颜色区分，5根芯线用一种颜色，并标注1-20线号，例如：红色（1-5号线），黄色（6-10号线），绿色（11-15号线），白色（16-20号线）。KVVR10*1.0mm2用2种颜色区分，5根芯线用一种颜色，并标注1-10线号，例如：红色（1-5号线），黄色（6-10号线）。</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2、上杆线缆要求：机动车、非机动车信号灯上杆线采用KVVR5*1.0mm2,芯线分别为红、黄、绿、黑、黄绿；红、黄、绿分别对应信号灯的红、黄、绿，黑色接零线，黄绿接信号灯接地端。人行灯上杆线采用KVVR4*1.0mm2,芯线分别为红、绿、黑、黄绿；红、绿对应人行灯的红、绿，黑色接零线，黄绿色接人行灯接地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3、放线要求：悬臂式立杆从信号机机箱拉一路20芯线及一路10芯线至机动车信号灯立杆，20芯电缆分别接机动车灯组与非机动车灯组；（20-16号线接对应左转机动车相位，15-11号线接对应直行机动车相位，10-6号线接非机动车左转相位，</w:t>
            </w:r>
            <w:r>
              <w:rPr>
                <w:rFonts w:ascii="Times New Roman" w:hAnsi="Times New Roman" w:eastAsia="宋体" w:cs="Times New Roman"/>
                <w:color w:val="auto"/>
                <w:sz w:val="24"/>
                <w:szCs w:val="24"/>
                <w:highlight w:val="none"/>
                <w:lang w:val="en-US" w:eastAsia="zh-CN" w:bidi="ar-SA"/>
              </w:rPr>
              <w:t xml:space="preserve">5-1号线接非机动车直行相位），人行灯组单独接一路10芯电缆，到对应的人行灯立杆，10-6号线接南北向人行，5-1号线接东西向人行。接线按照从红灯开始线号逐步减小原则，例如（机动车和非机动车）：20接左转机动车红，19接左转机动车黄，18接左转机动车绿，17接左转机动车零线，16接左转机动车接地。人行灯如：10接人行红，9备用，8接人行绿，7接人行零线，6接人行接地。辅灯设置在机非隔离带近光灯的情形，从信号机箱引一路10芯线电缆至立杆接线位置（10-6号线接对应左转机动车灯，5-1号线接对应直行机动车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4、施工工艺要求：所有线缆放线完成后按照交通信号控制器现场安装要求对线缆进行线与线及线与地的绝缘检测和记录，所有线头必须在立杆中对接，禁止在手井中接头，禁止在立杆中用接线端子排对接，线缆对接用热熔防水中间对接端子，用专用绝缘端子压接钳压接后，进行热熔，并在对接处用防水胶布整体包裹，再用PVC绝缘胶布做整体包裹保护。信号灯上杆线与主干线路对接处，做好防脱落，防水标签标注，并清晰标明左转机动车、直行机动车、非机动车左转等对应信息。在信号机机柜中对信号灯线缆用套管式标签按信号机接线端口定义表标注中文标签。</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人行横道信号灯倒计时屏采用485通讯协议，所有人行横道信号灯倒计时通讯线采用RVSP2*1.0线缆与信号机连接；每个灯盘要求1根线与信号机相连，确保一灯一线。</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4.1.11 信号灯安装要求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1、机动车信号灯：采用悬臂式安装时，灯盘底边距地不小于5.5m，但不得大于7m。采用单柱式安装时，灯盘底边距地3.2m。安装在快速路箱梁外侧时，不得低于桥体净空。</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2、人行横道信号灯：采用单柱式安装，灯盘底边距地2.5m。</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3、非机动车信号灯：在借用机动车信号灯立杆附着式安装时，灯盘底边距地不小于 2.5m，但不得大于3m。在借用机动车信号灯杆悬臂式安装时，灯盘底边距地不小于5.5m，但不得大于7m。采用单柱式立杆安装时，灯盘底边距地3.2m。安装在快速路箱梁外侧时，不得低于桥体净空。</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4.1.12 信号机安装要求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信号机箱一般情况下与配电箱、智能交通箱并排安装于路口绿化带或人行道板边侧，安装位置不得影响行人正常通行；信号机箱开门侧应面向非机动车道或人行道，不允许面向机动车道；信号机箱带钥匙孔侧面应面向外侧，周边无遮挡物，以保证手动调控时操作方便。</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 高清视频监控系统技术要求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4.2.1 一体化高清球形摄像机</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1、</w:t>
            </w:r>
            <w:r>
              <w:rPr>
                <w:rFonts w:hint="eastAsia" w:ascii="Times New Roman" w:hAnsi="Times New Roman" w:eastAsia="宋体" w:cs="Times New Roman"/>
                <w:bCs/>
                <w:i/>
                <w:iCs/>
                <w:color w:val="auto"/>
                <w:sz w:val="24"/>
                <w:szCs w:val="24"/>
                <w:highlight w:val="none"/>
                <w:u w:val="single"/>
                <w:lang w:val="en-US" w:eastAsia="zh-CN" w:bidi="ar-SA"/>
              </w:rPr>
              <w:t xml:space="preserve">不低于</w:t>
            </w:r>
            <w:r>
              <w:rPr>
                <w:rFonts w:ascii="Times New Roman" w:hAnsi="Times New Roman" w:eastAsia="宋体" w:cs="Times New Roman"/>
                <w:bCs/>
                <w:i/>
                <w:iCs/>
                <w:color w:val="auto"/>
                <w:sz w:val="24"/>
                <w:szCs w:val="24"/>
                <w:highlight w:val="none"/>
                <w:u w:val="single"/>
                <w:lang w:val="en-US" w:eastAsia="zh-CN" w:bidi="ar-SA"/>
              </w:rPr>
              <w:t xml:space="preserve">1/2.5＂400万</w:t>
            </w:r>
            <w:r>
              <w:rPr>
                <w:rFonts w:hint="eastAsia" w:ascii="Times New Roman" w:hAnsi="Times New Roman" w:eastAsia="宋体" w:cs="Times New Roman"/>
                <w:bCs/>
                <w:i/>
                <w:iCs/>
                <w:color w:val="auto"/>
                <w:sz w:val="24"/>
                <w:szCs w:val="24"/>
                <w:highlight w:val="none"/>
                <w:u w:val="single"/>
                <w:lang w:val="en-US" w:eastAsia="zh-CN" w:bidi="ar-SA"/>
              </w:rPr>
              <w:t xml:space="preserve">像素</w:t>
            </w:r>
            <w:r>
              <w:rPr>
                <w:rFonts w:ascii="Times New Roman" w:hAnsi="Times New Roman" w:eastAsia="宋体" w:cs="Times New Roman"/>
                <w:bCs/>
                <w:i/>
                <w:iCs/>
                <w:color w:val="auto"/>
                <w:sz w:val="24"/>
                <w:szCs w:val="24"/>
                <w:highlight w:val="none"/>
                <w:u w:val="single"/>
                <w:lang w:val="en-US" w:eastAsia="zh-CN" w:bidi="ar-SA"/>
              </w:rPr>
              <w:t xml:space="preserve">40倍光学变焦镜头，16倍数字变倍。采用高效补光阵列，红外补光150m以上。</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2、支持人形检测及联动查看。</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3、内置加热玻璃，有效除雾。</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4、</w:t>
            </w:r>
            <w:r>
              <w:rPr>
                <w:rFonts w:hint="eastAsia" w:ascii="Times New Roman" w:hAnsi="Times New Roman" w:eastAsia="宋体" w:cs="Times New Roman"/>
                <w:bCs/>
                <w:i/>
                <w:iCs/>
                <w:color w:val="auto"/>
                <w:sz w:val="24"/>
                <w:szCs w:val="24"/>
                <w:highlight w:val="none"/>
                <w:u w:val="single"/>
                <w:lang w:val="en-US" w:eastAsia="zh-CN" w:bidi="ar-SA"/>
              </w:rPr>
              <w:t xml:space="preserve">不高于</w:t>
            </w:r>
            <w:r>
              <w:rPr>
                <w:rFonts w:ascii="Times New Roman" w:hAnsi="Times New Roman" w:eastAsia="宋体" w:cs="Times New Roman"/>
                <w:bCs/>
                <w:i/>
                <w:iCs/>
                <w:color w:val="auto"/>
                <w:sz w:val="24"/>
                <w:szCs w:val="24"/>
                <w:highlight w:val="none"/>
                <w:u w:val="single"/>
                <w:lang w:val="en-US" w:eastAsia="zh-CN" w:bidi="ar-SA"/>
              </w:rPr>
              <w:t xml:space="preserve">0.005 Lux @F1.6（彩色），0.001 Lux @F1.6（黑白），0 Lux with IR照度。</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5、支持三码流技术，每路码流可独立配置分辨率及帧率。</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6</w:t>
            </w:r>
            <w:r>
              <w:rPr>
                <w:rFonts w:ascii="Times New Roman" w:hAnsi="Times New Roman" w:eastAsia="宋体" w:cs="Times New Roman"/>
                <w:bCs/>
                <w:i/>
                <w:iCs/>
                <w:color w:val="auto"/>
                <w:sz w:val="24"/>
                <w:szCs w:val="24"/>
                <w:highlight w:val="none"/>
                <w:u w:val="single"/>
                <w:lang w:val="en-US" w:eastAsia="zh-CN" w:bidi="ar-SA"/>
              </w:rPr>
              <w:t xml:space="preserve">、支持3D数字降噪，支持真宽动态。</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7</w:t>
            </w:r>
            <w:r>
              <w:rPr>
                <w:rFonts w:ascii="Times New Roman" w:hAnsi="Times New Roman" w:eastAsia="宋体" w:cs="Times New Roman"/>
                <w:bCs/>
                <w:i/>
                <w:iCs/>
                <w:color w:val="auto"/>
                <w:sz w:val="24"/>
                <w:szCs w:val="24"/>
                <w:highlight w:val="none"/>
                <w:u w:val="single"/>
                <w:lang w:val="en-US" w:eastAsia="zh-CN" w:bidi="ar-SA"/>
              </w:rPr>
              <w:t xml:space="preserve">、设备具有前景聚焦、后景聚焦、区域聚焦功能。</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8</w:t>
            </w:r>
            <w:r>
              <w:rPr>
                <w:rFonts w:ascii="Times New Roman" w:hAnsi="Times New Roman" w:eastAsia="宋体" w:cs="Times New Roman"/>
                <w:bCs/>
                <w:i/>
                <w:iCs/>
                <w:color w:val="auto"/>
                <w:sz w:val="24"/>
                <w:szCs w:val="24"/>
                <w:highlight w:val="none"/>
                <w:u w:val="single"/>
                <w:lang w:val="en-US" w:eastAsia="zh-CN" w:bidi="ar-SA"/>
              </w:rPr>
              <w:t xml:space="preserve">、焦距：5.5-220mm。</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9</w:t>
            </w:r>
            <w:r>
              <w:rPr>
                <w:rFonts w:ascii="Times New Roman" w:hAnsi="Times New Roman" w:eastAsia="宋体" w:cs="Times New Roman"/>
                <w:bCs/>
                <w:i/>
                <w:iCs/>
                <w:color w:val="auto"/>
                <w:sz w:val="24"/>
                <w:szCs w:val="24"/>
                <w:highlight w:val="none"/>
                <w:u w:val="single"/>
                <w:lang w:val="en-US" w:eastAsia="zh-CN" w:bidi="ar-SA"/>
              </w:rPr>
              <w:t xml:space="preserve">、水平范围：支持360°。水平速度：水平键控速度：0.1°-160°/s,速度可设;水平预置点速度</w:t>
            </w:r>
            <w:r>
              <w:rPr>
                <w:rFonts w:hint="eastAsia" w:ascii="Times New Roman" w:hAnsi="Times New Roman" w:eastAsia="宋体" w:cs="Times New Roman"/>
                <w:bCs/>
                <w:i/>
                <w:iCs/>
                <w:color w:val="auto"/>
                <w:sz w:val="24"/>
                <w:szCs w:val="24"/>
                <w:highlight w:val="none"/>
                <w:u w:val="single"/>
                <w:lang w:val="en-US" w:eastAsia="zh-CN" w:bidi="ar-SA"/>
              </w:rPr>
              <w:t xml:space="preserve">不低于</w:t>
            </w:r>
            <w:r>
              <w:rPr>
                <w:rFonts w:ascii="Times New Roman" w:hAnsi="Times New Roman" w:eastAsia="宋体" w:cs="Times New Roman"/>
                <w:bCs/>
                <w:i/>
                <w:iCs/>
                <w:color w:val="auto"/>
                <w:sz w:val="24"/>
                <w:szCs w:val="24"/>
                <w:highlight w:val="none"/>
                <w:u w:val="single"/>
                <w:lang w:val="en-US" w:eastAsia="zh-CN" w:bidi="ar-SA"/>
              </w:rPr>
              <w:t xml:space="preserve">240°/s。</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 xml:space="preserve">1</w:t>
            </w:r>
            <w:r>
              <w:rPr>
                <w:rFonts w:hint="eastAsia" w:ascii="Times New Roman" w:hAnsi="Times New Roman" w:eastAsia="宋体" w:cs="Times New Roman"/>
                <w:bCs/>
                <w:i/>
                <w:iCs/>
                <w:color w:val="auto"/>
                <w:sz w:val="24"/>
                <w:szCs w:val="24"/>
                <w:highlight w:val="none"/>
                <w:u w:val="single"/>
                <w:lang w:val="en-US" w:eastAsia="zh-CN" w:bidi="ar-SA"/>
              </w:rPr>
              <w:t xml:space="preserve">0</w:t>
            </w:r>
            <w:r>
              <w:rPr>
                <w:rFonts w:ascii="Times New Roman" w:hAnsi="Times New Roman" w:eastAsia="宋体" w:cs="Times New Roman"/>
                <w:bCs/>
                <w:i/>
                <w:iCs/>
                <w:color w:val="auto"/>
                <w:sz w:val="24"/>
                <w:szCs w:val="24"/>
                <w:highlight w:val="none"/>
                <w:u w:val="single"/>
                <w:lang w:val="en-US" w:eastAsia="zh-CN" w:bidi="ar-SA"/>
              </w:rPr>
              <w:t xml:space="preserve">、垂直范围：支持-15°-90°(自动翻转)。垂直速度：垂直键控速度：0.1°-120°/s,速度可设;垂直预置点速度</w:t>
            </w:r>
            <w:r>
              <w:rPr>
                <w:rFonts w:hint="eastAsia" w:ascii="Times New Roman" w:hAnsi="Times New Roman" w:eastAsia="宋体" w:cs="Times New Roman"/>
                <w:bCs/>
                <w:i/>
                <w:iCs/>
                <w:color w:val="auto"/>
                <w:sz w:val="24"/>
                <w:szCs w:val="24"/>
                <w:highlight w:val="none"/>
                <w:u w:val="single"/>
                <w:lang w:val="en-US" w:eastAsia="zh-CN" w:bidi="ar-SA"/>
              </w:rPr>
              <w:t xml:space="preserve">不低于</w:t>
            </w:r>
            <w:r>
              <w:rPr>
                <w:rFonts w:ascii="Times New Roman" w:hAnsi="Times New Roman" w:eastAsia="宋体" w:cs="Times New Roman"/>
                <w:bCs/>
                <w:i/>
                <w:iCs/>
                <w:color w:val="auto"/>
                <w:sz w:val="24"/>
                <w:szCs w:val="24"/>
                <w:highlight w:val="none"/>
                <w:u w:val="single"/>
                <w:lang w:val="en-US" w:eastAsia="zh-CN" w:bidi="ar-SA"/>
              </w:rPr>
              <w:t xml:space="preserve">200°/s</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11</w:t>
            </w:r>
            <w:r>
              <w:rPr>
                <w:rFonts w:ascii="Times New Roman" w:hAnsi="Times New Roman" w:eastAsia="宋体" w:cs="Times New Roman"/>
                <w:bCs/>
                <w:i/>
                <w:iCs/>
                <w:color w:val="auto"/>
                <w:sz w:val="24"/>
                <w:szCs w:val="24"/>
                <w:highlight w:val="none"/>
                <w:u w:val="single"/>
                <w:lang w:val="en-US" w:eastAsia="zh-CN" w:bidi="ar-SA"/>
              </w:rPr>
              <w:t xml:space="preserve">、电流及功耗：最大功耗：≤ 35 W。</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12</w:t>
            </w:r>
            <w:r>
              <w:rPr>
                <w:rFonts w:ascii="Times New Roman" w:hAnsi="Times New Roman" w:eastAsia="宋体" w:cs="Times New Roman"/>
                <w:bCs/>
                <w:i/>
                <w:iCs/>
                <w:color w:val="auto"/>
                <w:sz w:val="24"/>
                <w:szCs w:val="24"/>
                <w:highlight w:val="none"/>
                <w:u w:val="single"/>
                <w:lang w:val="en-US" w:eastAsia="zh-CN" w:bidi="ar-SA"/>
              </w:rPr>
              <w:t xml:space="preserve">、工作温湿度：支持-30℃-65℃;湿度小于90%。</w:t>
            </w:r>
            <w:r/>
          </w:p>
          <w:p>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 xml:space="preserve">13</w:t>
            </w:r>
            <w:r>
              <w:rPr>
                <w:rFonts w:ascii="Times New Roman" w:hAnsi="Times New Roman" w:eastAsia="宋体" w:cs="Times New Roman"/>
                <w:bCs/>
                <w:i/>
                <w:iCs/>
                <w:color w:val="auto"/>
                <w:sz w:val="24"/>
                <w:szCs w:val="24"/>
                <w:highlight w:val="none"/>
                <w:u w:val="single"/>
                <w:lang w:val="en-US" w:eastAsia="zh-CN" w:bidi="ar-SA"/>
              </w:rPr>
              <w:t xml:space="preserve">、防护：≥IP66。</w:t>
            </w:r>
            <w:r/>
          </w:p>
          <w:p>
            <w:pPr>
              <w:spacing w:line="440" w:lineRule="exact"/>
              <w:rPr>
                <w:rFonts w:ascii="Times New Roman" w:hAnsi="Times New Roman" w:eastAsia="宋体" w:cs="Times New Roman"/>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14</w:t>
            </w:r>
            <w:r>
              <w:rPr>
                <w:rFonts w:ascii="Times New Roman" w:hAnsi="Times New Roman" w:eastAsia="宋体" w:cs="Times New Roman"/>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支持异常事件上报功能，包括不限于异常停车、行人、非机动车、摩托车检测等（投标时须在响应文件中提供第三方检测机构出具的合格检验报告或功能截图等相关证明材料）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4.2.2 高清枪型摄像机</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1、不低于400万像素。</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2、支持越界侦测、区域入侵侦测、进入/离开区域侦测、徘徊侦测、人员聚集侦测、快速运动侦测、停车侦测、物品遗留/拿取侦测。</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3、支持宽动态范围≥120dB。</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、工作温度和湿度:-30℃~60℃,湿度小于95%(无凝结)。</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、防护等级:≥IP66；</w:t>
            </w:r>
            <w:r/>
          </w:p>
          <w:p>
            <w:pPr>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6、配电源及支架。</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7、红外夜视可识别摄像机150米处人体轮廓。（投标时须在响应文件中提供第三方检测机构出具的合格检验报告或功能截图等相关证明材料）</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4.2.3 一体化高清高倍球形摄像机</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1、采用</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800万像素1/1.2英寸CMOS 传感器,内置GPU芯片，最大分辨率(像素数)不低于4096×2160。</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2、支持</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40倍光学变倍，16倍数字变倍。</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3、最低照度满足：彩色≤0.0002Lux，黑白≤0.0001Lux。</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4、内置</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450米以上红外灯补光，支持倍率与红外灯功率匹配算法。</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5、支持H.265、H.264、MJPEG视频编码格式，其中H.265和H.264都支持Baseline/Main/High Profile。</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6、支持水平方向360°连续旋转，垂直方向-30°～90°，自动翻转180°后连续监视,无监视盲区。</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7、支持巡航计划配置，支持多场景智能巡航模式；支持不同智能功能的分时复用，切换码流可继续支持原来的智能模式，支持跟踪抓拍。</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、不低于IP67防护等级，6000V防雷、防浪涌和防突波保护，支持AC24V±25%宽电压输入。</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4.2.4 智能抱杆箱</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设备箱箱体510mm*380mm*220mm；箱体使用材料为不锈钢板,板厚≥1.2mm,人字尖顶，防护等级IP54。内部配电、防雷单元以及设备放置隔板位置能自由调整，挂杆与壁装公用。门体使用双翻遍工艺，材料为不锈钢板板材质，门板印字可依据采购人要求定制。安装底板依据设备安装位置开定位安装孔。抽拉式隔板，设备安放及固定板，开散热孔及过线孔。防盗锁，弹珠型防盗锁芯，外部防撬扣厚度大于2mm。防盗铰链，锌合金材质，压铸工艺，内部固定。</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2、电源防雷最大持续工作电压</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385V AC，最大通流容量</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40kA，保护水平（40kA，8/20μs）：2400V，保护模式：L-N-PE，响应时间：≤1ns，防护等级：不低于IP20。</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3、机箱为全天候防风雨自立式机箱。在机箱中加装电源保护装置，即过流过压保护装置，里面可能放置光端机、防雷模块、电源设备，接线端子、光纤终端盒、维修开关和插座等。机箱中应配有电源单元。</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4、机箱内设有防雷电装置，每一根引入线均有相应的防雷电保护装置。</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5、机箱中应有通风装置，当机箱内温度过高时，通风装置自动启动排风降温。且进、排风口必须防水渗漏，有防虫吸入滤网。机箱锁要求有防雨外壳。</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6、机箱应有良好的接地系统，其防雷接地与电子设备工作接地分开。</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7、供电：电流总量程不小于63A；支持</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1路220V32A（电流量程可调1A-63A）供电</w:t>
            </w:r>
            <w:r>
              <w:rPr>
                <w:rFonts w:hint="eastAsia"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4路220V16A（电流量程可调1A-20A）供电。</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8、配装工业级传输交换机，不少于2光8电，含光模块，千兆端口，无风扇设计，可实时检测交换机工作状态，状态异常时可上报异常数据，可远程重启交换机；</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、电路监测：支持</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5路电流电压检测；电压量程0-350V；电流总量程</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63A；直流供电DC12V，</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2路（每路独立控制，每路单独故障检测，故障独立告警，具备用电独立自恢复功能）。</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10</w:t>
            </w:r>
            <w:r>
              <w:rPr>
                <w:rFonts w:ascii="Times New Roman" w:hAnsi="Times New Roman" w:eastAsia="宋体" w:cs="Times New Roman"/>
                <w:i/>
                <w:iCs/>
                <w:color w:val="auto"/>
                <w:sz w:val="24"/>
                <w:szCs w:val="24"/>
                <w:highlight w:val="none"/>
                <w:u w:val="single"/>
                <w:lang w:val="en-US" w:eastAsia="zh-CN" w:bidi="ar-SA"/>
              </w:rPr>
              <w:t xml:space="preserve">、具备以太网通讯功能；GPS定位以及地图展示功能；门禁报警功能；断电检测功能。</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、具备断网检测功能；防雷失效检测功能；RS485通讯功能；时钟功能以及电池充电功能。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、环境监测：支持箱体内部温湿度检测，温度量程：-40-+125℃，湿度量程0-100%RH。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、断电</w:t>
            </w:r>
            <w:r>
              <w:rPr>
                <w:rFonts w:hint="eastAsia" w:ascii="Times New Roman" w:hAnsi="Times New Roman" w:eastAsia="宋体"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温度</w:t>
            </w:r>
            <w:r>
              <w:rPr>
                <w:rFonts w:hint="eastAsia" w:ascii="Times New Roman" w:hAnsi="Times New Roman" w:eastAsia="宋体"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网络异常：支持远程中心平台报警。</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、温度调节：支持远程控制风扇。</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、防护等级：不低于IP55。</w:t>
            </w:r>
            <w:r/>
          </w:p>
          <w:p>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 xml:space="preserve">16、支持无缝接入张家港现有智能箱运维管理平台，接口要求如下：</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1）数据接口基于SNMP标准协议，符合RFC1901- RFC1908；</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2）以太网口应使用TCP/IP协议，TCP协议应符合RFC0793，IP协议应符合RFC0791</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4.2.5 接入接口要求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◆1、视频接口：应满足联网系统对前端信息的响应时间和动态带宽要求，支持以流媒体的方式传输，并符合GB/T 25724-2017《公共安全视频监控数字视音频编解码技术要求》。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2、前端设备控制接口：前端设备控制接口实现对前端设备的遥控，支持使用TIA/EIA-485-A或TCP/IP接口。</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采集设备的传输接口应与联网系统整体传输模式相协调，其传输接口带宽应与采集到的前端信息量和信息流量、系统响应速度相适应，采集设备的信息传输控制方式应与信息特点相适应，高清摄像机需满足GB/T 28181-2016要求。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 高清电子警察系统技术要求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4.3.1 高清电子警察系统功能要求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总体要求:</w:t>
            </w:r>
            <w:r>
              <w:rPr>
                <w:rFonts w:ascii="Times New Roman" w:hAnsi="Times New Roman" w:eastAsia="宋体" w:cs="Times New Roman"/>
                <w:i/>
                <w:iCs/>
                <w:color w:val="auto"/>
                <w:sz w:val="24"/>
                <w:szCs w:val="24"/>
                <w:highlight w:val="none"/>
                <w:u w:val="single"/>
                <w:lang w:val="en-US" w:eastAsia="zh-CN" w:bidi="ar-SA"/>
              </w:rPr>
              <w:t xml:space="preserve">违法抓拍类设备需要</w:t>
            </w:r>
            <w:r>
              <w:rPr>
                <w:rFonts w:hint="eastAsia" w:ascii="Times New Roman" w:hAnsi="Times New Roman" w:eastAsia="宋体" w:cs="Times New Roman"/>
                <w:i/>
                <w:iCs/>
                <w:color w:val="auto"/>
                <w:sz w:val="24"/>
                <w:szCs w:val="24"/>
                <w:highlight w:val="none"/>
                <w:u w:val="single"/>
                <w:lang w:val="en-US" w:eastAsia="zh-CN" w:bidi="ar-SA"/>
              </w:rPr>
              <w:t xml:space="preserve">接入</w:t>
            </w:r>
            <w:r>
              <w:rPr>
                <w:rFonts w:ascii="Times New Roman" w:hAnsi="Times New Roman" w:eastAsia="宋体" w:cs="Times New Roman"/>
                <w:i/>
                <w:iCs/>
                <w:color w:val="auto"/>
                <w:sz w:val="24"/>
                <w:szCs w:val="24"/>
                <w:highlight w:val="none"/>
                <w:u w:val="single"/>
                <w:lang w:val="en-US" w:eastAsia="zh-CN" w:bidi="ar-SA"/>
              </w:rPr>
              <w:t xml:space="preserve">张家港市交通警察大队现有非现场执法平台，由平台端提供接入协议及相应接口规范。对接完成后，能实现违法图片、违法信息、违法关联录像自动上传集指平台。</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闯红灯行为记录功能：闯红灯车辆捕获率、记录有效率参见功能技术指标响应表。记录文件符合《闯红灯自动记录系统通用技术条件》（GA/T496-2014）、《道路交通安全违法行为图像取证技术规范》（GA/T832-2014）。</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驾驶人面部特征记录功能：在本项目所有路口电子警察杆件上增加车辆正向采集的摄像机，通过路口终端服务器实现驾驶人面部特征记录功能，将违法行为与对应车辆的正向图片匹配起来，从而将违法行为固定到驾驶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◆3、信号灯视频识别功能：在本项目所有路口电子警察设备具备视频识别红黄绿三种灯色信号，并将视频识别的数据按要求上传到交警大队指定的系统平台中。</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图像记录存储功能：系统记录的车辆信息除车辆图像信息外，还应记录车辆的通行信息，如时间、地点、方向、号牌号码、号牌颜色、车道编号等，并将相关信息叠加到图片上。实现车辆采集、车辆号牌全自动识别、以及相关控制数据存储等功能。车辆图像捕获时应不受雨、雪、雾等天气、环境光和相临车道通行车辆的影响而出现误记录。在环境无雾包括雨雪天气下，监控区域内规范行驶的车辆被记录的图片应能看清车辆类型、颜色和所载货物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◆5、前端备份存储功能：系统采集的图片、视频可在设备前端做备份存储，按照数据存储时长的要求配置不同容量的硬盘。系统可根据预先的空间分配，优先保证足够的图片存储空间，保证核心数据不丢失。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◆6、闯红灯捕获率：在标注的适用条件下，闯红灯捕获率应不小于90％。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◆7、记录有效率：在标注的适用条件下，记录有效率应不小于80％。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◆8、计时误差：闯红灯自动记录系统24h计时误差应不超过1s。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数据传输：数据传输要求：闯红灯自动记录系统应具备联网数据传输或现场数据下载功能。联网数据传输：通过网络将机动车闯红灯信息自动传输到指定数据中心，且信息传输应具有防丢失、防篡改等功能。现场数据下载：现场将机动车闯红灯信息人工或自动下载到存储介质中后带回数据中心，下载过程不得删改原始信息，且应自动生成下载日志信息，包括下载人、下载时间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号牌识别功能：系统应支持摄像机内置车牌识别功能，能识别的号牌结构应包括：单排字符结构的号牌，如军队用小型汽车号牌、GA36-2007中的小型汽车号牌、港澳入出境车号牌、教练汽车号牌等；可识别武警用小型汽车号牌；可识别警用汽车号牌；可识别新能源车辆号牌；双排字符结构的号牌，如军队用大型汽车号牌、武警用大型汽车号牌、GA36-2007中的大型汽车号牌、挂车号牌、低速汽车号牌、摩托车号牌等。号牌字符识别：应识别的字符包括：</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①</w:t>
            </w:r>
            <w:r>
              <w:rPr>
                <w:rFonts w:ascii="Times New Roman" w:hAnsi="Times New Roman" w:eastAsia="宋体" w:cs="Times New Roman"/>
                <w:color w:val="auto"/>
                <w:sz w:val="24"/>
                <w:szCs w:val="24"/>
                <w:highlight w:val="none"/>
                <w:lang w:val="en-US" w:eastAsia="zh-CN" w:bidi="ar-SA"/>
              </w:rPr>
              <w:t xml:space="preserve">数字：0~9；</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②</w:t>
            </w:r>
            <w:r>
              <w:rPr>
                <w:rFonts w:ascii="Times New Roman" w:hAnsi="Times New Roman" w:eastAsia="宋体" w:cs="Times New Roman"/>
                <w:color w:val="auto"/>
                <w:sz w:val="24"/>
                <w:szCs w:val="24"/>
                <w:highlight w:val="none"/>
                <w:lang w:val="en-US" w:eastAsia="zh-CN" w:bidi="ar-SA"/>
              </w:rPr>
              <w:t xml:space="preserve">字母：A~Z；</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③</w:t>
            </w:r>
            <w:r>
              <w:rPr>
                <w:rFonts w:ascii="Times New Roman" w:hAnsi="Times New Roman" w:eastAsia="宋体" w:cs="Times New Roman"/>
                <w:color w:val="auto"/>
                <w:sz w:val="24"/>
                <w:szCs w:val="24"/>
                <w:highlight w:val="none"/>
                <w:lang w:val="en-US" w:eastAsia="zh-CN" w:bidi="ar-SA"/>
              </w:rPr>
              <w:t xml:space="preserve">省、自治区、直辖市简称：京、津、晋、冀、蒙、辽、吉、黑、沪、苏、浙、皖、闽、赣、鲁、豫、鄂、湘、粤、桂、琼、川、贵、云、藏、陕、甘、青、宁、新、渝；</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④</w:t>
            </w:r>
            <w:r>
              <w:rPr>
                <w:rFonts w:ascii="Times New Roman" w:hAnsi="Times New Roman" w:eastAsia="宋体" w:cs="Times New Roman"/>
                <w:color w:val="auto"/>
                <w:sz w:val="24"/>
                <w:szCs w:val="24"/>
                <w:highlight w:val="none"/>
                <w:lang w:val="en-US" w:eastAsia="zh-CN" w:bidi="ar-SA"/>
              </w:rPr>
              <w:t xml:space="preserve">军牌用汉字：军、海、空、北、沈、南、兰、广、成、济、京；</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⑤</w:t>
            </w:r>
            <w:r>
              <w:rPr>
                <w:rFonts w:ascii="Times New Roman" w:hAnsi="Times New Roman" w:eastAsia="宋体" w:cs="Times New Roman"/>
                <w:color w:val="auto"/>
                <w:sz w:val="24"/>
                <w:szCs w:val="24"/>
                <w:highlight w:val="none"/>
                <w:lang w:val="en-US" w:eastAsia="zh-CN" w:bidi="ar-SA"/>
              </w:rPr>
              <w:t xml:space="preserve">号牌分类用汉字：警、学、领、试、挂、港、澳、超、使；</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⑥</w:t>
            </w:r>
            <w:r>
              <w:rPr>
                <w:rFonts w:ascii="Times New Roman" w:hAnsi="Times New Roman" w:eastAsia="宋体" w:cs="Times New Roman"/>
                <w:color w:val="auto"/>
                <w:sz w:val="24"/>
                <w:szCs w:val="24"/>
                <w:highlight w:val="none"/>
                <w:lang w:val="en-US" w:eastAsia="zh-CN" w:bidi="ar-SA"/>
              </w:rPr>
              <w:t xml:space="preserve">武警号牌特殊字符：WJ、00~34、练。</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号牌颜色识别：系统应至少能识别蓝、黄、白、黑四种底色的机动车号牌。车辆号牌识别要求：车辆前号牌识别准确率白天应大于95%，夜间应大于90%，可全天候识别（除摩托车号牌、低速车号牌、临时号牌、农用拖拉机号牌外）。号牌识别信息包含号牌结构、号牌字符、号牌颜色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◆11、车型识别功能：系统采用车牌颜色和视频检测技术结合的方法对车辆类型进行判别，可对四轮车进行4种车型进行识别（轿车、客车、大货车、小货车）以及摩托车进行识别。</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12、系统应支持高清视频录像功能：系统应具备录像功能，采用H.264、MPEG4或MJPEG编码标准，视频质量不低于720P及8fps，并能确保前端存储连续录像时间不小于7日；录像支持OSD信息叠加，叠加的信息至少包括日期、时间（精确到秒）、监控点名称、设备编号等信息。录像中能清晰地反映车辆的颜色、车辆类型、运动轨迹；并提供录像查询、录像下载等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◆13、通过车辆图像记录功能：应能清晰记录通过车辆的图片。</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14、逆行记录功能：应能清晰记录逆行车辆的图片，图片应符合GA/T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15、不按所需行进方向驶入导向车道记录功能：应能清晰记录不按所需行进方向驶入导向车道的图片，图片应符合GA/T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16、不按规定车道行驶记录功能：应能清晰记录不按规定车道行驶车辆的图片，图片应符合GA/T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17、实线变道行驶记录功能以及大型车右转必停抓拍功能：应能清晰记录实线变道行驶车辆的图片，以及大型车辆右转必停抓拍功能，图片应符合GA/T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18、交通参数采集功能：通过检测数据，统计交通流参数，包括每个方向每个车道的流量、车速、时间占有率、车长、车头时距等，其中流量采集准确度不小于90%；交通数据统计周期可按需求进行设置和输出，并支持丰富的图形报表及数据导出。同时，可通过网络接口将流量数据信息传递给路口信号机，实现电子警察和信号机的信息互联互通，数据传输符合GA/T 920-2010《道路交通信号控制机与车辆检测器间的通信协议》。并可以通过标准GB/T28181协议和中心的PGIS平台对接，根据需求传输平台所需交通参数。</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19、布控/撤控报警功能：系统应具有针对超速车辆、黑名单里的被盗抢车辆和交通肇事逃逸车辆能实时布控报警，具有现场报警和远程报警功能。可设置布控/撤控时间，布控时间内当通过车辆与用户事先录入的被盗抢车辆或交通肇事逃逸等黑名单车辆的牌照号码及车型等信息特征相符合时，系统在现场可以立即以声光进行报警，提醒值班人员有可疑车辆通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20、断点续传功能：系统应支持多种方式的数据传输。可通过FTP方式自动上传违法数据、车辆通过信息（时间、地点、车牌号码等）、设备监测数据、流量统计数据等到中心管理系统；也可在中心通过TCP/IP网络下载操控前端设备。如因网络中断或其它故障，信息备份存储于前端设备中，待故障恢复后自动上传。</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21、水印加密防篡改功能：系统应具有水印加密功能，图像、录像在前端摄像机内部进行加密处理，防止在传输、存储、处理等过程中被人为修改，管理中心在接收到前端传回的图片、录像时需要进行算法验证，确认是否有被篡改，保证执法的真实、公平、公正。</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◆22、自适应补光功能：为保证系统在各种光线条件下的成像清晰，系统须采用自适应控制补光技术。必须进行防炫目处理，不能对驾驶人员安全驾驶造成影响。</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23、智能补光功能：系统前端设备能根据光线的变化或时间的控制自动改变摄像设备的工作参数，自动打开或关闭补光设备，确保记录图片的清晰。同时根据现场情况可对补光灯进行光栅增补,减少市区光污染。补光灯采用频闪技术，与高清摄像机采集频率完全匹配，在达到最大补光效果的同时降低灯光对周围环境的影响，不会对驾驶人造成直接强光刺激。</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◆24、中心校时功能：系统应可接受中心的校时命令，完成统一精准校时功能。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◆25、卡口功能：系统具备卡口功能，对所有经由监控点车道的所有车辆进行图像记录，车辆捕获率不低于99%。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◆26、车型判别功能（卡口摄像机功能）：系统采用车牌颜色和视频检测技术结合的方法对车辆类型进行判别，可对7种车型进行识别（大货车、小货车、客车、轿车、面包车、中型客车、SUV-MPV）。</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◆27、车标识别功能（卡口摄像机功能）：系统采用视频检测技术对车标进行识别，可对200种车标进行识别，可供用户根据车标来查询通行车辆。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◆28、车辆子品牌识别功能（卡口摄像机功能）：系统采用视频检测技术对车辆子品牌进行识别，可对1018种车辆子品牌进行识别，可供用户根据车辆子品牌来查询通行车辆。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◆29、未系安全带检测功能（卡口摄像机功能）：系统采用视频检测技术，对未系安全带行为进行检测。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◆30、接打电话检测功能（卡口摄像机功能）：系统采用视频检测技术，实现对前排驾驶人接打电话状态的检测。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◆31、人脸特征抠图（卡口摄像机功能）：系统采用视频检测技术对驾驶室人脸特征进行检测，并将人脸特征抠出。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◆32、打开遮阳板检测（卡口摄像机功能）：系统采用视频检测技术对打开遮阳板进行检测。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33、车身颜色识别功能（卡口摄像机功能）：系统可自动对车身深浅和颜色进行识别，可供用户根据车身颜色来查询通行车辆。系统可自动区分出车辆为深色车辆还是浅色车辆；并识别出11种常见车身颜色，11种颜色包括：白，灰(银)，黄、粉、红、绿、蓝、棕、黑、紫、青。</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◆34、相位同步功能：系统视频帧率应与工频保持整数倍约束关系，以保证拍摄的外部工频设备，如红绿灯等设备，不会变暗或者变黑。</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35、设备管理及运维功能：系统应提供设备编号、设备时钟、设备运行状态监测设置等设备参数配置，可通过前端人机交互界面进行现场配置，也可以在中央远程配置及获取校验。具备故障自动检测功能，能通过软硬件自动检测系统故障并恢复正常工作。应具有断电自动重启复位、自动侦错报错、自动监测主要设备（摄像机、服务器等）等远程维护功能，并提供设备故障报警、系统现场登陆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◆36、设备具备机动车行驶时车内人员向道路上抛撒物品抓拍功能。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◆37、网管功能：系统具备网管运维功能，对各种服务器资源、设备资源的运行状态、卡口的工作状态、用户在线状态进行定期巡检，并在平台运维模块中展现状态统计信息。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①</w:t>
            </w:r>
            <w:r>
              <w:rPr>
                <w:rFonts w:ascii="Times New Roman" w:hAnsi="Times New Roman" w:eastAsia="宋体" w:cs="Times New Roman"/>
                <w:color w:val="auto"/>
                <w:sz w:val="24"/>
                <w:szCs w:val="24"/>
                <w:highlight w:val="none"/>
                <w:lang w:val="en-US" w:eastAsia="zh-CN" w:bidi="ar-SA"/>
              </w:rPr>
              <w:t xml:space="preserve">服务器运行状态监测：系统支持对各类服务器运行状态进行统计，统计内容包括服务器类型、服务器总数、正常数、在线异常数、离线数、未注册数、未知数。系统支持对服务器的当前运行状态和历史运行状态进行查询，支持远程配置和远程重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②</w:t>
            </w:r>
            <w:r>
              <w:rPr>
                <w:rFonts w:ascii="Times New Roman" w:hAnsi="Times New Roman" w:eastAsia="宋体" w:cs="Times New Roman"/>
                <w:color w:val="auto"/>
                <w:sz w:val="24"/>
                <w:szCs w:val="24"/>
                <w:highlight w:val="none"/>
                <w:lang w:val="en-US" w:eastAsia="zh-CN" w:bidi="ar-SA"/>
              </w:rPr>
              <w:t xml:space="preserve">设备状态监测：系统支持对各类设备运行状态进行统计，统计内容包括设备类型、设备总数、正常数、在线异常数、离线数、未注数、设备在线率、监控点总数。系统支持对设备的当前运行状态和历史运行状态进行查询，支持远程配置和远程重启。</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③</w:t>
            </w:r>
            <w:r>
              <w:rPr>
                <w:rFonts w:ascii="Times New Roman" w:hAnsi="Times New Roman" w:eastAsia="宋体" w:cs="Times New Roman"/>
                <w:color w:val="auto"/>
                <w:sz w:val="24"/>
                <w:szCs w:val="24"/>
                <w:highlight w:val="none"/>
                <w:lang w:val="en-US" w:eastAsia="zh-CN" w:bidi="ar-SA"/>
              </w:rPr>
              <w:t xml:space="preserve">卡口状态监测：系统支持对卡口运行状态进行统计，统计内容包括组织名称、卡口总数、卡口正常数、卡口异常数、卡口异常百分率。系统支持对卡口的当前运行状态和历史运行状态进行查询。</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④</w:t>
            </w:r>
            <w:r>
              <w:rPr>
                <w:rFonts w:ascii="Times New Roman" w:hAnsi="Times New Roman" w:eastAsia="宋体" w:cs="Times New Roman"/>
                <w:color w:val="auto"/>
                <w:sz w:val="24"/>
                <w:szCs w:val="24"/>
                <w:highlight w:val="none"/>
                <w:lang w:val="en-US" w:eastAsia="zh-CN" w:bidi="ar-SA"/>
              </w:rPr>
              <w:t xml:space="preserve">用户状态监测：系统支持用户在线状态统计，统计内容包括组织名称、用户总数、用户在线总数。系统支持对用户的历史登陆状态进行记录，记录内容包括在线状态、登陆次数、登陆方式、上线时间、登陆地址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38、资产管理功能：组织机构内部管理中会涉及各种视频监控设备、抓拍机、服务器等多种用户固定资产资源。系统具备资产管理功能，可实现对资产信息的录入、编辑、查询、维护、报废、统计报表等业务应用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39、查询功能：系统应能对车辆通行信息、车辆违法信息、布控/撤控信息、系统运行日志信息、系统操作日志等信息按不同条件进行查询统计。包括通行车辆的实时监控、车辆精确查询、模糊查询、布控查询、报警查询、通行车辆流量统计等功能，查询的信息可以多种形式打印输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40、权限设置和日志记录功能：系统应具备权限管理设置功能，能够对不同对象分配不同类型的使用权限。系统应具备日志记录功能。可记录主要设备、网络状态日志和主要运行软件的工作日志，还能记录设备或者网络状态改变（重启、或者重新连接）、主要软件发生重启或故障等事件日志。系统应具有时钟校时功能，24h内设备的计时误差不超过1.0s。闯红灯自动记录系统24h计时误差应不超过1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◆41、逆行：捕获率应不小于80%，记录有效率应不小于80%。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不按所需行进方向驶入导向车道：捕获率应不小于80%，记录有效率应不小于80%。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不按规定车道行驶：捕获率应不小于80%，记录有效率应不小于80%。卡口车辆捕获率：不低于99%。车型判别：准确度不低于85%。车标识别：准确度不低于85%。车辆子品牌识别：准确度不低于85%。</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4.3.2 微光高清抓拍单元1（尾牌）</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1、包含一体化高清摄像机、高清镜头、室外防护罩、相机内置网络信号防雷器、电源适配器等。</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2、传感器类型采用</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1.1英寸CMOS，内含深度学习芯片，内含≥128G存储卡。</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w:t>
            </w:r>
            <w:r>
              <w:rPr>
                <w:rFonts w:hint="eastAsia" w:ascii="Times New Roman" w:hAnsi="Times New Roman" w:eastAsia="宋体"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最低照度满足：彩色：≤0.0002lx，黑白：≤0.0001 lx。</w:t>
            </w:r>
            <w:r/>
          </w:p>
          <w:p>
            <w:pPr>
              <w:spacing w:line="440" w:lineRule="exact"/>
              <w:rPr>
                <w:rFonts w:ascii="Times New Roman" w:hAnsi="Times New Roman" w:eastAsia="宋体" w:cs="Times New Roman"/>
                <w:b/>
                <w:bCs/>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ascii="Times New Roman" w:hAnsi="Times New Roman" w:eastAsia="宋体" w:cs="Times New Roman"/>
                <w:b/>
                <w:bCs/>
                <w:color w:val="auto"/>
                <w:sz w:val="24"/>
                <w:szCs w:val="24"/>
                <w:highlight w:val="none"/>
                <w:lang w:val="en-US" w:eastAsia="zh-CN" w:bidi="ar-SA"/>
              </w:rPr>
              <w:t xml:space="preserve">4、视频分辨率可设置为不小于5320×3032、4096×2160，抓图分辨率不小于5328×3040（不含OSD）</w:t>
            </w:r>
            <w:r>
              <w:rPr>
                <w:rFonts w:hint="eastAsia" w:ascii="Times New Roman" w:hAnsi="Times New Roman" w:eastAsia="宋体" w:cs="Times New Roman"/>
                <w:b/>
                <w:bCs/>
                <w:color w:val="auto"/>
                <w:sz w:val="24"/>
                <w:szCs w:val="24"/>
                <w:highlight w:val="none"/>
                <w:lang w:val="en-US" w:eastAsia="zh-CN" w:bidi="ar-SA"/>
              </w:rPr>
              <w:t xml:space="preserve">（投标时须在响应文件中提供第三方检测机构出具的合格检验报告或功能截图等相关证明材料）</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5、支持视频压缩标准，H.265、H.264、M-JEPG。</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◆6、具有单快门、双快门（半帧率/全帧率）、三快门共三种快门方式；具有抓拍快门、视频快门、识别快门共三种快门方式；支持快门自适应，支持快门1/1s~1/100000s可调。</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、支持图片字符叠加功能。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、支持对信号灯不亮进行检测，检测到该异常后可进行报警；支持对信号灯整个灯组都亮度不足进行检测，检测到该异常后可进行报警。</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、支持对驾驶非机动车，摩托车人员未带头盔/帽子进行检测并抓拍图片。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10</w:t>
            </w:r>
            <w:r>
              <w:rPr>
                <w:rFonts w:ascii="Times New Roman" w:hAnsi="Times New Roman" w:eastAsia="宋体" w:cs="Times New Roman"/>
                <w:color w:val="auto"/>
                <w:sz w:val="24"/>
                <w:szCs w:val="24"/>
                <w:highlight w:val="none"/>
                <w:lang w:val="en-US" w:eastAsia="zh-CN" w:bidi="ar-SA"/>
              </w:rPr>
              <w:t xml:space="preserve">、支持14种车身颜色识别。包括：黑、白、灰、红、绿、蓝、黄、粉、紫、棕、青、金、橙、银灰。在天气晴朗无雾，号牌无遮挡、无污损，白天环境光照度不低于200lx，夜晚辅助光照度不高于30lx的情况下进行测试(无牌车除外)：白天识别准确率≥99%；晚上识别准确率≥99%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1、支持双网口，2个网口具有独立的MAC地址，可以独立设置IP地址信息。</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2、支持1400协议，支持GB35114安全加密，支持GB28181-2022协议。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◆13、支持大场景五车道闯红灯抓拍，闯红灯抓拍第一/二张图车牌清晰可见，其中第一张图车辆在停止线前，第二张图车辆越过停止线，第三张图车辆较第二张有明显位移，第二张图车牌像素可达100dpi。</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4.3.3 </w:t>
            </w:r>
            <w:r>
              <w:rPr>
                <w:rFonts w:ascii="Times New Roman" w:hAnsi="Times New Roman" w:eastAsia="宋体" w:cs="Times New Roman"/>
                <w:b/>
                <w:color w:val="auto"/>
                <w:sz w:val="24"/>
                <w:szCs w:val="24"/>
                <w:highlight w:val="none"/>
                <w:lang w:val="en-US" w:eastAsia="zh-CN" w:bidi="ar-SA"/>
              </w:rPr>
              <w:t xml:space="preserve">微光高清抓拍单元（前牌）</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1、包含一体化高清摄像机、高清镜头、室外防护罩、相机内置网络信号防雷器、电源适配器，支持车辆及车内前排人员的检测抓拍，针对人员可输出清晰人脸特征图，用于比对分析。</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2、传感器类型采用</w:t>
            </w:r>
            <w:r>
              <w:rPr>
                <w:rFonts w:hint="eastAsia" w:ascii="Times New Roman" w:hAnsi="Times New Roman" w:eastAsia="宋体" w:cs="Times New Roman"/>
                <w:i/>
                <w:iCs/>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1.1英寸GS CMOS，内含深度学习芯片,视频分辨率不低于4096×2336，抓图分辨率不低于4096×2336。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3、最低照度满足：彩色：≤0.0002lx，黑白：≤0.0001 lx。</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w:t>
            </w:r>
            <w:r>
              <w:rPr>
                <w:rFonts w:ascii="Times New Roman" w:hAnsi="Times New Roman" w:eastAsia="宋体" w:cs="Times New Roman"/>
                <w:color w:val="auto"/>
                <w:sz w:val="24"/>
                <w:szCs w:val="24"/>
                <w:highlight w:val="none"/>
                <w:lang w:val="en-US" w:eastAsia="zh-CN" w:bidi="ar-SA"/>
              </w:rPr>
              <w:t xml:space="preserve">、支持通过对监视画面对车道进行检测并自动划分检测区域,支持在水平倾斜范围最大40°的情况下能够对车牌进行识别。</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、支持分别对</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24种不同的抓拍规则设置叠加不同的OSD信息。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6</w:t>
            </w:r>
            <w:r>
              <w:rPr>
                <w:rFonts w:ascii="Times New Roman" w:hAnsi="Times New Roman" w:eastAsia="宋体" w:cs="Times New Roman"/>
                <w:color w:val="auto"/>
                <w:sz w:val="24"/>
                <w:szCs w:val="24"/>
                <w:highlight w:val="none"/>
                <w:lang w:val="en-US" w:eastAsia="zh-CN" w:bidi="ar-SA"/>
              </w:rPr>
              <w:t xml:space="preserve">、支持潮汐车道变换时间段设置，对车辆违反潮汐车道当前道路属性的行为进行抓拍。</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、支持未系安全带识别功能，白天准确率≥98%，晚上准确率≥98%;支持驾驶员打电话识别功能，识别准确率≥95%。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、支持正向和背向的摩托车/非机动车未带头盔检测，摩托车、自行车、电动车、二轮/三轮车载人检测、载人人数统计功能，非机动车逆行抓拍功能，非机动车遮阳伞检测功能。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、支持驾驶室人脸抠图，抓拍图片可以看清人脸，并可保存小图上传，主驾驶人脸抠图概率99%，副驾驶人脸抠图概率95%。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10</w:t>
            </w:r>
            <w:r>
              <w:rPr>
                <w:rFonts w:ascii="Times New Roman" w:hAnsi="Times New Roman" w:eastAsia="宋体" w:cs="Times New Roman"/>
                <w:color w:val="auto"/>
                <w:sz w:val="24"/>
                <w:szCs w:val="24"/>
                <w:highlight w:val="none"/>
                <w:lang w:val="en-US" w:eastAsia="zh-CN" w:bidi="ar-SA"/>
              </w:rPr>
              <w:t xml:space="preserve">、支持双网口，2个网口具有独立的MAC地址，可以独立设置IP地址信息。</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11</w:t>
            </w:r>
            <w:r>
              <w:rPr>
                <w:rFonts w:ascii="Times New Roman" w:hAnsi="Times New Roman" w:eastAsia="宋体" w:cs="Times New Roman"/>
                <w:i/>
                <w:iCs/>
                <w:color w:val="auto"/>
                <w:sz w:val="24"/>
                <w:szCs w:val="24"/>
                <w:highlight w:val="none"/>
                <w:u w:val="single"/>
                <w:lang w:val="en-US" w:eastAsia="zh-CN" w:bidi="ar-SA"/>
              </w:rPr>
              <w:t xml:space="preserve">、支持1400协议，支持GB35114安全加密，支持GB28181-2022协议。</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12</w:t>
            </w:r>
            <w:r>
              <w:rPr>
                <w:rFonts w:ascii="Times New Roman" w:hAnsi="Times New Roman" w:eastAsia="宋体" w:cs="Times New Roman"/>
                <w:color w:val="auto"/>
                <w:sz w:val="24"/>
                <w:szCs w:val="24"/>
                <w:highlight w:val="none"/>
                <w:lang w:val="en-US" w:eastAsia="zh-CN" w:bidi="ar-SA"/>
              </w:rPr>
              <w:t xml:space="preserve">、支持对信号灯不亮进行检测，检测到该异常后可进行报警；支持对信号灯整个灯组都亮度不足进行检测，检测到该异常后可进行报警</w:t>
            </w:r>
            <w:r>
              <w:rPr>
                <w:rFonts w:hint="eastAsia" w:ascii="Times New Roman" w:hAnsi="Times New Roman" w:eastAsia="宋体" w:cs="Times New Roman"/>
                <w:color w:val="auto"/>
                <w:sz w:val="24"/>
                <w:szCs w:val="24"/>
                <w:highlight w:val="none"/>
                <w:lang w:val="en-US" w:eastAsia="zh-CN" w:bidi="ar-SA"/>
              </w:rPr>
              <w:t xml:space="preserve">。</w:t>
            </w:r>
            <w:r/>
          </w:p>
          <w:p>
            <w:pPr>
              <w:spacing w:line="440" w:lineRule="exact"/>
              <w:rPr>
                <w:rFonts w:hint="eastAsia"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val="0"/>
                <w:bCs/>
                <w:color w:val="auto"/>
                <w:sz w:val="24"/>
                <w:szCs w:val="24"/>
                <w:highlight w:val="none"/>
                <w:lang w:val="en-US" w:eastAsia="zh-CN" w:bidi="ar-SA"/>
              </w:rPr>
              <w:t xml:space="preserve">车牌识别功能检查：支持牛眼灯下的车牌识别功能，抓拍图片车牌，抓拍图片车牌清晰可见</w:t>
            </w:r>
            <w:r>
              <w:rPr>
                <w:rFonts w:hint="eastAsia" w:ascii="Times New Roman" w:hAnsi="Times New Roman" w:eastAsia="宋体" w:cs="Times New Roman"/>
                <w:b w:val="0"/>
                <w:bCs/>
                <w:color w:val="auto"/>
                <w:sz w:val="24"/>
                <w:szCs w:val="24"/>
                <w:highlight w:val="none"/>
                <w:lang w:val="en-US" w:eastAsia="zh-CN" w:bidi="ar-SA"/>
              </w:rPr>
              <w:t xml:space="preserve">。</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4.3.4 智能补光灯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◆1、多功能一体型，支持暖光LED频闪、暖光LED爆闪、白光氙气爆闪、红外氙气爆闪四种模式。</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2、光源：可见光/红外光（截止710nm）；色温：氙气：5800K±200K，LED：3500K；中心光照度：LED：≤0.1lx（20m平均光照度），≤10lx（20m有效光照度），≤80lx（20m频爆光照度）；氙气：≤4000lx。</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3、触发方式：开关量；光斑覆盖范围：1车道；补光距离：16m～26m；回电时间：氙气≤70ms，LED≤20ms；闪光持续时间：180μs～500μs。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4、闪光灯寿命：≥1000万次；频率：100Hz；灯珠数量：24颗（高亮LED）；光通量：不低于1000lm。</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◆5、氙气灯爆闪持续时间不高于250μs，LED爆闪持续时间不高于1ms；眩光阈值增量(TI)值TI≤2%。</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◆6、支持红外白光切换。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◆7、支持在摄像机WEB上远程显示补光灯故障、正常状态。</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4.3.5 红灯信号检测器</w:t>
            </w:r>
            <w:r/>
          </w:p>
          <w:p>
            <w:pPr>
              <w:contextualSpacing/>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1、支持接入</w:t>
            </w:r>
            <w:r>
              <w:rPr>
                <w:rFonts w:hint="eastAsia" w:ascii="Times New Roman" w:hAnsi="Times New Roman" w:eastAsia="宋体" w:cs="Times New Roman"/>
                <w:bCs/>
                <w:i/>
                <w:iCs/>
                <w:color w:val="auto"/>
                <w:sz w:val="24"/>
                <w:highlight w:val="none"/>
                <w:u w:val="single"/>
                <w:lang w:eastAsia="zh-CN"/>
              </w:rPr>
              <w:t xml:space="preserve">不少于</w:t>
            </w:r>
            <w:r>
              <w:rPr>
                <w:rFonts w:hint="default" w:ascii="Times New Roman" w:hAnsi="Times New Roman" w:eastAsia="宋体" w:cs="Times New Roman"/>
                <w:bCs/>
                <w:i/>
                <w:iCs/>
                <w:color w:val="auto"/>
                <w:sz w:val="24"/>
                <w:highlight w:val="none"/>
                <w:u w:val="single"/>
              </w:rPr>
              <w:t xml:space="preserve">20路红/绿灯信号，进行输入通断检测，并通过100M网口将信号状态实时传输给网络摄像机。</w:t>
            </w:r>
            <w:r/>
          </w:p>
          <w:p>
            <w:pPr>
              <w:contextualSpacing/>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2、支持通过配置工具设置关联相机登陆IP、端口号、用户名和密码；最大支持关联20路相机，并可进行设备参数的配置；支持通过配置工具设置检测参数，配置关联通道信息，最大支持20路检测参数的配置；支持通过配置工具设置红绿灯信号输入异常判断时长，设置范围[1,300]秒。</w:t>
            </w:r>
            <w:r/>
          </w:p>
          <w:p>
            <w:pPr>
              <w:contextualSpacing/>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3、支持通过配置工具设置红灯检测模式/绿灯检测模式。</w:t>
            </w:r>
            <w:r/>
          </w:p>
          <w:p>
            <w:pPr>
              <w:contextualSpacing/>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bCs/>
                <w:color w:val="auto"/>
                <w:sz w:val="24"/>
                <w:highlight w:val="none"/>
                <w:lang w:val="en-US" w:eastAsia="zh-CN"/>
              </w:rPr>
              <w:t xml:space="preserve">4</w:t>
            </w:r>
            <w:r>
              <w:rPr>
                <w:rFonts w:hint="default" w:ascii="Times New Roman" w:hAnsi="Times New Roman" w:eastAsia="宋体" w:cs="Times New Roman"/>
                <w:bCs/>
                <w:color w:val="auto"/>
                <w:sz w:val="24"/>
                <w:highlight w:val="none"/>
              </w:rPr>
              <w:t xml:space="preserve">、支持通过配置工具设置NTP校时/同步PC时间，工作温度支持：40℃～+65℃；供电方式：DC12V。</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jc w:val="left"/>
              <w:spacing w:line="440" w:lineRule="exact"/>
              <w:rPr>
                <w:rFonts w:hint="default" w:ascii="Times New Roman" w:hAnsi="Times New Roman" w:eastAsia="宋体" w:cs="Times New Roman"/>
                <w:b/>
                <w:color w:val="auto"/>
                <w:sz w:val="24"/>
                <w:highlight w:val="none"/>
              </w:rPr>
              <w:outlineLvl w:val="1"/>
            </w:pPr>
            <w:r>
              <w:rPr>
                <w:rFonts w:hint="default" w:ascii="Times New Roman" w:hAnsi="Times New Roman" w:eastAsia="宋体" w:cs="Times New Roman"/>
                <w:color w:val="auto"/>
                <w:sz w:val="24"/>
                <w:highlight w:val="none"/>
              </w:rPr>
              <w:t xml:space="preserve">4.3.6</w:t>
            </w:r>
            <w:r>
              <w:rPr>
                <w:rFonts w:hint="default" w:ascii="Times New Roman" w:hAnsi="Times New Roman" w:eastAsia="宋体" w:cs="Times New Roman"/>
                <w:b/>
                <w:color w:val="auto"/>
                <w:sz w:val="24"/>
                <w:highlight w:val="none"/>
              </w:rPr>
              <w:t xml:space="preserve">前端存储管理主机</w:t>
            </w:r>
            <w:r/>
          </w:p>
          <w:p>
            <w:pPr>
              <w:contextualSpacing/>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1、支持视频接入和卡口合成两种工作模式切换，视频接入模式支持16路高清视频及图片输入，无图片合成功能，卡口合成模式支持</w:t>
            </w:r>
            <w:r>
              <w:rPr>
                <w:rFonts w:hint="eastAsia" w:ascii="Times New Roman" w:hAnsi="Times New Roman" w:eastAsia="宋体" w:cs="Times New Roman"/>
                <w:bCs/>
                <w:i/>
                <w:iCs/>
                <w:color w:val="auto"/>
                <w:sz w:val="24"/>
                <w:highlight w:val="none"/>
                <w:u w:val="single"/>
                <w:lang w:eastAsia="zh-CN"/>
              </w:rPr>
              <w:t xml:space="preserve">不少于</w:t>
            </w:r>
            <w:r>
              <w:rPr>
                <w:rFonts w:hint="default" w:ascii="Times New Roman" w:hAnsi="Times New Roman" w:eastAsia="宋体" w:cs="Times New Roman"/>
                <w:bCs/>
                <w:i/>
                <w:iCs/>
                <w:color w:val="auto"/>
                <w:sz w:val="24"/>
                <w:highlight w:val="none"/>
                <w:u w:val="single"/>
              </w:rPr>
              <w:t xml:space="preserve">12路高清视频及图片输入，同时支持图片合成。</w:t>
            </w:r>
            <w:r/>
          </w:p>
          <w:p>
            <w:pPr>
              <w:contextualSpacing/>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2、内置</w:t>
            </w:r>
            <w:r>
              <w:rPr>
                <w:rFonts w:hint="eastAsia" w:ascii="Times New Roman" w:hAnsi="Times New Roman" w:eastAsia="宋体" w:cs="Times New Roman"/>
                <w:bCs/>
                <w:i/>
                <w:iCs/>
                <w:color w:val="auto"/>
                <w:sz w:val="24"/>
                <w:highlight w:val="none"/>
                <w:u w:val="single"/>
                <w:lang w:eastAsia="zh-CN"/>
              </w:rPr>
              <w:t xml:space="preserve">不少于</w:t>
            </w:r>
            <w:r>
              <w:rPr>
                <w:rFonts w:hint="default" w:ascii="Times New Roman" w:hAnsi="Times New Roman" w:eastAsia="宋体" w:cs="Times New Roman"/>
                <w:bCs/>
                <w:i/>
                <w:iCs/>
                <w:color w:val="auto"/>
                <w:sz w:val="24"/>
                <w:highlight w:val="none"/>
                <w:u w:val="single"/>
              </w:rPr>
              <w:t xml:space="preserve">16个10M/100M自适应以太网口，视频接入模式最大码流支持288Mbps，卡口合成模式最大码流支持240Mbps。</w:t>
            </w:r>
            <w:r/>
          </w:p>
          <w:p>
            <w:pPr>
              <w:contextualSpacing/>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3、支持一对多、多对一、多对多通道区间测速，支持多区间独立配置，支持区分大小车以及高低限速值，支持异常测速值过滤，支持根据不同超速比设置对应的违法名称和违法代码。</w:t>
            </w:r>
            <w:r/>
          </w:p>
          <w:p>
            <w:pPr>
              <w:contextualSpacing/>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4、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p>
          <w:p>
            <w:pPr>
              <w:contextualSpacing/>
              <w:spacing w:line="440" w:lineRule="exact"/>
              <w:rPr>
                <w:rFonts w:hint="eastAsia"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rPr>
              <w:t xml:space="preserve">◆5、能够关联合成卡口，当抓拍到车辆在卡口有多种违法行为时，可以将多违法抓拍图片进行合成；可以按照抓拍时间查询和存储时间查询两种方式查询图片</w:t>
            </w:r>
            <w:r>
              <w:rPr>
                <w:rFonts w:hint="eastAsia" w:ascii="Times New Roman" w:hAnsi="Times New Roman" w:eastAsia="宋体" w:cs="Times New Roman"/>
                <w:bCs/>
                <w:color w:val="auto"/>
                <w:sz w:val="24"/>
                <w:highlight w:val="none"/>
                <w:lang w:eastAsia="zh-CN"/>
              </w:rPr>
              <w:t xml:space="preserve">。</w:t>
            </w:r>
            <w:r/>
          </w:p>
          <w:p>
            <w:pPr>
              <w:contextualSpacing/>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bCs/>
                <w:color w:val="auto"/>
                <w:sz w:val="24"/>
                <w:highlight w:val="none"/>
                <w:lang w:val="en-US" w:eastAsia="zh-CN"/>
              </w:rPr>
              <w:t xml:space="preserve">6</w:t>
            </w:r>
            <w:r>
              <w:rPr>
                <w:rFonts w:hint="default" w:ascii="Times New Roman" w:hAnsi="Times New Roman" w:eastAsia="宋体" w:cs="Times New Roman"/>
                <w:bCs/>
                <w:color w:val="auto"/>
                <w:sz w:val="24"/>
                <w:highlight w:val="none"/>
              </w:rPr>
              <w:t xml:space="preserve">、标配1个4T硬盘。</w:t>
            </w:r>
            <w:r/>
          </w:p>
          <w:p>
            <w:pPr>
              <w:contextualSpacing/>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bCs/>
                <w:color w:val="auto"/>
                <w:sz w:val="24"/>
                <w:highlight w:val="none"/>
                <w:lang w:val="en-US" w:eastAsia="zh-CN"/>
              </w:rPr>
              <w:t xml:space="preserve">7</w:t>
            </w:r>
            <w:r>
              <w:rPr>
                <w:rFonts w:hint="default" w:ascii="Times New Roman" w:hAnsi="Times New Roman" w:eastAsia="宋体" w:cs="Times New Roman"/>
                <w:bCs/>
                <w:color w:val="auto"/>
                <w:sz w:val="24"/>
                <w:highlight w:val="none"/>
              </w:rPr>
              <w:t xml:space="preserve">、支持跨网段远程升级、配置前端摄像机；支持按时间、通道查询车流量功能，支持CSV格式导出查询结果。</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4.3.7 工业级交换机1</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1、至少支持12个千兆光口，12个10/100/1000Mbps以太网电口，含1个原厂40KM千兆单模光模块，11个原厂10KM千兆单模光模块；端口吞吐量可达线速转发，包转发率≥107Mpps,交换延迟＜5µS；交换机MAC地址表不小于32K。</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2、支持SNMPv1/v2c/v3,可通过网管软件集中管理；支持符合国际标准的IEC62439-6分布式冗余协议DRP，自愈时间＜20ms；支持基于硬件的IEEE1588 PTPv2 (BC, P2P TC, E2E TC时钟模式,对时精度±100 ns)。</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3、支持光功率检测DDM (SFP接口)；支持广播风暴抑制功能，可对未知单播、组播、数据源报文进行针对性限速及过滤。</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4、支持IEEE 802.1Q(VLAN)标准协议,可创建VLAN数≥256个，VLAN ID 1</w:t>
            </w:r>
            <w:r>
              <w:rPr>
                <w:rFonts w:ascii="Times New Roman" w:hAnsi="Times New Roman" w:eastAsia="微软雅黑"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4093。</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5、支持端口聚合、端口流控、端口限速；安全技术支持IEEE 802.1x、HTTPS/SSL、SSH、RADIUS、TACACS+、用户分级、MAC地址绑定。</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6、支持管理方式：CLI、Telnet、中文Web界面，支持IP/MAC冲突告警，失电告警，电源告警，端口LinkDown告警，环告警。</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7、防护等级≥IP40；工作温度≥-40℃～+75℃，储存温度≥-40℃～+85℃，相对湿度≥5～95%无凝露；MTBF≥340，000 小时。</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4.3.8 智能设备箱</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1、箱体材料为不锈钢，厚度不低于1.5mm，内部结构立杆不低于2mm,喷塑；底部长约660mm；底部宽约565mm；高约1355mm。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2、机箱防雷单元：电源防雷最大持续工作电压：385V AC，最大通流容量：40kA，保护水平（40kA，8/20μs）：2400V，保护模式：L-N-PE，响应时间：≤1ns，防护等级：不低于IP20。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◆3、机箱内设有防雷电装置，每一根引入线均有相应的防雷电保护装置。机箱中应有通风装置，当机箱内温度过高时，通风装置自动启动排风降温，机箱锁要求有防雨外壳。</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内部设备安装空间全部采用 19 英寸的标准安装模块。</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具备防盗报警功能，可对箱体内部电路及环境参数进行实时监测，可将实时数据和异常状态传回中心进行判断，并能通过网络进行初步故障处理。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供电：电流总量程</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63A； </w:t>
            </w:r>
            <w:r>
              <w:rPr>
                <w:rFonts w:hint="eastAsia" w:ascii="Times New Roman" w:hAnsi="Times New Roman" w:eastAsia="宋体" w:cs="Times New Roman"/>
                <w:color w:val="auto"/>
                <w:sz w:val="24"/>
                <w:szCs w:val="24"/>
                <w:highlight w:val="none"/>
                <w:lang w:val="en-US" w:eastAsia="zh-CN" w:bidi="ar-SA"/>
              </w:rPr>
              <w:t xml:space="preserve">至少含</w:t>
            </w:r>
            <w:r>
              <w:rPr>
                <w:rFonts w:ascii="Times New Roman" w:hAnsi="Times New Roman" w:eastAsia="宋体" w:cs="Times New Roman"/>
                <w:color w:val="auto"/>
                <w:sz w:val="24"/>
                <w:szCs w:val="24"/>
                <w:highlight w:val="none"/>
                <w:lang w:val="en-US" w:eastAsia="zh-CN" w:bidi="ar-SA"/>
              </w:rPr>
              <w:t xml:space="preserve">1路220V32A（电流量程可调1A-63A）供电；4路220V16A（电流量程可调1A-20A）供电。</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电路监测： </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5路电流电压检测；电压量程0-350V；电流总量程63A；直流供电DC12V，</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2路（每路独立控制，每路单独故障检测，故障独立告警，具备用电独立自恢复功能）。</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、具备：以太网通讯功能；定位以及地图展示功能；门禁报警功能；断电检测功能；断网检测功能；防雷失效检测功能；RS485通讯功能；时钟功能以及电池充电功能。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、环境监测：箱体内部温湿度检测，温度量程：-40-+125℃，湿度量程0-100%RH。</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、网络传输：支持RJ45以太网，4G无线模块。</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7</w:t>
            </w:r>
            <w:r>
              <w:rPr>
                <w:rFonts w:ascii="Times New Roman" w:hAnsi="Times New Roman" w:eastAsia="宋体" w:cs="Times New Roman"/>
                <w:i/>
                <w:iCs/>
                <w:color w:val="auto"/>
                <w:sz w:val="24"/>
                <w:szCs w:val="24"/>
                <w:highlight w:val="none"/>
                <w:u w:val="single"/>
                <w:lang w:val="en-US" w:eastAsia="zh-CN" w:bidi="ar-SA"/>
              </w:rPr>
              <w:t xml:space="preserve">、断电</w:t>
            </w:r>
            <w:r>
              <w:rPr>
                <w:rFonts w:hint="eastAsia" w:ascii="Times New Roman" w:hAnsi="Times New Roman" w:eastAsia="宋体"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温度</w:t>
            </w:r>
            <w:r>
              <w:rPr>
                <w:rFonts w:hint="eastAsia" w:ascii="Times New Roman" w:hAnsi="Times New Roman" w:eastAsia="宋体" w:cs="Times New Roman"/>
                <w:i/>
                <w:iCs/>
                <w:color w:val="auto"/>
                <w:sz w:val="24"/>
                <w:szCs w:val="24"/>
                <w:highlight w:val="none"/>
                <w:u w:val="singl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网络异常：支持远程中心平台报警。</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、温度调节：支持远程控制风扇。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、工作温度范围：≥-10-+70℃，存放温度范围：≥-20-+85℃，相对湿度范围：≥5-95%，无结露，防护等级：不低于IP55。</w:t>
            </w:r>
            <w:r/>
          </w:p>
          <w:p>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 xml:space="preserve">10、支持接入张家港现有智能箱运维管理平台，接口要求如下：</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1）数据接口基于SNMP标准协议，符合RFC1901- RFC1908；</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2）以太网口应使用TCP/IP协议，TCP协议应符合RFC0793，IP协议应符合RFC0791</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4.3.9 智能抱杆箱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 交通信息采集系统技术要求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4.4.1 交通信息采集系统功能要求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◆1、实时性要求：数据采集周期应为10s～60s可调，一般为20s。对快速路网内同一条道路的交通参数采集同步误差不大于100ms，交通参数的传输时延不大于1s。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◆2、准确性要求：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①</w:t>
            </w:r>
            <w:r>
              <w:rPr>
                <w:rFonts w:ascii="Times New Roman" w:hAnsi="Times New Roman" w:eastAsia="宋体" w:cs="Times New Roman"/>
                <w:color w:val="auto"/>
                <w:sz w:val="24"/>
                <w:szCs w:val="24"/>
                <w:highlight w:val="none"/>
                <w:lang w:val="en-US" w:eastAsia="zh-CN" w:bidi="ar-SA"/>
              </w:rPr>
              <w:t xml:space="preserve">交通流量精度：检测设备在测试时间段内检测的通过车辆计数值与实际通过检测断面的车辆数之比，要求：≥95％。</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②</w:t>
            </w:r>
            <w:r>
              <w:rPr>
                <w:rFonts w:ascii="Times New Roman" w:hAnsi="Times New Roman" w:eastAsia="宋体" w:cs="Times New Roman"/>
                <w:color w:val="auto"/>
                <w:sz w:val="24"/>
                <w:szCs w:val="24"/>
                <w:highlight w:val="none"/>
                <w:lang w:val="en-US" w:eastAsia="zh-CN" w:bidi="ar-SA"/>
              </w:rPr>
              <w:t xml:space="preserve">平均速度精度：检测设备在测试时间段内检测到的通过车辆速度算术平均值与实际通过检测断面的车辆速度算术平均值之比，要求：≥90％；</w:t>
            </w:r>
            <w:r/>
          </w:p>
          <w:p>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 xml:space="preserve">③</w:t>
            </w:r>
            <w:r>
              <w:rPr>
                <w:rFonts w:ascii="Times New Roman" w:hAnsi="Times New Roman" w:eastAsia="宋体" w:cs="Times New Roman"/>
                <w:color w:val="auto"/>
                <w:sz w:val="24"/>
                <w:szCs w:val="24"/>
                <w:highlight w:val="none"/>
                <w:lang w:val="en-US" w:eastAsia="zh-CN" w:bidi="ar-SA"/>
              </w:rPr>
              <w:t xml:space="preserve">时间占有率精度：检测设备在测试时间段内检测到的通过车辆的时间占有率值与实际通过检测断面的车辆的时间占有率值之比，要求：≥90％。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◆3、与其他系统联动：能够将微波检测到的事件的位置坐标发送给视频监控系统，视频监控系统根据接收到的位置信息，将视频画面调整到该事件的位置，并能够进行弹窗报警并显示事件画面信息。</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4.4.2 雷视一体机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1、系统平台功能：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◆（1）平台通过整合路网内交通流数据，打造集数据采集、数据处理、监测管理、预测预警、应急指挥、可视化平台于一体的大数据平台，以信息化提升数据化管理与服务能力，随时随地准确掌握道路实况。</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◆（2）数字大屏：实时展示快速路上的车辆在途量，并对车型按大小进行分类；显示实时的拥堵状况。并可从宏观、中观、微观的角度，对快速路上的车辆进行二维仿真实时展示。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快速路监测：依据雷视一体采集的车辆轨迹，1:1还原道路上车辆的真实驾驶情况。1）交通事件上报：秒级上传交通违法事件信息，为事件处理的决策提供依据。从时间的维度上对交通事件进行统计，依据不同的事件类型进行分类统计。展示最新发生的30条违法事件信息。2）交通态势监测：对快速路上的交通流进行监测，分析不同时间段的流量和平均速度，为交通优化设计提供依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快速路档案：1）交通流档案：可以按照不同的时间粒度和时间段，对交通流档案进行图表化展示；2）事件统计：交通事件按照时间分布和类型分布进行图表化展示。可以对历史交通事件进行回溯分析，为警务人员下一步的处罚决策提供依据。包括事件发生前后30秒的视频回放、违法图片抓拍、违法车辆仿真回放；3）拥堵统计：对区间平均速度和拥堵成因进行分析，提供图表化展示；4）数字孪生回放，按不同时间段进行二位仿真展示。便于查看历史道路车辆轨迹运行情况。</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◆（5）设备运维：1）设备监测，设备监测运维中心基于对平台中雷达的运行状况的实时监测及可视化展示，能及时直观的反映故障点位信息，更加有效的保障智能交通系统的顺畅运行；2）设备信息和设备分布。</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2、雷</w:t>
            </w:r>
            <w:r>
              <w:rPr>
                <w:rFonts w:hint="eastAsia" w:ascii="Times New Roman" w:hAnsi="Times New Roman" w:eastAsia="宋体" w:cs="Times New Roman"/>
                <w:color w:val="auto"/>
                <w:sz w:val="24"/>
                <w:szCs w:val="24"/>
                <w:highlight w:val="none"/>
                <w:lang w:val="en-US" w:eastAsia="zh-CN" w:bidi="ar-SA"/>
              </w:rPr>
              <w:t xml:space="preserve">视</w:t>
            </w:r>
            <w:r>
              <w:rPr>
                <w:rFonts w:ascii="Times New Roman" w:hAnsi="Times New Roman" w:eastAsia="宋体" w:cs="Times New Roman"/>
                <w:color w:val="auto"/>
                <w:sz w:val="24"/>
                <w:szCs w:val="24"/>
                <w:highlight w:val="none"/>
                <w:lang w:val="en-US" w:eastAsia="zh-CN" w:bidi="ar-SA"/>
              </w:rPr>
              <w:t xml:space="preserve">一体机检测器设备技术要求：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◆（1）检测器采用主动扫描式阵列雷达微波检测技术，微波信号沿发射方向以每秒20次的扫描频率可靠地检测路上每一车道的动态或静态目标；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◆（2）检测器视频采用不低于800W像素低照度摄像机，内置车辆智能识别算法，能够对车辆目标进行有效的识别检测，且支持车牌识别以及目标结构化信息检测。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◆（3）检测器雷达采用高频段、高分辨率的毫米波感知雷达，具备雷达成像技术，最大输出原始点数不低于20000点/秒。</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◆（4）检测器能进行大区域检测，检测区域不低于500米，能同时检测不少于12个车道；可同时跟踪检测不少于512个目标。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◆（5）检测器跟踪检测每个目标的位置坐标（x,y）、速度（Vx, Vy）、目标类型，具有图形化操作软件，实时显示每个目标在检测区域内被跟踪情况以及目标即时位置、速度等实时信息，并能输出即时轨迹数据。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6</w:t>
            </w:r>
            <w:r>
              <w:rPr>
                <w:rFonts w:ascii="Times New Roman" w:hAnsi="Times New Roman" w:eastAsia="宋体" w:cs="Times New Roman"/>
                <w:color w:val="auto"/>
                <w:sz w:val="24"/>
                <w:szCs w:val="24"/>
                <w:highlight w:val="none"/>
                <w:lang w:val="en-US" w:eastAsia="zh-CN" w:bidi="ar-SA"/>
              </w:rPr>
              <w:t xml:space="preserve">）检测器具有区间信息检测功能，包括区间车辆数、空间占有率、区间平均速度等信息。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检测器可检测交通目标，支持雷达坐标系坐标与大地坐标系坐标之间的转换，支持全球坐标（GPS或北斗的位置参数导入），可输出目标GPS或北斗信息，目标航向角，目标速度（速度、加速度），目标属性（长度、宽度、高度、类型），目标RCS值和目标置信度，基于雷达坐标系下，位置精度</w:t>
            </w:r>
            <w:r>
              <w:rPr>
                <w:rFonts w:hint="eastAsia" w:ascii="Times New Roman" w:hAnsi="Times New Roman" w:eastAsia="宋体" w:cs="Times New Roman"/>
                <w:color w:val="auto"/>
                <w:sz w:val="24"/>
                <w:szCs w:val="24"/>
                <w:highlight w:val="none"/>
                <w:lang w:val="en-US" w:eastAsia="zh-CN" w:bidi="ar-SA"/>
              </w:rPr>
              <w:t xml:space="preserve">不大于</w:t>
            </w:r>
            <w:r>
              <w:rPr>
                <w:rFonts w:ascii="Times New Roman" w:hAnsi="Times New Roman" w:eastAsia="宋体" w:cs="Times New Roman"/>
                <w:color w:val="auto"/>
                <w:sz w:val="24"/>
                <w:szCs w:val="24"/>
                <w:highlight w:val="none"/>
                <w:lang w:val="en-US" w:eastAsia="zh-CN" w:bidi="ar-SA"/>
              </w:rPr>
              <w:t xml:space="preserve">±0.2m。</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检测器在软件界面中可加载高精地图，结合实际检测目标，可实现交通实景的数字孪生。</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）车流量精度≥95%；事件监测精度≥95%。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）可在全气候环境下稳定工作，包括雨、雪、雾、霾、大风、冰冻、冰雹、沙尘等恶劣天气，并具有自校准以及故障自诊断功能。</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）外壳不低于IP67防护标准。</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）支持7*24连续不间断工作。</w:t>
            </w:r>
            <w:r/>
          </w:p>
          <w:p>
            <w:pPr>
              <w:spacing w:line="440" w:lineRule="exact"/>
              <w:rPr>
                <w:rFonts w:ascii="Times New Roman" w:hAnsi="Times New Roman" w:eastAsia="宋体" w:cs="Times New Roman"/>
                <w:i/>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）雷视一体机必须确保顺畅接入张家港市公安局交通警察大队交通全息高架预警平台</w:t>
            </w:r>
            <w:r>
              <w:rPr>
                <w:rFonts w:ascii="Times New Roman" w:hAnsi="Times New Roman" w:eastAsia="宋体" w:cs="Times New Roman"/>
                <w:i/>
                <w:color w:val="auto"/>
                <w:sz w:val="24"/>
                <w:szCs w:val="24"/>
                <w:highlight w:val="none"/>
                <w:u w:val="single"/>
                <w:lang w:val="en-US" w:eastAsia="zh-CN" w:bidi="ar-SA"/>
              </w:rPr>
              <w:t xml:space="preserve">。</w:t>
            </w:r>
            <w:r/>
          </w:p>
          <w:p>
            <w:pPr>
              <w:spacing w:line="440" w:lineRule="exact"/>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14）检测器能够支持网页端调试，能够在网页端展示车辆轨迹及视频图像，能够对车辆轨迹进行录制与回放，能够一键导入配置参数。（投标时须在响应文件中提供第三方检测机构出具的合格检验报告或功能截图等相关证明材料）</w:t>
            </w:r>
            <w:r/>
          </w:p>
          <w:p>
            <w:pPr>
              <w:spacing w:line="440" w:lineRule="exact"/>
              <w:rPr>
                <w:rFonts w:ascii="Times New Roman" w:hAnsi="Times New Roman" w:eastAsia="宋体" w:cs="Times New Roman"/>
                <w:b/>
                <w:bCs/>
                <w:i/>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ascii="Times New Roman" w:hAnsi="Times New Roman" w:eastAsia="宋体" w:cs="Times New Roman"/>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15</w:t>
            </w:r>
            <w:r>
              <w:rPr>
                <w:rFonts w:ascii="Times New Roman" w:hAnsi="Times New Roman" w:eastAsia="宋体" w:cs="Times New Roman"/>
                <w:b/>
                <w:bCs/>
                <w:color w:val="auto"/>
                <w:sz w:val="24"/>
                <w:szCs w:val="24"/>
                <w:highlight w:val="none"/>
                <w:lang w:val="en-US" w:eastAsia="zh-CN" w:bidi="ar-SA"/>
              </w:rPr>
              <w:t xml:space="preserve">）检测器可对交通异常事件进行检测，包括停车、逆行、变道、超高速、超低速、连续变道事件、缓行、拥堵、行人及非机动等，可通过上位机自行配置检测区，可定制触发报警机制，并可输出报警信息。</w:t>
            </w:r>
            <w:r>
              <w:rPr>
                <w:rFonts w:hint="eastAsia" w:ascii="Times New Roman" w:hAnsi="Times New Roman" w:eastAsia="宋体" w:cs="Times New Roman"/>
                <w:b/>
                <w:bCs/>
                <w:color w:val="auto"/>
                <w:sz w:val="24"/>
                <w:szCs w:val="24"/>
                <w:highlight w:val="none"/>
                <w:lang w:val="en-US" w:eastAsia="zh-CN" w:bidi="ar-SA"/>
              </w:rPr>
              <w:t xml:space="preserve">（投标时须在响应文件中提供第三方检测机构出具的合格检验报告或功能截图等相关证明材料）</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注：全息高架预警平台：系统通过视频监控、卡口摄像机、雷视一体机等多维感知前端，提取、融合车辆的物理属性（</w:t>
            </w:r>
            <w:r>
              <w:rPr>
                <w:rFonts w:ascii="Times New Roman" w:hAnsi="Times New Roman" w:eastAsia="宋体" w:cs="Times New Roman"/>
                <w:color w:val="auto"/>
                <w:sz w:val="24"/>
                <w:szCs w:val="24"/>
                <w:highlight w:val="none"/>
                <w:lang w:val="en-US" w:eastAsia="zh-CN" w:bidi="ar-SA"/>
              </w:rPr>
              <w:t xml:space="preserve">如：车型、车牌、颜色、品牌）和态势属性（如：坐标、速度、驾驶行为），同时结合高精度数字地图、结构化数据引擎、数字孪生等先进技术，整合快速路网空间信息模型与城市交通运行感知数据，对现实世界中的车辆基于城市数字地图进行实时重建，对道路主体、设备设施、车流、重点车辆等关键目标“1:1”实时孪生再现。实现对车辆拥堵、异常停车、实线变道、交通事故等各类常见交通事件以及出口急停、危险行驶、连续变道、蛇形行驶、低速行驶等难以感知的业务痛点进行全天候实时监测、报警，满足全天候、高精度、数字化、智能化、多功能的交通管理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4.4.3 边缘计算单元</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◆1、多传感器融合边缘计算设备能够使用多雷达多目标拼接融合算法，能处理不少于6台雷视一体机的轨迹拼接，同时能够与路段的球机、枪机、卡口进行联动，实现目标区域内多传感器的有效融合。</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2、CPU不低于2.3GHZ,≥4核心。</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3、系统内存不低于2*260-Pin SODIMM, 双通道DDR4 2400/2133MHz, 16GB内存；</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至少2个千兆网口。存储≥512G固态硬盘；至少6*USB3.0 Type A；功耗≤70W电源支持DC 24V输入；工作温度-20～65℃,使用宽温SSD。</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◆4、基于多雷达目标融合拼接算法，在融合区内精准识别两台雷达的相同目标，并将其融合，实现车辆ID、运行轨迹及速度的完整性和连续性。</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◆5、可联动枪机及卡口实现车牌、车辆结构化信息和轨迹信息的叠加，实现检测区域内车辆的车牌、车型拟合。</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可实现雷达坐标系与球机PTZ坐标系的转换，雷达可定位异常交通事件的发生位置，联动球机对异常交通事件发生区域进行图片的拍摄或视频的录制。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可将雷达发送的轨迹数据及事件数据进行融合处理后，转发给上层平台。</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可通过可视化界面对多台雷达的位置关系进行标定，实现多台雷达坐标系的统一。</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可加载本地及在线高精地图，可支持栅格瓦片地图xyz、lrc格式，矢量地图geojson、wms格式。</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4.4.4 接入接口要求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◆RS-232C数据终端设备接口默认数据传输比特率为115200bit/s。以太网口应使用TCP/IP协议，TCP协议应符合RFC0793，IP协议应符合RFC0791。</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4.4.5智能抱杆箱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4.4.6 智能设备箱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同4.3.8。</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4.4.7 工业级交换机1</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同4.3.7。</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4.4.8交通调查系统</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交通情况调查设备应具备机动车分型功能，满足交通运输部《关于调整公路交通情况调查交通车型分类及折算系数的通知》（厅规划字[2010]205号）附件1《公路交通情况调查机动车车型分类》中二级分类的要求，机动车分型表参见下表。</w:t>
            </w:r>
            <w:r/>
          </w:p>
          <w:tbl>
            <w:tblPr>
              <w:tblStyle w:val="761"/>
              <w:tblW w:w="8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35"/>
              <w:gridCol w:w="2005"/>
              <w:gridCol w:w="2430"/>
              <w:gridCol w:w="1559"/>
            </w:tblGrid>
            <w:tr>
              <w:trPr>
                <w:jc w:val="center"/>
                <w:trHeight w:val="454"/>
              </w:trPr>
              <w:tc>
                <w:tcPr>
                  <w:tcW w:w="817" w:type="dxa"/>
                  <w:vAlign w:val="center"/>
                  <w:textDirection w:val="lrTb"/>
                  <w:noWrap w:val="false"/>
                </w:tcPr>
                <w:p>
                  <w:pPr>
                    <w:jc w:val="center"/>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车型</w:t>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车型分类</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额定荷载参数</w:t>
                  </w:r>
                  <w:r/>
                </w:p>
              </w:tc>
              <w:tc>
                <w:tcPr>
                  <w:tcW w:w="2430"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轮廓及轴数特征参数</w:t>
                  </w:r>
                  <w:r/>
                </w:p>
              </w:tc>
              <w:tc>
                <w:tcPr>
                  <w:tcW w:w="1559" w:type="dxa"/>
                  <w:vAlign w:val="center"/>
                  <w:textDirection w:val="lrTb"/>
                  <w:noWrap w:val="false"/>
                </w:tcPr>
                <w:p>
                  <w:pPr>
                    <w:jc w:val="center"/>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w:t>
                  </w:r>
                  <w:r/>
                </w:p>
              </w:tc>
            </w:tr>
            <w:tr>
              <w:trPr>
                <w:jc w:val="center"/>
                <w:trHeight w:val="435"/>
              </w:trPr>
              <w:tc>
                <w:tcPr>
                  <w:tcW w:w="817" w:type="dxa"/>
                  <w:vAlign w:val="center"/>
                  <w:vMerge w:val="restart"/>
                  <w:textDirection w:val="lrTb"/>
                  <w:noWrap w:val="false"/>
                </w:tcPr>
                <w:p>
                  <w:pPr>
                    <w:jc w:val="center"/>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汽车</w:t>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中小客车</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额定座位≤19座</w:t>
                  </w:r>
                  <w:r/>
                </w:p>
              </w:tc>
              <w:tc>
                <w:tcPr>
                  <w:tcW w:w="2430" w:type="dxa"/>
                  <w:vAlign w:val="center"/>
                  <w:vMerge w:val="restart"/>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车长&lt;6m，2轴</w:t>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r>
            <w:tr>
              <w:trPr>
                <w:jc w:val="center"/>
                <w:trHeight w:val="435"/>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小型货车</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载质量≤2吨</w:t>
                  </w:r>
                  <w:r/>
                </w:p>
              </w:tc>
              <w:tc>
                <w:tcPr>
                  <w:tcW w:w="2430"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包括三轮载货汽车</w:t>
                  </w:r>
                  <w:r/>
                </w:p>
              </w:tc>
            </w:tr>
            <w:tr>
              <w:trPr>
                <w:jc w:val="center"/>
                <w:trHeight w:val="450"/>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大客车</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额定座位&gt;19座</w:t>
                  </w:r>
                  <w:r/>
                </w:p>
              </w:tc>
              <w:tc>
                <w:tcPr>
                  <w:tcW w:w="2430" w:type="dxa"/>
                  <w:vAlign w:val="center"/>
                  <w:vMerge w:val="restart"/>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6m≤车长≤12m，2轴</w:t>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r>
            <w:tr>
              <w:trPr>
                <w:jc w:val="center"/>
                <w:trHeight w:val="450"/>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中型货车</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2吨&lt;载质量≤7吨</w:t>
                  </w:r>
                  <w:r/>
                </w:p>
              </w:tc>
              <w:tc>
                <w:tcPr>
                  <w:tcW w:w="2430"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包括专用汽车</w:t>
                  </w:r>
                  <w:r/>
                </w:p>
              </w:tc>
            </w:tr>
            <w:tr>
              <w:trPr>
                <w:jc w:val="center"/>
                <w:trHeight w:val="480"/>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大型货车</w:t>
                  </w:r>
                  <w:r/>
                </w:p>
              </w:tc>
              <w:tc>
                <w:tcPr>
                  <w:tcW w:w="200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7吨&lt;载质量≤20吨</w:t>
                  </w:r>
                  <w:r/>
                </w:p>
              </w:tc>
              <w:tc>
                <w:tcPr>
                  <w:tcW w:w="2430"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6m≤车长≤12m，3轴或4轴</w:t>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r>
            <w:tr>
              <w:trPr>
                <w:jc w:val="center"/>
                <w:trHeight w:val="448"/>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特大型</w:t>
                  </w:r>
                  <w:r/>
                </w:p>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货车</w:t>
                  </w:r>
                  <w:r/>
                </w:p>
              </w:tc>
              <w:tc>
                <w:tcPr>
                  <w:tcW w:w="2005" w:type="dxa"/>
                  <w:vAlign w:val="center"/>
                  <w:vMerge w:val="restart"/>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载质量&gt;20吨</w:t>
                  </w:r>
                  <w:r/>
                </w:p>
              </w:tc>
              <w:tc>
                <w:tcPr>
                  <w:tcW w:w="2430"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车长&gt;12m或4轴以上；且车高&lt;3.8m或车高&gt;6.13m</w:t>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r>
            <w:tr>
              <w:trPr>
                <w:jc w:val="center"/>
                <w:trHeight w:val="465"/>
              </w:trPr>
              <w:tc>
                <w:tcPr>
                  <w:tcW w:w="817"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1235"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集装箱车</w:t>
                  </w:r>
                  <w:r/>
                </w:p>
              </w:tc>
              <w:tc>
                <w:tcPr>
                  <w:tcW w:w="2005" w:type="dxa"/>
                  <w:vAlign w:val="center"/>
                  <w:vMerge w:val="continue"/>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c>
                <w:tcPr>
                  <w:tcW w:w="2430"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车长&gt;12m或4轴以上；且3.8m≤车高≤6.13m</w:t>
                  </w:r>
                  <w:r/>
                </w:p>
              </w:tc>
              <w:tc>
                <w:tcPr>
                  <w:tcW w:w="1559" w:type="dxa"/>
                  <w:vAlign w:val="center"/>
                  <w:textDirection w:val="lrTb"/>
                  <w:noWrap w:val="false"/>
                </w:tcPr>
                <w:p>
                  <w:pPr>
                    <w:jc w:val="both"/>
                    <w:spacing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tc>
            </w:tr>
          </w:tbl>
          <w:p>
            <w:pPr>
              <w:jc w:val="cente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 w:val="24"/>
                <w:szCs w:val="24"/>
                <w:highlight w:val="none"/>
              </w:rPr>
              <w:t xml:space="preserve">公路交通情况调查机动车车型分类表</w:t>
            </w:r>
            <w:r/>
          </w:p>
          <w:p>
            <w:pPr>
              <w:ind w:firstLine="480"/>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i/>
                <w:iCs/>
                <w:color w:val="auto"/>
                <w:sz w:val="24"/>
                <w:szCs w:val="24"/>
                <w:highlight w:val="none"/>
                <w:u w:val="single"/>
                <w:lang w:val="en-US" w:eastAsia="zh-CN" w:bidi="ar-SA"/>
              </w:rPr>
              <w:t xml:space="preserve">机动车交通流量数据的采集满足交通部《关于加强公路交通情况调查设备技术管理的指导意见(2010年修订稿)》附件1《固定式交通流量调查设备技术条件》中I型设备的相关要求，所采集的机动车交通流量数据应可分行驶方向、可分车道、可按上表中的要求进行机动车分型。</w:t>
            </w:r>
            <w:r/>
          </w:p>
          <w:p>
            <w:pPr>
              <w:ind w:firstLine="480"/>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i/>
                <w:iCs/>
                <w:color w:val="auto"/>
                <w:sz w:val="24"/>
                <w:szCs w:val="24"/>
                <w:highlight w:val="none"/>
                <w:u w:val="single"/>
                <w:lang w:val="en-US" w:eastAsia="zh-CN" w:bidi="ar-SA"/>
              </w:rPr>
              <w:t xml:space="preserve">机动车地点车速数据的采集满足交通部《关于加强公路交通情况调查设备技术管理的指导意见(2010年修订稿)》附件1《固定式交通流量调查设备技术条件》中I型设备的相关要求，所采集的车速数据应可分行驶方向、可分车道、可按上表中的要求进行机动车分型，车速的采集范围为0~180公里/小时。</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4、功能要求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机动车车头时距数据的采集</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设备应具备在任意时间周期内，对经过该设备调查断面的汽车采集分方向、分车道的汽车车头时距数据的功能。</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跟车百分比数据的统计</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设备能根据其所采集的汽车车头时距数据统计分方向的跟车百分比数据。</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机动车车头间距与平均机动车车头间距数据采集</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设备应具备在任意时间周期内，对经过该设备调查断面的汽车采集分方向、分车道的车头间距数据的功能，并据此计算平均车头间距。</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时间占有率数据采集</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设备应具备在任意时间周期内，对经过该设备调查断面的汽车采集分方向、分车道的时间占有率数据的功能。</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交通数据采集的精度要求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设备的流量数据采集相对误差应在±5%内。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设备在采集机动车分型数据时，其单型识别相对误差均应在±10%内。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设备地点车速数据采集的相对误差应在±10%内。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设备车头时距数据采集的相对误差应在±10%内。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设备车头间距数据采集的相对误差应在±10%内。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设备时间占有率数据采集的相对误差应在±10%内。</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交通数据传输及数据管理</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设备投入使用后能将数据以5分钟为时间单位自动上传至市级服务器及省级服务器，服务器端可以分站点和分时段读取数据，并对数据进行统计管理，自动生产符合交通运输部报表制度要求的各类报表。</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设备故障诊断及检测</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设备具有实时故障诊断和检测功能，能检测设备的运行状态、数据存储状态和硬件设备的故障状态，并能即时报告设备管理人员，在中心设备管理计算机上显示故障原因代码。</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4.4</w:t>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4.4.8.1 集成式交通气象监测仪</w:t>
            </w:r>
            <w:r/>
          </w:p>
          <w:p>
            <w:pPr>
              <w:ind w:firstLine="480"/>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系统需接入张家港市气象局现有的气象业务平台，实现数据的互联互通。系统需遵循统一版中心站软件设备通信接口开发规范，采用动态链接库方式完成数据解析转换、通信连接维护、异常识别上报、远程参数适配等功能，与现有平台无缝接入，实现路面状况、能见度、路面温度、湿滑系数、气温、相对湿度、气压、风速、风向、降雨强度等要素的实时入库和设备监控、管理。</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所有前端采集的气象及路面状态数据需全量、实时入网，并纳入现有平台的统一展示、分析与预警体系中。设备功能包含但不限于以下功能，施工单位进场后，必须第一时间主动联系张家港市气象局及相关业主单位，对气象设备的安装点位、监测参数阈值、数据传输协议及联动逻辑进行深化设计，并经业主方审核确认后方可执行，以确保设备功能完全贴合张家港市的实际防灾减灾与交通保畅需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考虑到气象检测设备采集的气象信息具有区域代表性，设计结合管理需求在沿线主要的互通枢纽立交附近以及路段分别设置了气象检测器和路面状态检测器，对路面积水尤其是冬季结冰等情况进行实时检测，为道路交通安全运行提供必要的基础数据支撑。</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2、为确保项目顺利落地并满足数据入网的硬性指标，中标单位在总标后须履行以下职责：</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建立沟通机制：中标后第一时间与张家港市气象局建立专项技术对接小组，明确现有平台的数据接口规范、通信协议及安全加密要求。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联调联试保障：在设备安装调试阶段，必须安排专业技术人员驻场，配合气象局平台运维团队完成数据推送测试、异常值过滤及平台可视化适配等工作。</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验收标准：系统的最终验收将以“数据成功、稳定接入张家港市气象局现有平台，并在平台上正常显示与应用”作为核心前置条件。若因设备兼容性问题导致数据无法入网，中标单位需无条件负责整改直至达标。</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（一）集成式交通气象监测仪</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配备压电雨强传感器模块、超声波风测风传感器模块、MEMS温湿压传感器模块、前向散射能见度传感器模块、路面状况传感器模块、红外路温传感器模块、激光指示器、万向支架等组件；</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能够对路面状况、能见度、路面温度、湿滑系数、气温、相对湿度、气压、风速、风向、降水强度进行观测；</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观测数据应按《气象探测资料汇交管理办法》（气发〔2017〕31号）及相关法律法规要求及时汇交至当地气象主管部门。</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支持路面状况、能见度、路面温度、气温、相对湿度、大气压力、风向、风速、降雨强度等气象要素测量；</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支持数据存储（1分钟一条），支持将实时和存储的测量结果通过RS232/RS485/bluetooth/4G进行上传，含4G传输卡；</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支持配置文件的存储和上电调用；</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支持对站点、区站号、设备编号等设备信息进行设置和查看；</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支持对测量时间、高程、经纬度等状态进行设置和查看；具有自检、故障提示及报警功能；</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具体观测性能参数要求如下：</w:t>
            </w:r>
            <w:r/>
          </w:p>
          <w:tbl>
            <w:tblPr>
              <w:tblStyle w:val="1043"/>
              <w:tblW w:w="69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89"/>
              <w:gridCol w:w="1884"/>
              <w:gridCol w:w="1283"/>
              <w:gridCol w:w="2315"/>
            </w:tblGrid>
            <w:tr>
              <w:trPr>
                <w:jc w:val="center"/>
                <w:trHeight w:val="321"/>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测量要素</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范围</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分辨力</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准确度等级/最大允许误差</w:t>
                  </w:r>
                  <w:r/>
                </w:p>
              </w:tc>
            </w:tr>
            <w:tr>
              <w:trPr>
                <w:jc w:val="center"/>
                <w:trHeight w:val="940"/>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路面状况</w:t>
                  </w:r>
                  <w:r/>
                </w:p>
              </w:tc>
              <w:tc>
                <w:tcPr>
                  <w:gridSpan w:val="2"/>
                  <w:tcW w:w="3167"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准确区分干燥、潮湿、积水、霜\</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雪、冰、冰水混合等 6 种路面状</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况，可反演输出湿滑系数</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&gt;90%</w:t>
                  </w:r>
                  <w:r/>
                </w:p>
              </w:tc>
            </w:tr>
            <w:tr>
              <w:trPr>
                <w:jc w:val="center"/>
                <w:trHeight w:val="940"/>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能见度</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10～5000m</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≤1m</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±50m（能见度≤500m）</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10%（500m&lt;能见度≤1500m）</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±20%（能见度＞1500m</w:t>
                  </w:r>
                  <w:r/>
                </w:p>
              </w:tc>
            </w:tr>
            <w:tr>
              <w:trPr>
                <w:jc w:val="center"/>
                <w:trHeight w:val="628"/>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路面温度</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-40～+80℃</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±0.5℃ @（-5℃~+5℃)</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±2℃（其它范围）</w:t>
                  </w:r>
                  <w:r/>
                </w:p>
              </w:tc>
            </w:tr>
            <w:tr>
              <w:trPr>
                <w:jc w:val="center"/>
                <w:trHeight w:val="317"/>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湿滑系数</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0.01～1.00</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≤0.01</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jc w:val="center"/>
                <w:trHeight w:val="317"/>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气温</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-40～+55℃</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±0.3℃</w:t>
                  </w:r>
                  <w:r/>
                </w:p>
              </w:tc>
            </w:tr>
            <w:tr>
              <w:trPr>
                <w:jc w:val="center"/>
                <w:trHeight w:val="317"/>
              </w:trPr>
              <w:tc>
                <w:tcPr>
                  <w:tcBorders>
                    <w:bottom w:val="none" w:color="000000" w:sz="4" w:space="0"/>
                  </w:tcBorders>
                  <w:tcW w:w="1489" w:type="dxa"/>
                  <w:vAlign w:val="top"/>
                  <w:vMerge w:val="restart"/>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相对湿度</w:t>
                  </w:r>
                  <w:r/>
                </w:p>
              </w:tc>
              <w:tc>
                <w:tcPr>
                  <w:tcBorders>
                    <w:bottom w:val="none" w:color="000000" w:sz="4" w:space="0"/>
                  </w:tcBorders>
                  <w:tcW w:w="1884" w:type="dxa"/>
                  <w:vAlign w:val="top"/>
                  <w:vMerge w:val="restart"/>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10%～100%RH</w:t>
                  </w:r>
                  <w:r/>
                </w:p>
              </w:tc>
              <w:tc>
                <w:tcPr>
                  <w:tcBorders>
                    <w:bottom w:val="none" w:color="000000" w:sz="4" w:space="0"/>
                  </w:tcBorders>
                  <w:tcW w:w="1283" w:type="dxa"/>
                  <w:vAlign w:val="top"/>
                  <w:vMerge w:val="restart"/>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≤0.1%RH</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±3%RH (≤80%RH）</w:t>
                  </w:r>
                  <w:r/>
                </w:p>
              </w:tc>
            </w:tr>
            <w:tr>
              <w:trPr>
                <w:jc w:val="center"/>
                <w:trHeight w:val="317"/>
              </w:trPr>
              <w:tc>
                <w:tcPr>
                  <w:tcBorders>
                    <w:top w:val="none" w:color="000000" w:sz="4" w:space="0"/>
                  </w:tcBorders>
                  <w:tcW w:w="1489" w:type="dxa"/>
                  <w:vAlign w:val="top"/>
                  <w:vMerge w:val="continue"/>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884" w:type="dxa"/>
                  <w:vAlign w:val="top"/>
                  <w:vMerge w:val="continue"/>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283" w:type="dxa"/>
                  <w:vAlign w:val="top"/>
                  <w:vMerge w:val="continue"/>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±5%RH（＞80%RH）</w:t>
                  </w:r>
                  <w:r/>
                </w:p>
              </w:tc>
            </w:tr>
            <w:tr>
              <w:trPr>
                <w:jc w:val="center"/>
                <w:trHeight w:val="317"/>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气压</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500～1100hPa</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≤0.1hPa</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±0.5hPa</w:t>
                  </w:r>
                  <w:r/>
                </w:p>
              </w:tc>
            </w:tr>
            <w:tr>
              <w:trPr>
                <w:jc w:val="center"/>
                <w:trHeight w:val="628"/>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风速</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0～60m/s</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≤0.1m/s</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±（0.5+0.03V）m/s</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（V 表示当前风速值）</w:t>
                  </w:r>
                  <w:r/>
                </w:p>
              </w:tc>
            </w:tr>
            <w:tr>
              <w:trPr>
                <w:jc w:val="center"/>
                <w:trHeight w:val="317"/>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风向</w:t>
                  </w:r>
                  <w:r/>
                </w:p>
              </w:tc>
              <w:tc>
                <w:tcPr>
                  <w:tcW w:w="1884"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0～360 °</w:t>
                  </w:r>
                  <w:r/>
                </w:p>
              </w:tc>
              <w:tc>
                <w:tcPr>
                  <w:tcW w:w="1283"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≤0.1 °</w:t>
                  </w:r>
                  <w:r/>
                </w:p>
              </w:tc>
              <w:tc>
                <w:tcPr>
                  <w:tcW w:w="2315"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w:t>
                  </w:r>
                  <w:r/>
                </w:p>
              </w:tc>
            </w:tr>
            <w:tr>
              <w:trPr>
                <w:jc w:val="center"/>
                <w:trHeight w:val="633"/>
              </w:trPr>
              <w:tc>
                <w:tcPr>
                  <w:tcW w:w="1489" w:type="dxa"/>
                  <w:vAlign w:val="top"/>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降雨强度</w:t>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（等级）</w:t>
                  </w:r>
                  <w:r/>
                </w:p>
              </w:tc>
              <w:tc>
                <w:tcPr>
                  <w:gridSpan w:val="3"/>
                  <w:tcW w:w="5482" w:type="dxa"/>
                  <w:vAlign w:val="top"/>
                  <w:textDirection w:val="lrTb"/>
                  <w:noWrap w:val="false"/>
                </w:tcPr>
                <w:p>
                  <w:pPr>
                    <w:jc w:val="left"/>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至少可识别有/无降雨，降雨强度(分为小雨、中雨、大雨、暴雨、大暴雨、特大暴雨6 个类别)。</w:t>
                  </w:r>
                  <w:r/>
                </w:p>
              </w:tc>
            </w:tr>
            <w:tr>
              <w:trPr>
                <w:jc w:val="center"/>
                <w:trHeight w:val="873"/>
              </w:trPr>
              <w:tc>
                <w:tcPr>
                  <w:tcW w:w="1489" w:type="dxa"/>
                  <w:vAlign w:val="center"/>
                  <w:textDirection w:val="lrTb"/>
                  <w:noWrap w:val="false"/>
                </w:tcPr>
                <w:p>
                  <w:pPr>
                    <w:jc w:val="left"/>
                    <w:spacing w:line="440" w:lineRule="exac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其他要求</w:t>
                  </w:r>
                  <w:r/>
                </w:p>
              </w:tc>
              <w:tc>
                <w:tcPr>
                  <w:gridSpan w:val="3"/>
                  <w:tcW w:w="5482" w:type="dxa"/>
                  <w:vAlign w:val="center"/>
                  <w:textDirection w:val="lrTb"/>
                  <w:noWrap w:val="false"/>
                </w:tcPr>
                <w:p>
                  <w:pPr>
                    <w:jc w:val="left"/>
                    <w:spacing w:line="440" w:lineRule="exac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i/>
                      <w:iCs/>
                      <w:color w:val="auto"/>
                      <w:sz w:val="22"/>
                      <w:szCs w:val="22"/>
                      <w:highlight w:val="none"/>
                      <w:u w:val="single"/>
                      <w:lang w:val="en-US" w:eastAsia="zh-CN" w:bidi="ar-SA"/>
                    </w:rPr>
                    <w:t xml:space="preserve">投标人所投集成式交通气象监测仪须获得中国气象局颁发的《气象专用技术装备使用许可证》</w:t>
                  </w:r>
                  <w:r>
                    <w:rPr>
                      <w:rFonts w:hint="eastAsia" w:ascii="Times New Roman" w:hAnsi="Times New Roman" w:cs="Times New Roman"/>
                      <w:i/>
                      <w:iCs/>
                      <w:color w:val="auto"/>
                      <w:sz w:val="22"/>
                      <w:szCs w:val="22"/>
                      <w:highlight w:val="none"/>
                      <w:u w:val="single"/>
                      <w:lang w:val="en-US" w:eastAsia="zh-CN" w:bidi="ar-SA"/>
                    </w:rPr>
                    <w:t xml:space="preserve">，请在投标时提供</w:t>
                  </w:r>
                  <w:r>
                    <w:rPr>
                      <w:rFonts w:hint="eastAsia" w:ascii="Times New Roman" w:hAnsi="Times New Roman" w:eastAsia="宋体" w:cs="Times New Roman"/>
                      <w:i/>
                      <w:iCs/>
                      <w:color w:val="auto"/>
                      <w:sz w:val="22"/>
                      <w:szCs w:val="22"/>
                      <w:highlight w:val="none"/>
                      <w:u w:val="single"/>
                      <w:lang w:val="en-US" w:eastAsia="zh-CN" w:bidi="ar-SA"/>
                    </w:rPr>
                    <w:t xml:space="preserve">所投集成式交通气象监测仪</w:t>
                  </w:r>
                  <w:r>
                    <w:rPr>
                      <w:rFonts w:hint="eastAsia" w:ascii="Times New Roman" w:hAnsi="Times New Roman" w:cs="Times New Roman"/>
                      <w:i/>
                      <w:iCs/>
                      <w:color w:val="auto"/>
                      <w:sz w:val="22"/>
                      <w:szCs w:val="22"/>
                      <w:highlight w:val="none"/>
                      <w:u w:val="single"/>
                      <w:lang w:val="en-US" w:eastAsia="zh-CN" w:bidi="ar-SA"/>
                    </w:rPr>
                    <w:t xml:space="preserve">获得的</w:t>
                  </w:r>
                  <w:r>
                    <w:rPr>
                      <w:rFonts w:hint="eastAsia" w:ascii="Times New Roman" w:hAnsi="Times New Roman" w:eastAsia="宋体" w:cs="Times New Roman"/>
                      <w:i/>
                      <w:iCs/>
                      <w:color w:val="auto"/>
                      <w:sz w:val="22"/>
                      <w:szCs w:val="22"/>
                      <w:highlight w:val="none"/>
                      <w:u w:val="single"/>
                      <w:lang w:val="en-US" w:eastAsia="zh-CN" w:bidi="ar-SA"/>
                    </w:rPr>
                    <w:t xml:space="preserve">《气象专用技术装备使用许可证》</w:t>
                  </w:r>
                  <w:r/>
                </w:p>
              </w:tc>
            </w:tr>
          </w:tbl>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（二）气象数据接收处理配套服务器</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系统具备高可用性与数据冗余机制，确保新增交通气象监测数据的全量、完整存储，满足气象探测资料长期保存与快速检索要求。构建符合气象行业标准及跨部门交换规范的统一数据共享接口平台，支撑气象、交管、交通等部门的跨网域数据交互与业务协同。</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气象数据接收处理配套服务器参数要求：</w:t>
            </w:r>
            <w:r/>
          </w:p>
          <w:tbl>
            <w:tblPr>
              <w:tblStyle w:val="761"/>
              <w:tblpPr w:horzAnchor="page" w:tblpXSpec="center" w:vertAnchor="text" w:tblpY="653" w:leftFromText="180" w:topFromText="0" w:rightFromText="180" w:bottomFromText="0"/>
              <w:tblW w:w="78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239"/>
              <w:gridCol w:w="1335"/>
              <w:gridCol w:w="4535"/>
            </w:tblGrid>
            <w:tr>
              <w:trPr>
                <w:jc w:val="center"/>
                <w:trHeight w:val="597"/>
              </w:trPr>
              <w:tc>
                <w:tcPr>
                  <w:shd w:val="clear" w:color="auto" w:fill="auto"/>
                  <w:tcW w:w="719" w:type="dxa"/>
                  <w:vAlign w:val="center"/>
                  <w:textDirection w:val="lrTb"/>
                  <w:noWrap w:val="false"/>
                </w:tcPr>
                <w:p>
                  <w:pPr>
                    <w:ind w:left="184"/>
                    <w:jc w:val="both"/>
                    <w:spacing w:before="58" w:line="223" w:lineRule="auto"/>
                    <w:rPr>
                      <w:rFonts w:hint="default" w:ascii="宋体" w:hAnsi="宋体" w:eastAsia="宋体" w:cs="宋体"/>
                      <w:b w:val="0"/>
                      <w:bCs w:val="0"/>
                      <w:color w:val="auto"/>
                      <w:sz w:val="22"/>
                      <w:szCs w:val="22"/>
                      <w:highlight w:val="none"/>
                      <w:lang w:eastAsia="en-US"/>
                    </w:rPr>
                  </w:pPr>
                  <w:r>
                    <w:rPr>
                      <w:rFonts w:hint="eastAsia" w:ascii="宋体" w:hAnsi="宋体" w:eastAsia="宋体" w:cs="宋体"/>
                      <w:b w:val="0"/>
                      <w:bCs w:val="0"/>
                      <w:color w:val="auto"/>
                      <w:spacing w:val="-6"/>
                      <w:sz w:val="22"/>
                      <w:szCs w:val="22"/>
                      <w:highlight w:val="none"/>
                      <w:lang w:eastAsia="en-US"/>
                    </w:rPr>
                    <w:t xml:space="preserve">序号</w:t>
                  </w:r>
                  <w:r/>
                </w:p>
              </w:tc>
              <w:tc>
                <w:tcPr>
                  <w:shd w:val="clear" w:color="auto" w:fill="auto"/>
                  <w:tcW w:w="1239" w:type="dxa"/>
                  <w:vAlign w:val="center"/>
                  <w:textDirection w:val="lrTb"/>
                  <w:noWrap w:val="false"/>
                </w:tcPr>
                <w:p>
                  <w:pPr>
                    <w:ind w:right="137"/>
                    <w:jc w:val="center"/>
                    <w:spacing w:before="242" w:line="302" w:lineRule="auto"/>
                    <w:rPr>
                      <w:rFonts w:hint="default" w:ascii="宋体" w:hAnsi="宋体" w:eastAsia="宋体" w:cs="宋体"/>
                      <w:b w:val="0"/>
                      <w:bCs w:val="0"/>
                      <w:color w:val="auto"/>
                      <w:sz w:val="22"/>
                      <w:szCs w:val="22"/>
                      <w:highlight w:val="none"/>
                      <w:lang w:eastAsia="en-US"/>
                    </w:rPr>
                  </w:pPr>
                  <w:r>
                    <w:rPr>
                      <w:rFonts w:hint="eastAsia" w:ascii="宋体" w:hAnsi="宋体" w:eastAsia="宋体" w:cs="宋体"/>
                      <w:b w:val="0"/>
                      <w:bCs w:val="0"/>
                      <w:color w:val="auto"/>
                      <w:spacing w:val="-7"/>
                      <w:sz w:val="22"/>
                      <w:szCs w:val="22"/>
                      <w:highlight w:val="none"/>
                      <w:lang w:eastAsia="en-US"/>
                    </w:rPr>
                    <w:t xml:space="preserve">一级</w:t>
                  </w:r>
                  <w:r>
                    <w:rPr>
                      <w:rFonts w:hint="eastAsia" w:ascii="宋体" w:hAnsi="宋体" w:eastAsia="宋体" w:cs="宋体"/>
                      <w:b w:val="0"/>
                      <w:bCs w:val="0"/>
                      <w:color w:val="auto"/>
                      <w:spacing w:val="-3"/>
                      <w:position w:val="-1"/>
                      <w:sz w:val="22"/>
                      <w:szCs w:val="22"/>
                      <w:highlight w:val="none"/>
                      <w:lang w:eastAsia="en-US"/>
                    </w:rPr>
                    <w:t xml:space="preserve">指标</w:t>
                  </w:r>
                  <w:r/>
                </w:p>
              </w:tc>
              <w:tc>
                <w:tcPr>
                  <w:shd w:val="clear" w:color="auto" w:fill="auto"/>
                  <w:tcW w:w="1335" w:type="dxa"/>
                  <w:vAlign w:val="center"/>
                  <w:textDirection w:val="lrTb"/>
                  <w:noWrap w:val="false"/>
                </w:tcPr>
                <w:p>
                  <w:pPr>
                    <w:ind w:left="151"/>
                    <w:jc w:val="both"/>
                    <w:spacing w:before="59" w:line="234" w:lineRule="auto"/>
                    <w:rPr>
                      <w:rFonts w:hint="default" w:ascii="宋体" w:hAnsi="宋体" w:eastAsia="宋体" w:cs="宋体"/>
                      <w:b w:val="0"/>
                      <w:bCs w:val="0"/>
                      <w:color w:val="auto"/>
                      <w:spacing w:val="-2"/>
                      <w:sz w:val="22"/>
                      <w:szCs w:val="22"/>
                      <w:highlight w:val="none"/>
                      <w:lang w:eastAsia="en-US"/>
                    </w:rPr>
                  </w:pPr>
                  <w:r>
                    <w:rPr>
                      <w:rFonts w:hint="eastAsia" w:ascii="宋体" w:hAnsi="宋体" w:eastAsia="宋体" w:cs="宋体"/>
                      <w:b w:val="0"/>
                      <w:bCs w:val="0"/>
                      <w:color w:val="auto"/>
                      <w:spacing w:val="-2"/>
                      <w:sz w:val="22"/>
                      <w:szCs w:val="22"/>
                      <w:highlight w:val="none"/>
                      <w:lang w:eastAsia="en-US"/>
                    </w:rPr>
                    <w:t xml:space="preserve">二级指标</w:t>
                  </w:r>
                  <w:r/>
                </w:p>
              </w:tc>
              <w:tc>
                <w:tcPr>
                  <w:shd w:val="clear" w:color="auto" w:fill="auto"/>
                  <w:tcW w:w="4535" w:type="dxa"/>
                  <w:vAlign w:val="center"/>
                  <w:textDirection w:val="lrTb"/>
                  <w:noWrap w:val="false"/>
                </w:tcPr>
                <w:p>
                  <w:pPr>
                    <w:ind w:left="1135"/>
                    <w:jc w:val="both"/>
                    <w:spacing w:before="59" w:line="222" w:lineRule="auto"/>
                    <w:rPr>
                      <w:rFonts w:hint="default" w:ascii="宋体" w:hAnsi="宋体" w:eastAsia="宋体" w:cs="宋体"/>
                      <w:b w:val="0"/>
                      <w:bCs w:val="0"/>
                      <w:i/>
                      <w:iCs/>
                      <w:color w:val="auto"/>
                      <w:sz w:val="22"/>
                      <w:szCs w:val="22"/>
                      <w:highlight w:val="none"/>
                      <w:u w:val="single"/>
                      <w:lang w:eastAsia="en-US"/>
                    </w:rPr>
                  </w:pPr>
                  <w:r>
                    <w:rPr>
                      <w:rFonts w:hint="eastAsia" w:ascii="宋体" w:hAnsi="宋体" w:eastAsia="宋体" w:cs="宋体"/>
                      <w:b w:val="0"/>
                      <w:bCs w:val="0"/>
                      <w:i w:val="0"/>
                      <w:iCs w:val="0"/>
                      <w:color w:val="auto"/>
                      <w:spacing w:val="-3"/>
                      <w:sz w:val="22"/>
                      <w:szCs w:val="22"/>
                      <w:highlight w:val="none"/>
                      <w:u w:val="none"/>
                      <w:lang w:eastAsia="en-US"/>
                    </w:rPr>
                    <w:t xml:space="preserve">指标要求</w:t>
                  </w:r>
                  <w:r/>
                </w:p>
              </w:tc>
            </w:tr>
            <w:tr>
              <w:trPr>
                <w:jc w:val="center"/>
                <w:trHeight w:val="964"/>
              </w:trPr>
              <w:tc>
                <w:tcPr>
                  <w:shd w:val="clear" w:color="auto" w:fill="auto"/>
                  <w:tcW w:w="719" w:type="dxa"/>
                  <w:vAlign w:val="center"/>
                  <w:textDirection w:val="lrTb"/>
                  <w:noWrap w:val="false"/>
                </w:tcPr>
                <w:p>
                  <w:pPr>
                    <w:jc w:val="center"/>
                    <w:spacing w:line="33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327"/>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1</w:t>
                  </w:r>
                  <w:r/>
                </w:p>
              </w:tc>
              <w:tc>
                <w:tcPr>
                  <w:shd w:val="clear" w:color="auto" w:fill="auto"/>
                  <w:tcW w:w="1239" w:type="dxa"/>
                  <w:vAlign w:val="center"/>
                  <w:textDirection w:val="lrTb"/>
                  <w:noWrap w:val="false"/>
                </w:tcPr>
                <w:p>
                  <w:pPr>
                    <w:jc w:val="center"/>
                    <w:spacing w:line="24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61" w:right="160" w:hanging="1"/>
                    <w:jc w:val="center"/>
                    <w:spacing w:before="59" w:line="25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CPU</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jc w:val="center"/>
                    <w:spacing w:line="337"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ind w:left="106"/>
                    <w:jc w:val="center"/>
                    <w:spacing w:before="59" w:line="223"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信息</w:t>
                  </w:r>
                  <w:r/>
                </w:p>
              </w:tc>
              <w:tc>
                <w:tcPr>
                  <w:shd w:val="clear" w:color="auto" w:fill="auto"/>
                  <w:tcW w:w="4535" w:type="dxa"/>
                  <w:vAlign w:val="center"/>
                  <w:textDirection w:val="lrTb"/>
                  <w:noWrap w:val="false"/>
                </w:tcPr>
                <w:p>
                  <w:pPr>
                    <w:ind w:left="110" w:right="172"/>
                    <w:spacing w:before="37" w:line="23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CPU：≥2颗处理器，单处理器物理核心数≥2</w:t>
                  </w:r>
                  <w:r>
                    <w:rPr>
                      <w:rFonts w:hint="default" w:ascii="宋体" w:hAnsi="宋体" w:eastAsia="宋体" w:cs="宋体"/>
                      <w:i/>
                      <w:iCs/>
                      <w:color w:val="auto"/>
                      <w:sz w:val="24"/>
                      <w:szCs w:val="24"/>
                      <w:highlight w:val="none"/>
                      <w:u w:val="single"/>
                    </w:rPr>
                    <w:t xml:space="preserve">4</w:t>
                  </w:r>
                  <w:r>
                    <w:rPr>
                      <w:rFonts w:hint="eastAsia" w:ascii="宋体" w:hAnsi="宋体" w:eastAsia="宋体" w:cs="宋体"/>
                      <w:i/>
                      <w:iCs/>
                      <w:color w:val="auto"/>
                      <w:sz w:val="24"/>
                      <w:szCs w:val="24"/>
                      <w:highlight w:val="none"/>
                      <w:u w:val="single"/>
                    </w:rPr>
                    <w:t xml:space="preserve">核，主频≥</w:t>
                  </w:r>
                  <w:r>
                    <w:rPr>
                      <w:rFonts w:hint="default" w:ascii="宋体" w:hAnsi="宋体" w:eastAsia="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rPr>
                    <w:t xml:space="preserve">.0.GHz，末级缓存容量≥4</w:t>
                  </w:r>
                  <w:r>
                    <w:rPr>
                      <w:rFonts w:hint="default" w:ascii="宋体" w:hAnsi="宋体" w:eastAsia="宋体" w:cs="宋体"/>
                      <w:i/>
                      <w:iCs/>
                      <w:color w:val="auto"/>
                      <w:sz w:val="24"/>
                      <w:szCs w:val="24"/>
                      <w:highlight w:val="none"/>
                      <w:u w:val="single"/>
                    </w:rPr>
                    <w:t xml:space="preserve">5</w:t>
                  </w:r>
                  <w:r>
                    <w:rPr>
                      <w:rFonts w:hint="eastAsia" w:ascii="宋体" w:hAnsi="宋体" w:eastAsia="宋体" w:cs="宋体"/>
                      <w:i/>
                      <w:iCs/>
                      <w:color w:val="auto"/>
                      <w:sz w:val="24"/>
                      <w:szCs w:val="24"/>
                      <w:highlight w:val="none"/>
                      <w:u w:val="single"/>
                    </w:rPr>
                    <w:t xml:space="preserve">MB，线程数≥</w:t>
                  </w:r>
                  <w:r>
                    <w:rPr>
                      <w:rFonts w:hint="default" w:ascii="宋体" w:hAnsi="宋体" w:eastAsia="宋体" w:cs="宋体"/>
                      <w:i/>
                      <w:iCs/>
                      <w:color w:val="auto"/>
                      <w:sz w:val="24"/>
                      <w:szCs w:val="24"/>
                      <w:highlight w:val="none"/>
                      <w:u w:val="single"/>
                    </w:rPr>
                    <w:t xml:space="preserve">48</w:t>
                  </w:r>
                  <w:r>
                    <w:rPr>
                      <w:rFonts w:hint="eastAsia" w:ascii="宋体" w:hAnsi="宋体" w:eastAsia="宋体" w:cs="宋体"/>
                      <w:i/>
                      <w:iCs/>
                      <w:color w:val="auto"/>
                      <w:sz w:val="24"/>
                      <w:szCs w:val="24"/>
                      <w:highlight w:val="none"/>
                      <w:u w:val="single"/>
                    </w:rPr>
                    <w:t xml:space="preserve">线程，支持内存的最高速率≥</w:t>
                  </w:r>
                  <w:r>
                    <w:rPr>
                      <w:rFonts w:hint="default" w:ascii="宋体" w:hAnsi="宋体" w:eastAsia="宋体" w:cs="宋体"/>
                      <w:i/>
                      <w:iCs/>
                      <w:color w:val="auto"/>
                      <w:sz w:val="24"/>
                      <w:szCs w:val="24"/>
                      <w:highlight w:val="none"/>
                      <w:u w:val="single"/>
                    </w:rPr>
                    <w:t xml:space="preserve">48</w:t>
                  </w:r>
                  <w:r>
                    <w:rPr>
                      <w:rFonts w:hint="eastAsia" w:ascii="宋体" w:hAnsi="宋体" w:eastAsia="宋体" w:cs="宋体"/>
                      <w:i/>
                      <w:iCs/>
                      <w:color w:val="auto"/>
                      <w:sz w:val="24"/>
                      <w:szCs w:val="24"/>
                      <w:highlight w:val="none"/>
                      <w:u w:val="single"/>
                    </w:rPr>
                    <w:t xml:space="preserve">00 MHz；</w:t>
                  </w:r>
                  <w:r/>
                </w:p>
              </w:tc>
            </w:tr>
            <w:tr>
              <w:trPr>
                <w:jc w:val="center"/>
                <w:trHeight w:val="725"/>
              </w:trPr>
              <w:tc>
                <w:tcPr>
                  <w:shd w:val="clear" w:color="auto" w:fill="auto"/>
                  <w:tcW w:w="719" w:type="dxa"/>
                  <w:vAlign w:val="center"/>
                  <w:textDirection w:val="lrTb"/>
                  <w:noWrap w:val="false"/>
                </w:tcPr>
                <w:p>
                  <w:pPr>
                    <w:ind w:left="316"/>
                    <w:spacing w:before="27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2</w:t>
                  </w:r>
                  <w:r/>
                </w:p>
              </w:tc>
              <w:tc>
                <w:tcPr>
                  <w:shd w:val="clear" w:color="auto" w:fill="auto"/>
                  <w:tcBorders>
                    <w:bottom w:val="none" w:color="000000" w:sz="4" w:space="0"/>
                  </w:tcBorders>
                  <w:tcW w:w="1239" w:type="dxa"/>
                  <w:vAlign w:val="center"/>
                  <w:vMerge w:val="restart"/>
                  <w:textDirection w:val="lrTb"/>
                  <w:noWrap w:val="false"/>
                </w:tcPr>
                <w:p>
                  <w:pPr>
                    <w:jc w:val="center"/>
                    <w:spacing w:line="245"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spacing w:line="24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62" w:right="117" w:hanging="47"/>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主板支持的 CPU 和内存情况</w:t>
                  </w:r>
                  <w:r/>
                </w:p>
              </w:tc>
              <w:tc>
                <w:tcPr>
                  <w:shd w:val="clear" w:color="auto" w:fill="auto"/>
                  <w:tcW w:w="4535" w:type="dxa"/>
                  <w:vAlign w:val="center"/>
                  <w:textDirection w:val="lrTb"/>
                  <w:noWrap w:val="false"/>
                </w:tcPr>
                <w:p>
                  <w:pPr>
                    <w:ind w:left="120" w:right="172" w:hanging="10"/>
                    <w:spacing w:before="1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内存：≥</w:t>
                  </w:r>
                  <w:r>
                    <w:rPr>
                      <w:rFonts w:hint="default" w:ascii="宋体" w:hAnsi="宋体" w:eastAsia="宋体" w:cs="宋体"/>
                      <w:i/>
                      <w:iCs/>
                      <w:color w:val="auto"/>
                      <w:spacing w:val="2"/>
                      <w:sz w:val="24"/>
                      <w:szCs w:val="24"/>
                      <w:highlight w:val="none"/>
                      <w:u w:val="single"/>
                    </w:rPr>
                    <w:t xml:space="preserve">512</w:t>
                  </w:r>
                  <w:r>
                    <w:rPr>
                      <w:rFonts w:hint="eastAsia" w:ascii="宋体" w:hAnsi="宋体" w:eastAsia="宋体" w:cs="宋体"/>
                      <w:i/>
                      <w:iCs/>
                      <w:color w:val="auto"/>
                      <w:spacing w:val="2"/>
                      <w:sz w:val="24"/>
                      <w:szCs w:val="24"/>
                      <w:highlight w:val="none"/>
                      <w:u w:val="single"/>
                      <w:lang w:eastAsia="en-US"/>
                    </w:rPr>
                    <w:t xml:space="preserve">G DDR</w:t>
                  </w:r>
                  <w:r>
                    <w:rPr>
                      <w:rFonts w:hint="default" w:ascii="宋体" w:hAnsi="宋体" w:eastAsia="宋体" w:cs="宋体"/>
                      <w:i/>
                      <w:iCs/>
                      <w:color w:val="auto"/>
                      <w:spacing w:val="2"/>
                      <w:sz w:val="24"/>
                      <w:szCs w:val="24"/>
                      <w:highlight w:val="none"/>
                      <w:u w:val="single"/>
                      <w:lang w:eastAsia="en-US"/>
                    </w:rPr>
                    <w:t xml:space="preserve">5</w:t>
                  </w:r>
                  <w:r>
                    <w:rPr>
                      <w:rFonts w:hint="eastAsia" w:ascii="宋体" w:hAnsi="宋体" w:eastAsia="宋体" w:cs="宋体"/>
                      <w:i/>
                      <w:iCs/>
                      <w:color w:val="auto"/>
                      <w:spacing w:val="2"/>
                      <w:sz w:val="24"/>
                      <w:szCs w:val="24"/>
                      <w:highlight w:val="none"/>
                      <w:u w:val="single"/>
                      <w:lang w:eastAsia="en-US"/>
                    </w:rPr>
                    <w:t xml:space="preserve">，</w:t>
                  </w:r>
                  <w:r/>
                </w:p>
              </w:tc>
            </w:tr>
            <w:tr>
              <w:trPr>
                <w:jc w:val="center"/>
                <w:trHeight w:val="725"/>
              </w:trPr>
              <w:tc>
                <w:tcPr>
                  <w:shd w:val="clear" w:color="auto" w:fill="auto"/>
                  <w:tcW w:w="719" w:type="dxa"/>
                  <w:vAlign w:val="center"/>
                  <w:textDirection w:val="lrTb"/>
                  <w:noWrap w:val="false"/>
                </w:tcPr>
                <w:p>
                  <w:pPr>
                    <w:ind w:left="318"/>
                    <w:spacing w:before="27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主板内存槽数量</w:t>
                  </w:r>
                  <w:r/>
                </w:p>
              </w:tc>
              <w:tc>
                <w:tcPr>
                  <w:shd w:val="clear" w:color="auto" w:fill="auto"/>
                  <w:tcW w:w="4535" w:type="dxa"/>
                  <w:vAlign w:val="center"/>
                  <w:textDirection w:val="lrTb"/>
                  <w:noWrap w:val="false"/>
                </w:tcPr>
                <w:p>
                  <w:pPr>
                    <w:ind w:left="113" w:right="172"/>
                    <w:spacing w:before="161"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w:t>
                  </w:r>
                  <w:r>
                    <w:rPr>
                      <w:rFonts w:hint="default" w:ascii="宋体" w:hAnsi="宋体" w:eastAsia="宋体" w:cs="宋体"/>
                      <w:i/>
                      <w:iCs/>
                      <w:color w:val="auto"/>
                      <w:spacing w:val="2"/>
                      <w:sz w:val="24"/>
                      <w:szCs w:val="24"/>
                      <w:highlight w:val="none"/>
                      <w:u w:val="single"/>
                      <w:lang w:eastAsia="en-US"/>
                    </w:rPr>
                    <w:t xml:space="preserve">16</w:t>
                  </w:r>
                  <w:r>
                    <w:rPr>
                      <w:rFonts w:hint="eastAsia" w:ascii="宋体" w:hAnsi="宋体" w:eastAsia="宋体" w:cs="宋体"/>
                      <w:i/>
                      <w:iCs/>
                      <w:color w:val="auto"/>
                      <w:spacing w:val="2"/>
                      <w:sz w:val="24"/>
                      <w:szCs w:val="24"/>
                      <w:highlight w:val="none"/>
                      <w:u w:val="single"/>
                      <w:lang w:eastAsia="en-US"/>
                    </w:rPr>
                    <w:t xml:space="preserve">根内存插槽；</w:t>
                  </w:r>
                  <w:r/>
                </w:p>
              </w:tc>
            </w:tr>
            <w:tr>
              <w:trPr>
                <w:jc w:val="center"/>
                <w:trHeight w:val="725"/>
              </w:trPr>
              <w:tc>
                <w:tcPr>
                  <w:shd w:val="clear" w:color="auto" w:fill="auto"/>
                  <w:tcW w:w="719" w:type="dxa"/>
                  <w:vAlign w:val="center"/>
                  <w:textDirection w:val="lrTb"/>
                  <w:noWrap w:val="false"/>
                </w:tcPr>
                <w:p>
                  <w:pPr>
                    <w:ind w:left="313"/>
                    <w:spacing w:before="27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主板存储接口</w:t>
                  </w:r>
                  <w:r/>
                </w:p>
              </w:tc>
              <w:tc>
                <w:tcPr>
                  <w:shd w:val="clear" w:color="auto" w:fill="auto"/>
                  <w:tcW w:w="4535" w:type="dxa"/>
                  <w:vAlign w:val="center"/>
                  <w:textDirection w:val="lrTb"/>
                  <w:noWrap w:val="false"/>
                </w:tcPr>
                <w:p>
                  <w:pPr>
                    <w:ind w:left="113" w:right="172" w:firstLine="4"/>
                    <w:spacing w:before="161"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至少支持SATA、SAS、M.2、U.2等</w:t>
                  </w:r>
                  <w:r>
                    <w:rPr>
                      <w:rFonts w:hint="eastAsia" w:ascii="宋体" w:hAnsi="宋体" w:eastAsia="宋体" w:cs="宋体"/>
                      <w:i/>
                      <w:iCs/>
                      <w:color w:val="auto"/>
                      <w:spacing w:val="-4"/>
                      <w:sz w:val="24"/>
                      <w:szCs w:val="24"/>
                      <w:highlight w:val="none"/>
                      <w:u w:val="single"/>
                      <w:lang w:eastAsia="en-US"/>
                    </w:rPr>
                    <w:t xml:space="preserve">存储接口中的1种</w:t>
                  </w:r>
                  <w:r/>
                </w:p>
              </w:tc>
            </w:tr>
            <w:tr>
              <w:trPr>
                <w:jc w:val="center"/>
                <w:trHeight w:val="452"/>
              </w:trPr>
              <w:tc>
                <w:tcPr>
                  <w:shd w:val="clear" w:color="auto" w:fill="auto"/>
                  <w:tcW w:w="719" w:type="dxa"/>
                  <w:vAlign w:val="center"/>
                  <w:textDirection w:val="lrTb"/>
                  <w:noWrap w:val="false"/>
                </w:tcPr>
                <w:p>
                  <w:pPr>
                    <w:ind w:left="317"/>
                    <w:spacing w:before="58" w:line="242"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主板 PCIe插槽数量及规格</w:t>
                  </w:r>
                  <w:r/>
                </w:p>
              </w:tc>
              <w:tc>
                <w:tcPr>
                  <w:shd w:val="clear" w:color="auto" w:fill="auto"/>
                  <w:tcW w:w="4535" w:type="dxa"/>
                  <w:vAlign w:val="center"/>
                  <w:textDirection w:val="lrTb"/>
                  <w:noWrap w:val="false"/>
                </w:tcPr>
                <w:p>
                  <w:pPr>
                    <w:ind w:left="110" w:right="172" w:firstLine="2"/>
                    <w:spacing w:before="33"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≥4个标准PCIE插槽</w:t>
                  </w:r>
                  <w:r>
                    <w:rPr>
                      <w:rFonts w:hint="eastAsia" w:ascii="宋体" w:hAnsi="宋体" w:eastAsia="宋体" w:cs="宋体"/>
                      <w:i/>
                      <w:iCs/>
                      <w:color w:val="auto"/>
                      <w:sz w:val="24"/>
                      <w:szCs w:val="24"/>
                      <w:highlight w:val="none"/>
                      <w:u w:val="single"/>
                      <w:lang w:eastAsia="zh-CN"/>
                    </w:rPr>
                    <w:t xml:space="preserve">，符合PCle</w:t>
                  </w: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lang w:eastAsia="zh-CN"/>
                    </w:rPr>
                    <w:t xml:space="preserve">.0或以上的高速串行计算机扩展总线标准，PCle的接口速率与位宽需保证向下兼容</w:t>
                  </w:r>
                  <w:r/>
                </w:p>
              </w:tc>
            </w:tr>
            <w:tr>
              <w:trPr>
                <w:jc w:val="center"/>
                <w:trHeight w:val="452"/>
              </w:trPr>
              <w:tc>
                <w:tcPr>
                  <w:shd w:val="clear" w:color="auto" w:fill="auto"/>
                  <w:tcW w:w="719" w:type="dxa"/>
                  <w:vAlign w:val="center"/>
                  <w:textDirection w:val="lrTb"/>
                  <w:noWrap w:val="false"/>
                </w:tcPr>
                <w:p>
                  <w:pPr>
                    <w:ind w:left="317"/>
                    <w:spacing w:before="58" w:line="242"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特殊孔位及接口</w:t>
                  </w:r>
                  <w:r/>
                </w:p>
              </w:tc>
              <w:tc>
                <w:tcPr>
                  <w:shd w:val="clear" w:color="auto" w:fill="auto"/>
                  <w:tcW w:w="4535" w:type="dxa"/>
                  <w:vAlign w:val="center"/>
                  <w:textDirection w:val="lrTb"/>
                  <w:noWrap w:val="false"/>
                </w:tcPr>
                <w:p>
                  <w:pPr>
                    <w:ind w:left="108" w:right="136" w:hanging="2"/>
                    <w:spacing w:before="58" w:line="248" w:lineRule="auto"/>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 xml:space="preserve">a)服务器机箱内主板可根据用户实际使用需求支持安装多功能导入装置板卡，机箱内需预留多功能导入装置板卡安装位置，容量不小于</w:t>
                  </w:r>
                  <w:r/>
                </w:p>
                <w:p>
                  <w:pPr>
                    <w:ind w:left="108" w:right="136" w:hanging="2"/>
                    <w:spacing w:before="58" w:line="248" w:lineRule="auto"/>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 xml:space="preserve">55mm×45mm×15mm（长×宽×高，单位毫米）；</w:t>
                  </w:r>
                  <w:r/>
                </w:p>
                <w:p>
                  <w:pPr>
                    <w:ind w:left="108" w:right="136" w:hanging="2"/>
                    <w:spacing w:before="58" w:line="248" w:lineRule="auto"/>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 xml:space="preserve">b)服务器主板可根据用户实际使用需求预留满足 USB2.0 或 USB3.0 数据传输规范的接口，工作电压5V，采用 USB2.0 时，最大过电流应不小于 0.5A，采用 USB3.0 时，最大过电流应不小于 1A</w:t>
                  </w:r>
                  <w:r/>
                </w:p>
              </w:tc>
            </w:tr>
            <w:tr>
              <w:trPr>
                <w:jc w:val="center"/>
                <w:trHeight w:val="169"/>
              </w:trPr>
              <w:tc>
                <w:tcPr>
                  <w:shd w:val="clear" w:color="auto" w:fill="auto"/>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7</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板载网络接口</w:t>
                  </w:r>
                  <w:r/>
                </w:p>
              </w:tc>
              <w:tc>
                <w:tcPr>
                  <w:shd w:val="clear" w:color="auto" w:fill="auto"/>
                  <w:tcW w:w="4535" w:type="dxa"/>
                  <w:vAlign w:val="center"/>
                  <w:textDirection w:val="lrTb"/>
                  <w:noWrap w:val="false"/>
                </w:tcPr>
                <w:p>
                  <w:pPr>
                    <w:ind w:left="120" w:right="172" w:hanging="9"/>
                    <w:spacing w:before="59" w:line="249"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支持板载网络接口不少于</w:t>
                  </w:r>
                  <w:r>
                    <w:rPr>
                      <w:rFonts w:hint="default" w:ascii="宋体" w:hAnsi="宋体" w:eastAsia="宋体" w:cs="宋体"/>
                      <w:i/>
                      <w:iCs/>
                      <w:color w:val="auto"/>
                      <w:spacing w:val="-3"/>
                      <w:sz w:val="24"/>
                      <w:szCs w:val="24"/>
                      <w:highlight w:val="none"/>
                      <w:u w:val="single"/>
                    </w:rPr>
                    <w:t xml:space="preserve">1</w:t>
                  </w:r>
                  <w:r>
                    <w:rPr>
                      <w:rFonts w:hint="eastAsia" w:ascii="宋体" w:hAnsi="宋体" w:eastAsia="宋体" w:cs="宋体"/>
                      <w:i/>
                      <w:iCs/>
                      <w:color w:val="auto"/>
                      <w:spacing w:val="-3"/>
                      <w:sz w:val="24"/>
                      <w:szCs w:val="24"/>
                      <w:highlight w:val="none"/>
                      <w:u w:val="single"/>
                    </w:rPr>
                    <w:t xml:space="preserve">个</w:t>
                  </w:r>
                  <w:r>
                    <w:rPr>
                      <w:rFonts w:hint="eastAsia" w:ascii="宋体" w:hAnsi="宋体" w:eastAsia="宋体" w:cs="宋体"/>
                      <w:i/>
                      <w:iCs/>
                      <w:color w:val="auto"/>
                      <w:spacing w:val="-7"/>
                      <w:sz w:val="24"/>
                      <w:szCs w:val="24"/>
                      <w:highlight w:val="none"/>
                      <w:u w:val="single"/>
                    </w:rPr>
                    <w:t xml:space="preserve">1GE网口</w:t>
                  </w:r>
                  <w:r/>
                </w:p>
              </w:tc>
            </w:tr>
            <w:tr>
              <w:trPr>
                <w:jc w:val="center"/>
                <w:trHeight w:val="245"/>
              </w:trPr>
              <w:tc>
                <w:tcPr>
                  <w:shd w:val="clear" w:color="auto" w:fill="auto"/>
                  <w:tcW w:w="719" w:type="dxa"/>
                  <w:vAlign w:val="center"/>
                  <w:textDirection w:val="lrTb"/>
                  <w:noWrap w:val="false"/>
                </w:tcPr>
                <w:p>
                  <w:pPr>
                    <w:ind w:left="256"/>
                    <w:spacing w:before="31" w:line="209" w:lineRule="auto"/>
                    <w:rPr>
                      <w:rFonts w:hint="default"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8</w:t>
                  </w:r>
                  <w:r/>
                </w:p>
              </w:tc>
              <w:tc>
                <w:tcPr>
                  <w:shd w:val="clear" w:color="auto" w:fill="auto"/>
                  <w:tcW w:w="1239" w:type="dxa"/>
                  <w:vAlign w:val="center"/>
                  <w:vMerge w:val="restart"/>
                  <w:textDirection w:val="lrTb"/>
                  <w:noWrap w:val="false"/>
                </w:tcPr>
                <w:p>
                  <w:pPr>
                    <w:ind w:left="107"/>
                    <w:jc w:val="center"/>
                    <w:spacing w:before="58" w:line="222" w:lineRule="auto"/>
                    <w:rPr>
                      <w:rFonts w:hint="default"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lang w:eastAsia="en-US"/>
                    </w:rPr>
                    <w:t xml:space="preserve">内存规格</w:t>
                  </w:r>
                  <w:r/>
                </w:p>
              </w:tc>
              <w:tc>
                <w:tcPr>
                  <w:shd w:val="clear" w:color="auto" w:fill="auto"/>
                  <w:tcW w:w="1335" w:type="dxa"/>
                  <w:vAlign w:val="center"/>
                  <w:textDirection w:val="lrTb"/>
                  <w:noWrap w:val="false"/>
                </w:tcPr>
                <w:p>
                  <w:pPr>
                    <w:jc w:val="cente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内存数量</w:t>
                  </w:r>
                  <w:r/>
                </w:p>
              </w:tc>
              <w:tc>
                <w:tcPr>
                  <w:shd w:val="clear" w:color="auto" w:fill="auto"/>
                  <w:tcW w:w="453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w:t>
                  </w:r>
                  <w:r>
                    <w:rPr>
                      <w:rFonts w:hint="default" w:ascii="宋体" w:hAnsi="宋体" w:eastAsia="宋体" w:cs="宋体"/>
                      <w:i/>
                      <w:iCs/>
                      <w:color w:val="auto"/>
                      <w:spacing w:val="-1"/>
                      <w:sz w:val="24"/>
                      <w:szCs w:val="24"/>
                      <w:highlight w:val="none"/>
                      <w:u w:val="single"/>
                      <w:lang w:eastAsia="en-US"/>
                    </w:rPr>
                    <w:t xml:space="preserve">16</w:t>
                  </w:r>
                  <w:r/>
                </w:p>
              </w:tc>
            </w:tr>
            <w:tr>
              <w:trPr>
                <w:jc w:val="center"/>
                <w:trHeight w:val="520"/>
              </w:trPr>
              <w:tc>
                <w:tcPr>
                  <w:shd w:val="clear" w:color="auto" w:fill="auto"/>
                  <w:tcW w:w="719" w:type="dxa"/>
                  <w:vAlign w:val="center"/>
                  <w:textDirection w:val="lrTb"/>
                  <w:noWrap w:val="false"/>
                </w:tcPr>
                <w:p>
                  <w:pPr>
                    <w:jc w:val="center"/>
                    <w:spacing w:before="58" w:line="222" w:lineRule="auto"/>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w:t>
                  </w:r>
                  <w:r/>
                </w:p>
              </w:tc>
              <w:tc>
                <w:tcPr>
                  <w:shd w:val="clear" w:color="auto" w:fill="auto"/>
                  <w:tcW w:w="1239" w:type="dxa"/>
                  <w:vAlign w:val="center"/>
                  <w:vMerge w:val="continue"/>
                  <w:textDirection w:val="lrTb"/>
                  <w:noWrap w:val="false"/>
                </w:tcPr>
                <w:p>
                  <w:pPr>
                    <w:ind w:left="107"/>
                    <w:jc w:val="center"/>
                    <w:spacing w:before="58" w:line="222" w:lineRule="auto"/>
                    <w:rPr>
                      <w:rFonts w:hint="default" w:ascii="宋体" w:hAnsi="宋体" w:eastAsia="宋体" w:cs="宋体"/>
                      <w:color w:val="auto"/>
                      <w:spacing w:val="-1"/>
                      <w:sz w:val="24"/>
                      <w:szCs w:val="24"/>
                      <w:highlight w:val="none"/>
                      <w:lang w:eastAsia="en-US"/>
                    </w:rPr>
                  </w:pPr>
                  <w:r>
                    <w:rPr>
                      <w:rFonts w:hint="default" w:ascii="宋体" w:hAnsi="宋体" w:eastAsia="宋体" w:cs="宋体"/>
                      <w:color w:val="auto"/>
                      <w:spacing w:val="-1"/>
                      <w:sz w:val="24"/>
                      <w:szCs w:val="24"/>
                      <w:highlight w:val="none"/>
                      <w:lang w:eastAsia="en-US"/>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内存规格</w:t>
                  </w:r>
                  <w:r/>
                </w:p>
              </w:tc>
              <w:tc>
                <w:tcPr>
                  <w:shd w:val="clear" w:color="auto" w:fill="auto"/>
                  <w:tcW w:w="453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≥DDR</w:t>
                  </w:r>
                  <w:r>
                    <w:rPr>
                      <w:rFonts w:hint="default" w:ascii="宋体" w:hAnsi="宋体" w:eastAsia="宋体" w:cs="宋体"/>
                      <w:i/>
                      <w:iCs/>
                      <w:color w:val="auto"/>
                      <w:spacing w:val="-1"/>
                      <w:sz w:val="24"/>
                      <w:szCs w:val="24"/>
                      <w:highlight w:val="none"/>
                      <w:u w:val="single"/>
                      <w:lang w:eastAsia="en-US"/>
                    </w:rPr>
                    <w:t xml:space="preserve">5</w:t>
                  </w:r>
                  <w:r/>
                </w:p>
              </w:tc>
            </w:tr>
            <w:tr>
              <w:trPr>
                <w:jc w:val="center"/>
                <w:trHeight w:val="520"/>
              </w:trPr>
              <w:tc>
                <w:tcPr>
                  <w:shd w:val="clear" w:color="auto" w:fill="auto"/>
                  <w:tcW w:w="719" w:type="dxa"/>
                  <w:vAlign w:val="center"/>
                  <w:textDirection w:val="lrTb"/>
                  <w:noWrap w:val="false"/>
                </w:tcPr>
                <w:p>
                  <w:pPr>
                    <w:ind w:left="256"/>
                    <w:jc w:val="center"/>
                    <w:spacing w:before="59" w:line="239" w:lineRule="exact"/>
                    <w:rPr>
                      <w:rFonts w:hint="default" w:ascii="宋体" w:hAnsi="宋体" w:eastAsia="宋体" w:cs="宋体"/>
                      <w:color w:val="auto"/>
                      <w:spacing w:val="-9"/>
                      <w:position w:val="1"/>
                      <w:sz w:val="24"/>
                      <w:szCs w:val="24"/>
                      <w:highlight w:val="none"/>
                    </w:rPr>
                  </w:pPr>
                  <w:r>
                    <w:rPr>
                      <w:rFonts w:hint="default" w:ascii="宋体" w:hAnsi="宋体" w:eastAsia="宋体" w:cs="宋体"/>
                      <w:color w:val="auto"/>
                      <w:spacing w:val="-9"/>
                      <w:position w:val="1"/>
                      <w:sz w:val="24"/>
                      <w:szCs w:val="24"/>
                      <w:highlight w:val="none"/>
                    </w:rPr>
                  </w:r>
                  <w:r/>
                </w:p>
              </w:tc>
              <w:tc>
                <w:tcPr>
                  <w:shd w:val="clear" w:color="auto" w:fill="auto"/>
                  <w:tcBorders>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内存通道</w:t>
                  </w:r>
                  <w:r/>
                </w:p>
              </w:tc>
              <w:tc>
                <w:tcPr>
                  <w:shd w:val="clear" w:color="auto" w:fill="auto"/>
                  <w:tcW w:w="453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支持多个内存接口通道，每个通道可支持 1DPC 或 2DPC，当支持 2DPC时，印制电路板上应具备插槽的序号标识，具体通道数应在随机文件中明确</w:t>
                  </w:r>
                  <w:r/>
                </w:p>
              </w:tc>
            </w:tr>
            <w:tr>
              <w:trPr>
                <w:jc w:val="center"/>
                <w:trHeight w:val="485"/>
              </w:trPr>
              <w:tc>
                <w:tcPr>
                  <w:shd w:val="clear" w:color="auto" w:fill="auto"/>
                  <w:tcW w:w="719" w:type="dxa"/>
                  <w:vAlign w:val="center"/>
                  <w:textDirection w:val="lrTb"/>
                  <w:noWrap w:val="false"/>
                </w:tcPr>
                <w:p>
                  <w:pPr>
                    <w:ind w:left="256"/>
                    <w:spacing w:before="151" w:line="237" w:lineRule="exact"/>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 xml:space="preserve">1</w:t>
                  </w:r>
                  <w:r>
                    <w:rPr>
                      <w:rFonts w:hint="eastAsia" w:ascii="宋体" w:hAnsi="宋体" w:eastAsia="宋体" w:cs="宋体"/>
                      <w:color w:val="auto"/>
                      <w:spacing w:val="-9"/>
                      <w:position w:val="1"/>
                      <w:sz w:val="24"/>
                      <w:szCs w:val="24"/>
                      <w:highlight w:val="none"/>
                    </w:rPr>
                    <w:t xml:space="preserve">0</w:t>
                  </w:r>
                  <w:r/>
                </w:p>
              </w:tc>
              <w:tc>
                <w:tcPr>
                  <w:shd w:val="clear" w:color="auto" w:fill="auto"/>
                  <w:tcW w:w="1239" w:type="dxa"/>
                  <w:vAlign w:val="center"/>
                  <w:vMerge w:val="restart"/>
                  <w:textDirection w:val="lrTb"/>
                  <w:noWrap w:val="false"/>
                </w:tcPr>
                <w:p>
                  <w:pPr>
                    <w:ind w:left="186" w:right="141" w:hanging="47"/>
                    <w:jc w:val="center"/>
                    <w:spacing w:before="59" w:line="248" w:lineRule="auto"/>
                    <w:rPr>
                      <w:rFonts w:hint="default" w:ascii="宋体" w:hAnsi="宋体" w:eastAsia="宋体" w:cs="宋体"/>
                      <w:color w:val="auto"/>
                      <w:spacing w:val="-1"/>
                      <w:sz w:val="24"/>
                      <w:szCs w:val="24"/>
                      <w:highlight w:val="none"/>
                      <w:lang w:eastAsia="en-US"/>
                    </w:rPr>
                  </w:pPr>
                  <w:r>
                    <w:rPr>
                      <w:rFonts w:hint="default" w:ascii="宋体" w:hAnsi="宋体" w:eastAsia="宋体" w:cs="宋体"/>
                      <w:color w:val="auto"/>
                      <w:spacing w:val="-1"/>
                      <w:sz w:val="24"/>
                      <w:szCs w:val="24"/>
                      <w:highlight w:val="none"/>
                      <w:lang w:eastAsia="en-US"/>
                    </w:rPr>
                  </w:r>
                  <w:r/>
                </w:p>
                <w:p>
                  <w:pPr>
                    <w:ind w:left="186" w:right="141" w:hanging="47"/>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存储</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硬盘类型</w:t>
                  </w:r>
                  <w:r/>
                </w:p>
              </w:tc>
              <w:tc>
                <w:tcPr>
                  <w:shd w:val="clear" w:color="auto" w:fill="auto"/>
                  <w:tcW w:w="4535" w:type="dxa"/>
                  <w:vAlign w:val="center"/>
                  <w:textDirection w:val="lrTb"/>
                  <w:noWrap w:val="false"/>
                </w:tcPr>
                <w:p>
                  <w:pPr>
                    <w:ind w:left="115" w:right="168" w:hanging="2"/>
                    <w:spacing w:before="38" w:line="224" w:lineRule="auto"/>
                    <w:rPr>
                      <w:rFonts w:hint="default" w:ascii="宋体" w:hAnsi="宋体" w:eastAsia="宋体" w:cs="宋体"/>
                      <w:i/>
                      <w:iCs/>
                      <w:color w:val="auto"/>
                      <w:sz w:val="24"/>
                      <w:szCs w:val="24"/>
                      <w:highlight w:val="none"/>
                      <w:u w:val="single"/>
                    </w:rPr>
                  </w:pPr>
                  <w:r>
                    <w:rPr>
                      <w:rFonts w:hint="default" w:ascii="宋体" w:hAnsi="宋体" w:eastAsia="宋体" w:cs="宋体"/>
                      <w:i/>
                      <w:iCs/>
                      <w:color w:val="auto"/>
                      <w:spacing w:val="-1"/>
                      <w:sz w:val="24"/>
                      <w:szCs w:val="24"/>
                      <w:highlight w:val="none"/>
                      <w:u w:val="single"/>
                    </w:rPr>
                    <w:t xml:space="preserve"> SATA </w:t>
                  </w:r>
                  <w:r>
                    <w:rPr>
                      <w:rFonts w:hint="eastAsia" w:ascii="宋体" w:hAnsi="宋体" w:eastAsia="宋体" w:cs="宋体"/>
                      <w:i/>
                      <w:iCs/>
                      <w:color w:val="auto"/>
                      <w:spacing w:val="-1"/>
                      <w:sz w:val="24"/>
                      <w:szCs w:val="24"/>
                      <w:highlight w:val="none"/>
                      <w:u w:val="single"/>
                    </w:rPr>
                    <w:t xml:space="preserve">企业级机械硬盘；企业级固态硬盘</w:t>
                  </w:r>
                  <w:r/>
                </w:p>
              </w:tc>
            </w:tr>
            <w:tr>
              <w:trPr>
                <w:jc w:val="center"/>
                <w:trHeight w:val="638"/>
              </w:trPr>
              <w:tc>
                <w:tcPr>
                  <w:shd w:val="clear" w:color="auto" w:fill="auto"/>
                  <w:tcW w:w="719" w:type="dxa"/>
                  <w:vAlign w:val="center"/>
                  <w:textDirection w:val="lrTb"/>
                  <w:noWrap w:val="false"/>
                </w:tcPr>
                <w:p>
                  <w:pPr>
                    <w:ind w:left="256"/>
                    <w:spacing w:before="59" w:line="239" w:lineRule="exact"/>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 xml:space="preserve">1</w:t>
                  </w:r>
                  <w:r>
                    <w:rPr>
                      <w:rFonts w:hint="eastAsia" w:ascii="宋体" w:hAnsi="宋体" w:eastAsia="宋体" w:cs="宋体"/>
                      <w:color w:val="auto"/>
                      <w:spacing w:val="-9"/>
                      <w:position w:val="1"/>
                      <w:sz w:val="24"/>
                      <w:szCs w:val="24"/>
                      <w:highlight w:val="none"/>
                    </w:rPr>
                    <w:t xml:space="preserve">1</w:t>
                  </w:r>
                  <w:r/>
                </w:p>
              </w:tc>
              <w:tc>
                <w:tcPr>
                  <w:shd w:val="clear" w:color="auto" w:fill="auto"/>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硬磁盘实配容量</w:t>
                  </w:r>
                  <w:r/>
                </w:p>
              </w:tc>
              <w:tc>
                <w:tcPr>
                  <w:shd w:val="clear" w:color="auto" w:fill="auto"/>
                  <w:tcW w:w="4535" w:type="dxa"/>
                  <w:vAlign w:val="center"/>
                  <w:textDirection w:val="lrTb"/>
                  <w:noWrap w:val="false"/>
                </w:tcPr>
                <w:p>
                  <w:pPr>
                    <w:ind w:left="111" w:right="123" w:hanging="4"/>
                    <w:spacing w:before="58"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≥1</w:t>
                  </w:r>
                  <w:r>
                    <w:rPr>
                      <w:rFonts w:hint="default" w:ascii="宋体" w:hAnsi="宋体" w:eastAsia="宋体" w:cs="宋体"/>
                      <w:i/>
                      <w:iCs/>
                      <w:color w:val="auto"/>
                      <w:spacing w:val="-1"/>
                      <w:sz w:val="24"/>
                      <w:szCs w:val="24"/>
                      <w:highlight w:val="none"/>
                      <w:u w:val="single"/>
                    </w:rPr>
                    <w:t xml:space="preserve">6块 3.5英寸 SATA 16TB 企业级机械硬盘</w:t>
                  </w:r>
                  <w:r>
                    <w:rPr>
                      <w:rFonts w:hint="eastAsia" w:ascii="宋体" w:hAnsi="宋体" w:eastAsia="宋体" w:cs="宋体"/>
                      <w:i/>
                      <w:iCs/>
                      <w:color w:val="auto"/>
                      <w:spacing w:val="-1"/>
                      <w:sz w:val="24"/>
                      <w:szCs w:val="24"/>
                      <w:highlight w:val="none"/>
                      <w:u w:val="single"/>
                    </w:rPr>
                    <w:t xml:space="preserve">；≥</w:t>
                  </w:r>
                  <w:r>
                    <w:rPr>
                      <w:rFonts w:hint="default" w:ascii="宋体" w:hAnsi="宋体" w:eastAsia="宋体" w:cs="宋体"/>
                      <w:i/>
                      <w:iCs/>
                      <w:color w:val="auto"/>
                      <w:spacing w:val="-1"/>
                      <w:sz w:val="24"/>
                      <w:szCs w:val="24"/>
                      <w:highlight w:val="none"/>
                      <w:u w:val="single"/>
                    </w:rPr>
                    <w:t xml:space="preserve">2块 1.92TB 读写混合型SSD</w:t>
                  </w:r>
                  <w:r/>
                </w:p>
              </w:tc>
            </w:tr>
            <w:tr>
              <w:trPr>
                <w:jc w:val="center"/>
                <w:trHeight w:val="638"/>
              </w:trPr>
              <w:tc>
                <w:tcPr>
                  <w:shd w:val="clear" w:color="auto" w:fill="auto"/>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12</w:t>
                  </w:r>
                  <w:r/>
                </w:p>
              </w:tc>
              <w:tc>
                <w:tcPr>
                  <w:shd w:val="clear" w:color="auto" w:fill="auto"/>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硬盘接口类型</w:t>
                  </w:r>
                  <w:r/>
                </w:p>
              </w:tc>
              <w:tc>
                <w:tcPr>
                  <w:shd w:val="clear" w:color="auto" w:fill="auto"/>
                  <w:tcW w:w="453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a)硬磁盘，应提供SATA 3.0 及以上接口；</w:t>
                  </w:r>
                  <w:r/>
                </w:p>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b)固态盘，应提供至少 1 种类型固态盘接口，如 UFS、SATA、PCIe等</w:t>
                  </w:r>
                  <w:r/>
                </w:p>
              </w:tc>
            </w:tr>
            <w:tr>
              <w:trPr>
                <w:jc w:val="center"/>
                <w:trHeight w:val="638"/>
              </w:trPr>
              <w:tc>
                <w:tcPr>
                  <w:shd w:val="clear" w:color="auto" w:fill="auto"/>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13</w:t>
                  </w:r>
                  <w:r/>
                </w:p>
              </w:tc>
              <w:tc>
                <w:tcPr>
                  <w:shd w:val="clear" w:color="auto" w:fill="auto"/>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硬盘实配数量</w:t>
                  </w:r>
                  <w:r/>
                </w:p>
              </w:tc>
              <w:tc>
                <w:tcPr>
                  <w:shd w:val="clear" w:color="auto" w:fill="auto"/>
                  <w:tcW w:w="453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a)硬磁盘，服务器提供的实配硬磁盘数量应不小于</w:t>
                  </w:r>
                  <w:r>
                    <w:rPr>
                      <w:rFonts w:hint="default" w:ascii="宋体" w:hAnsi="宋体" w:eastAsia="宋体" w:cs="宋体"/>
                      <w:i/>
                      <w:iCs/>
                      <w:color w:val="auto"/>
                      <w:spacing w:val="-1"/>
                      <w:sz w:val="24"/>
                      <w:szCs w:val="24"/>
                      <w:highlight w:val="none"/>
                      <w:u w:val="single"/>
                    </w:rPr>
                    <w:t xml:space="preserve">12</w:t>
                  </w:r>
                  <w:r>
                    <w:rPr>
                      <w:rFonts w:hint="eastAsia" w:ascii="宋体" w:hAnsi="宋体" w:eastAsia="宋体" w:cs="宋体"/>
                      <w:i/>
                      <w:iCs/>
                      <w:color w:val="auto"/>
                      <w:spacing w:val="-1"/>
                      <w:sz w:val="24"/>
                      <w:szCs w:val="24"/>
                      <w:highlight w:val="none"/>
                      <w:u w:val="single"/>
                    </w:rPr>
                    <w:t xml:space="preserve">块，可实现互为备份；</w:t>
                  </w:r>
                  <w:r/>
                </w:p>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b)固态盘，实配盘数应不小于 </w:t>
                  </w:r>
                  <w:r>
                    <w:rPr>
                      <w:rFonts w:hint="default" w:ascii="宋体" w:hAnsi="宋体" w:eastAsia="宋体" w:cs="宋体"/>
                      <w:i/>
                      <w:iCs/>
                      <w:color w:val="auto"/>
                      <w:spacing w:val="-1"/>
                      <w:sz w:val="24"/>
                      <w:szCs w:val="24"/>
                      <w:highlight w:val="none"/>
                      <w:u w:val="single"/>
                    </w:rPr>
                    <w:t xml:space="preserve">2</w:t>
                  </w:r>
                  <w:r>
                    <w:rPr>
                      <w:rFonts w:hint="eastAsia" w:ascii="宋体" w:hAnsi="宋体" w:eastAsia="宋体" w:cs="宋体"/>
                      <w:i/>
                      <w:iCs/>
                      <w:color w:val="auto"/>
                      <w:spacing w:val="-1"/>
                      <w:sz w:val="24"/>
                      <w:szCs w:val="24"/>
                      <w:highlight w:val="none"/>
                      <w:u w:val="single"/>
                    </w:rPr>
                    <w:t xml:space="preserve">块</w:t>
                  </w:r>
                  <w:r/>
                </w:p>
              </w:tc>
            </w:tr>
            <w:tr>
              <w:trPr>
                <w:jc w:val="center"/>
                <w:trHeight w:val="638"/>
              </w:trPr>
              <w:tc>
                <w:tcPr>
                  <w:shd w:val="clear" w:color="auto" w:fill="auto"/>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14</w:t>
                  </w:r>
                  <w:r/>
                </w:p>
              </w:tc>
              <w:tc>
                <w:tcPr>
                  <w:shd w:val="clear" w:color="auto" w:fill="auto"/>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硬盘插槽数量及规格</w:t>
                  </w:r>
                  <w:r/>
                </w:p>
              </w:tc>
              <w:tc>
                <w:tcPr>
                  <w:shd w:val="clear" w:color="auto" w:fill="auto"/>
                  <w:tcW w:w="453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a) 供应商应给出配置的硬盘尺寸，如 2.5 英寸、3.5 英寸硬磁盘；</w:t>
                  </w:r>
                  <w:r/>
                </w:p>
                <w:p>
                  <w:pPr>
                    <w:ind w:left="111" w:right="123" w:hanging="4"/>
                    <w:spacing w:before="58" w:line="248" w:lineRule="auto"/>
                    <w:rPr>
                      <w:rFonts w:hint="eastAsia"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b) 机箱高度为88.9mm 的服务器可支持的硬盘数量应不少于 8 块，机箱高度为44.45mm 的服务器可支持的硬盘数量应不少于 4 块。</w:t>
                  </w:r>
                  <w:r/>
                </w:p>
              </w:tc>
            </w:tr>
            <w:tr>
              <w:trPr>
                <w:jc w:val="center"/>
                <w:trHeight w:val="638"/>
              </w:trPr>
              <w:tc>
                <w:tcPr>
                  <w:shd w:val="clear" w:color="auto" w:fill="auto"/>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15</w:t>
                  </w:r>
                  <w:r/>
                </w:p>
              </w:tc>
              <w:tc>
                <w:tcPr>
                  <w:shd w:val="clear" w:color="auto" w:fill="auto"/>
                  <w:tcBorders>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硬盘其他参数要求</w:t>
                  </w:r>
                  <w:r/>
                </w:p>
              </w:tc>
              <w:tc>
                <w:tcPr>
                  <w:shd w:val="clear" w:color="auto" w:fill="auto"/>
                  <w:tcW w:w="4535" w:type="dxa"/>
                  <w:vAlign w:val="center"/>
                  <w:textDirection w:val="lrTb"/>
                  <w:noWrap w:val="false"/>
                </w:tcPr>
                <w:p>
                  <w:pPr>
                    <w:ind w:left="20" w:right="20" w:firstLine="74"/>
                    <w:spacing w:before="19" w:line="352"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a)机械硬盘准备时间应不大于30s；侧面固定螺丝孔数量可为 4 孔或6孔；工作状态环境温度应满足 5℃ ~55℃ , 其它参数应符合 GB/T 12628的相关规定；</w:t>
                  </w:r>
                  <w:r>
                    <w:rPr>
                      <w:rFonts w:hint="default" w:ascii="宋体" w:hAnsi="宋体" w:eastAsia="宋体" w:cs="宋体"/>
                      <w:i/>
                      <w:iCs/>
                      <w:color w:val="auto"/>
                      <w:spacing w:val="-1"/>
                      <w:sz w:val="24"/>
                      <w:szCs w:val="24"/>
                      <w:highlight w:val="none"/>
                      <w:u w:val="singl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771650" cy="309880"/>
                                    </a:xfrm>
                                    <a:prstGeom prst="rect">
                                      <a:avLst/>
                                    </a:prstGeom>
                                    <a:noFill/>
                                    <a:ln>
                                      <a:noFill/>
                                    </a:ln>
                                    <a:effectLst/>
                                  </wps:spPr>
                                  <wps:txbx>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wps:txbx>
                                  <wps:bodyPr lIns="0" tIns="0" rIns="0" bIns="0" upright="1"/>
                                </wps:wsp>
                              </a:graphicData>
                            </a:graphic>
                          </wp:anchor>
                        </w:drawing>
                      </mc:Choice>
                      <mc:Fallback>
                        <w:pict>
                          <v:shape id="shape 0" o:spid="_x0000_s0" o:spt="202" type="#_x0000_t202" style="position:absolute;z-index:251674624;o:allowoverlap:true;o:allowincell:true;mso-position-horizontal-relative:text;margin-left:27.6pt;mso-position-horizontal:absolute;mso-position-vertical-relative:text;margin-top:2.8pt;mso-position-vertical:absolute;width:139.5pt;height:24.4pt;mso-wrap-distance-left:9.0pt;mso-wrap-distance-top:0.0pt;mso-wrap-distance-right:9.0pt;mso-wrap-distance-bottom:0.0pt;visibility:visible;" filled="f" stroked="f">
                            <v:textbox inset="0,0,0,0">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v:textbox>
                          </v:shape>
                        </w:pict>
                      </mc:Fallback>
                    </mc:AlternateContent>
                  </w:r>
                  <w:r/>
                </w:p>
                <w:p>
                  <w:pPr>
                    <w:ind w:left="111" w:right="123" w:hanging="4"/>
                    <w:spacing w:before="58" w:line="248"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b)若服务器支持固态盘，固态盘符合 SJ/T 11654 相关规定</w:t>
                  </w:r>
                  <w:r/>
                </w:p>
              </w:tc>
            </w:tr>
            <w:tr>
              <w:trPr>
                <w:jc w:val="center"/>
                <w:trHeight w:val="488"/>
              </w:trPr>
              <w:tc>
                <w:tcPr>
                  <w:shd w:val="clear" w:color="auto" w:fill="auto"/>
                  <w:tcW w:w="719" w:type="dxa"/>
                  <w:vAlign w:val="center"/>
                  <w:textDirection w:val="lrTb"/>
                  <w:noWrap w:val="false"/>
                </w:tcPr>
                <w:p>
                  <w:pPr>
                    <w:ind w:left="256"/>
                    <w:jc w:val="center"/>
                    <w:spacing w:before="156"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position w:val="1"/>
                      <w:sz w:val="24"/>
                      <w:szCs w:val="24"/>
                      <w:highlight w:val="none"/>
                      <w:lang w:eastAsia="en-US"/>
                    </w:rPr>
                    <w:t xml:space="preserve">19</w:t>
                  </w:r>
                  <w:r/>
                </w:p>
              </w:tc>
              <w:tc>
                <w:tcPr>
                  <w:shd w:val="clear" w:color="auto" w:fill="auto"/>
                  <w:tcW w:w="1239" w:type="dxa"/>
                  <w:vAlign w:val="center"/>
                  <w:textDirection w:val="lrTb"/>
                  <w:noWrap w:val="false"/>
                </w:tcPr>
                <w:p>
                  <w:pPr>
                    <w:ind w:left="189" w:right="185"/>
                    <w:jc w:val="center"/>
                    <w:spacing w:before="4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5"/>
                      <w:sz w:val="24"/>
                      <w:szCs w:val="24"/>
                      <w:highlight w:val="none"/>
                      <w:lang w:eastAsia="en-US"/>
                    </w:rPr>
                    <w:t xml:space="preserve">卡规</w:t>
                  </w:r>
                  <w:r>
                    <w:rPr>
                      <w:rFonts w:hint="eastAsia" w:ascii="宋体" w:hAnsi="宋体" w:eastAsia="宋体" w:cs="宋体"/>
                      <w:color w:val="auto"/>
                      <w:spacing w:val="-11"/>
                      <w:sz w:val="24"/>
                      <w:szCs w:val="24"/>
                      <w:highlight w:val="none"/>
                      <w:lang w:eastAsia="en-US"/>
                    </w:rPr>
                    <w:t xml:space="preserve">格（若</w:t>
                  </w:r>
                  <w:r>
                    <w:rPr>
                      <w:rFonts w:hint="eastAsia" w:ascii="宋体" w:hAnsi="宋体" w:eastAsia="宋体" w:cs="宋体"/>
                      <w:color w:val="auto"/>
                      <w:spacing w:val="-4"/>
                      <w:sz w:val="24"/>
                      <w:szCs w:val="24"/>
                      <w:highlight w:val="none"/>
                      <w:lang w:eastAsia="en-US"/>
                    </w:rPr>
                    <w:t xml:space="preserve">支持</w:t>
                  </w: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4"/>
                      <w:sz w:val="24"/>
                      <w:szCs w:val="24"/>
                      <w:highlight w:val="none"/>
                      <w:lang w:eastAsia="en-US"/>
                    </w:rPr>
                    <w:t xml:space="preserve">卡）</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卡支持的 接口数</w:t>
                  </w:r>
                  <w:r/>
                </w:p>
              </w:tc>
              <w:tc>
                <w:tcPr>
                  <w:shd w:val="clear" w:color="auto" w:fill="auto"/>
                  <w:tcW w:w="4535" w:type="dxa"/>
                  <w:vAlign w:val="center"/>
                  <w:textDirection w:val="lrTb"/>
                  <w:noWrap w:val="false"/>
                </w:tcPr>
                <w:p>
                  <w:pPr>
                    <w:ind w:left="131"/>
                    <w:spacing w:before="16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3"/>
                      <w:sz w:val="24"/>
                      <w:szCs w:val="24"/>
                      <w:highlight w:val="none"/>
                      <w:u w:val="single"/>
                      <w:lang w:eastAsia="en-US"/>
                    </w:rPr>
                    <w:t xml:space="preserve">≥</w:t>
                  </w:r>
                  <w:r>
                    <w:rPr>
                      <w:rFonts w:hint="default" w:ascii="宋体" w:hAnsi="宋体" w:eastAsia="宋体" w:cs="宋体"/>
                      <w:i/>
                      <w:iCs/>
                      <w:color w:val="auto"/>
                      <w:spacing w:val="-13"/>
                      <w:sz w:val="24"/>
                      <w:szCs w:val="24"/>
                      <w:highlight w:val="none"/>
                      <w:u w:val="single"/>
                      <w:lang w:eastAsia="en-US"/>
                    </w:rPr>
                    <w:t xml:space="preserve">12</w:t>
                  </w:r>
                  <w:r/>
                </w:p>
              </w:tc>
            </w:tr>
            <w:tr>
              <w:trPr>
                <w:jc w:val="center"/>
                <w:trHeight w:val="1684"/>
              </w:trPr>
              <w:tc>
                <w:tcPr>
                  <w:shd w:val="clear" w:color="auto" w:fill="auto"/>
                  <w:tcW w:w="719" w:type="dxa"/>
                  <w:vAlign w:val="center"/>
                  <w:textDirection w:val="lrTb"/>
                  <w:noWrap w:val="false"/>
                </w:tcPr>
                <w:p>
                  <w:pPr>
                    <w:jc w:val="center"/>
                    <w:spacing w:before="5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20</w:t>
                  </w:r>
                  <w:r/>
                </w:p>
              </w:tc>
              <w:tc>
                <w:tcPr>
                  <w:shd w:val="clear" w:color="auto" w:fill="auto"/>
                  <w:tcW w:w="1239" w:type="dxa"/>
                  <w:vAlign w:val="center"/>
                  <w:textDirection w:val="lrTb"/>
                  <w:noWrap w:val="false"/>
                </w:tcPr>
                <w:p>
                  <w:pPr>
                    <w:ind w:left="186" w:right="119" w:hanging="66"/>
                    <w:jc w:val="center"/>
                    <w:spacing w:before="37"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SAS直</w:t>
                  </w:r>
                  <w:r>
                    <w:rPr>
                      <w:rFonts w:hint="eastAsia" w:ascii="宋体" w:hAnsi="宋体" w:eastAsia="宋体" w:cs="宋体"/>
                      <w:color w:val="auto"/>
                      <w:spacing w:val="-3"/>
                      <w:sz w:val="24"/>
                      <w:szCs w:val="24"/>
                      <w:highlight w:val="none"/>
                      <w:lang w:eastAsia="en-US"/>
                    </w:rPr>
                    <w:t xml:space="preserve">通卡</w:t>
                  </w:r>
                  <w:r/>
                </w:p>
                <w:p>
                  <w:pPr>
                    <w:ind w:left="110" w:right="130" w:firstLine="76"/>
                    <w:jc w:val="center"/>
                    <w:spacing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规格</w:t>
                  </w:r>
                  <w:r>
                    <w:rPr>
                      <w:rFonts w:hint="eastAsia" w:ascii="宋体" w:hAnsi="宋体" w:eastAsia="宋体" w:cs="宋体"/>
                      <w:color w:val="auto"/>
                      <w:spacing w:val="8"/>
                      <w:sz w:val="24"/>
                      <w:szCs w:val="24"/>
                      <w:highlight w:val="none"/>
                      <w:lang w:eastAsia="en-US"/>
                    </w:rPr>
                    <w:t xml:space="preserve">(若支</w:t>
                  </w:r>
                  <w:r>
                    <w:rPr>
                      <w:rFonts w:hint="eastAsia" w:ascii="宋体" w:hAnsi="宋体" w:eastAsia="宋体" w:cs="宋体"/>
                      <w:color w:val="auto"/>
                      <w:spacing w:val="-4"/>
                      <w:sz w:val="24"/>
                      <w:szCs w:val="24"/>
                      <w:highlight w:val="none"/>
                      <w:lang w:eastAsia="en-US"/>
                    </w:rPr>
                    <w:t xml:space="preserve">持SAS</w:t>
                  </w:r>
                  <w:r>
                    <w:rPr>
                      <w:rFonts w:hint="eastAsia" w:ascii="宋体" w:hAnsi="宋体" w:eastAsia="宋体" w:cs="宋体"/>
                      <w:color w:val="auto"/>
                      <w:spacing w:val="35"/>
                      <w:sz w:val="24"/>
                      <w:szCs w:val="24"/>
                      <w:highlight w:val="none"/>
                      <w:lang w:eastAsia="en-US"/>
                    </w:rPr>
                    <w:t xml:space="preserve">直通</w:t>
                  </w:r>
                  <w:r/>
                </w:p>
                <w:p>
                  <w:pPr>
                    <w:ind w:left="235"/>
                    <w:jc w:val="center"/>
                    <w:spacing w:line="20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w:t>
                  </w:r>
                  <w:r/>
                </w:p>
              </w:tc>
              <w:tc>
                <w:tcPr>
                  <w:shd w:val="clear" w:color="auto" w:fill="auto"/>
                  <w:tcW w:w="1335" w:type="dxa"/>
                  <w:vAlign w:val="center"/>
                  <w:textDirection w:val="lrTb"/>
                  <w:noWrap w:val="false"/>
                </w:tcPr>
                <w:p>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SAS直通卡SAS接口数量</w:t>
                  </w:r>
                  <w:r/>
                </w:p>
              </w:tc>
              <w:tc>
                <w:tcPr>
                  <w:shd w:val="clear" w:color="auto" w:fill="auto"/>
                  <w:tcW w:w="4535" w:type="dxa"/>
                  <w:vAlign w:val="center"/>
                  <w:textDirection w:val="lrTb"/>
                  <w:noWrap w:val="false"/>
                </w:tcPr>
                <w:p>
                  <w:pPr>
                    <w:spacing w:line="34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34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9"/>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 xml:space="preserve">/</w:t>
                  </w:r>
                  <w:r/>
                </w:p>
              </w:tc>
            </w:tr>
            <w:tr>
              <w:trPr>
                <w:jc w:val="center"/>
                <w:trHeight w:val="1444"/>
              </w:trPr>
              <w:tc>
                <w:tcPr>
                  <w:shd w:val="clear" w:color="auto" w:fill="auto"/>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21</w:t>
                  </w:r>
                  <w:r/>
                </w:p>
              </w:tc>
              <w:tc>
                <w:tcPr>
                  <w:shd w:val="clear" w:color="auto" w:fill="auto"/>
                  <w:tcW w:w="1239" w:type="dxa"/>
                  <w:vAlign w:val="center"/>
                  <w:textDirection w:val="lrTb"/>
                  <w:noWrap w:val="false"/>
                </w:tcPr>
                <w:p>
                  <w:pPr>
                    <w:ind w:left="110" w:right="119" w:firstLine="11"/>
                    <w:jc w:val="center"/>
                    <w:spacing w:before="40"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HBA卡</w:t>
                  </w:r>
                  <w:r>
                    <w:rPr>
                      <w:rFonts w:hint="eastAsia" w:ascii="宋体" w:hAnsi="宋体" w:eastAsia="宋体" w:cs="宋体"/>
                      <w:color w:val="auto"/>
                      <w:spacing w:val="35"/>
                      <w:sz w:val="24"/>
                      <w:szCs w:val="24"/>
                      <w:highlight w:val="none"/>
                      <w:lang w:eastAsia="en-US"/>
                    </w:rPr>
                    <w:t xml:space="preserve">规格</w:t>
                  </w:r>
                  <w:r>
                    <w:rPr>
                      <w:rFonts w:hint="eastAsia" w:ascii="宋体" w:hAnsi="宋体" w:eastAsia="宋体" w:cs="宋体"/>
                      <w:color w:val="auto"/>
                      <w:spacing w:val="8"/>
                      <w:sz w:val="24"/>
                      <w:szCs w:val="24"/>
                      <w:highlight w:val="none"/>
                      <w:lang w:eastAsia="en-US"/>
                    </w:rPr>
                    <w:t xml:space="preserve">(若支</w:t>
                  </w:r>
                  <w:r>
                    <w:rPr>
                      <w:rFonts w:hint="eastAsia" w:ascii="宋体" w:hAnsi="宋体" w:eastAsia="宋体" w:cs="宋体"/>
                      <w:color w:val="auto"/>
                      <w:spacing w:val="-4"/>
                      <w:sz w:val="24"/>
                      <w:szCs w:val="24"/>
                      <w:highlight w:val="none"/>
                      <w:lang w:eastAsia="en-US"/>
                    </w:rPr>
                    <w:t xml:space="preserve">持HBA</w:t>
                  </w:r>
                  <w:r>
                    <w:rPr>
                      <w:rFonts w:hint="eastAsia" w:ascii="宋体" w:hAnsi="宋体" w:eastAsia="宋体" w:cs="宋体"/>
                      <w:color w:val="auto"/>
                      <w:spacing w:val="35"/>
                      <w:sz w:val="24"/>
                      <w:szCs w:val="24"/>
                      <w:highlight w:val="none"/>
                      <w:lang w:eastAsia="en-US"/>
                    </w:rPr>
                    <w:t xml:space="preserve">直通</w:t>
                  </w:r>
                  <w:r/>
                </w:p>
                <w:p>
                  <w:pPr>
                    <w:ind w:left="235"/>
                    <w:jc w:val="center"/>
                    <w:spacing w:line="19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w:t>
                  </w:r>
                  <w:r/>
                </w:p>
              </w:tc>
              <w:tc>
                <w:tcPr>
                  <w:shd w:val="clear" w:color="auto" w:fill="auto"/>
                  <w:tcW w:w="1335" w:type="dxa"/>
                  <w:vAlign w:val="center"/>
                  <w:textDirection w:val="lrTb"/>
                  <w:noWrap w:val="false"/>
                </w:tcPr>
                <w:p>
                  <w:pPr>
                    <w:jc w:val="cente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HBA卡端口数量</w:t>
                  </w:r>
                  <w:r/>
                </w:p>
              </w:tc>
              <w:tc>
                <w:tcPr>
                  <w:shd w:val="clear" w:color="auto" w:fill="auto"/>
                  <w:tcW w:w="4535" w:type="dxa"/>
                  <w:vAlign w:val="center"/>
                  <w:textDirection w:val="lrTb"/>
                  <w:noWrap w:val="false"/>
                </w:tcPr>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8"/>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 xml:space="preserve">/</w:t>
                  </w:r>
                  <w:r/>
                </w:p>
              </w:tc>
            </w:tr>
            <w:tr>
              <w:trPr>
                <w:jc w:val="center"/>
                <w:trHeight w:val="1684"/>
              </w:trPr>
              <w:tc>
                <w:tcPr>
                  <w:shd w:val="clear" w:color="auto" w:fill="auto"/>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22</w:t>
                  </w:r>
                  <w:r/>
                </w:p>
              </w:tc>
              <w:tc>
                <w:tcPr>
                  <w:shd w:val="clear" w:color="auto" w:fill="auto"/>
                  <w:tcBorders>
                    <w:bottom w:val="none" w:color="000000" w:sz="4" w:space="0"/>
                  </w:tcBorders>
                  <w:tcW w:w="1239" w:type="dxa"/>
                  <w:vAlign w:val="center"/>
                  <w:vMerge w:val="restart"/>
                  <w:textDirection w:val="lrTb"/>
                  <w:noWrap w:val="false"/>
                </w:tcPr>
                <w:p>
                  <w:pPr>
                    <w:ind w:right="141"/>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网络</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ind w:right="123"/>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网口速率和数量</w:t>
                  </w:r>
                  <w:r/>
                </w:p>
              </w:tc>
              <w:tc>
                <w:tcPr>
                  <w:shd w:val="clear" w:color="auto" w:fill="auto"/>
                  <w:tcW w:w="4535" w:type="dxa"/>
                  <w:vAlign w:val="center"/>
                  <w:textDirection w:val="lrTb"/>
                  <w:noWrap w:val="false"/>
                </w:tcPr>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290"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2" w:right="168" w:firstLine="2"/>
                    <w:spacing w:before="58"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配备网口数量不少于</w:t>
                  </w:r>
                  <w:r>
                    <w:rPr>
                      <w:rFonts w:hint="default" w:ascii="宋体" w:hAnsi="宋体" w:eastAsia="宋体" w:cs="宋体"/>
                      <w:i/>
                      <w:iCs/>
                      <w:color w:val="auto"/>
                      <w:spacing w:val="-3"/>
                      <w:sz w:val="24"/>
                      <w:szCs w:val="24"/>
                      <w:highlight w:val="none"/>
                      <w:u w:val="single"/>
                    </w:rPr>
                    <w:t xml:space="preserve">2</w:t>
                  </w:r>
                  <w:r>
                    <w:rPr>
                      <w:rFonts w:hint="eastAsia" w:ascii="宋体" w:hAnsi="宋体" w:eastAsia="宋体" w:cs="宋体"/>
                      <w:i/>
                      <w:iCs/>
                      <w:color w:val="auto"/>
                      <w:spacing w:val="-3"/>
                      <w:sz w:val="24"/>
                      <w:szCs w:val="24"/>
                      <w:highlight w:val="none"/>
                      <w:u w:val="single"/>
                    </w:rPr>
                    <w:t xml:space="preserve">个，且网口速率不少于1GE</w:t>
                  </w:r>
                  <w:r/>
                </w:p>
              </w:tc>
            </w:tr>
            <w:tr>
              <w:trPr>
                <w:jc w:val="center"/>
                <w:trHeight w:val="725"/>
              </w:trPr>
              <w:tc>
                <w:tcPr>
                  <w:shd w:val="clear" w:color="auto" w:fill="auto"/>
                  <w:tcW w:w="719" w:type="dxa"/>
                  <w:vAlign w:val="center"/>
                  <w:textDirection w:val="lrTb"/>
                  <w:noWrap w:val="false"/>
                </w:tcPr>
                <w:p>
                  <w:pPr>
                    <w:ind w:left="246"/>
                    <w:spacing w:before="274"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独立网卡网口数量</w:t>
                  </w:r>
                  <w:r/>
                </w:p>
              </w:tc>
              <w:tc>
                <w:tcPr>
                  <w:shd w:val="clear" w:color="auto" w:fill="auto"/>
                  <w:tcW w:w="4535" w:type="dxa"/>
                  <w:vAlign w:val="center"/>
                  <w:textDirection w:val="lrTb"/>
                  <w:noWrap w:val="false"/>
                </w:tcPr>
                <w:p>
                  <w:pPr>
                    <w:ind w:left="115" w:right="168" w:hanging="2"/>
                    <w:spacing w:before="162" w:line="25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若配备独立网卡，独立网卡网口数</w:t>
                  </w:r>
                  <w:r>
                    <w:rPr>
                      <w:rFonts w:hint="eastAsia" w:ascii="宋体" w:hAnsi="宋体" w:eastAsia="宋体" w:cs="宋体"/>
                      <w:i/>
                      <w:iCs/>
                      <w:color w:val="auto"/>
                      <w:spacing w:val="-4"/>
                      <w:sz w:val="24"/>
                      <w:szCs w:val="24"/>
                      <w:highlight w:val="none"/>
                      <w:u w:val="single"/>
                    </w:rPr>
                    <w:t xml:space="preserve">量≥0</w:t>
                  </w:r>
                  <w:r/>
                </w:p>
              </w:tc>
            </w:tr>
            <w:tr>
              <w:trPr>
                <w:jc w:val="center"/>
                <w:trHeight w:val="1224"/>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25</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独立网卡接口类型</w:t>
                  </w:r>
                  <w:r/>
                </w:p>
              </w:tc>
              <w:tc>
                <w:tcPr>
                  <w:shd w:val="clear" w:color="auto" w:fill="auto"/>
                  <w:tcW w:w="4535" w:type="dxa"/>
                  <w:vAlign w:val="center"/>
                  <w:textDirection w:val="lrTb"/>
                  <w:noWrap w:val="false"/>
                </w:tcPr>
                <w:p>
                  <w:pPr>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支持RJ45/QSFP/SFP等</w:t>
                  </w:r>
                  <w:r/>
                </w:p>
              </w:tc>
            </w:tr>
            <w:tr>
              <w:trPr>
                <w:jc w:val="center"/>
                <w:trHeight w:val="994"/>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26</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板载网卡接口类型</w:t>
                  </w:r>
                  <w:r/>
                </w:p>
              </w:tc>
              <w:tc>
                <w:tcPr>
                  <w:shd w:val="clear" w:color="auto" w:fill="auto"/>
                  <w:tcW w:w="4535" w:type="dxa"/>
                  <w:vAlign w:val="center"/>
                  <w:textDirection w:val="lrTb"/>
                  <w:noWrap w:val="false"/>
                </w:tcPr>
                <w:p>
                  <w:pPr>
                    <w:spacing w:before="59"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支持RJ45/QSFP/SFP等</w:t>
                  </w:r>
                  <w:r/>
                </w:p>
              </w:tc>
            </w:tr>
            <w:tr>
              <w:trPr>
                <w:jc w:val="center"/>
                <w:trHeight w:val="485"/>
              </w:trPr>
              <w:tc>
                <w:tcPr>
                  <w:shd w:val="clear" w:color="auto" w:fill="auto"/>
                  <w:tcW w:w="719" w:type="dxa"/>
                  <w:vAlign w:val="center"/>
                  <w:textDirection w:val="lrTb"/>
                  <w:noWrap w:val="false"/>
                </w:tcPr>
                <w:p>
                  <w:pPr>
                    <w:ind w:left="246"/>
                    <w:spacing w:before="157"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27</w:t>
                  </w:r>
                  <w:r/>
                </w:p>
              </w:tc>
              <w:tc>
                <w:tcPr>
                  <w:shd w:val="clear" w:color="auto" w:fill="auto"/>
                  <w:tcBorders>
                    <w:bottom w:val="none" w:color="000000" w:sz="4" w:space="0"/>
                  </w:tcBorders>
                  <w:tcW w:w="1239" w:type="dxa"/>
                  <w:vAlign w:val="center"/>
                  <w:textDirection w:val="lrTb"/>
                  <w:noWrap w:val="false"/>
                </w:tcPr>
                <w:p>
                  <w:pPr>
                    <w:ind w:left="139"/>
                    <w:jc w:val="center"/>
                    <w:spacing w:before="289" w:line="19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外部</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显示接口</w:t>
                  </w:r>
                  <w:r/>
                </w:p>
              </w:tc>
              <w:tc>
                <w:tcPr>
                  <w:shd w:val="clear" w:color="auto" w:fill="auto"/>
                  <w:tcW w:w="4535" w:type="dxa"/>
                  <w:vAlign w:val="center"/>
                  <w:textDirection w:val="lrTb"/>
                  <w:noWrap w:val="false"/>
                </w:tcPr>
                <w:p>
                  <w:pPr>
                    <w:ind w:left="108" w:right="206" w:firstLine="9"/>
                    <w:spacing w:before="45" w:line="22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 xml:space="preserve">显示接口类型应不少于1种，如：VGA、</w:t>
                  </w:r>
                  <w:r>
                    <w:rPr>
                      <w:rFonts w:hint="eastAsia" w:ascii="宋体" w:hAnsi="宋体" w:eastAsia="宋体" w:cs="宋体"/>
                      <w:i/>
                      <w:iCs/>
                      <w:color w:val="auto"/>
                      <w:spacing w:val="-1"/>
                      <w:sz w:val="24"/>
                      <w:szCs w:val="24"/>
                      <w:highlight w:val="none"/>
                      <w:u w:val="single"/>
                    </w:rPr>
                    <w:t xml:space="preserve">DP、HDMI等</w:t>
                  </w:r>
                  <w:r/>
                </w:p>
              </w:tc>
            </w:tr>
            <w:tr>
              <w:trPr>
                <w:jc w:val="center"/>
                <w:trHeight w:val="728"/>
              </w:trPr>
              <w:tc>
                <w:tcPr>
                  <w:shd w:val="clear" w:color="auto" w:fill="auto"/>
                  <w:tcW w:w="719" w:type="dxa"/>
                  <w:vAlign w:val="center"/>
                  <w:textDirection w:val="lrTb"/>
                  <w:noWrap w:val="false"/>
                </w:tcPr>
                <w:p>
                  <w:pPr>
                    <w:ind w:left="246"/>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28</w:t>
                  </w:r>
                  <w:r/>
                </w:p>
              </w:tc>
              <w:tc>
                <w:tcPr>
                  <w:shd w:val="clear" w:color="auto" w:fill="auto"/>
                  <w:tcBorders>
                    <w:top w:val="none" w:color="000000" w:sz="4" w:space="0"/>
                  </w:tcBorders>
                  <w:tcW w:w="1239" w:type="dxa"/>
                  <w:vAlign w:val="center"/>
                  <w:textDirection w:val="lrTb"/>
                  <w:noWrap w:val="false"/>
                </w:tcPr>
                <w:p>
                  <w:pPr>
                    <w:ind w:left="186" w:right="186"/>
                    <w:jc w:val="center"/>
                    <w:spacing w:before="40"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接口</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USB 接口</w:t>
                  </w:r>
                  <w:r/>
                </w:p>
              </w:tc>
              <w:tc>
                <w:tcPr>
                  <w:shd w:val="clear" w:color="auto" w:fill="auto"/>
                  <w:tcW w:w="4535" w:type="dxa"/>
                  <w:vAlign w:val="center"/>
                  <w:textDirection w:val="lrTb"/>
                  <w:noWrap w:val="false"/>
                </w:tcPr>
                <w:p>
                  <w:pPr>
                    <w:ind w:left="112" w:right="123" w:firstLine="2"/>
                    <w:spacing w:before="165"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配备USB接口，如USB2.0、USB3.0</w:t>
                  </w:r>
                  <w:r>
                    <w:rPr>
                      <w:rFonts w:hint="eastAsia" w:ascii="宋体" w:hAnsi="宋体" w:eastAsia="宋体" w:cs="宋体"/>
                      <w:i/>
                      <w:iCs/>
                      <w:color w:val="auto"/>
                      <w:sz w:val="24"/>
                      <w:szCs w:val="24"/>
                      <w:highlight w:val="none"/>
                      <w:u w:val="single"/>
                      <w:lang w:eastAsia="en-US"/>
                    </w:rPr>
                    <w:t xml:space="preserve">等</w:t>
                  </w:r>
                  <w:r/>
                </w:p>
              </w:tc>
            </w:tr>
            <w:tr>
              <w:trPr>
                <w:jc w:val="center"/>
                <w:trHeight w:val="725"/>
              </w:trPr>
              <w:tc>
                <w:tcPr>
                  <w:shd w:val="clear" w:color="auto" w:fill="auto"/>
                  <w:tcW w:w="719" w:type="dxa"/>
                  <w:vAlign w:val="center"/>
                  <w:textDirection w:val="lrTb"/>
                  <w:noWrap w:val="false"/>
                </w:tcPr>
                <w:p>
                  <w:pPr>
                    <w:ind w:left="246"/>
                    <w:spacing w:before="274"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29</w:t>
                  </w:r>
                  <w:r/>
                </w:p>
              </w:tc>
              <w:tc>
                <w:tcPr>
                  <w:shd w:val="clear" w:color="auto" w:fill="auto"/>
                  <w:tcBorders>
                    <w:top w:val="none" w:color="000000" w:sz="4" w:space="0"/>
                    <w:bottom w:val="none" w:color="000000" w:sz="4" w:space="0"/>
                  </w:tcBorders>
                  <w:tcW w:w="1239"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特殊接口及孔位</w:t>
                  </w:r>
                  <w:r/>
                </w:p>
              </w:tc>
              <w:tc>
                <w:tcPr>
                  <w:shd w:val="clear" w:color="auto" w:fill="auto"/>
                  <w:tcW w:w="4535" w:type="dxa"/>
                  <w:vAlign w:val="center"/>
                  <w:textDirection w:val="lrTb"/>
                  <w:noWrap w:val="false"/>
                </w:tcPr>
                <w:p>
                  <w:pPr>
                    <w:ind w:left="114" w:right="168" w:hanging="1"/>
                    <w:spacing w:before="159"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前面板预留1个专用USB母座接口</w:t>
                  </w:r>
                  <w:r>
                    <w:rPr>
                      <w:rFonts w:hint="eastAsia" w:ascii="宋体" w:hAnsi="宋体" w:eastAsia="宋体" w:cs="宋体"/>
                      <w:i/>
                      <w:iCs/>
                      <w:color w:val="auto"/>
                      <w:spacing w:val="-5"/>
                      <w:sz w:val="24"/>
                      <w:szCs w:val="24"/>
                      <w:highlight w:val="none"/>
                      <w:u w:val="single"/>
                    </w:rPr>
                    <w:t xml:space="preserve">孔位</w:t>
                  </w:r>
                  <w:r/>
                </w:p>
              </w:tc>
            </w:tr>
            <w:tr>
              <w:trPr>
                <w:jc w:val="center"/>
                <w:trHeight w:val="744"/>
              </w:trPr>
              <w:tc>
                <w:tcPr>
                  <w:shd w:val="clear" w:color="auto" w:fill="auto"/>
                  <w:tcW w:w="719" w:type="dxa"/>
                  <w:vAlign w:val="center"/>
                  <w:textDirection w:val="lrTb"/>
                  <w:noWrap w:val="false"/>
                </w:tcPr>
                <w:p>
                  <w:pPr>
                    <w:ind w:left="247"/>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30</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其他接口</w:t>
                  </w:r>
                  <w:r/>
                </w:p>
              </w:tc>
              <w:tc>
                <w:tcPr>
                  <w:shd w:val="clear" w:color="auto" w:fill="auto"/>
                  <w:tcW w:w="4535" w:type="dxa"/>
                  <w:vAlign w:val="center"/>
                  <w:textDirection w:val="lrTb"/>
                  <w:noWrap w:val="false"/>
                </w:tcPr>
                <w:p>
                  <w:pPr>
                    <w:ind w:left="113" w:right="103" w:firstLine="1"/>
                    <w:spacing w:before="41"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 xml:space="preserve">a)串口数量不少于1个，并可实现</w:t>
                  </w:r>
                  <w:r>
                    <w:rPr>
                      <w:rFonts w:hint="eastAsia" w:ascii="宋体" w:hAnsi="宋体" w:eastAsia="宋体" w:cs="宋体"/>
                      <w:i/>
                      <w:iCs/>
                      <w:color w:val="auto"/>
                      <w:spacing w:val="-2"/>
                      <w:sz w:val="24"/>
                      <w:szCs w:val="24"/>
                      <w:highlight w:val="none"/>
                      <w:u w:val="single"/>
                    </w:rPr>
                    <w:t xml:space="preserve">GB/T 6107或GB/T 26803.2的相关</w:t>
                  </w:r>
                  <w:r>
                    <w:rPr>
                      <w:rFonts w:hint="eastAsia" w:ascii="宋体" w:hAnsi="宋体" w:eastAsia="宋体" w:cs="宋体"/>
                      <w:i/>
                      <w:iCs/>
                      <w:color w:val="auto"/>
                      <w:spacing w:val="-3"/>
                      <w:sz w:val="24"/>
                      <w:szCs w:val="24"/>
                      <w:highlight w:val="none"/>
                      <w:u w:val="single"/>
                    </w:rPr>
                    <w:t xml:space="preserve">功能；</w:t>
                  </w:r>
                  <w:r/>
                </w:p>
                <w:p>
                  <w:pPr>
                    <w:ind w:left="114" w:right="168"/>
                    <w:spacing w:before="5"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服务器主机前面板可根据用户</w:t>
                  </w:r>
                  <w:r>
                    <w:rPr>
                      <w:rFonts w:hint="eastAsia" w:ascii="宋体" w:hAnsi="宋体" w:eastAsia="宋体" w:cs="宋体"/>
                      <w:i/>
                      <w:iCs/>
                      <w:color w:val="auto"/>
                      <w:spacing w:val="-4"/>
                      <w:sz w:val="24"/>
                      <w:szCs w:val="24"/>
                      <w:highlight w:val="none"/>
                      <w:u w:val="single"/>
                    </w:rPr>
                    <w:t xml:space="preserve">实际使用需求预留1个专用USB母</w:t>
                  </w:r>
                  <w:r>
                    <w:rPr>
                      <w:rFonts w:hint="eastAsia" w:ascii="宋体" w:hAnsi="宋体" w:eastAsia="宋体" w:cs="宋体"/>
                      <w:i/>
                      <w:iCs/>
                      <w:color w:val="auto"/>
                      <w:spacing w:val="-2"/>
                      <w:sz w:val="24"/>
                      <w:szCs w:val="24"/>
                      <w:highlight w:val="none"/>
                      <w:u w:val="single"/>
                    </w:rPr>
                    <w:t xml:space="preserve">座接口孔位</w:t>
                  </w:r>
                  <w:r/>
                </w:p>
              </w:tc>
            </w:tr>
            <w:tr>
              <w:trPr>
                <w:jc w:val="center"/>
                <w:trHeight w:val="347"/>
              </w:trPr>
              <w:tc>
                <w:tcPr>
                  <w:shd w:val="clear" w:color="auto" w:fill="auto"/>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31</w:t>
                  </w:r>
                  <w:r/>
                </w:p>
              </w:tc>
              <w:tc>
                <w:tcPr>
                  <w:shd w:val="clear" w:color="auto" w:fill="auto"/>
                  <w:tcBorders>
                    <w:bottom w:val="none" w:color="000000" w:sz="4" w:space="0"/>
                  </w:tcBorders>
                  <w:tcW w:w="1239" w:type="dxa"/>
                  <w:vAlign w:val="center"/>
                  <w:vMerge w:val="restart"/>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电源</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电源冗余模式</w:t>
                  </w:r>
                  <w:r/>
                </w:p>
              </w:tc>
              <w:tc>
                <w:tcPr>
                  <w:shd w:val="clear" w:color="auto" w:fill="auto"/>
                  <w:tcW w:w="4535" w:type="dxa"/>
                  <w:vAlign w:val="center"/>
                  <w:textDirection w:val="lrTb"/>
                  <w:noWrap w:val="false"/>
                </w:tcPr>
                <w:p>
                  <w:pPr>
                    <w:ind w:left="115" w:right="168" w:hanging="3"/>
                    <w:spacing w:before="58"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整机电源模块按1+1冗余或N+1冗</w:t>
                  </w:r>
                  <w:r>
                    <w:rPr>
                      <w:rFonts w:hint="eastAsia" w:ascii="宋体" w:hAnsi="宋体" w:eastAsia="宋体" w:cs="宋体"/>
                      <w:i/>
                      <w:iCs/>
                      <w:color w:val="auto"/>
                      <w:spacing w:val="-4"/>
                      <w:sz w:val="24"/>
                      <w:szCs w:val="24"/>
                      <w:highlight w:val="none"/>
                      <w:u w:val="single"/>
                    </w:rPr>
                    <w:t xml:space="preserve">余配置</w:t>
                  </w:r>
                  <w:r/>
                </w:p>
              </w:tc>
            </w:tr>
            <w:tr>
              <w:trPr>
                <w:jc w:val="center"/>
                <w:trHeight w:val="965"/>
              </w:trPr>
              <w:tc>
                <w:tcPr>
                  <w:shd w:val="clear" w:color="auto" w:fill="auto"/>
                  <w:tcW w:w="719" w:type="dxa"/>
                  <w:vAlign w:val="center"/>
                  <w:textDirection w:val="lrTb"/>
                  <w:noWrap w:val="false"/>
                </w:tcPr>
                <w:p>
                  <w:pPr>
                    <w:ind w:left="247"/>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32</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电源模块数量</w:t>
                  </w:r>
                  <w:r/>
                </w:p>
              </w:tc>
              <w:tc>
                <w:tcPr>
                  <w:shd w:val="clear" w:color="auto" w:fill="auto"/>
                  <w:tcW w:w="4535" w:type="dxa"/>
                  <w:vAlign w:val="center"/>
                  <w:textDirection w:val="lrTb"/>
                  <w:noWrap w:val="false"/>
                </w:tcPr>
                <w:p>
                  <w:pPr>
                    <w:spacing w:line="341"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8"/>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lang w:eastAsia="en-US"/>
                    </w:rPr>
                    <w:t xml:space="preserve">≥</w:t>
                  </w:r>
                  <w:r>
                    <w:rPr>
                      <w:rFonts w:hint="eastAsia" w:ascii="宋体" w:hAnsi="宋体" w:eastAsia="宋体" w:cs="宋体"/>
                      <w:i/>
                      <w:iCs/>
                      <w:color w:val="auto"/>
                      <w:spacing w:val="-13"/>
                      <w:sz w:val="24"/>
                      <w:szCs w:val="24"/>
                      <w:highlight w:val="none"/>
                      <w:u w:val="single"/>
                    </w:rPr>
                    <w:t xml:space="preserve">2</w:t>
                  </w:r>
                  <w:r/>
                </w:p>
              </w:tc>
            </w:tr>
            <w:tr>
              <w:trPr>
                <w:jc w:val="center"/>
                <w:trHeight w:val="1684"/>
              </w:trPr>
              <w:tc>
                <w:tcPr>
                  <w:shd w:val="clear" w:color="auto" w:fill="auto"/>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电源功率</w:t>
                  </w:r>
                  <w:r/>
                </w:p>
              </w:tc>
              <w:tc>
                <w:tcPr>
                  <w:shd w:val="clear" w:color="auto" w:fill="auto"/>
                  <w:tcW w:w="4535" w:type="dxa"/>
                  <w:vAlign w:val="center"/>
                  <w:textDirection w:val="lrTb"/>
                  <w:noWrap w:val="false"/>
                </w:tcPr>
                <w:p>
                  <w:pPr>
                    <w:ind w:right="168"/>
                    <w:spacing w:before="58"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电源模块功率应有一定冗余，满足</w:t>
                  </w:r>
                  <w:r>
                    <w:rPr>
                      <w:rFonts w:hint="eastAsia" w:ascii="宋体" w:hAnsi="宋体" w:eastAsia="宋体" w:cs="宋体"/>
                      <w:i/>
                      <w:iCs/>
                      <w:color w:val="auto"/>
                      <w:spacing w:val="-1"/>
                      <w:sz w:val="24"/>
                      <w:szCs w:val="24"/>
                      <w:highlight w:val="none"/>
                      <w:u w:val="single"/>
                    </w:rPr>
                    <w:t xml:space="preserve">处理器满载时的需求</w:t>
                  </w:r>
                  <w:r/>
                </w:p>
              </w:tc>
            </w:tr>
            <w:tr>
              <w:trPr>
                <w:jc w:val="center"/>
                <w:trHeight w:val="725"/>
              </w:trPr>
              <w:tc>
                <w:tcPr>
                  <w:shd w:val="clear" w:color="auto" w:fill="auto"/>
                  <w:tcW w:w="719" w:type="dxa"/>
                  <w:vAlign w:val="center"/>
                  <w:textDirection w:val="lrTb"/>
                  <w:noWrap w:val="false"/>
                </w:tcPr>
                <w:p>
                  <w:pPr>
                    <w:ind w:left="247"/>
                    <w:spacing w:before="274"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34</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电源指示灯</w:t>
                  </w:r>
                  <w:r/>
                </w:p>
              </w:tc>
              <w:tc>
                <w:tcPr>
                  <w:shd w:val="clear" w:color="auto" w:fill="auto"/>
                  <w:tcW w:w="4535" w:type="dxa"/>
                  <w:vAlign w:val="center"/>
                  <w:textDirection w:val="lrTb"/>
                  <w:noWrap w:val="false"/>
                </w:tcPr>
                <w:p>
                  <w:pPr>
                    <w:ind w:left="116" w:right="168" w:hanging="2"/>
                    <w:spacing w:before="161"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配备电源指示灯，指示待机、工作</w:t>
                  </w:r>
                  <w:r>
                    <w:rPr>
                      <w:rFonts w:hint="eastAsia" w:ascii="宋体" w:hAnsi="宋体" w:eastAsia="宋体" w:cs="宋体"/>
                      <w:i/>
                      <w:iCs/>
                      <w:color w:val="auto"/>
                      <w:spacing w:val="-3"/>
                      <w:sz w:val="24"/>
                      <w:szCs w:val="24"/>
                      <w:highlight w:val="none"/>
                      <w:u w:val="single"/>
                    </w:rPr>
                    <w:t xml:space="preserve">异常等状态</w:t>
                  </w:r>
                  <w:r/>
                </w:p>
              </w:tc>
            </w:tr>
            <w:tr>
              <w:trPr>
                <w:jc w:val="center"/>
                <w:trHeight w:val="4571"/>
              </w:trPr>
              <w:tc>
                <w:tcPr>
                  <w:shd w:val="clear" w:color="auto" w:fill="auto"/>
                  <w:tcW w:w="719" w:type="dxa"/>
                  <w:vAlign w:val="center"/>
                  <w:textDirection w:val="lrTb"/>
                  <w:noWrap w:val="false"/>
                </w:tcPr>
                <w:p>
                  <w:pPr>
                    <w:jc w:val="center"/>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35</w:t>
                  </w:r>
                  <w:r/>
                </w:p>
              </w:tc>
              <w:tc>
                <w:tcPr>
                  <w:shd w:val="clear" w:color="auto" w:fill="auto"/>
                  <w:tcW w:w="1239" w:type="dxa"/>
                  <w:vAlign w:val="center"/>
                  <w:textDirection w:val="lrTb"/>
                  <w:noWrap w:val="false"/>
                </w:tcPr>
                <w:p>
                  <w:pPr>
                    <w:ind w:right="141"/>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rPr>
                      <w:rFonts w:hint="eastAsia" w:ascii="宋体" w:hAnsi="宋体" w:eastAsia="宋体" w:cs="宋体"/>
                      <w:color w:val="auto"/>
                      <w:spacing w:val="-3"/>
                      <w:sz w:val="24"/>
                      <w:szCs w:val="24"/>
                      <w:highlight w:val="none"/>
                      <w:lang w:eastAsia="en-US"/>
                    </w:rPr>
                    <w:t xml:space="preserve">规格</w:t>
                  </w:r>
                  <w:r/>
                </w:p>
              </w:tc>
              <w:tc>
                <w:tcPr>
                  <w:shd w:val="clear" w:color="auto" w:fill="auto"/>
                  <w:tcW w:w="1335" w:type="dxa"/>
                  <w:vAlign w:val="center"/>
                  <w:textDirection w:val="lrTb"/>
                  <w:noWrap w:val="false"/>
                </w:tcPr>
                <w:p>
                  <w:pPr>
                    <w:ind w:right="123"/>
                    <w:jc w:val="center"/>
                    <w:spacing w:before="58" w:line="250"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外观和结构</w:t>
                  </w:r>
                  <w:r/>
                </w:p>
              </w:tc>
              <w:tc>
                <w:tcPr>
                  <w:shd w:val="clear" w:color="auto" w:fill="auto"/>
                  <w:tcW w:w="4535" w:type="dxa"/>
                  <w:vAlign w:val="center"/>
                  <w:textDirection w:val="lrTb"/>
                  <w:noWrap w:val="false"/>
                </w:tcPr>
                <w:p>
                  <w:pPr>
                    <w:ind w:left="112" w:right="168" w:firstLine="2"/>
                    <w:spacing w:before="40"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a)服务器的零部件应紧固无松动，可插拔部件应可靠连接，开关、按钮和其它控制部件应灵活可靠，布局应方便使用；</w:t>
                  </w:r>
                  <w:r/>
                </w:p>
                <w:p>
                  <w:pPr>
                    <w:ind w:left="112" w:right="103" w:firstLine="2"/>
                    <w:spacing w:before="5"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b) 产品表面不应有明显的凹痕、划</w:t>
                  </w:r>
                  <w:r>
                    <w:rPr>
                      <w:rFonts w:hint="eastAsia" w:ascii="宋体" w:hAnsi="宋体" w:eastAsia="宋体" w:cs="宋体"/>
                      <w:i/>
                      <w:iCs/>
                      <w:color w:val="auto"/>
                      <w:spacing w:val="-1"/>
                      <w:sz w:val="24"/>
                      <w:szCs w:val="24"/>
                      <w:highlight w:val="none"/>
                      <w:u w:val="single"/>
                    </w:rPr>
                    <w:t xml:space="preserve">伤、裂缝、变形和污染等。表面涂层均匀，不应起泡、龟裂、脱落和磨损，金属零部件无锈蚀及其它机</w:t>
                  </w:r>
                  <w:r>
                    <w:rPr>
                      <w:rFonts w:hint="eastAsia" w:ascii="宋体" w:hAnsi="宋体" w:eastAsia="宋体" w:cs="宋体"/>
                      <w:i/>
                      <w:iCs/>
                      <w:color w:val="auto"/>
                      <w:spacing w:val="-2"/>
                      <w:sz w:val="24"/>
                      <w:szCs w:val="24"/>
                      <w:highlight w:val="none"/>
                      <w:u w:val="single"/>
                    </w:rPr>
                    <w:t xml:space="preserve">械损伤；</w:t>
                  </w:r>
                  <w:r/>
                </w:p>
                <w:p>
                  <w:pPr>
                    <w:ind w:left="114" w:right="103" w:hanging="1"/>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c) 产品表面说明功能的文字、符号</w:t>
                  </w:r>
                  <w:r>
                    <w:rPr>
                      <w:rFonts w:hint="eastAsia" w:ascii="宋体" w:hAnsi="宋体" w:eastAsia="宋体" w:cs="宋体"/>
                      <w:i/>
                      <w:iCs/>
                      <w:color w:val="auto"/>
                      <w:spacing w:val="-1"/>
                      <w:sz w:val="24"/>
                      <w:szCs w:val="24"/>
                      <w:highlight w:val="none"/>
                      <w:u w:val="single"/>
                    </w:rPr>
                    <w:t xml:space="preserve">和标志应清晰、端正且牢固；</w:t>
                  </w:r>
                  <w:r/>
                </w:p>
                <w:p>
                  <w:pPr>
                    <w:ind w:left="113" w:right="168"/>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d) 应在服务器的显著位置提供运行状态的指示功能，并在随机文件中明确具体含义；</w:t>
                  </w:r>
                  <w:r/>
                </w:p>
                <w:p>
                  <w:pPr>
                    <w:ind w:left="110" w:right="57" w:firstLine="3"/>
                    <w:spacing w:before="6"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e) 机架、机箱的尺寸应符合通用机</w:t>
                  </w:r>
                  <w:r>
                    <w:rPr>
                      <w:rFonts w:hint="eastAsia" w:ascii="宋体" w:hAnsi="宋体" w:eastAsia="宋体" w:cs="宋体"/>
                      <w:i/>
                      <w:iCs/>
                      <w:color w:val="auto"/>
                      <w:spacing w:val="-1"/>
                      <w:sz w:val="24"/>
                      <w:szCs w:val="24"/>
                      <w:highlight w:val="none"/>
                      <w:u w:val="single"/>
                    </w:rPr>
                    <w:t xml:space="preserve">柜的安装要求，插入总线插座的电路板接口外形尺寸应符合有关总线</w:t>
                  </w:r>
                  <w:r>
                    <w:rPr>
                      <w:rFonts w:hint="eastAsia" w:ascii="宋体" w:hAnsi="宋体" w:eastAsia="宋体" w:cs="宋体"/>
                      <w:i/>
                      <w:iCs/>
                      <w:color w:val="auto"/>
                      <w:spacing w:val="-5"/>
                      <w:sz w:val="24"/>
                      <w:szCs w:val="24"/>
                      <w:highlight w:val="none"/>
                      <w:u w:val="single"/>
                    </w:rPr>
                    <w:t xml:space="preserve">标准的规定，将机箱固定在机柜上，</w:t>
                  </w:r>
                  <w:r>
                    <w:rPr>
                      <w:rFonts w:hint="eastAsia" w:ascii="宋体" w:hAnsi="宋体" w:eastAsia="宋体" w:cs="宋体"/>
                      <w:i/>
                      <w:iCs/>
                      <w:color w:val="auto"/>
                      <w:spacing w:val="-1"/>
                      <w:sz w:val="24"/>
                      <w:szCs w:val="24"/>
                      <w:highlight w:val="none"/>
                      <w:u w:val="single"/>
                    </w:rPr>
                    <w:t xml:space="preserve">机箱底面最大下垂变形不得干涉相邻机体；</w:t>
                  </w:r>
                  <w:r/>
                </w:p>
                <w:p>
                  <w:pPr>
                    <w:ind w:left="110" w:right="57" w:firstLine="3"/>
                    <w:spacing w:before="6" w:line="245" w:lineRule="auto"/>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 xml:space="preserve">f) 高密度服务器应给出 CPU 个数与机柜高度；</w:t>
                  </w:r>
                  <w:r/>
                </w:p>
                <w:p>
                  <w:pPr>
                    <w:ind w:left="110" w:right="57" w:firstLine="3"/>
                    <w:spacing w:before="6" w:line="245" w:lineRule="auto"/>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 xml:space="preserve">g) 服务器尺寸具体要求在随机文件中明确</w:t>
                  </w:r>
                  <w:r/>
                </w:p>
                <w:p>
                  <w:pPr>
                    <w:spacing w:before="5" w:line="200" w:lineRule="auto"/>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tc>
            </w:tr>
            <w:tr>
              <w:trPr>
                <w:jc w:val="center"/>
                <w:trHeight w:val="964"/>
              </w:trPr>
              <w:tc>
                <w:tcPr>
                  <w:shd w:val="clear" w:color="auto" w:fill="auto"/>
                  <w:tcW w:w="719" w:type="dxa"/>
                  <w:vAlign w:val="center"/>
                  <w:textDirection w:val="lrTb"/>
                  <w:noWrap w:val="false"/>
                </w:tcPr>
                <w:p>
                  <w:pPr>
                    <w:ind w:left="247"/>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36</w:t>
                  </w:r>
                  <w:r/>
                </w:p>
              </w:tc>
              <w:tc>
                <w:tcPr>
                  <w:shd w:val="clear" w:color="auto" w:fill="auto"/>
                  <w:tcBorders>
                    <w:top w:val="none" w:color="000000" w:sz="4" w:space="0"/>
                  </w:tcBorders>
                  <w:tcW w:w="1239"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尺寸（高×宽×深）</w:t>
                  </w:r>
                  <w:r/>
                </w:p>
              </w:tc>
              <w:tc>
                <w:tcPr>
                  <w:shd w:val="clear" w:color="auto" w:fill="auto"/>
                  <w:tcW w:w="4535" w:type="dxa"/>
                  <w:vAlign w:val="center"/>
                  <w:textDirection w:val="lrTb"/>
                  <w:noWrap w:val="false"/>
                </w:tcPr>
                <w:p>
                  <w:pPr>
                    <w:ind w:left="110" w:right="57" w:firstLine="3"/>
                    <w:spacing w:before="6" w:line="245"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2U标准尺寸</w:t>
                  </w:r>
                  <w:r/>
                </w:p>
                <w:p>
                  <w:pPr>
                    <w:ind w:left="110" w:right="57" w:firstLine="3"/>
                    <w:spacing w:before="6"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设计应遵循标准化、系列化的要求；机箱的内部结构符合通用部件的安</w:t>
                  </w:r>
                  <w:r>
                    <w:rPr>
                      <w:rFonts w:hint="eastAsia" w:ascii="宋体" w:hAnsi="宋体" w:eastAsia="宋体" w:cs="宋体"/>
                      <w:i/>
                      <w:iCs/>
                      <w:color w:val="auto"/>
                      <w:spacing w:val="-2"/>
                      <w:sz w:val="24"/>
                      <w:szCs w:val="24"/>
                      <w:highlight w:val="none"/>
                      <w:u w:val="single"/>
                    </w:rPr>
                    <w:t xml:space="preserve">装需要</w:t>
                  </w:r>
                  <w:r/>
                </w:p>
              </w:tc>
            </w:tr>
            <w:tr>
              <w:trPr>
                <w:jc w:val="center"/>
                <w:trHeight w:val="485"/>
              </w:trPr>
              <w:tc>
                <w:tcPr>
                  <w:shd w:val="clear" w:color="auto" w:fill="auto"/>
                  <w:tcW w:w="719" w:type="dxa"/>
                  <w:vAlign w:val="center"/>
                  <w:textDirection w:val="lrTb"/>
                  <w:noWrap w:val="false"/>
                </w:tcPr>
                <w:p>
                  <w:pPr>
                    <w:ind w:left="247"/>
                    <w:spacing w:before="15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37</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服务器导轨</w:t>
                  </w:r>
                  <w:r/>
                </w:p>
              </w:tc>
              <w:tc>
                <w:tcPr>
                  <w:shd w:val="clear" w:color="auto" w:fill="auto"/>
                  <w:tcW w:w="4535" w:type="dxa"/>
                  <w:vAlign w:val="center"/>
                  <w:textDirection w:val="lrTb"/>
                  <w:noWrap w:val="false"/>
                </w:tcPr>
                <w:p>
                  <w:pPr>
                    <w:ind w:left="113" w:right="168"/>
                    <w:spacing w:before="4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19英寸标准，L型固定支架安装</w:t>
                  </w:r>
                  <w:r/>
                </w:p>
              </w:tc>
            </w:tr>
            <w:tr>
              <w:trPr>
                <w:jc w:val="center"/>
                <w:trHeight w:val="964"/>
              </w:trPr>
              <w:tc>
                <w:tcPr>
                  <w:shd w:val="clear" w:color="auto" w:fill="auto"/>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38</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CPU 个数与机柜高度单位(U)比</w:t>
                  </w:r>
                  <w:r/>
                </w:p>
              </w:tc>
              <w:tc>
                <w:tcPr>
                  <w:shd w:val="clear" w:color="auto" w:fill="auto"/>
                  <w:tcW w:w="4535" w:type="dxa"/>
                  <w:vAlign w:val="center"/>
                  <w:textDirection w:val="lrTb"/>
                  <w:noWrap w:val="false"/>
                </w:tcPr>
                <w:p>
                  <w:pPr>
                    <w:spacing w:line="33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3"/>
                    <w:spacing w:before="59"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w:t>
                  </w:r>
                  <w:r>
                    <w:rPr>
                      <w:rFonts w:hint="eastAsia" w:ascii="宋体" w:hAnsi="宋体" w:eastAsia="宋体" w:cs="宋体"/>
                      <w:i/>
                      <w:iCs/>
                      <w:color w:val="auto"/>
                      <w:sz w:val="24"/>
                      <w:szCs w:val="24"/>
                      <w:highlight w:val="none"/>
                      <w:u w:val="single"/>
                    </w:rPr>
                    <w:t xml:space="preserve">CPU</w:t>
                  </w:r>
                  <w:r>
                    <w:rPr>
                      <w:rFonts w:hint="eastAsia" w:ascii="宋体" w:hAnsi="宋体" w:eastAsia="宋体" w:cs="宋体"/>
                      <w:i/>
                      <w:iCs/>
                      <w:color w:val="auto"/>
                      <w:spacing w:val="2"/>
                      <w:sz w:val="24"/>
                      <w:szCs w:val="24"/>
                      <w:highlight w:val="none"/>
                      <w:u w:val="single"/>
                    </w:rPr>
                    <w:t xml:space="preserve">个数与机柜高度（42U）</w:t>
                  </w:r>
                  <w:r/>
                </w:p>
              </w:tc>
            </w:tr>
            <w:tr>
              <w:trPr>
                <w:jc w:val="center"/>
                <w:trHeight w:val="1444"/>
              </w:trPr>
              <w:tc>
                <w:tcPr>
                  <w:shd w:val="clear" w:color="auto" w:fill="auto"/>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39</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left="110" w:right="123" w:hanging="3"/>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环境适应性</w:t>
                  </w:r>
                  <w:r/>
                </w:p>
              </w:tc>
              <w:tc>
                <w:tcPr>
                  <w:shd w:val="clear" w:color="auto" w:fill="auto"/>
                  <w:tcW w:w="4535" w:type="dxa"/>
                  <w:vAlign w:val="center"/>
                  <w:textDirection w:val="lrTb"/>
                  <w:noWrap w:val="false"/>
                </w:tcPr>
                <w:p>
                  <w:pPr>
                    <w:ind w:left="117"/>
                    <w:spacing w:before="40"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气候环境适应性应符合</w:t>
                  </w:r>
                  <w:r>
                    <w:rPr>
                      <w:rFonts w:hint="eastAsia" w:ascii="宋体" w:hAnsi="宋体" w:eastAsia="宋体" w:cs="宋体"/>
                      <w:i/>
                      <w:iCs/>
                      <w:color w:val="auto"/>
                      <w:sz w:val="24"/>
                      <w:szCs w:val="24"/>
                      <w:highlight w:val="none"/>
                      <w:u w:val="single"/>
                    </w:rPr>
                    <w:t xml:space="preserve">GB</w:t>
                  </w:r>
                  <w:r>
                    <w:rPr>
                      <w:rFonts w:hint="eastAsia" w:ascii="宋体" w:hAnsi="宋体" w:eastAsia="宋体" w:cs="宋体"/>
                      <w:i/>
                      <w:iCs/>
                      <w:color w:val="auto"/>
                      <w:spacing w:val="2"/>
                      <w:sz w:val="24"/>
                      <w:szCs w:val="24"/>
                      <w:highlight w:val="none"/>
                      <w:u w:val="single"/>
                    </w:rPr>
                    <w:t xml:space="preserve">/T</w:t>
                  </w:r>
                  <w:r/>
                </w:p>
                <w:p>
                  <w:pPr>
                    <w:ind w:left="110" w:right="103" w:hanging="2"/>
                    <w:spacing w:before="26"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9813.3的有关规定，工作温度10~</w:t>
                  </w:r>
                  <w:r>
                    <w:rPr>
                      <w:rFonts w:hint="eastAsia" w:ascii="宋体" w:hAnsi="宋体" w:eastAsia="宋体" w:cs="宋体"/>
                      <w:i/>
                      <w:iCs/>
                      <w:color w:val="auto"/>
                      <w:spacing w:val="-5"/>
                      <w:sz w:val="24"/>
                      <w:szCs w:val="24"/>
                      <w:highlight w:val="none"/>
                      <w:u w:val="single"/>
                    </w:rPr>
                    <w:t xml:space="preserve">35℃,贮存运输温度-40～55℃；工</w:t>
                  </w:r>
                  <w:r>
                    <w:rPr>
                      <w:rFonts w:hint="eastAsia" w:ascii="宋体" w:hAnsi="宋体" w:eastAsia="宋体" w:cs="宋体"/>
                      <w:i/>
                      <w:iCs/>
                      <w:color w:val="auto"/>
                      <w:spacing w:val="2"/>
                      <w:sz w:val="24"/>
                      <w:szCs w:val="24"/>
                      <w:highlight w:val="none"/>
                      <w:u w:val="single"/>
                    </w:rPr>
                    <w:t xml:space="preserve">作相对湿度35%～80%，贮存运输相</w:t>
                  </w:r>
                  <w:r>
                    <w:rPr>
                      <w:rFonts w:hint="eastAsia" w:ascii="宋体" w:hAnsi="宋体" w:eastAsia="宋体" w:cs="宋体"/>
                      <w:i/>
                      <w:iCs/>
                      <w:color w:val="auto"/>
                      <w:spacing w:val="-4"/>
                      <w:sz w:val="24"/>
                      <w:szCs w:val="24"/>
                      <w:highlight w:val="none"/>
                      <w:u w:val="single"/>
                    </w:rPr>
                    <w:t xml:space="preserve">对湿度20％～93%（40℃) ；大气压</w:t>
                  </w:r>
                  <w:r>
                    <w:rPr>
                      <w:rFonts w:hint="eastAsia" w:ascii="宋体" w:hAnsi="宋体" w:eastAsia="宋体" w:cs="宋体"/>
                      <w:i/>
                      <w:iCs/>
                      <w:color w:val="auto"/>
                      <w:spacing w:val="-1"/>
                      <w:sz w:val="24"/>
                      <w:szCs w:val="24"/>
                      <w:highlight w:val="none"/>
                      <w:u w:val="single"/>
                    </w:rPr>
                    <w:t xml:space="preserve">86～106kPa</w:t>
                  </w:r>
                  <w:r/>
                </w:p>
              </w:tc>
            </w:tr>
            <w:tr>
              <w:trPr>
                <w:jc w:val="center"/>
                <w:trHeight w:val="965"/>
              </w:trPr>
              <w:tc>
                <w:tcPr>
                  <w:shd w:val="clear" w:color="auto" w:fill="auto"/>
                  <w:tcW w:w="719" w:type="dxa"/>
                  <w:vAlign w:val="center"/>
                  <w:textDirection w:val="lrTb"/>
                  <w:noWrap w:val="false"/>
                </w:tcPr>
                <w:p>
                  <w:pPr>
                    <w:ind w:left="242"/>
                    <w:spacing w:before="5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40</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特殊机型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环境适应性</w:t>
                  </w:r>
                  <w:r/>
                </w:p>
              </w:tc>
              <w:tc>
                <w:tcPr>
                  <w:shd w:val="clear" w:color="auto" w:fill="auto"/>
                  <w:tcW w:w="4535" w:type="dxa"/>
                  <w:vAlign w:val="center"/>
                  <w:textDirection w:val="lrTb"/>
                  <w:noWrap w:val="false"/>
                </w:tcPr>
                <w:p>
                  <w:pPr>
                    <w:ind w:left="113" w:right="103"/>
                    <w:spacing w:before="42" w:line="23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边缘应用服务器，工作环境温度宜</w:t>
                  </w:r>
                  <w:r>
                    <w:rPr>
                      <w:rFonts w:hint="eastAsia" w:ascii="宋体" w:hAnsi="宋体" w:eastAsia="宋体" w:cs="宋体"/>
                      <w:i/>
                      <w:iCs/>
                      <w:color w:val="auto"/>
                      <w:spacing w:val="-5"/>
                      <w:sz w:val="24"/>
                      <w:szCs w:val="24"/>
                      <w:highlight w:val="none"/>
                      <w:u w:val="single"/>
                    </w:rPr>
                    <w:t xml:space="preserve">为0～45℃,短期工作可承受环境温度宜为-5～55℃,液冷服务器贮存</w:t>
                  </w:r>
                  <w:r>
                    <w:rPr>
                      <w:rFonts w:hint="eastAsia" w:ascii="宋体" w:hAnsi="宋体" w:eastAsia="宋体" w:cs="宋体"/>
                      <w:i/>
                      <w:iCs/>
                      <w:color w:val="auto"/>
                      <w:spacing w:val="-1"/>
                      <w:sz w:val="24"/>
                      <w:szCs w:val="24"/>
                      <w:highlight w:val="none"/>
                      <w:u w:val="single"/>
                    </w:rPr>
                    <w:t xml:space="preserve">运输温度宜为-30～55℃</w:t>
                  </w:r>
                  <w:r/>
                </w:p>
              </w:tc>
            </w:tr>
            <w:tr>
              <w:trPr>
                <w:jc w:val="center"/>
                <w:trHeight w:val="485"/>
              </w:trPr>
              <w:tc>
                <w:tcPr>
                  <w:shd w:val="clear" w:color="auto" w:fill="auto"/>
                  <w:tcW w:w="719" w:type="dxa"/>
                  <w:vAlign w:val="center"/>
                  <w:textDirection w:val="lrTb"/>
                  <w:noWrap w:val="false"/>
                </w:tcPr>
                <w:p>
                  <w:pPr>
                    <w:ind w:left="242"/>
                    <w:spacing w:before="15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41</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机械环境适应性</w:t>
                  </w:r>
                  <w:r/>
                </w:p>
              </w:tc>
              <w:tc>
                <w:tcPr>
                  <w:shd w:val="clear" w:color="auto" w:fill="auto"/>
                  <w:tcW w:w="4535" w:type="dxa"/>
                  <w:vAlign w:val="center"/>
                  <w:textDirection w:val="lrTb"/>
                  <w:noWrap w:val="false"/>
                </w:tcPr>
                <w:p>
                  <w:pPr>
                    <w:ind w:left="108" w:right="666" w:firstLine="3"/>
                    <w:spacing w:before="4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机械环境适应性应符合</w:t>
                  </w:r>
                  <w:r>
                    <w:rPr>
                      <w:rFonts w:hint="eastAsia" w:ascii="宋体" w:hAnsi="宋体" w:eastAsia="宋体" w:cs="宋体"/>
                      <w:i/>
                      <w:iCs/>
                      <w:color w:val="auto"/>
                      <w:sz w:val="24"/>
                      <w:szCs w:val="24"/>
                      <w:highlight w:val="none"/>
                      <w:u w:val="single"/>
                    </w:rPr>
                    <w:t xml:space="preserve">GB</w:t>
                  </w:r>
                  <w:r>
                    <w:rPr>
                      <w:rFonts w:hint="eastAsia" w:ascii="宋体" w:hAnsi="宋体" w:eastAsia="宋体" w:cs="宋体"/>
                      <w:i/>
                      <w:iCs/>
                      <w:color w:val="auto"/>
                      <w:spacing w:val="3"/>
                      <w:sz w:val="24"/>
                      <w:szCs w:val="24"/>
                      <w:highlight w:val="none"/>
                      <w:u w:val="single"/>
                    </w:rPr>
                    <w:t xml:space="preserve">/T</w:t>
                  </w:r>
                  <w:r>
                    <w:rPr>
                      <w:rFonts w:hint="eastAsia" w:ascii="宋体" w:hAnsi="宋体" w:eastAsia="宋体" w:cs="宋体"/>
                      <w:i/>
                      <w:iCs/>
                      <w:color w:val="auto"/>
                      <w:spacing w:val="-2"/>
                      <w:sz w:val="24"/>
                      <w:szCs w:val="24"/>
                      <w:highlight w:val="none"/>
                      <w:u w:val="single"/>
                    </w:rPr>
                    <w:t xml:space="preserve">9813.3的有关规定</w:t>
                  </w:r>
                  <w:r/>
                </w:p>
              </w:tc>
            </w:tr>
            <w:tr>
              <w:trPr>
                <w:jc w:val="center"/>
                <w:trHeight w:val="965"/>
              </w:trPr>
              <w:tc>
                <w:tcPr>
                  <w:shd w:val="clear" w:color="auto" w:fill="auto"/>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42</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噪声</w:t>
                  </w:r>
                  <w:r/>
                </w:p>
              </w:tc>
              <w:tc>
                <w:tcPr>
                  <w:shd w:val="clear" w:color="auto" w:fill="auto"/>
                  <w:tcW w:w="4535" w:type="dxa"/>
                  <w:vAlign w:val="center"/>
                  <w:textDirection w:val="lrTb"/>
                  <w:noWrap w:val="false"/>
                </w:tcPr>
                <w:p>
                  <w:pPr>
                    <w:ind w:left="112" w:right="168"/>
                    <w:spacing w:before="41" w:line="24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符合GB/T 9813.3的有关规定，在</w:t>
                  </w:r>
                  <w:r>
                    <w:rPr>
                      <w:rFonts w:hint="eastAsia" w:ascii="宋体" w:hAnsi="宋体" w:eastAsia="宋体" w:cs="宋体"/>
                      <w:i/>
                      <w:iCs/>
                      <w:color w:val="auto"/>
                      <w:spacing w:val="-1"/>
                      <w:sz w:val="24"/>
                      <w:szCs w:val="24"/>
                      <w:highlight w:val="none"/>
                      <w:u w:val="single"/>
                    </w:rPr>
                    <w:t xml:space="preserve">产品说明中给出具体测试值</w:t>
                  </w:r>
                  <w:r/>
                </w:p>
                <w:p>
                  <w:pPr>
                    <w:ind w:left="114" w:right="168" w:hanging="1"/>
                    <w:spacing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塔式服务器噪声在空闲状态下不大</w:t>
                  </w:r>
                  <w:r>
                    <w:rPr>
                      <w:rFonts w:hint="eastAsia" w:ascii="宋体" w:hAnsi="宋体" w:eastAsia="宋体" w:cs="宋体"/>
                      <w:i/>
                      <w:iCs/>
                      <w:color w:val="auto"/>
                      <w:spacing w:val="-3"/>
                      <w:sz w:val="24"/>
                      <w:szCs w:val="24"/>
                      <w:highlight w:val="none"/>
                      <w:u w:val="single"/>
                    </w:rPr>
                    <w:t xml:space="preserve">于50dB</w:t>
                  </w:r>
                  <w:r/>
                </w:p>
              </w:tc>
            </w:tr>
            <w:tr>
              <w:trPr>
                <w:jc w:val="center"/>
                <w:trHeight w:val="2404"/>
              </w:trPr>
              <w:tc>
                <w:tcPr>
                  <w:shd w:val="clear" w:color="auto" w:fill="auto"/>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43</w:t>
                  </w:r>
                  <w:r/>
                </w:p>
              </w:tc>
              <w:tc>
                <w:tcPr>
                  <w:shd w:val="clear" w:color="auto" w:fill="auto"/>
                  <w:tcBorders>
                    <w:bottom w:val="none" w:color="000000" w:sz="4" w:space="0"/>
                  </w:tcBorders>
                  <w:tcW w:w="1239" w:type="dxa"/>
                  <w:vAlign w:val="center"/>
                  <w:vMerge w:val="restart"/>
                  <w:textDirection w:val="lrTb"/>
                  <w:noWrap w:val="false"/>
                </w:tcPr>
                <w:p>
                  <w:pPr>
                    <w:ind w:left="192"/>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AI计</w:t>
                  </w:r>
                  <w:r>
                    <w:rPr>
                      <w:rFonts w:hint="eastAsia" w:ascii="宋体" w:hAnsi="宋体" w:eastAsia="宋体" w:cs="宋体"/>
                      <w:color w:val="auto"/>
                      <w:spacing w:val="-4"/>
                      <w:sz w:val="24"/>
                      <w:szCs w:val="24"/>
                      <w:highlight w:val="none"/>
                      <w:lang w:eastAsia="en-US"/>
                    </w:rPr>
                    <w:t xml:space="preserve">算单</w:t>
                  </w:r>
                  <w:r>
                    <w:rPr>
                      <w:rFonts w:hint="eastAsia" w:ascii="宋体" w:hAnsi="宋体" w:eastAsia="宋体" w:cs="宋体"/>
                      <w:color w:val="auto"/>
                      <w:spacing w:val="-6"/>
                      <w:sz w:val="24"/>
                      <w:szCs w:val="24"/>
                      <w:highlight w:val="none"/>
                      <w:lang w:eastAsia="en-US"/>
                    </w:rPr>
                    <w:t xml:space="preserve">元规</w:t>
                  </w:r>
                  <w:r>
                    <w:rPr>
                      <w:rFonts w:hint="eastAsia" w:ascii="宋体" w:hAnsi="宋体" w:eastAsia="宋体" w:cs="宋体"/>
                      <w:color w:val="auto"/>
                      <w:sz w:val="24"/>
                      <w:szCs w:val="24"/>
                      <w:highlight w:val="none"/>
                      <w:lang w:eastAsia="en-US"/>
                    </w:rPr>
                    <w:t xml:space="preserve">格</w:t>
                  </w:r>
                  <w:r/>
                </w:p>
              </w:tc>
              <w:tc>
                <w:tcPr>
                  <w:shd w:val="clear" w:color="auto" w:fill="auto"/>
                  <w:tcW w:w="1335" w:type="dxa"/>
                  <w:vAlign w:val="center"/>
                  <w:textDirection w:val="lrTb"/>
                  <w:noWrap w:val="false"/>
                </w:tcPr>
                <w:p>
                  <w:pPr>
                    <w:ind w:right="168"/>
                    <w:jc w:val="center"/>
                    <w:spacing w:before="58"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AI 计算单元</w:t>
                  </w:r>
                  <w:r/>
                </w:p>
              </w:tc>
              <w:tc>
                <w:tcPr>
                  <w:shd w:val="clear" w:color="auto" w:fill="auto"/>
                  <w:tcW w:w="4535" w:type="dxa"/>
                  <w:vAlign w:val="center"/>
                  <w:textDirection w:val="lrTb"/>
                  <w:noWrap w:val="false"/>
                </w:tcPr>
                <w:p>
                  <w:pPr>
                    <w:ind w:left="114" w:right="259" w:hanging="1"/>
                    <w:spacing w:before="43" w:line="24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 xml:space="preserve">若配备</w:t>
                  </w:r>
                  <w:r>
                    <w:rPr>
                      <w:rFonts w:hint="eastAsia" w:ascii="宋体" w:hAnsi="宋体" w:eastAsia="宋体" w:cs="宋体"/>
                      <w:i/>
                      <w:iCs/>
                      <w:color w:val="auto"/>
                      <w:sz w:val="24"/>
                      <w:szCs w:val="24"/>
                      <w:highlight w:val="none"/>
                      <w:u w:val="single"/>
                    </w:rPr>
                    <w:t xml:space="preserve">AI</w:t>
                  </w:r>
                  <w:r>
                    <w:rPr>
                      <w:rFonts w:hint="eastAsia" w:ascii="宋体" w:hAnsi="宋体" w:eastAsia="宋体" w:cs="宋体"/>
                      <w:i/>
                      <w:iCs/>
                      <w:color w:val="auto"/>
                      <w:spacing w:val="6"/>
                      <w:sz w:val="24"/>
                      <w:szCs w:val="24"/>
                      <w:highlight w:val="none"/>
                      <w:u w:val="single"/>
                    </w:rPr>
                    <w:t xml:space="preserve">计算单元应符合如下要</w:t>
                  </w:r>
                  <w:r>
                    <w:rPr>
                      <w:rFonts w:hint="eastAsia" w:ascii="宋体" w:hAnsi="宋体" w:eastAsia="宋体" w:cs="宋体"/>
                      <w:i/>
                      <w:iCs/>
                      <w:color w:val="auto"/>
                      <w:spacing w:val="-5"/>
                      <w:sz w:val="24"/>
                      <w:szCs w:val="24"/>
                      <w:highlight w:val="none"/>
                      <w:u w:val="single"/>
                    </w:rPr>
                    <w:t xml:space="preserve">求：</w:t>
                  </w:r>
                  <w:r/>
                </w:p>
                <w:p>
                  <w:pPr>
                    <w:ind w:left="112" w:right="103" w:firstLine="2"/>
                    <w:spacing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具备人工智能加速处理器，计算</w:t>
                  </w:r>
                  <w:r>
                    <w:rPr>
                      <w:rFonts w:hint="eastAsia" w:ascii="宋体" w:hAnsi="宋体" w:eastAsia="宋体" w:cs="宋体"/>
                      <w:i/>
                      <w:iCs/>
                      <w:color w:val="auto"/>
                      <w:sz w:val="24"/>
                      <w:szCs w:val="24"/>
                      <w:highlight w:val="none"/>
                      <w:u w:val="single"/>
                    </w:rPr>
                    <w:t xml:space="preserve">精度至少支持FP16、BF16、FP32、 </w:t>
                  </w:r>
                  <w:r>
                    <w:rPr>
                      <w:rFonts w:hint="eastAsia" w:ascii="宋体" w:hAnsi="宋体" w:eastAsia="宋体" w:cs="宋体"/>
                      <w:i/>
                      <w:iCs/>
                      <w:color w:val="auto"/>
                      <w:spacing w:val="-5"/>
                      <w:sz w:val="24"/>
                      <w:szCs w:val="24"/>
                      <w:highlight w:val="none"/>
                      <w:u w:val="single"/>
                    </w:rPr>
                    <w:t xml:space="preserve">FP64、INT8和 INT16等中的1种；</w:t>
                  </w:r>
                  <w:r/>
                </w:p>
                <w:p>
                  <w:pPr>
                    <w:ind w:left="112" w:right="168" w:firstLine="2"/>
                    <w:spacing w:before="5"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单推理卡或模块，具备视频解析、文本识别、语音分析等推理能力；在视觉场景下配备可直接调用的接口实现视觉计算加速，路数不小于64（1080P 30FPS）</w:t>
                  </w:r>
                  <w:r/>
                </w:p>
              </w:tc>
            </w:tr>
            <w:tr>
              <w:trPr>
                <w:jc w:val="center"/>
                <w:trHeight w:val="725"/>
              </w:trPr>
              <w:tc>
                <w:tcPr>
                  <w:shd w:val="clear" w:color="auto" w:fill="auto"/>
                  <w:tcW w:w="719" w:type="dxa"/>
                  <w:vAlign w:val="center"/>
                  <w:textDirection w:val="lrTb"/>
                  <w:noWrap w:val="false"/>
                </w:tcPr>
                <w:p>
                  <w:pPr>
                    <w:ind w:left="242"/>
                    <w:spacing w:before="276"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44</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一键式迁移</w:t>
                  </w:r>
                  <w:r/>
                </w:p>
              </w:tc>
              <w:tc>
                <w:tcPr>
                  <w:shd w:val="clear" w:color="auto" w:fill="auto"/>
                  <w:tcW w:w="4535" w:type="dxa"/>
                  <w:vAlign w:val="center"/>
                  <w:textDirection w:val="lrTb"/>
                  <w:noWrap w:val="false"/>
                </w:tcPr>
                <w:p>
                  <w:pPr>
                    <w:ind w:left="113" w:right="103"/>
                    <w:spacing w:before="163"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若服务器配备</w:t>
                  </w:r>
                  <w:r>
                    <w:rPr>
                      <w:rFonts w:hint="eastAsia" w:ascii="宋体" w:hAnsi="宋体" w:eastAsia="宋体" w:cs="宋体"/>
                      <w:i/>
                      <w:iCs/>
                      <w:color w:val="auto"/>
                      <w:sz w:val="24"/>
                      <w:szCs w:val="24"/>
                      <w:highlight w:val="none"/>
                      <w:u w:val="single"/>
                    </w:rPr>
                    <w:t xml:space="preserve">AI</w:t>
                  </w:r>
                  <w:r>
                    <w:rPr>
                      <w:rFonts w:hint="eastAsia" w:ascii="宋体" w:hAnsi="宋体" w:eastAsia="宋体" w:cs="宋体"/>
                      <w:i/>
                      <w:iCs/>
                      <w:color w:val="auto"/>
                      <w:spacing w:val="4"/>
                      <w:sz w:val="24"/>
                      <w:szCs w:val="24"/>
                      <w:highlight w:val="none"/>
                      <w:u w:val="single"/>
                    </w:rPr>
                    <w:t xml:space="preserve">计算单元，提供训</w:t>
                  </w:r>
                  <w:r>
                    <w:rPr>
                      <w:rFonts w:hint="eastAsia" w:ascii="宋体" w:hAnsi="宋体" w:eastAsia="宋体" w:cs="宋体"/>
                      <w:i/>
                      <w:iCs/>
                      <w:color w:val="auto"/>
                      <w:spacing w:val="-2"/>
                      <w:sz w:val="24"/>
                      <w:szCs w:val="24"/>
                      <w:highlight w:val="none"/>
                      <w:u w:val="single"/>
                    </w:rPr>
                    <w:t xml:space="preserve">练脚本迁移工具</w:t>
                  </w:r>
                  <w:r/>
                </w:p>
              </w:tc>
            </w:tr>
            <w:tr>
              <w:trPr>
                <w:jc w:val="center"/>
                <w:trHeight w:val="485"/>
              </w:trPr>
              <w:tc>
                <w:tcPr>
                  <w:shd w:val="clear" w:color="auto" w:fill="auto"/>
                  <w:tcW w:w="719" w:type="dxa"/>
                  <w:vAlign w:val="center"/>
                  <w:textDirection w:val="lrTb"/>
                  <w:noWrap w:val="false"/>
                </w:tcPr>
                <w:p>
                  <w:pPr>
                    <w:ind w:left="242"/>
                    <w:spacing w:before="15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45</w:t>
                  </w:r>
                  <w:r/>
                </w:p>
              </w:tc>
              <w:tc>
                <w:tcPr>
                  <w:shd w:val="clear" w:color="auto" w:fill="auto"/>
                  <w:tcBorders>
                    <w:bottom w:val="none" w:color="000000" w:sz="4" w:space="0"/>
                  </w:tcBorders>
                  <w:tcW w:w="1239" w:type="dxa"/>
                  <w:vAlign w:val="center"/>
                  <w:vMerge w:val="restart"/>
                  <w:textDirection w:val="lrTb"/>
                  <w:noWrap w:val="false"/>
                </w:tcPr>
                <w:p>
                  <w:pPr>
                    <w:spacing w:line="267"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6" w:right="186"/>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机柜规格</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机柜尺寸</w:t>
                  </w:r>
                  <w:r/>
                </w:p>
              </w:tc>
              <w:tc>
                <w:tcPr>
                  <w:shd w:val="clear" w:color="auto" w:fill="auto"/>
                  <w:tcW w:w="4535" w:type="dxa"/>
                  <w:vAlign w:val="center"/>
                  <w:textDirection w:val="lrTb"/>
                  <w:noWrap w:val="false"/>
                </w:tcPr>
                <w:p>
                  <w:pPr>
                    <w:jc w:val="left"/>
                    <w:widowControl w:val="off"/>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6</w:t>
                  </w:r>
                  <w:r>
                    <w:rPr>
                      <w:rFonts w:hint="eastAsia" w:ascii="宋体" w:hAnsi="宋体" w:eastAsia="宋体" w:cs="宋体"/>
                      <w:i/>
                      <w:iCs/>
                      <w:color w:val="auto"/>
                      <w:spacing w:val="4"/>
                      <w:sz w:val="24"/>
                      <w:szCs w:val="24"/>
                      <w:highlight w:val="none"/>
                      <w:u w:val="single"/>
                      <w:lang w:val="en-US" w:eastAsia="zh-CN" w:bidi="ar-SA"/>
                    </w:rPr>
                    <w:t xml:space="preserve">00*800*2000mm、42U标准尺寸</w:t>
                  </w:r>
                  <w:r/>
                </w:p>
              </w:tc>
            </w:tr>
            <w:tr>
              <w:trPr>
                <w:jc w:val="center"/>
                <w:trHeight w:val="725"/>
              </w:trPr>
              <w:tc>
                <w:tcPr>
                  <w:shd w:val="clear" w:color="auto" w:fill="auto"/>
                  <w:tcW w:w="719" w:type="dxa"/>
                  <w:vAlign w:val="center"/>
                  <w:textDirection w:val="lrTb"/>
                  <w:noWrap w:val="false"/>
                </w:tcPr>
                <w:p>
                  <w:pPr>
                    <w:ind w:left="242"/>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机柜管理板</w:t>
                  </w:r>
                  <w:r/>
                </w:p>
              </w:tc>
              <w:tc>
                <w:tcPr>
                  <w:shd w:val="clear" w:color="auto" w:fill="auto"/>
                  <w:tcW w:w="4535" w:type="dxa"/>
                  <w:vAlign w:val="center"/>
                  <w:textDirection w:val="lrTb"/>
                  <w:noWrap w:val="false"/>
                </w:tcPr>
                <w:p>
                  <w:pPr>
                    <w:ind w:left="114"/>
                    <w:spacing w:before="282"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配备机柜管理板</w:t>
                  </w:r>
                  <w:r/>
                </w:p>
              </w:tc>
            </w:tr>
            <w:tr>
              <w:trPr>
                <w:jc w:val="center"/>
                <w:trHeight w:val="1444"/>
              </w:trPr>
              <w:tc>
                <w:tcPr>
                  <w:shd w:val="clear" w:color="auto" w:fill="auto"/>
                  <w:tcW w:w="719" w:type="dxa"/>
                  <w:vAlign w:val="center"/>
                  <w:textDirection w:val="lrTb"/>
                  <w:noWrap w:val="false"/>
                </w:tcPr>
                <w:p>
                  <w:pPr>
                    <w:ind w:left="242"/>
                    <w:spacing w:before="58"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47</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right="214"/>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机柜电源规格</w:t>
                  </w:r>
                  <w:r/>
                </w:p>
              </w:tc>
              <w:tc>
                <w:tcPr>
                  <w:shd w:val="clear" w:color="auto" w:fill="auto"/>
                  <w:tcW w:w="4535" w:type="dxa"/>
                  <w:vAlign w:val="center"/>
                  <w:textDirection w:val="lrTb"/>
                  <w:noWrap w:val="false"/>
                </w:tcPr>
                <w:p>
                  <w:pPr>
                    <w:ind w:left="113" w:right="103" w:firstLine="1"/>
                    <w:spacing w:before="283"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机柜电源支持集中供电，电源输入不少于2路且支持自动切换；</w:t>
                  </w:r>
                  <w:r/>
                </w:p>
                <w:p>
                  <w:pPr>
                    <w:ind w:left="117" w:right="259" w:hanging="2"/>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机柜电源模块支持N+1冗余配</w:t>
                  </w:r>
                  <w:r>
                    <w:rPr>
                      <w:rFonts w:hint="eastAsia" w:ascii="宋体" w:hAnsi="宋体" w:eastAsia="宋体" w:cs="宋体"/>
                      <w:i/>
                      <w:iCs/>
                      <w:color w:val="auto"/>
                      <w:spacing w:val="-2"/>
                      <w:sz w:val="24"/>
                      <w:szCs w:val="24"/>
                      <w:highlight w:val="none"/>
                      <w:u w:val="single"/>
                    </w:rPr>
                    <w:t xml:space="preserve">置，电源模块可独立更换</w:t>
                  </w:r>
                  <w:r/>
                </w:p>
              </w:tc>
            </w:tr>
            <w:tr>
              <w:trPr>
                <w:jc w:val="center"/>
                <w:trHeight w:val="248"/>
              </w:trPr>
              <w:tc>
                <w:tcPr>
                  <w:shd w:val="clear" w:color="auto" w:fill="auto"/>
                  <w:tcW w:w="719" w:type="dxa"/>
                  <w:vAlign w:val="center"/>
                  <w:textDirection w:val="lrTb"/>
                  <w:noWrap w:val="false"/>
                </w:tcPr>
                <w:p>
                  <w:pPr>
                    <w:ind w:left="242"/>
                    <w:spacing w:before="38" w:line="205"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48</w:t>
                  </w:r>
                  <w:r/>
                </w:p>
              </w:tc>
              <w:tc>
                <w:tcPr>
                  <w:shd w:val="clear" w:color="auto" w:fill="auto"/>
                  <w:tcW w:w="1239" w:type="dxa"/>
                  <w:vAlign w:val="center"/>
                  <w:textDirection w:val="lrTb"/>
                  <w:noWrap w:val="false"/>
                </w:tcPr>
                <w:p>
                  <w:pPr>
                    <w:ind w:left="139"/>
                    <w:jc w:val="center"/>
                    <w:spacing w:before="43" w:line="20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主板</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主板外部接口种类</w:t>
                  </w:r>
                  <w:r/>
                </w:p>
              </w:tc>
              <w:tc>
                <w:tcPr>
                  <w:shd w:val="clear" w:color="auto" w:fill="auto"/>
                  <w:tcW w:w="4535" w:type="dxa"/>
                  <w:vAlign w:val="center"/>
                  <w:textDirection w:val="lrTb"/>
                  <w:noWrap w:val="false"/>
                </w:tcPr>
                <w:p>
                  <w:pPr>
                    <w:ind w:left="119"/>
                    <w:spacing w:before="43" w:line="20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支持USB、显示、管理等接口，如：</w:t>
                  </w:r>
                  <w:r>
                    <w:rPr>
                      <w:rFonts w:hint="eastAsia" w:ascii="宋体" w:hAnsi="宋体" w:eastAsia="宋体" w:cs="宋体"/>
                      <w:i/>
                      <w:iCs/>
                      <w:color w:val="auto"/>
                      <w:spacing w:val="-2"/>
                      <w:sz w:val="24"/>
                      <w:szCs w:val="24"/>
                      <w:highlight w:val="none"/>
                      <w:u w:val="single"/>
                    </w:rPr>
                    <w:t xml:space="preserve">VGA、</w:t>
                  </w:r>
                  <w:r>
                    <w:rPr>
                      <w:rFonts w:hint="eastAsia" w:ascii="宋体" w:hAnsi="宋体" w:eastAsia="宋体" w:cs="宋体"/>
                      <w:i/>
                      <w:iCs/>
                      <w:color w:val="auto"/>
                      <w:spacing w:val="-8"/>
                      <w:sz w:val="24"/>
                      <w:szCs w:val="24"/>
                      <w:highlight w:val="none"/>
                      <w:u w:val="single"/>
                      <w:lang w:eastAsia="en-US"/>
                    </w:rPr>
                    <w:t xml:space="preserve">DP、HDMI、USB3.0、</w:t>
                  </w:r>
                  <w:r>
                    <w:rPr>
                      <w:rFonts w:hint="eastAsia" w:ascii="宋体" w:hAnsi="宋体" w:eastAsia="宋体" w:cs="宋体"/>
                      <w:i/>
                      <w:iCs/>
                      <w:color w:val="auto"/>
                      <w:spacing w:val="-3"/>
                      <w:sz w:val="24"/>
                      <w:szCs w:val="24"/>
                      <w:highlight w:val="none"/>
                      <w:u w:val="single"/>
                      <w:lang w:eastAsia="en-US"/>
                    </w:rPr>
                    <w:t xml:space="preserve">BMC管理端口</w:t>
                  </w:r>
                  <w:r/>
                </w:p>
              </w:tc>
            </w:tr>
            <w:tr>
              <w:trPr>
                <w:jc w:val="center"/>
                <w:trHeight w:val="964"/>
              </w:trPr>
              <w:tc>
                <w:tcPr>
                  <w:shd w:val="clear" w:color="auto" w:fill="auto"/>
                  <w:tcW w:w="719" w:type="dxa"/>
                  <w:vAlign w:val="center"/>
                  <w:textDirection w:val="lrTb"/>
                  <w:noWrap w:val="false"/>
                </w:tcPr>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49</w:t>
                  </w:r>
                  <w:r/>
                </w:p>
              </w:tc>
              <w:tc>
                <w:tcPr>
                  <w:shd w:val="clear" w:color="auto" w:fill="auto"/>
                  <w:tcBorders>
                    <w:top w:val="none" w:color="000000" w:sz="4" w:space="0"/>
                    <w:bottom w:val="none" w:color="000000" w:sz="4" w:space="0"/>
                  </w:tcBorders>
                  <w:tcW w:w="1239"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主板防烧板设计</w:t>
                  </w:r>
                  <w:r/>
                </w:p>
              </w:tc>
              <w:tc>
                <w:tcPr>
                  <w:shd w:val="clear" w:color="auto" w:fill="auto"/>
                  <w:tcW w:w="4535" w:type="dxa"/>
                  <w:vAlign w:val="center"/>
                  <w:textDirection w:val="lrTb"/>
                  <w:noWrap w:val="false"/>
                </w:tcPr>
                <w:p>
                  <w:pPr>
                    <w:ind w:left="118" w:right="168" w:firstLine="1"/>
                    <w:spacing w:before="279"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支持主板防烧板设计，保证电源故</w:t>
                  </w:r>
                  <w:r>
                    <w:rPr>
                      <w:rFonts w:hint="eastAsia" w:ascii="宋体" w:hAnsi="宋体" w:eastAsia="宋体" w:cs="宋体"/>
                      <w:i/>
                      <w:iCs/>
                      <w:color w:val="auto"/>
                      <w:spacing w:val="-3"/>
                      <w:sz w:val="24"/>
                      <w:szCs w:val="24"/>
                      <w:highlight w:val="none"/>
                      <w:u w:val="single"/>
                    </w:rPr>
                    <w:t xml:space="preserve">障后不扩散</w:t>
                  </w:r>
                  <w:r/>
                </w:p>
              </w:tc>
            </w:tr>
            <w:tr>
              <w:trPr>
                <w:jc w:val="center"/>
                <w:trHeight w:val="725"/>
              </w:trPr>
              <w:tc>
                <w:tcPr>
                  <w:shd w:val="clear" w:color="auto" w:fill="auto"/>
                  <w:tcW w:w="719" w:type="dxa"/>
                  <w:vAlign w:val="center"/>
                  <w:textDirection w:val="lrTb"/>
                  <w:noWrap w:val="false"/>
                </w:tcPr>
                <w:p>
                  <w:pPr>
                    <w:ind w:left="243"/>
                    <w:spacing w:before="27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50</w:t>
                  </w:r>
                  <w:r/>
                </w:p>
              </w:tc>
              <w:tc>
                <w:tcPr>
                  <w:shd w:val="clear" w:color="auto" w:fill="auto"/>
                  <w:tcBorders>
                    <w:top w:val="none" w:color="000000" w:sz="4" w:space="0"/>
                  </w:tcBorders>
                  <w:tcW w:w="1239"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扩展功能</w:t>
                  </w:r>
                  <w:r/>
                </w:p>
              </w:tc>
              <w:tc>
                <w:tcPr>
                  <w:shd w:val="clear" w:color="auto" w:fill="auto"/>
                  <w:tcW w:w="4535" w:type="dxa"/>
                  <w:vAlign w:val="center"/>
                  <w:textDirection w:val="lrTb"/>
                  <w:noWrap w:val="false"/>
                </w:tcPr>
                <w:p>
                  <w:pPr>
                    <w:ind w:left="115" w:right="168" w:firstLine="3"/>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实现至少一种扩展功能，如存储功能卡、显示功能卡、运算加速功能卡及网络功能卡等扩展功能</w:t>
                  </w:r>
                  <w:r/>
                </w:p>
              </w:tc>
            </w:tr>
            <w:tr>
              <w:trPr>
                <w:jc w:val="center"/>
                <w:trHeight w:val="485"/>
              </w:trPr>
              <w:tc>
                <w:tcPr>
                  <w:shd w:val="clear" w:color="auto" w:fill="auto"/>
                  <w:tcW w:w="719" w:type="dxa"/>
                  <w:vAlign w:val="center"/>
                  <w:textDirection w:val="lrTb"/>
                  <w:noWrap w:val="false"/>
                </w:tcPr>
                <w:p>
                  <w:pPr>
                    <w:ind w:left="243"/>
                    <w:spacing w:before="155"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51</w:t>
                  </w:r>
                  <w:r/>
                </w:p>
              </w:tc>
              <w:tc>
                <w:tcPr>
                  <w:shd w:val="clear" w:color="auto" w:fill="auto"/>
                  <w:tcW w:w="1239" w:type="dxa"/>
                  <w:vAlign w:val="center"/>
                  <w:textDirection w:val="lrTb"/>
                  <w:noWrap w:val="false"/>
                </w:tcPr>
                <w:p>
                  <w:pPr>
                    <w:ind w:left="189" w:right="141" w:hanging="50"/>
                    <w:jc w:val="center"/>
                    <w:spacing w:before="42"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网络</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网络功能</w:t>
                  </w:r>
                  <w:r/>
                </w:p>
              </w:tc>
              <w:tc>
                <w:tcPr>
                  <w:shd w:val="clear" w:color="auto" w:fill="auto"/>
                  <w:tcW w:w="4535" w:type="dxa"/>
                  <w:vAlign w:val="center"/>
                  <w:textDirection w:val="lrTb"/>
                  <w:noWrap w:val="false"/>
                </w:tcPr>
                <w:p>
                  <w:pPr>
                    <w:ind w:left="113" w:right="168" w:firstLine="5"/>
                    <w:spacing w:before="4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支持网络连接、网络访问、数据交换和网络管控功能</w:t>
                  </w:r>
                  <w:r/>
                </w:p>
              </w:tc>
            </w:tr>
            <w:tr>
              <w:trPr>
                <w:jc w:val="center"/>
                <w:trHeight w:val="1444"/>
              </w:trPr>
              <w:tc>
                <w:tcPr>
                  <w:shd w:val="clear" w:color="auto" w:fill="auto"/>
                  <w:tcW w:w="719" w:type="dxa"/>
                  <w:vAlign w:val="center"/>
                  <w:textDirection w:val="lrTb"/>
                  <w:noWrap w:val="false"/>
                </w:tcPr>
                <w:p>
                  <w:pPr>
                    <w:jc w:val="center"/>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52</w:t>
                  </w:r>
                  <w:r/>
                </w:p>
              </w:tc>
              <w:tc>
                <w:tcPr>
                  <w:shd w:val="clear" w:color="auto" w:fill="auto"/>
                  <w:tcBorders>
                    <w:bottom w:val="none" w:color="000000" w:sz="4" w:space="0"/>
                  </w:tcBorders>
                  <w:tcW w:w="1239" w:type="dxa"/>
                  <w:vAlign w:val="center"/>
                  <w:vMerge w:val="restart"/>
                  <w:textDirection w:val="lrTb"/>
                  <w:noWrap w:val="false"/>
                </w:tcPr>
                <w:p>
                  <w:pPr>
                    <w:ind w:right="185"/>
                    <w:jc w:val="center"/>
                    <w:spacing w:before="58" w:line="25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CPU</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计算处理</w:t>
                  </w:r>
                  <w:r/>
                </w:p>
              </w:tc>
              <w:tc>
                <w:tcPr>
                  <w:shd w:val="clear" w:color="auto" w:fill="auto"/>
                  <w:tcW w:w="4535" w:type="dxa"/>
                  <w:vAlign w:val="center"/>
                  <w:textDirection w:val="lrTb"/>
                  <w:noWrap w:val="false"/>
                </w:tcPr>
                <w:p>
                  <w:pPr>
                    <w:ind w:left="113" w:right="103" w:firstLine="6"/>
                    <w:spacing w:before="41"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支持通用计算及虚拟化功能。处理器需集成整型计算单元、浮点计算</w:t>
                  </w:r>
                  <w:r>
                    <w:rPr>
                      <w:rFonts w:hint="eastAsia" w:ascii="宋体" w:hAnsi="宋体" w:eastAsia="宋体" w:cs="宋体"/>
                      <w:i/>
                      <w:iCs/>
                      <w:color w:val="auto"/>
                      <w:spacing w:val="-6"/>
                      <w:sz w:val="24"/>
                      <w:szCs w:val="24"/>
                      <w:highlight w:val="none"/>
                      <w:u w:val="single"/>
                    </w:rPr>
                    <w:t xml:space="preserve">单元、内存控制器、I/O模块等，处</w:t>
                  </w:r>
                  <w:r>
                    <w:rPr>
                      <w:rFonts w:hint="eastAsia" w:ascii="宋体" w:hAnsi="宋体" w:eastAsia="宋体" w:cs="宋体"/>
                      <w:i/>
                      <w:iCs/>
                      <w:color w:val="auto"/>
                      <w:spacing w:val="-1"/>
                      <w:sz w:val="24"/>
                      <w:szCs w:val="24"/>
                      <w:highlight w:val="none"/>
                      <w:u w:val="single"/>
                    </w:rPr>
                    <w:t xml:space="preserve">理器与存储部件、网络部件、I/O部件等组成计算系统，提供数据处理、网络接入等计算相关功能</w:t>
                  </w:r>
                  <w:r/>
                </w:p>
              </w:tc>
            </w:tr>
            <w:tr>
              <w:trPr>
                <w:jc w:val="center"/>
                <w:trHeight w:val="965"/>
              </w:trPr>
              <w:tc>
                <w:tcPr>
                  <w:shd w:val="clear" w:color="auto" w:fill="auto"/>
                  <w:tcW w:w="719" w:type="dxa"/>
                  <w:vAlign w:val="center"/>
                  <w:textDirection w:val="lrTb"/>
                  <w:noWrap w:val="false"/>
                </w:tcPr>
                <w:p>
                  <w:pPr>
                    <w:ind w:left="243"/>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53</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*密码算法实现</w:t>
                  </w:r>
                  <w:r/>
                </w:p>
              </w:tc>
              <w:tc>
                <w:tcPr>
                  <w:shd w:val="clear" w:color="auto" w:fill="auto"/>
                  <w:tcW w:w="4535" w:type="dxa"/>
                  <w:vAlign w:val="center"/>
                  <w:textDirection w:val="lrTb"/>
                  <w:noWrap w:val="false"/>
                </w:tcPr>
                <w:p>
                  <w:pPr>
                    <w:ind w:left="111" w:right="103" w:firstLine="1"/>
                    <w:spacing w:before="162"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CPU芯片应符合GM/T0008的相关规</w:t>
                  </w:r>
                  <w:r>
                    <w:rPr>
                      <w:rFonts w:hint="eastAsia" w:ascii="宋体" w:hAnsi="宋体" w:eastAsia="宋体" w:cs="宋体"/>
                      <w:i/>
                      <w:iCs/>
                      <w:color w:val="auto"/>
                      <w:spacing w:val="2"/>
                      <w:sz w:val="24"/>
                      <w:szCs w:val="24"/>
                      <w:highlight w:val="none"/>
                      <w:u w:val="single"/>
                    </w:rPr>
                    <w:t xml:space="preserve">定，或芯片密码模块应符合</w:t>
                  </w:r>
                  <w:r>
                    <w:rPr>
                      <w:rFonts w:hint="eastAsia" w:ascii="宋体" w:hAnsi="宋体" w:eastAsia="宋体" w:cs="宋体"/>
                      <w:i/>
                      <w:iCs/>
                      <w:color w:val="auto"/>
                      <w:sz w:val="24"/>
                      <w:szCs w:val="24"/>
                      <w:highlight w:val="none"/>
                      <w:u w:val="single"/>
                    </w:rPr>
                    <w:t xml:space="preserve">GB</w:t>
                  </w:r>
                  <w:r>
                    <w:rPr>
                      <w:rFonts w:hint="eastAsia" w:ascii="宋体" w:hAnsi="宋体" w:eastAsia="宋体" w:cs="宋体"/>
                      <w:i/>
                      <w:iCs/>
                      <w:color w:val="auto"/>
                      <w:spacing w:val="2"/>
                      <w:sz w:val="24"/>
                      <w:szCs w:val="24"/>
                      <w:highlight w:val="none"/>
                      <w:u w:val="single"/>
                    </w:rPr>
                    <w:t xml:space="preserve">/T</w:t>
                  </w:r>
                  <w:r/>
                </w:p>
                <w:p>
                  <w:pPr>
                    <w:ind w:left="113"/>
                    <w:spacing w:before="5"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37092或GM/T 0028的相关规定</w:t>
                  </w:r>
                  <w:r/>
                </w:p>
              </w:tc>
            </w:tr>
            <w:tr>
              <w:trPr>
                <w:jc w:val="center"/>
                <w:trHeight w:val="965"/>
              </w:trPr>
              <w:tc>
                <w:tcPr>
                  <w:shd w:val="clear" w:color="auto" w:fill="auto"/>
                  <w:tcW w:w="719" w:type="dxa"/>
                  <w:vAlign w:val="center"/>
                  <w:textDirection w:val="lrTb"/>
                  <w:noWrap w:val="false"/>
                </w:tcPr>
                <w:p>
                  <w:pPr>
                    <w:ind w:left="243"/>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54</w:t>
                  </w:r>
                  <w:r/>
                </w:p>
              </w:tc>
              <w:tc>
                <w:tcPr>
                  <w:shd w:val="clear" w:color="auto" w:fill="auto"/>
                  <w:tcBorders>
                    <w:bottom w:val="none" w:color="000000" w:sz="4" w:space="0"/>
                  </w:tcBorders>
                  <w:tcW w:w="1239" w:type="dxa"/>
                  <w:vAlign w:val="center"/>
                  <w:vMerge w:val="restart"/>
                  <w:textDirection w:val="lrTb"/>
                  <w:noWrap w:val="false"/>
                </w:tcPr>
                <w:p>
                  <w:pPr>
                    <w:spacing w:line="31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9" w:right="186"/>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存储功能</w:t>
                  </w:r>
                  <w:r/>
                </w:p>
              </w:tc>
              <w:tc>
                <w:tcPr>
                  <w:shd w:val="clear" w:color="auto" w:fill="auto"/>
                  <w:tcW w:w="1335" w:type="dxa"/>
                  <w:vAlign w:val="center"/>
                  <w:textDirection w:val="lrTb"/>
                  <w:noWrap w:val="false"/>
                </w:tcPr>
                <w:p>
                  <w:pPr>
                    <w:jc w:val="center"/>
                    <w:spacing w:line="340"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ind w:left="121"/>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内存校验</w:t>
                  </w:r>
                  <w:r/>
                </w:p>
              </w:tc>
              <w:tc>
                <w:tcPr>
                  <w:shd w:val="clear" w:color="auto" w:fill="auto"/>
                  <w:tcW w:w="4535" w:type="dxa"/>
                  <w:vAlign w:val="center"/>
                  <w:textDirection w:val="lrTb"/>
                  <w:noWrap w:val="false"/>
                </w:tcPr>
                <w:p>
                  <w:pPr>
                    <w:ind w:left="119" w:right="168"/>
                    <w:spacing w:before="281"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支持内存校验或内存增强型纠错功</w:t>
                  </w:r>
                  <w:r>
                    <w:rPr>
                      <w:rFonts w:hint="eastAsia" w:ascii="宋体" w:hAnsi="宋体" w:eastAsia="宋体" w:cs="宋体"/>
                      <w:i/>
                      <w:iCs/>
                      <w:color w:val="auto"/>
                      <w:sz w:val="24"/>
                      <w:szCs w:val="24"/>
                      <w:highlight w:val="none"/>
                      <w:u w:val="single"/>
                    </w:rPr>
                    <w:t xml:space="preserve">能</w:t>
                  </w:r>
                  <w:r/>
                </w:p>
              </w:tc>
            </w:tr>
            <w:tr>
              <w:trPr>
                <w:jc w:val="center"/>
                <w:trHeight w:val="725"/>
              </w:trPr>
              <w:tc>
                <w:tcPr>
                  <w:shd w:val="clear" w:color="auto" w:fill="auto"/>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55</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 NAND 健康状态上报</w:t>
                  </w:r>
                  <w:r/>
                </w:p>
              </w:tc>
              <w:tc>
                <w:tcPr>
                  <w:shd w:val="clear" w:color="auto" w:fill="auto"/>
                  <w:tcW w:w="4535" w:type="dxa"/>
                  <w:vAlign w:val="center"/>
                  <w:textDirection w:val="lrTb"/>
                  <w:noWrap w:val="false"/>
                </w:tcPr>
                <w:p>
                  <w:pPr>
                    <w:ind w:left="112" w:right="102" w:firstLine="7"/>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支持关键外部存储器（硬磁盘、SSD</w:t>
                  </w:r>
                  <w:r>
                    <w:rPr>
                      <w:rFonts w:hint="eastAsia" w:ascii="宋体" w:hAnsi="宋体" w:eastAsia="宋体" w:cs="宋体"/>
                      <w:i/>
                      <w:iCs/>
                      <w:color w:val="auto"/>
                      <w:spacing w:val="-1"/>
                      <w:sz w:val="24"/>
                      <w:szCs w:val="24"/>
                      <w:highlight w:val="none"/>
                      <w:u w:val="single"/>
                    </w:rPr>
                    <w:t xml:space="preserve">等）的健康状态上报并进行故障诊</w:t>
                  </w:r>
                  <w:r>
                    <w:rPr>
                      <w:rFonts w:hint="eastAsia" w:ascii="宋体" w:hAnsi="宋体" w:eastAsia="宋体" w:cs="宋体"/>
                      <w:i/>
                      <w:iCs/>
                      <w:color w:val="auto"/>
                      <w:sz w:val="24"/>
                      <w:szCs w:val="24"/>
                      <w:highlight w:val="none"/>
                      <w:u w:val="single"/>
                    </w:rPr>
                    <w:t xml:space="preserve">断</w:t>
                  </w:r>
                  <w:r/>
                </w:p>
              </w:tc>
            </w:tr>
            <w:tr>
              <w:trPr>
                <w:jc w:val="center"/>
                <w:trHeight w:val="725"/>
              </w:trPr>
              <w:tc>
                <w:tcPr>
                  <w:shd w:val="clear" w:color="auto" w:fill="auto"/>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56</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SSD单 die 故障隔离</w:t>
                  </w:r>
                  <w:r/>
                </w:p>
              </w:tc>
              <w:tc>
                <w:tcPr>
                  <w:shd w:val="clear" w:color="auto" w:fill="auto"/>
                  <w:tcW w:w="4535" w:type="dxa"/>
                  <w:vAlign w:val="center"/>
                  <w:textDirection w:val="lrTb"/>
                  <w:noWrap w:val="false"/>
                </w:tcPr>
                <w:p>
                  <w:pPr>
                    <w:ind w:left="121" w:right="168" w:hanging="2"/>
                    <w:spacing w:before="163"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支持SSD关键外部存储器中单存储晶元故障隔离</w:t>
                  </w:r>
                  <w:r/>
                </w:p>
              </w:tc>
            </w:tr>
            <w:tr>
              <w:trPr>
                <w:jc w:val="center"/>
                <w:trHeight w:val="90"/>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57</w:t>
                  </w:r>
                  <w:r/>
                </w:p>
              </w:tc>
              <w:tc>
                <w:tcPr>
                  <w:shd w:val="clear" w:color="auto" w:fill="auto"/>
                  <w:tcBorders>
                    <w:bottom w:val="none" w:color="000000" w:sz="4" w:space="0"/>
                  </w:tcBorders>
                  <w:tcW w:w="1239" w:type="dxa"/>
                  <w:vAlign w:val="center"/>
                  <w:vMerge w:val="restart"/>
                  <w:textDirection w:val="lrTb"/>
                  <w:noWrap w:val="false"/>
                </w:tcPr>
                <w:p>
                  <w:pPr>
                    <w:ind w:left="117" w:right="107" w:firstLine="71"/>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32"/>
                      <w:sz w:val="24"/>
                      <w:szCs w:val="24"/>
                      <w:highlight w:val="none"/>
                      <w:lang w:eastAsia="en-US"/>
                    </w:rPr>
                    <w:t xml:space="preserve">卡功</w:t>
                  </w:r>
                  <w:r>
                    <w:rPr>
                      <w:rFonts w:hint="eastAsia" w:ascii="宋体" w:hAnsi="宋体" w:eastAsia="宋体" w:cs="宋体"/>
                      <w:color w:val="auto"/>
                      <w:spacing w:val="-13"/>
                      <w:sz w:val="24"/>
                      <w:szCs w:val="24"/>
                      <w:highlight w:val="none"/>
                      <w:lang w:eastAsia="en-US"/>
                    </w:rPr>
                    <w:t xml:space="preserve">能（若</w:t>
                  </w:r>
                  <w:r>
                    <w:rPr>
                      <w:rFonts w:hint="eastAsia" w:ascii="宋体" w:hAnsi="宋体" w:eastAsia="宋体" w:cs="宋体"/>
                      <w:color w:val="auto"/>
                      <w:spacing w:val="32"/>
                      <w:sz w:val="24"/>
                      <w:szCs w:val="24"/>
                      <w:highlight w:val="none"/>
                      <w:lang w:eastAsia="en-US"/>
                    </w:rPr>
                    <w:t xml:space="preserve">支持</w:t>
                  </w:r>
                  <w:r>
                    <w:rPr>
                      <w:rFonts w:hint="eastAsia" w:ascii="宋体" w:hAnsi="宋体" w:eastAsia="宋体" w:cs="宋体"/>
                      <w:color w:val="auto"/>
                      <w:spacing w:val="16"/>
                      <w:sz w:val="24"/>
                      <w:szCs w:val="24"/>
                      <w:highlight w:val="none"/>
                      <w:lang w:eastAsia="en-US"/>
                    </w:rPr>
                    <w:t xml:space="preserve">RAID</w:t>
                  </w:r>
                  <w:r>
                    <w:rPr>
                      <w:rFonts w:hint="eastAsia" w:ascii="宋体" w:hAnsi="宋体" w:eastAsia="宋体" w:cs="宋体"/>
                      <w:color w:val="auto"/>
                      <w:spacing w:val="32"/>
                      <w:sz w:val="24"/>
                      <w:szCs w:val="24"/>
                      <w:highlight w:val="none"/>
                      <w:lang w:eastAsia="en-US"/>
                    </w:rPr>
                    <w:t xml:space="preserve">卡）</w:t>
                  </w:r>
                  <w:r/>
                </w:p>
              </w:tc>
              <w:tc>
                <w:tcPr>
                  <w:shd w:val="clear" w:color="auto" w:fill="auto"/>
                  <w:tcW w:w="1335" w:type="dxa"/>
                  <w:vAlign w:val="center"/>
                  <w:textDirection w:val="lrTb"/>
                  <w:noWrap w:val="false"/>
                </w:tcPr>
                <w:p>
                  <w:pPr>
                    <w:jc w:val="center"/>
                    <w:spacing w:before="58" w:line="224"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w:t>
                  </w:r>
                  <w:r/>
                </w:p>
                <w:p>
                  <w:pPr>
                    <w:ind w:left="115" w:right="168" w:hanging="4"/>
                    <w:jc w:val="center"/>
                    <w:spacing w:before="21"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级别支持</w:t>
                  </w:r>
                  <w:r/>
                </w:p>
              </w:tc>
              <w:tc>
                <w:tcPr>
                  <w:shd w:val="clear" w:color="auto" w:fill="auto"/>
                  <w:tcW w:w="4535" w:type="dxa"/>
                  <w:vAlign w:val="center"/>
                  <w:textDirection w:val="lrTb"/>
                  <w:noWrap w:val="false"/>
                </w:tcPr>
                <w:p>
                  <w:pPr>
                    <w:ind w:left="112" w:right="168" w:firstLine="2"/>
                    <w:spacing w:before="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RAID模式支持0/1/5/6/10/50/60</w:t>
                  </w:r>
                  <w:r/>
                </w:p>
              </w:tc>
            </w:tr>
            <w:tr>
              <w:trPr>
                <w:jc w:val="center"/>
                <w:trHeight w:val="485"/>
              </w:trPr>
              <w:tc>
                <w:tcPr>
                  <w:shd w:val="clear" w:color="auto" w:fill="auto"/>
                  <w:tcW w:w="719" w:type="dxa"/>
                  <w:vAlign w:val="center"/>
                  <w:textDirection w:val="lrTb"/>
                  <w:noWrap w:val="false"/>
                </w:tcPr>
                <w:p>
                  <w:pPr>
                    <w:ind w:left="243"/>
                    <w:spacing w:before="15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58</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BBU 单元</w:t>
                  </w:r>
                  <w:r/>
                </w:p>
              </w:tc>
              <w:tc>
                <w:tcPr>
                  <w:shd w:val="clear" w:color="auto" w:fill="auto"/>
                  <w:tcW w:w="4535" w:type="dxa"/>
                  <w:vAlign w:val="center"/>
                  <w:textDirection w:val="lrTb"/>
                  <w:noWrap w:val="false"/>
                </w:tcPr>
                <w:p>
                  <w:pPr>
                    <w:ind w:left="114"/>
                    <w:spacing w:before="16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RAID卡支持电池或电容备份单元</w:t>
                  </w:r>
                  <w:r/>
                </w:p>
              </w:tc>
            </w:tr>
            <w:tr>
              <w:trPr>
                <w:jc w:val="center"/>
                <w:trHeight w:val="727"/>
              </w:trPr>
              <w:tc>
                <w:tcPr>
                  <w:shd w:val="clear" w:color="auto" w:fill="auto"/>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59</w:t>
                  </w:r>
                  <w:r/>
                </w:p>
              </w:tc>
              <w:tc>
                <w:tcPr>
                  <w:shd w:val="clear" w:color="auto" w:fill="auto"/>
                  <w:tcW w:w="1239" w:type="dxa"/>
                  <w:vAlign w:val="center"/>
                  <w:textDirection w:val="lrTb"/>
                  <w:noWrap w:val="false"/>
                </w:tcPr>
                <w:p>
                  <w:pPr>
                    <w:ind w:left="189" w:right="186" w:hanging="2"/>
                    <w:jc w:val="center"/>
                    <w:spacing w:before="162"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光驱</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光驱类型</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（是否支持 RW，以及光盘类型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CD/DVD）</w:t>
                  </w:r>
                  <w:r/>
                </w:p>
              </w:tc>
              <w:tc>
                <w:tcPr>
                  <w:shd w:val="clear" w:color="auto" w:fill="auto"/>
                  <w:tcW w:w="4535" w:type="dxa"/>
                  <w:vAlign w:val="center"/>
                  <w:textDirection w:val="lrTb"/>
                  <w:noWrap w:val="false"/>
                </w:tcPr>
                <w:p>
                  <w:pPr>
                    <w:ind w:left="115" w:right="168" w:hanging="2"/>
                    <w:spacing w:before="44"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若配备光驱，应提供光驱的安装形式（如内置、外置）、光驱读写类型（如只读、可刻录等）、光盘类</w:t>
                  </w:r>
                  <w:r>
                    <w:rPr>
                      <w:rFonts w:hint="eastAsia" w:ascii="宋体" w:hAnsi="宋体" w:eastAsia="宋体" w:cs="宋体"/>
                      <w:i/>
                      <w:iCs/>
                      <w:color w:val="auto"/>
                      <w:spacing w:val="-3"/>
                      <w:sz w:val="24"/>
                      <w:szCs w:val="24"/>
                      <w:highlight w:val="none"/>
                      <w:u w:val="single"/>
                    </w:rPr>
                    <w:t xml:space="preserve">型的兼容列表（如CD-ROM、CD-RW、</w:t>
                  </w:r>
                  <w:r>
                    <w:rPr>
                      <w:rFonts w:hint="eastAsia" w:ascii="宋体" w:hAnsi="宋体" w:eastAsia="宋体" w:cs="宋体"/>
                      <w:i/>
                      <w:iCs/>
                      <w:color w:val="auto"/>
                      <w:spacing w:val="-2"/>
                      <w:sz w:val="24"/>
                      <w:szCs w:val="24"/>
                      <w:highlight w:val="none"/>
                      <w:u w:val="single"/>
                    </w:rPr>
                    <w:t xml:space="preserve">DVD±RW等）</w:t>
                  </w:r>
                  <w:r/>
                </w:p>
              </w:tc>
            </w:tr>
            <w:tr>
              <w:trPr>
                <w:jc w:val="center"/>
                <w:trHeight w:val="485"/>
              </w:trPr>
              <w:tc>
                <w:tcPr>
                  <w:shd w:val="clear" w:color="auto" w:fill="auto"/>
                  <w:tcW w:w="719" w:type="dxa"/>
                  <w:vAlign w:val="center"/>
                  <w:textDirection w:val="lrTb"/>
                  <w:noWrap w:val="false"/>
                </w:tcPr>
                <w:p>
                  <w:pPr>
                    <w:ind w:left="247"/>
                    <w:spacing w:before="154"/>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60</w:t>
                  </w:r>
                  <w:r/>
                </w:p>
              </w:tc>
              <w:tc>
                <w:tcPr>
                  <w:shd w:val="clear" w:color="auto" w:fill="auto"/>
                  <w:tcBorders>
                    <w:bottom w:val="none" w:color="000000" w:sz="4" w:space="0"/>
                  </w:tcBorders>
                  <w:tcW w:w="1239" w:type="dxa"/>
                  <w:vAlign w:val="center"/>
                  <w:vMerge w:val="restart"/>
                  <w:textDirection w:val="lrTb"/>
                  <w:noWrap w:val="false"/>
                </w:tcPr>
                <w:p>
                  <w:pPr>
                    <w:ind w:left="112" w:right="174" w:hanging="4"/>
                    <w:jc w:val="center"/>
                    <w:spacing w:before="286"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电源热插拔</w:t>
                  </w:r>
                  <w:r/>
                </w:p>
              </w:tc>
              <w:tc>
                <w:tcPr>
                  <w:shd w:val="clear" w:color="auto" w:fill="auto"/>
                  <w:tcW w:w="4535" w:type="dxa"/>
                  <w:vAlign w:val="center"/>
                  <w:textDirection w:val="lrTb"/>
                  <w:noWrap w:val="false"/>
                </w:tcPr>
                <w:p>
                  <w:pPr>
                    <w:ind w:left="112"/>
                    <w:spacing w:before="159"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整机电源模块应具备热插拔功能</w:t>
                  </w:r>
                  <w:r/>
                </w:p>
              </w:tc>
            </w:tr>
            <w:tr>
              <w:trPr>
                <w:jc w:val="center"/>
                <w:trHeight w:val="485"/>
              </w:trPr>
              <w:tc>
                <w:tcPr>
                  <w:shd w:val="clear" w:color="auto" w:fill="auto"/>
                  <w:tcW w:w="719" w:type="dxa"/>
                  <w:vAlign w:val="center"/>
                  <w:textDirection w:val="lrTb"/>
                  <w:noWrap w:val="false"/>
                </w:tcPr>
                <w:p>
                  <w:pPr>
                    <w:ind w:left="247"/>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61</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电源过流保护</w:t>
                  </w:r>
                  <w:r/>
                </w:p>
              </w:tc>
              <w:tc>
                <w:tcPr>
                  <w:shd w:val="clear" w:color="auto" w:fill="auto"/>
                  <w:tcW w:w="4535" w:type="dxa"/>
                  <w:vAlign w:val="center"/>
                  <w:textDirection w:val="lrTb"/>
                  <w:noWrap w:val="false"/>
                </w:tcPr>
                <w:p>
                  <w:pPr>
                    <w:ind w:left="119"/>
                    <w:spacing w:before="161"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支持过流及短路保护的功能</w:t>
                  </w:r>
                  <w:r/>
                </w:p>
              </w:tc>
            </w:tr>
            <w:tr>
              <w:trPr>
                <w:jc w:val="center"/>
                <w:trHeight w:val="485"/>
              </w:trPr>
              <w:tc>
                <w:tcPr>
                  <w:shd w:val="clear" w:color="auto" w:fill="auto"/>
                  <w:tcW w:w="719" w:type="dxa"/>
                  <w:vAlign w:val="center"/>
                  <w:textDirection w:val="lrTb"/>
                  <w:noWrap w:val="false"/>
                </w:tcPr>
                <w:p>
                  <w:pPr>
                    <w:ind w:left="247"/>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62</w:t>
                  </w:r>
                  <w:r/>
                </w:p>
              </w:tc>
              <w:tc>
                <w:tcPr>
                  <w:shd w:val="clear" w:color="auto" w:fill="auto"/>
                  <w:tcBorders>
                    <w:bottom w:val="none" w:color="000000" w:sz="4" w:space="0"/>
                  </w:tcBorders>
                  <w:tcW w:w="1239" w:type="dxa"/>
                  <w:vAlign w:val="center"/>
                  <w:vMerge w:val="restart"/>
                  <w:textDirection w:val="lrTb"/>
                  <w:noWrap w:val="false"/>
                </w:tcPr>
                <w:p>
                  <w:pPr>
                    <w:jc w:val="center"/>
                    <w:spacing w:line="344"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9" w:right="141" w:hanging="50"/>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散热方式</w:t>
                  </w:r>
                  <w:r/>
                </w:p>
              </w:tc>
              <w:tc>
                <w:tcPr>
                  <w:shd w:val="clear" w:color="auto" w:fill="auto"/>
                  <w:tcW w:w="4535" w:type="dxa"/>
                  <w:vAlign w:val="center"/>
                  <w:textDirection w:val="lrTb"/>
                  <w:noWrap w:val="false"/>
                </w:tcPr>
                <w:p>
                  <w:pPr>
                    <w:ind w:left="119"/>
                    <w:spacing w:before="160"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支持风冷或液冷等散热方式</w:t>
                  </w:r>
                  <w:r/>
                </w:p>
              </w:tc>
            </w:tr>
            <w:tr>
              <w:trPr>
                <w:jc w:val="center"/>
                <w:trHeight w:val="725"/>
              </w:trPr>
              <w:tc>
                <w:tcPr>
                  <w:shd w:val="clear" w:color="auto" w:fill="auto"/>
                  <w:tcW w:w="719" w:type="dxa"/>
                  <w:vAlign w:val="center"/>
                  <w:textDirection w:val="lrTb"/>
                  <w:noWrap w:val="false"/>
                </w:tcPr>
                <w:p>
                  <w:pPr>
                    <w:ind w:left="247"/>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63</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其他功能</w:t>
                  </w:r>
                  <w:r/>
                </w:p>
              </w:tc>
              <w:tc>
                <w:tcPr>
                  <w:shd w:val="clear" w:color="auto" w:fill="auto"/>
                  <w:tcW w:w="4535" w:type="dxa"/>
                  <w:vAlign w:val="center"/>
                  <w:textDirection w:val="lrTb"/>
                  <w:noWrap w:val="false"/>
                </w:tcPr>
                <w:p>
                  <w:pPr>
                    <w:ind w:left="114" w:right="109"/>
                    <w:spacing w:before="40"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a) 支持关键部件冗余（包括电源、风扇等</w:t>
                  </w:r>
                  <w:r>
                    <w:rPr>
                      <w:rFonts w:hint="eastAsia" w:ascii="宋体" w:hAnsi="宋体" w:eastAsia="宋体" w:cs="宋体"/>
                      <w:i/>
                      <w:iCs/>
                      <w:color w:val="auto"/>
                      <w:sz w:val="24"/>
                      <w:szCs w:val="24"/>
                      <w:highlight w:val="none"/>
                      <w:u w:val="single"/>
                    </w:rPr>
                    <w:t xml:space="preserve">）；</w:t>
                  </w:r>
                  <w:r/>
                </w:p>
                <w:p>
                  <w:pPr>
                    <w:ind w:left="115"/>
                    <w:spacing w:before="5" w:line="20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支持熔断保护与恢复功能</w:t>
                  </w:r>
                  <w:r/>
                </w:p>
              </w:tc>
            </w:tr>
            <w:tr>
              <w:trPr>
                <w:jc w:val="center"/>
                <w:trHeight w:val="3569"/>
              </w:trPr>
              <w:tc>
                <w:tcPr>
                  <w:shd w:val="clear" w:color="auto" w:fill="auto"/>
                  <w:tcW w:w="719" w:type="dxa"/>
                  <w:vAlign w:val="center"/>
                  <w:textDirection w:val="lrTb"/>
                  <w:noWrap w:val="false"/>
                </w:tcPr>
                <w:p>
                  <w:pPr>
                    <w:ind w:left="247"/>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64</w:t>
                  </w:r>
                  <w:r/>
                </w:p>
              </w:tc>
              <w:tc>
                <w:tcPr>
                  <w:shd w:val="clear" w:color="auto" w:fill="auto"/>
                  <w:tcW w:w="1239" w:type="dxa"/>
                  <w:vAlign w:val="center"/>
                  <w:textDirection w:val="lrTb"/>
                  <w:noWrap w:val="false"/>
                </w:tcPr>
                <w:p>
                  <w:pPr>
                    <w:ind w:left="189" w:right="141" w:hanging="50"/>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管理</w:t>
                  </w:r>
                  <w:r>
                    <w:rPr>
                      <w:rFonts w:hint="eastAsia" w:ascii="宋体" w:hAnsi="宋体" w:eastAsia="宋体" w:cs="宋体"/>
                      <w:color w:val="auto"/>
                      <w:spacing w:val="-5"/>
                      <w:sz w:val="24"/>
                      <w:szCs w:val="24"/>
                      <w:highlight w:val="none"/>
                      <w:lang w:eastAsia="en-US"/>
                    </w:rPr>
                    <w:t xml:space="preserve">系统功能</w:t>
                  </w:r>
                  <w:r/>
                </w:p>
              </w:tc>
              <w:tc>
                <w:tcPr>
                  <w:shd w:val="clear" w:color="auto" w:fill="auto"/>
                  <w:tcW w:w="1335" w:type="dxa"/>
                  <w:vAlign w:val="center"/>
                  <w:textDirection w:val="lrTb"/>
                  <w:noWrap w:val="false"/>
                </w:tcPr>
                <w:p>
                  <w:pPr>
                    <w:ind w:right="168"/>
                    <w:jc w:val="center"/>
                    <w:spacing w:before="59" w:line="247"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BMC 固件基础功能</w:t>
                  </w:r>
                  <w:r/>
                </w:p>
              </w:tc>
              <w:tc>
                <w:tcPr>
                  <w:shd w:val="clear" w:color="auto" w:fill="auto"/>
                  <w:tcW w:w="4535" w:type="dxa"/>
                  <w:vAlign w:val="center"/>
                  <w:textDirection w:val="lrTb"/>
                  <w:noWrap w:val="false"/>
                </w:tcPr>
                <w:p>
                  <w:pPr>
                    <w:ind w:left="123"/>
                    <w:spacing w:before="39"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1)支持DHCP设置网络功能；</w:t>
                  </w:r>
                  <w:r/>
                </w:p>
                <w:p>
                  <w:pPr>
                    <w:ind w:left="112"/>
                    <w:spacing w:before="32"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2)支持静态 IP设置网络功能；</w:t>
                  </w:r>
                  <w:r/>
                </w:p>
                <w:p>
                  <w:pPr>
                    <w:ind w:left="112" w:right="168" w:firstLine="1"/>
                    <w:spacing w:before="33"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3)支持设备日志记录，包括但不限于登录日志、操作日志和报警日志</w:t>
                  </w:r>
                  <w:r>
                    <w:rPr>
                      <w:rFonts w:hint="eastAsia" w:ascii="宋体" w:hAnsi="宋体" w:eastAsia="宋体" w:cs="宋体"/>
                      <w:i/>
                      <w:iCs/>
                      <w:color w:val="auto"/>
                      <w:spacing w:val="-2"/>
                      <w:sz w:val="24"/>
                      <w:szCs w:val="24"/>
                      <w:highlight w:val="none"/>
                      <w:u w:val="single"/>
                    </w:rPr>
                    <w:t xml:space="preserve">等功能；</w:t>
                  </w:r>
                  <w:r/>
                </w:p>
                <w:p>
                  <w:pPr>
                    <w:ind w:left="118" w:right="168" w:hanging="10"/>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4)支持日志信息导出和记录删除功</w:t>
                  </w:r>
                  <w:r>
                    <w:rPr>
                      <w:rFonts w:hint="eastAsia" w:ascii="宋体" w:hAnsi="宋体" w:eastAsia="宋体" w:cs="宋体"/>
                      <w:i/>
                      <w:iCs/>
                      <w:color w:val="auto"/>
                      <w:spacing w:val="-7"/>
                      <w:sz w:val="24"/>
                      <w:szCs w:val="24"/>
                      <w:highlight w:val="none"/>
                      <w:u w:val="single"/>
                    </w:rPr>
                    <w:t xml:space="preserve">能；</w:t>
                  </w:r>
                  <w:r/>
                </w:p>
                <w:p>
                  <w:pPr>
                    <w:ind w:left="123" w:right="168" w:hanging="14"/>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5)支持通过管理接口向外输出准确</w:t>
                  </w:r>
                  <w:r>
                    <w:rPr>
                      <w:rFonts w:hint="eastAsia" w:ascii="宋体" w:hAnsi="宋体" w:eastAsia="宋体" w:cs="宋体"/>
                      <w:i/>
                      <w:iCs/>
                      <w:color w:val="auto"/>
                      <w:spacing w:val="-3"/>
                      <w:sz w:val="24"/>
                      <w:szCs w:val="24"/>
                      <w:highlight w:val="none"/>
                      <w:u w:val="single"/>
                    </w:rPr>
                    <w:t xml:space="preserve">的报警信息功能；</w:t>
                  </w:r>
                  <w:r/>
                </w:p>
                <w:p>
                  <w:pPr>
                    <w:ind w:left="112" w:right="168"/>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6)设备的</w:t>
                  </w:r>
                  <w:r>
                    <w:rPr>
                      <w:rFonts w:hint="eastAsia" w:ascii="宋体" w:hAnsi="宋体" w:eastAsia="宋体" w:cs="宋体"/>
                      <w:i/>
                      <w:iCs/>
                      <w:color w:val="auto"/>
                      <w:sz w:val="24"/>
                      <w:szCs w:val="24"/>
                      <w:highlight w:val="none"/>
                      <w:u w:val="single"/>
                    </w:rPr>
                    <w:t xml:space="preserve">BMC</w:t>
                  </w:r>
                  <w:r>
                    <w:rPr>
                      <w:rFonts w:hint="eastAsia" w:ascii="宋体" w:hAnsi="宋体" w:eastAsia="宋体" w:cs="宋体"/>
                      <w:i/>
                      <w:iCs/>
                      <w:color w:val="auto"/>
                      <w:spacing w:val="1"/>
                      <w:sz w:val="24"/>
                      <w:szCs w:val="24"/>
                      <w:highlight w:val="none"/>
                      <w:u w:val="single"/>
                    </w:rPr>
                    <w:t xml:space="preserve">管理软件应能够按报</w:t>
                  </w:r>
                  <w:r>
                    <w:rPr>
                      <w:rFonts w:hint="eastAsia" w:ascii="宋体" w:hAnsi="宋体" w:eastAsia="宋体" w:cs="宋体"/>
                      <w:i/>
                      <w:iCs/>
                      <w:color w:val="auto"/>
                      <w:spacing w:val="-1"/>
                      <w:sz w:val="24"/>
                      <w:szCs w:val="24"/>
                      <w:highlight w:val="none"/>
                      <w:u w:val="single"/>
                    </w:rPr>
                    <w:t xml:space="preserve">警的严重程度进行区分；</w:t>
                  </w:r>
                  <w:r/>
                </w:p>
                <w:p>
                  <w:pPr>
                    <w:ind w:left="112" w:right="215" w:firstLine="2"/>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7)支持 IPMI2.0、SNMP或Redfish</w:t>
                  </w:r>
                  <w:r>
                    <w:rPr>
                      <w:rFonts w:hint="eastAsia" w:ascii="宋体" w:hAnsi="宋体" w:eastAsia="宋体" w:cs="宋体"/>
                      <w:i/>
                      <w:iCs/>
                      <w:color w:val="auto"/>
                      <w:spacing w:val="-1"/>
                      <w:sz w:val="24"/>
                      <w:szCs w:val="24"/>
                      <w:highlight w:val="none"/>
                      <w:u w:val="single"/>
                      <w:lang w:eastAsia="en-US"/>
                    </w:rPr>
                    <w:t xml:space="preserve">等接口功能；</w:t>
                  </w:r>
                  <w:r/>
                </w:p>
                <w:p>
                  <w:pPr>
                    <w:ind w:left="112" w:right="41" w:hanging="1"/>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8)支持键盘、鼠标和视频的重定向、</w:t>
                  </w:r>
                  <w:r>
                    <w:rPr>
                      <w:rFonts w:hint="eastAsia" w:ascii="宋体" w:hAnsi="宋体" w:eastAsia="宋体" w:cs="宋体"/>
                      <w:i/>
                      <w:iCs/>
                      <w:color w:val="auto"/>
                      <w:spacing w:val="-1"/>
                      <w:sz w:val="24"/>
                      <w:szCs w:val="24"/>
                      <w:highlight w:val="none"/>
                      <w:u w:val="single"/>
                    </w:rPr>
                    <w:t xml:space="preserve">文本控制台的重定向、远程虚拟媒</w:t>
                  </w:r>
                  <w:r>
                    <w:rPr>
                      <w:rFonts w:hint="eastAsia" w:ascii="宋体" w:hAnsi="宋体" w:eastAsia="宋体" w:cs="宋体"/>
                      <w:i/>
                      <w:iCs/>
                      <w:color w:val="auto"/>
                      <w:spacing w:val="-4"/>
                      <w:sz w:val="24"/>
                      <w:szCs w:val="24"/>
                      <w:highlight w:val="none"/>
                      <w:u w:val="single"/>
                    </w:rPr>
                    <w:t xml:space="preserve">体、高可靠的硬件监控和管理功能；</w:t>
                  </w:r>
                  <w:r/>
                </w:p>
                <w:p>
                  <w:pPr>
                    <w:ind w:left="113" w:right="168" w:hanging="5"/>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9)支持基于网络开启、关闭和重启设备的功能，并查询当前设备开机</w:t>
                  </w:r>
                  <w:r>
                    <w:rPr>
                      <w:rFonts w:hint="eastAsia" w:ascii="宋体" w:hAnsi="宋体" w:eastAsia="宋体" w:cs="宋体"/>
                      <w:i/>
                      <w:iCs/>
                      <w:color w:val="auto"/>
                      <w:spacing w:val="-2"/>
                      <w:sz w:val="24"/>
                      <w:szCs w:val="24"/>
                      <w:highlight w:val="none"/>
                      <w:u w:val="single"/>
                    </w:rPr>
                    <w:t xml:space="preserve">运行状态；</w:t>
                  </w:r>
                  <w:r/>
                </w:p>
                <w:p>
                  <w:pPr>
                    <w:ind w:left="134" w:right="103" w:hanging="11"/>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10)支持故障提示功能，并可通过接口读取服务器故障信息；</w:t>
                  </w:r>
                  <w:r/>
                </w:p>
                <w:p>
                  <w:pPr>
                    <w:ind w:left="112" w:right="124" w:firstLine="10"/>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11)支持基于网络的固件更新功能，包括BMC和BIOS等；</w:t>
                  </w:r>
                  <w:r/>
                </w:p>
                <w:p>
                  <w:pPr>
                    <w:ind w:left="113" w:right="168" w:firstLine="9"/>
                    <w:spacing w:before="7"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12)支持基于网络安装操作系统的</w:t>
                  </w:r>
                  <w:r>
                    <w:rPr>
                      <w:rFonts w:hint="eastAsia" w:ascii="宋体" w:hAnsi="宋体" w:eastAsia="宋体" w:cs="宋体"/>
                      <w:i/>
                      <w:iCs/>
                      <w:color w:val="auto"/>
                      <w:spacing w:val="-1"/>
                      <w:sz w:val="24"/>
                      <w:szCs w:val="24"/>
                      <w:highlight w:val="none"/>
                      <w:u w:val="single"/>
                    </w:rPr>
                    <w:t xml:space="preserve">功能，并可通过网络控制台访问设</w:t>
                  </w:r>
                  <w:r>
                    <w:rPr>
                      <w:rFonts w:hint="eastAsia" w:ascii="宋体" w:hAnsi="宋体" w:eastAsia="宋体" w:cs="宋体"/>
                      <w:i/>
                      <w:iCs/>
                      <w:color w:val="auto"/>
                      <w:spacing w:val="-4"/>
                      <w:sz w:val="24"/>
                      <w:szCs w:val="24"/>
                      <w:highlight w:val="none"/>
                      <w:u w:val="single"/>
                    </w:rPr>
                    <w:t xml:space="preserve">备；</w:t>
                  </w:r>
                  <w:r/>
                </w:p>
                <w:p>
                  <w:pPr>
                    <w:ind w:left="112" w:right="168" w:firstLine="10"/>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13)支持通过本地的硬盘或光驱等</w:t>
                  </w:r>
                  <w:r>
                    <w:rPr>
                      <w:rFonts w:hint="eastAsia" w:ascii="宋体" w:hAnsi="宋体" w:eastAsia="宋体" w:cs="宋体"/>
                      <w:i/>
                      <w:iCs/>
                      <w:color w:val="auto"/>
                      <w:spacing w:val="-1"/>
                      <w:sz w:val="24"/>
                      <w:szCs w:val="24"/>
                      <w:highlight w:val="none"/>
                      <w:u w:val="single"/>
                    </w:rPr>
                    <w:t xml:space="preserve">存储设备，基于网络完成设备的操作系统安装功能；</w:t>
                  </w:r>
                  <w:r/>
                </w:p>
                <w:p>
                  <w:pPr>
                    <w:ind w:left="115" w:right="259" w:firstLine="7"/>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14)支持通过浏览器打开管理界面并登录功能；</w:t>
                  </w:r>
                  <w:r/>
                </w:p>
                <w:p>
                  <w:pPr>
                    <w:ind w:left="123"/>
                    <w:spacing w:before="6"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15)支持设置口令策略功能；</w:t>
                  </w:r>
                  <w:r/>
                </w:p>
                <w:p>
                  <w:pPr>
                    <w:ind w:left="141" w:right="103" w:hanging="18"/>
                    <w:spacing w:before="33"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16)支持访问权限设置功能，并通过</w:t>
                  </w:r>
                  <w:r>
                    <w:rPr>
                      <w:rFonts w:hint="eastAsia" w:ascii="宋体" w:hAnsi="宋体" w:eastAsia="宋体" w:cs="宋体"/>
                      <w:i/>
                      <w:iCs/>
                      <w:color w:val="auto"/>
                      <w:spacing w:val="-4"/>
                      <w:sz w:val="24"/>
                      <w:szCs w:val="24"/>
                      <w:highlight w:val="none"/>
                      <w:u w:val="single"/>
                    </w:rPr>
                    <w:t xml:space="preserve">日志记录访问事件；</w:t>
                  </w:r>
                  <w:r/>
                </w:p>
                <w:p>
                  <w:pPr>
                    <w:ind w:left="112" w:right="168" w:firstLine="10"/>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17)支持对出厂默认的用户名及口</w:t>
                  </w:r>
                  <w:r>
                    <w:rPr>
                      <w:rFonts w:hint="eastAsia" w:ascii="宋体" w:hAnsi="宋体" w:eastAsia="宋体" w:cs="宋体"/>
                      <w:i/>
                      <w:iCs/>
                      <w:color w:val="auto"/>
                      <w:spacing w:val="-1"/>
                      <w:sz w:val="24"/>
                      <w:szCs w:val="24"/>
                      <w:highlight w:val="none"/>
                      <w:u w:val="single"/>
                    </w:rPr>
                    <w:t xml:space="preserve">令进行安全保护功能，并提供默认口令修改提示；</w:t>
                  </w:r>
                  <w:r/>
                </w:p>
                <w:p>
                  <w:pPr>
                    <w:ind w:left="114" w:right="259" w:firstLine="8"/>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18)支持读取设备主板的工作环境温度功能；</w:t>
                  </w:r>
                  <w:r/>
                </w:p>
                <w:p>
                  <w:pPr>
                    <w:ind w:left="123" w:right="103"/>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19)支持读取服务器CPU等核心器件</w:t>
                  </w:r>
                  <w:r>
                    <w:rPr>
                      <w:rFonts w:hint="eastAsia" w:ascii="宋体" w:hAnsi="宋体" w:eastAsia="宋体" w:cs="宋体"/>
                      <w:i/>
                      <w:iCs/>
                      <w:color w:val="auto"/>
                      <w:spacing w:val="-3"/>
                      <w:sz w:val="24"/>
                      <w:szCs w:val="24"/>
                      <w:highlight w:val="none"/>
                      <w:u w:val="single"/>
                    </w:rPr>
                    <w:t xml:space="preserve">的温度功能；</w:t>
                  </w:r>
                  <w:r/>
                </w:p>
                <w:p>
                  <w:pPr>
                    <w:ind w:left="112"/>
                    <w:spacing w:before="6" w:line="199"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20)支持通过外部管理工具进行BMC参数设置的功能，并可基于网络通</w:t>
                  </w:r>
                  <w:r>
                    <w:rPr>
                      <w:rFonts w:hint="eastAsia" w:ascii="宋体" w:hAnsi="宋体" w:eastAsia="宋体" w:cs="宋体"/>
                      <w:i/>
                      <w:iCs/>
                      <w:color w:val="auto"/>
                      <w:spacing w:val="-2"/>
                      <w:sz w:val="24"/>
                      <w:szCs w:val="24"/>
                      <w:highlight w:val="none"/>
                      <w:u w:val="single"/>
                    </w:rPr>
                    <w:t xml:space="preserve">过外部管理工具对BMC进行管理；</w:t>
                  </w:r>
                  <w:r/>
                </w:p>
                <w:p>
                  <w:pPr>
                    <w:ind w:left="112"/>
                    <w:spacing w:before="5"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21)应支持固件版本查询、固件升级</w:t>
                  </w:r>
                  <w:r/>
                </w:p>
                <w:p>
                  <w:pPr>
                    <w:ind w:left="112" w:right="259"/>
                    <w:spacing w:before="25"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22)支持基于网络实现开关机和复位控制的功能；</w:t>
                  </w:r>
                  <w:r/>
                </w:p>
                <w:p>
                  <w:pPr>
                    <w:ind w:left="113" w:right="103" w:hanging="1"/>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23)BMC启动时间应不超过180s，实</w:t>
                  </w:r>
                  <w:r>
                    <w:rPr>
                      <w:rFonts w:hint="eastAsia" w:ascii="宋体" w:hAnsi="宋体" w:eastAsia="宋体" w:cs="宋体"/>
                      <w:i/>
                      <w:iCs/>
                      <w:color w:val="auto"/>
                      <w:spacing w:val="-1"/>
                      <w:sz w:val="24"/>
                      <w:szCs w:val="24"/>
                      <w:highlight w:val="none"/>
                      <w:u w:val="single"/>
                    </w:rPr>
                    <w:t xml:space="preserve">现功能包括网络、IPMI、散热、传</w:t>
                  </w:r>
                  <w:r>
                    <w:rPr>
                      <w:rFonts w:hint="eastAsia" w:ascii="宋体" w:hAnsi="宋体" w:eastAsia="宋体" w:cs="宋体"/>
                      <w:i/>
                      <w:iCs/>
                      <w:color w:val="auto"/>
                      <w:spacing w:val="-2"/>
                      <w:sz w:val="24"/>
                      <w:szCs w:val="24"/>
                      <w:highlight w:val="none"/>
                      <w:u w:val="single"/>
                    </w:rPr>
                    <w:t xml:space="preserve">感器服务可用；</w:t>
                  </w:r>
                  <w:r/>
                </w:p>
                <w:p>
                  <w:pPr>
                    <w:ind w:left="112"/>
                    <w:spacing w:before="6" w:line="199"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2"/>
                      <w:sz w:val="24"/>
                      <w:szCs w:val="24"/>
                      <w:highlight w:val="none"/>
                      <w:u w:val="single"/>
                    </w:rPr>
                    <w:t xml:space="preserve">24)支持BMC固件设置的恢复出厂功</w:t>
                  </w:r>
                  <w:r>
                    <w:rPr>
                      <w:rFonts w:hint="eastAsia" w:ascii="宋体" w:hAnsi="宋体" w:eastAsia="宋体" w:cs="宋体"/>
                      <w:i/>
                      <w:iCs/>
                      <w:color w:val="auto"/>
                      <w:sz w:val="24"/>
                      <w:szCs w:val="24"/>
                      <w:highlight w:val="none"/>
                      <w:u w:val="single"/>
                    </w:rPr>
                    <w:t xml:space="preserve">能</w:t>
                  </w:r>
                  <w:r/>
                </w:p>
              </w:tc>
            </w:tr>
            <w:tr>
              <w:trPr>
                <w:jc w:val="center"/>
                <w:trHeight w:val="1638"/>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65</w:t>
                  </w:r>
                  <w:r/>
                </w:p>
              </w:tc>
              <w:tc>
                <w:tcPr>
                  <w:shd w:val="clear" w:color="auto" w:fill="auto"/>
                  <w:tcBorders>
                    <w:top w:val="none" w:color="000000" w:sz="4" w:space="0"/>
                  </w:tcBorders>
                  <w:tcW w:w="1239"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right="214"/>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BMC 固件增强功能</w:t>
                  </w:r>
                  <w:r/>
                </w:p>
              </w:tc>
              <w:tc>
                <w:tcPr>
                  <w:shd w:val="clear" w:color="auto" w:fill="auto"/>
                  <w:tcW w:w="4535" w:type="dxa"/>
                  <w:vAlign w:val="center"/>
                  <w:textDirection w:val="lrTb"/>
                  <w:noWrap w:val="false"/>
                </w:tcPr>
                <w:p>
                  <w:pPr>
                    <w:ind w:left="118" w:right="103" w:hanging="4"/>
                    <w:spacing w:before="29"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a）网络控制、安装提供图形访问界面网络；</w:t>
                  </w:r>
                  <w:r/>
                </w:p>
                <w:p>
                  <w:pPr>
                    <w:ind w:left="112" w:right="103" w:firstLine="2"/>
                    <w:spacing w:before="5"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b）设备的BMC管理软件界面显示报</w:t>
                  </w:r>
                  <w:r>
                    <w:rPr>
                      <w:rFonts w:hint="eastAsia" w:ascii="宋体" w:hAnsi="宋体" w:eastAsia="宋体" w:cs="宋体"/>
                      <w:i/>
                      <w:iCs/>
                      <w:color w:val="auto"/>
                      <w:spacing w:val="-1"/>
                      <w:sz w:val="24"/>
                      <w:szCs w:val="24"/>
                      <w:highlight w:val="none"/>
                      <w:u w:val="single"/>
                    </w:rPr>
                    <w:t xml:space="preserve">警信息，且能够按报警的严重程度</w:t>
                  </w:r>
                  <w:r>
                    <w:rPr>
                      <w:rFonts w:hint="eastAsia" w:ascii="宋体" w:hAnsi="宋体" w:eastAsia="宋体" w:cs="宋体"/>
                      <w:i/>
                      <w:iCs/>
                      <w:color w:val="auto"/>
                      <w:spacing w:val="-2"/>
                      <w:sz w:val="24"/>
                      <w:szCs w:val="24"/>
                      <w:highlight w:val="none"/>
                      <w:u w:val="single"/>
                    </w:rPr>
                    <w:t xml:space="preserve">进行区分；</w:t>
                  </w:r>
                  <w:r/>
                </w:p>
                <w:p>
                  <w:pPr>
                    <w:ind w:left="113" w:right="125"/>
                    <w:spacing w:before="3"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c）Web GUI采用BMC端口直连，平</w:t>
                  </w:r>
                  <w:r>
                    <w:rPr>
                      <w:rFonts w:hint="eastAsia" w:ascii="宋体" w:hAnsi="宋体" w:eastAsia="宋体" w:cs="宋体"/>
                      <w:i/>
                      <w:iCs/>
                      <w:color w:val="auto"/>
                      <w:spacing w:val="-3"/>
                      <w:sz w:val="24"/>
                      <w:szCs w:val="24"/>
                      <w:highlight w:val="none"/>
                      <w:u w:val="single"/>
                      <w:lang w:eastAsia="en-US"/>
                    </w:rPr>
                    <w:t xml:space="preserve">均响应时间为不大于1s</w:t>
                  </w:r>
                  <w:r/>
                </w:p>
              </w:tc>
            </w:tr>
            <w:tr>
              <w:trPr>
                <w:jc w:val="center"/>
                <w:trHeight w:val="6072"/>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right="214"/>
                    <w:jc w:val="center"/>
                    <w:spacing w:before="58" w:line="247"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BIOS 固件基础功能</w:t>
                  </w:r>
                  <w:r/>
                </w:p>
              </w:tc>
              <w:tc>
                <w:tcPr>
                  <w:shd w:val="clear" w:color="auto" w:fill="auto"/>
                  <w:tcW w:w="4535" w:type="dxa"/>
                  <w:vAlign w:val="center"/>
                  <w:textDirection w:val="lrTb"/>
                  <w:noWrap w:val="false"/>
                </w:tcPr>
                <w:p>
                  <w:pPr>
                    <w:ind w:left="113" w:right="109"/>
                    <w:spacing w:before="30" w:line="23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a）支持查看固件版本、内存信息、</w:t>
                  </w:r>
                  <w:r>
                    <w:rPr>
                      <w:rFonts w:hint="eastAsia" w:ascii="宋体" w:hAnsi="宋体" w:eastAsia="宋体" w:cs="宋体"/>
                      <w:i/>
                      <w:iCs/>
                      <w:color w:val="auto"/>
                      <w:spacing w:val="-1"/>
                      <w:sz w:val="24"/>
                      <w:szCs w:val="24"/>
                      <w:highlight w:val="none"/>
                      <w:u w:val="single"/>
                    </w:rPr>
                    <w:t xml:space="preserve">主板信息、处理器信息和系统时间</w:t>
                  </w:r>
                  <w:r>
                    <w:rPr>
                      <w:rFonts w:hint="eastAsia" w:ascii="宋体" w:hAnsi="宋体" w:eastAsia="宋体" w:cs="宋体"/>
                      <w:i/>
                      <w:iCs/>
                      <w:color w:val="auto"/>
                      <w:spacing w:val="-2"/>
                      <w:sz w:val="24"/>
                      <w:szCs w:val="24"/>
                      <w:highlight w:val="none"/>
                      <w:u w:val="single"/>
                    </w:rPr>
                    <w:t xml:space="preserve">信息功能；</w:t>
                  </w:r>
                  <w:r/>
                </w:p>
                <w:p>
                  <w:pPr>
                    <w:ind w:left="112" w:right="103" w:firstLine="2"/>
                    <w:spacing w:before="7" w:line="23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b）支持上电初始化界面显示CPU信</w:t>
                  </w:r>
                  <w:r>
                    <w:rPr>
                      <w:rFonts w:hint="eastAsia" w:ascii="宋体" w:hAnsi="宋体" w:eastAsia="宋体" w:cs="宋体"/>
                      <w:i/>
                      <w:iCs/>
                      <w:color w:val="auto"/>
                      <w:spacing w:val="-1"/>
                      <w:sz w:val="24"/>
                      <w:szCs w:val="24"/>
                      <w:highlight w:val="none"/>
                      <w:u w:val="single"/>
                    </w:rPr>
                    <w:t xml:space="preserve">息、内存信息、固件版本和部分快捷键信息功能；</w:t>
                  </w:r>
                  <w:r/>
                </w:p>
                <w:p>
                  <w:pPr>
                    <w:ind w:left="119" w:right="103" w:hanging="6"/>
                    <w:spacing w:before="6"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c）支持设置界面中英文显示切换功</w:t>
                  </w:r>
                  <w:r>
                    <w:rPr>
                      <w:rFonts w:hint="eastAsia" w:ascii="宋体" w:hAnsi="宋体" w:eastAsia="宋体" w:cs="宋体"/>
                      <w:i/>
                      <w:iCs/>
                      <w:color w:val="auto"/>
                      <w:spacing w:val="-7"/>
                      <w:sz w:val="24"/>
                      <w:szCs w:val="24"/>
                      <w:highlight w:val="none"/>
                      <w:u w:val="single"/>
                    </w:rPr>
                    <w:t xml:space="preserve">能；</w:t>
                  </w:r>
                  <w:r/>
                </w:p>
                <w:p>
                  <w:pPr>
                    <w:ind w:left="114" w:right="169" w:hanging="1"/>
                    <w:spacing w:before="2"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d）支持查看PCIe设备信息，SATA设备信息功能；</w:t>
                  </w:r>
                  <w:r/>
                </w:p>
                <w:p>
                  <w:pPr>
                    <w:ind w:left="114" w:right="124" w:hanging="1"/>
                    <w:spacing w:before="5"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e）支持操作系统安装和引导功能，</w:t>
                  </w:r>
                  <w:r>
                    <w:rPr>
                      <w:rFonts w:hint="eastAsia" w:ascii="宋体" w:hAnsi="宋体" w:eastAsia="宋体" w:cs="宋体"/>
                      <w:i/>
                      <w:iCs/>
                      <w:color w:val="auto"/>
                      <w:spacing w:val="-1"/>
                      <w:sz w:val="24"/>
                      <w:szCs w:val="24"/>
                      <w:highlight w:val="none"/>
                      <w:u w:val="single"/>
                    </w:rPr>
                    <w:t xml:space="preserve">应并向操作系统提供计算机主板信</w:t>
                  </w:r>
                  <w:r>
                    <w:rPr>
                      <w:rFonts w:hint="eastAsia" w:ascii="宋体" w:hAnsi="宋体" w:eastAsia="宋体" w:cs="宋体"/>
                      <w:i/>
                      <w:iCs/>
                      <w:color w:val="auto"/>
                      <w:spacing w:val="-2"/>
                      <w:sz w:val="24"/>
                      <w:szCs w:val="24"/>
                      <w:highlight w:val="none"/>
                      <w:u w:val="single"/>
                    </w:rPr>
                    <w:t xml:space="preserve">息和服务接口；</w:t>
                  </w:r>
                  <w:r/>
                </w:p>
                <w:p>
                  <w:pPr>
                    <w:ind w:left="123" w:right="103" w:hanging="9"/>
                    <w:spacing w:before="6"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f）支持设置启动顺序，并按照设置</w:t>
                  </w:r>
                  <w:r>
                    <w:rPr>
                      <w:rFonts w:hint="eastAsia" w:ascii="宋体" w:hAnsi="宋体" w:eastAsia="宋体" w:cs="宋体"/>
                      <w:i/>
                      <w:iCs/>
                      <w:color w:val="auto"/>
                      <w:spacing w:val="-2"/>
                      <w:sz w:val="24"/>
                      <w:szCs w:val="24"/>
                      <w:highlight w:val="none"/>
                      <w:u w:val="single"/>
                    </w:rPr>
                    <w:t xml:space="preserve">的启动顺序启动功能；</w:t>
                  </w:r>
                  <w:r/>
                </w:p>
                <w:p>
                  <w:pPr>
                    <w:ind w:left="113"/>
                    <w:spacing w:before="3"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g）支持安全启动功能；</w:t>
                  </w:r>
                  <w:r/>
                </w:p>
                <w:p>
                  <w:pPr>
                    <w:ind w:left="134" w:right="103" w:hanging="18"/>
                    <w:spacing w:before="25"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h）支持设置口令、修改口令、验证</w:t>
                  </w:r>
                  <w:r>
                    <w:rPr>
                      <w:rFonts w:hint="eastAsia" w:ascii="宋体" w:hAnsi="宋体" w:eastAsia="宋体" w:cs="宋体"/>
                      <w:i/>
                      <w:iCs/>
                      <w:color w:val="auto"/>
                      <w:spacing w:val="-6"/>
                      <w:sz w:val="24"/>
                      <w:szCs w:val="24"/>
                      <w:highlight w:val="none"/>
                      <w:u w:val="single"/>
                    </w:rPr>
                    <w:t xml:space="preserve">口令功能；</w:t>
                  </w:r>
                  <w:r/>
                </w:p>
                <w:p>
                  <w:pPr>
                    <w:ind w:left="118" w:right="103" w:firstLine="25"/>
                    <w:spacing w:before="6"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i）支持板载显示控制或独立显卡的</w:t>
                  </w:r>
                  <w:r>
                    <w:rPr>
                      <w:rFonts w:hint="eastAsia" w:ascii="宋体" w:hAnsi="宋体" w:eastAsia="宋体" w:cs="宋体"/>
                      <w:i/>
                      <w:iCs/>
                      <w:color w:val="auto"/>
                      <w:spacing w:val="-2"/>
                      <w:sz w:val="24"/>
                      <w:szCs w:val="24"/>
                      <w:highlight w:val="none"/>
                      <w:u w:val="single"/>
                    </w:rPr>
                    <w:t xml:space="preserve">显示控制功能；</w:t>
                  </w:r>
                  <w:r/>
                </w:p>
                <w:p>
                  <w:pPr>
                    <w:ind w:left="123"/>
                    <w:spacing w:before="3"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j）支持RAID识别和启动功能；</w:t>
                  </w:r>
                  <w:r/>
                </w:p>
                <w:p>
                  <w:pPr>
                    <w:ind w:left="117"/>
                    <w:spacing w:before="25"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k）支持串口重定向功能；</w:t>
                  </w:r>
                  <w:r/>
                </w:p>
                <w:p>
                  <w:pPr>
                    <w:ind w:left="144"/>
                    <w:spacing w:before="25"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l）支持固件更新功能；</w:t>
                  </w:r>
                  <w:r/>
                </w:p>
                <w:p>
                  <w:pPr>
                    <w:ind w:left="114" w:right="168" w:hanging="5"/>
                    <w:spacing w:before="28" w:line="23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m）支持</w:t>
                  </w:r>
                  <w:r>
                    <w:rPr>
                      <w:rFonts w:hint="eastAsia" w:ascii="宋体" w:hAnsi="宋体" w:eastAsia="宋体" w:cs="宋体"/>
                      <w:i/>
                      <w:iCs/>
                      <w:color w:val="auto"/>
                      <w:sz w:val="24"/>
                      <w:szCs w:val="24"/>
                      <w:highlight w:val="none"/>
                      <w:u w:val="single"/>
                    </w:rPr>
                    <w:t xml:space="preserve">BIOS</w:t>
                  </w:r>
                  <w:r>
                    <w:rPr>
                      <w:rFonts w:hint="eastAsia" w:ascii="宋体" w:hAnsi="宋体" w:eastAsia="宋体" w:cs="宋体"/>
                      <w:i/>
                      <w:iCs/>
                      <w:color w:val="auto"/>
                      <w:spacing w:val="1"/>
                      <w:sz w:val="24"/>
                      <w:szCs w:val="24"/>
                      <w:highlight w:val="none"/>
                      <w:u w:val="single"/>
                    </w:rPr>
                    <w:t xml:space="preserve">固件设置的恢复出厂</w:t>
                  </w:r>
                  <w:r>
                    <w:rPr>
                      <w:rFonts w:hint="eastAsia" w:ascii="宋体" w:hAnsi="宋体" w:eastAsia="宋体" w:cs="宋体"/>
                      <w:i/>
                      <w:iCs/>
                      <w:color w:val="auto"/>
                      <w:spacing w:val="-3"/>
                      <w:sz w:val="24"/>
                      <w:szCs w:val="24"/>
                      <w:highlight w:val="none"/>
                      <w:u w:val="single"/>
                    </w:rPr>
                    <w:t xml:space="preserve">功能；</w:t>
                  </w:r>
                  <w:r/>
                </w:p>
                <w:p>
                  <w:pPr>
                    <w:ind w:left="116"/>
                    <w:spacing w:before="5" w:line="20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n）支持网络引导启用和关闭功能</w:t>
                  </w:r>
                  <w:r/>
                </w:p>
              </w:tc>
            </w:tr>
            <w:tr>
              <w:trPr>
                <w:jc w:val="center"/>
                <w:trHeight w:val="485"/>
              </w:trPr>
              <w:tc>
                <w:tcPr>
                  <w:shd w:val="clear" w:color="auto" w:fill="auto"/>
                  <w:tcW w:w="719" w:type="dxa"/>
                  <w:vAlign w:val="center"/>
                  <w:textDirection w:val="lrTb"/>
                  <w:noWrap w:val="false"/>
                </w:tcPr>
                <w:p>
                  <w:pPr>
                    <w:ind w:left="247"/>
                    <w:spacing w:before="155"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67</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远程控制</w:t>
                  </w:r>
                  <w:r/>
                </w:p>
              </w:tc>
              <w:tc>
                <w:tcPr>
                  <w:shd w:val="clear" w:color="auto" w:fill="auto"/>
                  <w:tcW w:w="4535" w:type="dxa"/>
                  <w:vAlign w:val="center"/>
                  <w:textDirection w:val="lrTb"/>
                  <w:noWrap w:val="false"/>
                </w:tcPr>
                <w:p>
                  <w:pPr>
                    <w:ind w:left="119"/>
                    <w:spacing w:before="162"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支持远程关机和重新启动功能</w:t>
                  </w:r>
                  <w:r/>
                </w:p>
              </w:tc>
            </w:tr>
            <w:tr>
              <w:trPr>
                <w:jc w:val="center"/>
                <w:trHeight w:val="725"/>
              </w:trPr>
              <w:tc>
                <w:tcPr>
                  <w:shd w:val="clear" w:color="auto" w:fill="auto"/>
                  <w:tcW w:w="719" w:type="dxa"/>
                  <w:vAlign w:val="center"/>
                  <w:textDirection w:val="lrTb"/>
                  <w:noWrap w:val="false"/>
                </w:tcPr>
                <w:p>
                  <w:pPr>
                    <w:ind w:left="247"/>
                    <w:spacing w:before="277"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68</w:t>
                  </w:r>
                  <w:r/>
                </w:p>
              </w:tc>
              <w:tc>
                <w:tcPr>
                  <w:shd w:val="clear" w:color="auto" w:fill="auto"/>
                  <w:tcBorders>
                    <w:bottom w:val="none" w:color="000000" w:sz="4" w:space="0"/>
                  </w:tcBorders>
                  <w:tcW w:w="1239" w:type="dxa"/>
                  <w:vAlign w:val="center"/>
                  <w:vMerge w:val="restart"/>
                  <w:textDirection w:val="lrTb"/>
                  <w:noWrap w:val="false"/>
                </w:tcPr>
                <w:p>
                  <w:pPr>
                    <w:jc w:val="center"/>
                    <w:spacing w:before="5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操作</w:t>
                  </w:r>
                  <w:r/>
                </w:p>
                <w:p>
                  <w:pPr>
                    <w:ind w:left="192"/>
                    <w:jc w:val="center"/>
                    <w:spacing w:before="23" w:line="22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系统</w:t>
                  </w:r>
                  <w:r/>
                </w:p>
                <w:p>
                  <w:pPr>
                    <w:ind w:left="188"/>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及驱</w:t>
                  </w:r>
                  <w:r/>
                </w:p>
                <w:p>
                  <w:pPr>
                    <w:ind w:left="189"/>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动功</w:t>
                  </w:r>
                  <w:r/>
                </w:p>
                <w:p>
                  <w:pPr>
                    <w:ind w:left="285"/>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操作系统及驱动的升级</w:t>
                  </w:r>
                  <w:r/>
                </w:p>
              </w:tc>
              <w:tc>
                <w:tcPr>
                  <w:shd w:val="clear" w:color="auto" w:fill="auto"/>
                  <w:tcW w:w="4535" w:type="dxa"/>
                  <w:vAlign w:val="center"/>
                  <w:textDirection w:val="lrTb"/>
                  <w:noWrap w:val="false"/>
                </w:tcPr>
                <w:p>
                  <w:pPr>
                    <w:ind w:left="112" w:right="41" w:firstLine="7"/>
                    <w:spacing w:before="164" w:line="24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 xml:space="preserve">支持通过网络、闪存盘对操作系统、</w:t>
                  </w:r>
                  <w:r>
                    <w:rPr>
                      <w:rFonts w:hint="eastAsia" w:ascii="宋体" w:hAnsi="宋体" w:eastAsia="宋体" w:cs="宋体"/>
                      <w:i/>
                      <w:iCs/>
                      <w:color w:val="auto"/>
                      <w:spacing w:val="-1"/>
                      <w:sz w:val="24"/>
                      <w:szCs w:val="24"/>
                      <w:highlight w:val="none"/>
                      <w:u w:val="single"/>
                    </w:rPr>
                    <w:t xml:space="preserve">驱动进行升级</w:t>
                  </w:r>
                  <w:r/>
                </w:p>
              </w:tc>
            </w:tr>
            <w:tr>
              <w:trPr>
                <w:jc w:val="center"/>
                <w:trHeight w:val="725"/>
              </w:trPr>
              <w:tc>
                <w:tcPr>
                  <w:shd w:val="clear" w:color="auto" w:fill="auto"/>
                  <w:tcW w:w="719" w:type="dxa"/>
                  <w:vAlign w:val="center"/>
                  <w:textDirection w:val="lrTb"/>
                  <w:noWrap w:val="false"/>
                </w:tcPr>
                <w:p>
                  <w:pPr>
                    <w:ind w:left="247"/>
                    <w:spacing w:before="277"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69</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操作系统</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及驱动的</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备份还原</w:t>
                  </w:r>
                  <w:r/>
                </w:p>
              </w:tc>
              <w:tc>
                <w:tcPr>
                  <w:shd w:val="clear" w:color="auto" w:fill="auto"/>
                  <w:tcW w:w="4535" w:type="dxa"/>
                  <w:vAlign w:val="center"/>
                  <w:textDirection w:val="lrTb"/>
                  <w:noWrap w:val="false"/>
                </w:tcPr>
                <w:p>
                  <w:pPr>
                    <w:ind w:left="119"/>
                    <w:spacing w:before="283"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支持操作系统备份及还原功能</w:t>
                  </w:r>
                  <w:r/>
                </w:p>
              </w:tc>
            </w:tr>
            <w:tr>
              <w:trPr>
                <w:jc w:val="center"/>
                <w:trHeight w:val="967"/>
              </w:trPr>
              <w:tc>
                <w:tcPr>
                  <w:shd w:val="clear" w:color="auto" w:fill="auto"/>
                  <w:tcW w:w="719" w:type="dxa"/>
                  <w:vAlign w:val="center"/>
                  <w:textDirection w:val="lrTb"/>
                  <w:noWrap w:val="false"/>
                </w:tcPr>
                <w:p>
                  <w:pPr>
                    <w:ind w:left="248"/>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70</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操作系统功能</w:t>
                  </w:r>
                  <w:r/>
                </w:p>
              </w:tc>
              <w:tc>
                <w:tcPr>
                  <w:shd w:val="clear" w:color="auto" w:fill="auto"/>
                  <w:tcW w:w="4535" w:type="dxa"/>
                  <w:vAlign w:val="center"/>
                  <w:textDirection w:val="lrTb"/>
                  <w:noWrap w:val="false"/>
                </w:tcPr>
                <w:p>
                  <w:pPr>
                    <w:ind w:left="113" w:right="103" w:firstLine="1"/>
                    <w:spacing w:before="44"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支持访问控制、安全审计、网络</w:t>
                  </w:r>
                  <w:r>
                    <w:rPr>
                      <w:rFonts w:hint="eastAsia" w:ascii="宋体" w:hAnsi="宋体" w:eastAsia="宋体" w:cs="宋体"/>
                      <w:i/>
                      <w:iCs/>
                      <w:color w:val="auto"/>
                      <w:spacing w:val="-1"/>
                      <w:sz w:val="24"/>
                      <w:szCs w:val="24"/>
                      <w:highlight w:val="none"/>
                      <w:u w:val="single"/>
                    </w:rPr>
                    <w:t xml:space="preserve">接入鉴别等功能；</w:t>
                  </w:r>
                  <w:r/>
                </w:p>
                <w:p>
                  <w:pPr>
                    <w:ind w:left="117" w:right="259" w:hanging="2"/>
                    <w:spacing w:before="6"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操作系统其他功能应满足操作系统政府采购需求标准中加*的指</w:t>
                  </w:r>
                  <w:r>
                    <w:rPr>
                      <w:rFonts w:hint="eastAsia" w:ascii="宋体" w:hAnsi="宋体" w:eastAsia="宋体" w:cs="宋体"/>
                      <w:i/>
                      <w:iCs/>
                      <w:color w:val="auto"/>
                      <w:spacing w:val="-2"/>
                      <w:sz w:val="24"/>
                      <w:szCs w:val="24"/>
                      <w:highlight w:val="none"/>
                      <w:u w:val="single"/>
                    </w:rPr>
                    <w:t xml:space="preserve">标要求</w:t>
                  </w:r>
                  <w:r/>
                </w:p>
              </w:tc>
            </w:tr>
            <w:tr>
              <w:trPr>
                <w:jc w:val="center"/>
                <w:trHeight w:val="964"/>
              </w:trPr>
              <w:tc>
                <w:tcPr>
                  <w:shd w:val="clear" w:color="auto" w:fill="auto"/>
                  <w:tcW w:w="719" w:type="dxa"/>
                  <w:vAlign w:val="center"/>
                  <w:textDirection w:val="lrTb"/>
                  <w:noWrap w:val="false"/>
                </w:tcPr>
                <w:p>
                  <w:pPr>
                    <w:ind w:left="248"/>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71</w:t>
                  </w:r>
                  <w:r/>
                </w:p>
              </w:tc>
              <w:tc>
                <w:tcPr>
                  <w:shd w:val="clear" w:color="auto" w:fill="auto"/>
                  <w:tcW w:w="1239" w:type="dxa"/>
                  <w:vAlign w:val="center"/>
                  <w:textDirection w:val="lrTb"/>
                  <w:noWrap w:val="false"/>
                </w:tcPr>
                <w:p>
                  <w:pPr>
                    <w:ind w:left="188" w:right="141" w:hanging="49"/>
                    <w:jc w:val="center"/>
                    <w:spacing w:before="38"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中文</w:t>
                  </w:r>
                  <w:r>
                    <w:rPr>
                      <w:rFonts w:hint="eastAsia" w:ascii="宋体" w:hAnsi="宋体" w:eastAsia="宋体" w:cs="宋体"/>
                      <w:color w:val="auto"/>
                      <w:spacing w:val="-4"/>
                      <w:sz w:val="24"/>
                      <w:szCs w:val="24"/>
                      <w:highlight w:val="none"/>
                      <w:lang w:eastAsia="en-US"/>
                    </w:rPr>
                    <w:t xml:space="preserve">信息处理</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中文信息处理</w:t>
                  </w:r>
                  <w:r/>
                </w:p>
              </w:tc>
              <w:tc>
                <w:tcPr>
                  <w:shd w:val="clear" w:color="auto" w:fill="auto"/>
                  <w:tcW w:w="4535" w:type="dxa"/>
                  <w:vAlign w:val="center"/>
                  <w:textDirection w:val="lrTb"/>
                  <w:noWrap w:val="false"/>
                </w:tcPr>
                <w:p>
                  <w:pPr>
                    <w:spacing w:line="33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3"/>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符合GB18030的有关规定</w:t>
                  </w:r>
                  <w:r/>
                </w:p>
              </w:tc>
            </w:tr>
            <w:tr>
              <w:trPr>
                <w:jc w:val="center"/>
                <w:trHeight w:val="725"/>
              </w:trPr>
              <w:tc>
                <w:tcPr>
                  <w:shd w:val="clear" w:color="auto" w:fill="auto"/>
                  <w:tcW w:w="719" w:type="dxa"/>
                  <w:vAlign w:val="center"/>
                  <w:textDirection w:val="lrTb"/>
                  <w:noWrap w:val="false"/>
                </w:tcPr>
                <w:p>
                  <w:pPr>
                    <w:ind w:left="248"/>
                    <w:spacing w:before="273"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72</w:t>
                  </w:r>
                  <w:r/>
                </w:p>
              </w:tc>
              <w:tc>
                <w:tcPr>
                  <w:shd w:val="clear" w:color="auto" w:fill="auto"/>
                  <w:tcBorders>
                    <w:bottom w:val="none" w:color="000000" w:sz="4" w:space="0"/>
                  </w:tcBorders>
                  <w:tcW w:w="1239" w:type="dxa"/>
                  <w:vAlign w:val="center"/>
                  <w:vMerge w:val="restart"/>
                  <w:textDirection w:val="lrTb"/>
                  <w:noWrap w:val="false"/>
                </w:tcPr>
                <w:p>
                  <w:pPr>
                    <w:ind w:right="186"/>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机柜</w:t>
                  </w:r>
                  <w:r>
                    <w:rPr>
                      <w:rFonts w:hint="eastAsia" w:ascii="宋体" w:hAnsi="宋体" w:eastAsia="宋体" w:cs="宋体"/>
                      <w:color w:val="auto"/>
                      <w:spacing w:val="-5"/>
                      <w:sz w:val="24"/>
                      <w:szCs w:val="24"/>
                      <w:highlight w:val="none"/>
                      <w:lang w:eastAsia="en-US"/>
                    </w:rPr>
                    <w:t xml:space="preserve">功能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机柜管理功能</w:t>
                  </w:r>
                  <w:r/>
                </w:p>
              </w:tc>
              <w:tc>
                <w:tcPr>
                  <w:shd w:val="clear" w:color="auto" w:fill="auto"/>
                  <w:tcW w:w="4535" w:type="dxa"/>
                  <w:vAlign w:val="center"/>
                  <w:textDirection w:val="lrTb"/>
                  <w:noWrap w:val="false"/>
                </w:tcPr>
                <w:p>
                  <w:pPr>
                    <w:ind w:left="114" w:right="168" w:hanging="2"/>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机柜管理系统包括服务器节点BMC管理系统、机柜管理系统或交换节</w:t>
                  </w:r>
                  <w:r>
                    <w:rPr>
                      <w:rFonts w:hint="eastAsia" w:ascii="宋体" w:hAnsi="宋体" w:eastAsia="宋体" w:cs="宋体"/>
                      <w:i/>
                      <w:iCs/>
                      <w:color w:val="auto"/>
                      <w:spacing w:val="-2"/>
                      <w:sz w:val="24"/>
                      <w:szCs w:val="24"/>
                      <w:highlight w:val="none"/>
                      <w:u w:val="single"/>
                    </w:rPr>
                    <w:t xml:space="preserve">点管理系统</w:t>
                  </w:r>
                  <w:r/>
                </w:p>
              </w:tc>
            </w:tr>
            <w:tr>
              <w:trPr>
                <w:jc w:val="center"/>
                <w:trHeight w:val="725"/>
              </w:trPr>
              <w:tc>
                <w:tcPr>
                  <w:shd w:val="clear" w:color="auto" w:fill="auto"/>
                  <w:tcW w:w="719" w:type="dxa"/>
                  <w:vAlign w:val="center"/>
                  <w:textDirection w:val="lrTb"/>
                  <w:noWrap w:val="false"/>
                </w:tcPr>
                <w:p>
                  <w:pPr>
                    <w:ind w:left="248"/>
                    <w:spacing w:before="273"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机柜通信方式</w:t>
                  </w:r>
                  <w:r/>
                </w:p>
              </w:tc>
              <w:tc>
                <w:tcPr>
                  <w:shd w:val="clear" w:color="auto" w:fill="auto"/>
                  <w:tcW w:w="4535" w:type="dxa"/>
                  <w:vAlign w:val="center"/>
                  <w:textDirection w:val="lrTb"/>
                  <w:noWrap w:val="false"/>
                </w:tcPr>
                <w:p>
                  <w:pPr>
                    <w:ind w:left="112" w:right="168" w:firstLine="1"/>
                    <w:spacing w:before="39" w:line="23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若配备机柜管理板可实现包括：资产管理、电源模块、功耗管理和液冷漏液检测等功能</w:t>
                  </w:r>
                  <w:r/>
                </w:p>
              </w:tc>
            </w:tr>
            <w:tr>
              <w:trPr>
                <w:jc w:val="center"/>
                <w:trHeight w:val="725"/>
              </w:trPr>
              <w:tc>
                <w:tcPr>
                  <w:shd w:val="clear" w:color="auto" w:fill="auto"/>
                  <w:tcW w:w="719" w:type="dxa"/>
                  <w:vAlign w:val="center"/>
                  <w:textDirection w:val="lrTb"/>
                  <w:noWrap w:val="false"/>
                </w:tcPr>
                <w:p>
                  <w:pPr>
                    <w:ind w:left="248"/>
                    <w:spacing w:before="27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74</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多集群作业管理</w:t>
                  </w:r>
                  <w:r/>
                </w:p>
              </w:tc>
              <w:tc>
                <w:tcPr>
                  <w:shd w:val="clear" w:color="auto" w:fill="auto"/>
                  <w:tcW w:w="4535" w:type="dxa"/>
                  <w:vAlign w:val="center"/>
                  <w:textDirection w:val="lrTb"/>
                  <w:noWrap w:val="false"/>
                </w:tcPr>
                <w:p>
                  <w:pPr>
                    <w:ind w:left="119"/>
                    <w:spacing w:before="280"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支持多集群作业管理功能</w:t>
                  </w:r>
                  <w:r/>
                </w:p>
              </w:tc>
            </w:tr>
            <w:tr>
              <w:trPr>
                <w:jc w:val="center"/>
                <w:trHeight w:val="115"/>
              </w:trPr>
              <w:tc>
                <w:tcPr>
                  <w:shd w:val="clear" w:color="auto" w:fill="auto"/>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75</w:t>
                  </w:r>
                  <w:r/>
                </w:p>
              </w:tc>
              <w:tc>
                <w:tcPr>
                  <w:shd w:val="clear" w:color="auto" w:fill="auto"/>
                  <w:tcW w:w="1239" w:type="dxa"/>
                  <w:vAlign w:val="center"/>
                  <w:textDirection w:val="lrTb"/>
                  <w:noWrap w:val="false"/>
                </w:tcPr>
                <w:p>
                  <w:pPr>
                    <w:ind w:right="174"/>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关键</w:t>
                  </w:r>
                  <w:r>
                    <w:rPr>
                      <w:rFonts w:hint="eastAsia" w:ascii="宋体" w:hAnsi="宋体" w:eastAsia="宋体" w:cs="宋体"/>
                      <w:color w:val="auto"/>
                      <w:spacing w:val="-3"/>
                      <w:sz w:val="24"/>
                      <w:szCs w:val="24"/>
                      <w:highlight w:val="none"/>
                      <w:lang w:eastAsia="en-US"/>
                    </w:rPr>
                    <w:t xml:space="preserve">部件安全要求</w:t>
                  </w:r>
                  <w:r/>
                </w:p>
              </w:tc>
              <w:tc>
                <w:tcPr>
                  <w:shd w:val="clear" w:color="auto" w:fill="auto"/>
                  <w:tcW w:w="1335" w:type="dxa"/>
                  <w:vAlign w:val="center"/>
                  <w:textDirection w:val="lrTb"/>
                  <w:noWrap w:val="false"/>
                </w:tcPr>
                <w:p>
                  <w:pPr>
                    <w:jc w:val="center"/>
                    <w:spacing w:before="59" w:line="223"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关键部件</w:t>
                  </w:r>
                  <w:r/>
                </w:p>
                <w:p>
                  <w:pPr>
                    <w:ind w:left="117"/>
                    <w:jc w:val="center"/>
                    <w:spacing w:before="7" w:line="23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安全要求</w:t>
                  </w:r>
                  <w:r/>
                </w:p>
              </w:tc>
              <w:tc>
                <w:tcPr>
                  <w:shd w:val="clear" w:color="auto" w:fill="auto"/>
                  <w:tcW w:w="4535" w:type="dxa"/>
                  <w:vAlign w:val="center"/>
                  <w:textDirection w:val="lrTb"/>
                  <w:noWrap w:val="false"/>
                </w:tcPr>
                <w:p>
                  <w:pPr>
                    <w:ind w:right="213"/>
                    <w:spacing w:before="58"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CPU和操作系统等关键部件应当符</w:t>
                  </w:r>
                  <w:r>
                    <w:rPr>
                      <w:rFonts w:hint="eastAsia" w:ascii="宋体" w:hAnsi="宋体" w:eastAsia="宋体" w:cs="宋体"/>
                      <w:i/>
                      <w:iCs/>
                      <w:color w:val="auto"/>
                      <w:spacing w:val="-1"/>
                      <w:sz w:val="24"/>
                      <w:szCs w:val="24"/>
                      <w:highlight w:val="none"/>
                      <w:u w:val="single"/>
                    </w:rPr>
                    <w:t xml:space="preserve">合安全可靠测评要求</w:t>
                  </w:r>
                  <w:r/>
                </w:p>
              </w:tc>
            </w:tr>
            <w:tr>
              <w:trPr>
                <w:jc w:val="center"/>
                <w:trHeight w:val="725"/>
              </w:trPr>
              <w:tc>
                <w:tcPr>
                  <w:shd w:val="clear" w:color="auto" w:fill="auto"/>
                  <w:tcW w:w="719" w:type="dxa"/>
                  <w:vAlign w:val="center"/>
                  <w:textDirection w:val="lrTb"/>
                  <w:noWrap w:val="false"/>
                </w:tcPr>
                <w:p>
                  <w:pPr>
                    <w:ind w:left="248"/>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76</w:t>
                  </w:r>
                  <w:r/>
                </w:p>
              </w:tc>
              <w:tc>
                <w:tcPr>
                  <w:shd w:val="clear" w:color="auto" w:fill="auto"/>
                  <w:tcBorders>
                    <w:bottom w:val="none" w:color="000000" w:sz="4" w:space="0"/>
                  </w:tcBorders>
                  <w:tcW w:w="1239" w:type="dxa"/>
                  <w:vAlign w:val="center"/>
                  <w:vMerge w:val="restart"/>
                  <w:textDirection w:val="lrTb"/>
                  <w:noWrap w:val="false"/>
                </w:tcPr>
                <w:p>
                  <w:pPr>
                    <w:ind w:left="186" w:right="141" w:hanging="47"/>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固件</w:t>
                  </w:r>
                  <w:r>
                    <w:rPr>
                      <w:rFonts w:hint="eastAsia" w:ascii="宋体" w:hAnsi="宋体" w:eastAsia="宋体" w:cs="宋体"/>
                      <w:color w:val="auto"/>
                      <w:spacing w:val="-3"/>
                      <w:sz w:val="24"/>
                      <w:szCs w:val="24"/>
                      <w:highlight w:val="none"/>
                      <w:lang w:eastAsia="en-US"/>
                    </w:rPr>
                    <w:t xml:space="preserve">安全要求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故障检测</w:t>
                  </w:r>
                  <w:r/>
                </w:p>
              </w:tc>
              <w:tc>
                <w:tcPr>
                  <w:shd w:val="clear" w:color="auto" w:fill="auto"/>
                  <w:tcW w:w="4535" w:type="dxa"/>
                  <w:vAlign w:val="center"/>
                  <w:textDirection w:val="lrTb"/>
                  <w:noWrap w:val="false"/>
                </w:tcPr>
                <w:p>
                  <w:pPr>
                    <w:ind w:left="113" w:right="103" w:firstLine="6"/>
                    <w:spacing w:before="39" w:line="23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支持故障检测功能，可以检测到具</w:t>
                  </w:r>
                  <w:r>
                    <w:rPr>
                      <w:rFonts w:hint="eastAsia" w:ascii="宋体" w:hAnsi="宋体" w:eastAsia="宋体" w:cs="宋体"/>
                      <w:i/>
                      <w:iCs/>
                      <w:color w:val="auto"/>
                      <w:spacing w:val="-5"/>
                      <w:sz w:val="24"/>
                      <w:szCs w:val="24"/>
                      <w:highlight w:val="none"/>
                      <w:u w:val="single"/>
                    </w:rPr>
                    <w:t xml:space="preserve">体的FRU（内存、硬盘等）的故障并</w:t>
                  </w:r>
                  <w:r>
                    <w:rPr>
                      <w:rFonts w:hint="eastAsia" w:ascii="宋体" w:hAnsi="宋体" w:eastAsia="宋体" w:cs="宋体"/>
                      <w:i/>
                      <w:iCs/>
                      <w:color w:val="auto"/>
                      <w:spacing w:val="-2"/>
                      <w:sz w:val="24"/>
                      <w:szCs w:val="24"/>
                      <w:highlight w:val="none"/>
                      <w:u w:val="single"/>
                    </w:rPr>
                    <w:t xml:space="preserve">发出告警</w:t>
                  </w:r>
                  <w:r/>
                </w:p>
              </w:tc>
            </w:tr>
            <w:tr>
              <w:trPr>
                <w:jc w:val="center"/>
                <w:trHeight w:val="964"/>
              </w:trPr>
              <w:tc>
                <w:tcPr>
                  <w:shd w:val="clear" w:color="auto" w:fill="auto"/>
                  <w:tcW w:w="719" w:type="dxa"/>
                  <w:vAlign w:val="center"/>
                  <w:textDirection w:val="lrTb"/>
                  <w:noWrap w:val="false"/>
                </w:tcPr>
                <w:p>
                  <w:pPr>
                    <w:ind w:left="248"/>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77</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内存故障</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智能预测</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和自愈修复</w:t>
                  </w:r>
                  <w:r/>
                </w:p>
              </w:tc>
              <w:tc>
                <w:tcPr>
                  <w:shd w:val="clear" w:color="auto" w:fill="auto"/>
                  <w:tcW w:w="4535" w:type="dxa"/>
                  <w:vAlign w:val="center"/>
                  <w:textDirection w:val="lrTb"/>
                  <w:noWrap w:val="false"/>
                </w:tcPr>
                <w:p>
                  <w:pPr>
                    <w:ind w:left="119"/>
                    <w:spacing w:before="39"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支持内存故障智能预测和自愈修</w:t>
                  </w:r>
                  <w:r/>
                </w:p>
                <w:p>
                  <w:pPr>
                    <w:ind w:left="117" w:right="168" w:hanging="2"/>
                    <w:spacing w:before="25"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复，提前自动硬隔离，避免内存故障引起的非预期宕机以及内存寿命</w:t>
                  </w:r>
                  <w:r>
                    <w:rPr>
                      <w:rFonts w:hint="eastAsia" w:ascii="宋体" w:hAnsi="宋体" w:eastAsia="宋体" w:cs="宋体"/>
                      <w:i/>
                      <w:iCs/>
                      <w:color w:val="auto"/>
                      <w:spacing w:val="-4"/>
                      <w:sz w:val="24"/>
                      <w:szCs w:val="24"/>
                      <w:highlight w:val="none"/>
                      <w:u w:val="single"/>
                    </w:rPr>
                    <w:t xml:space="preserve">的降低</w:t>
                  </w:r>
                  <w:r/>
                </w:p>
              </w:tc>
            </w:tr>
            <w:tr>
              <w:trPr>
                <w:jc w:val="center"/>
                <w:trHeight w:val="725"/>
              </w:trPr>
              <w:tc>
                <w:tcPr>
                  <w:shd w:val="clear" w:color="auto" w:fill="auto"/>
                  <w:tcW w:w="719" w:type="dxa"/>
                  <w:vAlign w:val="center"/>
                  <w:textDirection w:val="lrTb"/>
                  <w:noWrap w:val="false"/>
                </w:tcPr>
                <w:p>
                  <w:pPr>
                    <w:ind w:left="248"/>
                    <w:spacing w:before="275"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78</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硬盘故障智能预测</w:t>
                  </w:r>
                  <w:r/>
                </w:p>
              </w:tc>
              <w:tc>
                <w:tcPr>
                  <w:shd w:val="clear" w:color="auto" w:fill="auto"/>
                  <w:tcW w:w="4535" w:type="dxa"/>
                  <w:vAlign w:val="center"/>
                  <w:textDirection w:val="lrTb"/>
                  <w:noWrap w:val="false"/>
                </w:tcPr>
                <w:p>
                  <w:pPr>
                    <w:ind w:left="112" w:right="168" w:firstLine="7"/>
                    <w:spacing w:before="162"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支持硬盘故障智能预测，基于故障模型预测出硬盘的故障</w:t>
                  </w:r>
                  <w:r/>
                </w:p>
              </w:tc>
            </w:tr>
            <w:tr>
              <w:trPr>
                <w:jc w:val="center"/>
                <w:trHeight w:val="725"/>
              </w:trPr>
              <w:tc>
                <w:tcPr>
                  <w:shd w:val="clear" w:color="auto" w:fill="auto"/>
                  <w:tcW w:w="719" w:type="dxa"/>
                  <w:vAlign w:val="center"/>
                  <w:textDirection w:val="lrTb"/>
                  <w:noWrap w:val="false"/>
                </w:tcPr>
                <w:p>
                  <w:pPr>
                    <w:ind w:left="248"/>
                    <w:spacing w:before="27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79</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PCIe 链路故障智能诊断</w:t>
                  </w:r>
                  <w:r/>
                </w:p>
              </w:tc>
              <w:tc>
                <w:tcPr>
                  <w:shd w:val="clear" w:color="auto" w:fill="auto"/>
                  <w:tcW w:w="4535" w:type="dxa"/>
                  <w:vAlign w:val="center"/>
                  <w:textDirection w:val="lrTb"/>
                  <w:noWrap w:val="false"/>
                </w:tcPr>
                <w:p>
                  <w:pPr>
                    <w:ind w:left="125" w:right="103" w:hanging="6"/>
                    <w:spacing w:before="162"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支持PCIe链路故障智能诊断，判断</w:t>
                  </w:r>
                  <w:r>
                    <w:rPr>
                      <w:rFonts w:hint="eastAsia" w:ascii="宋体" w:hAnsi="宋体" w:eastAsia="宋体" w:cs="宋体"/>
                      <w:i/>
                      <w:iCs/>
                      <w:color w:val="auto"/>
                      <w:spacing w:val="2"/>
                      <w:sz w:val="24"/>
                      <w:szCs w:val="24"/>
                      <w:highlight w:val="none"/>
                      <w:u w:val="single"/>
                    </w:rPr>
                    <w:t xml:space="preserve">出现故障的</w:t>
                  </w:r>
                  <w:r>
                    <w:rPr>
                      <w:rFonts w:hint="eastAsia" w:ascii="宋体" w:hAnsi="宋体" w:eastAsia="宋体" w:cs="宋体"/>
                      <w:i/>
                      <w:iCs/>
                      <w:color w:val="auto"/>
                      <w:sz w:val="24"/>
                      <w:szCs w:val="24"/>
                      <w:highlight w:val="none"/>
                      <w:u w:val="single"/>
                    </w:rPr>
                    <w:t xml:space="preserve">PCIe</w:t>
                  </w:r>
                  <w:r>
                    <w:rPr>
                      <w:rFonts w:hint="eastAsia" w:ascii="宋体" w:hAnsi="宋体" w:eastAsia="宋体" w:cs="宋体"/>
                      <w:i/>
                      <w:iCs/>
                      <w:color w:val="auto"/>
                      <w:spacing w:val="2"/>
                      <w:sz w:val="24"/>
                      <w:szCs w:val="24"/>
                      <w:highlight w:val="none"/>
                      <w:u w:val="single"/>
                    </w:rPr>
                    <w:t xml:space="preserve">链路</w:t>
                  </w:r>
                  <w:r/>
                </w:p>
              </w:tc>
            </w:tr>
            <w:tr>
              <w:trPr>
                <w:jc w:val="center"/>
                <w:trHeight w:val="725"/>
              </w:trPr>
              <w:tc>
                <w:tcPr>
                  <w:shd w:val="clear" w:color="auto" w:fill="auto"/>
                  <w:tcW w:w="719" w:type="dxa"/>
                  <w:vAlign w:val="center"/>
                  <w:textDirection w:val="lrTb"/>
                  <w:noWrap w:val="false"/>
                </w:tcPr>
                <w:p>
                  <w:pPr>
                    <w:ind w:left="245"/>
                    <w:spacing w:before="27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80</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内存故障隔离</w:t>
                  </w:r>
                  <w:r/>
                </w:p>
              </w:tc>
              <w:tc>
                <w:tcPr>
                  <w:shd w:val="clear" w:color="auto" w:fill="auto"/>
                  <w:tcW w:w="4535" w:type="dxa"/>
                  <w:vAlign w:val="center"/>
                  <w:textDirection w:val="lrTb"/>
                  <w:noWrap w:val="false"/>
                </w:tcPr>
                <w:p>
                  <w:pPr>
                    <w:ind w:left="115" w:right="123" w:firstLine="4"/>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支持内存故障隔离，在内存产生CE</w:t>
                  </w:r>
                  <w:r>
                    <w:rPr>
                      <w:rFonts w:hint="eastAsia" w:ascii="宋体" w:hAnsi="宋体" w:eastAsia="宋体" w:cs="宋体"/>
                      <w:i/>
                      <w:iCs/>
                      <w:color w:val="auto"/>
                      <w:spacing w:val="-1"/>
                      <w:sz w:val="24"/>
                      <w:szCs w:val="24"/>
                      <w:highlight w:val="none"/>
                      <w:u w:val="single"/>
                    </w:rPr>
                    <w:t xml:space="preserve">故障时，内存地址被隔离成功，服务器正常运行，业务系统不中断</w:t>
                  </w:r>
                  <w:r/>
                </w:p>
              </w:tc>
            </w:tr>
            <w:tr>
              <w:trPr>
                <w:jc w:val="center"/>
                <w:trHeight w:val="964"/>
              </w:trPr>
              <w:tc>
                <w:tcPr>
                  <w:shd w:val="clear" w:color="auto" w:fill="auto"/>
                  <w:tcW w:w="719" w:type="dxa"/>
                  <w:vAlign w:val="center"/>
                  <w:textDirection w:val="lrTb"/>
                  <w:noWrap w:val="false"/>
                </w:tcPr>
                <w:p>
                  <w:pPr>
                    <w:ind w:left="245"/>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81</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内存、PCIe卡的故障</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精准告警功能</w:t>
                  </w:r>
                  <w:r/>
                </w:p>
              </w:tc>
              <w:tc>
                <w:tcPr>
                  <w:shd w:val="clear" w:color="auto" w:fill="auto"/>
                  <w:tcW w:w="4535" w:type="dxa"/>
                  <w:vAlign w:val="center"/>
                  <w:textDirection w:val="lrTb"/>
                  <w:noWrap w:val="false"/>
                </w:tcPr>
                <w:p>
                  <w:pPr>
                    <w:ind w:left="115" w:right="125" w:firstLine="4"/>
                    <w:spacing w:before="163" w:line="24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支持内存、PCIe卡的故障精准告警</w:t>
                  </w:r>
                  <w:r>
                    <w:rPr>
                      <w:rFonts w:hint="eastAsia" w:ascii="宋体" w:hAnsi="宋体" w:eastAsia="宋体" w:cs="宋体"/>
                      <w:i/>
                      <w:iCs/>
                      <w:color w:val="auto"/>
                      <w:spacing w:val="-1"/>
                      <w:sz w:val="24"/>
                      <w:szCs w:val="24"/>
                      <w:highlight w:val="none"/>
                      <w:u w:val="single"/>
                    </w:rPr>
                    <w:t xml:space="preserve">功能，触发告警并明确指示具体的</w:t>
                  </w:r>
                  <w:r>
                    <w:rPr>
                      <w:rFonts w:hint="eastAsia" w:ascii="宋体" w:hAnsi="宋体" w:eastAsia="宋体" w:cs="宋体"/>
                      <w:i/>
                      <w:iCs/>
                      <w:color w:val="auto"/>
                      <w:spacing w:val="-3"/>
                      <w:sz w:val="24"/>
                      <w:szCs w:val="24"/>
                      <w:highlight w:val="none"/>
                      <w:u w:val="single"/>
                    </w:rPr>
                    <w:t xml:space="preserve">故障位置</w:t>
                  </w:r>
                  <w:r/>
                </w:p>
              </w:tc>
            </w:tr>
            <w:tr>
              <w:trPr>
                <w:jc w:val="center"/>
                <w:trHeight w:val="725"/>
              </w:trPr>
              <w:tc>
                <w:tcPr>
                  <w:shd w:val="clear" w:color="auto" w:fill="auto"/>
                  <w:tcW w:w="719" w:type="dxa"/>
                  <w:vAlign w:val="center"/>
                  <w:textDirection w:val="lrTb"/>
                  <w:noWrap w:val="false"/>
                </w:tcPr>
                <w:p>
                  <w:pPr>
                    <w:ind w:left="245"/>
                    <w:spacing w:before="27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82</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异常下电</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关键数据保护</w:t>
                  </w:r>
                  <w:r/>
                </w:p>
              </w:tc>
              <w:tc>
                <w:tcPr>
                  <w:shd w:val="clear" w:color="auto" w:fill="auto"/>
                  <w:tcW w:w="4535" w:type="dxa"/>
                  <w:vAlign w:val="center"/>
                  <w:textDirection w:val="lrTb"/>
                  <w:noWrap w:val="false"/>
                </w:tcPr>
                <w:p>
                  <w:pPr>
                    <w:ind w:left="113" w:right="168" w:firstLine="5"/>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支持异常下电关键数据保护，支持数据备份恢复机制，防止系统异常掉电导致的数据文件丢失</w:t>
                  </w:r>
                  <w:r/>
                </w:p>
              </w:tc>
            </w:tr>
            <w:tr>
              <w:trPr>
                <w:jc w:val="center"/>
                <w:trHeight w:val="725"/>
              </w:trPr>
              <w:tc>
                <w:tcPr>
                  <w:shd w:val="clear" w:color="auto" w:fill="auto"/>
                  <w:tcW w:w="719" w:type="dxa"/>
                  <w:vAlign w:val="center"/>
                  <w:textDirection w:val="lrTb"/>
                  <w:noWrap w:val="false"/>
                </w:tcPr>
                <w:p>
                  <w:pPr>
                    <w:ind w:left="245"/>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BMC/BIOS固件双镜像保护</w:t>
                  </w:r>
                  <w:r/>
                </w:p>
              </w:tc>
              <w:tc>
                <w:tcPr>
                  <w:shd w:val="clear" w:color="auto" w:fill="auto"/>
                  <w:tcW w:w="4535" w:type="dxa"/>
                  <w:vAlign w:val="center"/>
                  <w:textDirection w:val="lrTb"/>
                  <w:noWrap w:val="false"/>
                </w:tcPr>
                <w:p>
                  <w:pPr>
                    <w:ind w:left="113" w:right="103" w:firstLine="5"/>
                    <w:spacing w:before="42" w:line="24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支持BMC/BIOS固件双镜像保护，运</w:t>
                  </w:r>
                  <w:r>
                    <w:rPr>
                      <w:rFonts w:hint="eastAsia" w:ascii="宋体" w:hAnsi="宋体" w:eastAsia="宋体" w:cs="宋体"/>
                      <w:i/>
                      <w:iCs/>
                      <w:color w:val="auto"/>
                      <w:spacing w:val="-1"/>
                      <w:sz w:val="24"/>
                      <w:szCs w:val="24"/>
                      <w:highlight w:val="none"/>
                      <w:u w:val="single"/>
                    </w:rPr>
                    <w:t xml:space="preserve">行异常时自动切换到备份镜像运</w:t>
                  </w:r>
                  <w:r/>
                </w:p>
                <w:p>
                  <w:pPr>
                    <w:ind w:left="113"/>
                    <w:spacing w:line="19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行，提升系统稳定性</w:t>
                  </w:r>
                  <w:r/>
                </w:p>
              </w:tc>
            </w:tr>
            <w:tr>
              <w:trPr>
                <w:jc w:val="center"/>
                <w:trHeight w:val="964"/>
              </w:trPr>
              <w:tc>
                <w:tcPr>
                  <w:shd w:val="clear" w:color="auto" w:fill="auto"/>
                  <w:tcW w:w="719" w:type="dxa"/>
                  <w:vAlign w:val="center"/>
                  <w:textDirection w:val="lrTb"/>
                  <w:noWrap w:val="false"/>
                </w:tcPr>
                <w:p>
                  <w:pPr>
                    <w:jc w:val="center"/>
                    <w:spacing w:line="33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45"/>
                    <w:spacing w:before="58"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核重启隔离</w:t>
                  </w:r>
                  <w:r/>
                </w:p>
              </w:tc>
              <w:tc>
                <w:tcPr>
                  <w:shd w:val="clear" w:color="auto" w:fill="auto"/>
                  <w:tcW w:w="4535" w:type="dxa"/>
                  <w:vAlign w:val="center"/>
                  <w:textDirection w:val="lrTb"/>
                  <w:noWrap w:val="false"/>
                </w:tcPr>
                <w:p>
                  <w:pPr>
                    <w:ind w:left="119"/>
                    <w:spacing w:before="44"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支持CPU核发生不可纠正故障后，</w:t>
                  </w:r>
                  <w:r/>
                </w:p>
                <w:p>
                  <w:pPr>
                    <w:ind w:left="115" w:right="103" w:firstLine="2"/>
                    <w:spacing w:before="32" w:line="229"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重启后由</w:t>
                  </w:r>
                  <w:r>
                    <w:rPr>
                      <w:rFonts w:hint="eastAsia" w:ascii="宋体" w:hAnsi="宋体" w:eastAsia="宋体" w:cs="宋体"/>
                      <w:i/>
                      <w:iCs/>
                      <w:color w:val="auto"/>
                      <w:sz w:val="24"/>
                      <w:szCs w:val="24"/>
                      <w:highlight w:val="none"/>
                      <w:u w:val="single"/>
                    </w:rPr>
                    <w:t xml:space="preserve">BIOS</w:t>
                  </w:r>
                  <w:r>
                    <w:rPr>
                      <w:rFonts w:hint="eastAsia" w:ascii="宋体" w:hAnsi="宋体" w:eastAsia="宋体" w:cs="宋体"/>
                      <w:i/>
                      <w:iCs/>
                      <w:color w:val="auto"/>
                      <w:spacing w:val="1"/>
                      <w:sz w:val="24"/>
                      <w:szCs w:val="24"/>
                      <w:highlight w:val="none"/>
                      <w:u w:val="single"/>
                    </w:rPr>
                    <w:t xml:space="preserve">隔离该故障核，</w:t>
                  </w:r>
                  <w:r>
                    <w:rPr>
                      <w:rFonts w:hint="eastAsia" w:ascii="宋体" w:hAnsi="宋体" w:eastAsia="宋体" w:cs="宋体"/>
                      <w:i/>
                      <w:iCs/>
                      <w:color w:val="auto"/>
                      <w:sz w:val="24"/>
                      <w:szCs w:val="24"/>
                      <w:highlight w:val="none"/>
                      <w:u w:val="single"/>
                    </w:rPr>
                    <w:t xml:space="preserve">OS</w:t>
                  </w:r>
                  <w:r>
                    <w:rPr>
                      <w:rFonts w:hint="eastAsia" w:ascii="宋体" w:hAnsi="宋体" w:eastAsia="宋体" w:cs="宋体"/>
                      <w:i/>
                      <w:iCs/>
                      <w:color w:val="auto"/>
                      <w:spacing w:val="-3"/>
                      <w:sz w:val="24"/>
                      <w:szCs w:val="24"/>
                      <w:highlight w:val="none"/>
                      <w:u w:val="single"/>
                    </w:rPr>
                    <w:t xml:space="preserve">不可见，防止OS再次使用导致系统</w:t>
                  </w:r>
                  <w:r>
                    <w:rPr>
                      <w:rFonts w:hint="eastAsia" w:ascii="宋体" w:hAnsi="宋体" w:eastAsia="宋体" w:cs="宋体"/>
                      <w:i/>
                      <w:iCs/>
                      <w:color w:val="auto"/>
                      <w:spacing w:val="-5"/>
                      <w:sz w:val="24"/>
                      <w:szCs w:val="24"/>
                      <w:highlight w:val="none"/>
                      <w:u w:val="single"/>
                    </w:rPr>
                    <w:t xml:space="preserve">异常，核0除外</w:t>
                  </w:r>
                  <w:r/>
                </w:p>
              </w:tc>
            </w:tr>
            <w:tr>
              <w:trPr>
                <w:jc w:val="center"/>
                <w:trHeight w:val="248"/>
              </w:trPr>
              <w:tc>
                <w:tcPr>
                  <w:shd w:val="clear" w:color="auto" w:fill="auto"/>
                  <w:tcW w:w="719" w:type="dxa"/>
                  <w:vAlign w:val="center"/>
                  <w:textDirection w:val="lrTb"/>
                  <w:noWrap w:val="false"/>
                </w:tcPr>
                <w:p>
                  <w:pPr>
                    <w:ind w:left="245"/>
                    <w:spacing w:before="37" w:line="20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85</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内存地址隔离</w:t>
                  </w:r>
                  <w:r/>
                </w:p>
              </w:tc>
              <w:tc>
                <w:tcPr>
                  <w:shd w:val="clear" w:color="auto" w:fill="auto"/>
                  <w:tcW w:w="4535" w:type="dxa"/>
                  <w:vAlign w:val="center"/>
                  <w:textDirection w:val="lrTb"/>
                  <w:noWrap w:val="false"/>
                </w:tcPr>
                <w:p>
                  <w:pPr>
                    <w:ind w:left="112"/>
                    <w:spacing w:before="44" w:line="19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在硬件支持的情况下，支持故障内</w:t>
                  </w:r>
                  <w:r>
                    <w:rPr>
                      <w:rFonts w:hint="eastAsia" w:ascii="宋体" w:hAnsi="宋体" w:eastAsia="宋体" w:cs="宋体"/>
                      <w:i/>
                      <w:iCs/>
                      <w:color w:val="auto"/>
                      <w:spacing w:val="-2"/>
                      <w:sz w:val="24"/>
                      <w:szCs w:val="24"/>
                      <w:highlight w:val="none"/>
                      <w:u w:val="single"/>
                    </w:rPr>
                    <w:t xml:space="preserve">存地址重启后隔离</w:t>
                  </w:r>
                  <w:r/>
                </w:p>
              </w:tc>
            </w:tr>
            <w:tr>
              <w:trPr>
                <w:jc w:val="center"/>
                <w:trHeight w:val="725"/>
              </w:trPr>
              <w:tc>
                <w:tcPr>
                  <w:shd w:val="clear" w:color="auto" w:fill="auto"/>
                  <w:tcW w:w="719" w:type="dxa"/>
                  <w:vAlign w:val="center"/>
                  <w:textDirection w:val="lrTb"/>
                  <w:noWrap w:val="false"/>
                </w:tcPr>
                <w:p>
                  <w:pPr>
                    <w:ind w:left="245"/>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内存存储阵列替换</w:t>
                  </w:r>
                  <w:r/>
                </w:p>
              </w:tc>
              <w:tc>
                <w:tcPr>
                  <w:shd w:val="clear" w:color="auto" w:fill="auto"/>
                  <w:tcW w:w="4535" w:type="dxa"/>
                  <w:vAlign w:val="center"/>
                  <w:textDirection w:val="lrTb"/>
                  <w:noWrap w:val="false"/>
                </w:tcPr>
                <w:p>
                  <w:pPr>
                    <w:ind w:left="114" w:right="168" w:hanging="2"/>
                    <w:spacing w:before="157"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在硬件支持的情况下，支持故障内</w:t>
                  </w:r>
                  <w:r>
                    <w:rPr>
                      <w:rFonts w:hint="eastAsia" w:ascii="宋体" w:hAnsi="宋体" w:eastAsia="宋体" w:cs="宋体"/>
                      <w:i/>
                      <w:iCs/>
                      <w:color w:val="auto"/>
                      <w:spacing w:val="-2"/>
                      <w:sz w:val="24"/>
                      <w:szCs w:val="24"/>
                      <w:highlight w:val="none"/>
                      <w:u w:val="single"/>
                    </w:rPr>
                    <w:t xml:space="preserve">存存储阵列替换</w:t>
                  </w:r>
                  <w:r/>
                </w:p>
              </w:tc>
            </w:tr>
            <w:tr>
              <w:trPr>
                <w:jc w:val="center"/>
                <w:trHeight w:val="725"/>
              </w:trPr>
              <w:tc>
                <w:tcPr>
                  <w:shd w:val="clear" w:color="auto" w:fill="auto"/>
                  <w:tcW w:w="719" w:type="dxa"/>
                  <w:vAlign w:val="center"/>
                  <w:textDirection w:val="lrTb"/>
                  <w:noWrap w:val="false"/>
                </w:tcPr>
                <w:p>
                  <w:pPr>
                    <w:ind w:left="245"/>
                    <w:spacing w:before="272"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87</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安全启动</w:t>
                  </w:r>
                  <w:r/>
                </w:p>
              </w:tc>
              <w:tc>
                <w:tcPr>
                  <w:shd w:val="clear" w:color="auto" w:fill="auto"/>
                  <w:tcW w:w="4535" w:type="dxa"/>
                  <w:vAlign w:val="center"/>
                  <w:textDirection w:val="lrTb"/>
                  <w:noWrap w:val="false"/>
                </w:tcPr>
                <w:p>
                  <w:pPr>
                    <w:ind w:left="112" w:right="168" w:firstLine="7"/>
                    <w:spacing w:before="39" w:line="23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支持执行环境要求在整个系统启动的过程中，系统应提供一个机制来保护平台的完整性</w:t>
                  </w:r>
                  <w:r/>
                </w:p>
              </w:tc>
            </w:tr>
            <w:tr>
              <w:trPr>
                <w:jc w:val="center"/>
                <w:trHeight w:val="725"/>
              </w:trPr>
              <w:tc>
                <w:tcPr>
                  <w:shd w:val="clear" w:color="auto" w:fill="auto"/>
                  <w:tcW w:w="719" w:type="dxa"/>
                  <w:vAlign w:val="center"/>
                  <w:textDirection w:val="lrTb"/>
                  <w:noWrap w:val="false"/>
                </w:tcPr>
                <w:p>
                  <w:pPr>
                    <w:ind w:left="245"/>
                    <w:spacing w:before="27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88</w:t>
                  </w:r>
                  <w:r/>
                </w:p>
              </w:tc>
              <w:tc>
                <w:tcPr>
                  <w:shd w:val="clear" w:color="auto" w:fill="auto"/>
                  <w:tcBorders>
                    <w:bottom w:val="none" w:color="000000" w:sz="4" w:space="0"/>
                  </w:tcBorders>
                  <w:tcW w:w="1239"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系统</w:t>
                  </w:r>
                  <w:r>
                    <w:rPr>
                      <w:rFonts w:hint="eastAsia" w:ascii="宋体" w:hAnsi="宋体" w:eastAsia="宋体" w:cs="宋体"/>
                      <w:color w:val="auto"/>
                      <w:spacing w:val="-3"/>
                      <w:sz w:val="24"/>
                      <w:szCs w:val="24"/>
                      <w:highlight w:val="none"/>
                      <w:lang w:eastAsia="en-US"/>
                    </w:rPr>
                    <w:t xml:space="preserve">安全要求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syslog 双向鉴别</w:t>
                  </w:r>
                  <w:r/>
                </w:p>
              </w:tc>
              <w:tc>
                <w:tcPr>
                  <w:shd w:val="clear" w:color="auto" w:fill="auto"/>
                  <w:tcW w:w="4535" w:type="dxa"/>
                  <w:vAlign w:val="center"/>
                  <w:textDirection w:val="lrTb"/>
                  <w:noWrap w:val="false"/>
                </w:tcPr>
                <w:p>
                  <w:pPr>
                    <w:ind w:left="112" w:right="168" w:firstLine="7"/>
                    <w:spacing w:before="160" w:line="24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支持系统日志双向鉴别，对服务器根证书和客户端根证书进行鉴别</w:t>
                  </w:r>
                  <w:r/>
                </w:p>
              </w:tc>
            </w:tr>
            <w:tr>
              <w:trPr>
                <w:jc w:val="center"/>
                <w:trHeight w:val="725"/>
              </w:trPr>
              <w:tc>
                <w:tcPr>
                  <w:shd w:val="clear" w:color="auto" w:fill="auto"/>
                  <w:tcW w:w="719" w:type="dxa"/>
                  <w:vAlign w:val="center"/>
                  <w:textDirection w:val="lrTb"/>
                  <w:noWrap w:val="false"/>
                </w:tcPr>
                <w:p>
                  <w:pPr>
                    <w:ind w:left="245"/>
                    <w:spacing w:before="27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89</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弱口令字典检查</w:t>
                  </w:r>
                  <w:r/>
                </w:p>
              </w:tc>
              <w:tc>
                <w:tcPr>
                  <w:shd w:val="clear" w:color="auto" w:fill="auto"/>
                  <w:tcW w:w="4535" w:type="dxa"/>
                  <w:vAlign w:val="center"/>
                  <w:textDirection w:val="lrTb"/>
                  <w:noWrap w:val="false"/>
                </w:tcPr>
                <w:p>
                  <w:pPr>
                    <w:ind w:left="118" w:right="168" w:firstLine="1"/>
                    <w:spacing w:before="39" w:line="23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支持弱口令字典检查功能，出现在弱口令字典中的字符串不能被设置</w:t>
                  </w:r>
                  <w:r>
                    <w:rPr>
                      <w:rFonts w:hint="eastAsia" w:ascii="宋体" w:hAnsi="宋体" w:eastAsia="宋体" w:cs="宋体"/>
                      <w:i/>
                      <w:iCs/>
                      <w:color w:val="auto"/>
                      <w:spacing w:val="-3"/>
                      <w:sz w:val="24"/>
                      <w:szCs w:val="24"/>
                      <w:highlight w:val="none"/>
                      <w:u w:val="single"/>
                    </w:rPr>
                    <w:t xml:space="preserve">为用户口令</w:t>
                  </w:r>
                  <w:r/>
                </w:p>
              </w:tc>
            </w:tr>
            <w:tr>
              <w:trPr>
                <w:jc w:val="center"/>
                <w:trHeight w:val="725"/>
              </w:trPr>
              <w:tc>
                <w:tcPr>
                  <w:shd w:val="clear" w:color="auto" w:fill="auto"/>
                  <w:tcW w:w="719" w:type="dxa"/>
                  <w:vAlign w:val="center"/>
                  <w:textDirection w:val="lrTb"/>
                  <w:noWrap w:val="false"/>
                </w:tcPr>
                <w:p>
                  <w:pPr>
                    <w:ind w:left="242"/>
                    <w:spacing w:before="27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90</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白名单访问控制</w:t>
                  </w:r>
                  <w:r/>
                </w:p>
              </w:tc>
              <w:tc>
                <w:tcPr>
                  <w:shd w:val="clear" w:color="auto" w:fill="auto"/>
                  <w:tcW w:w="4535" w:type="dxa"/>
                  <w:vAlign w:val="center"/>
                  <w:textDirection w:val="lrTb"/>
                  <w:noWrap w:val="false"/>
                </w:tcPr>
                <w:p>
                  <w:pPr>
                    <w:ind w:left="123" w:right="125" w:hanging="4"/>
                    <w:spacing w:before="159"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 xml:space="preserve">支持基于时间、IP或MAC 白名单访</w:t>
                  </w:r>
                  <w:r>
                    <w:rPr>
                      <w:rFonts w:hint="eastAsia" w:ascii="宋体" w:hAnsi="宋体" w:eastAsia="宋体" w:cs="宋体"/>
                      <w:i/>
                      <w:iCs/>
                      <w:color w:val="auto"/>
                      <w:spacing w:val="-6"/>
                      <w:sz w:val="24"/>
                      <w:szCs w:val="24"/>
                      <w:highlight w:val="none"/>
                      <w:u w:val="single"/>
                    </w:rPr>
                    <w:t xml:space="preserve">问控制</w:t>
                  </w:r>
                  <w:r/>
                </w:p>
              </w:tc>
            </w:tr>
            <w:tr>
              <w:trPr>
                <w:jc w:val="center"/>
                <w:trHeight w:val="725"/>
              </w:trPr>
              <w:tc>
                <w:tcPr>
                  <w:shd w:val="clear" w:color="auto" w:fill="auto"/>
                  <w:tcW w:w="719" w:type="dxa"/>
                  <w:vAlign w:val="center"/>
                  <w:textDirection w:val="lrTb"/>
                  <w:noWrap w:val="false"/>
                </w:tcPr>
                <w:p>
                  <w:pPr>
                    <w:ind w:left="242"/>
                    <w:spacing w:before="271"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91</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双因素鉴别</w:t>
                  </w:r>
                  <w:r/>
                </w:p>
              </w:tc>
              <w:tc>
                <w:tcPr>
                  <w:shd w:val="clear" w:color="auto" w:fill="auto"/>
                  <w:tcW w:w="4535" w:type="dxa"/>
                  <w:vAlign w:val="center"/>
                  <w:textDirection w:val="lrTb"/>
                  <w:noWrap w:val="false"/>
                </w:tcPr>
                <w:p>
                  <w:pPr>
                    <w:ind w:left="116" w:right="168" w:firstLine="2"/>
                    <w:spacing w:before="159" w:line="24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支持使用客户端证书和证书密码的双因素鉴别方式登录管理系统</w:t>
                  </w:r>
                  <w:r/>
                </w:p>
              </w:tc>
            </w:tr>
            <w:tr>
              <w:trPr>
                <w:jc w:val="center"/>
                <w:trHeight w:val="964"/>
              </w:trPr>
              <w:tc>
                <w:tcPr>
                  <w:shd w:val="clear" w:color="auto" w:fill="auto"/>
                  <w:tcW w:w="719" w:type="dxa"/>
                  <w:vAlign w:val="center"/>
                  <w:textDirection w:val="lrTb"/>
                  <w:noWrap w:val="false"/>
                </w:tcPr>
                <w:p>
                  <w:pPr>
                    <w:spacing w:line="332"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92</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before="58"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二次鉴别</w:t>
                  </w:r>
                  <w:r/>
                </w:p>
              </w:tc>
              <w:tc>
                <w:tcPr>
                  <w:shd w:val="clear" w:color="auto" w:fill="auto"/>
                  <w:tcW w:w="4535" w:type="dxa"/>
                  <w:vAlign w:val="center"/>
                  <w:textDirection w:val="lrTb"/>
                  <w:noWrap w:val="false"/>
                </w:tcPr>
                <w:p>
                  <w:pPr>
                    <w:ind w:left="112" w:right="41" w:firstLine="7"/>
                    <w:spacing w:before="37" w:line="23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 xml:space="preserve">支持二次鉴别功能。对于用户配置、</w:t>
                  </w:r>
                  <w:r>
                    <w:rPr>
                      <w:rFonts w:hint="eastAsia" w:ascii="宋体" w:hAnsi="宋体" w:eastAsia="宋体" w:cs="宋体"/>
                      <w:i/>
                      <w:iCs/>
                      <w:color w:val="auto"/>
                      <w:spacing w:val="-1"/>
                      <w:sz w:val="24"/>
                      <w:szCs w:val="24"/>
                      <w:highlight w:val="none"/>
                      <w:u w:val="single"/>
                    </w:rPr>
                    <w:t xml:space="preserve">权限配置、公钥导入等重要的管理操作，已登录用户应通过二次鉴别后，才能执行操作</w:t>
                  </w:r>
                  <w:r/>
                </w:p>
              </w:tc>
            </w:tr>
            <w:tr>
              <w:trPr>
                <w:jc w:val="center"/>
                <w:trHeight w:val="725"/>
              </w:trPr>
              <w:tc>
                <w:tcPr>
                  <w:shd w:val="clear" w:color="auto" w:fill="auto"/>
                  <w:tcW w:w="719" w:type="dxa"/>
                  <w:vAlign w:val="center"/>
                  <w:textDirection w:val="lrTb"/>
                  <w:noWrap w:val="false"/>
                </w:tcPr>
                <w:p>
                  <w:pPr>
                    <w:ind w:left="242"/>
                    <w:spacing w:before="27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匿名化用</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户告警接收邮箱</w:t>
                  </w:r>
                  <w:r/>
                </w:p>
              </w:tc>
              <w:tc>
                <w:tcPr>
                  <w:shd w:val="clear" w:color="auto" w:fill="auto"/>
                  <w:tcW w:w="4535" w:type="dxa"/>
                  <w:vAlign w:val="center"/>
                  <w:textDirection w:val="lrTb"/>
                  <w:noWrap w:val="false"/>
                </w:tcPr>
                <w:p>
                  <w:pPr>
                    <w:ind w:left="113" w:right="168" w:firstLine="6"/>
                    <w:spacing w:before="160"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支持带外管理系统中的用户告警接收邮箱进行匿名化处理</w:t>
                  </w:r>
                  <w:r/>
                </w:p>
              </w:tc>
            </w:tr>
            <w:tr>
              <w:trPr>
                <w:jc w:val="center"/>
                <w:trHeight w:val="964"/>
              </w:trPr>
              <w:tc>
                <w:tcPr>
                  <w:shd w:val="clear" w:color="auto" w:fill="auto"/>
                  <w:tcW w:w="719" w:type="dxa"/>
                  <w:vAlign w:val="center"/>
                  <w:textDirection w:val="lrTb"/>
                  <w:noWrap w:val="false"/>
                </w:tcPr>
                <w:p>
                  <w:pPr>
                    <w:ind w:left="242"/>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密码证书安全加密存储</w:t>
                  </w:r>
                  <w:r/>
                </w:p>
              </w:tc>
              <w:tc>
                <w:tcPr>
                  <w:shd w:val="clear" w:color="auto" w:fill="auto"/>
                  <w:tcW w:w="4535" w:type="dxa"/>
                  <w:vAlign w:val="center"/>
                  <w:textDirection w:val="lrTb"/>
                  <w:noWrap w:val="false"/>
                </w:tcPr>
                <w:p>
                  <w:pPr>
                    <w:ind w:left="114" w:right="168" w:firstLine="4"/>
                    <w:spacing w:before="41" w:line="23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支持对带外管理系统中的用户口令和证书等敏感信息进行加密存储，禁止使用私有的和业界已知不安全</w:t>
                  </w:r>
                  <w:r>
                    <w:rPr>
                      <w:rFonts w:hint="eastAsia" w:ascii="宋体" w:hAnsi="宋体" w:eastAsia="宋体" w:cs="宋体"/>
                      <w:i/>
                      <w:iCs/>
                      <w:color w:val="auto"/>
                      <w:spacing w:val="-2"/>
                      <w:sz w:val="24"/>
                      <w:szCs w:val="24"/>
                      <w:highlight w:val="none"/>
                      <w:u w:val="single"/>
                    </w:rPr>
                    <w:t xml:space="preserve">的密码算法</w:t>
                  </w:r>
                  <w:r/>
                </w:p>
              </w:tc>
            </w:tr>
            <w:tr>
              <w:trPr>
                <w:jc w:val="center"/>
                <w:trHeight w:val="725"/>
              </w:trPr>
              <w:tc>
                <w:tcPr>
                  <w:shd w:val="clear" w:color="auto" w:fill="auto"/>
                  <w:tcW w:w="719" w:type="dxa"/>
                  <w:vAlign w:val="center"/>
                  <w:textDirection w:val="lrTb"/>
                  <w:noWrap w:val="false"/>
                </w:tcPr>
                <w:p>
                  <w:pPr>
                    <w:ind w:left="242"/>
                    <w:spacing w:before="27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95</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敏感信息安全加密传输</w:t>
                  </w:r>
                  <w:r/>
                </w:p>
              </w:tc>
              <w:tc>
                <w:tcPr>
                  <w:shd w:val="clear" w:color="auto" w:fill="auto"/>
                  <w:tcW w:w="4535" w:type="dxa"/>
                  <w:vAlign w:val="center"/>
                  <w:textDirection w:val="lrTb"/>
                  <w:noWrap w:val="false"/>
                </w:tcPr>
                <w:p>
                  <w:pPr>
                    <w:ind w:left="113" w:right="103" w:firstLine="6"/>
                    <w:spacing w:before="42"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支持使用安全的传输加密协议（如</w:t>
                  </w:r>
                  <w:r>
                    <w:rPr>
                      <w:rFonts w:hint="eastAsia" w:ascii="宋体" w:hAnsi="宋体" w:eastAsia="宋体" w:cs="宋体"/>
                      <w:i/>
                      <w:iCs/>
                      <w:color w:val="auto"/>
                      <w:spacing w:val="-6"/>
                      <w:sz w:val="24"/>
                      <w:szCs w:val="24"/>
                      <w:highlight w:val="none"/>
                      <w:u w:val="single"/>
                    </w:rPr>
                    <w:t xml:space="preserve">SSH或</w:t>
                  </w:r>
                  <w:r>
                    <w:rPr>
                      <w:rFonts w:hint="default" w:eastAsia="宋体" w:cs="Times New Roman"/>
                      <w:color w:val="auto"/>
                      <w:highlight w:val="none"/>
                    </w:rPr>
                    <w:fldChar w:fldCharType="begin"/>
                  </w:r>
                  <w:r>
                    <w:rPr>
                      <w:rFonts w:hint="default" w:eastAsia="宋体" w:cs="Times New Roman"/>
                      <w:color w:val="auto"/>
                      <w:highlight w:val="none"/>
                    </w:rPr>
                    <w:instrText xml:space="preserve">HYPERLINK "../../Administrator/Documents/WeChat Files/zj19900816zj/FileStorage/File/2026-07/HTTPS"</w:instrText>
                  </w:r>
                  <w:r>
                    <w:rPr>
                      <w:rFonts w:hint="default" w:eastAsia="宋体" w:cs="Times New Roman"/>
                      <w:color w:val="auto"/>
                      <w:highlight w:val="none"/>
                    </w:rPr>
                    <w:fldChar w:fldCharType="separate"/>
                  </w:r>
                  <w:r>
                    <w:rPr>
                      <w:rFonts w:hint="eastAsia" w:ascii="宋体" w:hAnsi="宋体" w:eastAsia="宋体" w:cs="宋体"/>
                      <w:i/>
                      <w:iCs/>
                      <w:color w:val="auto"/>
                      <w:spacing w:val="-6"/>
                      <w:sz w:val="24"/>
                      <w:szCs w:val="24"/>
                      <w:highlight w:val="none"/>
                      <w:u w:val="single"/>
                    </w:rPr>
                    <w:t xml:space="preserve">HTTPS</w:t>
                  </w:r>
                  <w:r>
                    <w:rPr>
                      <w:rFonts w:hint="eastAsia" w:ascii="宋体" w:hAnsi="宋体" w:eastAsia="宋体" w:cs="宋体"/>
                      <w:i/>
                      <w:iCs/>
                      <w:color w:val="auto"/>
                      <w:spacing w:val="-6"/>
                      <w:sz w:val="24"/>
                      <w:szCs w:val="24"/>
                      <w:highlight w:val="none"/>
                      <w:u w:val="single"/>
                      <w:lang w:eastAsia="en-US"/>
                    </w:rPr>
                    <w:fldChar w:fldCharType="end"/>
                  </w:r>
                  <w:r>
                    <w:rPr>
                      <w:rFonts w:hint="eastAsia" w:ascii="宋体" w:hAnsi="宋体" w:eastAsia="宋体" w:cs="宋体"/>
                      <w:i/>
                      <w:iCs/>
                      <w:color w:val="auto"/>
                      <w:spacing w:val="-6"/>
                      <w:sz w:val="24"/>
                      <w:szCs w:val="24"/>
                      <w:highlight w:val="none"/>
                      <w:u w:val="single"/>
                    </w:rPr>
                    <w:t xml:space="preserve">等）传输用户的敏感信</w:t>
                  </w:r>
                  <w:r>
                    <w:rPr>
                      <w:rFonts w:hint="eastAsia" w:ascii="宋体" w:hAnsi="宋体" w:eastAsia="宋体" w:cs="宋体"/>
                      <w:i/>
                      <w:iCs/>
                      <w:color w:val="auto"/>
                      <w:sz w:val="24"/>
                      <w:szCs w:val="24"/>
                      <w:highlight w:val="none"/>
                      <w:u w:val="single"/>
                    </w:rPr>
                    <w:t xml:space="preserve">息</w:t>
                  </w:r>
                  <w:r/>
                </w:p>
              </w:tc>
            </w:tr>
            <w:tr>
              <w:trPr>
                <w:jc w:val="center"/>
                <w:trHeight w:val="1648"/>
              </w:trPr>
              <w:tc>
                <w:tcPr>
                  <w:shd w:val="clear" w:color="auto" w:fill="auto"/>
                  <w:tcW w:w="719" w:type="dxa"/>
                  <w:vAlign w:val="center"/>
                  <w:textDirection w:val="lrTb"/>
                  <w:noWrap w:val="false"/>
                </w:tcPr>
                <w:p>
                  <w:pPr>
                    <w:ind w:left="242"/>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96</w:t>
                  </w:r>
                  <w:r/>
                </w:p>
              </w:tc>
              <w:tc>
                <w:tcPr>
                  <w:shd w:val="clear" w:color="auto" w:fill="auto"/>
                  <w:tcBorders>
                    <w:bottom w:val="none" w:color="000000" w:sz="4" w:space="0"/>
                  </w:tcBorders>
                  <w:tcW w:w="1239"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信息</w:t>
                  </w:r>
                  <w:r>
                    <w:rPr>
                      <w:rFonts w:hint="eastAsia" w:ascii="宋体" w:hAnsi="宋体" w:eastAsia="宋体" w:cs="宋体"/>
                      <w:color w:val="auto"/>
                      <w:spacing w:val="-3"/>
                      <w:sz w:val="24"/>
                      <w:szCs w:val="24"/>
                      <w:highlight w:val="none"/>
                      <w:lang w:eastAsia="en-US"/>
                    </w:rPr>
                    <w:t xml:space="preserve">安全要求</w:t>
                  </w:r>
                  <w:r/>
                </w:p>
              </w:tc>
              <w:tc>
                <w:tcPr>
                  <w:shd w:val="clear" w:color="auto" w:fill="auto"/>
                  <w:tcW w:w="1335" w:type="dxa"/>
                  <w:vAlign w:val="center"/>
                  <w:textDirection w:val="lrTb"/>
                  <w:noWrap w:val="false"/>
                </w:tcPr>
                <w:p>
                  <w:pPr>
                    <w:ind w:right="123"/>
                    <w:jc w:val="center"/>
                    <w:spacing w:before="58"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研发过程安全</w:t>
                  </w:r>
                  <w:r/>
                </w:p>
              </w:tc>
              <w:tc>
                <w:tcPr>
                  <w:shd w:val="clear" w:color="auto" w:fill="auto"/>
                  <w:tcW w:w="4535" w:type="dxa"/>
                  <w:vAlign w:val="center"/>
                  <w:textDirection w:val="lrTb"/>
                  <w:noWrap w:val="false"/>
                </w:tcPr>
                <w:p>
                  <w:pPr>
                    <w:ind w:left="114" w:right="41" w:hanging="1"/>
                    <w:spacing w:before="41" w:line="24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供应商承诺，生产商已建立从需求、</w:t>
                  </w:r>
                  <w:r>
                    <w:rPr>
                      <w:rFonts w:hint="eastAsia" w:ascii="宋体" w:hAnsi="宋体" w:eastAsia="宋体" w:cs="宋体"/>
                      <w:i/>
                      <w:iCs/>
                      <w:color w:val="auto"/>
                      <w:spacing w:val="-1"/>
                      <w:sz w:val="24"/>
                      <w:szCs w:val="24"/>
                      <w:highlight w:val="none"/>
                      <w:u w:val="single"/>
                    </w:rPr>
                    <w:t xml:space="preserve">设计、开发、测试、维护端到端的开发流程管理机制，输出和保存开发流程中每个阶段的产品需求清</w:t>
                  </w:r>
                  <w:r/>
                </w:p>
                <w:p>
                  <w:pPr>
                    <w:ind w:left="115" w:right="168" w:firstLine="3"/>
                    <w:spacing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单、设计文档、开发文档、测试记录等材料，保证各个流程可追溯</w:t>
                  </w:r>
                  <w:r/>
                </w:p>
              </w:tc>
            </w:tr>
            <w:tr>
              <w:trPr>
                <w:jc w:val="center"/>
                <w:trHeight w:val="964"/>
              </w:trPr>
              <w:tc>
                <w:tcPr>
                  <w:shd w:val="clear" w:color="auto" w:fill="auto"/>
                  <w:tcW w:w="719" w:type="dxa"/>
                  <w:vAlign w:val="center"/>
                  <w:textDirection w:val="lrTb"/>
                  <w:noWrap w:val="false"/>
                </w:tcPr>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97</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left="110"/>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漏洞管理</w:t>
                  </w:r>
                  <w:r/>
                </w:p>
              </w:tc>
              <w:tc>
                <w:tcPr>
                  <w:shd w:val="clear" w:color="auto" w:fill="auto"/>
                  <w:tcW w:w="4535" w:type="dxa"/>
                  <w:vAlign w:val="center"/>
                  <w:textDirection w:val="lrTb"/>
                  <w:noWrap w:val="false"/>
                </w:tcPr>
                <w:p>
                  <w:pPr>
                    <w:ind w:left="113" w:right="168"/>
                    <w:spacing w:before="41" w:line="23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供应商承诺，生产商已建立漏洞全量视图，保证产品版本涉及到的所</w:t>
                  </w:r>
                  <w:r>
                    <w:rPr>
                      <w:rFonts w:hint="eastAsia" w:ascii="宋体" w:hAnsi="宋体" w:eastAsia="宋体" w:cs="宋体"/>
                      <w:i/>
                      <w:iCs/>
                      <w:color w:val="auto"/>
                      <w:spacing w:val="-2"/>
                      <w:sz w:val="24"/>
                      <w:szCs w:val="24"/>
                      <w:highlight w:val="none"/>
                      <w:u w:val="single"/>
                    </w:rPr>
                    <w:t xml:space="preserve">有漏洞(如驱动程序、BMC软件等)都可以查看</w:t>
                  </w:r>
                  <w:r/>
                </w:p>
              </w:tc>
            </w:tr>
            <w:tr>
              <w:trPr>
                <w:jc w:val="center"/>
                <w:trHeight w:val="725"/>
              </w:trPr>
              <w:tc>
                <w:tcPr>
                  <w:shd w:val="clear" w:color="auto" w:fill="auto"/>
                  <w:tcW w:w="719" w:type="dxa"/>
                  <w:vAlign w:val="center"/>
                  <w:textDirection w:val="lrTb"/>
                  <w:noWrap w:val="false"/>
                </w:tcPr>
                <w:p>
                  <w:pPr>
                    <w:ind w:left="242"/>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98</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网络关键</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设备服务器要求</w:t>
                  </w:r>
                  <w:r/>
                </w:p>
              </w:tc>
              <w:tc>
                <w:tcPr>
                  <w:shd w:val="clear" w:color="auto" w:fill="auto"/>
                  <w:tcW w:w="4535" w:type="dxa"/>
                  <w:vAlign w:val="center"/>
                  <w:textDirection w:val="lrTb"/>
                  <w:noWrap w:val="false"/>
                </w:tcPr>
                <w:p>
                  <w:pPr>
                    <w:ind w:left="112" w:right="168"/>
                    <w:spacing w:before="162"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作为网络关键设备的服务器应符合</w:t>
                  </w:r>
                  <w:r>
                    <w:rPr>
                      <w:rFonts w:hint="eastAsia" w:ascii="宋体" w:hAnsi="宋体" w:eastAsia="宋体" w:cs="宋体"/>
                      <w:i/>
                      <w:iCs/>
                      <w:color w:val="auto"/>
                      <w:spacing w:val="-3"/>
                      <w:sz w:val="24"/>
                      <w:szCs w:val="24"/>
                      <w:highlight w:val="none"/>
                      <w:u w:val="single"/>
                    </w:rPr>
                    <w:t xml:space="preserve">GB 40050的相关规定</w:t>
                  </w:r>
                  <w:r/>
                </w:p>
              </w:tc>
            </w:tr>
            <w:tr>
              <w:trPr>
                <w:jc w:val="center"/>
                <w:trHeight w:val="1687"/>
              </w:trPr>
              <w:tc>
                <w:tcPr>
                  <w:shd w:val="clear" w:color="auto" w:fill="auto"/>
                  <w:tcW w:w="719" w:type="dxa"/>
                  <w:vAlign w:val="center"/>
                  <w:textDirection w:val="lrTb"/>
                  <w:noWrap w:val="false"/>
                </w:tcPr>
                <w:p>
                  <w:pPr>
                    <w:ind w:left="242"/>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99</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left="109"/>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增强要求</w:t>
                  </w:r>
                  <w:r/>
                </w:p>
              </w:tc>
              <w:tc>
                <w:tcPr>
                  <w:shd w:val="clear" w:color="auto" w:fill="auto"/>
                  <w:tcW w:w="4535" w:type="dxa"/>
                  <w:vAlign w:val="center"/>
                  <w:textDirection w:val="lrTb"/>
                  <w:noWrap w:val="false"/>
                </w:tcPr>
                <w:p>
                  <w:pPr>
                    <w:ind w:left="113" w:right="103" w:firstLine="1"/>
                    <w:spacing w:before="44"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嵌入物理可信根，实现设备的信任链构建；</w:t>
                  </w:r>
                  <w:r/>
                </w:p>
                <w:p>
                  <w:pPr>
                    <w:ind w:left="115"/>
                    <w:spacing w:before="5"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支持可信平台控制模块(TPCM)；</w:t>
                  </w:r>
                  <w:r/>
                </w:p>
                <w:p>
                  <w:pPr>
                    <w:ind w:left="113"/>
                    <w:spacing w:before="32"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c) 支持在固件系统（BMC、BIOS）</w:t>
                  </w:r>
                  <w:r/>
                </w:p>
                <w:p>
                  <w:pPr>
                    <w:ind w:left="112" w:right="103" w:firstLine="1"/>
                    <w:spacing w:before="24" w:line="230"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启动前实现对固件度量的功能，支持物理可信根对BMC固件或BIOS固件进行完整性检测、更新和恢复；</w:t>
                  </w:r>
                  <w:r/>
                </w:p>
                <w:p>
                  <w:pPr>
                    <w:ind w:left="113" w:right="125"/>
                    <w:spacing w:before="38" w:line="24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d) 支持对CPU、网络控制器等关键处理器进行身份识别与度量的功</w:t>
                  </w:r>
                  <w:r/>
                </w:p>
                <w:p>
                  <w:pPr>
                    <w:ind w:left="119"/>
                    <w:spacing w:line="21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7"/>
                      <w:sz w:val="24"/>
                      <w:szCs w:val="24"/>
                      <w:highlight w:val="none"/>
                      <w:u w:val="single"/>
                    </w:rPr>
                    <w:t xml:space="preserve">能；</w:t>
                  </w:r>
                  <w:r/>
                </w:p>
                <w:p>
                  <w:pPr>
                    <w:ind w:left="112" w:right="259" w:firstLine="1"/>
                    <w:spacing w:before="32"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e) 支持基于处理器或可信计算模块度量的功能；</w:t>
                  </w:r>
                  <w:r/>
                </w:p>
                <w:p>
                  <w:pPr>
                    <w:ind w:left="113" w:right="259" w:firstLine="1"/>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f) 所采用的可信密码模块接口应</w:t>
                  </w:r>
                  <w:r>
                    <w:rPr>
                      <w:rFonts w:hint="eastAsia" w:ascii="宋体" w:hAnsi="宋体" w:eastAsia="宋体" w:cs="宋体"/>
                      <w:i/>
                      <w:iCs/>
                      <w:color w:val="auto"/>
                      <w:spacing w:val="-2"/>
                      <w:sz w:val="24"/>
                      <w:szCs w:val="24"/>
                      <w:highlight w:val="none"/>
                      <w:u w:val="single"/>
                    </w:rPr>
                    <w:t xml:space="preserve">符合GM/T 0012的相关规定；</w:t>
                  </w:r>
                  <w:r/>
                </w:p>
                <w:p>
                  <w:pPr>
                    <w:ind w:left="112" w:right="103" w:firstLine="1"/>
                    <w:spacing w:before="24" w:line="230"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2"/>
                      <w:sz w:val="24"/>
                      <w:szCs w:val="24"/>
                      <w:highlight w:val="none"/>
                      <w:u w:val="single"/>
                    </w:rPr>
                    <w:t xml:space="preserve">g) 可信安全管理模块、处理器等硬</w:t>
                  </w:r>
                  <w:r>
                    <w:rPr>
                      <w:rFonts w:hint="eastAsia" w:ascii="宋体" w:hAnsi="宋体" w:eastAsia="宋体" w:cs="宋体"/>
                      <w:i/>
                      <w:iCs/>
                      <w:color w:val="auto"/>
                      <w:spacing w:val="-1"/>
                      <w:sz w:val="24"/>
                      <w:szCs w:val="24"/>
                      <w:highlight w:val="none"/>
                      <w:u w:val="single"/>
                    </w:rPr>
                    <w:t xml:space="preserve">件载体应通过国家相关部门的认证</w:t>
                  </w:r>
                  <w:r>
                    <w:rPr>
                      <w:rFonts w:hint="eastAsia" w:ascii="宋体" w:hAnsi="宋体" w:eastAsia="宋体" w:cs="宋体"/>
                      <w:i/>
                      <w:iCs/>
                      <w:color w:val="auto"/>
                      <w:spacing w:val="-2"/>
                      <w:sz w:val="24"/>
                      <w:szCs w:val="24"/>
                      <w:highlight w:val="none"/>
                      <w:u w:val="single"/>
                    </w:rPr>
                    <w:t xml:space="preserve">和许可</w:t>
                  </w:r>
                  <w:r/>
                </w:p>
              </w:tc>
            </w:tr>
            <w:tr>
              <w:trPr>
                <w:jc w:val="center"/>
                <w:trHeight w:val="485"/>
              </w:trPr>
              <w:tc>
                <w:tcPr>
                  <w:shd w:val="clear" w:color="auto" w:fill="auto"/>
                  <w:tcW w:w="719" w:type="dxa"/>
                  <w:vAlign w:val="center"/>
                  <w:textDirection w:val="lrTb"/>
                  <w:noWrap w:val="false"/>
                </w:tcPr>
                <w:p>
                  <w:pPr>
                    <w:ind w:left="211"/>
                    <w:spacing w:before="154"/>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100</w:t>
                  </w:r>
                  <w:r/>
                </w:p>
              </w:tc>
              <w:tc>
                <w:tcPr>
                  <w:shd w:val="clear" w:color="auto" w:fill="auto"/>
                  <w:tcW w:w="1239" w:type="dxa"/>
                  <w:vAlign w:val="center"/>
                  <w:textDirection w:val="lrTb"/>
                  <w:noWrap w:val="false"/>
                </w:tcPr>
                <w:p>
                  <w:pPr>
                    <w:ind w:left="195" w:right="141" w:hanging="56"/>
                    <w:jc w:val="center"/>
                    <w:spacing w:before="40"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物理</w:t>
                  </w:r>
                  <w:r>
                    <w:rPr>
                      <w:rFonts w:hint="eastAsia" w:ascii="宋体" w:hAnsi="宋体" w:eastAsia="宋体" w:cs="宋体"/>
                      <w:color w:val="auto"/>
                      <w:spacing w:val="-8"/>
                      <w:sz w:val="24"/>
                      <w:szCs w:val="24"/>
                      <w:highlight w:val="none"/>
                      <w:lang w:eastAsia="en-US"/>
                    </w:rPr>
                    <w:t xml:space="preserve">安全</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物理安全</w:t>
                  </w:r>
                  <w:r/>
                </w:p>
              </w:tc>
              <w:tc>
                <w:tcPr>
                  <w:shd w:val="clear" w:color="auto" w:fill="auto"/>
                  <w:tcW w:w="4535" w:type="dxa"/>
                  <w:vAlign w:val="center"/>
                  <w:textDirection w:val="lrTb"/>
                  <w:noWrap w:val="false"/>
                </w:tcPr>
                <w:p>
                  <w:pPr>
                    <w:ind w:left="120"/>
                    <w:spacing w:before="158"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安全要求应符合GB 4943.1的规定</w:t>
                  </w:r>
                  <w:r/>
                </w:p>
              </w:tc>
            </w:tr>
            <w:tr>
              <w:trPr>
                <w:jc w:val="center"/>
                <w:trHeight w:val="1171"/>
              </w:trPr>
              <w:tc>
                <w:tcPr>
                  <w:shd w:val="clear" w:color="auto" w:fill="auto"/>
                  <w:tcW w:w="719" w:type="dxa"/>
                  <w:vAlign w:val="center"/>
                  <w:textDirection w:val="lrTb"/>
                  <w:noWrap w:val="false"/>
                </w:tcPr>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101</w:t>
                  </w:r>
                  <w:r/>
                </w:p>
              </w:tc>
              <w:tc>
                <w:tcPr>
                  <w:shd w:val="clear" w:color="auto" w:fill="auto"/>
                  <w:tcW w:w="1239" w:type="dxa"/>
                  <w:vAlign w:val="center"/>
                  <w:textDirection w:val="lrTb"/>
                  <w:noWrap w:val="false"/>
                </w:tcPr>
                <w:p>
                  <w:pPr>
                    <w:ind w:left="187" w:right="141" w:hanging="48"/>
                    <w:jc w:val="center"/>
                    <w:spacing w:before="28" w:line="23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限用</w:t>
                  </w:r>
                  <w:r>
                    <w:rPr>
                      <w:rFonts w:hint="eastAsia" w:ascii="宋体" w:hAnsi="宋体" w:eastAsia="宋体" w:cs="宋体"/>
                      <w:color w:val="auto"/>
                      <w:spacing w:val="-4"/>
                      <w:sz w:val="24"/>
                      <w:szCs w:val="24"/>
                      <w:highlight w:val="none"/>
                      <w:lang w:eastAsia="en-US"/>
                    </w:rPr>
                    <w:t xml:space="preserve">物质</w:t>
                  </w:r>
                  <w:r/>
                </w:p>
                <w:p>
                  <w:pPr>
                    <w:ind w:left="198"/>
                    <w:jc w:val="center"/>
                    <w:spacing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的限</w:t>
                  </w:r>
                  <w:r/>
                </w:p>
                <w:p>
                  <w:pPr>
                    <w:ind w:left="280" w:right="186" w:hanging="90"/>
                    <w:jc w:val="center"/>
                    <w:spacing w:before="17" w:line="22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量要</w:t>
                  </w:r>
                  <w:r>
                    <w:rPr>
                      <w:rFonts w:hint="eastAsia" w:ascii="宋体" w:hAnsi="宋体" w:eastAsia="宋体" w:cs="宋体"/>
                      <w:color w:val="auto"/>
                      <w:sz w:val="24"/>
                      <w:szCs w:val="24"/>
                      <w:highlight w:val="none"/>
                      <w:lang w:eastAsia="en-US"/>
                    </w:rPr>
                    <w:t xml:space="preserve">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限用物质的限量要求</w:t>
                  </w:r>
                  <w:r/>
                </w:p>
              </w:tc>
              <w:tc>
                <w:tcPr>
                  <w:shd w:val="clear" w:color="auto" w:fill="auto"/>
                  <w:tcW w:w="4535" w:type="dxa"/>
                  <w:vAlign w:val="center"/>
                  <w:textDirection w:val="lrTb"/>
                  <w:noWrap w:val="false"/>
                </w:tcPr>
                <w:p>
                  <w:pPr>
                    <w:spacing w:line="318"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23" w:right="123" w:firstLine="1"/>
                    <w:spacing w:before="58" w:line="24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限用物质的限量应符合</w:t>
                  </w:r>
                  <w:r>
                    <w:rPr>
                      <w:rFonts w:hint="eastAsia" w:ascii="宋体" w:hAnsi="宋体" w:eastAsia="宋体" w:cs="宋体"/>
                      <w:i/>
                      <w:iCs/>
                      <w:color w:val="auto"/>
                      <w:sz w:val="24"/>
                      <w:szCs w:val="24"/>
                      <w:highlight w:val="none"/>
                      <w:u w:val="single"/>
                    </w:rPr>
                    <w:t xml:space="preserve">GB</w:t>
                  </w:r>
                  <w:r>
                    <w:rPr>
                      <w:rFonts w:hint="eastAsia" w:ascii="宋体" w:hAnsi="宋体" w:eastAsia="宋体" w:cs="宋体"/>
                      <w:i/>
                      <w:iCs/>
                      <w:color w:val="auto"/>
                      <w:spacing w:val="1"/>
                      <w:sz w:val="24"/>
                      <w:szCs w:val="24"/>
                      <w:highlight w:val="none"/>
                      <w:u w:val="single"/>
                    </w:rPr>
                    <w:t xml:space="preserve">/T 26572</w:t>
                  </w:r>
                  <w:r>
                    <w:rPr>
                      <w:rFonts w:hint="eastAsia" w:ascii="宋体" w:hAnsi="宋体" w:eastAsia="宋体" w:cs="宋体"/>
                      <w:i/>
                      <w:iCs/>
                      <w:color w:val="auto"/>
                      <w:spacing w:val="-6"/>
                      <w:sz w:val="24"/>
                      <w:szCs w:val="24"/>
                      <w:highlight w:val="none"/>
                      <w:u w:val="single"/>
                    </w:rPr>
                    <w:t xml:space="preserve">的要求</w:t>
                  </w:r>
                  <w:r/>
                </w:p>
              </w:tc>
            </w:tr>
            <w:tr>
              <w:trPr>
                <w:jc w:val="center"/>
                <w:trHeight w:val="472"/>
              </w:trPr>
              <w:tc>
                <w:tcPr>
                  <w:shd w:val="clear" w:color="auto" w:fill="auto"/>
                  <w:tcW w:w="719" w:type="dxa"/>
                  <w:vAlign w:val="center"/>
                  <w:textDirection w:val="lrTb"/>
                  <w:noWrap w:val="false"/>
                </w:tcPr>
                <w:p>
                  <w:pPr>
                    <w:ind w:left="211"/>
                    <w:spacing w:before="1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102</w:t>
                  </w:r>
                  <w:r/>
                </w:p>
              </w:tc>
              <w:tc>
                <w:tcPr>
                  <w:shd w:val="clear" w:color="auto" w:fill="auto"/>
                  <w:tcBorders>
                    <w:bottom w:val="none" w:color="000000" w:sz="4" w:space="0"/>
                  </w:tcBorders>
                  <w:tcW w:w="1239" w:type="dxa"/>
                  <w:vAlign w:val="center"/>
                  <w:vMerge w:val="restart"/>
                  <w:textDirection w:val="lrTb"/>
                  <w:noWrap w:val="false"/>
                </w:tcPr>
                <w:p>
                  <w:pPr>
                    <w:ind w:left="187" w:right="185" w:hanging="3"/>
                    <w:jc w:val="center"/>
                    <w:spacing w:before="59" w:line="24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CPU</w:t>
                  </w:r>
                  <w:r>
                    <w:rPr>
                      <w:rFonts w:hint="eastAsia" w:ascii="宋体" w:hAnsi="宋体" w:eastAsia="宋体" w:cs="宋体"/>
                      <w:color w:val="auto"/>
                      <w:spacing w:val="-4"/>
                      <w:sz w:val="24"/>
                      <w:szCs w:val="24"/>
                      <w:highlight w:val="none"/>
                      <w:lang w:eastAsia="en-US"/>
                    </w:rPr>
                    <w:t xml:space="preserve">性能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主频</w:t>
                  </w:r>
                  <w:r/>
                </w:p>
              </w:tc>
              <w:tc>
                <w:tcPr>
                  <w:shd w:val="clear" w:color="auto" w:fill="auto"/>
                  <w:tcW w:w="4535" w:type="dxa"/>
                  <w:vAlign w:val="center"/>
                  <w:textDirection w:val="lrTb"/>
                  <w:noWrap w:val="false"/>
                </w:tcPr>
                <w:p>
                  <w:pPr>
                    <w:ind w:left="131"/>
                    <w:spacing w:before="14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w:t>
                  </w:r>
                  <w:r>
                    <w:rPr>
                      <w:rFonts w:hint="eastAsia" w:ascii="宋体" w:hAnsi="宋体" w:eastAsia="宋体" w:cs="宋体"/>
                      <w:i/>
                      <w:iCs/>
                      <w:color w:val="auto"/>
                      <w:spacing w:val="-4"/>
                      <w:sz w:val="24"/>
                      <w:szCs w:val="24"/>
                      <w:highlight w:val="none"/>
                      <w:u w:val="single"/>
                    </w:rPr>
                    <w:t xml:space="preserve">2</w:t>
                  </w:r>
                  <w:r>
                    <w:rPr>
                      <w:rFonts w:hint="eastAsia" w:ascii="宋体" w:hAnsi="宋体" w:eastAsia="宋体" w:cs="宋体"/>
                      <w:i/>
                      <w:iCs/>
                      <w:color w:val="auto"/>
                      <w:spacing w:val="-4"/>
                      <w:sz w:val="24"/>
                      <w:szCs w:val="24"/>
                      <w:highlight w:val="none"/>
                      <w:u w:val="single"/>
                      <w:lang w:eastAsia="en-US"/>
                    </w:rPr>
                    <w:t xml:space="preserve">.</w:t>
                  </w:r>
                  <w:r>
                    <w:rPr>
                      <w:rFonts w:hint="default" w:ascii="宋体" w:hAnsi="宋体" w:eastAsia="宋体" w:cs="宋体"/>
                      <w:i/>
                      <w:iCs/>
                      <w:color w:val="auto"/>
                      <w:spacing w:val="-4"/>
                      <w:sz w:val="24"/>
                      <w:szCs w:val="24"/>
                      <w:highlight w:val="none"/>
                      <w:u w:val="single"/>
                    </w:rPr>
                    <w:t xml:space="preserve">0</w:t>
                  </w:r>
                  <w:r>
                    <w:rPr>
                      <w:rFonts w:hint="eastAsia" w:ascii="宋体" w:hAnsi="宋体" w:eastAsia="宋体" w:cs="宋体"/>
                      <w:i/>
                      <w:iCs/>
                      <w:color w:val="auto"/>
                      <w:spacing w:val="-4"/>
                      <w:sz w:val="24"/>
                      <w:szCs w:val="24"/>
                      <w:highlight w:val="none"/>
                      <w:u w:val="single"/>
                      <w:lang w:eastAsia="en-US"/>
                    </w:rPr>
                    <w:t xml:space="preserve">GHz</w:t>
                  </w:r>
                  <w:r/>
                </w:p>
              </w:tc>
            </w:tr>
            <w:tr>
              <w:trPr>
                <w:jc w:val="center"/>
                <w:trHeight w:val="90"/>
              </w:trPr>
              <w:tc>
                <w:tcPr>
                  <w:shd w:val="clear" w:color="auto" w:fill="auto"/>
                  <w:tcW w:w="719" w:type="dxa"/>
                  <w:vAlign w:val="center"/>
                  <w:textDirection w:val="lrTb"/>
                  <w:noWrap w:val="false"/>
                </w:tcPr>
                <w:p>
                  <w:pPr>
                    <w:ind w:left="211"/>
                    <w:spacing w:before="26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单 CPU 核数</w:t>
                  </w:r>
                  <w:r/>
                </w:p>
              </w:tc>
              <w:tc>
                <w:tcPr>
                  <w:shd w:val="clear" w:color="auto" w:fill="auto"/>
                  <w:tcW w:w="4535" w:type="dxa"/>
                  <w:vAlign w:val="center"/>
                  <w:textDirection w:val="lrTb"/>
                  <w:noWrap w:val="false"/>
                </w:tcPr>
                <w:p>
                  <w:pPr>
                    <w:ind w:left="131"/>
                    <w:spacing w:before="26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lang w:eastAsia="en-US"/>
                    </w:rPr>
                    <w:t xml:space="preserve">≥</w:t>
                  </w:r>
                  <w:r>
                    <w:rPr>
                      <w:rFonts w:hint="default" w:ascii="宋体" w:hAnsi="宋体" w:eastAsia="宋体" w:cs="宋体"/>
                      <w:i/>
                      <w:iCs/>
                      <w:color w:val="auto"/>
                      <w:spacing w:val="-13"/>
                      <w:sz w:val="24"/>
                      <w:szCs w:val="24"/>
                      <w:highlight w:val="none"/>
                      <w:u w:val="single"/>
                    </w:rPr>
                    <w:t xml:space="preserve">24</w:t>
                  </w:r>
                  <w:r/>
                </w:p>
              </w:tc>
            </w:tr>
            <w:tr>
              <w:trPr>
                <w:jc w:val="center"/>
                <w:trHeight w:val="90"/>
              </w:trPr>
              <w:tc>
                <w:tcPr>
                  <w:shd w:val="clear" w:color="auto" w:fill="auto"/>
                  <w:tcW w:w="719" w:type="dxa"/>
                  <w:vAlign w:val="center"/>
                  <w:textDirection w:val="lrTb"/>
                  <w:noWrap w:val="false"/>
                </w:tcPr>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104</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单CPU末级缓存容量</w:t>
                  </w:r>
                  <w:r/>
                </w:p>
              </w:tc>
              <w:tc>
                <w:tcPr>
                  <w:shd w:val="clear" w:color="auto" w:fill="auto"/>
                  <w:tcW w:w="4535" w:type="dxa"/>
                  <w:vAlign w:val="center"/>
                  <w:textDirection w:val="lrTb"/>
                  <w:noWrap w:val="false"/>
                </w:tcPr>
                <w:p>
                  <w:pPr>
                    <w:ind w:left="131"/>
                    <w:spacing w:before="5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 xml:space="preserve">≥</w:t>
                  </w:r>
                  <w:r>
                    <w:rPr>
                      <w:rFonts w:hint="default" w:ascii="宋体" w:hAnsi="宋体" w:eastAsia="宋体" w:cs="宋体"/>
                      <w:i/>
                      <w:iCs/>
                      <w:color w:val="auto"/>
                      <w:spacing w:val="-7"/>
                      <w:sz w:val="24"/>
                      <w:szCs w:val="24"/>
                      <w:highlight w:val="none"/>
                      <w:u w:val="single"/>
                    </w:rPr>
                    <w:t xml:space="preserve">45</w:t>
                  </w:r>
                  <w:r>
                    <w:rPr>
                      <w:rFonts w:hint="eastAsia" w:ascii="宋体" w:hAnsi="宋体" w:eastAsia="宋体" w:cs="宋体"/>
                      <w:i/>
                      <w:iCs/>
                      <w:color w:val="auto"/>
                      <w:spacing w:val="-7"/>
                      <w:sz w:val="24"/>
                      <w:szCs w:val="24"/>
                      <w:highlight w:val="none"/>
                      <w:u w:val="single"/>
                      <w:lang w:eastAsia="en-US"/>
                    </w:rPr>
                    <w:t xml:space="preserve">MB</w:t>
                  </w:r>
                  <w:r/>
                </w:p>
              </w:tc>
            </w:tr>
            <w:tr>
              <w:trPr>
                <w:jc w:val="center"/>
                <w:trHeight w:val="471"/>
              </w:trPr>
              <w:tc>
                <w:tcPr>
                  <w:shd w:val="clear" w:color="auto" w:fill="auto"/>
                  <w:tcW w:w="719" w:type="dxa"/>
                  <w:vAlign w:val="center"/>
                  <w:textDirection w:val="lrTb"/>
                  <w:noWrap w:val="false"/>
                </w:tcPr>
                <w:p>
                  <w:pPr>
                    <w:ind w:left="211"/>
                    <w:spacing w:before="1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105</w:t>
                  </w:r>
                  <w:r/>
                </w:p>
              </w:tc>
              <w:tc>
                <w:tcPr>
                  <w:shd w:val="clear" w:color="auto" w:fill="auto"/>
                  <w:tcBorders>
                    <w:bottom w:val="none" w:color="000000" w:sz="4" w:space="0"/>
                  </w:tcBorders>
                  <w:tcW w:w="1239" w:type="dxa"/>
                  <w:vAlign w:val="center"/>
                  <w:vMerge w:val="restart"/>
                  <w:textDirection w:val="lrTb"/>
                  <w:noWrap w:val="false"/>
                </w:tcPr>
                <w:p>
                  <w:pPr>
                    <w:ind w:left="188" w:right="141" w:hanging="49"/>
                    <w:jc w:val="center"/>
                    <w:spacing w:before="269" w:line="24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内存</w:t>
                  </w:r>
                  <w:r>
                    <w:rPr>
                      <w:rFonts w:hint="eastAsia" w:ascii="宋体" w:hAnsi="宋体" w:eastAsia="宋体" w:cs="宋体"/>
                      <w:color w:val="auto"/>
                      <w:spacing w:val="-4"/>
                      <w:sz w:val="24"/>
                      <w:szCs w:val="24"/>
                      <w:highlight w:val="none"/>
                      <w:lang w:eastAsia="en-US"/>
                    </w:rPr>
                    <w:t xml:space="preserve">性能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单内存模块容量</w:t>
                  </w:r>
                  <w:r/>
                </w:p>
              </w:tc>
              <w:tc>
                <w:tcPr>
                  <w:shd w:val="clear" w:color="auto" w:fill="auto"/>
                  <w:tcW w:w="4535" w:type="dxa"/>
                  <w:vAlign w:val="center"/>
                  <w:textDirection w:val="lrTb"/>
                  <w:noWrap w:val="false"/>
                </w:tcPr>
                <w:p>
                  <w:pPr>
                    <w:ind w:left="131"/>
                    <w:spacing w:before="14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w:t>
                  </w:r>
                  <w:r>
                    <w:rPr>
                      <w:rFonts w:hint="eastAsia" w:ascii="宋体" w:hAnsi="宋体" w:eastAsia="宋体" w:cs="宋体"/>
                      <w:i/>
                      <w:iCs/>
                      <w:color w:val="auto"/>
                      <w:spacing w:val="-6"/>
                      <w:sz w:val="24"/>
                      <w:szCs w:val="24"/>
                      <w:highlight w:val="none"/>
                      <w:u w:val="single"/>
                    </w:rPr>
                    <w:t xml:space="preserve">32</w:t>
                  </w:r>
                  <w:r>
                    <w:rPr>
                      <w:rFonts w:hint="eastAsia" w:ascii="宋体" w:hAnsi="宋体" w:eastAsia="宋体" w:cs="宋体"/>
                      <w:i/>
                      <w:iCs/>
                      <w:color w:val="auto"/>
                      <w:spacing w:val="-6"/>
                      <w:sz w:val="24"/>
                      <w:szCs w:val="24"/>
                      <w:highlight w:val="none"/>
                      <w:u w:val="single"/>
                      <w:lang w:eastAsia="en-US"/>
                    </w:rPr>
                    <w:t xml:space="preserve">GB</w:t>
                  </w:r>
                  <w:r/>
                </w:p>
              </w:tc>
            </w:tr>
            <w:tr>
              <w:trPr>
                <w:jc w:val="center"/>
                <w:trHeight w:val="472"/>
              </w:trPr>
              <w:tc>
                <w:tcPr>
                  <w:shd w:val="clear" w:color="auto" w:fill="auto"/>
                  <w:tcW w:w="719" w:type="dxa"/>
                  <w:vAlign w:val="center"/>
                  <w:textDirection w:val="lrTb"/>
                  <w:noWrap w:val="false"/>
                </w:tcPr>
                <w:p>
                  <w:pPr>
                    <w:ind w:left="211"/>
                    <w:spacing w:before="14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106</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内存速率</w:t>
                  </w:r>
                  <w:r/>
                </w:p>
              </w:tc>
              <w:tc>
                <w:tcPr>
                  <w:shd w:val="clear" w:color="auto" w:fill="auto"/>
                  <w:tcW w:w="4535" w:type="dxa"/>
                  <w:vAlign w:val="center"/>
                  <w:textDirection w:val="lrTb"/>
                  <w:noWrap w:val="false"/>
                </w:tcPr>
                <w:p>
                  <w:pPr>
                    <w:ind w:left="131"/>
                    <w:spacing w:before="149"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w:t>
                  </w:r>
                  <w:r>
                    <w:rPr>
                      <w:rFonts w:hint="default" w:ascii="宋体" w:hAnsi="宋体" w:eastAsia="宋体" w:cs="宋体"/>
                      <w:i/>
                      <w:iCs/>
                      <w:color w:val="auto"/>
                      <w:spacing w:val="-3"/>
                      <w:sz w:val="24"/>
                      <w:szCs w:val="24"/>
                      <w:highlight w:val="none"/>
                      <w:u w:val="single"/>
                      <w:lang w:eastAsia="en-US"/>
                    </w:rPr>
                    <w:t xml:space="preserve">4800</w:t>
                  </w:r>
                  <w:r>
                    <w:rPr>
                      <w:rFonts w:hint="eastAsia" w:ascii="宋体" w:hAnsi="宋体" w:eastAsia="宋体" w:cs="宋体"/>
                      <w:i/>
                      <w:iCs/>
                      <w:color w:val="auto"/>
                      <w:spacing w:val="-3"/>
                      <w:sz w:val="24"/>
                      <w:szCs w:val="24"/>
                      <w:highlight w:val="none"/>
                      <w:u w:val="single"/>
                      <w:lang w:eastAsia="en-US"/>
                    </w:rPr>
                    <w:t xml:space="preserve">MT/s</w:t>
                  </w:r>
                  <w:r/>
                </w:p>
              </w:tc>
            </w:tr>
            <w:tr>
              <w:trPr>
                <w:jc w:val="center"/>
                <w:trHeight w:val="472"/>
              </w:trPr>
              <w:tc>
                <w:tcPr>
                  <w:shd w:val="clear" w:color="auto" w:fill="auto"/>
                  <w:tcW w:w="719" w:type="dxa"/>
                  <w:vAlign w:val="center"/>
                  <w:textDirection w:val="lrTb"/>
                  <w:noWrap w:val="false"/>
                </w:tcPr>
                <w:p>
                  <w:pPr>
                    <w:ind w:left="211"/>
                    <w:spacing w:before="150"/>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107</w:t>
                  </w:r>
                  <w:r/>
                </w:p>
              </w:tc>
              <w:tc>
                <w:tcPr>
                  <w:shd w:val="clear" w:color="auto" w:fill="auto"/>
                  <w:tcW w:w="1239" w:type="dxa"/>
                  <w:vAlign w:val="center"/>
                  <w:textDirection w:val="lrTb"/>
                  <w:noWrap w:val="false"/>
                </w:tcPr>
                <w:p>
                  <w:pPr>
                    <w:ind w:left="189"/>
                    <w:jc w:val="center"/>
                    <w:spacing w:before="31"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w:t>
                  </w:r>
                  <w:r>
                    <w:rPr>
                      <w:rFonts w:hint="eastAsia" w:ascii="宋体" w:hAnsi="宋体" w:eastAsia="宋体" w:cs="宋体"/>
                      <w:color w:val="auto"/>
                      <w:spacing w:val="-4"/>
                      <w:sz w:val="24"/>
                      <w:szCs w:val="24"/>
                      <w:highlight w:val="none"/>
                      <w:lang w:eastAsia="en-US"/>
                    </w:rPr>
                    <w:t xml:space="preserve">性能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硬盘转速</w:t>
                  </w:r>
                  <w:r/>
                </w:p>
              </w:tc>
              <w:tc>
                <w:tcPr>
                  <w:shd w:val="clear" w:color="auto" w:fill="auto"/>
                  <w:tcW w:w="4535" w:type="dxa"/>
                  <w:vAlign w:val="center"/>
                  <w:textDirection w:val="lrTb"/>
                  <w:noWrap w:val="false"/>
                </w:tcPr>
                <w:p>
                  <w:pPr>
                    <w:ind w:left="120"/>
                    <w:spacing w:before="147" w:line="21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安装的硬磁盘转速不小于7200</w:t>
                  </w:r>
                  <w:r>
                    <w:rPr>
                      <w:rFonts w:hint="eastAsia" w:ascii="宋体" w:hAnsi="宋体" w:eastAsia="宋体" w:cs="宋体"/>
                      <w:i/>
                      <w:iCs/>
                      <w:color w:val="auto"/>
                      <w:sz w:val="24"/>
                      <w:szCs w:val="24"/>
                      <w:highlight w:val="none"/>
                      <w:u w:val="single"/>
                    </w:rPr>
                    <w:t xml:space="preserve">rpm</w:t>
                  </w:r>
                  <w:r/>
                </w:p>
              </w:tc>
            </w:tr>
            <w:tr>
              <w:trPr>
                <w:jc w:val="center"/>
                <w:trHeight w:val="706"/>
              </w:trPr>
              <w:tc>
                <w:tcPr>
                  <w:shd w:val="clear" w:color="auto" w:fill="auto"/>
                  <w:tcW w:w="719" w:type="dxa"/>
                  <w:vAlign w:val="center"/>
                  <w:textDirection w:val="lrTb"/>
                  <w:noWrap w:val="false"/>
                </w:tcPr>
                <w:p>
                  <w:pPr>
                    <w:ind w:left="211"/>
                    <w:spacing w:before="26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108</w:t>
                  </w:r>
                  <w:r/>
                </w:p>
              </w:tc>
              <w:tc>
                <w:tcPr>
                  <w:shd w:val="clear" w:color="auto" w:fill="auto"/>
                  <w:tcW w:w="1239" w:type="dxa"/>
                  <w:vAlign w:val="center"/>
                  <w:textDirection w:val="lrTb"/>
                  <w:noWrap w:val="false"/>
                </w:tcPr>
                <w:p>
                  <w:pPr>
                    <w:ind w:left="189" w:right="185"/>
                    <w:jc w:val="center"/>
                    <w:spacing w:before="32" w:line="22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5"/>
                      <w:sz w:val="24"/>
                      <w:szCs w:val="24"/>
                      <w:highlight w:val="none"/>
                      <w:lang w:eastAsia="en-US"/>
                    </w:rPr>
                    <w:t xml:space="preserve">卡性</w:t>
                  </w:r>
                  <w:r>
                    <w:rPr>
                      <w:rFonts w:hint="eastAsia" w:ascii="宋体" w:hAnsi="宋体" w:eastAsia="宋体" w:cs="宋体"/>
                      <w:color w:val="auto"/>
                      <w:spacing w:val="37"/>
                      <w:sz w:val="24"/>
                      <w:szCs w:val="24"/>
                      <w:highlight w:val="none"/>
                      <w:lang w:eastAsia="en-US"/>
                    </w:rPr>
                    <w:t xml:space="preserve">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卡缓存容量大小</w:t>
                  </w:r>
                  <w:r/>
                </w:p>
              </w:tc>
              <w:tc>
                <w:tcPr>
                  <w:shd w:val="clear" w:color="auto" w:fill="auto"/>
                  <w:tcW w:w="4535" w:type="dxa"/>
                  <w:vAlign w:val="center"/>
                  <w:textDirection w:val="lrTb"/>
                  <w:noWrap w:val="false"/>
                </w:tcPr>
                <w:p>
                  <w:pPr>
                    <w:ind w:left="115" w:right="168" w:hanging="2"/>
                    <w:spacing w:before="148"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若配备RAID卡且RAID卡有缓存容量，容量不少于</w:t>
                  </w:r>
                  <w:r>
                    <w:rPr>
                      <w:rFonts w:hint="default" w:ascii="宋体" w:hAnsi="宋体" w:eastAsia="宋体" w:cs="宋体"/>
                      <w:i/>
                      <w:iCs/>
                      <w:color w:val="auto"/>
                      <w:spacing w:val="-3"/>
                      <w:sz w:val="24"/>
                      <w:szCs w:val="24"/>
                      <w:highlight w:val="none"/>
                      <w:u w:val="single"/>
                      <w:lang w:eastAsia="en-US"/>
                    </w:rPr>
                    <w:t xml:space="preserve">4</w:t>
                  </w:r>
                  <w:r>
                    <w:rPr>
                      <w:rFonts w:hint="eastAsia" w:ascii="宋体" w:hAnsi="宋体" w:eastAsia="宋体" w:cs="宋体"/>
                      <w:i/>
                      <w:iCs/>
                      <w:color w:val="auto"/>
                      <w:spacing w:val="-3"/>
                      <w:sz w:val="24"/>
                      <w:szCs w:val="24"/>
                      <w:highlight w:val="none"/>
                      <w:u w:val="single"/>
                      <w:lang w:eastAsia="en-US"/>
                    </w:rPr>
                    <w:t xml:space="preserve">GB</w:t>
                  </w:r>
                  <w:r/>
                </w:p>
              </w:tc>
            </w:tr>
            <w:tr>
              <w:trPr>
                <w:jc w:val="center"/>
                <w:trHeight w:val="705"/>
              </w:trPr>
              <w:tc>
                <w:tcPr>
                  <w:shd w:val="clear" w:color="auto" w:fill="auto"/>
                  <w:tcW w:w="719" w:type="dxa"/>
                  <w:vAlign w:val="center"/>
                  <w:textDirection w:val="lrTb"/>
                  <w:noWrap w:val="false"/>
                </w:tcPr>
                <w:p>
                  <w:pPr>
                    <w:ind w:left="211"/>
                    <w:spacing w:before="26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109</w:t>
                  </w:r>
                  <w:r/>
                </w:p>
              </w:tc>
              <w:tc>
                <w:tcPr>
                  <w:shd w:val="clear" w:color="auto" w:fill="auto"/>
                  <w:tcW w:w="1239" w:type="dxa"/>
                  <w:vAlign w:val="center"/>
                  <w:textDirection w:val="lrTb"/>
                  <w:noWrap w:val="false"/>
                </w:tcPr>
                <w:p>
                  <w:pPr>
                    <w:ind w:left="113"/>
                    <w:jc w:val="center"/>
                    <w:spacing w:before="59" w:line="184"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FCHBA</w:t>
                  </w:r>
                  <w:r/>
                </w:p>
                <w:p>
                  <w:pPr>
                    <w:ind w:left="189"/>
                    <w:jc w:val="center"/>
                    <w:spacing w:before="25"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卡性</w:t>
                  </w:r>
                  <w:r/>
                </w:p>
                <w:p>
                  <w:pPr>
                    <w:ind w:left="285"/>
                    <w:jc w:val="center"/>
                    <w:spacing w:before="15" w:line="20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FC HBA 卡速率</w:t>
                  </w:r>
                  <w:r/>
                </w:p>
              </w:tc>
              <w:tc>
                <w:tcPr>
                  <w:shd w:val="clear" w:color="auto" w:fill="auto"/>
                  <w:tcW w:w="4535" w:type="dxa"/>
                  <w:vAlign w:val="center"/>
                  <w:textDirection w:val="lrTb"/>
                  <w:noWrap w:val="false"/>
                </w:tcPr>
                <w:p>
                  <w:pPr>
                    <w:ind w:left="113" w:right="103"/>
                    <w:spacing w:before="146" w:line="24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若配备FC HBA卡，单端口最大的连</w:t>
                  </w:r>
                  <w:r>
                    <w:rPr>
                      <w:rFonts w:hint="eastAsia" w:ascii="宋体" w:hAnsi="宋体" w:eastAsia="宋体" w:cs="宋体"/>
                      <w:i/>
                      <w:iCs/>
                      <w:color w:val="auto"/>
                      <w:spacing w:val="4"/>
                      <w:sz w:val="24"/>
                      <w:szCs w:val="24"/>
                      <w:highlight w:val="none"/>
                      <w:u w:val="single"/>
                      <w:lang w:eastAsia="en-US"/>
                    </w:rPr>
                    <w:t xml:space="preserve">接速率不少于</w:t>
                  </w:r>
                  <w:r>
                    <w:rPr>
                      <w:rFonts w:hint="default" w:ascii="宋体" w:hAnsi="宋体" w:eastAsia="宋体" w:cs="宋体"/>
                      <w:i/>
                      <w:iCs/>
                      <w:color w:val="auto"/>
                      <w:spacing w:val="4"/>
                      <w:sz w:val="24"/>
                      <w:szCs w:val="24"/>
                      <w:highlight w:val="none"/>
                      <w:u w:val="single"/>
                      <w:lang w:eastAsia="en-US"/>
                    </w:rPr>
                    <w:t xml:space="preserve">16</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4"/>
                      <w:sz w:val="24"/>
                      <w:szCs w:val="24"/>
                      <w:highlight w:val="none"/>
                      <w:u w:val="single"/>
                      <w:lang w:eastAsia="en-US"/>
                    </w:rPr>
                    <w:t xml:space="preserve">/s</w:t>
                  </w:r>
                  <w:r/>
                </w:p>
              </w:tc>
            </w:tr>
            <w:tr>
              <w:trPr>
                <w:jc w:val="center"/>
                <w:trHeight w:val="472"/>
              </w:trPr>
              <w:tc>
                <w:tcPr>
                  <w:shd w:val="clear" w:color="auto" w:fill="auto"/>
                  <w:tcW w:w="719" w:type="dxa"/>
                  <w:vAlign w:val="center"/>
                  <w:textDirection w:val="lrTb"/>
                  <w:noWrap w:val="false"/>
                </w:tcPr>
                <w:p>
                  <w:pPr>
                    <w:ind w:left="211"/>
                    <w:spacing w:before="1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110</w:t>
                  </w:r>
                  <w:r/>
                </w:p>
              </w:tc>
              <w:tc>
                <w:tcPr>
                  <w:shd w:val="clear" w:color="auto" w:fill="auto"/>
                  <w:tcBorders>
                    <w:bottom w:val="none" w:color="000000" w:sz="4" w:space="0"/>
                  </w:tcBorders>
                  <w:tcW w:w="1239" w:type="dxa"/>
                  <w:vAlign w:val="center"/>
                  <w:vMerge w:val="restart"/>
                  <w:textDirection w:val="lrTb"/>
                  <w:noWrap w:val="false"/>
                </w:tcPr>
                <w:p>
                  <w:pPr>
                    <w:ind w:left="188" w:right="186" w:firstLine="8"/>
                    <w:jc w:val="center"/>
                    <w:spacing w:before="269" w:line="24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网络</w:t>
                  </w:r>
                  <w:r>
                    <w:rPr>
                      <w:rFonts w:hint="eastAsia" w:ascii="宋体" w:hAnsi="宋体" w:eastAsia="宋体" w:cs="宋体"/>
                      <w:color w:val="auto"/>
                      <w:spacing w:val="-4"/>
                      <w:sz w:val="24"/>
                      <w:szCs w:val="24"/>
                      <w:highlight w:val="none"/>
                      <w:lang w:eastAsia="en-US"/>
                    </w:rPr>
                    <w:t xml:space="preserve">性能</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独立网卡速率</w:t>
                  </w:r>
                  <w:r/>
                </w:p>
              </w:tc>
              <w:tc>
                <w:tcPr>
                  <w:shd w:val="clear" w:color="auto" w:fill="auto"/>
                  <w:tcW w:w="4535" w:type="dxa"/>
                  <w:vAlign w:val="center"/>
                  <w:textDirection w:val="lrTb"/>
                  <w:noWrap w:val="false"/>
                </w:tcPr>
                <w:p>
                  <w:pPr>
                    <w:ind w:left="131"/>
                    <w:spacing w:before="14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≥1GE</w:t>
                  </w:r>
                  <w:r/>
                </w:p>
              </w:tc>
            </w:tr>
            <w:tr>
              <w:trPr>
                <w:jc w:val="center"/>
                <w:trHeight w:val="472"/>
              </w:trPr>
              <w:tc>
                <w:tcPr>
                  <w:shd w:val="clear" w:color="auto" w:fill="auto"/>
                  <w:tcW w:w="719" w:type="dxa"/>
                  <w:vAlign w:val="center"/>
                  <w:textDirection w:val="lrTb"/>
                  <w:noWrap w:val="false"/>
                </w:tcPr>
                <w:p>
                  <w:pPr>
                    <w:ind w:left="211"/>
                    <w:spacing w:before="148"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111</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板载网卡速率</w:t>
                  </w:r>
                  <w:r/>
                </w:p>
              </w:tc>
              <w:tc>
                <w:tcPr>
                  <w:shd w:val="clear" w:color="auto" w:fill="auto"/>
                  <w:tcW w:w="4535" w:type="dxa"/>
                  <w:vAlign w:val="center"/>
                  <w:textDirection w:val="lrTb"/>
                  <w:noWrap w:val="false"/>
                </w:tcPr>
                <w:p>
                  <w:pPr>
                    <w:ind w:left="131"/>
                    <w:spacing w:before="14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 xml:space="preserve">≥1GE</w:t>
                  </w:r>
                  <w:r/>
                </w:p>
              </w:tc>
            </w:tr>
            <w:tr>
              <w:trPr>
                <w:jc w:val="center"/>
                <w:trHeight w:val="471"/>
              </w:trPr>
              <w:tc>
                <w:tcPr>
                  <w:shd w:val="clear" w:color="auto" w:fill="auto"/>
                  <w:tcW w:w="719" w:type="dxa"/>
                  <w:vAlign w:val="center"/>
                  <w:textDirection w:val="lrTb"/>
                  <w:noWrap w:val="false"/>
                </w:tcPr>
                <w:p>
                  <w:pPr>
                    <w:ind w:left="211"/>
                    <w:spacing w:before="14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112</w:t>
                  </w:r>
                  <w:r/>
                </w:p>
              </w:tc>
              <w:tc>
                <w:tcPr>
                  <w:shd w:val="clear" w:color="auto" w:fill="auto"/>
                  <w:tcW w:w="1239" w:type="dxa"/>
                  <w:vAlign w:val="center"/>
                  <w:textDirection w:val="lrTb"/>
                  <w:noWrap w:val="false"/>
                </w:tcPr>
                <w:p>
                  <w:pPr>
                    <w:ind w:left="193" w:right="141" w:hanging="54"/>
                    <w:jc w:val="center"/>
                    <w:spacing w:before="32" w:line="22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电源</w:t>
                  </w:r>
                  <w:r>
                    <w:rPr>
                      <w:rFonts w:hint="eastAsia" w:ascii="宋体" w:hAnsi="宋体" w:eastAsia="宋体" w:cs="宋体"/>
                      <w:color w:val="auto"/>
                      <w:spacing w:val="-7"/>
                      <w:sz w:val="24"/>
                      <w:szCs w:val="24"/>
                      <w:highlight w:val="none"/>
                      <w:lang w:eastAsia="en-US"/>
                    </w:rPr>
                    <w:t xml:space="preserve">能耗</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电源能耗</w:t>
                  </w:r>
                  <w:r/>
                </w:p>
              </w:tc>
              <w:tc>
                <w:tcPr>
                  <w:shd w:val="clear" w:color="auto" w:fill="auto"/>
                  <w:tcW w:w="4535" w:type="dxa"/>
                  <w:vAlign w:val="center"/>
                  <w:textDirection w:val="lrTb"/>
                  <w:noWrap w:val="false"/>
                </w:tcPr>
                <w:p>
                  <w:pPr>
                    <w:ind w:left="113"/>
                    <w:spacing w:before="146"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符合GB/T 9813.3的有关规定</w:t>
                  </w:r>
                  <w:r/>
                </w:p>
              </w:tc>
            </w:tr>
            <w:tr>
              <w:trPr>
                <w:jc w:val="center"/>
                <w:trHeight w:val="472"/>
              </w:trPr>
              <w:tc>
                <w:tcPr>
                  <w:shd w:val="clear" w:color="auto" w:fill="auto"/>
                  <w:tcW w:w="719" w:type="dxa"/>
                  <w:vAlign w:val="center"/>
                  <w:textDirection w:val="lrTb"/>
                  <w:noWrap w:val="false"/>
                </w:tcPr>
                <w:p>
                  <w:pPr>
                    <w:ind w:left="211"/>
                    <w:spacing w:before="14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113</w:t>
                  </w:r>
                  <w:r/>
                </w:p>
              </w:tc>
              <w:tc>
                <w:tcPr>
                  <w:shd w:val="clear" w:color="auto" w:fill="auto"/>
                  <w:tcBorders>
                    <w:bottom w:val="none" w:color="000000" w:sz="4" w:space="0"/>
                  </w:tcBorders>
                  <w:tcW w:w="1239" w:type="dxa"/>
                  <w:vAlign w:val="center"/>
                  <w:vMerge w:val="restart"/>
                  <w:textDirection w:val="lrTb"/>
                  <w:noWrap w:val="false"/>
                </w:tcPr>
                <w:p>
                  <w:pPr>
                    <w:ind w:left="139"/>
                    <w:jc w:val="center"/>
                    <w:spacing w:before="59"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部件</w:t>
                  </w:r>
                  <w:r/>
                </w:p>
                <w:p>
                  <w:pPr>
                    <w:ind w:left="190"/>
                    <w:jc w:val="center"/>
                    <w:spacing w:before="15"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188"/>
                    <w:jc w:val="center"/>
                    <w:spacing w:before="16"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p>
                <w:p>
                  <w:pPr>
                    <w:ind w:left="281"/>
                    <w:jc w:val="center"/>
                    <w:spacing w:before="18" w:line="22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内存兼容性</w:t>
                  </w:r>
                  <w:r/>
                </w:p>
              </w:tc>
              <w:tc>
                <w:tcPr>
                  <w:shd w:val="clear" w:color="auto" w:fill="auto"/>
                  <w:tcW w:w="4535" w:type="dxa"/>
                  <w:vAlign w:val="center"/>
                  <w:textDirection w:val="lrTb"/>
                  <w:noWrap w:val="false"/>
                </w:tcPr>
                <w:p>
                  <w:pPr>
                    <w:ind w:left="115" w:right="213"/>
                    <w:spacing w:before="32" w:line="22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 xml:space="preserve">适配3种及以上厂商的内存产品，</w:t>
                  </w:r>
                  <w:r>
                    <w:rPr>
                      <w:rFonts w:hint="eastAsia" w:ascii="宋体" w:hAnsi="宋体" w:eastAsia="宋体" w:cs="宋体"/>
                      <w:i/>
                      <w:iCs/>
                      <w:color w:val="auto"/>
                      <w:spacing w:val="-1"/>
                      <w:sz w:val="24"/>
                      <w:szCs w:val="24"/>
                      <w:highlight w:val="none"/>
                      <w:u w:val="single"/>
                    </w:rPr>
                    <w:t xml:space="preserve">且均不低于产品支持的内存规格</w:t>
                  </w:r>
                  <w:r/>
                </w:p>
              </w:tc>
            </w:tr>
            <w:tr>
              <w:trPr>
                <w:jc w:val="center"/>
                <w:trHeight w:val="706"/>
              </w:trPr>
              <w:tc>
                <w:tcPr>
                  <w:shd w:val="clear" w:color="auto" w:fill="auto"/>
                  <w:tcW w:w="719" w:type="dxa"/>
                  <w:vAlign w:val="center"/>
                  <w:textDirection w:val="lrTb"/>
                  <w:noWrap w:val="false"/>
                </w:tcPr>
                <w:p>
                  <w:pPr>
                    <w:ind w:left="211"/>
                    <w:spacing w:before="266"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固态存储兼容性</w:t>
                  </w:r>
                  <w:r/>
                </w:p>
              </w:tc>
              <w:tc>
                <w:tcPr>
                  <w:shd w:val="clear" w:color="auto" w:fill="auto"/>
                  <w:tcW w:w="4535" w:type="dxa"/>
                  <w:vAlign w:val="center"/>
                  <w:textDirection w:val="lrTb"/>
                  <w:noWrap w:val="false"/>
                </w:tcPr>
                <w:p>
                  <w:pPr>
                    <w:ind w:left="112" w:right="168" w:firstLine="3"/>
                    <w:spacing w:before="32" w:line="22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适配3种或以上厂商的固态存储产</w:t>
                  </w:r>
                  <w:r>
                    <w:rPr>
                      <w:rFonts w:hint="eastAsia" w:ascii="宋体" w:hAnsi="宋体" w:eastAsia="宋体" w:cs="宋体"/>
                      <w:i/>
                      <w:iCs/>
                      <w:color w:val="auto"/>
                      <w:spacing w:val="-1"/>
                      <w:sz w:val="24"/>
                      <w:szCs w:val="24"/>
                      <w:highlight w:val="none"/>
                      <w:u w:val="single"/>
                    </w:rPr>
                    <w:t xml:space="preserve">品，且均不低于产品支持的固态存</w:t>
                  </w:r>
                  <w:r>
                    <w:rPr>
                      <w:rFonts w:hint="eastAsia" w:ascii="宋体" w:hAnsi="宋体" w:eastAsia="宋体" w:cs="宋体"/>
                      <w:i/>
                      <w:iCs/>
                      <w:color w:val="auto"/>
                      <w:spacing w:val="-2"/>
                      <w:sz w:val="24"/>
                      <w:szCs w:val="24"/>
                      <w:highlight w:val="none"/>
                      <w:u w:val="single"/>
                    </w:rPr>
                    <w:t xml:space="preserve">储设备规格</w:t>
                  </w:r>
                  <w:r/>
                </w:p>
              </w:tc>
            </w:tr>
            <w:tr>
              <w:trPr>
                <w:jc w:val="center"/>
                <w:trHeight w:val="472"/>
              </w:trPr>
              <w:tc>
                <w:tcPr>
                  <w:shd w:val="clear" w:color="auto" w:fill="auto"/>
                  <w:tcW w:w="719" w:type="dxa"/>
                  <w:vAlign w:val="center"/>
                  <w:textDirection w:val="lrTb"/>
                  <w:noWrap w:val="false"/>
                </w:tcPr>
                <w:p>
                  <w:pPr>
                    <w:ind w:left="211"/>
                    <w:spacing w:before="14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115</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FC HBA 卡兼容性</w:t>
                  </w:r>
                  <w:r/>
                </w:p>
              </w:tc>
              <w:tc>
                <w:tcPr>
                  <w:shd w:val="clear" w:color="auto" w:fill="auto"/>
                  <w:tcW w:w="4535" w:type="dxa"/>
                  <w:vAlign w:val="center"/>
                  <w:textDirection w:val="lrTb"/>
                  <w:noWrap w:val="false"/>
                </w:tcPr>
                <w:p>
                  <w:pPr>
                    <w:ind w:left="115"/>
                    <w:spacing w:before="148"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FC HBA应适配两种或以上厂商产品</w:t>
                  </w:r>
                  <w:r/>
                </w:p>
              </w:tc>
            </w:tr>
            <w:tr>
              <w:trPr>
                <w:jc w:val="center"/>
                <w:trHeight w:val="471"/>
              </w:trPr>
              <w:tc>
                <w:tcPr>
                  <w:shd w:val="clear" w:color="auto" w:fill="auto"/>
                  <w:tcW w:w="719" w:type="dxa"/>
                  <w:vAlign w:val="center"/>
                  <w:textDirection w:val="lrTb"/>
                  <w:noWrap w:val="false"/>
                </w:tcPr>
                <w:p>
                  <w:pPr>
                    <w:ind w:left="211"/>
                    <w:spacing w:before="14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卡兼容性</w:t>
                  </w:r>
                  <w:r/>
                </w:p>
              </w:tc>
              <w:tc>
                <w:tcPr>
                  <w:shd w:val="clear" w:color="auto" w:fill="auto"/>
                  <w:tcW w:w="4535" w:type="dxa"/>
                  <w:vAlign w:val="center"/>
                  <w:textDirection w:val="lrTb"/>
                  <w:noWrap w:val="false"/>
                </w:tcPr>
                <w:p>
                  <w:pPr>
                    <w:ind w:left="114"/>
                    <w:spacing w:before="146"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RAID卡应适配两种或以上厂商产品</w:t>
                  </w:r>
                  <w:r/>
                </w:p>
              </w:tc>
            </w:tr>
            <w:tr>
              <w:trPr>
                <w:jc w:val="center"/>
                <w:trHeight w:val="247"/>
              </w:trPr>
              <w:tc>
                <w:tcPr>
                  <w:shd w:val="clear" w:color="auto" w:fill="auto"/>
                  <w:tcW w:w="719" w:type="dxa"/>
                  <w:vAlign w:val="center"/>
                  <w:textDirection w:val="lrTb"/>
                  <w:noWrap w:val="false"/>
                </w:tcPr>
                <w:p>
                  <w:pPr>
                    <w:ind w:left="211"/>
                    <w:spacing w:before="35" w:line="20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117</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网卡兼容性</w:t>
                  </w:r>
                  <w:r/>
                </w:p>
              </w:tc>
              <w:tc>
                <w:tcPr>
                  <w:shd w:val="clear" w:color="auto" w:fill="auto"/>
                  <w:tcW w:w="4535" w:type="dxa"/>
                  <w:vAlign w:val="center"/>
                  <w:textDirection w:val="lrTb"/>
                  <w:noWrap w:val="false"/>
                </w:tcPr>
                <w:p>
                  <w:pPr>
                    <w:ind w:left="122"/>
                    <w:spacing w:before="35" w:line="20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网卡应适配两种或以上厂商产品</w:t>
                  </w:r>
                  <w:r/>
                </w:p>
              </w:tc>
            </w:tr>
            <w:tr>
              <w:trPr>
                <w:jc w:val="center"/>
                <w:trHeight w:val="706"/>
              </w:trPr>
              <w:tc>
                <w:tcPr>
                  <w:shd w:val="clear" w:color="auto" w:fill="auto"/>
                  <w:tcW w:w="719" w:type="dxa"/>
                  <w:vAlign w:val="center"/>
                  <w:textDirection w:val="lrTb"/>
                  <w:noWrap w:val="false"/>
                </w:tcPr>
                <w:p>
                  <w:pPr>
                    <w:ind w:left="211"/>
                    <w:spacing w:before="261"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118</w:t>
                  </w:r>
                  <w:r/>
                </w:p>
              </w:tc>
              <w:tc>
                <w:tcPr>
                  <w:shd w:val="clear" w:color="auto" w:fill="auto"/>
                  <w:tcBorders>
                    <w:top w:val="none" w:color="000000" w:sz="4" w:space="0"/>
                  </w:tcBorders>
                  <w:tcW w:w="1239"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功能卡兼容性</w:t>
                  </w:r>
                  <w:r/>
                </w:p>
              </w:tc>
              <w:tc>
                <w:tcPr>
                  <w:shd w:val="clear" w:color="auto" w:fill="auto"/>
                  <w:tcW w:w="4535" w:type="dxa"/>
                  <w:vAlign w:val="center"/>
                  <w:textDirection w:val="lrTb"/>
                  <w:noWrap w:val="false"/>
                </w:tcPr>
                <w:p>
                  <w:pPr>
                    <w:ind w:left="120" w:right="50" w:firstLine="4"/>
                    <w:spacing w:before="29" w:line="22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0"/>
                      <w:sz w:val="24"/>
                      <w:szCs w:val="24"/>
                      <w:highlight w:val="none"/>
                      <w:u w:val="single"/>
                    </w:rPr>
                    <w:t xml:space="preserve">内置或适配符合PCIe的功能卡，如：</w:t>
                  </w:r>
                  <w:r>
                    <w:rPr>
                      <w:rFonts w:hint="eastAsia" w:ascii="宋体" w:hAnsi="宋体" w:eastAsia="宋体" w:cs="宋体"/>
                      <w:i/>
                      <w:iCs/>
                      <w:color w:val="auto"/>
                      <w:spacing w:val="-1"/>
                      <w:sz w:val="24"/>
                      <w:szCs w:val="24"/>
                      <w:highlight w:val="none"/>
                      <w:u w:val="single"/>
                    </w:rPr>
                    <w:t xml:space="preserve">网络功能卡、存储功能卡及图形显</w:t>
                  </w:r>
                  <w:r>
                    <w:rPr>
                      <w:rFonts w:hint="eastAsia" w:ascii="宋体" w:hAnsi="宋体" w:eastAsia="宋体" w:cs="宋体"/>
                      <w:i/>
                      <w:iCs/>
                      <w:color w:val="auto"/>
                      <w:spacing w:val="-4"/>
                      <w:sz w:val="24"/>
                      <w:szCs w:val="24"/>
                      <w:highlight w:val="none"/>
                      <w:u w:val="single"/>
                    </w:rPr>
                    <w:t xml:space="preserve">示功能卡</w:t>
                  </w:r>
                  <w:r/>
                </w:p>
              </w:tc>
            </w:tr>
            <w:tr>
              <w:trPr>
                <w:jc w:val="center"/>
                <w:trHeight w:val="1171"/>
              </w:trPr>
              <w:tc>
                <w:tcPr>
                  <w:shd w:val="clear" w:color="auto" w:fill="auto"/>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119</w:t>
                  </w:r>
                  <w:r/>
                </w:p>
              </w:tc>
              <w:tc>
                <w:tcPr>
                  <w:shd w:val="clear" w:color="auto" w:fill="auto"/>
                  <w:tcW w:w="1239" w:type="dxa"/>
                  <w:vAlign w:val="center"/>
                  <w:textDirection w:val="lrTb"/>
                  <w:noWrap w:val="false"/>
                </w:tcPr>
                <w:p>
                  <w:pPr>
                    <w:ind w:left="139"/>
                    <w:jc w:val="center"/>
                    <w:spacing w:before="260"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外设</w:t>
                  </w:r>
                  <w:r/>
                </w:p>
                <w:p>
                  <w:pPr>
                    <w:ind w:left="190"/>
                    <w:jc w:val="center"/>
                    <w:spacing w:before="17"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279"/>
                    <w:jc w:val="center"/>
                    <w:spacing w:before="16"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w:t>
                  </w:r>
                  <w:r/>
                </w:p>
              </w:tc>
              <w:tc>
                <w:tcPr>
                  <w:shd w:val="clear" w:color="auto" w:fill="auto"/>
                  <w:tcW w:w="1335" w:type="dxa"/>
                  <w:vAlign w:val="center"/>
                  <w:textDirection w:val="lrTb"/>
                  <w:noWrap w:val="false"/>
                </w:tcPr>
                <w:p>
                  <w:pPr>
                    <w:ind w:right="123"/>
                    <w:jc w:val="center"/>
                    <w:spacing w:before="59" w:line="24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外设兼容性</w:t>
                  </w:r>
                  <w:r/>
                </w:p>
              </w:tc>
              <w:tc>
                <w:tcPr>
                  <w:shd w:val="clear" w:color="auto" w:fill="auto"/>
                  <w:tcW w:w="4535" w:type="dxa"/>
                  <w:vAlign w:val="center"/>
                  <w:textDirection w:val="lrTb"/>
                  <w:noWrap w:val="false"/>
                </w:tcPr>
                <w:p>
                  <w:pPr>
                    <w:ind w:left="115"/>
                    <w:spacing w:before="27"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兼容多种主流生产商的外部设备，</w:t>
                  </w:r>
                  <w:r/>
                </w:p>
                <w:p>
                  <w:pPr>
                    <w:ind w:left="112" w:right="41"/>
                    <w:spacing w:before="24" w:line="23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包括显示器、键盘、鼠标、闪存盘、</w:t>
                  </w:r>
                  <w:r>
                    <w:rPr>
                      <w:rFonts w:hint="eastAsia" w:ascii="宋体" w:hAnsi="宋体" w:eastAsia="宋体" w:cs="宋体"/>
                      <w:i/>
                      <w:iCs/>
                      <w:color w:val="auto"/>
                      <w:spacing w:val="-6"/>
                      <w:sz w:val="24"/>
                      <w:szCs w:val="24"/>
                      <w:highlight w:val="none"/>
                      <w:u w:val="single"/>
                    </w:rPr>
                    <w:t xml:space="preserve">移动硬盘、USB光驱及KVM等，要求</w:t>
                  </w:r>
                  <w:r>
                    <w:rPr>
                      <w:rFonts w:hint="eastAsia" w:ascii="宋体" w:hAnsi="宋体" w:eastAsia="宋体" w:cs="宋体"/>
                      <w:i/>
                      <w:iCs/>
                      <w:color w:val="auto"/>
                      <w:spacing w:val="-1"/>
                      <w:sz w:val="24"/>
                      <w:szCs w:val="24"/>
                      <w:highlight w:val="none"/>
                      <w:u w:val="single"/>
                    </w:rPr>
                    <w:t xml:space="preserve">使用不同厂商的外部设备时，系统均能正常识别和安装驱动</w:t>
                  </w:r>
                  <w:r/>
                </w:p>
              </w:tc>
            </w:tr>
            <w:tr>
              <w:trPr>
                <w:jc w:val="center"/>
                <w:trHeight w:val="472"/>
              </w:trPr>
              <w:tc>
                <w:tcPr>
                  <w:shd w:val="clear" w:color="auto" w:fill="auto"/>
                  <w:tcW w:w="719" w:type="dxa"/>
                  <w:vAlign w:val="center"/>
                  <w:textDirection w:val="lrTb"/>
                  <w:noWrap w:val="false"/>
                </w:tcPr>
                <w:p>
                  <w:pPr>
                    <w:ind w:left="211"/>
                    <w:spacing w:before="1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120</w:t>
                  </w:r>
                  <w:r/>
                </w:p>
              </w:tc>
              <w:tc>
                <w:tcPr>
                  <w:shd w:val="clear" w:color="auto" w:fill="auto"/>
                  <w:tcBorders>
                    <w:bottom w:val="none" w:color="000000" w:sz="4" w:space="0"/>
                  </w:tcBorders>
                  <w:tcW w:w="1239" w:type="dxa"/>
                  <w:vAlign w:val="center"/>
                  <w:vMerge w:val="restart"/>
                  <w:textDirection w:val="lrTb"/>
                  <w:noWrap w:val="false"/>
                </w:tcPr>
                <w:p>
                  <w:pPr>
                    <w:ind w:left="139"/>
                    <w:jc w:val="center"/>
                    <w:spacing w:before="5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软件</w:t>
                  </w:r>
                  <w:r/>
                </w:p>
                <w:p>
                  <w:pPr>
                    <w:ind w:left="190"/>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279"/>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数据库兼容</w:t>
                  </w:r>
                  <w:r/>
                </w:p>
              </w:tc>
              <w:tc>
                <w:tcPr>
                  <w:shd w:val="clear" w:color="auto" w:fill="auto"/>
                  <w:tcW w:w="4535" w:type="dxa"/>
                  <w:vAlign w:val="center"/>
                  <w:textDirection w:val="lrTb"/>
                  <w:noWrap w:val="false"/>
                </w:tcPr>
                <w:p>
                  <w:pPr>
                    <w:ind w:left="115"/>
                    <w:spacing w:before="145"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兼容3个及以上厂商的数据库产品</w:t>
                  </w:r>
                  <w:r/>
                </w:p>
              </w:tc>
            </w:tr>
            <w:tr>
              <w:trPr>
                <w:jc w:val="center"/>
                <w:trHeight w:val="485"/>
              </w:trPr>
              <w:tc>
                <w:tcPr>
                  <w:shd w:val="clear" w:color="auto" w:fill="auto"/>
                  <w:tcW w:w="719" w:type="dxa"/>
                  <w:vAlign w:val="center"/>
                  <w:textDirection w:val="lrTb"/>
                  <w:noWrap w:val="false"/>
                </w:tcPr>
                <w:p>
                  <w:pPr>
                    <w:ind w:left="211"/>
                    <w:spacing w:before="15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121</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中间件兼容</w:t>
                  </w:r>
                  <w:r/>
                </w:p>
              </w:tc>
              <w:tc>
                <w:tcPr>
                  <w:shd w:val="clear" w:color="auto" w:fill="auto"/>
                  <w:tcW w:w="4535" w:type="dxa"/>
                  <w:vAlign w:val="center"/>
                  <w:textDirection w:val="lrTb"/>
                  <w:noWrap w:val="false"/>
                </w:tcPr>
                <w:p>
                  <w:pPr>
                    <w:ind w:left="115"/>
                    <w:spacing w:before="160"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兼容3个及以上厂商的中间件产品</w:t>
                  </w:r>
                  <w:r/>
                </w:p>
              </w:tc>
            </w:tr>
            <w:tr>
              <w:trPr>
                <w:jc w:val="center"/>
                <w:trHeight w:val="485"/>
              </w:trPr>
              <w:tc>
                <w:tcPr>
                  <w:shd w:val="clear" w:color="auto" w:fill="auto"/>
                  <w:tcW w:w="719" w:type="dxa"/>
                  <w:vAlign w:val="center"/>
                  <w:textDirection w:val="lrTb"/>
                  <w:noWrap w:val="false"/>
                </w:tcPr>
                <w:p>
                  <w:pPr>
                    <w:ind w:left="211"/>
                    <w:spacing w:before="152"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122</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平台软件兼容</w:t>
                  </w:r>
                  <w:r/>
                </w:p>
              </w:tc>
              <w:tc>
                <w:tcPr>
                  <w:shd w:val="clear" w:color="auto" w:fill="auto"/>
                  <w:tcW w:w="4535" w:type="dxa"/>
                  <w:vAlign w:val="center"/>
                  <w:textDirection w:val="lrTb"/>
                  <w:noWrap w:val="false"/>
                </w:tcPr>
                <w:p>
                  <w:pPr>
                    <w:ind w:left="115"/>
                    <w:spacing w:before="159"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兼容3个及以上厂商的大数据平台</w:t>
                  </w:r>
                  <w:r/>
                </w:p>
              </w:tc>
            </w:tr>
            <w:tr>
              <w:trPr>
                <w:jc w:val="center"/>
                <w:trHeight w:val="485"/>
              </w:trPr>
              <w:tc>
                <w:tcPr>
                  <w:shd w:val="clear" w:color="auto" w:fill="auto"/>
                  <w:tcW w:w="719" w:type="dxa"/>
                  <w:vAlign w:val="center"/>
                  <w:textDirection w:val="lrTb"/>
                  <w:noWrap w:val="false"/>
                </w:tcPr>
                <w:p>
                  <w:pPr>
                    <w:ind w:left="211"/>
                    <w:spacing w:before="15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123</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虚拟化软件兼容</w:t>
                  </w:r>
                  <w:r/>
                </w:p>
              </w:tc>
              <w:tc>
                <w:tcPr>
                  <w:shd w:val="clear" w:color="auto" w:fill="auto"/>
                  <w:tcW w:w="4535" w:type="dxa"/>
                  <w:vAlign w:val="center"/>
                  <w:textDirection w:val="lrTb"/>
                  <w:noWrap w:val="false"/>
                </w:tcPr>
                <w:p>
                  <w:pPr>
                    <w:ind w:left="115"/>
                    <w:spacing w:before="159"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兼容2款及以上虚拟化软件</w:t>
                  </w:r>
                  <w:r/>
                </w:p>
              </w:tc>
            </w:tr>
            <w:tr>
              <w:trPr>
                <w:jc w:val="center"/>
                <w:trHeight w:val="964"/>
              </w:trPr>
              <w:tc>
                <w:tcPr>
                  <w:shd w:val="clear" w:color="auto" w:fill="auto"/>
                  <w:tcW w:w="719" w:type="dxa"/>
                  <w:vAlign w:val="center"/>
                  <w:textDirection w:val="lrTb"/>
                  <w:noWrap w:val="false"/>
                </w:tcPr>
                <w:p>
                  <w:pPr>
                    <w:ind w:left="211"/>
                    <w:spacing w:before="58"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124</w:t>
                  </w:r>
                  <w:r/>
                </w:p>
              </w:tc>
              <w:tc>
                <w:tcPr>
                  <w:shd w:val="clear" w:color="auto" w:fill="auto"/>
                  <w:tcW w:w="1239" w:type="dxa"/>
                  <w:vAlign w:val="center"/>
                  <w:textDirection w:val="lrTb"/>
                  <w:noWrap w:val="false"/>
                </w:tcPr>
                <w:p>
                  <w:pPr>
                    <w:ind w:left="189"/>
                    <w:jc w:val="center"/>
                    <w:spacing w:before="3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w:t>
                  </w:r>
                  <w:r/>
                </w:p>
                <w:p>
                  <w:pPr>
                    <w:ind w:left="191"/>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可靠</w:t>
                  </w:r>
                  <w:r/>
                </w:p>
                <w:p>
                  <w:pPr>
                    <w:ind w:left="280" w:right="186" w:hanging="92"/>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rPr>
                      <w:rFonts w:hint="eastAsia" w:ascii="宋体" w:hAnsi="宋体" w:eastAsia="宋体" w:cs="宋体"/>
                      <w:color w:val="auto"/>
                      <w:sz w:val="24"/>
                      <w:szCs w:val="24"/>
                      <w:highlight w:val="none"/>
                      <w:lang w:eastAsia="en-US"/>
                    </w:rPr>
                    <w:t xml:space="preserve">求</w:t>
                  </w:r>
                  <w:r/>
                </w:p>
              </w:tc>
              <w:tc>
                <w:tcPr>
                  <w:shd w:val="clear" w:color="auto" w:fill="auto"/>
                  <w:tcW w:w="1335" w:type="dxa"/>
                  <w:vAlign w:val="center"/>
                  <w:textDirection w:val="lrTb"/>
                  <w:noWrap w:val="false"/>
                </w:tcPr>
                <w:p>
                  <w:pPr>
                    <w:ind w:right="213"/>
                    <w:jc w:val="center"/>
                    <w:spacing w:before="58" w:line="25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SSD可靠性</w:t>
                  </w:r>
                  <w:r/>
                </w:p>
              </w:tc>
              <w:tc>
                <w:tcPr>
                  <w:shd w:val="clear" w:color="auto" w:fill="auto"/>
                  <w:tcW w:w="4535" w:type="dxa"/>
                  <w:vAlign w:val="center"/>
                  <w:textDirection w:val="lrTb"/>
                  <w:noWrap w:val="false"/>
                </w:tcPr>
                <w:p>
                  <w:pPr>
                    <w:ind w:left="115" w:right="102" w:hanging="2"/>
                    <w:spacing w:before="27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SSD的m1值（MTBF的不可接受值）</w:t>
                  </w:r>
                  <w:r>
                    <w:rPr>
                      <w:rFonts w:hint="eastAsia" w:ascii="宋体" w:hAnsi="宋体" w:eastAsia="宋体" w:cs="宋体"/>
                      <w:i/>
                      <w:iCs/>
                      <w:color w:val="auto"/>
                      <w:spacing w:val="-2"/>
                      <w:sz w:val="24"/>
                      <w:szCs w:val="24"/>
                      <w:highlight w:val="none"/>
                      <w:u w:val="single"/>
                      <w:lang w:eastAsia="en-US"/>
                    </w:rPr>
                    <w:t xml:space="preserve">不低于200000h</w:t>
                  </w:r>
                  <w:r/>
                </w:p>
              </w:tc>
            </w:tr>
            <w:tr>
              <w:trPr>
                <w:jc w:val="center"/>
                <w:trHeight w:val="725"/>
              </w:trPr>
              <w:tc>
                <w:tcPr>
                  <w:shd w:val="clear" w:color="auto" w:fill="auto"/>
                  <w:tcW w:w="719" w:type="dxa"/>
                  <w:vAlign w:val="center"/>
                  <w:textDirection w:val="lrTb"/>
                  <w:noWrap w:val="false"/>
                </w:tcPr>
                <w:p>
                  <w:pPr>
                    <w:ind w:left="211"/>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125</w:t>
                  </w:r>
                  <w:r/>
                </w:p>
              </w:tc>
              <w:tc>
                <w:tcPr>
                  <w:shd w:val="clear" w:color="auto" w:fill="auto"/>
                  <w:tcBorders>
                    <w:bottom w:val="none" w:color="000000" w:sz="4" w:space="0"/>
                  </w:tcBorders>
                  <w:tcW w:w="1239" w:type="dxa"/>
                  <w:vAlign w:val="center"/>
                  <w:vMerge w:val="restart"/>
                  <w:textDirection w:val="lrTb"/>
                  <w:noWrap w:val="false"/>
                </w:tcPr>
                <w:p>
                  <w:pPr>
                    <w:ind w:left="139"/>
                    <w:jc w:val="center"/>
                    <w:spacing w:before="58" w:line="224"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p>
                <w:p>
                  <w:pPr>
                    <w:ind w:left="191"/>
                    <w:jc w:val="center"/>
                    <w:spacing w:before="20"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可靠</w:t>
                  </w:r>
                  <w:r/>
                </w:p>
                <w:p>
                  <w:pPr>
                    <w:ind w:left="188"/>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p>
                <w:p>
                  <w:pPr>
                    <w:ind w:left="281"/>
                    <w:jc w:val="center"/>
                    <w:spacing w:before="23" w:line="22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整机可靠性</w:t>
                  </w:r>
                  <w:r/>
                </w:p>
              </w:tc>
              <w:tc>
                <w:tcPr>
                  <w:shd w:val="clear" w:color="auto" w:fill="auto"/>
                  <w:tcW w:w="4535" w:type="dxa"/>
                  <w:vAlign w:val="center"/>
                  <w:textDirection w:val="lrTb"/>
                  <w:noWrap w:val="false"/>
                </w:tcPr>
                <w:p>
                  <w:pPr>
                    <w:ind w:left="113" w:right="103" w:hanging="4"/>
                    <w:spacing w:before="159" w:line="25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m1值（MTBF的不可接受值）不得低于30000h</w:t>
                  </w:r>
                  <w:r/>
                </w:p>
              </w:tc>
            </w:tr>
            <w:tr>
              <w:trPr>
                <w:jc w:val="center"/>
                <w:trHeight w:val="485"/>
              </w:trPr>
              <w:tc>
                <w:tcPr>
                  <w:shd w:val="clear" w:color="auto" w:fill="auto"/>
                  <w:tcW w:w="719" w:type="dxa"/>
                  <w:vAlign w:val="center"/>
                  <w:textDirection w:val="lrTb"/>
                  <w:noWrap w:val="false"/>
                </w:tcPr>
                <w:p>
                  <w:pPr>
                    <w:ind w:left="211"/>
                    <w:spacing w:before="152"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风扇可靠性</w:t>
                  </w:r>
                  <w:r/>
                </w:p>
              </w:tc>
              <w:tc>
                <w:tcPr>
                  <w:shd w:val="clear" w:color="auto" w:fill="auto"/>
                  <w:tcW w:w="4535" w:type="dxa"/>
                  <w:vAlign w:val="center"/>
                  <w:textDirection w:val="lrTb"/>
                  <w:noWrap w:val="false"/>
                </w:tcPr>
                <w:p>
                  <w:pPr>
                    <w:ind w:left="114"/>
                    <w:spacing w:before="1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风扇寿命应不低于40000h</w:t>
                  </w:r>
                  <w:r/>
                </w:p>
              </w:tc>
            </w:tr>
            <w:tr>
              <w:trPr>
                <w:jc w:val="center"/>
                <w:trHeight w:val="485"/>
              </w:trPr>
              <w:tc>
                <w:tcPr>
                  <w:shd w:val="clear" w:color="auto" w:fill="auto"/>
                  <w:tcW w:w="719" w:type="dxa"/>
                  <w:vAlign w:val="center"/>
                  <w:textDirection w:val="lrTb"/>
                  <w:noWrap w:val="false"/>
                </w:tcPr>
                <w:p>
                  <w:pPr>
                    <w:ind w:left="211"/>
                    <w:spacing w:before="15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127</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部件可靠性</w:t>
                  </w:r>
                  <w:r/>
                </w:p>
              </w:tc>
              <w:tc>
                <w:tcPr>
                  <w:shd w:val="clear" w:color="auto" w:fill="auto"/>
                  <w:tcW w:w="4535" w:type="dxa"/>
                  <w:vAlign w:val="center"/>
                  <w:textDirection w:val="lrTb"/>
                  <w:noWrap w:val="false"/>
                </w:tcPr>
                <w:p>
                  <w:pPr>
                    <w:ind w:left="114" w:right="103" w:firstLine="4"/>
                    <w:spacing w:before="4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支持硬盘、电源、风扇热插拔(内置</w:t>
                  </w:r>
                  <w:r>
                    <w:rPr>
                      <w:rFonts w:hint="eastAsia" w:ascii="宋体" w:hAnsi="宋体" w:eastAsia="宋体" w:cs="宋体"/>
                      <w:i/>
                      <w:iCs/>
                      <w:color w:val="auto"/>
                      <w:spacing w:val="-2"/>
                      <w:sz w:val="24"/>
                      <w:szCs w:val="24"/>
                      <w:highlight w:val="none"/>
                      <w:u w:val="single"/>
                    </w:rPr>
                    <w:t xml:space="preserve">风扇除外)</w:t>
                  </w:r>
                  <w:r/>
                </w:p>
              </w:tc>
            </w:tr>
            <w:tr>
              <w:trPr>
                <w:jc w:val="center"/>
                <w:trHeight w:val="964"/>
              </w:trPr>
              <w:tc>
                <w:tcPr>
                  <w:shd w:val="clear" w:color="auto" w:fill="auto"/>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128</w:t>
                  </w:r>
                  <w:r/>
                </w:p>
              </w:tc>
              <w:tc>
                <w:tcPr>
                  <w:shd w:val="clear" w:color="auto" w:fill="auto"/>
                  <w:tcW w:w="1239" w:type="dxa"/>
                  <w:vAlign w:val="center"/>
                  <w:textDirection w:val="lrTb"/>
                  <w:noWrap w:val="false"/>
                </w:tcPr>
                <w:p>
                  <w:pPr>
                    <w:ind w:left="188" w:right="141" w:hanging="49"/>
                    <w:jc w:val="center"/>
                    <w:spacing w:before="41"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包装</w:t>
                  </w:r>
                  <w:r>
                    <w:rPr>
                      <w:rFonts w:hint="eastAsia" w:ascii="宋体" w:hAnsi="宋体" w:eastAsia="宋体" w:cs="宋体"/>
                      <w:color w:val="auto"/>
                      <w:spacing w:val="-4"/>
                      <w:sz w:val="24"/>
                      <w:szCs w:val="24"/>
                      <w:highlight w:val="none"/>
                      <w:lang w:eastAsia="en-US"/>
                    </w:rPr>
                    <w:t xml:space="preserve">及运</w:t>
                  </w:r>
                  <w:r/>
                </w:p>
                <w:p>
                  <w:pPr>
                    <w:ind w:left="280" w:right="186" w:hanging="93"/>
                    <w:jc w:val="center"/>
                    <w:spacing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输要</w:t>
                  </w:r>
                  <w:r>
                    <w:rPr>
                      <w:rFonts w:hint="eastAsia" w:ascii="宋体" w:hAnsi="宋体" w:eastAsia="宋体" w:cs="宋体"/>
                      <w:color w:val="auto"/>
                      <w:sz w:val="24"/>
                      <w:szCs w:val="24"/>
                      <w:highlight w:val="none"/>
                      <w:lang w:eastAsia="en-US"/>
                    </w:rPr>
                    <w:t xml:space="preserve">求</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标志、包</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装、运输和贮存</w:t>
                  </w:r>
                  <w:r/>
                </w:p>
              </w:tc>
              <w:tc>
                <w:tcPr>
                  <w:shd w:val="clear" w:color="auto" w:fill="auto"/>
                  <w:tcW w:w="4535" w:type="dxa"/>
                  <w:vAlign w:val="center"/>
                  <w:textDirection w:val="lrTb"/>
                  <w:noWrap w:val="false"/>
                </w:tcPr>
                <w:p>
                  <w:pPr>
                    <w:ind w:left="112" w:right="168"/>
                    <w:spacing w:before="281" w:line="24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符合</w:t>
                  </w:r>
                  <w:r>
                    <w:rPr>
                      <w:rFonts w:hint="eastAsia" w:ascii="宋体" w:hAnsi="宋体" w:eastAsia="宋体" w:cs="宋体"/>
                      <w:i/>
                      <w:iCs/>
                      <w:color w:val="auto"/>
                      <w:sz w:val="24"/>
                      <w:szCs w:val="24"/>
                      <w:highlight w:val="none"/>
                      <w:u w:val="single"/>
                    </w:rPr>
                    <w:t xml:space="preserve">GB</w:t>
                  </w:r>
                  <w:r>
                    <w:rPr>
                      <w:rFonts w:hint="eastAsia" w:ascii="宋体" w:hAnsi="宋体" w:eastAsia="宋体" w:cs="宋体"/>
                      <w:i/>
                      <w:iCs/>
                      <w:color w:val="auto"/>
                      <w:spacing w:val="1"/>
                      <w:sz w:val="24"/>
                      <w:szCs w:val="24"/>
                      <w:highlight w:val="none"/>
                      <w:u w:val="single"/>
                    </w:rPr>
                    <w:t xml:space="preserve">/T 9813.3和商品包装政府</w:t>
                  </w:r>
                  <w:r>
                    <w:rPr>
                      <w:rFonts w:hint="eastAsia" w:ascii="宋体" w:hAnsi="宋体" w:eastAsia="宋体" w:cs="宋体"/>
                      <w:i/>
                      <w:iCs/>
                      <w:color w:val="auto"/>
                      <w:spacing w:val="-1"/>
                      <w:sz w:val="24"/>
                      <w:szCs w:val="24"/>
                      <w:highlight w:val="none"/>
                      <w:u w:val="single"/>
                    </w:rPr>
                    <w:t xml:space="preserve">采购需求标准的相关规定</w:t>
                  </w:r>
                  <w:r/>
                </w:p>
              </w:tc>
            </w:tr>
            <w:tr>
              <w:trPr>
                <w:jc w:val="center"/>
                <w:trHeight w:val="2644"/>
              </w:trPr>
              <w:tc>
                <w:tcPr>
                  <w:shd w:val="clear" w:color="auto" w:fill="auto"/>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129</w:t>
                  </w:r>
                  <w:r/>
                </w:p>
              </w:tc>
              <w:tc>
                <w:tcPr>
                  <w:shd w:val="clear" w:color="auto" w:fill="auto"/>
                  <w:tcBorders>
                    <w:bottom w:val="none" w:color="000000" w:sz="4" w:space="0"/>
                  </w:tcBorders>
                  <w:tcW w:w="1239" w:type="dxa"/>
                  <w:vAlign w:val="center"/>
                  <w:vMerge w:val="restart"/>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8"/>
                      <w:sz w:val="24"/>
                      <w:szCs w:val="24"/>
                      <w:highlight w:val="none"/>
                      <w:lang w:eastAsia="en-US"/>
                    </w:rPr>
                    <w:t xml:space="preserve">响应</w:t>
                  </w:r>
                  <w:r/>
                </w:p>
              </w:tc>
              <w:tc>
                <w:tcPr>
                  <w:shd w:val="clear" w:color="auto" w:fill="auto"/>
                  <w:tcW w:w="1335" w:type="dxa"/>
                  <w:vAlign w:val="center"/>
                  <w:textDirection w:val="lrTb"/>
                  <w:noWrap w:val="false"/>
                </w:tcPr>
                <w:p>
                  <w:pPr>
                    <w:jc w:val="center"/>
                    <w:spacing w:before="59"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服务响应</w:t>
                  </w:r>
                  <w:r/>
                </w:p>
              </w:tc>
              <w:tc>
                <w:tcPr>
                  <w:shd w:val="clear" w:color="auto" w:fill="auto"/>
                  <w:tcW w:w="4535" w:type="dxa"/>
                  <w:vAlign w:val="center"/>
                  <w:textDirection w:val="lrTb"/>
                  <w:noWrap w:val="false"/>
                </w:tcPr>
                <w:p>
                  <w:pPr>
                    <w:ind w:left="112" w:right="103" w:firstLine="2"/>
                    <w:spacing w:before="42"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提供电话、电子邮件、远程连接</w:t>
                  </w:r>
                  <w:r>
                    <w:rPr>
                      <w:rFonts w:hint="eastAsia" w:ascii="宋体" w:hAnsi="宋体" w:eastAsia="宋体" w:cs="宋体"/>
                      <w:i/>
                      <w:iCs/>
                      <w:color w:val="auto"/>
                      <w:spacing w:val="-1"/>
                      <w:sz w:val="24"/>
                      <w:szCs w:val="24"/>
                      <w:highlight w:val="none"/>
                      <w:u w:val="single"/>
                    </w:rPr>
                    <w:t xml:space="preserve">等多种形式服务；</w:t>
                  </w:r>
                  <w:r/>
                </w:p>
                <w:p>
                  <w:pPr>
                    <w:ind w:left="113" w:right="103" w:firstLine="2"/>
                    <w:spacing w:before="4"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 xml:space="preserve">b) 提供同城4h、异地12h技术响应服务，2个工作日解决问题，对于未</w:t>
                  </w:r>
                  <w:r>
                    <w:rPr>
                      <w:rFonts w:hint="eastAsia" w:ascii="宋体" w:hAnsi="宋体" w:eastAsia="宋体" w:cs="宋体"/>
                      <w:i/>
                      <w:iCs/>
                      <w:color w:val="auto"/>
                      <w:spacing w:val="-1"/>
                      <w:sz w:val="24"/>
                      <w:szCs w:val="24"/>
                      <w:highlight w:val="none"/>
                      <w:u w:val="single"/>
                    </w:rPr>
                    <w:t xml:space="preserve">能解决的问题和故障应提供可行的升级方案，并提供周转设备；</w:t>
                  </w:r>
                  <w:r/>
                </w:p>
                <w:p>
                  <w:pPr>
                    <w:ind w:left="112" w:right="57"/>
                    <w:spacing w:before="6" w:line="24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c) 建立全国技术服务体系和服务</w:t>
                  </w:r>
                  <w:r>
                    <w:rPr>
                      <w:rFonts w:hint="eastAsia" w:ascii="宋体" w:hAnsi="宋体" w:eastAsia="宋体" w:cs="宋体"/>
                      <w:i/>
                      <w:iCs/>
                      <w:color w:val="auto"/>
                      <w:spacing w:val="-5"/>
                      <w:sz w:val="24"/>
                      <w:szCs w:val="24"/>
                      <w:highlight w:val="none"/>
                      <w:u w:val="single"/>
                    </w:rPr>
                    <w:t xml:space="preserve">团体，符合专业服务体系标准要求，</w:t>
                  </w:r>
                  <w:r>
                    <w:rPr>
                      <w:rFonts w:hint="eastAsia" w:ascii="宋体" w:hAnsi="宋体" w:eastAsia="宋体" w:cs="宋体"/>
                      <w:i/>
                      <w:iCs/>
                      <w:color w:val="auto"/>
                      <w:spacing w:val="-1"/>
                      <w:sz w:val="24"/>
                      <w:szCs w:val="24"/>
                      <w:highlight w:val="none"/>
                      <w:u w:val="single"/>
                    </w:rPr>
                    <w:t xml:space="preserve">提供原厂中文服务；</w:t>
                  </w:r>
                  <w:r/>
                </w:p>
                <w:p>
                  <w:pPr>
                    <w:ind w:left="112" w:right="103"/>
                    <w:spacing w:before="5"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d) 服务周期内提供产品的维修、换</w:t>
                  </w:r>
                  <w:r>
                    <w:rPr>
                      <w:rFonts w:hint="eastAsia" w:ascii="宋体" w:hAnsi="宋体" w:eastAsia="宋体" w:cs="宋体"/>
                      <w:i/>
                      <w:iCs/>
                      <w:color w:val="auto"/>
                      <w:spacing w:val="-1"/>
                      <w:sz w:val="24"/>
                      <w:szCs w:val="24"/>
                      <w:highlight w:val="none"/>
                      <w:u w:val="single"/>
                    </w:rPr>
                    <w:t xml:space="preserve">件和升级服务</w:t>
                  </w:r>
                  <w:r/>
                </w:p>
              </w:tc>
            </w:tr>
            <w:tr>
              <w:trPr>
                <w:jc w:val="center"/>
                <w:trHeight w:val="485"/>
              </w:trPr>
              <w:tc>
                <w:tcPr>
                  <w:shd w:val="clear" w:color="auto" w:fill="auto"/>
                  <w:tcW w:w="719" w:type="dxa"/>
                  <w:vAlign w:val="center"/>
                  <w:textDirection w:val="lrTb"/>
                  <w:noWrap w:val="false"/>
                </w:tcPr>
                <w:p>
                  <w:pPr>
                    <w:ind w:left="211"/>
                    <w:spacing w:before="15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130</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培训服务</w:t>
                  </w:r>
                  <w:r/>
                </w:p>
              </w:tc>
              <w:tc>
                <w:tcPr>
                  <w:shd w:val="clear" w:color="auto" w:fill="auto"/>
                  <w:tcW w:w="4535" w:type="dxa"/>
                  <w:vAlign w:val="center"/>
                  <w:textDirection w:val="lrTb"/>
                  <w:noWrap w:val="false"/>
                </w:tcPr>
                <w:p>
                  <w:pPr>
                    <w:ind w:left="113" w:right="197"/>
                    <w:spacing w:before="42"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供应商提供培训材料、产品手册、</w:t>
                  </w:r>
                  <w:r>
                    <w:rPr>
                      <w:rFonts w:hint="eastAsia" w:ascii="宋体" w:hAnsi="宋体" w:eastAsia="宋体" w:cs="宋体"/>
                      <w:i/>
                      <w:iCs/>
                      <w:color w:val="auto"/>
                      <w:spacing w:val="-1"/>
                      <w:sz w:val="24"/>
                      <w:szCs w:val="24"/>
                      <w:highlight w:val="none"/>
                      <w:u w:val="single"/>
                    </w:rPr>
                    <w:t xml:space="preserve">培训视频等培训相关内容</w:t>
                  </w:r>
                  <w:r/>
                </w:p>
              </w:tc>
            </w:tr>
            <w:tr>
              <w:trPr>
                <w:jc w:val="center"/>
                <w:trHeight w:val="2167"/>
              </w:trPr>
              <w:tc>
                <w:tcPr>
                  <w:shd w:val="clear" w:color="auto" w:fill="auto"/>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131</w:t>
                  </w:r>
                  <w:r/>
                </w:p>
              </w:tc>
              <w:tc>
                <w:tcPr>
                  <w:shd w:val="clear" w:color="auto" w:fill="auto"/>
                  <w:tcW w:w="1239" w:type="dxa"/>
                  <w:vAlign w:val="center"/>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4"/>
                      <w:sz w:val="24"/>
                      <w:szCs w:val="24"/>
                      <w:highlight w:val="none"/>
                      <w:lang w:eastAsia="en-US"/>
                    </w:rPr>
                    <w:t xml:space="preserve">周期</w:t>
                  </w:r>
                  <w:r/>
                </w:p>
              </w:tc>
              <w:tc>
                <w:tcPr>
                  <w:shd w:val="clear" w:color="auto" w:fill="auto"/>
                  <w:tcW w:w="1335"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服务周期</w:t>
                  </w:r>
                  <w:r/>
                </w:p>
              </w:tc>
              <w:tc>
                <w:tcPr>
                  <w:shd w:val="clear" w:color="auto" w:fill="auto"/>
                  <w:tcW w:w="4535" w:type="dxa"/>
                  <w:vAlign w:val="center"/>
                  <w:textDirection w:val="lrTb"/>
                  <w:noWrap w:val="false"/>
                </w:tcPr>
                <w:p>
                  <w:pPr>
                    <w:ind w:left="113" w:right="103" w:firstLine="1"/>
                    <w:spacing w:before="42"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a) 产品免费服务周期（含换件和维</w:t>
                  </w:r>
                  <w:r>
                    <w:rPr>
                      <w:rFonts w:hint="eastAsia" w:ascii="宋体" w:hAnsi="宋体" w:eastAsia="宋体" w:cs="宋体"/>
                      <w:i/>
                      <w:iCs/>
                      <w:color w:val="auto"/>
                      <w:spacing w:val="-3"/>
                      <w:sz w:val="24"/>
                      <w:szCs w:val="24"/>
                      <w:highlight w:val="none"/>
                      <w:u w:val="single"/>
                    </w:rPr>
                    <w:t xml:space="preserve">修）应不小于3年；</w:t>
                  </w:r>
                  <w:r/>
                </w:p>
                <w:p>
                  <w:pPr>
                    <w:ind w:left="113" w:right="168" w:firstLine="2"/>
                    <w:spacing w:before="4"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设备停产后继续提供质量保障服务（含备品备件</w:t>
                  </w:r>
                  <w:r>
                    <w:rPr>
                      <w:rFonts w:hint="eastAsia" w:ascii="宋体" w:hAnsi="宋体" w:eastAsia="宋体" w:cs="宋体"/>
                      <w:i/>
                      <w:iCs/>
                      <w:color w:val="auto"/>
                      <w:spacing w:val="3"/>
                      <w:sz w:val="24"/>
                      <w:szCs w:val="24"/>
                      <w:highlight w:val="none"/>
                      <w:u w:val="single"/>
                    </w:rPr>
                    <w:t xml:space="preserve">），</w:t>
                  </w:r>
                  <w:r>
                    <w:rPr>
                      <w:rFonts w:hint="eastAsia" w:ascii="宋体" w:hAnsi="宋体" w:eastAsia="宋体" w:cs="宋体"/>
                      <w:i/>
                      <w:iCs/>
                      <w:color w:val="auto"/>
                      <w:spacing w:val="-1"/>
                      <w:sz w:val="24"/>
                      <w:szCs w:val="24"/>
                      <w:highlight w:val="none"/>
                      <w:u w:val="single"/>
                    </w:rPr>
                    <w:t xml:space="preserve">服务终止时间与最后一批设备交付时间间隔不</w:t>
                  </w:r>
                  <w:r>
                    <w:rPr>
                      <w:rFonts w:hint="eastAsia" w:ascii="宋体" w:hAnsi="宋体" w:eastAsia="宋体" w:cs="宋体"/>
                      <w:i/>
                      <w:iCs/>
                      <w:color w:val="auto"/>
                      <w:spacing w:val="-5"/>
                      <w:sz w:val="24"/>
                      <w:szCs w:val="24"/>
                      <w:highlight w:val="none"/>
                      <w:u w:val="single"/>
                    </w:rPr>
                    <w:t xml:space="preserve">低于6年；</w:t>
                  </w:r>
                  <w:r/>
                </w:p>
                <w:p>
                  <w:pPr>
                    <w:ind w:left="118" w:right="103" w:hanging="5"/>
                    <w:spacing w:before="6"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c) 产品停止服务时间应提前1年告</w:t>
                  </w:r>
                  <w:r>
                    <w:rPr>
                      <w:rFonts w:hint="eastAsia" w:ascii="宋体" w:hAnsi="宋体" w:eastAsia="宋体" w:cs="宋体"/>
                      <w:i/>
                      <w:iCs/>
                      <w:color w:val="auto"/>
                      <w:spacing w:val="-3"/>
                      <w:sz w:val="24"/>
                      <w:szCs w:val="24"/>
                      <w:highlight w:val="none"/>
                      <w:u w:val="single"/>
                    </w:rPr>
                    <w:t xml:space="preserve">知客户；</w:t>
                  </w:r>
                  <w:r/>
                </w:p>
                <w:p>
                  <w:pPr>
                    <w:ind w:left="113"/>
                    <w:spacing w:before="5" w:line="20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d) 产品发布日期需在随机文件中</w:t>
                  </w:r>
                  <w:r>
                    <w:rPr>
                      <w:rFonts w:hint="eastAsia" w:ascii="宋体" w:hAnsi="宋体" w:eastAsia="宋体" w:cs="宋体"/>
                      <w:i/>
                      <w:iCs/>
                      <w:color w:val="auto"/>
                      <w:spacing w:val="-8"/>
                      <w:sz w:val="24"/>
                      <w:szCs w:val="24"/>
                      <w:highlight w:val="none"/>
                      <w:u w:val="single"/>
                    </w:rPr>
                    <w:t xml:space="preserve">明确</w:t>
                  </w:r>
                  <w:r/>
                </w:p>
              </w:tc>
            </w:tr>
            <w:tr>
              <w:trPr>
                <w:jc w:val="center"/>
                <w:trHeight w:val="964"/>
              </w:trPr>
              <w:tc>
                <w:tcPr>
                  <w:shd w:val="clear" w:color="auto" w:fill="auto"/>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132</w:t>
                  </w:r>
                  <w:r/>
                </w:p>
              </w:tc>
              <w:tc>
                <w:tcPr>
                  <w:shd w:val="clear" w:color="auto" w:fill="auto"/>
                  <w:tcBorders>
                    <w:bottom w:val="none" w:color="000000" w:sz="4" w:space="0"/>
                  </w:tcBorders>
                  <w:tcW w:w="1239"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3"/>
                      <w:sz w:val="24"/>
                      <w:szCs w:val="24"/>
                      <w:highlight w:val="none"/>
                      <w:lang w:eastAsia="en-US"/>
                    </w:rPr>
                    <w:t xml:space="preserve">工具要求</w:t>
                  </w:r>
                  <w:r/>
                </w:p>
              </w:tc>
              <w:tc>
                <w:tcPr>
                  <w:shd w:val="clear" w:color="auto" w:fill="auto"/>
                  <w:tcW w:w="1335"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工具要求</w:t>
                  </w:r>
                  <w:r/>
                </w:p>
              </w:tc>
              <w:tc>
                <w:tcPr>
                  <w:shd w:val="clear" w:color="auto" w:fill="auto"/>
                  <w:tcW w:w="4535" w:type="dxa"/>
                  <w:vAlign w:val="center"/>
                  <w:textDirection w:val="lrTb"/>
                  <w:noWrap w:val="false"/>
                </w:tcPr>
                <w:p>
                  <w:pPr>
                    <w:ind w:left="112" w:right="168"/>
                    <w:spacing w:before="37" w:line="23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供应商提供设置服务器硬件、辅助操作系统安装等功能的辅助工具和管理软件。且随附软件应具有合法</w:t>
                  </w:r>
                  <w:r>
                    <w:rPr>
                      <w:rFonts w:hint="eastAsia" w:ascii="宋体" w:hAnsi="宋体" w:eastAsia="宋体" w:cs="宋体"/>
                      <w:i/>
                      <w:iCs/>
                      <w:color w:val="auto"/>
                      <w:spacing w:val="-2"/>
                      <w:sz w:val="24"/>
                      <w:szCs w:val="24"/>
                      <w:highlight w:val="none"/>
                      <w:u w:val="single"/>
                    </w:rPr>
                    <w:t xml:space="preserve">授权或版权</w:t>
                  </w:r>
                  <w:r/>
                </w:p>
              </w:tc>
            </w:tr>
            <w:tr>
              <w:trPr>
                <w:jc w:val="center"/>
                <w:trHeight w:val="1684"/>
              </w:trPr>
              <w:tc>
                <w:tcPr>
                  <w:shd w:val="clear" w:color="auto" w:fill="auto"/>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133</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辅助工具</w:t>
                  </w:r>
                  <w:r/>
                </w:p>
              </w:tc>
              <w:tc>
                <w:tcPr>
                  <w:shd w:val="clear" w:color="auto" w:fill="auto"/>
                  <w:tcW w:w="4535" w:type="dxa"/>
                  <w:vAlign w:val="center"/>
                  <w:textDirection w:val="lrTb"/>
                  <w:noWrap w:val="false"/>
                </w:tcPr>
                <w:p>
                  <w:pPr>
                    <w:ind w:left="119"/>
                    <w:spacing w:before="41"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支持如下功能</w:t>
                  </w:r>
                  <w:r/>
                </w:p>
                <w:p>
                  <w:pPr>
                    <w:ind w:left="114"/>
                    <w:spacing w:before="23"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a) 本地的数据备份和还原功能；</w:t>
                  </w:r>
                  <w:r/>
                </w:p>
                <w:p>
                  <w:pPr>
                    <w:ind w:left="115"/>
                    <w:spacing w:before="32" w:line="21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b) 网络的数据备份和还原功能；</w:t>
                  </w:r>
                  <w:r/>
                </w:p>
                <w:p>
                  <w:pPr>
                    <w:ind w:left="119" w:right="259" w:hanging="6"/>
                    <w:spacing w:before="32" w:line="243"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c) 服务器操作系统的自动安装功</w:t>
                  </w:r>
                  <w:r>
                    <w:rPr>
                      <w:rFonts w:hint="eastAsia" w:ascii="宋体" w:hAnsi="宋体" w:eastAsia="宋体" w:cs="宋体"/>
                      <w:i/>
                      <w:iCs/>
                      <w:color w:val="auto"/>
                      <w:spacing w:val="-7"/>
                      <w:sz w:val="24"/>
                      <w:szCs w:val="24"/>
                      <w:highlight w:val="none"/>
                      <w:u w:val="single"/>
                    </w:rPr>
                    <w:t xml:space="preserve">能；</w:t>
                  </w:r>
                  <w:r/>
                </w:p>
                <w:p>
                  <w:pPr>
                    <w:ind w:left="113" w:right="259"/>
                    <w:spacing w:before="5"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d) 服务器所配硬件需要的驱动程</w:t>
                  </w:r>
                  <w:r>
                    <w:rPr>
                      <w:rFonts w:hint="eastAsia" w:ascii="宋体" w:hAnsi="宋体" w:eastAsia="宋体" w:cs="宋体"/>
                      <w:i/>
                      <w:iCs/>
                      <w:color w:val="auto"/>
                      <w:spacing w:val="-2"/>
                      <w:sz w:val="24"/>
                      <w:szCs w:val="24"/>
                      <w:highlight w:val="none"/>
                      <w:u w:val="single"/>
                    </w:rPr>
                    <w:t xml:space="preserve">序和系统补丁</w:t>
                  </w:r>
                  <w:r/>
                </w:p>
              </w:tc>
            </w:tr>
            <w:tr>
              <w:trPr>
                <w:jc w:val="center"/>
                <w:trHeight w:val="965"/>
              </w:trPr>
              <w:tc>
                <w:tcPr>
                  <w:shd w:val="clear" w:color="auto" w:fill="auto"/>
                  <w:tcW w:w="719" w:type="dxa"/>
                  <w:vAlign w:val="center"/>
                  <w:textDirection w:val="lrTb"/>
                  <w:noWrap w:val="false"/>
                </w:tcPr>
                <w:p>
                  <w:pPr>
                    <w:ind w:left="211"/>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134</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驱动安装升级指引</w:t>
                  </w:r>
                  <w:r/>
                </w:p>
              </w:tc>
              <w:tc>
                <w:tcPr>
                  <w:shd w:val="clear" w:color="auto" w:fill="auto"/>
                  <w:tcW w:w="4535" w:type="dxa"/>
                  <w:vAlign w:val="center"/>
                  <w:textDirection w:val="lrTb"/>
                  <w:noWrap w:val="false"/>
                </w:tcPr>
                <w:p>
                  <w:pPr>
                    <w:ind w:left="112" w:right="168"/>
                    <w:spacing w:before="42"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rPr>
                    <w:t xml:space="preserve">供应商提供出厂安装的配件所需的驱动程序，形式包括但不限于驱动光盘、驱动下载链接等。</w:t>
                  </w:r>
                  <w:r>
                    <w:rPr>
                      <w:rFonts w:hint="eastAsia" w:ascii="宋体" w:hAnsi="宋体" w:eastAsia="宋体" w:cs="宋体"/>
                      <w:i/>
                      <w:iCs/>
                      <w:color w:val="auto"/>
                      <w:spacing w:val="-1"/>
                      <w:sz w:val="24"/>
                      <w:szCs w:val="24"/>
                      <w:highlight w:val="none"/>
                      <w:u w:val="single"/>
                      <w:lang w:eastAsia="en-US"/>
                    </w:rPr>
                    <w:t xml:space="preserve">其他配件</w:t>
                  </w:r>
                  <w:r>
                    <w:rPr>
                      <w:rFonts w:hint="eastAsia" w:ascii="宋体" w:hAnsi="宋体" w:eastAsia="宋体" w:cs="宋体"/>
                      <w:i/>
                      <w:iCs/>
                      <w:color w:val="auto"/>
                      <w:spacing w:val="-2"/>
                      <w:sz w:val="24"/>
                      <w:szCs w:val="24"/>
                      <w:highlight w:val="none"/>
                      <w:u w:val="single"/>
                      <w:lang w:eastAsia="en-US"/>
                    </w:rPr>
                    <w:t xml:space="preserve">应提供指引</w:t>
                  </w:r>
                  <w:r/>
                </w:p>
              </w:tc>
            </w:tr>
            <w:tr>
              <w:trPr>
                <w:jc w:val="center"/>
                <w:trHeight w:val="485"/>
              </w:trPr>
              <w:tc>
                <w:tcPr>
                  <w:shd w:val="clear" w:color="auto" w:fill="auto"/>
                  <w:tcW w:w="719" w:type="dxa"/>
                  <w:vAlign w:val="center"/>
                  <w:textDirection w:val="lrTb"/>
                  <w:noWrap w:val="false"/>
                </w:tcPr>
                <w:p>
                  <w:pPr>
                    <w:ind w:left="211"/>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135</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随机附开盖工具</w:t>
                  </w:r>
                  <w:r/>
                </w:p>
              </w:tc>
              <w:tc>
                <w:tcPr>
                  <w:shd w:val="clear" w:color="auto" w:fill="auto"/>
                  <w:tcW w:w="4535" w:type="dxa"/>
                  <w:vAlign w:val="center"/>
                  <w:textDirection w:val="lrTb"/>
                  <w:noWrap w:val="false"/>
                </w:tcPr>
                <w:p>
                  <w:pPr>
                    <w:ind w:left="118"/>
                    <w:spacing w:before="161"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随服务器打包提供开机箱工具</w:t>
                  </w:r>
                  <w:r/>
                </w:p>
              </w:tc>
            </w:tr>
            <w:tr>
              <w:trPr>
                <w:jc w:val="center"/>
                <w:trHeight w:val="2164"/>
              </w:trPr>
              <w:tc>
                <w:tcPr>
                  <w:shd w:val="clear" w:color="auto" w:fill="auto"/>
                  <w:tcW w:w="719" w:type="dxa"/>
                  <w:vAlign w:val="center"/>
                  <w:textDirection w:val="lrTb"/>
                  <w:noWrap w:val="false"/>
                </w:tcPr>
                <w:p>
                  <w:pPr>
                    <w:ind w:left="211"/>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136</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right="214"/>
                    <w:jc w:val="center"/>
                    <w:spacing w:before="59"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代码迁移工具</w:t>
                  </w:r>
                  <w:r/>
                </w:p>
              </w:tc>
              <w:tc>
                <w:tcPr>
                  <w:shd w:val="clear" w:color="auto" w:fill="auto"/>
                  <w:tcW w:w="4535" w:type="dxa"/>
                  <w:vAlign w:val="center"/>
                  <w:textDirection w:val="lrTb"/>
                  <w:noWrap w:val="false"/>
                </w:tcPr>
                <w:p>
                  <w:pPr>
                    <w:ind w:left="112" w:right="168"/>
                    <w:spacing w:before="42" w:line="245"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供应商提供从其他CPU架构到当前服务器CPU架构的软件迁移工具产</w:t>
                  </w:r>
                  <w:r>
                    <w:rPr>
                      <w:rFonts w:hint="eastAsia" w:ascii="宋体" w:hAnsi="宋体" w:eastAsia="宋体" w:cs="宋体"/>
                      <w:i/>
                      <w:iCs/>
                      <w:color w:val="auto"/>
                      <w:spacing w:val="-1"/>
                      <w:sz w:val="24"/>
                      <w:szCs w:val="24"/>
                      <w:highlight w:val="none"/>
                      <w:u w:val="single"/>
                    </w:rPr>
                    <w:t xml:space="preserve">品，支持软件包迁移评估，对满足产品重构要求的软件包，能重构为</w:t>
                  </w:r>
                  <w:r>
                    <w:rPr>
                      <w:rFonts w:hint="eastAsia" w:ascii="宋体" w:hAnsi="宋体" w:eastAsia="宋体" w:cs="宋体"/>
                      <w:i/>
                      <w:iCs/>
                      <w:color w:val="auto"/>
                      <w:spacing w:val="-2"/>
                      <w:sz w:val="24"/>
                      <w:szCs w:val="24"/>
                      <w:highlight w:val="none"/>
                      <w:u w:val="single"/>
                    </w:rPr>
                    <w:t xml:space="preserve">当前服务器CPU架构的软件包。提</w:t>
                  </w:r>
                  <w:r>
                    <w:rPr>
                      <w:rFonts w:hint="eastAsia" w:ascii="宋体" w:hAnsi="宋体" w:eastAsia="宋体" w:cs="宋体"/>
                      <w:i/>
                      <w:iCs/>
                      <w:color w:val="auto"/>
                      <w:spacing w:val="-1"/>
                      <w:sz w:val="24"/>
                      <w:szCs w:val="24"/>
                      <w:highlight w:val="none"/>
                      <w:u w:val="single"/>
                    </w:rPr>
                    <w:t xml:space="preserve">供源码迁移功能，检查分析</w:t>
                  </w:r>
                  <w:r/>
                </w:p>
                <w:p>
                  <w:pPr>
                    <w:ind w:left="112" w:right="168"/>
                    <w:spacing w:before="5" w:line="230"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C/C++/Fortran/Go/解释型语言/汇编等源码文件，基于产品功能给出</w:t>
                  </w:r>
                  <w:r>
                    <w:rPr>
                      <w:rFonts w:hint="eastAsia" w:ascii="宋体" w:hAnsi="宋体" w:eastAsia="宋体" w:cs="宋体"/>
                      <w:i/>
                      <w:iCs/>
                      <w:color w:val="auto"/>
                      <w:spacing w:val="-2"/>
                      <w:sz w:val="24"/>
                      <w:szCs w:val="24"/>
                      <w:highlight w:val="none"/>
                      <w:u w:val="single"/>
                    </w:rPr>
                    <w:t xml:space="preserve">迁移指导</w:t>
                  </w:r>
                  <w:r/>
                </w:p>
              </w:tc>
            </w:tr>
            <w:tr>
              <w:trPr>
                <w:jc w:val="center"/>
                <w:trHeight w:val="1444"/>
              </w:trPr>
              <w:tc>
                <w:tcPr>
                  <w:shd w:val="clear" w:color="auto" w:fill="auto"/>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137</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ind w:right="214"/>
                    <w:jc w:val="center"/>
                    <w:spacing w:before="59"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性能分析工具</w:t>
                  </w:r>
                  <w:r/>
                </w:p>
              </w:tc>
              <w:tc>
                <w:tcPr>
                  <w:shd w:val="clear" w:color="auto" w:fill="auto"/>
                  <w:tcW w:w="4535" w:type="dxa"/>
                  <w:vAlign w:val="center"/>
                  <w:textDirection w:val="lrTb"/>
                  <w:noWrap w:val="false"/>
                </w:tcPr>
                <w:p>
                  <w:pPr>
                    <w:ind w:left="111" w:right="41" w:firstLine="1"/>
                    <w:spacing w:before="41" w:line="238"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供应商提供支持当前服务器CPU架</w:t>
                  </w:r>
                  <w:r>
                    <w:rPr>
                      <w:rFonts w:hint="eastAsia" w:ascii="宋体" w:hAnsi="宋体" w:eastAsia="宋体" w:cs="宋体"/>
                      <w:i/>
                      <w:iCs/>
                      <w:color w:val="auto"/>
                      <w:spacing w:val="-1"/>
                      <w:sz w:val="24"/>
                      <w:szCs w:val="24"/>
                      <w:highlight w:val="none"/>
                      <w:u w:val="single"/>
                    </w:rPr>
                    <w:t xml:space="preserve">构的性能分析工具产品，支持系统性能分析、Java性能分析和系统诊</w:t>
                  </w:r>
                  <w:r>
                    <w:rPr>
                      <w:rFonts w:hint="eastAsia" w:ascii="宋体" w:hAnsi="宋体" w:eastAsia="宋体" w:cs="宋体"/>
                      <w:i/>
                      <w:iCs/>
                      <w:color w:val="auto"/>
                      <w:spacing w:val="-12"/>
                      <w:sz w:val="24"/>
                      <w:szCs w:val="24"/>
                      <w:highlight w:val="none"/>
                      <w:u w:val="single"/>
                    </w:rPr>
                    <w:t xml:space="preserve">断，可分析系统或应用在CPU、内存、</w:t>
                  </w:r>
                  <w:r>
                    <w:rPr>
                      <w:rFonts w:hint="eastAsia" w:ascii="宋体" w:hAnsi="宋体" w:eastAsia="宋体" w:cs="宋体"/>
                      <w:i/>
                      <w:iCs/>
                      <w:color w:val="auto"/>
                      <w:spacing w:val="-1"/>
                      <w:sz w:val="24"/>
                      <w:szCs w:val="24"/>
                      <w:highlight w:val="none"/>
                      <w:u w:val="single"/>
                    </w:rPr>
                    <w:t xml:space="preserve">IO、网络等方面的性能，并给出优</w:t>
                  </w:r>
                  <w:r>
                    <w:rPr>
                      <w:rFonts w:hint="eastAsia" w:ascii="宋体" w:hAnsi="宋体" w:eastAsia="宋体" w:cs="宋体"/>
                      <w:i/>
                      <w:iCs/>
                      <w:color w:val="auto"/>
                      <w:spacing w:val="-2"/>
                      <w:sz w:val="24"/>
                      <w:szCs w:val="24"/>
                      <w:highlight w:val="none"/>
                      <w:u w:val="single"/>
                    </w:rPr>
                    <w:t xml:space="preserve">化建议</w:t>
                  </w:r>
                  <w:r/>
                </w:p>
              </w:tc>
            </w:tr>
            <w:tr>
              <w:trPr>
                <w:jc w:val="center"/>
                <w:trHeight w:val="705"/>
              </w:trPr>
              <w:tc>
                <w:tcPr>
                  <w:shd w:val="clear" w:color="auto" w:fill="auto"/>
                  <w:tcW w:w="719" w:type="dxa"/>
                  <w:vAlign w:val="center"/>
                  <w:textDirection w:val="lrTb"/>
                  <w:noWrap w:val="false"/>
                </w:tcPr>
                <w:p>
                  <w:pPr>
                    <w:ind w:left="211"/>
                    <w:spacing w:before="26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138</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跨架构平</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台应用兼容</w:t>
                  </w:r>
                  <w:r/>
                </w:p>
              </w:tc>
              <w:tc>
                <w:tcPr>
                  <w:shd w:val="clear" w:color="auto" w:fill="auto"/>
                  <w:tcW w:w="4535" w:type="dxa"/>
                  <w:vAlign w:val="center"/>
                  <w:textDirection w:val="lrTb"/>
                  <w:noWrap w:val="false"/>
                </w:tcPr>
                <w:p>
                  <w:pPr>
                    <w:ind w:left="115" w:right="168" w:hanging="2"/>
                    <w:spacing w:before="33" w:line="226"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跨CPU架构平台应用兼容工具，可</w:t>
                  </w:r>
                  <w:r>
                    <w:rPr>
                      <w:rFonts w:hint="eastAsia" w:ascii="宋体" w:hAnsi="宋体" w:eastAsia="宋体" w:cs="宋体"/>
                      <w:i/>
                      <w:iCs/>
                      <w:color w:val="auto"/>
                      <w:spacing w:val="-1"/>
                      <w:sz w:val="24"/>
                      <w:szCs w:val="24"/>
                      <w:highlight w:val="none"/>
                      <w:u w:val="single"/>
                    </w:rPr>
                    <w:t xml:space="preserve">兼容一种或者一种以上不同架构平</w:t>
                  </w:r>
                  <w:r>
                    <w:rPr>
                      <w:rFonts w:hint="eastAsia" w:ascii="宋体" w:hAnsi="宋体" w:eastAsia="宋体" w:cs="宋体"/>
                      <w:i/>
                      <w:iCs/>
                      <w:color w:val="auto"/>
                      <w:spacing w:val="-3"/>
                      <w:sz w:val="24"/>
                      <w:szCs w:val="24"/>
                      <w:highlight w:val="none"/>
                      <w:u w:val="single"/>
                    </w:rPr>
                    <w:t xml:space="preserve">台的应用</w:t>
                  </w:r>
                  <w:r/>
                </w:p>
              </w:tc>
            </w:tr>
            <w:tr>
              <w:trPr>
                <w:jc w:val="center"/>
                <w:trHeight w:val="706"/>
              </w:trPr>
              <w:tc>
                <w:tcPr>
                  <w:shd w:val="clear" w:color="auto" w:fill="auto"/>
                  <w:tcW w:w="719" w:type="dxa"/>
                  <w:vAlign w:val="center"/>
                  <w:textDirection w:val="lrTb"/>
                  <w:noWrap w:val="false"/>
                </w:tcPr>
                <w:p>
                  <w:pPr>
                    <w:ind w:left="211"/>
                    <w:spacing w:before="26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139</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管理软件</w:t>
                  </w:r>
                  <w:r/>
                </w:p>
              </w:tc>
              <w:tc>
                <w:tcPr>
                  <w:shd w:val="clear" w:color="auto" w:fill="auto"/>
                  <w:tcW w:w="4535" w:type="dxa"/>
                  <w:vAlign w:val="center"/>
                  <w:textDirection w:val="lrTb"/>
                  <w:noWrap w:val="false"/>
                </w:tcPr>
                <w:p>
                  <w:pPr>
                    <w:ind w:left="112" w:right="168" w:firstLine="5"/>
                    <w:spacing w:before="32" w:line="22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具备资源管理、系统管理、性能监控、健康监控、基于网络控制、报</w:t>
                  </w:r>
                  <w:r>
                    <w:rPr>
                      <w:rFonts w:hint="eastAsia" w:ascii="宋体" w:hAnsi="宋体" w:eastAsia="宋体" w:cs="宋体"/>
                      <w:i/>
                      <w:iCs/>
                      <w:color w:val="auto"/>
                      <w:spacing w:val="-2"/>
                      <w:sz w:val="24"/>
                      <w:szCs w:val="24"/>
                      <w:highlight w:val="none"/>
                      <w:u w:val="single"/>
                    </w:rPr>
                    <w:t xml:space="preserve">警设置功能</w:t>
                  </w:r>
                  <w:r/>
                </w:p>
              </w:tc>
            </w:tr>
            <w:tr>
              <w:trPr>
                <w:jc w:val="center"/>
                <w:trHeight w:val="938"/>
              </w:trPr>
              <w:tc>
                <w:tcPr>
                  <w:shd w:val="clear" w:color="auto" w:fill="auto"/>
                  <w:tcW w:w="719" w:type="dxa"/>
                  <w:vAlign w:val="center"/>
                  <w:textDirection w:val="lrTb"/>
                  <w:noWrap w:val="false"/>
                </w:tcPr>
                <w:p>
                  <w:pPr>
                    <w:jc w:val="center"/>
                    <w:spacing w:line="32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140</w:t>
                  </w:r>
                  <w:r/>
                </w:p>
              </w:tc>
              <w:tc>
                <w:tcPr>
                  <w:shd w:val="clear" w:color="auto" w:fill="auto"/>
                  <w:tcBorders>
                    <w:bottom w:val="none" w:color="000000" w:sz="4" w:space="0"/>
                  </w:tcBorders>
                  <w:tcW w:w="1239" w:type="dxa"/>
                  <w:vAlign w:val="center"/>
                  <w:vMerge w:val="restart"/>
                  <w:textDirection w:val="lrTb"/>
                  <w:noWrap w:val="false"/>
                </w:tcPr>
                <w:p>
                  <w:pPr>
                    <w:ind w:left="187" w:right="141" w:hanging="48"/>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增值</w:t>
                  </w:r>
                  <w:r>
                    <w:rPr>
                      <w:rFonts w:hint="eastAsia" w:ascii="宋体" w:hAnsi="宋体" w:eastAsia="宋体" w:cs="宋体"/>
                      <w:color w:val="auto"/>
                      <w:spacing w:val="-4"/>
                      <w:sz w:val="24"/>
                      <w:szCs w:val="24"/>
                      <w:highlight w:val="none"/>
                      <w:lang w:eastAsia="en-US"/>
                    </w:rPr>
                    <w:t xml:space="preserve">服务</w:t>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厂家升级产品软件与扩容服务</w:t>
                  </w:r>
                  <w:r/>
                </w:p>
              </w:tc>
              <w:tc>
                <w:tcPr>
                  <w:shd w:val="clear" w:color="auto" w:fill="auto"/>
                  <w:tcW w:w="4535" w:type="dxa"/>
                  <w:vAlign w:val="center"/>
                  <w:textDirection w:val="lrTb"/>
                  <w:noWrap w:val="false"/>
                </w:tcPr>
                <w:p>
                  <w:pPr>
                    <w:ind w:left="122" w:right="259" w:hanging="9"/>
                    <w:spacing w:before="26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供应商提供原厂级的部件/软件产</w:t>
                  </w:r>
                  <w:r>
                    <w:rPr>
                      <w:rFonts w:hint="eastAsia" w:ascii="宋体" w:hAnsi="宋体" w:eastAsia="宋体" w:cs="宋体"/>
                      <w:i/>
                      <w:iCs/>
                      <w:color w:val="auto"/>
                      <w:spacing w:val="-3"/>
                      <w:sz w:val="24"/>
                      <w:szCs w:val="24"/>
                      <w:highlight w:val="none"/>
                      <w:u w:val="single"/>
                    </w:rPr>
                    <w:t xml:space="preserve">品升级和扩容能力</w:t>
                  </w:r>
                  <w:r/>
                </w:p>
              </w:tc>
            </w:tr>
            <w:tr>
              <w:trPr>
                <w:jc w:val="center"/>
                <w:trHeight w:val="706"/>
              </w:trPr>
              <w:tc>
                <w:tcPr>
                  <w:shd w:val="clear" w:color="auto" w:fill="auto"/>
                  <w:tcW w:w="719" w:type="dxa"/>
                  <w:vAlign w:val="center"/>
                  <w:textDirection w:val="lrTb"/>
                  <w:noWrap w:val="false"/>
                </w:tcPr>
                <w:p>
                  <w:pPr>
                    <w:ind w:left="211"/>
                    <w:spacing w:before="265"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141</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服务保障升级</w:t>
                  </w:r>
                  <w:r/>
                </w:p>
              </w:tc>
              <w:tc>
                <w:tcPr>
                  <w:shd w:val="clear" w:color="auto" w:fill="auto"/>
                  <w:tcW w:w="4535" w:type="dxa"/>
                  <w:vAlign w:val="center"/>
                  <w:textDirection w:val="lrTb"/>
                  <w:noWrap w:val="false"/>
                </w:tcPr>
                <w:p>
                  <w:pPr>
                    <w:ind w:left="112" w:right="168"/>
                    <w:spacing w:before="32" w:line="227"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供应商有偿提供远程技术支持、软件授权服务、备件更换服务、现场</w:t>
                  </w:r>
                  <w:r>
                    <w:rPr>
                      <w:rFonts w:hint="eastAsia" w:ascii="宋体" w:hAnsi="宋体" w:eastAsia="宋体" w:cs="宋体"/>
                      <w:i/>
                      <w:iCs/>
                      <w:color w:val="auto"/>
                      <w:spacing w:val="-2"/>
                      <w:sz w:val="24"/>
                      <w:szCs w:val="24"/>
                      <w:highlight w:val="none"/>
                      <w:u w:val="single"/>
                    </w:rPr>
                    <w:t xml:space="preserve">支承服务</w:t>
                  </w:r>
                  <w:r/>
                </w:p>
              </w:tc>
            </w:tr>
            <w:tr>
              <w:trPr>
                <w:jc w:val="center"/>
                <w:trHeight w:val="472"/>
              </w:trPr>
              <w:tc>
                <w:tcPr>
                  <w:shd w:val="clear" w:color="auto" w:fill="auto"/>
                  <w:tcW w:w="719" w:type="dxa"/>
                  <w:vAlign w:val="center"/>
                  <w:textDirection w:val="lrTb"/>
                  <w:noWrap w:val="false"/>
                </w:tcPr>
                <w:p>
                  <w:pPr>
                    <w:ind w:left="211"/>
                    <w:spacing w:before="147"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142</w:t>
                  </w:r>
                  <w:r/>
                </w:p>
              </w:tc>
              <w:tc>
                <w:tcPr>
                  <w:shd w:val="clear" w:color="auto" w:fill="auto"/>
                  <w:tcBorders>
                    <w:top w:val="none" w:color="000000" w:sz="4" w:space="0"/>
                    <w:bottom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提供上门服务</w:t>
                  </w:r>
                  <w:r/>
                </w:p>
              </w:tc>
              <w:tc>
                <w:tcPr>
                  <w:shd w:val="clear" w:color="auto" w:fill="auto"/>
                  <w:tcW w:w="4535" w:type="dxa"/>
                  <w:vAlign w:val="center"/>
                  <w:textDirection w:val="lrTb"/>
                  <w:noWrap w:val="false"/>
                </w:tcPr>
                <w:p>
                  <w:pPr>
                    <w:ind w:left="147" w:right="348" w:hanging="34"/>
                    <w:spacing w:before="31" w:line="221"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供应商具备提供上门服务的能力</w:t>
                  </w:r>
                  <w:r>
                    <w:rPr>
                      <w:rFonts w:hint="eastAsia" w:ascii="宋体" w:hAnsi="宋体" w:eastAsia="宋体" w:cs="宋体"/>
                      <w:i/>
                      <w:iCs/>
                      <w:color w:val="auto"/>
                      <w:spacing w:val="-9"/>
                      <w:sz w:val="24"/>
                      <w:szCs w:val="24"/>
                      <w:highlight w:val="none"/>
                      <w:u w:val="single"/>
                    </w:rPr>
                    <w:t xml:space="preserve">(可收费)</w:t>
                  </w:r>
                  <w:r/>
                </w:p>
              </w:tc>
            </w:tr>
            <w:tr>
              <w:trPr>
                <w:jc w:val="center"/>
                <w:trHeight w:val="1641"/>
              </w:trPr>
              <w:tc>
                <w:tcPr>
                  <w:shd w:val="clear" w:color="auto" w:fill="auto"/>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143</w:t>
                  </w:r>
                  <w:r/>
                </w:p>
              </w:tc>
              <w:tc>
                <w:tcPr>
                  <w:shd w:val="clear" w:color="auto" w:fill="auto"/>
                  <w:tcBorders>
                    <w:top w:val="none" w:color="000000" w:sz="4"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业务场景</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性能优化</w:t>
                  </w:r>
                  <w:r/>
                </w:p>
                <w:p>
                  <w:pPr>
                    <w:jc w:val="center"/>
                    <w:spacing w:line="248" w:lineRule="auto"/>
                    <w:widowControl/>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服务及整</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体架构升级服务</w:t>
                  </w:r>
                  <w:r/>
                </w:p>
              </w:tc>
              <w:tc>
                <w:tcPr>
                  <w:shd w:val="clear" w:color="auto" w:fill="auto"/>
                  <w:tcW w:w="4535" w:type="dxa"/>
                  <w:vAlign w:val="center"/>
                  <w:textDirection w:val="lrTb"/>
                  <w:noWrap w:val="false"/>
                </w:tcPr>
                <w:p>
                  <w:pPr>
                    <w:ind w:right="168"/>
                    <w:spacing w:before="5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供应商提供针对特定业务场景性能优化服务及整体架构升级服务</w:t>
                  </w:r>
                  <w:r/>
                </w:p>
              </w:tc>
            </w:tr>
            <w:tr>
              <w:trPr>
                <w:jc w:val="center"/>
                <w:trHeight w:val="963"/>
              </w:trPr>
              <w:tc>
                <w:tcPr>
                  <w:shd w:val="clear" w:color="auto" w:fill="auto"/>
                  <w:tcBorders>
                    <w:bottom w:val="single" w:color="000000" w:sz="2" w:space="0"/>
                  </w:tcBorders>
                  <w:tcW w:w="719" w:type="dxa"/>
                  <w:vAlign w:val="center"/>
                  <w:textDirection w:val="lrTb"/>
                  <w:noWrap w:val="false"/>
                </w:tcPr>
                <w:p>
                  <w:pPr>
                    <w:jc w:val="center"/>
                    <w:spacing w:before="58"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144</w:t>
                  </w:r>
                  <w:r/>
                </w:p>
              </w:tc>
              <w:tc>
                <w:tcPr>
                  <w:shd w:val="clear" w:color="auto" w:fill="auto"/>
                  <w:tcBorders>
                    <w:bottom w:val="single" w:color="000000" w:sz="2" w:space="0"/>
                  </w:tcBorders>
                  <w:tcW w:w="1239" w:type="dxa"/>
                  <w:vAlign w:val="center"/>
                  <w:vMerge w:val="restart"/>
                  <w:textDirection w:val="lrTb"/>
                  <w:noWrap w:val="false"/>
                </w:tcPr>
                <w:p>
                  <w:pPr>
                    <w:spacing w:line="463"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39"/>
                    <w:jc w:val="center"/>
                    <w:spacing w:before="58"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供应</w:t>
                  </w:r>
                  <w:r/>
                </w:p>
                <w:p>
                  <w:pPr>
                    <w:ind w:left="186"/>
                    <w:jc w:val="center"/>
                    <w:spacing w:before="22"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链质</w:t>
                  </w:r>
                  <w:r/>
                </w:p>
                <w:p>
                  <w:pPr>
                    <w:ind w:left="281"/>
                    <w:jc w:val="center"/>
                    <w:spacing w:before="23" w:line="22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量</w:t>
                  </w:r>
                  <w:r/>
                </w:p>
              </w:tc>
              <w:tc>
                <w:tcPr>
                  <w:shd w:val="clear" w:color="auto" w:fill="auto"/>
                  <w:tcBorders>
                    <w:bottom w:val="single" w:color="000000" w:sz="2" w:space="0"/>
                  </w:tcBorders>
                  <w:tcW w:w="1335"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抗干扰性</w:t>
                  </w:r>
                  <w:r/>
                </w:p>
              </w:tc>
              <w:tc>
                <w:tcPr>
                  <w:shd w:val="clear" w:color="auto" w:fill="auto"/>
                  <w:tcBorders>
                    <w:bottom w:val="single" w:color="000000" w:sz="2" w:space="0"/>
                  </w:tcBorders>
                  <w:tcW w:w="4535" w:type="dxa"/>
                  <w:vAlign w:val="center"/>
                  <w:textDirection w:val="lrTb"/>
                  <w:noWrap w:val="false"/>
                </w:tcPr>
                <w:p>
                  <w:pPr>
                    <w:ind w:left="118" w:right="168" w:firstLine="7"/>
                    <w:spacing w:before="40" w:line="234"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当产品部件出现供应风险时，应通</w:t>
                  </w:r>
                  <w:r>
                    <w:rPr>
                      <w:rFonts w:hint="eastAsia" w:ascii="宋体" w:hAnsi="宋体" w:eastAsia="宋体" w:cs="宋体"/>
                      <w:i/>
                      <w:iCs/>
                      <w:color w:val="auto"/>
                      <w:spacing w:val="-1"/>
                      <w:sz w:val="24"/>
                      <w:szCs w:val="24"/>
                      <w:highlight w:val="none"/>
                      <w:u w:val="single"/>
                    </w:rPr>
                    <w:t xml:space="preserve">知客户并提供风险应对方案确保产品的服务保障，必要时应停止相关</w:t>
                  </w:r>
                  <w:r>
                    <w:rPr>
                      <w:rFonts w:hint="eastAsia" w:ascii="宋体" w:hAnsi="宋体" w:eastAsia="宋体" w:cs="宋体"/>
                      <w:i/>
                      <w:iCs/>
                      <w:color w:val="auto"/>
                      <w:spacing w:val="-2"/>
                      <w:sz w:val="24"/>
                      <w:szCs w:val="24"/>
                      <w:highlight w:val="none"/>
                      <w:u w:val="single"/>
                    </w:rPr>
                    <w:t xml:space="preserve">受影响产品的销售</w:t>
                  </w:r>
                  <w:r/>
                </w:p>
              </w:tc>
            </w:tr>
            <w:tr>
              <w:trPr>
                <w:jc w:val="center"/>
                <w:trHeight w:val="729"/>
              </w:trPr>
              <w:tc>
                <w:tcPr>
                  <w:shd w:val="clear" w:color="auto" w:fill="auto"/>
                  <w:tcBorders>
                    <w:top w:val="single" w:color="000000" w:sz="2" w:space="0"/>
                    <w:bottom w:val="single" w:color="000000" w:sz="2" w:space="0"/>
                  </w:tcBorders>
                  <w:tcW w:w="719" w:type="dxa"/>
                  <w:vAlign w:val="center"/>
                  <w:textDirection w:val="lrTb"/>
                  <w:noWrap w:val="false"/>
                </w:tcPr>
                <w:p>
                  <w:pPr>
                    <w:jc w:val="center"/>
                    <w:spacing w:before="27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145</w:t>
                  </w:r>
                  <w:r/>
                </w:p>
              </w:tc>
              <w:tc>
                <w:tcPr>
                  <w:shd w:val="clear" w:color="auto" w:fill="auto"/>
                  <w:tcBorders>
                    <w:top w:val="single" w:color="000000" w:sz="2" w:space="0"/>
                    <w:bottom w:val="single" w:color="000000" w:sz="2" w:space="0"/>
                  </w:tcBorders>
                  <w:tcW w:w="1239"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2" w:space="0"/>
                    <w:bottom w:val="single" w:color="000000" w:sz="2" w:space="0"/>
                  </w:tcBorders>
                  <w:tcW w:w="1335"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供应能力证明</w:t>
                  </w:r>
                  <w:r/>
                </w:p>
              </w:tc>
              <w:tc>
                <w:tcPr>
                  <w:shd w:val="clear" w:color="auto" w:fill="auto"/>
                  <w:tcBorders>
                    <w:top w:val="single" w:color="000000" w:sz="2" w:space="0"/>
                    <w:bottom w:val="single" w:color="000000" w:sz="2" w:space="0"/>
                  </w:tcBorders>
                  <w:tcW w:w="4535" w:type="dxa"/>
                  <w:vAlign w:val="center"/>
                  <w:textDirection w:val="lrTb"/>
                  <w:noWrap w:val="false"/>
                </w:tcPr>
                <w:p>
                  <w:pPr>
                    <w:ind w:left="111" w:right="168" w:firstLine="1"/>
                    <w:spacing w:before="40" w:line="23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供应商提供供应链稳定承诺书，确保产品的部件在产品服务周期内稳</w:t>
                  </w:r>
                  <w:r>
                    <w:rPr>
                      <w:rFonts w:hint="eastAsia" w:ascii="宋体" w:hAnsi="宋体" w:eastAsia="宋体" w:cs="宋体"/>
                      <w:i/>
                      <w:iCs/>
                      <w:color w:val="auto"/>
                      <w:spacing w:val="-2"/>
                      <w:sz w:val="24"/>
                      <w:szCs w:val="24"/>
                      <w:highlight w:val="none"/>
                      <w:u w:val="single"/>
                    </w:rPr>
                    <w:t xml:space="preserve">定供货</w:t>
                  </w:r>
                  <w:r/>
                </w:p>
              </w:tc>
            </w:tr>
          </w:tbl>
          <w:p>
            <w:pPr>
              <w:rPr>
                <w:rFonts w:hint="default" w:eastAsia="宋体" w:cs="Times New Roman"/>
                <w:color w:val="auto"/>
              </w:rPr>
            </w:pPr>
            <w:r>
              <w:rPr>
                <w:rFonts w:hint="default" w:eastAsia="宋体" w:cs="Times New Roman"/>
                <w:color w:val="auto"/>
              </w:rPr>
            </w:r>
            <w:r/>
          </w:p>
          <w:p>
            <w:pPr>
              <w:spacing w:line="44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4.4.8.2 微光抓拍单元</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参数及功能要求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包含一体化高清摄像机、高清镜头、室外防护罩、相机内置网络信号防雷器、电源适配器等。</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支持车辆及车内前排人员的检测抓拍，针对人员可输出清晰人脸特征图，用于比对分析。</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传感器不低于1英寸GS CMOS，内含深度学习芯片。</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最低照度满足：彩色：≤0.0002lx，黑白：≤0.0001 lx。</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抓图分辨率不低于4096*2160（不含OSD），4096*4208（含OSD）。</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具有单快门、双快门（半帧率/全帧率）、三快门共三种快门方式；具有抓拍快门、视频快门、识别快门共三种快门方式；支持快门自适应，支持快门1/1s~1/100000s 可调。</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支持导入普通监控视频进行二次分析，支持设备中记录车辆流水，并保存流水记录文件，支持文件导出。</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支持平整度和后焦手动调整。</w:t>
            </w:r>
            <w:r>
              <w:rPr>
                <w:rFonts w:hint="eastAsia" w:ascii="Times New Roman" w:hAnsi="Times New Roman" w:eastAsia="宋体" w:cs="Times New Roman"/>
                <w:color w:val="auto"/>
                <w:sz w:val="24"/>
                <w:szCs w:val="24"/>
                <w:highlight w:val="none"/>
                <w:lang w:val="en-US" w:eastAsia="zh-CN" w:bidi="ar-SA"/>
              </w:rPr>
              <w:tab/>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支持在水平倾斜范围最大40°的情况下能够对车牌进行识别。</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支持车辆捕获功能，白天准确率≥99%，晚上捕获率≥99%。</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支持车牌识别功能，白天准确率≥99%，晚上准确率≥99%。</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支持新能源车牌识别，白天准确率白天准确率≥99%，晚上准确率≥99%。</w:t>
            </w:r>
            <w:r>
              <w:rPr>
                <w:rFonts w:hint="eastAsia" w:ascii="Times New Roman" w:hAnsi="Times New Roman" w:eastAsia="宋体" w:cs="Times New Roman"/>
                <w:color w:val="auto"/>
                <w:sz w:val="24"/>
                <w:szCs w:val="24"/>
                <w:highlight w:val="none"/>
                <w:lang w:val="en-US" w:eastAsia="zh-CN" w:bidi="ar-SA"/>
              </w:rPr>
              <w:tab/>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支持识别车头不少于3700种车系，车尾不少于1800种车系，白天准确率97%，晚上准确率90%。</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支持不少于350种车标识别，白天准确率≥98%，晚上准确率≥98%。</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支持不少于13种车身颜色识别，包括：黑、白、灰、红、绿、蓝、黄、粉、紫、棕、青、金、橙，白天准确率99%，晚上准确率95%。</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支持双网口，2个网口具有独立的MAC地址，可以独立设置IP地址信息</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具有加热模块，可感应到玻璃上的水汽，自动加热。</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4.4.8.3 雷视一体化微波检测器</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参数及功能要求</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内置12mm定焦镜头，视频图像分辨率不低于3072×1728（不低于500万像素），雷达发射频率77GHz；支持雷达数据和视频数据融合，在雷达可视化界面上显示跟踪目标速度、ID、距离， </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支持对雷达参数进行设置，包括设置原点坐标、车道数、车道宽度、方向、架设高度、距离修正参数、角度修正参数</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支持设置内置红外灯，可通过摄像机进行开启/关闭控制；支持自动模式的时控/光控设置；支持亮度等级设置，设置范围1～100可调</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内置流量统计功能，可实现流量统计，平均速度统计，车头时距和间距统计，时间占有率和空间占有率统计，交通拥堵上报，道路状态监测；可实现路口和路段的交通测序</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支持行人、逆行、交通拥堵、停车、飙车、未保持车距、道路预警等交通事件事故检测上报</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支持加塞检测设置，可设置拥堵阈值范围百分比、抓拍图片数量、录像总时长、抓前预录时间等。</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支持雷达侦测数据和视频分析数据融合展示，可在雷达可视化界面中、各目标框上，显示跟踪目标的实时速度、序号ID和距设备安装位置的距离。</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双向4车道128个目标轨迹跟踪，机动车检测距离不低于250米，测速范围可设置为1km/h～180km/h。</w:t>
            </w:r>
            <w:r/>
          </w:p>
          <w:p>
            <w:pPr>
              <w:ind w:firstLine="480"/>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支持车距违章抓拍设置，可分别设置低车速值、中车速值、高车速值，同时设置两车的低安全距离、中安全距离、高安全距离。</w:t>
            </w:r>
            <w:r/>
          </w:p>
          <w:p>
            <w:pPr>
              <w:ind w:firstLine="480"/>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不低于IP66防护等级，防浪涌和防突波保护 </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4.5 交通诱导发布系统技术要求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4.5.1 交通诱导发布系统功能要求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发布信息的实时性：1）道路常态信息的发布实时性，路边可变信息标志显示的道路交通状态信息内容变化，与道路实际交通状态的变化时间延时，最大不超过1min。2）道路交通指挥中心发布时延，道路交通指挥中心发布信息或者指令，到路边可变信息标志显示这些信息和指令所需要的时间延时，最大不超过3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发布信息的准确性：1）图形方式交通信息发布的准确性，图形可变信息标志显示的道路交通状态信息，与道路的实际交通状态之间的吻合程度，应大于90％。2）行程时间信息发布的准确性，文字可变信息标志发布的到达特定地点的行程时间预测信息，与实际到达的行程时间之间的差异，应小于10％。</w:t>
            </w:r>
            <w:r/>
          </w:p>
          <w:p>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color w:val="auto"/>
                <w:sz w:val="24"/>
                <w:szCs w:val="24"/>
                <w:highlight w:val="none"/>
                <w:u w:val="single"/>
                <w:lang w:val="en-US" w:eastAsia="zh-CN" w:bidi="ar-SA"/>
              </w:rPr>
              <w:t xml:space="preserve">3</w:t>
            </w:r>
            <w:r>
              <w:rPr>
                <w:rFonts w:ascii="Times New Roman" w:hAnsi="Times New Roman" w:eastAsia="宋体" w:cs="Times New Roman"/>
                <w:i/>
                <w:color w:val="auto"/>
                <w:sz w:val="24"/>
                <w:szCs w:val="24"/>
                <w:highlight w:val="none"/>
                <w:u w:val="single"/>
                <w:lang w:val="en-US" w:eastAsia="zh-CN" w:bidi="ar-SA"/>
              </w:rPr>
              <w:t xml:space="preserve">、诱导屏（交通微诱导屏、交通信息诱导屏、可变速显示屏）能够与中心现有的诱导屏发布软件进行顺畅对接，确保能够受中心发布软件的控制。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现有诱导屏发布软件是通过集中控制方式对道路屏分类管理，达到根据不同路段分类统一发布信息的目的。能实时显示各网点网络通讯情况，反馈故障点位信息，方便及时维护。通过与第三方平台对接，可对不同路段的屏统一发布能实时反应各自路段流量信息及道路违法信息等。</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4.5.2 交通微诱导屏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交通信息屏由箱体、LED显示单元、驱动控制器、通信接口以及供电电源等组成，要求诱导屏符合诱导屏符合的规定，并达到以下技术要求：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全点阵动态交通诱导屏外形尺寸</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2560mm*640mm，点间距10mm，采用双基色LED。</w:t>
            </w:r>
            <w:r/>
          </w:p>
          <w:p>
            <w:pPr>
              <w:numPr>
                <w:ilvl w:val="0"/>
                <w:numId w:val="0"/>
              </w:num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◆2、诱导屏的设计及施工中需考虑设施的防雷及电源的稳定性等因素，采用合理有效的安全接地措施，设备应具备良好的抗干扰和雷电浪涌防护特性，设备安全接地电阻不大于10Ω。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◆3、诱导屏应处在可控状态下运行，能通过监控中心进行远程的控制操作，包括开关屏、亮度调整、参数设置以及显示信息修改等。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◆4、能实时自动检测诱导屏的工作状态并上传到控制中心，发生故障时自动黑屏；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同时还需要满足下表LED参数要求：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）红色管芯：波长：620-624nm；亮度：2000-2400mcd。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）绿色管芯：波长：519-522nm；亮度：6800-8160mcd。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）像素密度：10000dots/㎡。</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）像素均匀度：灯珠间距符合对应规格：P10（允许公差：0.01mm）。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）模组厚度：≥30mm。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）PCB材质：全集成、二层布线；四层线路结构设计。</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7</w:t>
            </w:r>
            <w:r>
              <w:rPr>
                <w:rFonts w:ascii="Times New Roman" w:hAnsi="Times New Roman" w:eastAsia="宋体" w:cs="Times New Roman"/>
                <w:i/>
                <w:iCs/>
                <w:color w:val="auto"/>
                <w:sz w:val="24"/>
                <w:szCs w:val="24"/>
                <w:highlight w:val="none"/>
                <w:u w:val="single"/>
                <w:lang w:val="en-US" w:eastAsia="zh-CN" w:bidi="ar-SA"/>
              </w:rPr>
              <w:t xml:space="preserve">）灯珠材质：铜线铜支架。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）驱动器件：IC恒流驱动。</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）模组防护：背面PCB全灌胶。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）白平衡亮度：</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8000CD/m2。</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）白平衡色温：</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8500K。</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）视角：水平</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110°，垂直</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50°。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◆5、箱体结构：铝板/钣金烤漆全防水箱，双层门设计，采用航空压条密封圈，交通灰色。防护等级：不低于IP65(正面)/IP55(背面)。</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6、接口：即插航空接插件连接。</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◆7、控制方式：单点异步，云端网络集中管理。</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8、通讯端口：支持光纤、以太网接口10/100/1000Mbps\RS485/RS232。</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◆9、通讯功能：屏体可联动信号机等其他信号设备，控制系统支持与信号机联动，接受数据并处理后自动显示</w:t>
            </w:r>
            <w:r>
              <w:rPr>
                <w:rFonts w:hint="eastAsia" w:ascii="Times New Roman" w:hAnsi="Times New Roman" w:eastAsia="宋体" w:cs="Times New Roman"/>
                <w:color w:val="auto"/>
                <w:sz w:val="24"/>
                <w:szCs w:val="24"/>
                <w:highlight w:val="none"/>
                <w:lang w:val="en-US" w:eastAsia="zh-CN" w:bidi="ar-SA"/>
              </w:rPr>
              <w:t xml:space="preserve">。</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10、防火（阻燃）：单元板所使用PCB、塑料面板、防水圈、面罩通过燃烧试验，满足阻燃等级达HB级。</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、主控部分显示屏采用工业控制计算机嵌入式控制系统，由中心控制室通过远程联网来控制显示屏正常工作，显示屏可以独立工作。</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u w:val="single"/>
                <w:lang w:val="en-US" w:eastAsia="zh-CN" w:bidi="ar-SA"/>
              </w:rPr>
              <w:t xml:space="preserve">1</w:t>
            </w:r>
            <w:r>
              <w:rPr>
                <w:rFonts w:hint="eastAsia" w:ascii="Times New Roman" w:hAnsi="Times New Roman" w:eastAsia="宋体" w:cs="Times New Roman"/>
                <w:color w:val="auto"/>
                <w:sz w:val="24"/>
                <w:szCs w:val="24"/>
                <w:highlight w:val="none"/>
                <w:u w:val="single"/>
                <w:lang w:val="en-US" w:eastAsia="zh-CN" w:bidi="ar-SA"/>
              </w:rPr>
              <w:t xml:space="preserve">2</w:t>
            </w:r>
            <w:r>
              <w:rPr>
                <w:rFonts w:ascii="Times New Roman" w:hAnsi="Times New Roman" w:eastAsia="宋体" w:cs="Times New Roman"/>
                <w:color w:val="auto"/>
                <w:sz w:val="24"/>
                <w:szCs w:val="24"/>
                <w:highlight w:val="none"/>
                <w:u w:val="single"/>
                <w:lang w:val="en-US" w:eastAsia="zh-CN" w:bidi="ar-SA"/>
              </w:rPr>
              <w:t xml:space="preserve">、抗干扰符合IEC－801二级；防护等级不低于 IP65。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13</w:t>
            </w:r>
            <w:r>
              <w:rPr>
                <w:rFonts w:ascii="Times New Roman" w:hAnsi="Times New Roman" w:eastAsia="宋体" w:cs="Times New Roman"/>
                <w:color w:val="auto"/>
                <w:sz w:val="24"/>
                <w:szCs w:val="24"/>
                <w:highlight w:val="none"/>
                <w:lang w:val="en-US" w:eastAsia="zh-CN" w:bidi="ar-SA"/>
              </w:rPr>
              <w:t xml:space="preserve">、显示屏安装要求显示屏表面平整度：小于1mm。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14</w:t>
            </w:r>
            <w:r>
              <w:rPr>
                <w:rFonts w:ascii="Times New Roman" w:hAnsi="Times New Roman" w:eastAsia="宋体" w:cs="Times New Roman"/>
                <w:i/>
                <w:iCs/>
                <w:color w:val="auto"/>
                <w:sz w:val="24"/>
                <w:szCs w:val="24"/>
                <w:highlight w:val="none"/>
                <w:u w:val="single"/>
                <w:lang w:val="en-US" w:eastAsia="zh-CN" w:bidi="ar-SA"/>
              </w:rPr>
              <w:t xml:space="preserve">、诱导屏能够与中心现有的诱导屏发布软件进行对接，确保能够受中心发布软件的控制。</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4.5.3 交通信息诱导屏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◆1、全点阵动态交通诱导屏外形尺寸</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3.84米×高约2.88米，点间距10mm，采用全彩色LED。</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◆2、诱导屏的设计及施工中需考虑设施的防雷及电源的稳定性等因素，采用合理有效的安全接地措施，设备应具备良好的抗干扰和雷电浪涌防护特性，设备安全接地电阻不大于10Ω。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◆3、诱导屏应处在可控状态下运行，能通过监控中心进行远程的控制操作，包括开关屏、亮度调整、参数设置以及显示信息修改等。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能实时自动检测诱导屏的工作状态并上传到控制中心，发生故障时自动黑屏；同时还需要满足以下参数要求：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）红色管芯：波长：620-624nm；亮度：2000-2400mcd。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）绿色管芯：波长：519-522nm；亮度：6800-8160mcd。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）蓝色管芯：波长：465-468nm；亮度：1500-1800mcd。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）像素密度：</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10000dots/㎡。</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）像素均匀度：灯珠间距符合对应规格：P10（允许公差：0.01mm）。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）模组厚度：≥30mm。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7</w:t>
            </w:r>
            <w:r>
              <w:rPr>
                <w:rFonts w:ascii="Times New Roman" w:hAnsi="Times New Roman" w:eastAsia="宋体" w:cs="Times New Roman"/>
                <w:i/>
                <w:iCs/>
                <w:color w:val="auto"/>
                <w:sz w:val="24"/>
                <w:szCs w:val="24"/>
                <w:highlight w:val="none"/>
                <w:u w:val="single"/>
                <w:lang w:val="en-US" w:eastAsia="zh-CN" w:bidi="ar-SA"/>
              </w:rPr>
              <w:t xml:space="preserve">）PCB材质：全集成、二层布线；四层线路结构设计。</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）灯珠材质：铜线铜支架。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）驱动器件：IC恒流驱动。</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）扫描方式：1/4。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）模组防护：背面PCB全灌胶。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）白平衡亮度：</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8000CD/m2。</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）白平衡色温：</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8500K。</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）视角：水平</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110°，垂直</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50°。</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5、诱导屏的物理像素分布 384点（宽）*288点（高）=110592像素。</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6</w:t>
            </w:r>
            <w:r>
              <w:rPr>
                <w:rFonts w:ascii="Times New Roman" w:hAnsi="Times New Roman" w:eastAsia="宋体" w:cs="Times New Roman"/>
                <w:color w:val="auto"/>
                <w:sz w:val="24"/>
                <w:szCs w:val="24"/>
                <w:highlight w:val="none"/>
                <w:lang w:val="en-US" w:eastAsia="zh-CN" w:bidi="ar-SA"/>
              </w:rPr>
              <w:t xml:space="preserve">、诱导屏净面积</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 3.84m（宽）*2.88m（高）=11.06㎡。</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、箱体结构：铝板/钣金烤漆全防水箱，双层门设计，采用航空压条密封圈，交通灰色。</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 w:val="0"/>
                <w:iCs w:val="0"/>
                <w:color w:val="auto"/>
                <w:sz w:val="24"/>
                <w:szCs w:val="24"/>
                <w:highlight w:val="none"/>
                <w:u w:val="none"/>
                <w:lang w:val="en-US" w:eastAsia="zh-CN" w:bidi="ar-SA"/>
              </w:rPr>
              <w:t xml:space="preserve">8</w:t>
            </w:r>
            <w:r>
              <w:rPr>
                <w:rFonts w:ascii="Times New Roman" w:hAnsi="Times New Roman" w:eastAsia="宋体" w:cs="Times New Roman"/>
                <w:i w:val="0"/>
                <w:iCs w:val="0"/>
                <w:color w:val="auto"/>
                <w:sz w:val="24"/>
                <w:szCs w:val="24"/>
                <w:highlight w:val="none"/>
                <w:u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各箱体之间的连线应不外露。箱体及连接件防护罩色泽均匀，安装完成后应无划伤裂痕。外机箱表面用喷塑处理，喷塑后颜色为亚光灰色，不反光，防眩光。</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、接口：即插航空接插件连接。防护等级：不低于IP65(正面)/IP55(背面)，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、控制方式：单点异步，云端网络集中管理。</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、防火（阻燃）：单元板所使用PCB、塑料面板、防水圈、面罩通过燃烧试验，满足阻燃等级达HB级。</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、主控部分，显示屏采用工业控制计算机嵌入式控制系统，由中心控制室通过远程联网来控制显示屏正常工作，显示屏可以独立工作。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3</w:t>
            </w:r>
            <w:r>
              <w:rPr>
                <w:rFonts w:ascii="Times New Roman" w:hAnsi="Times New Roman" w:eastAsia="宋体" w:cs="Times New Roman"/>
                <w:color w:val="auto"/>
                <w:sz w:val="24"/>
                <w:szCs w:val="24"/>
                <w:highlight w:val="none"/>
                <w:lang w:val="en-US" w:eastAsia="zh-CN" w:bidi="ar-SA"/>
              </w:rPr>
              <w:t xml:space="preserve">、诱导屏采用自动调光控制系统，用来控制显示屏整体的发光强度，可有32个亮度等级可以控制。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、换帧速度 ≥120帧/秒。</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15</w:t>
            </w:r>
            <w:r>
              <w:rPr>
                <w:rFonts w:ascii="Times New Roman" w:hAnsi="Times New Roman" w:eastAsia="宋体" w:cs="Times New Roman"/>
                <w:i/>
                <w:iCs/>
                <w:color w:val="auto"/>
                <w:sz w:val="24"/>
                <w:szCs w:val="24"/>
                <w:highlight w:val="none"/>
                <w:u w:val="single"/>
                <w:lang w:val="en-US" w:eastAsia="zh-CN" w:bidi="ar-SA"/>
              </w:rPr>
              <w:t xml:space="preserve">、显示屏的失控点小于万分之三（SJ/T11141－1997）。</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16</w:t>
            </w:r>
            <w:r>
              <w:rPr>
                <w:rFonts w:ascii="Times New Roman" w:hAnsi="Times New Roman" w:eastAsia="宋体" w:cs="Times New Roman"/>
                <w:color w:val="auto"/>
                <w:sz w:val="24"/>
                <w:szCs w:val="24"/>
                <w:highlight w:val="none"/>
                <w:lang w:val="en-US" w:eastAsia="zh-CN" w:bidi="ar-SA"/>
              </w:rPr>
              <w:t xml:space="preserve">、安装方式：结构所用材料、连接方式、基础尺寸等均经过强度力学计算，能承受48m／s以上的风载荷，确保屏体安全、稳定、可靠。显示屏安装要求显示屏表面平整度：小于1mm。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17</w:t>
            </w:r>
            <w:r>
              <w:rPr>
                <w:rFonts w:ascii="Times New Roman" w:hAnsi="Times New Roman" w:eastAsia="宋体" w:cs="Times New Roman"/>
                <w:i/>
                <w:iCs/>
                <w:color w:val="auto"/>
                <w:sz w:val="24"/>
                <w:szCs w:val="24"/>
                <w:highlight w:val="none"/>
                <w:u w:val="single"/>
                <w:lang w:val="en-US" w:eastAsia="zh-CN" w:bidi="ar-SA"/>
              </w:rPr>
              <w:t xml:space="preserve">、诱导屏能够与中心现有的诱导屏发布软件进行对接，确保能够受中心发布软件的控制。</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4.5.4 可变</w:t>
            </w:r>
            <w:r>
              <w:rPr>
                <w:rFonts w:hint="eastAsia" w:ascii="Times New Roman" w:hAnsi="Times New Roman" w:eastAsia="宋体" w:cs="Times New Roman"/>
                <w:color w:val="auto"/>
                <w:sz w:val="24"/>
                <w:szCs w:val="24"/>
                <w:highlight w:val="none"/>
                <w:lang w:val="en-US" w:eastAsia="zh-CN" w:bidi="ar-SA"/>
              </w:rPr>
              <w:t xml:space="preserve">限</w:t>
            </w:r>
            <w:r>
              <w:rPr>
                <w:rFonts w:ascii="Times New Roman" w:hAnsi="Times New Roman" w:eastAsia="宋体" w:cs="Times New Roman"/>
                <w:color w:val="auto"/>
                <w:sz w:val="24"/>
                <w:szCs w:val="24"/>
                <w:highlight w:val="none"/>
                <w:lang w:val="en-US" w:eastAsia="zh-CN" w:bidi="ar-SA"/>
              </w:rPr>
              <w:t xml:space="preserve">速显示屏</w:t>
            </w:r>
            <w:r/>
          </w:p>
          <w:p>
            <w:pPr>
              <w:jc w:val="left"/>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屏由箱体、LED显示单元、驱动控制器、通信接口以及供电电源等组成，要求诱导屏符合诱导屏符合的规定，并达到以下技术要求：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◆1、全点阵动态交通诱导屏外形尺寸</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1280mm*1280mm，点间距10mm，采用双基色LED。</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◆2、诱导屏的设计及施工中需考虑设施的防雷及电源的稳定性等因素，采用合理有效的安全接地措施，设备应具备良好的抗干扰和雷电浪涌防护特性，设备安全接地电阻不大于10Ω。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◆3、诱导屏应处在可控状态下运行，能通过监控中心进行远程的控制操作，包括开关屏、亮度调整、参数设置以及显示信息修改等。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◆4、能实时自动检测诱导屏的工作状态并上传到控制中心，发生故障时自动黑屏；同时还需要满足下表LED参数要求：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
                <w:iCs/>
                <w:color w:val="auto"/>
                <w:sz w:val="24"/>
                <w:szCs w:val="24"/>
                <w:highlight w:val="none"/>
                <w:u w:val="single"/>
                <w:lang w:val="en-US" w:eastAsia="zh-CN" w:bidi="ar-SA"/>
              </w:rPr>
              <w:t xml:space="preserve">1）红色管芯：波长：620-624nm；亮度：2000-2400mcd。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）绿色管芯：波长：519-522nm；亮度：6800-8160mcd。</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）像素密度：</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10000dots/㎡。</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4</w:t>
            </w:r>
            <w:r>
              <w:rPr>
                <w:rFonts w:ascii="Times New Roman" w:hAnsi="Times New Roman" w:eastAsia="宋体" w:cs="Times New Roman"/>
                <w:i/>
                <w:iCs/>
                <w:color w:val="auto"/>
                <w:sz w:val="24"/>
                <w:szCs w:val="24"/>
                <w:highlight w:val="none"/>
                <w:u w:val="single"/>
                <w:lang w:val="en-US" w:eastAsia="zh-CN" w:bidi="ar-SA"/>
              </w:rPr>
              <w:t xml:space="preserve">）像素均匀度：灯珠间距符合对应规格：P10（允许公差：0.01mm）。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）模组厚度：≥30mm。</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）PCB材质：全集成、二层布线；四层线路结构设计。</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7</w:t>
            </w:r>
            <w:r>
              <w:rPr>
                <w:rFonts w:ascii="Times New Roman" w:hAnsi="Times New Roman" w:eastAsia="宋体" w:cs="Times New Roman"/>
                <w:i/>
                <w:iCs/>
                <w:color w:val="auto"/>
                <w:sz w:val="24"/>
                <w:szCs w:val="24"/>
                <w:highlight w:val="none"/>
                <w:u w:val="single"/>
                <w:lang w:val="en-US" w:eastAsia="zh-CN" w:bidi="ar-SA"/>
              </w:rPr>
              <w:t xml:space="preserve">）灯珠材质：铜线铜支架。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8</w:t>
            </w:r>
            <w:r>
              <w:rPr>
                <w:rFonts w:ascii="Times New Roman" w:hAnsi="Times New Roman" w:eastAsia="宋体" w:cs="Times New Roman"/>
                <w:i/>
                <w:iCs/>
                <w:color w:val="auto"/>
                <w:sz w:val="24"/>
                <w:szCs w:val="24"/>
                <w:highlight w:val="none"/>
                <w:u w:val="single"/>
                <w:lang w:val="en-US" w:eastAsia="zh-CN" w:bidi="ar-SA"/>
              </w:rPr>
              <w:t xml:space="preserve">）驱动器件：IC恒流驱动。</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9</w:t>
            </w:r>
            <w:r>
              <w:rPr>
                <w:rFonts w:ascii="Times New Roman" w:hAnsi="Times New Roman" w:eastAsia="宋体" w:cs="Times New Roman"/>
                <w:i/>
                <w:iCs/>
                <w:color w:val="auto"/>
                <w:sz w:val="24"/>
                <w:szCs w:val="24"/>
                <w:highlight w:val="none"/>
                <w:u w:val="single"/>
                <w:lang w:val="en-US" w:eastAsia="zh-CN" w:bidi="ar-SA"/>
              </w:rPr>
              <w:t xml:space="preserve">）扫描方式：1/4。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）模组防护：背面PCB全灌胶。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）白平衡亮度：</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8000CD/m2。</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2</w:t>
            </w:r>
            <w:r>
              <w:rPr>
                <w:rFonts w:ascii="Times New Roman" w:hAnsi="Times New Roman" w:eastAsia="宋体" w:cs="Times New Roman"/>
                <w:i/>
                <w:iCs/>
                <w:color w:val="auto"/>
                <w:sz w:val="24"/>
                <w:szCs w:val="24"/>
                <w:highlight w:val="none"/>
                <w:u w:val="single"/>
                <w:lang w:val="en-US" w:eastAsia="zh-CN" w:bidi="ar-SA"/>
              </w:rPr>
              <w:t xml:space="preserve">）白平衡色温：</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8500K。</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3</w:t>
            </w:r>
            <w:r>
              <w:rPr>
                <w:rFonts w:ascii="Times New Roman" w:hAnsi="Times New Roman" w:eastAsia="宋体" w:cs="Times New Roman"/>
                <w:i/>
                <w:iCs/>
                <w:color w:val="auto"/>
                <w:sz w:val="24"/>
                <w:szCs w:val="24"/>
                <w:highlight w:val="none"/>
                <w:u w:val="single"/>
                <w:lang w:val="en-US" w:eastAsia="zh-CN" w:bidi="ar-SA"/>
              </w:rPr>
              <w:t xml:space="preserve">）视角：水平</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110°，垂直</w:t>
            </w:r>
            <w:r>
              <w:rPr>
                <w:rFonts w:hint="eastAsia" w:ascii="Times New Roman" w:hAnsi="Times New Roman" w:eastAsia="宋体" w:cs="Times New Roman"/>
                <w:color w:val="auto"/>
                <w:sz w:val="24"/>
                <w:szCs w:val="24"/>
                <w:highlight w:val="none"/>
                <w:u w:val="single"/>
                <w:lang w:val="en-US" w:eastAsia="zh-CN" w:bidi="ar-SA"/>
              </w:rPr>
              <w:t xml:space="preserve">不低于</w:t>
            </w:r>
            <w:r>
              <w:rPr>
                <w:rFonts w:ascii="Times New Roman" w:hAnsi="Times New Roman" w:eastAsia="宋体" w:cs="Times New Roman"/>
                <w:i/>
                <w:iCs/>
                <w:color w:val="auto"/>
                <w:sz w:val="24"/>
                <w:szCs w:val="24"/>
                <w:highlight w:val="none"/>
                <w:u w:val="single"/>
                <w:lang w:val="en-US" w:eastAsia="zh-CN" w:bidi="ar-SA"/>
              </w:rPr>
              <w:t xml:space="preserve">50°。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、箱体结构：铝板/钣金烤漆全防水箱，双层门设计，采用航空压条密封圈，交通灰色。</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、接口：即插航空接插件连接。</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、控制方式：单点异步，云端网络集中管理。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、主控部分：显示屏采用工业控制计算机嵌入式控制系统，由中心控制室通过远程联网来控制显示屏正常工作，显示屏可以独立工作。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、诱导屏采用自动调光控制系统，用来控制显示屏整体的发光强度，可有32个亮度等级可以控制。</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w:t>
            </w:r>
            <w:r>
              <w:rPr>
                <w:rFonts w:hint="eastAsia" w:ascii="Times New Roman" w:hAnsi="Times New Roman" w:eastAsia="宋体" w:cs="Times New Roman"/>
                <w:i/>
                <w:iCs/>
                <w:color w:val="auto"/>
                <w:sz w:val="24"/>
                <w:szCs w:val="24"/>
                <w:highlight w:val="none"/>
                <w:u w:val="single"/>
                <w:lang w:val="en-US" w:eastAsia="zh-CN" w:bidi="ar-SA"/>
              </w:rPr>
              <w:t xml:space="preserve">0</w:t>
            </w:r>
            <w:r>
              <w:rPr>
                <w:rFonts w:ascii="Times New Roman" w:hAnsi="Times New Roman" w:eastAsia="宋体" w:cs="Times New Roman"/>
                <w:i/>
                <w:iCs/>
                <w:color w:val="auto"/>
                <w:sz w:val="24"/>
                <w:szCs w:val="24"/>
                <w:highlight w:val="none"/>
                <w:u w:val="single"/>
                <w:lang w:val="en-US" w:eastAsia="zh-CN" w:bidi="ar-SA"/>
              </w:rPr>
              <w:t xml:space="preserve">、换帧速度 ≥120帧/秒。</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w:t>
            </w:r>
            <w:r>
              <w:rPr>
                <w:rFonts w:ascii="Times New Roman" w:hAnsi="Times New Roman" w:eastAsia="宋体" w:cs="Times New Roman"/>
                <w:i/>
                <w:iCs/>
                <w:color w:val="auto"/>
                <w:sz w:val="24"/>
                <w:szCs w:val="24"/>
                <w:highlight w:val="none"/>
                <w:u w:val="single"/>
                <w:lang w:val="en-US" w:eastAsia="zh-CN" w:bidi="ar-SA"/>
              </w:rPr>
              <w:t xml:space="preserve">1、显示屏的失控点小于万分之三（SJ/T11141－1997）。</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2、安装方式：结构所用材料、连接方式、基础尺寸等均经过强度力学计算，能承受48m／s以上的风载荷，确保屏体安全、稳定、可靠。显示屏安装要求显示屏表面平整度：小于1mm。</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4.5.5智能抱杆箱</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见</w:t>
            </w:r>
            <w:r>
              <w:rPr>
                <w:rFonts w:hint="eastAsia" w:ascii="Times New Roman" w:hAnsi="Times New Roman" w:eastAsia="宋体" w:cs="Times New Roman"/>
                <w:iCs/>
                <w:color w:val="auto"/>
                <w:sz w:val="24"/>
                <w:szCs w:val="22"/>
                <w:highlight w:val="none"/>
                <w:lang w:val="en-US" w:eastAsia="zh-CN" w:bidi="ar-SA"/>
              </w:rPr>
              <w:t xml:space="preserve">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4.5.</w:t>
            </w:r>
            <w:r>
              <w:rPr>
                <w:rFonts w:hint="eastAsia" w:ascii="Times New Roman" w:hAnsi="Times New Roman" w:eastAsia="宋体" w:cs="Times New Roman"/>
                <w:iCs/>
                <w:color w:val="auto"/>
                <w:sz w:val="24"/>
                <w:highlight w:val="none"/>
                <w:lang w:val="en-US" w:eastAsia="zh-CN"/>
              </w:rPr>
              <w:t xml:space="preserve">6</w:t>
            </w:r>
            <w:r>
              <w:rPr>
                <w:rFonts w:hint="default" w:ascii="Times New Roman" w:hAnsi="Times New Roman" w:eastAsia="宋体" w:cs="Times New Roman"/>
                <w:iCs/>
                <w:color w:val="auto"/>
                <w:sz w:val="24"/>
                <w:highlight w:val="none"/>
              </w:rPr>
              <w:t xml:space="preserve"> 智能设备箱（小）</w:t>
            </w:r>
            <w:r/>
          </w:p>
          <w:p>
            <w:pPr>
              <w:spacing w:line="440" w:lineRule="exact"/>
              <w:rPr>
                <w:rFonts w:hint="default" w:ascii="Times New Roman" w:hAnsi="Times New Roman" w:eastAsia="宋体" w:cs="Times New Roman"/>
                <w:i/>
                <w:color w:val="auto"/>
                <w:sz w:val="24"/>
                <w:highlight w:val="none"/>
                <w:u w:val="single"/>
              </w:rPr>
            </w:pPr>
            <w:r>
              <w:rPr>
                <w:rFonts w:hint="default" w:ascii="Times New Roman" w:hAnsi="Times New Roman" w:eastAsia="宋体" w:cs="Times New Roman"/>
                <w:i/>
                <w:color w:val="auto"/>
                <w:sz w:val="24"/>
                <w:highlight w:val="none"/>
                <w:u w:val="single"/>
              </w:rPr>
              <w:t xml:space="preserve">1、尺寸不低于400mm*350mm*670mm(长*宽*高)；箱体材料为不锈钢，厚度不低于1.5mm，人字尖顶，整体喷塑。</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2、内部配电、防雷单元以及设备放置隔板位置能自由调整，方便现场安装调整。门体使用双翻遍工艺，材料为不锈钢，门板印字可定制。抽拉式隔板，设备安放及固定板，开散热孔及过线孔。防盗锁，弹珠型防盗锁芯，外部防撬扣厚度大于2mm。防盗铰链，锌合金材质，压铸工艺，内部固定。</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
                <w:iCs w:val="0"/>
                <w:color w:val="auto"/>
                <w:sz w:val="24"/>
                <w:highlight w:val="none"/>
                <w:u w:val="single"/>
              </w:rPr>
              <w:t xml:space="preserve">3、电源防雷最大持续工作电压：385V AC，最大通流容量：40kA，保护水平（40kA，8/20μs）：2400V，保护模式：L-N-PE，响应时间：≤1ns，防护等级：不低于IP20。</w:t>
            </w:r>
            <w:r/>
          </w:p>
          <w:p>
            <w:pPr>
              <w:spacing w:line="440" w:lineRule="exact"/>
              <w:rPr>
                <w:rFonts w:hint="default" w:ascii="Times New Roman" w:hAnsi="Times New Roman" w:eastAsia="宋体" w:cs="Times New Roman"/>
                <w:i/>
                <w:color w:val="auto"/>
                <w:sz w:val="24"/>
                <w:highlight w:val="none"/>
                <w:u w:val="single"/>
              </w:rPr>
            </w:pPr>
            <w:r>
              <w:rPr>
                <w:rFonts w:hint="default" w:ascii="Times New Roman" w:hAnsi="Times New Roman" w:eastAsia="宋体" w:cs="Times New Roman"/>
                <w:i/>
                <w:color w:val="auto"/>
                <w:sz w:val="24"/>
                <w:highlight w:val="none"/>
                <w:u w:val="single"/>
              </w:rPr>
              <w:t xml:space="preserve">4、配装至少1个8口千兆以太网防雷器、1个电源引入防雷模块，可根据实际情况增加配置，满足使用需求。</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5、机箱为全天候防风雨自立式机箱。在机箱中加装电源保护装置，即过流过压保护装置，里面可能放置光端机、防雷模块、电源设备，接线端子、光纤终端盒、维修开关和插座等。</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6、配装工业级传输交换机，不少于2光8电，含光模块，千兆网口，无风扇设计，可实时检测交换机工作状态，状态异常时可上报异常数据，可远程重启交换机。</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7、机箱中应有电源单元，不少于1个7路输出DC12V电源模块和1个2路输出AC24V电源模块，可根据实际情况选择合适功率、增加电源输出，满足使用需求。</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8、机箱内设有防雷电装置，每一根引入线均有相应的防雷电保护装置。</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9、机箱中应有通风装置，至少2个温控风扇，当机箱内温度过高时，通风装置自动启动排风降温。且进、排风口必须防水渗漏，有防虫吸入滤网。机箱锁要求有防雨外壳。</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10、机箱应有良好的接地系统，其防雷接地与电子设备工作接地分开。</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供电：电流总量程不低于63A；不少于1路32A（电流量程可调1A-63A）供电；不少于1个32A自动重合闸（1A-63A可调）；不少于4路16A（电流量程可调1A-20A）供电；不少于2个5口国标插座。</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电路监测：不低于5路电流电压检测；电压量程0-350V。</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其他功能；以太网通讯功能；地图展示功能；门禁报警功能；断电检测功能；断网检测功能；防雷失效检测功能；时钟功能以及电池充电功能。</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环境监测：箱体内部温湿度检测，温度量程不低于-40-+125℃，湿度量程0-100%RH。</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断电</w:t>
            </w:r>
            <w:r>
              <w:rPr>
                <w:rFonts w:hint="eastAsia" w:ascii="Times New Roman" w:hAnsi="Times New Roman" w:eastAsia="宋体" w:cs="Times New Roman"/>
                <w:iCs/>
                <w:color w:val="auto"/>
                <w:sz w:val="24"/>
                <w:highlight w:val="none"/>
                <w:lang w:eastAsia="zh-CN"/>
              </w:rPr>
              <w:t xml:space="preserve">、</w:t>
            </w:r>
            <w:r>
              <w:rPr>
                <w:rFonts w:hint="default" w:ascii="Times New Roman" w:hAnsi="Times New Roman" w:eastAsia="宋体" w:cs="Times New Roman"/>
                <w:iCs/>
                <w:color w:val="auto"/>
                <w:sz w:val="24"/>
                <w:highlight w:val="none"/>
              </w:rPr>
              <w:t xml:space="preserve">温度</w:t>
            </w:r>
            <w:r>
              <w:rPr>
                <w:rFonts w:hint="eastAsia" w:ascii="Times New Roman" w:hAnsi="Times New Roman" w:eastAsia="宋体" w:cs="Times New Roman"/>
                <w:iCs/>
                <w:color w:val="auto"/>
                <w:sz w:val="24"/>
                <w:highlight w:val="none"/>
                <w:lang w:eastAsia="zh-CN"/>
              </w:rPr>
              <w:t xml:space="preserve">、</w:t>
            </w:r>
            <w:r>
              <w:rPr>
                <w:rFonts w:hint="default" w:ascii="Times New Roman" w:hAnsi="Times New Roman" w:eastAsia="宋体" w:cs="Times New Roman"/>
                <w:iCs/>
                <w:color w:val="auto"/>
                <w:sz w:val="24"/>
                <w:highlight w:val="none"/>
              </w:rPr>
              <w:t xml:space="preserve">网络异常：支持远程中心平台报警。</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温度调节：支持远程控制风扇。</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工作温度范围：≥-10-+70℃。</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存放温度范围：≥-20-+85℃。</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相对湿度范围：≥5-95%，无结露。</w:t>
            </w:r>
            <w:r/>
          </w:p>
          <w:p>
            <w:pPr>
              <w:spacing w:line="440" w:lineRule="exact"/>
              <w:rPr>
                <w:rFonts w:hint="default" w:ascii="Times New Roman" w:hAnsi="Times New Roman" w:eastAsia="宋体" w:cs="Times New Roman"/>
                <w:iCs/>
                <w:color w:val="auto"/>
                <w:sz w:val="24"/>
                <w:highlight w:val="none"/>
              </w:rPr>
            </w:pPr>
            <w:r>
              <w:rPr>
                <w:rFonts w:hint="eastAsia" w:ascii="Times New Roman" w:hAnsi="Times New Roman" w:eastAsia="宋体" w:cs="Times New Roman"/>
                <w:i/>
                <w:iCs w:val="0"/>
                <w:color w:val="auto"/>
                <w:sz w:val="24"/>
                <w:highlight w:val="none"/>
                <w:u w:val="single"/>
                <w:lang w:val="en-US" w:eastAsia="zh-CN"/>
              </w:rPr>
              <w:t xml:space="preserve">11</w:t>
            </w:r>
            <w:r>
              <w:rPr>
                <w:rFonts w:hint="default" w:ascii="Times New Roman" w:hAnsi="Times New Roman" w:eastAsia="宋体" w:cs="Times New Roman"/>
                <w:i/>
                <w:iCs w:val="0"/>
                <w:color w:val="auto"/>
                <w:sz w:val="24"/>
                <w:highlight w:val="none"/>
                <w:u w:val="single"/>
              </w:rPr>
              <w:t xml:space="preserve">、防护等级：不低于IP55</w:t>
            </w:r>
            <w:r>
              <w:rPr>
                <w:rFonts w:hint="default" w:ascii="Times New Roman" w:hAnsi="Times New Roman" w:eastAsia="宋体" w:cs="Times New Roman"/>
                <w:iCs/>
                <w:color w:val="auto"/>
                <w:sz w:val="24"/>
                <w:highlight w:val="none"/>
              </w:rPr>
              <w:t xml:space="preserve">。</w:t>
            </w:r>
            <w:r/>
          </w:p>
          <w:p>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 xml:space="preserve">12、支持无缝接入张家港现有智能箱运维管理平台，接口要求如下：</w:t>
            </w:r>
            <w:r/>
          </w:p>
          <w:p>
            <w:pPr>
              <w:ind w:left="0" w:firstLine="0"/>
              <w:jc w:val="left"/>
              <w:spacing w:line="360" w:lineRule="auto"/>
              <w:widowControl w:val="off"/>
              <w:rPr>
                <w:rFonts w:hint="eastAsia" w:ascii="宋体" w:hAnsi="宋体" w:eastAsia="宋体" w:cs="Times New Roman"/>
                <w:color w:val="auto"/>
                <w:sz w:val="24"/>
                <w:szCs w:val="22"/>
                <w:lang w:val="en-US" w:eastAsia="zh-CN" w:bidi="ar-SA"/>
              </w:rPr>
            </w:pPr>
            <w:r>
              <w:rPr>
                <w:rFonts w:hint="eastAsia" w:ascii="宋体" w:hAnsi="宋体" w:eastAsia="宋体" w:cs="Times New Roman"/>
                <w:color w:val="auto"/>
                <w:sz w:val="24"/>
                <w:szCs w:val="22"/>
                <w:lang w:val="en-US" w:eastAsia="zh-CN" w:bidi="ar-SA"/>
              </w:rPr>
              <w:t xml:space="preserve">1）数据接口基于SNMP标准协议，符合RFC1901- RFC1908；</w:t>
            </w:r>
            <w:r/>
          </w:p>
          <w:p>
            <w:pPr>
              <w:ind w:left="0" w:firstLine="0"/>
              <w:jc w:val="left"/>
              <w:spacing w:line="360" w:lineRule="auto"/>
              <w:widowControl w:val="off"/>
              <w:rPr>
                <w:rFonts w:ascii="宋体" w:hAnsi="宋体" w:eastAsia="宋体" w:cs="Times New Roman"/>
                <w:color w:val="auto"/>
                <w:sz w:val="24"/>
                <w:szCs w:val="22"/>
                <w:lang w:val="en-US" w:eastAsia="zh-CN" w:bidi="ar-SA"/>
              </w:rPr>
            </w:pPr>
            <w:r>
              <w:rPr>
                <w:rFonts w:hint="eastAsia" w:ascii="宋体" w:hAnsi="宋体" w:eastAsia="宋体" w:cs="Times New Roman"/>
                <w:color w:val="auto"/>
                <w:sz w:val="24"/>
                <w:szCs w:val="22"/>
                <w:lang w:val="en-US" w:eastAsia="zh-CN" w:bidi="ar-SA"/>
              </w:rPr>
              <w:t xml:space="preserve">2）以太网口应使用TCP/IP协议，TCP协议应符合RFC0793，IP协议应符合RFC0791</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4.5.</w:t>
            </w:r>
            <w:r>
              <w:rPr>
                <w:rFonts w:hint="eastAsia" w:ascii="Times New Roman" w:hAnsi="Times New Roman" w:eastAsia="宋体" w:cs="Times New Roman"/>
                <w:iCs/>
                <w:color w:val="auto"/>
                <w:sz w:val="24"/>
                <w:szCs w:val="24"/>
                <w:highlight w:val="none"/>
                <w:lang w:val="en-US" w:eastAsia="zh-CN" w:bidi="ar-SA"/>
              </w:rPr>
              <w:t xml:space="preserve">7</w:t>
            </w:r>
            <w:r>
              <w:rPr>
                <w:rFonts w:ascii="Times New Roman" w:hAnsi="Times New Roman" w:eastAsia="宋体" w:cs="Times New Roman"/>
                <w:iCs/>
                <w:color w:val="auto"/>
                <w:sz w:val="24"/>
                <w:szCs w:val="24"/>
                <w:highlight w:val="none"/>
                <w:lang w:val="en-US" w:eastAsia="zh-CN" w:bidi="ar-SA"/>
              </w:rPr>
              <w:t xml:space="preserve">接入接口要求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1、接口形式符合GA/T484-2010中5.7的要求。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2、RS-232C数据终端设备接口默认数据传输比特率为115200bit/s。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3、以太网口应使用TCP/IP协议，TCP协议应符合RFC0793，IP协议应符合RFC0791。</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4.6 违停抓拍系统技术要求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4.6.1 </w:t>
            </w:r>
            <w:r>
              <w:rPr>
                <w:rFonts w:ascii="Times New Roman" w:hAnsi="Times New Roman" w:eastAsia="宋体" w:cs="Times New Roman"/>
                <w:color w:val="auto"/>
                <w:sz w:val="24"/>
                <w:szCs w:val="24"/>
                <w:highlight w:val="none"/>
                <w:lang w:val="en-US" w:eastAsia="zh-CN" w:bidi="ar-SA"/>
              </w:rPr>
              <w:t xml:space="preserve">违停抓拍球型摄像机</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1、采用</w:t>
            </w:r>
            <w:r>
              <w:rPr>
                <w:rFonts w:hint="eastAsia" w:ascii="Times New Roman" w:hAnsi="Times New Roman" w:eastAsia="宋体" w:cs="Times New Roman"/>
                <w:iCs/>
                <w:color w:val="auto"/>
                <w:sz w:val="24"/>
                <w:highlight w:val="none"/>
                <w:lang w:eastAsia="zh-CN"/>
              </w:rPr>
              <w:t xml:space="preserve">不低于</w:t>
            </w:r>
            <w:r>
              <w:rPr>
                <w:rFonts w:hint="default" w:ascii="Times New Roman" w:hAnsi="Times New Roman" w:eastAsia="宋体" w:cs="Times New Roman"/>
                <w:iCs/>
                <w:color w:val="auto"/>
                <w:sz w:val="24"/>
                <w:highlight w:val="none"/>
              </w:rPr>
              <w:t xml:space="preserve">400万像素1/1.8英寸CMOS 传感器，分辨率</w:t>
            </w:r>
            <w:r>
              <w:rPr>
                <w:rFonts w:hint="eastAsia" w:ascii="Times New Roman" w:hAnsi="Times New Roman" w:eastAsia="宋体" w:cs="Times New Roman"/>
                <w:iCs/>
                <w:color w:val="auto"/>
                <w:sz w:val="24"/>
                <w:highlight w:val="none"/>
                <w:lang w:eastAsia="zh-CN"/>
              </w:rPr>
              <w:t xml:space="preserve">不低于</w:t>
            </w:r>
            <w:r>
              <w:rPr>
                <w:rFonts w:hint="default" w:ascii="Times New Roman" w:hAnsi="Times New Roman" w:eastAsia="宋体" w:cs="Times New Roman"/>
                <w:iCs/>
                <w:color w:val="auto"/>
                <w:sz w:val="24"/>
                <w:highlight w:val="none"/>
              </w:rPr>
              <w:t xml:space="preserve">2688×1520、帧率30fps、码率</w:t>
            </w:r>
            <w:r>
              <w:rPr>
                <w:rFonts w:hint="eastAsia" w:ascii="Times New Roman" w:hAnsi="Times New Roman" w:eastAsia="宋体" w:cs="Times New Roman"/>
                <w:iCs/>
                <w:color w:val="auto"/>
                <w:sz w:val="24"/>
                <w:highlight w:val="none"/>
                <w:lang w:eastAsia="zh-CN"/>
              </w:rPr>
              <w:t xml:space="preserve">可</w:t>
            </w:r>
            <w:r>
              <w:rPr>
                <w:rFonts w:hint="default" w:ascii="Times New Roman" w:hAnsi="Times New Roman" w:eastAsia="宋体" w:cs="Times New Roman"/>
                <w:iCs/>
                <w:color w:val="auto"/>
                <w:sz w:val="24"/>
                <w:highlight w:val="none"/>
              </w:rPr>
              <w:t xml:space="preserve">设置为4Mbps、RJ45输出，水平中心分辨率不小于1500TVL</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 xml:space="preserve">支持不低于33倍光学变倍，16倍数字变倍。</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2、最低照度满足：彩色≤0.0002Lux，黑白≤0.0001Lux。</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3、内置</w:t>
            </w:r>
            <w:r>
              <w:rPr>
                <w:rFonts w:hint="eastAsia" w:ascii="Times New Roman" w:hAnsi="Times New Roman" w:eastAsia="宋体" w:cs="Times New Roman"/>
                <w:iCs/>
                <w:color w:val="auto"/>
                <w:sz w:val="24"/>
                <w:highlight w:val="none"/>
                <w:lang w:eastAsia="zh-CN"/>
              </w:rPr>
              <w:t xml:space="preserve">不低于</w:t>
            </w:r>
            <w:r>
              <w:rPr>
                <w:rFonts w:hint="default" w:ascii="Times New Roman" w:hAnsi="Times New Roman" w:eastAsia="宋体" w:cs="Times New Roman"/>
                <w:iCs/>
                <w:color w:val="auto"/>
                <w:sz w:val="24"/>
                <w:highlight w:val="none"/>
              </w:rPr>
              <w:t xml:space="preserve">250米红外灯补光，采用倍率与红外灯功率匹配算法。</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iCs/>
                <w:color w:val="auto"/>
                <w:sz w:val="24"/>
                <w:highlight w:val="none"/>
                <w:lang w:val="en-US" w:eastAsia="zh-CN"/>
              </w:rPr>
              <w:t xml:space="preserve">4</w:t>
            </w:r>
            <w:r>
              <w:rPr>
                <w:rFonts w:hint="default" w:ascii="Times New Roman" w:hAnsi="Times New Roman" w:eastAsia="宋体" w:cs="Times New Roman"/>
                <w:iCs/>
                <w:color w:val="auto"/>
                <w:sz w:val="24"/>
                <w:highlight w:val="none"/>
              </w:rPr>
              <w:t xml:space="preserve">、支持水平方向360°连续旋转，垂直方向-30°～90°，自动翻转180°后连续监视,无监视盲区。</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iCs/>
                <w:color w:val="auto"/>
                <w:sz w:val="24"/>
                <w:highlight w:val="none"/>
                <w:lang w:val="en-US" w:eastAsia="zh-CN"/>
              </w:rPr>
              <w:t xml:space="preserve">5</w:t>
            </w:r>
            <w:r>
              <w:rPr>
                <w:rFonts w:hint="default" w:ascii="Times New Roman" w:hAnsi="Times New Roman" w:eastAsia="宋体" w:cs="Times New Roman"/>
                <w:iCs/>
                <w:color w:val="auto"/>
                <w:sz w:val="24"/>
                <w:highlight w:val="none"/>
              </w:rPr>
              <w:t xml:space="preserve">、可变倍抓拍远景、近景、中景、车牌特写。</w:t>
            </w:r>
            <w:r/>
          </w:p>
          <w:p>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iCs/>
                <w:color w:val="auto"/>
                <w:sz w:val="24"/>
                <w:highlight w:val="none"/>
                <w:lang w:val="en-US" w:eastAsia="zh-CN"/>
              </w:rPr>
              <w:t xml:space="preserve">6</w:t>
            </w:r>
            <w:r>
              <w:rPr>
                <w:rFonts w:hint="default" w:ascii="Times New Roman" w:hAnsi="Times New Roman" w:eastAsia="宋体" w:cs="Times New Roman"/>
                <w:iCs/>
                <w:color w:val="auto"/>
                <w:sz w:val="24"/>
                <w:highlight w:val="none"/>
              </w:rPr>
              <w:t xml:space="preserve">、支持自动和手动取证两种模式;开启自动取证功能后，可自动识别出监视画面中央机动车辆的车牌信息并生成相应的违法图片;开启手动取证功能后，可通过鼠标点击和框选选中机动车辆，跟踪车辆使车辆处于监视画面中央或键盘操作样机转动使车辆处于监视画面中央，识别出目标车辆车牌信息并生成相应的违法图片。</w:t>
            </w:r>
            <w:r/>
          </w:p>
          <w:p>
            <w:pPr>
              <w:spacing w:line="440" w:lineRule="exact"/>
              <w:rPr>
                <w:rFonts w:hint="default" w:ascii="Times New Roman" w:hAnsi="Times New Roman" w:eastAsia="宋体" w:cs="Times New Roman"/>
                <w:i/>
                <w:iCs w:val="0"/>
                <w:color w:val="auto"/>
                <w:sz w:val="24"/>
                <w:highlight w:val="none"/>
                <w:u w:val="single"/>
              </w:rPr>
            </w:pPr>
            <w:r>
              <w:rPr>
                <w:rFonts w:hint="eastAsia" w:ascii="Times New Roman" w:hAnsi="Times New Roman" w:eastAsia="宋体" w:cs="Times New Roman"/>
                <w:i/>
                <w:iCs w:val="0"/>
                <w:color w:val="auto"/>
                <w:sz w:val="24"/>
                <w:highlight w:val="none"/>
                <w:u w:val="single"/>
                <w:lang w:val="en-US" w:eastAsia="zh-CN"/>
              </w:rPr>
              <w:t xml:space="preserve">7</w:t>
            </w:r>
            <w:r>
              <w:rPr>
                <w:rFonts w:hint="default" w:ascii="Times New Roman" w:hAnsi="Times New Roman" w:eastAsia="宋体" w:cs="Times New Roman"/>
                <w:i/>
                <w:iCs w:val="0"/>
                <w:color w:val="auto"/>
                <w:sz w:val="24"/>
                <w:highlight w:val="none"/>
                <w:u w:val="single"/>
              </w:rPr>
              <w:t xml:space="preserve">、支持1400协议，支持GB35114安全加密，支持GB28181-2022协议。</w:t>
            </w:r>
            <w:r/>
          </w:p>
          <w:p>
            <w:pPr>
              <w:spacing w:line="440" w:lineRule="exact"/>
              <w:rPr>
                <w:rFonts w:hint="default" w:eastAsia="宋体" w:cs="Times New Roman"/>
                <w:iCs/>
                <w:color w:val="auto"/>
                <w:highlight w:val="none"/>
              </w:rPr>
            </w:pPr>
            <w:r>
              <w:rPr>
                <w:rFonts w:hint="eastAsia" w:ascii="Times New Roman" w:hAnsi="Times New Roman" w:eastAsia="宋体" w:cs="Times New Roman"/>
                <w:i/>
                <w:iCs w:val="0"/>
                <w:color w:val="auto"/>
                <w:sz w:val="24"/>
                <w:highlight w:val="none"/>
                <w:u w:val="single"/>
                <w:lang w:val="en-US" w:eastAsia="zh-CN"/>
              </w:rPr>
              <w:t xml:space="preserve">8</w:t>
            </w:r>
            <w:r>
              <w:rPr>
                <w:rFonts w:hint="default" w:ascii="Times New Roman" w:hAnsi="Times New Roman" w:eastAsia="宋体" w:cs="Times New Roman"/>
                <w:i/>
                <w:iCs w:val="0"/>
                <w:color w:val="auto"/>
                <w:sz w:val="24"/>
                <w:highlight w:val="none"/>
                <w:u w:val="single"/>
              </w:rPr>
              <w:t xml:space="preserve">、不低于IP67防护等级，6000V防雷、防浪涌和防突波保护。</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4.6.2 智能抱杆箱</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4.7 实景指挥系统技术要求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4.7.1 实景指挥系统功能要求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标签分类：实景指挥系统通过在全景画面中添加虚拟标签的方式进行相关数据的关联。按照类型标签可分为定点标签、矢量标签、区域标签，定点标签主要针对关注的点进行标注，比如全景视频场景中的监控点、卡口抓拍点、人脸抓拍点、建筑物信息等；矢量标签主要应用于带有明显方向特征的场景，比如十字路口每个方向，进出城卡口等；区域标签则主要关注重点管控区域、重点关注区域等。可根据不同种类的标签对标签实现分层管理，可选择不同的图层以控制全景画面中不同标签的显示。、</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多图层分层展现：实景指挥系统接入资源逐渐增多，关注目标，标签信息量越来越大，为提升防控监测效率，对目标进行图层分层展现，比如按重要性分层，按类型数据（卡口、路口、警员、商场、客流、执勤岗亭、人脸抓拍等）分层，系统会根据选择的分层结果呈现对应类型的标签数据。例如，人流密集监控点可设置只显示人脸，人流分析等类型标签，将人脸分析，人流分析的结果突出显示。车辆缉查时可设置只显示卡口抓拍，将卡口抓拍图片、车辆车牌、车型等信息，在全景实时视频画面画中画展示图层标签，并可查看标签中详细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全景视频实时预览：系统前端采用云台等设备，可实现180°场景覆盖监控，指挥中心人员通过实景指挥系统，即可实现交通重点区域的全景监控，同时设备支持多倍变倍以及云台转动，掌控全局的同时兼顾细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全景视频联动联控：实景指挥系统支持根据标签随时调阅、查看任一路视频，并能够以画中画方式弹出视场中关联视频、图片、文字内容等信息。不同的全景视频间能够互相切换、查询、搜索，通过联动低点监控资源，可实现联网布控、联动指挥，引领全新的视频联动、查缉布控、指挥调度模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5、标签自定义标注：标签内容多形式展现，自定义管理。针对指定的标签，可关联多种数据，如监控点、图片、文字、链接等信息，满足用户信息集中的需求。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6、标签数据动态呈现：实景指挥系统支持呈现对应标签的实时数据。例如人脸识别标签，可以实时显示识别图片，或者布控抓拍结果图片，清晰、直观以画中画方式展现识别抓拍结果。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布控报警可视化管理：在集成指挥平台中对车辆进行布控，一旦布控目标在布控报警区域中出现，布控报警区域自动发出报警提示，同时，以画中画的方式自动弹出监测设备抓拍的布控目标，并显示布控目标的相关信息，如布控车辆的车辆图片，车牌号、车身颜色、车型等数据，实现布控报警可视化管理。在实景画面中可利用鹰眼设备自带的云台摄像机对布控车辆进行实时跟踪并调度相关警力进行拦截。通过实景画面的实时跟踪，可实时掌握布控车辆的行驶方向，大大提高拦截成功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报警数据实时展示：可以针对布控的人群，车辆，监控对象异常事件等产生实时告警，准确定位告警发生时间，地点，并在实景指挥系统中自动弹出告警提示，告警区域视频或抓拍图片等信息以画中画方式在全景视频中自动显示。标签产生的报警会以列表的形式展示出来，也可以隐藏，作为报警数量在标签上面进行展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9、相机可视域动态展示：支持展示低点相机的可视域信息，从实景画面中即可直观看到对应相机的监控方向和范围。</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GIS地图联合联动：平台支持导入百度、谷歌等离线地图，也支持导入超高分地图。支持配合GIS地图进行联合联动，GIS地图可显示鹰眼、云台设备安装的实际位置，并显示对应设备的全景覆盖范围，点击对应标记即可跳转至对应的相机监控场景。GIS地图与实景指挥系统的结合，可实现科学部建，建设一张覆盖全城的云图立体防控网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11、场景自动巡逻：平台支持多个场景巡逻功能，可以设置场景按照一定的时间间隔进行循环巡逻，默认时间为20秒巡逻一次。点击对应开启按钮开启巡逻，再次点击关闭巡逻。</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12、视频联动预案：可以根据实际场景需要，配置对应的视频巡逻预案，通过制定预案，可在预定的时间自动打开对应预案执行，减少操作人员频繁的视频操作，提供视频巡逻效率。可以根据关注点的不同，对视频显示画面进行画面布局。系统支持一键启动相关预案，启动预案后，系统会自动根据预案之前的设定进行视频巡逻。</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13、标签自动同步功能：平台支持在使用鹰眼设备时，在全景相机上面添加的虚拟数字标签可以自动同步至云台相机画面中。通过坐标系转换技术，可以实现全景相机中的坐标标签同步到球机中后依旧保持精准的坐标位置。</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14、场景高高联动功能：平台支持在某个场景画面中添加边界信息，在不同监控范围提供相邻的云台点位信息。指挥中心人员可直接在当前场景画面中点击相邻的场景标签进行云台转换。如果视频标签关联的是高点相机，在其左上角会标识为场景，点击对应的标签即可实现跳转。</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15、场景低高联动功能：当前端场景为云台场景时，平台接收到卡口的布控报警信息时，会自动联动高空的云台相机进行云台转动和聚焦变倍操作，使其转动到对应的报警卡口标签，并在云台的预览窗口中居中高亮显示报警卡口标签，便于指挥中心人员及时发现和处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16、键盘控制功能：可使用USB键盘、网络键盘等方式实现实景指挥系统的灵活控制。可通过键盘控制场景的切换，可通过键盘控制场景内的云台相机。更加方便了指挥中心人员的操作。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17、标签回放功能：系统支持对场景录像进行存储与回放。回放场景录像的同时，回放画面也会携带标签信息，点击对应的标签信息，会同步回放对应时间内低点资源的录像。通过标签回放，可方便操作人员针对某类时间的录像追溯，使得视频回放追溯更加有效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18、目标跟踪功能：鹰眼可以自动检测画面中的运动车辆，操作人员可选择对应的运动车辆，选择后，云台相机会持续跟踪对应的车辆。通过目标跟踪功能，可实现重点车辆的接力跟踪。如果特勤路线下的特勤车辆跟踪、特种车辆的跟踪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19、卡口标签综合管控：实景指挥系统的卡口标签可以关联实时抓拍数据、实时视频预览数据以及自动计算卡口当前流量数据。同时点击对应的卡口标签，还可关联车辆查询、违法查询、轨迹查询。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20、移动设备标签展示功能：实景指挥系统支持接入移动端设备（车载、单兵、执法记录仪等），移动端设备上报GPS信息，系统会自动进行GPS信息与视频坐标信息的转换。从而将移动设备在全景视频画面中以标签的形式展示出来。而且标签会随着移动设备的移动而移动，点击移动标签，可以打开对应移动设备关联的视频以及相关信息。</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4.7.2 </w:t>
            </w:r>
            <w:r>
              <w:rPr>
                <w:rFonts w:ascii="Times New Roman" w:hAnsi="Times New Roman" w:eastAsia="宋体" w:cs="Times New Roman"/>
                <w:color w:val="auto"/>
                <w:sz w:val="24"/>
                <w:szCs w:val="24"/>
                <w:highlight w:val="none"/>
                <w:lang w:val="en-US" w:eastAsia="zh-CN" w:bidi="ar-SA"/>
              </w:rPr>
              <w:t xml:space="preserve">180°全景网络高清摄像机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◆1、采用超星光超低照度4个</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400万像素1/1.8靶面CMOS图像传感器；球机采用超星光超低照度</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400万像素1/1.8靶面CMOS图像传感器，内置</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2个GPU芯片，最大分辨率</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5520×2700；辅视频抓拍图片最大分辨率</w:t>
            </w:r>
            <w:r>
              <w:rPr>
                <w:rFonts w:hint="eastAsia" w:ascii="Times New Roman" w:hAnsi="Times New Roman" w:eastAsia="宋体" w:cs="Times New Roman"/>
                <w:color w:val="auto"/>
                <w:sz w:val="24"/>
                <w:szCs w:val="24"/>
                <w:highlight w:val="none"/>
                <w:lang w:val="en-US" w:eastAsia="zh-CN" w:bidi="ar-SA"/>
              </w:rPr>
              <w:t xml:space="preserve">不低于</w:t>
            </w:r>
            <w:r>
              <w:rPr>
                <w:rFonts w:ascii="Times New Roman" w:hAnsi="Times New Roman" w:eastAsia="宋体" w:cs="Times New Roman"/>
                <w:color w:val="auto"/>
                <w:sz w:val="24"/>
                <w:szCs w:val="24"/>
                <w:highlight w:val="none"/>
                <w:lang w:val="en-US" w:eastAsia="zh-CN" w:bidi="ar-SA"/>
              </w:rPr>
              <w:t xml:space="preserve">2560×1440。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最低照度满足：彩色：≤0.0002lx ；黑白：≤0.0001lx。</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主视频图像（拼接后）水平视场角不小于180°，垂直视场角不小于110°，辅视频画面支持垂直-35°～90°自动翻转，支持水平360°连续旋转，支持水平手控最大速度不小于900°/s，水平手控最小速度不大于0.01°/s。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支持最多同时开启30个视频窗口进行画面浏览。</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3</w:t>
            </w:r>
            <w:r>
              <w:rPr>
                <w:rFonts w:ascii="Times New Roman" w:hAnsi="Times New Roman" w:eastAsia="宋体" w:cs="Times New Roman"/>
                <w:color w:val="auto"/>
                <w:sz w:val="24"/>
                <w:szCs w:val="24"/>
                <w:highlight w:val="none"/>
                <w:lang w:val="en-US" w:eastAsia="zh-CN" w:bidi="ar-SA"/>
              </w:rPr>
              <w:t xml:space="preserve">、自带防水透气膜，内部水气可通过防水透气膜排出，外部的水气无法进入；具有智能风控除雾功能，可自动去除内部水状和雾状附着物。</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w:t>
            </w:r>
            <w:r>
              <w:rPr>
                <w:rFonts w:ascii="Times New Roman" w:hAnsi="Times New Roman" w:eastAsia="宋体" w:cs="Times New Roman"/>
                <w:color w:val="auto"/>
                <w:sz w:val="24"/>
                <w:szCs w:val="24"/>
                <w:highlight w:val="none"/>
                <w:lang w:val="en-US" w:eastAsia="zh-CN" w:bidi="ar-SA"/>
              </w:rPr>
              <w:t xml:space="preserve">、支持自动跟踪、手动跟踪及混合跟踪功能，可对设定区域内的运动目标在设定时间内持续跟踪，可自动调节变倍，可对该目标抓拍图片并可手动切换跟踪目标；在自动跟踪模式下，智能球型摄像机每分钟可对最多80个跟踪目标进行抓拍。</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、支持在预览画面添加定点标签、区域标签、矢量表标签以及方向标签，当点击相应标签时，可在当前预览画面中联动弹出关联预览画面。</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6</w:t>
            </w:r>
            <w:r>
              <w:rPr>
                <w:rFonts w:ascii="Times New Roman" w:hAnsi="Times New Roman" w:eastAsia="宋体" w:cs="Times New Roman"/>
                <w:i/>
                <w:iCs/>
                <w:color w:val="auto"/>
                <w:sz w:val="24"/>
                <w:szCs w:val="24"/>
                <w:highlight w:val="none"/>
                <w:u w:val="single"/>
                <w:lang w:val="en-US" w:eastAsia="zh-CN" w:bidi="ar-SA"/>
              </w:rPr>
              <w:t xml:space="preserve">、支持GB35114安全加密，支持GB28181-2022协议。</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4.7.3 智能抱杆箱</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 </w:t>
            </w:r>
            <w:r>
              <w:rPr>
                <w:rFonts w:ascii="Times New Roman" w:hAnsi="Times New Roman" w:eastAsia="宋体" w:cs="Times New Roman"/>
                <w:b/>
                <w:color w:val="auto"/>
                <w:sz w:val="24"/>
                <w:szCs w:val="24"/>
                <w:highlight w:val="none"/>
                <w:lang w:val="en-US" w:eastAsia="zh-CN" w:bidi="ar-SA"/>
              </w:rPr>
              <w:t xml:space="preserve">上下匝道抓拍系统技术要求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4.8.1 </w:t>
            </w:r>
            <w:r>
              <w:rPr>
                <w:rFonts w:ascii="Times New Roman" w:hAnsi="Times New Roman" w:eastAsia="宋体" w:cs="Times New Roman"/>
                <w:b/>
                <w:color w:val="auto"/>
                <w:sz w:val="24"/>
                <w:szCs w:val="24"/>
                <w:highlight w:val="none"/>
                <w:lang w:val="en-US" w:eastAsia="zh-CN" w:bidi="ar-SA"/>
              </w:rPr>
              <w:t xml:space="preserve">上下匝道抓拍系统功能要求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1、数据采集功能：对经过每个断面的车辆进行图像抓拍、号牌识别、车速检测等车辆信息的采集，形成子系统原始数据，包括断面代码、车道序号、经过断面时间、车速、号牌号码、号牌颜色、号牌图片等。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2、数据处理功能：对子系统原始数据进行处理，生成：图片ID、车辆属地、断面流量、行程时间等信息，并可进行黑名单对比。</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3、设备运行状态采集功能：子系统可采集以下信息：有无视频信号、机箱门开关、机箱内温度预警、传输设备参数、检测线圈故障等。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统一布控报警功能：子系统可与公安网车辆系统等公安业务系统进行联网，对各种被盗抢车辆和交通肇事逃逸车辆或其他黑名单车辆进行实时监测报警、统一指挥布控、拦截等。当通过车辆与用户预先输入的被盗抢车辆或交通肇事逃逸等车辆的牌照号码及车型等信息特征相符合时，子系统在控制挥中心可以立即以声音进行报警，提醒值班人员有可疑车辆通过。</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5、行车轨迹跟踪功能:对刑侦、经侦、禁毒业务部门比较关心嫌疑车的运行轨迹和出没规律，子系统有相应的行车轨迹分析功能。指定特定嫌疑车辆，可以跟踪实时行车轨迹和对历史图像进行回放。</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6、跟车关联性分析功能：针对嫌疑车辆可能会结队出行的特点，在刑侦等业务应用时，确定特定嫌疑车辆后，通过数据挖掘的方式分析其通过多个监测点时相邻的车辆号牌，能够找出与嫌疑车辆有关联的车辆，从而获取破案线索。</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行车轨迹跟踪功能：套牌车辆检测功能：在GIS地图上，以前端设备布点比较密集的路段为中心划定几个区域，区域之间设定时间差对车辆进行交叉比对，如果发现车辆号牌相同，号牌颜色相同的车辆，则弹出报警框，由人工复核号牌识别结果，如果确认号牌相同，则认为该车辆为套牌嫌疑车辆，导入套牌嫌疑车辆数据库中。</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8、行车轨迹跟踪功能：车辆区域关联性分析功能：在作案手法相似的连环案件中，将多个事发地附近系统检测到的车辆号牌进行比对，根据车辆出现的频次进行嫌疑车辆区域关联性分析。</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9、交通事件检测功能：对监控视场内机动车停车事件、机动车拥堵事件、机动车逆行倒车事件、非机动车、行人、抛洒物等事件进行自动检测并报警；报警信息能实时上传指挥中心指定系统平台。</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10、货车检测功能：在上匝道口设置的前尾牌抓拍设备能进行关联，对监控视场内货车禁行检测，同时抓拍货车前后牌信息，并将抓拍的到违法合成照片信息实时上传指挥中心违法筛选平台。</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11、机动车辆捕获率：视频检测模式下：卡口车辆捕获率≥95%；实线变道、逆向行驶等违法车辆捕获率≥90%；实线变道、逆向行驶等违法记录有效率≥85%。</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12、车辆号牌识别率：对高清电子警察系统抓拍车辆图像的号牌识别率、号牌识别准确率的界定应符合(或优于)GA／T 497-2009和GA／T 669．9中有关要求，具体要求如下：</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（1）号牌识别时间≤100ms；</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（2）全天候号牌识别率≥95%；</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（4）（3）全天候车辆号牌识别准确率≥90%（汉字、字母、数字全部正确）；</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（5）号牌颜色检测准确率≥90%。</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12、视频图像质量：图像取证设备抓拍的车辆图片为24位真彩图像，图片采用JPEG编码格式JPEG图片编码应符合ISO/IEC 15444:2000的要求，单张全景图片尺寸≥500万个像素点，单张特写图片平均大小≤200K，违法合成图片平均大小≤2M；特征图像的号牌图像水平分辨率≥100个像素点，清晰度应能满足人工对车辆号牌信息认定的</w:t>
            </w:r>
            <w:r>
              <w:rPr>
                <w:rFonts w:ascii="Times New Roman" w:hAnsi="Times New Roman" w:eastAsia="宋体" w:cs="Times New Roman"/>
                <w:iCs/>
                <w:color w:val="auto"/>
                <w:sz w:val="24"/>
                <w:szCs w:val="24"/>
                <w:highlight w:val="none"/>
                <w:lang w:val="en-US" w:eastAsia="zh-CN" w:bidi="ar-SA"/>
              </w:rPr>
              <w:t xml:space="preserve">要求以及自动识别条件；视频录像分辨率采用H.264格式，图像分辨率≥200W像素，视频流输出≥25帧/秒，传输码率≤8Mbps，且能自动循环覆盖。前端数据存储时间端存储的数据主要包含车辆图片、信息记录、违法录像等，数据信息包括设备编号、时间、地点、方向、车道、车牌号码、颜色、车型、车身颜色、新能源车牌、车辆速度等。前端数据存储要求采用冗余存储的方式。存储控制设备存储违法数据时间≥15天（含违法图片、违法录像和违法记录）；存储控制设备存储卡口数据时间≥7天（含图片和记录）；摄像机内置存储卡存储的数据≥4万条。</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13、主要设备无故障时间：控制机箱箱体保用时间≥6年；高亮度LED补光灯的有效寿命≥5万小时；系统平均无故障时间（MTBF）≥3万小时。</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14、系统设备的环保、节能要求：前端设备不得使用大功率的常亮灯进行补光；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若使用高亮度补光设备必须采取技术措施，防止光污染；前端设备必须采取技术措施，确保在无需维护情况下，图片效果6个月内保持一致。前端存储设备因传输线路中断或其他故障，卡口前端应能存储所采集的信息，存储容量不得小于7天，故障排除后应能自动上传，不得丢失信息。当超出最大存储容量时，自动对车辆信息和图片进行循环覆盖。前端设备在导致工作异常的原因消除后，能够自动复位，恢复正常工作。</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4.8.2 前端管理单元</w:t>
            </w:r>
            <w:r/>
          </w:p>
          <w:p>
            <w:pPr>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参数及功能要求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1、支持至少4路IPC接入。</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2、内置硬盘容量不低于2TB。</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3、支持对通行车辆的信息（记录和图片）存储。</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4、支持录像存储功能。。</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5、支持多个相机抓拍数据匹配合成。</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6、可配置多种字符叠加、图片合成模式。</w:t>
            </w:r>
            <w:r/>
          </w:p>
          <w:p>
            <w:pPr>
              <w:spacing w:line="440" w:lineRule="exact"/>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7、支持LED屏对接发布，发布条件和内容可自定义。</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4.8.3</w:t>
            </w:r>
            <w:r>
              <w:rPr>
                <w:rFonts w:ascii="Times New Roman" w:hAnsi="Times New Roman" w:eastAsia="宋体" w:cs="Times New Roman"/>
                <w:color w:val="auto"/>
                <w:sz w:val="24"/>
                <w:szCs w:val="24"/>
                <w:highlight w:val="none"/>
                <w:lang w:val="en-US" w:eastAsia="zh-CN" w:bidi="ar-SA"/>
              </w:rPr>
              <w:t xml:space="preserve">微光高清抓拍单元（前牌）</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同4.3.3。</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4.8.4微光高清抓拍单元1（尾牌）</w:t>
            </w:r>
            <w:r/>
          </w:p>
          <w:p>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同4.3.2</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5</w:t>
            </w:r>
            <w:r>
              <w:rPr>
                <w:rFonts w:ascii="Times New Roman" w:hAnsi="Times New Roman" w:eastAsia="宋体" w:cs="Times New Roman"/>
                <w:iCs/>
                <w:color w:val="auto"/>
                <w:sz w:val="24"/>
                <w:szCs w:val="24"/>
                <w:highlight w:val="none"/>
                <w:lang w:val="en-US" w:eastAsia="zh-CN" w:bidi="ar-SA"/>
              </w:rPr>
              <w:t xml:space="preserve">全结构化摄像机</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不低于</w:t>
            </w:r>
            <w:r>
              <w:rPr>
                <w:rFonts w:ascii="Times New Roman" w:hAnsi="Times New Roman" w:eastAsia="宋体" w:cs="Times New Roman"/>
                <w:iCs/>
                <w:color w:val="auto"/>
                <w:sz w:val="24"/>
                <w:szCs w:val="24"/>
                <w:highlight w:val="none"/>
                <w:lang w:val="en-US" w:eastAsia="zh-CN" w:bidi="ar-SA"/>
              </w:rPr>
              <w:t xml:space="preserve">400W像素CMOS传感器，内置靶面尺寸不小于1/1.8"，内置GPU芯片，像元尺寸不小于2.9umx2.9um。</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2、最低照度满足：彩色≤0.0002Lux，黑白≤0.0001Lux。</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3、信噪比≥62dB，宽动态范围不小于120dB。</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、支持检出、识别两眼瞳距</w:t>
            </w:r>
            <w:r>
              <w:rPr>
                <w:rFonts w:hint="eastAsia" w:ascii="Times New Roman" w:hAnsi="Times New Roman" w:eastAsia="宋体" w:cs="Times New Roman"/>
                <w:iCs/>
                <w:color w:val="auto"/>
                <w:sz w:val="24"/>
                <w:szCs w:val="24"/>
                <w:highlight w:val="none"/>
                <w:lang w:val="en-US" w:eastAsia="zh-CN" w:bidi="ar-SA"/>
              </w:rPr>
              <w:t xml:space="preserve">不低于</w:t>
            </w:r>
            <w:r>
              <w:rPr>
                <w:rFonts w:ascii="Times New Roman" w:hAnsi="Times New Roman" w:eastAsia="宋体" w:cs="Times New Roman"/>
                <w:iCs/>
                <w:color w:val="auto"/>
                <w:sz w:val="24"/>
                <w:szCs w:val="24"/>
                <w:highlight w:val="none"/>
                <w:lang w:val="en-US" w:eastAsia="zh-CN" w:bidi="ar-SA"/>
              </w:rPr>
              <w:t xml:space="preserve">40像素点以上的人脸图片，支持预设角度值（0-90°)，当实际抓拍人脸角度大于预设值时，不对监控画面中的人脸进行抓拍</w:t>
            </w:r>
            <w:r>
              <w:rPr>
                <w:rFonts w:hint="eastAsia" w:ascii="Times New Roman" w:hAnsi="Times New Roman" w:eastAsia="宋体" w:cs="Times New Roman"/>
                <w:iCs/>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支持单场景同时检出不少于30张人脸图片，并支持面部跟踪，人脸抓拍率不低于99%。</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5</w:t>
            </w:r>
            <w:r>
              <w:rPr>
                <w:rFonts w:ascii="Times New Roman" w:hAnsi="Times New Roman" w:eastAsia="宋体" w:cs="Times New Roman"/>
                <w:iCs/>
                <w:color w:val="auto"/>
                <w:sz w:val="24"/>
                <w:szCs w:val="24"/>
                <w:highlight w:val="none"/>
                <w:lang w:val="en-US" w:eastAsia="zh-CN" w:bidi="ar-SA"/>
              </w:rPr>
              <w:t xml:space="preserve">、在视频结构化模式下一次抓拍</w:t>
            </w:r>
            <w:r>
              <w:rPr>
                <w:rFonts w:hint="eastAsia" w:ascii="Times New Roman" w:hAnsi="Times New Roman" w:eastAsia="宋体" w:cs="Times New Roman"/>
                <w:iCs/>
                <w:color w:val="auto"/>
                <w:sz w:val="24"/>
                <w:szCs w:val="24"/>
                <w:highlight w:val="none"/>
                <w:lang w:val="en-US" w:eastAsia="zh-CN" w:bidi="ar-SA"/>
              </w:rPr>
              <w:t xml:space="preserve">不少于</w:t>
            </w:r>
            <w:r>
              <w:rPr>
                <w:rFonts w:ascii="Times New Roman" w:hAnsi="Times New Roman" w:eastAsia="宋体" w:cs="Times New Roman"/>
                <w:iCs/>
                <w:color w:val="auto"/>
                <w:sz w:val="24"/>
                <w:szCs w:val="24"/>
                <w:highlight w:val="none"/>
                <w:lang w:val="en-US" w:eastAsia="zh-CN" w:bidi="ar-SA"/>
              </w:rPr>
              <w:t xml:space="preserve">10张图片，图片类型包括场景图、人脸图、人体图、非机动车图、机动车图、车牌图；其中人脸和人体图可关联存储、非机动车和人脸图可关联存储、机动车图和车牌图可关联存储。</w:t>
            </w:r>
            <w:r/>
          </w:p>
          <w:p>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 xml:space="preserve">6</w:t>
            </w:r>
            <w:r>
              <w:rPr>
                <w:rFonts w:ascii="Times New Roman" w:hAnsi="Times New Roman" w:eastAsia="宋体" w:cs="Times New Roman"/>
                <w:i/>
                <w:iCs w:val="0"/>
                <w:color w:val="auto"/>
                <w:sz w:val="24"/>
                <w:szCs w:val="24"/>
                <w:highlight w:val="none"/>
                <w:u w:val="single"/>
                <w:lang w:val="en-US" w:eastAsia="zh-CN" w:bidi="ar-SA"/>
              </w:rPr>
              <w:t xml:space="preserve">、支持1400协议，支持GB35114安全加密，支持GB28181-2022协议。</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6</w:t>
            </w:r>
            <w:r>
              <w:rPr>
                <w:rFonts w:ascii="Times New Roman" w:hAnsi="Times New Roman" w:eastAsia="宋体" w:cs="Times New Roman"/>
                <w:iCs/>
                <w:color w:val="auto"/>
                <w:sz w:val="24"/>
                <w:szCs w:val="24"/>
                <w:highlight w:val="none"/>
                <w:lang w:val="en-US" w:eastAsia="zh-CN" w:bidi="ar-SA"/>
              </w:rPr>
              <w:t xml:space="preserve">智能补光灯</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同4.3.4。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7</w:t>
            </w:r>
            <w:r>
              <w:rPr>
                <w:rFonts w:ascii="Times New Roman" w:hAnsi="Times New Roman" w:eastAsia="宋体" w:cs="Times New Roman"/>
                <w:iCs/>
                <w:color w:val="auto"/>
                <w:sz w:val="24"/>
                <w:szCs w:val="24"/>
                <w:highlight w:val="none"/>
                <w:lang w:val="en-US" w:eastAsia="zh-CN" w:bidi="ar-SA"/>
              </w:rPr>
              <w:t xml:space="preserve">前端存储管理主机</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同4.3.6。</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8</w:t>
            </w:r>
            <w:r>
              <w:rPr>
                <w:rFonts w:ascii="Times New Roman" w:hAnsi="Times New Roman" w:eastAsia="宋体" w:cs="Times New Roman"/>
                <w:iCs/>
                <w:color w:val="auto"/>
                <w:sz w:val="24"/>
                <w:szCs w:val="24"/>
                <w:highlight w:val="none"/>
                <w:lang w:val="en-US" w:eastAsia="zh-CN" w:bidi="ar-SA"/>
              </w:rPr>
              <w:t xml:space="preserve">预警屏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同4.5.4。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9</w:t>
            </w:r>
            <w:r>
              <w:rPr>
                <w:rFonts w:ascii="Times New Roman" w:hAnsi="Times New Roman" w:eastAsia="宋体" w:cs="Times New Roman"/>
                <w:iCs/>
                <w:color w:val="auto"/>
                <w:sz w:val="24"/>
                <w:szCs w:val="24"/>
                <w:highlight w:val="none"/>
                <w:lang w:val="en-US" w:eastAsia="zh-CN" w:bidi="ar-SA"/>
              </w:rPr>
              <w:t xml:space="preserve">智能抱杆箱</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w:t>
            </w:r>
            <w:r>
              <w:rPr>
                <w:rFonts w:hint="eastAsia" w:ascii="Times New Roman" w:hAnsi="Times New Roman" w:eastAsia="宋体" w:cs="Times New Roman"/>
                <w:iCs/>
                <w:color w:val="auto"/>
                <w:sz w:val="24"/>
                <w:szCs w:val="24"/>
                <w:highlight w:val="none"/>
                <w:lang w:val="en-US" w:eastAsia="zh-CN" w:bidi="ar-SA"/>
              </w:rPr>
              <w:t xml:space="preserve">10</w:t>
            </w:r>
            <w:r>
              <w:rPr>
                <w:rFonts w:ascii="Times New Roman" w:hAnsi="Times New Roman" w:eastAsia="宋体" w:cs="Times New Roman"/>
                <w:iCs/>
                <w:color w:val="auto"/>
                <w:sz w:val="24"/>
                <w:szCs w:val="24"/>
                <w:highlight w:val="none"/>
                <w:lang w:val="en-US" w:eastAsia="zh-CN" w:bidi="ar-SA"/>
              </w:rPr>
              <w:t xml:space="preserve">接入接口要求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参数及功能要求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1、提供至少1个100M以太网接口，实现数据上传与下载。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2、提供系统/设备调试接口，便于进行系统软件升级、功能调整与故障的诊断修复。</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3、提供外场本地输出接口，利于在故障尚未恢复的情况下本地导出数据。</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4、数据接口应满足《江苏省公安厅治安卡口及警务查报站监控系统建设数据规范》。</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 </w:t>
            </w:r>
            <w:r>
              <w:rPr>
                <w:rFonts w:ascii="Times New Roman" w:hAnsi="Times New Roman" w:eastAsia="宋体" w:cs="Times New Roman"/>
                <w:color w:val="auto"/>
                <w:sz w:val="24"/>
                <w:szCs w:val="24"/>
                <w:highlight w:val="none"/>
                <w:lang w:val="en-US" w:eastAsia="zh-CN" w:bidi="ar-SA"/>
              </w:rPr>
              <w:t xml:space="preserve">入口匝道控制系统技术要求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4.9.1 </w:t>
            </w:r>
            <w:r>
              <w:rPr>
                <w:rFonts w:ascii="Times New Roman" w:hAnsi="Times New Roman" w:eastAsia="宋体" w:cs="Times New Roman"/>
                <w:color w:val="auto"/>
                <w:sz w:val="24"/>
                <w:szCs w:val="24"/>
                <w:highlight w:val="none"/>
                <w:lang w:val="en-US" w:eastAsia="zh-CN" w:bidi="ar-SA"/>
              </w:rPr>
              <w:t xml:space="preserve">入口匝道控制系统功能要求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1、车道信号灯、入口可变信息标志设置在入口匝道与地面道路衔接的龙门架上，并结合标志标线统一考虑。</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入口处可变信息标志的设置，根据主线交通的通行条件和地面替代道路的通行条件综合考虑，对入口匝道下游方向主线或出口匝道常发性交通拥挤、而且快速路下游3km左右范围内有可分流条件的出入口匝道或立交匝道的，要以文字形式予以发布。</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3、在距入口匝道1km范围内的，入口匝道主要汇集交通流的、有可选择路径的地面主次干道上设置文字型可变信息标志，发布入口匝道的开关状态。</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匝道显示屏要求能根据匝道灯的状态显示指定的内容，并能接入交警指挥中心诱导屏软件平台，由软件平台发布指定的内容；如车道灯显示为绿箭头，则匝道显示屏能同步显示为匝道开放，车道等显示为红叉，则匝道显示屏同步显示为匝道关闭。</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4.9.2 </w:t>
            </w:r>
            <w:r>
              <w:rPr>
                <w:rFonts w:ascii="Times New Roman" w:hAnsi="Times New Roman" w:eastAsia="宋体" w:cs="Times New Roman"/>
                <w:color w:val="auto"/>
                <w:sz w:val="24"/>
                <w:szCs w:val="24"/>
                <w:highlight w:val="none"/>
                <w:lang w:val="en-US" w:eastAsia="zh-CN" w:bidi="ar-SA"/>
              </w:rPr>
              <w:t xml:space="preserve">上匝道车道灯</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1、光强分布：符合GB14887-2011表2信号灯光强分布，其中红叉灯中心&gt;600cd，绿箭头灯中心&gt;600cd。</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2、色坐标：符合GB14887-2011  色度性能表6。</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3、红色625±5nm   X=0.6984，Y=0.3014。</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4、绿色505±4nm   X=0.0848，Y=0.5739。</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5</w:t>
            </w:r>
            <w:r>
              <w:rPr>
                <w:rFonts w:ascii="Times New Roman" w:hAnsi="Times New Roman" w:eastAsia="宋体" w:cs="Times New Roman"/>
                <w:i/>
                <w:iCs/>
                <w:color w:val="auto"/>
                <w:sz w:val="24"/>
                <w:szCs w:val="24"/>
                <w:highlight w:val="none"/>
                <w:u w:val="single"/>
                <w:lang w:val="en-US" w:eastAsia="zh-CN" w:bidi="ar-SA"/>
              </w:rPr>
              <w:t xml:space="preserve">、功率因数：≥0.9。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6</w:t>
            </w:r>
            <w:r>
              <w:rPr>
                <w:rFonts w:ascii="Times New Roman" w:hAnsi="Times New Roman" w:eastAsia="宋体" w:cs="Times New Roman"/>
                <w:color w:val="auto"/>
                <w:sz w:val="24"/>
                <w:szCs w:val="24"/>
                <w:highlight w:val="none"/>
                <w:lang w:val="en-US" w:eastAsia="zh-CN" w:bidi="ar-SA"/>
              </w:rPr>
              <w:t xml:space="preserve">、启动瞬时电流：≤1.8A。</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、启动时间和关断时间：均≤75ms。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、灯壳材料：压铸铝。</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、使用寿命：＞50000h。</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、含安装配件。</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4.9.3 交通信息屏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交通信息屏由箱体、LED显示单元、驱动控制器、通信接口以及等供电电源等组成，要求信息屏符合相关规定，并达到以下技术要求：</w:t>
            </w:r>
            <w:r/>
          </w:p>
          <w:p>
            <w:pPr>
              <w:numPr>
                <w:ilvl w:val="0"/>
                <w:numId w:val="0"/>
              </w:num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1、</w:t>
            </w:r>
            <w:r>
              <w:rPr>
                <w:rFonts w:ascii="Times New Roman" w:hAnsi="Times New Roman" w:eastAsia="宋体" w:cs="Times New Roman"/>
                <w:iCs/>
                <w:color w:val="auto"/>
                <w:sz w:val="24"/>
                <w:szCs w:val="24"/>
                <w:highlight w:val="none"/>
                <w:lang w:val="en-US" w:eastAsia="zh-CN" w:bidi="ar-SA"/>
              </w:rPr>
              <w:t xml:space="preserve">全点阵动态交通信息屏外形尺寸</w:t>
            </w:r>
            <w:r>
              <w:rPr>
                <w:rFonts w:hint="eastAsia" w:ascii="Times New Roman" w:hAnsi="Times New Roman" w:eastAsia="宋体" w:cs="Times New Roman"/>
                <w:iCs/>
                <w:color w:val="auto"/>
                <w:sz w:val="24"/>
                <w:szCs w:val="24"/>
                <w:highlight w:val="none"/>
                <w:lang w:val="en-US" w:eastAsia="zh-CN" w:bidi="ar-SA"/>
              </w:rPr>
              <w:t xml:space="preserve">不低于</w:t>
            </w:r>
            <w:r>
              <w:rPr>
                <w:rFonts w:ascii="Times New Roman" w:hAnsi="Times New Roman" w:eastAsia="宋体" w:cs="Times New Roman"/>
                <w:iCs/>
                <w:color w:val="auto"/>
                <w:sz w:val="24"/>
                <w:szCs w:val="24"/>
                <w:highlight w:val="none"/>
                <w:lang w:val="en-US" w:eastAsia="zh-CN" w:bidi="ar-SA"/>
              </w:rPr>
              <w:t xml:space="preserve">2880mm*960mm，点间距10mm，采用双基色LED。</w:t>
            </w:r>
            <w:r/>
          </w:p>
          <w:p>
            <w:pPr>
              <w:numPr>
                <w:ilvl w:val="0"/>
                <w:numId w:val="0"/>
              </w:num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2、信息屏的设计及施工中需考虑设施的防雷及电源的稳定性等因素，采用合理有效的安全接地措施，设备应具备良好的抗干扰和雷电浪涌防护特性，设备安全接地电阻不大于10Ω；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3、信息屏应处在可控状态下运行，能通过监控中心进行远程的控制操作，包括开关屏、亮度调整、参数设置以及显示信息修改等；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4、能实时自动检测信息屏的工作状态并上传到控制中心，发生故障时自动黑屏；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同时还需要满足下表LED管参数要求：</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u w:val="none"/>
                <w:lang w:val="en-US" w:eastAsia="zh-CN" w:bidi="ar-SA"/>
              </w:rPr>
              <w:t xml:space="preserve">1）LED发光灯技术要求 LED发光管亮度指标：红色大于1000mcd，绿色大于2000mcd。</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w:t>
            </w:r>
            <w:r>
              <w:rPr>
                <w:rFonts w:hint="eastAsia" w:ascii="Times New Roman" w:hAnsi="Times New Roman" w:eastAsia="宋体" w:cs="Times New Roman"/>
                <w:iCs/>
                <w:color w:val="auto"/>
                <w:sz w:val="24"/>
                <w:szCs w:val="24"/>
                <w:highlight w:val="none"/>
                <w:u w:val="none"/>
                <w:lang w:val="en-US" w:eastAsia="zh-CN" w:bidi="ar-SA"/>
              </w:rPr>
              <w:t xml:space="preserve">2</w:t>
            </w:r>
            <w:r>
              <w:rPr>
                <w:rFonts w:ascii="Times New Roman" w:hAnsi="Times New Roman" w:eastAsia="宋体" w:cs="Times New Roman"/>
                <w:iCs/>
                <w:color w:val="auto"/>
                <w:sz w:val="24"/>
                <w:szCs w:val="24"/>
                <w:highlight w:val="none"/>
                <w:u w:val="none"/>
                <w:lang w:val="en-US" w:eastAsia="zh-CN" w:bidi="ar-SA"/>
              </w:rPr>
              <w:t xml:space="preserve">）LED发光管波长指标：红色为620-630nm，绿色为520-530nm。</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w:t>
            </w:r>
            <w:r>
              <w:rPr>
                <w:rFonts w:hint="eastAsia" w:ascii="Times New Roman" w:hAnsi="Times New Roman" w:eastAsia="宋体" w:cs="Times New Roman"/>
                <w:iCs/>
                <w:color w:val="auto"/>
                <w:sz w:val="24"/>
                <w:szCs w:val="24"/>
                <w:highlight w:val="none"/>
                <w:u w:val="none"/>
                <w:lang w:val="en-US" w:eastAsia="zh-CN" w:bidi="ar-SA"/>
              </w:rPr>
              <w:t xml:space="preserve">3</w:t>
            </w:r>
            <w:r>
              <w:rPr>
                <w:rFonts w:ascii="Times New Roman" w:hAnsi="Times New Roman" w:eastAsia="宋体" w:cs="Times New Roman"/>
                <w:iCs/>
                <w:color w:val="auto"/>
                <w:sz w:val="24"/>
                <w:szCs w:val="24"/>
                <w:highlight w:val="none"/>
                <w:u w:val="none"/>
                <w:lang w:val="en-US" w:eastAsia="zh-CN" w:bidi="ar-SA"/>
              </w:rPr>
              <w:t xml:space="preserve">）信息屏白平衡亮度大于5000CD/平方米。</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w:t>
            </w:r>
            <w:r>
              <w:rPr>
                <w:rFonts w:hint="eastAsia" w:ascii="Times New Roman" w:hAnsi="Times New Roman" w:eastAsia="宋体" w:cs="Times New Roman"/>
                <w:iCs/>
                <w:color w:val="auto"/>
                <w:sz w:val="24"/>
                <w:szCs w:val="24"/>
                <w:highlight w:val="none"/>
                <w:u w:val="none"/>
                <w:lang w:val="en-US" w:eastAsia="zh-CN" w:bidi="ar-SA"/>
              </w:rPr>
              <w:t xml:space="preserve">4</w:t>
            </w:r>
            <w:r>
              <w:rPr>
                <w:rFonts w:ascii="Times New Roman" w:hAnsi="Times New Roman" w:eastAsia="宋体" w:cs="Times New Roman"/>
                <w:iCs/>
                <w:color w:val="auto"/>
                <w:sz w:val="24"/>
                <w:szCs w:val="24"/>
                <w:highlight w:val="none"/>
                <w:u w:val="none"/>
                <w:lang w:val="en-US" w:eastAsia="zh-CN" w:bidi="ar-SA"/>
              </w:rPr>
              <w:t xml:space="preserve">）屏体要求低功耗：正常使用中平均每平方米功耗小于100W。</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w:t>
            </w:r>
            <w:r>
              <w:rPr>
                <w:rFonts w:hint="eastAsia" w:ascii="Times New Roman" w:hAnsi="Times New Roman" w:eastAsia="宋体" w:cs="Times New Roman"/>
                <w:iCs/>
                <w:color w:val="auto"/>
                <w:sz w:val="24"/>
                <w:szCs w:val="24"/>
                <w:highlight w:val="none"/>
                <w:u w:val="none"/>
                <w:lang w:val="en-US" w:eastAsia="zh-CN" w:bidi="ar-SA"/>
              </w:rPr>
              <w:t xml:space="preserve">5</w:t>
            </w:r>
            <w:r>
              <w:rPr>
                <w:rFonts w:ascii="Times New Roman" w:hAnsi="Times New Roman" w:eastAsia="宋体" w:cs="Times New Roman"/>
                <w:iCs/>
                <w:color w:val="auto"/>
                <w:sz w:val="24"/>
                <w:szCs w:val="24"/>
                <w:highlight w:val="none"/>
                <w:u w:val="none"/>
                <w:lang w:val="en-US" w:eastAsia="zh-CN" w:bidi="ar-SA"/>
              </w:rPr>
              <w:t xml:space="preserve">）控制方式同步。</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w:t>
            </w:r>
            <w:r>
              <w:rPr>
                <w:rFonts w:hint="eastAsia" w:ascii="Times New Roman" w:hAnsi="Times New Roman" w:eastAsia="宋体" w:cs="Times New Roman"/>
                <w:iCs/>
                <w:color w:val="auto"/>
                <w:sz w:val="24"/>
                <w:szCs w:val="24"/>
                <w:highlight w:val="none"/>
                <w:u w:val="none"/>
                <w:lang w:val="en-US" w:eastAsia="zh-CN" w:bidi="ar-SA"/>
              </w:rPr>
              <w:t xml:space="preserve">6</w:t>
            </w:r>
            <w:r>
              <w:rPr>
                <w:rFonts w:ascii="Times New Roman" w:hAnsi="Times New Roman" w:eastAsia="宋体" w:cs="Times New Roman"/>
                <w:iCs/>
                <w:color w:val="auto"/>
                <w:sz w:val="24"/>
                <w:szCs w:val="24"/>
                <w:highlight w:val="none"/>
                <w:u w:val="none"/>
                <w:lang w:val="en-US" w:eastAsia="zh-CN" w:bidi="ar-SA"/>
              </w:rPr>
              <w:t xml:space="preserve">）信息屏的物理像素</w:t>
            </w:r>
            <w:r>
              <w:rPr>
                <w:rFonts w:hint="eastAsia" w:ascii="Times New Roman" w:hAnsi="Times New Roman" w:eastAsia="宋体" w:cs="Times New Roman"/>
                <w:iCs/>
                <w:color w:val="auto"/>
                <w:sz w:val="24"/>
                <w:szCs w:val="24"/>
                <w:highlight w:val="none"/>
                <w:u w:val="none"/>
                <w:lang w:val="en-US" w:eastAsia="zh-CN" w:bidi="ar-SA"/>
              </w:rPr>
              <w:t xml:space="preserve">不低于</w:t>
            </w:r>
            <w:r>
              <w:rPr>
                <w:rFonts w:ascii="Times New Roman" w:hAnsi="Times New Roman" w:eastAsia="宋体" w:cs="Times New Roman"/>
                <w:iCs/>
                <w:color w:val="auto"/>
                <w:sz w:val="24"/>
                <w:szCs w:val="24"/>
                <w:highlight w:val="none"/>
                <w:u w:val="none"/>
                <w:lang w:val="en-US" w:eastAsia="zh-CN" w:bidi="ar-SA"/>
              </w:rPr>
              <w:t xml:space="preserve"> 288点（宽）*96点（高）=92160像素。</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5、信息屏箱体材料为优质镀锌钢板折弯而成，采用特殊防腐处理，有较强的耐盐雾抗腐蚀性,具备良好的通风散热和防尘功能。外机箱表面用喷塑处理，喷塑后颜色为亚光灰色，不反光，防眩光。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6、显示像素密度 10000点/㎡。</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7、信息屏视角&gt;140°。</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8、信息屏LED驱动方式恒定电流驱动方式。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9、信息屏灰度等级 4096级灰度。</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10、主控部分：显示屏采用工业控制计算机嵌入式控制系统，由中心控制室通过远程联网来控制显示屏正常工作，显示屏可以独立工作。</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1</w:t>
            </w:r>
            <w:r>
              <w:rPr>
                <w:rFonts w:ascii="Times New Roman" w:hAnsi="Times New Roman" w:eastAsia="宋体" w:cs="Times New Roman"/>
                <w:iCs/>
                <w:color w:val="auto"/>
                <w:sz w:val="24"/>
                <w:szCs w:val="24"/>
                <w:highlight w:val="none"/>
                <w:lang w:val="en-US" w:eastAsia="zh-CN" w:bidi="ar-SA"/>
              </w:rPr>
              <w:t xml:space="preserve">、信息屏采用自动调光控制系统，用来控制显示屏整体的发光强度，可有32个亮度等级可以控制。</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2</w:t>
            </w:r>
            <w:r>
              <w:rPr>
                <w:rFonts w:ascii="Times New Roman" w:hAnsi="Times New Roman" w:eastAsia="宋体" w:cs="Times New Roman"/>
                <w:iCs/>
                <w:color w:val="auto"/>
                <w:sz w:val="24"/>
                <w:szCs w:val="24"/>
                <w:highlight w:val="none"/>
                <w:lang w:val="en-US" w:eastAsia="zh-CN" w:bidi="ar-SA"/>
              </w:rPr>
              <w:t xml:space="preserve">、换帧速度 ≥120帧/秒。</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13</w:t>
            </w:r>
            <w:r>
              <w:rPr>
                <w:rFonts w:ascii="Times New Roman" w:hAnsi="Times New Roman" w:eastAsia="宋体" w:cs="Times New Roman"/>
                <w:i/>
                <w:iCs/>
                <w:color w:val="auto"/>
                <w:sz w:val="24"/>
                <w:szCs w:val="24"/>
                <w:highlight w:val="none"/>
                <w:u w:val="single"/>
                <w:lang w:val="en-US" w:eastAsia="zh-CN" w:bidi="ar-SA"/>
              </w:rPr>
              <w:t xml:space="preserve">、显示屏的失控点小于万分之三（SJ/T11141－1997）。</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14</w:t>
            </w:r>
            <w:r>
              <w:rPr>
                <w:rFonts w:ascii="Times New Roman" w:hAnsi="Times New Roman" w:eastAsia="宋体" w:cs="Times New Roman"/>
                <w:iCs/>
                <w:color w:val="auto"/>
                <w:sz w:val="24"/>
                <w:szCs w:val="24"/>
                <w:highlight w:val="none"/>
                <w:lang w:val="en-US" w:eastAsia="zh-CN" w:bidi="ar-SA"/>
              </w:rPr>
              <w:t xml:space="preserve">、显示屏安装要求显示屏表面平整度：小于1mm。</w:t>
            </w:r>
            <w:r/>
          </w:p>
          <w:p>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color w:val="auto"/>
                <w:sz w:val="24"/>
                <w:szCs w:val="24"/>
                <w:highlight w:val="none"/>
                <w:u w:val="single"/>
                <w:lang w:val="en-US" w:eastAsia="zh-CN" w:bidi="ar-SA"/>
              </w:rPr>
              <w:t xml:space="preserve">15</w:t>
            </w:r>
            <w:r>
              <w:rPr>
                <w:rFonts w:ascii="Times New Roman" w:hAnsi="Times New Roman" w:eastAsia="宋体" w:cs="Times New Roman"/>
                <w:i/>
                <w:color w:val="auto"/>
                <w:sz w:val="24"/>
                <w:szCs w:val="24"/>
                <w:highlight w:val="none"/>
                <w:u w:val="single"/>
                <w:lang w:val="en-US" w:eastAsia="zh-CN" w:bidi="ar-SA"/>
              </w:rPr>
              <w:t xml:space="preserve">、信息屏能够与中心现有的诱导屏发布软件进行顺畅对接，确保能够受中心发布软件的控制。</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4.9.4 交通信号控制机</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同4.1.8。</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4.9.5 工业级交换机2</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1、≥8个 10/100/1000Base-X 电口；≥2个 1000Base-X SFP光口；含 1 个千兆工业光模,传输距离≥20 公里。交换容量</w:t>
            </w:r>
            <w:r>
              <w:rPr>
                <w:rFonts w:hint="eastAsia" w:ascii="Times New Roman" w:hAnsi="Times New Roman" w:eastAsia="宋体" w:cs="Times New Roman"/>
                <w:iCs/>
                <w:color w:val="auto"/>
                <w:sz w:val="24"/>
                <w:szCs w:val="24"/>
                <w:highlight w:val="none"/>
                <w:lang w:val="en-US" w:eastAsia="zh-CN" w:bidi="ar-SA"/>
              </w:rPr>
              <w:t xml:space="preserve">不低于</w:t>
            </w:r>
            <w:r>
              <w:rPr>
                <w:rFonts w:ascii="Times New Roman" w:hAnsi="Times New Roman" w:eastAsia="宋体" w:cs="Times New Roman"/>
                <w:iCs/>
                <w:color w:val="auto"/>
                <w:sz w:val="24"/>
                <w:szCs w:val="24"/>
                <w:highlight w:val="none"/>
                <w:lang w:val="en-US" w:eastAsia="zh-CN" w:bidi="ar-SA"/>
              </w:rPr>
              <w:t xml:space="preserve">50G，全线速转发，MAC 地址 8K。</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2、支持风暴抑制、端口VLAN划分、环网自愈、端口镜像、流量统计、LLDP等功能；同时考虑监控视频的特性，需支持12000巨帧传输。</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3、支持AC24V±30%供电，工作温度-40-85℃。1270nm≤中心波长≤1355nm，1530nm≤中心波长≤1565nm。</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
                <w:iCs w:val="0"/>
                <w:color w:val="auto"/>
                <w:sz w:val="24"/>
                <w:szCs w:val="24"/>
                <w:highlight w:val="none"/>
                <w:u w:val="single"/>
                <w:lang w:val="en-US" w:eastAsia="zh-CN" w:bidi="ar-SA"/>
              </w:rPr>
              <w:t xml:space="preserve">4、卡轨式波纹型材机壳，IP40以上防护等级，双电源冗余输入，5.08mm 工业端子电源接口。</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5、支持设备准入，支持未认证新设备接入告警与阻断。</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6、为保证设备在受到外界机械碰撞时能够正常运行，要求所投交换机IK防护测试级别至少达到IK05。</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7、支持 SNMP，可接入交换机管理平台进行可视化管理、并通过平台对设备进行批量配置、具备设备告警、IP 地址管理，自动生成包括终端设备在内的监控拓扑等功能。</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8、交换机嵌入式软件符合GB/T 25000.51-2016《系统软件工程系统与软件质量要求和评价》SQuaRE第51部分：就绪可用软件产品（RUSP）的质量要求的测试细则的可靠性检测、平衡性、一致性检测。</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4.9.6 智能设备箱</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同4.3.8。</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4.9.7 接入接口要求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1、入口匝道控制设备应采用明确定义、可逻辑配置及物理隔离的接口，至少应预留4个以上接口，满足通信需求。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2、接口1：用于设备调试，RS-232串口或者以太网端口。</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3、接口2：以太网端口，带宽10/100M，用于系统与下端的通信。</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4、接口3：RS-232C串口，用于手动控制器、视频检测等外接设备。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5、接口4：RS-485串口，用于连接车道灯、可变信息标志、GPS对时等外接设备。</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6、接口电路应符合标准，在信道质量符合标准的条件下形成稳定的中心与控制设备数据通信。</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 </w:t>
            </w:r>
            <w:r>
              <w:rPr>
                <w:rFonts w:ascii="Times New Roman" w:hAnsi="Times New Roman" w:eastAsia="宋体" w:cs="Times New Roman"/>
                <w:color w:val="auto"/>
                <w:sz w:val="24"/>
                <w:szCs w:val="24"/>
                <w:highlight w:val="none"/>
                <w:lang w:val="en-US" w:eastAsia="zh-CN" w:bidi="ar-SA"/>
              </w:rPr>
              <w:t xml:space="preserve">区间测速系统技术要求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4.10.1 区间测速系统功能要求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超速取证功能：利用区间测速计算出的超速违法图片需要提供两张违法证据图片，其中测速起止点各一张全景图片能够满足人工对车辆号牌、车辆类型、颜色和轮廓及装载情况认定的要求，并能体现车辆类型及违法路段情况。</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2、卡口功能：系统具有卡口功能，对每辆通过检测点的机动车进行拍照记录并完成号牌识别，传回监控中心，图片及识别结果予以保存，为破获交通逃逸等各类案件提供重要线索。</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数据处理及传输功能：系统能在户外任何光照条件下正确捕捉图像，保存和传输数据，在违法图片下方叠加违法地点、路口（路段）编号、拍摄时间、车速等数据，并将超速违法相关信息通过网络传送到管理中心数据库。对于区间超速违法行为，系统自动计算出各个区间段平均车速，并将相关违法信息记录传入中心数据库。在软件中用户可根据自身需求设置图片压缩率，可调压缩率外围为20%-100%；抓拍效果可以达到整条车道的覆盖，并且能够抓拍骑线超速车辆，保证对车辆图像捕获率不小于95%，记录有效率不小于90%，记录处理时间不超过200ms。</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4、车速检测功能：系统具备车速检测功能，车速在20-250km/h范围内测速误差在+3%之内。</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车牌自动识别功能：系统可以对拍摄到的机动车号牌进行识别，识别内容包括："GA36-92"（92式牌照）、"GA36.1-2001"（02式新牌照）标准的民用车牌照、警车牌照、04式新军车牌照、07式武警新牌照等牌照的汉字、字母、数字、颜色等信息。机动车号牌全天候识别准确率达到90%以上；可识别新能源车辆号牌。</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6、中心控制及管理功能：监控中心可以远程控制、远程维护前端设备，定期自动校时。对于在区间内的超速违法车辆，自动匹配超速违法起止点及计算平均车速，并将车辆违法信息自动存入违法信息库。</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自检功能：前端系统能通过软硬件自动检测系统故障并恢复正常工作，具有断电自动重启功能、日志记录功能；同时具有防盗、防雷、防雨、散热措施，确保整套系统运行的安全性。前端控制器采用模块式设计，能自动侦错报错，维修只需更换相应的模块。在中心可以完成对于前端通讯线路及抓拍点设备的实时监控，并对系统故障自动报警。</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8、违法行为查询统计功能：按照违法类型、违法时间等条件对系统中产生的所有违法信息进行分类统计，并针对区间超速违法类型，分别统计出各个速度范围内的超速情况，统计结果以列表和图表方式输出，并可查看详细清单。</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9、交通数据检测及分析功能：系统可根据前端采集的测量数据，应用交通模拟统计各种交通参数。主要有：</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（1）交通流量参数计算：系统能实时统计断面的流量、平均速度、密度、占有率等参数。</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（2）路径旅行时间计算：系统能实时统计监控区域的车辆平均行程时间。</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4.10.2 </w:t>
            </w:r>
            <w:r>
              <w:rPr>
                <w:rFonts w:ascii="Times New Roman" w:hAnsi="Times New Roman" w:eastAsia="宋体" w:cs="Times New Roman"/>
                <w:color w:val="auto"/>
                <w:sz w:val="24"/>
                <w:szCs w:val="24"/>
                <w:highlight w:val="none"/>
                <w:lang w:val="en-US" w:eastAsia="zh-CN" w:bidi="ar-SA"/>
              </w:rPr>
              <w:t xml:space="preserve">环保生态抓拍单元（前牌）</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1、包含一体化高清摄像机、高清镜头、室外防护罩、相机内置网络信号防雷器、电源适配器，支持车辆及车内前排人员的检测抓拍，针对人员可输出清晰人脸特征图，用于比对分析。</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2、传感器类型采用2个</w:t>
            </w:r>
            <w:r>
              <w:rPr>
                <w:rFonts w:hint="eastAsia" w:ascii="Times New Roman" w:hAnsi="Times New Roman" w:eastAsia="宋体" w:cs="Times New Roman"/>
                <w:iCs/>
                <w:color w:val="auto"/>
                <w:sz w:val="24"/>
                <w:szCs w:val="24"/>
                <w:highlight w:val="none"/>
                <w:lang w:val="en-US" w:eastAsia="zh-CN" w:bidi="ar-SA"/>
              </w:rPr>
              <w:t xml:space="preserve">不低于</w:t>
            </w:r>
            <w:r>
              <w:rPr>
                <w:rFonts w:ascii="Times New Roman" w:hAnsi="Times New Roman" w:eastAsia="宋体" w:cs="Times New Roman"/>
                <w:iCs/>
                <w:color w:val="auto"/>
                <w:sz w:val="24"/>
                <w:szCs w:val="24"/>
                <w:highlight w:val="none"/>
                <w:lang w:val="en-US" w:eastAsia="zh-CN" w:bidi="ar-SA"/>
              </w:rPr>
              <w:t xml:space="preserve">1.1英寸GS-CMOS；镜头和双传感器一体化设计，内置独立的三角分光器装置，分别提取红外细节信息和可见路的色彩信息，配合先进的双光融合算法将两幅画面合二为一。</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3、最低照度满足：彩色：≤0.0002lx，黑白：≤0.0001 lx。</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4、支持视频压缩标准，H.265、H.264、M-JEPG。</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5、支持字符叠加功能，可支持不小于16行字符叠加，对齐方式和叠加位置可设,玻璃透光率≥99%，亮度（灰度）等级≥12级。</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6、支持通过对监视画面对车道进行检测并自动划分检测区域,支持在水平倾斜范围最大40°的情况下能够对车牌进行识别。</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7、支持对不同焦段的电动聚焦/变焦镜头进行自动识别，在更换镜头时可自动实现聚焦清晰；支持透雾模式的开启和关闭，可分别设置早晨/傍晚/白天/夜晚等不同场景下的透雾模式状态。</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8、支持分别对</w:t>
            </w:r>
            <w:r>
              <w:rPr>
                <w:rFonts w:hint="eastAsia" w:ascii="Times New Roman" w:hAnsi="Times New Roman" w:eastAsia="宋体" w:cs="Times New Roman"/>
                <w:iCs/>
                <w:color w:val="auto"/>
                <w:sz w:val="24"/>
                <w:szCs w:val="24"/>
                <w:highlight w:val="none"/>
                <w:lang w:val="en-US" w:eastAsia="zh-CN" w:bidi="ar-SA"/>
              </w:rPr>
              <w:t xml:space="preserve">不少于</w:t>
            </w:r>
            <w:r>
              <w:rPr>
                <w:rFonts w:ascii="Times New Roman" w:hAnsi="Times New Roman" w:eastAsia="宋体" w:cs="Times New Roman"/>
                <w:iCs/>
                <w:color w:val="auto"/>
                <w:sz w:val="24"/>
                <w:szCs w:val="24"/>
                <w:highlight w:val="none"/>
                <w:lang w:val="en-US" w:eastAsia="zh-CN" w:bidi="ar-SA"/>
              </w:rPr>
              <w:t xml:space="preserve">24种不同的抓拍规则设置叠加不同的OSD信息，包括卡口、逆行、压白线、欠速、超速、禁货、违法变道、黄牌占道、不按车道行驶、有车占道、违法停车、车辆排队加塞、压黄线、主驾驶不系安全带、驾驶员抽烟、驾驶员打电话、交通拥堵、行人事件、行人卡口、非机动车占道、非机动车超载、未带安全头盔、非机动车装载伞具、车牌污损等24种。</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9、支持跨浏览器功能，支持360浏览器、IE浏览器、客户端软件、谷歌浏览器、火狐浏览器、搜狗浏览器、百度浏览器等远程监看方式，可实时监控图像的同时输出抓拍到的车辆信息。</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10、支持图片字符叠加功能，可在抓拍的图片上叠加时间（精确到毫秒）、地点、车道号、限速值、车辆品牌、车速、车身颜色、车牌号码等信息。</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11、Web界面支持配置合成图的时间，合成图时间可选择第1张或者最后1张的时间在OSD上进行叠加；支持在预览界面利用图标实时显示道路信号灯红绿状态。</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12、当网络断开时，可将抓拍到的图片和录像文件存储于相机内置SD/TF卡内和USB外接存储中，当网络恢复时，可继续上传抓拍的图片到客户端，并支持图片检索，自动覆盖，自动上传功能。</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13、支持按车道属性设置，判定车辆行驶方向，车辆行驶方向包含：南向北、北向南、西向东、东向西、来向、去向、左转、右转等。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14、支持车辆捕获功能，白天准确率≥99%，晚上捕获率≥99%；支持车牌识别功能，白天准确率≥99%，晚上准确率≥99%；支持新能源车牌识别，白天准确率≥99%，晚上准确率≥99%。</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15、支持潮汐车道变换时间段设置，对车辆违反潮汐车道当前道路属性的行为进行抓拍，白天捕获率≥99%；晚上捕获率≥99%。</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16、支持识别车头3700种车系，车尾1800种车系，白天准确率97%，晚上准确率90%;支持350种车标识别，白天准确率≥98%，晚上准确率≥98%。</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17、支持未系安全带识别功能，白天准确率≥98%，晚上准确率≥98%;支持驾驶员打电话识别功能，识别准确率≥95%。</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18、支持正向和背向的摩托车/非机动车未带头盔检测，摩托车、自行车、电动车、二轮/三轮车载人检测、载人人数统计功能，非机动车逆行抓拍功能，非机动车遮阳伞检测功能。</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19、支持非机动车、行人捕获功能，白天捕获率≥99%，晚上捕获率≥99%。</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20、支持13种车身颜色识别，包括：黑、白、灰、红、绿、蓝、黄、粉、紫、棕、青、金、橙，白天准确率99%，晚上准确率95%。</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21、支持驾驶室人脸抠图，抓拍图片可以看清人脸，并可保存小图上传，主驾驶人脸抠图概率≥99%，副驾驶人脸抠图概率≥95%。</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22、支持双网口，2个网口具有独立的MAC地址，可以独立设置IP地址信息。</w:t>
            </w:r>
            <w:r/>
          </w:p>
          <w:p>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 xml:space="preserve">23、支持1400协议，支持GB35114安全加密，支持GB28181-2022协议。</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24、支持在50V-315V供电的条件下正常工作；工作温度满足-45℃~90℃；不低于IP67防护等级。</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4.10.3 智能补光灯</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同4.3.4。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4.10.4 前端存储管理主机</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同4.3.6。</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4.10.5 工业级交换机3</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1、≥8个10/100ase-X电口。</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交换带宽不小于1.6 G，包转发率不小于1.2 Mpps。</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cs="Times New Roman"/>
                <w:iCs/>
                <w:color w:val="auto"/>
                <w:sz w:val="24"/>
                <w:szCs w:val="24"/>
                <w:highlight w:val="none"/>
                <w:lang w:val="en-US" w:eastAsia="zh-CN" w:bidi="ar-SA"/>
              </w:rPr>
              <w:t xml:space="preserve">2</w:t>
            </w:r>
            <w:r>
              <w:rPr>
                <w:rFonts w:ascii="Times New Roman" w:hAnsi="Times New Roman" w:eastAsia="宋体" w:cs="Times New Roman"/>
                <w:iCs/>
                <w:color w:val="auto"/>
                <w:sz w:val="24"/>
                <w:szCs w:val="24"/>
                <w:highlight w:val="none"/>
                <w:lang w:val="en-US" w:eastAsia="zh-CN" w:bidi="ar-SA"/>
              </w:rPr>
              <w:t xml:space="preserve">、所有端口不同帧长度均具备线速转发能力,整机吞吐量100%，重载丢包率为0。</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支持电源过载防反接保护抗浪涌冲击，抗电快速瞬变脉冲群。</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cs="Times New Roman"/>
                <w:iCs/>
                <w:color w:val="auto"/>
                <w:sz w:val="24"/>
                <w:szCs w:val="24"/>
                <w:highlight w:val="none"/>
                <w:lang w:val="en-US" w:eastAsia="zh-CN" w:bidi="ar-SA"/>
              </w:rPr>
              <w:t xml:space="preserve">3</w:t>
            </w:r>
            <w:r>
              <w:rPr>
                <w:rFonts w:ascii="Times New Roman" w:hAnsi="Times New Roman" w:eastAsia="宋体" w:cs="Times New Roman"/>
                <w:iCs/>
                <w:color w:val="auto"/>
                <w:sz w:val="24"/>
                <w:szCs w:val="24"/>
                <w:highlight w:val="none"/>
                <w:lang w:val="en-US" w:eastAsia="zh-CN" w:bidi="ar-SA"/>
              </w:rPr>
              <w:t xml:space="preserve">、静电放电不少于15KV，接触放电不少于8KV。</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支持-40～85℃温度范围满负载工作。</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支持5%～95%（无冷凝）湿度范围稳定运。</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4.10.6 接入接口要求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1、提供至少一个100M以太网接口，实现数据上传与下载功能。</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2、提供系统/设备调试接口，便于进行系统软件升级、功能调整与故障的诊断修复。</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3、提供外场本地输出接口，利于在故障尚未恢复的情况下本地导出数据的。</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数据接口应满足《全国道路交通管理信息数据库规范》（GA329）。</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4.11 广播系统技术要求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4.11.1 广播系统功能要求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广播系统主要运用于快速路主线上各种分合流之前或事故易发处，用于在发生严重拥堵、或发生严重交通事件时，作为交通控制指挥系统的辅助手段，提供事件信息发布和预警消息，同时有效地实施指挥车辆、指导人员疏散等工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2、广播系统也可用于对违法行为集中路段的交通违法行为主体进行声讯警告，如对路边停车集中路段的声讯警告等。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3、路边广播系统根据交通管理需要，既可以与视频监控系统、信息采集系统、事件检测系统等联动，自动对违法行为发出声讯警告；也可由人工控制发布信息；同时具备分区广播功能，定时自动播放、关闭。</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4、路边广播系统前端设备建议采用高功率单面室外防水音柱，音量不得高于65分贝，音柱相邻间隔依据功率不同原则上需满足30~35米（60W）或60~70米（80W）。</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5、外场建设的广播设备需顺畅接入交警指挥中心已建的网络广播系统中，进行统一管理。</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4.11.2 室外防水音柱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◆1、采用双面扬声器单元设计，声音覆盖面广。专属安装支架。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◆2、材料：铝合金。</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◆3、额定功率（100V）≥120W。</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◆4、最大功率 ≤160W。</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◆5、灵敏度 93dB±3dB。</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◆6、阻抗黑:COM  白:125Ω。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◆7、频率响应 150-14.5KHz。</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4.11.3 </w:t>
            </w:r>
            <w:r>
              <w:rPr>
                <w:rFonts w:ascii="Times New Roman" w:hAnsi="Times New Roman" w:eastAsia="宋体" w:cs="Times New Roman"/>
                <w:color w:val="auto"/>
                <w:sz w:val="24"/>
                <w:szCs w:val="24"/>
                <w:highlight w:val="none"/>
                <w:lang w:val="en-US" w:eastAsia="zh-CN" w:bidi="ar-SA"/>
              </w:rPr>
              <w:t xml:space="preserve">IP网络解码带功放终端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◆1、标准19英寸机架设计。</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2、网络接口：标准RJ45输入。</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3、支持协议：TCP/IP，UDP，IGMP(组播)。</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◆4、采样率：8KHz～48KHz,AUX。</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◆5、输出幅度：</w:t>
            </w:r>
            <w:r>
              <w:rPr>
                <w:rFonts w:ascii="Times New Roman" w:hAnsi="Times New Roman" w:eastAsia="宋体" w:cs="Times New Roman"/>
                <w:iCs/>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1000mV。</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◆6、2路莲花座输出接口。</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◆7、AUX输出阻抗：≤470Ω。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◆8、频率响应：80Hz～16KHz。</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、谐波失真：≤0.3%。</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、信噪比：＞65dB。</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、额定输出功率：</w:t>
            </w:r>
            <w:r>
              <w:rPr>
                <w:rFonts w:ascii="Times New Roman" w:hAnsi="Times New Roman" w:eastAsia="宋体" w:cs="Times New Roman"/>
                <w:iCs/>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500W。</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2</w:t>
            </w:r>
            <w:r>
              <w:rPr>
                <w:rFonts w:ascii="Times New Roman" w:hAnsi="Times New Roman" w:eastAsia="宋体" w:cs="Times New Roman"/>
                <w:iCs/>
                <w:color w:val="auto"/>
                <w:sz w:val="24"/>
                <w:szCs w:val="24"/>
                <w:highlight w:val="none"/>
                <w:lang w:val="en-US" w:eastAsia="zh-CN" w:bidi="ar-SA"/>
              </w:rPr>
              <w:t xml:space="preserve">、输入灵敏度&amp;输入阻抗：775mV/10KΩ。平衡 ×LR/TRS接口。</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3</w:t>
            </w:r>
            <w:r>
              <w:rPr>
                <w:rFonts w:ascii="Times New Roman" w:hAnsi="Times New Roman" w:eastAsia="宋体" w:cs="Times New Roman"/>
                <w:iCs/>
                <w:color w:val="auto"/>
                <w:sz w:val="24"/>
                <w:szCs w:val="24"/>
                <w:highlight w:val="none"/>
                <w:lang w:val="en-US" w:eastAsia="zh-CN" w:bidi="ar-SA"/>
              </w:rPr>
              <w:t xml:space="preserve">、输出灵敏度&amp;输出源阻抗：775mV/470Ω。平衡 ×LR 接口。</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4.12 鱼腹线实线变道抓拍系统技术要求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4.12.1 鱼腹线实线变道抓拍系统功能要求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◆1、驾驶人面部特征记录功能：在本项目所有桥上违法实线变道摄像机，通过对驾驶人面部特征记录功能，将违法行为与对应车辆的正向图片匹配起来，从而将违法行为固定到驾驶人。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图像记录存储功能：系统记录的车辆信息除车辆图像信息外，还应记录车辆的通行信息，如时间、地点、方向、号牌号码、号牌颜色、车道编号等，并将相关信息叠加到图片上。实现车辆采集、车辆号牌全自动识别、以及相关控制数据存储等功能。车辆图像捕获时应不受雨、雪、雾等天气、环境光和相临车道通行车辆的影响而出现误记录。在环境无雾包括雨雪天气下，监控区域内规范行驶的车辆被记录的图片应能看清车辆类型、颜色和所载货物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◆3、前端备份存储功能：系统采集的图片、视频可在设备前端做备份存储，按照数据存储时长的要求配置不同容量的硬盘。系统可根据预先的空间分配，优先保证足够的图片存储空间，保证核心数据不丢失。</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◆4、记录有效率：在标注的适用条件下，记录有效率应不小于80％。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◆5、计时误差：闯红灯自动记录系统24h计时误差应不超过1s。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◆6、数据传输：</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single"/>
                <w:lang w:val="en-US" w:eastAsia="zh-CN" w:bidi="ar-SA"/>
              </w:rPr>
              <w:t xml:space="preserve">（</w:t>
            </w:r>
            <w:r>
              <w:rPr>
                <w:rFonts w:ascii="Times New Roman" w:hAnsi="Times New Roman" w:eastAsia="宋体" w:cs="Times New Roman"/>
                <w:color w:val="auto"/>
                <w:sz w:val="24"/>
                <w:szCs w:val="24"/>
                <w:highlight w:val="none"/>
                <w:u w:val="none"/>
                <w:lang w:val="en-US" w:eastAsia="zh-CN" w:bidi="ar-SA"/>
              </w:rPr>
              <w:t xml:space="preserve">1）数据传输要求：闯红灯自动记录系统应具备联网数据传输或现场数据下载功能。</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（2）联网数据传输：通过网络将机动车闯红灯信息自动传输到指定数据中心，且信息传输应具有防丢失、防篡改等功能。</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（3）现场数据下载：现场将机动车闯红灯信息人工或自动下载到存储介质中后带回数据中心，下载过程不得删改原始信息，且应自动生成下载日志信息，包括下载人、下载时间等信息。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◆7、号牌识别功能：系统应支持摄像机内置车牌识别功能，能识别的号牌结构应包括：</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u w:val="none"/>
                <w:lang w:val="en-US" w:eastAsia="zh-CN" w:bidi="ar-SA"/>
              </w:rPr>
              <w:t xml:space="preserve">1）单排字符结构的号牌，如军队用小型汽车号牌、GA36-2007中的小型汽车号牌、港澳入出境车号牌、教练汽车号牌等。</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（2）可识别武警用小型汽车号牌。</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（3）可识别警用汽车号牌。</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（4）可识别新能源车辆号牌。</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（5）双排字符结构的号牌，如军队用大型汽车号牌、武警用大型汽车号牌、GA36-2007中的大型汽车号牌、挂车号牌、低速汽车号牌、摩托车号牌等。</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（6）号牌字符识别：应识别的字符包括：</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①</w:t>
            </w:r>
            <w:r>
              <w:rPr>
                <w:rFonts w:ascii="Times New Roman" w:hAnsi="Times New Roman" w:eastAsia="宋体" w:cs="Times New Roman"/>
                <w:color w:val="auto"/>
                <w:sz w:val="24"/>
                <w:szCs w:val="24"/>
                <w:highlight w:val="none"/>
                <w:u w:val="none"/>
                <w:lang w:val="en-US" w:eastAsia="zh-CN" w:bidi="ar-SA"/>
              </w:rPr>
              <w:t xml:space="preserve">数字：0~9；</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②</w:t>
            </w:r>
            <w:r>
              <w:rPr>
                <w:rFonts w:ascii="Times New Roman" w:hAnsi="Times New Roman" w:eastAsia="宋体" w:cs="Times New Roman"/>
                <w:color w:val="auto"/>
                <w:sz w:val="24"/>
                <w:szCs w:val="24"/>
                <w:highlight w:val="none"/>
                <w:u w:val="none"/>
                <w:lang w:val="en-US" w:eastAsia="zh-CN" w:bidi="ar-SA"/>
              </w:rPr>
              <w:t xml:space="preserve">字母：A~Z；</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③</w:t>
            </w:r>
            <w:r>
              <w:rPr>
                <w:rFonts w:ascii="Times New Roman" w:hAnsi="Times New Roman" w:eastAsia="宋体" w:cs="Times New Roman"/>
                <w:color w:val="auto"/>
                <w:sz w:val="24"/>
                <w:szCs w:val="24"/>
                <w:highlight w:val="none"/>
                <w:u w:val="none"/>
                <w:lang w:val="en-US" w:eastAsia="zh-CN" w:bidi="ar-SA"/>
              </w:rPr>
              <w:t xml:space="preserve">省、自治区、直辖市简称：京、津、晋、冀、蒙、辽、吉、黑、沪、苏、浙、皖、闽、赣、鲁、豫、鄂、湘、粤、桂、琼、川、贵、云、藏、陕、甘、青、宁、新、渝；</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④</w:t>
            </w:r>
            <w:r>
              <w:rPr>
                <w:rFonts w:ascii="Times New Roman" w:hAnsi="Times New Roman" w:eastAsia="宋体" w:cs="Times New Roman"/>
                <w:color w:val="auto"/>
                <w:sz w:val="24"/>
                <w:szCs w:val="24"/>
                <w:highlight w:val="none"/>
                <w:u w:val="none"/>
                <w:lang w:val="en-US" w:eastAsia="zh-CN" w:bidi="ar-SA"/>
              </w:rPr>
              <w:t xml:space="preserve">军牌用汉字：军、海、空、北、沈、南、兰、广、成、济、京；</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⑤</w:t>
            </w:r>
            <w:r>
              <w:rPr>
                <w:rFonts w:ascii="Times New Roman" w:hAnsi="Times New Roman" w:eastAsia="宋体" w:cs="Times New Roman"/>
                <w:color w:val="auto"/>
                <w:sz w:val="24"/>
                <w:szCs w:val="24"/>
                <w:highlight w:val="none"/>
                <w:u w:val="none"/>
                <w:lang w:val="en-US" w:eastAsia="zh-CN" w:bidi="ar-SA"/>
              </w:rPr>
              <w:t xml:space="preserve">号牌分类用汉字：警、学、领、试、挂、港、澳、超、使；</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 xml:space="preserve">⑥</w:t>
            </w:r>
            <w:r>
              <w:rPr>
                <w:rFonts w:ascii="Times New Roman" w:hAnsi="Times New Roman" w:eastAsia="宋体" w:cs="Times New Roman"/>
                <w:color w:val="auto"/>
                <w:sz w:val="24"/>
                <w:szCs w:val="24"/>
                <w:highlight w:val="none"/>
                <w:u w:val="none"/>
                <w:lang w:val="en-US" w:eastAsia="zh-CN" w:bidi="ar-SA"/>
              </w:rPr>
              <w:t xml:space="preserve">武警号牌特殊字符：WJ、00~34、练。</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（7）号牌颜色识别：系统应至少能识别蓝、黄、白、黑四种底色的机动车号牌。</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车辆号牌识别要求：车辆前号牌识别准确率白天应大于95%，夜间应大于90%，可全天候识别（除摩托车号牌、低速车号牌、临时号牌、农用拖拉机号牌外）。号牌识别信息包含号牌结构、号牌字符、号牌颜色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◆8、车型识别功能：系统采用车牌颜色和视频检测技术结合的方法对车辆类型进行判别，可对四轮车进行4种车型进行识别（轿车、客车、大货车、小货车）以及摩托车进行识别。</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系统应支持高清视频录像功能：系统应具备录像功能，采用H.264、MPEG4或MJPEG编码标准，视频质量不低于720P及8fps，并能确保前端存储连续录像时间不小于7日；录像支持OSD信息叠加，叠加的信息至少包括日期、时间（精确到秒）、监控点名称、设备编号等信息。录像中能清晰地反映车辆的颜色、车辆类型、运动轨迹；并提供录像查询、录像下载等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◆10、通过车辆图像记录功能：应能清晰记录通过车辆的图片。</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11、逆行记录功能：应能清晰记录逆行车辆的图片，图片应符合GA/T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12、不按所需行进方向驶入导向车道记录功能：应能清晰记录不按所需行进方向驶入导向车道的图片，图片应符合GA/T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13、不按规定车道行驶记录功能：应能清晰记录不按规定车道行驶车辆的图片，图片应符合GA/T 832的要求。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14、实线变道行驶记录功能：应能清晰记录实线变道行驶车辆的图片，图片应符合GA/T 832的要求。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15、交通参数采集功能：通过检测数据，统计交通流参数，包括每个方向每个车道的流量、车速、时间占有率、车长、车头时距等，其中流量采集准确度不小于90%；交通数据统计周期可按需求进行设置和输出，并支持丰富的图形报表及数据导出。同时，可通过网络接口将流量数据信息传递给路口信号机，实现电子警察和信号机的信息互联互通，数据传输符合GA/T 920-2010《道路交通信号控制机与车辆检测器间的通信协议》。并可以通过标准GB/T28181协议和中心的PGIS平台对接，根据需求传输平台所需交通参数。</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16、布控/撤控报警功能：系统应具有针对超速车辆、黑名单里的被盗抢车辆和交通肇事逃逸车辆能实时布控报警，具有现场报警和远程报警功能。可设置布控/撤控时间，布控时间内当通过车辆与用户事先录入的被盗抢车辆或交通肇事逃逸等黑名单车辆的牌照号码及车型等信息特征相符合时，系统在现场可以立即以声光进行报警，提醒值班人员有可疑车辆通过。</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17、断点续传功能：系统应支持多种方式的数据传输。可通过FTP方式自动上传违法数据、车辆通过信息（时间、地点、车牌号码等）、设备监测数据、流量统计数据等到中心管理系统；也可在中心通过TCP/IP网络下载操控前端设备。如因网络中断或其它故障，信息备份存储于前端设备中，待故障恢复后自动上传。</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18、水印加密防篡改功能：系统应具有水印加密功能，图像、录像在前端摄像机内部进行加密处理，防止在传输、存储、处理等过程中被人为修改，管理中心在接收到前端传回的图片、录像时需要进行算法验证，确认是否有被篡改，保证执法的真实、公平、公正。</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◆19、自适应补光功能：为保证系统在各种光线条件下的成像清晰，系统须采用自适应控制补光技术。必须进行防炫目处理，不能对驾驶人员安全驾驶造成影响。</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20、智能补光功能：系统前端设备能根据光线的变化或时间的控制自动改变摄像设备的工作参数，自动打开或关闭补光设备，确保记录图片的清晰。同时根据现场情况可对补光灯进行光栅增补,减少市区光污染。补光灯采用频闪技术，与高清摄像机采集频率完全匹配，在达到最大补光效果的同时降低灯光对周围环境的影响，不会对驾驶人造成直接强光刺激。</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◆21、中心校时功能：系统应可接受中心的校时命令，完成统一精准校时功能。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◆22、卡口功能：系统具备卡口功能，对所有经由监控点车道的所有车辆进行图像记录，车辆捕获率不低于99%。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◆23、车型判别功能（卡口摄像机功能）：系统采用车牌颜色和视频检测技术结合的方法对车辆类型进行判别，可对7种车型进行识别（大货车、小货车、客车、轿车、面包车、中型客车、SUV-MPV）。</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◆24、车标识别功能（卡口摄像机功能）：系统采用视频检测技术对车标进行识别，可对200种车标进行识别，可供用户根据车标来查询通行车辆。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◆25、车辆子品牌识别功能（卡口摄像机功能）：系统采用视频检测技术对车辆子品牌进行识别，可对</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1018种车辆子品牌进行识别，可供用户根据车辆子品牌来查询通行车辆。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◆26、未系安全带检测功能（卡口摄像机功能）：系统采用视频检测技术，对未系安全带行为进行检测。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◆27、接打电话检测功能（卡口摄像机功能）：系统采用视频检测技术，实现对前排驾驶人接打电话状态的检测。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◆28、人脸特征抠图（卡口摄像机功能）：系统采用视频检测技术对驾驶室人脸特征进行检测，并将人脸特征抠出。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◆29、打开遮阳板检测（卡口摄像机功能）：系统采用视频检测技术对打开遮阳板进行检测。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◆30、车身颜色识别功能（卡口摄像机功能）：系统可自动对车身深浅和颜色进行识别，可供用户根据车身颜色来查询通行车辆。系统可自动区分出车辆为深色车辆还是浅色车辆；并识别出</w:t>
            </w:r>
            <w:r>
              <w:rPr>
                <w:rFonts w:hint="eastAsia" w:ascii="Times New Roman" w:hAnsi="Times New Roman" w:eastAsia="宋体" w:cs="Times New Roman"/>
                <w:color w:val="auto"/>
                <w:sz w:val="24"/>
                <w:szCs w:val="24"/>
                <w:highlight w:val="none"/>
                <w:lang w:val="en-US" w:eastAsia="zh-CN" w:bidi="ar-SA"/>
              </w:rPr>
              <w:t xml:space="preserve">不少于</w:t>
            </w:r>
            <w:r>
              <w:rPr>
                <w:rFonts w:ascii="Times New Roman" w:hAnsi="Times New Roman" w:eastAsia="宋体" w:cs="Times New Roman"/>
                <w:color w:val="auto"/>
                <w:sz w:val="24"/>
                <w:szCs w:val="24"/>
                <w:highlight w:val="none"/>
                <w:lang w:val="en-US" w:eastAsia="zh-CN" w:bidi="ar-SA"/>
              </w:rPr>
              <w:t xml:space="preserve">11种常见车身颜色，11种颜色包括：白，灰(银)，黄、粉、红、绿、蓝、棕、黑、紫、青。</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◆31、相位同步功能：系统视频帧率应与工频保持整数倍约束关系，以保证拍摄的外部工频设备，如红绿灯等设备，不会变暗或者变黑。</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32、设备管理及运维功能：系统应提供设备编号、设备时钟、设备运行状态监测设置等设备参数配置，可通过前端人机交互界面进行现场配置，也可以在中央远程配置及获取校验。具备故障自动检测功能，能通过软硬件自动检测系统故障并恢复正常工作。应具有断电自动重启复位、自动侦错报错、自动监测主要设备（摄像机、服务器等）等远程维护功能，并提供设备故障报警、系统现场登陆等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◆33、网管功能：系统具备网管运维功能，对各种服务器资源、设备资源的运行状态、卡口的工作状态、用户在线状态进行定期巡检，并在平台运维模块中展现状态统计信息。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（1）服务器运行状态监测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系统支持对各类服务器运行状态进行统计，统计内容包括服务器类型、服务器总数、正常数、在线异常数、离线数、未注册数、未知数。系统支持对服务器的当前运行状态和历史运行状态进行查询，支持远程配置和远程重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（2）设备状态监测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系统支持对各类设备运行状态进行统计，统计内容包括设备类型、设备总数、正常数、在线异常数、离线数、未注数、设备在线率、监控点总数。系统支持对设备的当前运行状态和历史运行状态进行查询，支持远程配置和远程重启。</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（3）卡口状态监测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系统支持对卡口运行状态进行统计，统计内容包括组织名称、卡口总数、卡口正常数、卡口异常数、卡口异常百分率。系统支持对卡口的当前运行状态和历史运行状态进行查询。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（4）用户状态监测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系统支持用户在线状态统计，统计内容包括组织名称、用户总数、用户在线总数。系统支持对用户的历史登陆状态进行记录，记录内容包括在线状态、登陆次数、登陆方式、上线时间、登陆地址等。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◆34、资产管理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组织机构内部管理中会涉及各种视频监控设备、抓拍机、服务器等多种用户固定资产资源。系统具备资产管理功能，可实现对资产信息的录入、编辑、查询、维护、报废、统计报表等业务应用功能。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35、查询功能：系统应能对车辆通行信息、车辆违法信息、布控/撤控信息、系统运行日志信息、系统操作日志等信息按不同条件进行查询统计。包括通行车辆的实时监控、车辆精确查询、模糊查询、布控查询、报警查询、通行车辆流量统计等功能，查询的信息可以多种形式打印输出。</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◆36、权限设置和日志记录功能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（1）系统应具备权限管理设置功能，能够对不同对象分配不同类型的使用权限。</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（2）系统应具备日志记录功能。可记录主要设备、网络状态日志和主要运行软件的工作日志，还能记录设备或者网络状态改变（重启、或者重新连接）、主要软件发生重启或故障等事件日志。</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（3）系统应具有时钟校时功能，24h内设备的计时误差不超过1.0s。</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◆37、记录有效率：在标注的适用条件下，记录有效率应不小于80％。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◆38、逆行：捕获率应不小于80%，记录有效率应不小于80%。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◆39、不按规定车道行驶：捕获率应不小于80%，记录有效率应不小于80%。</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◆40、卡口车辆捕获率：不低于99%。</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◆41、车型判别：准确度不低于85%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◆42、车标识别：准确度不低于85%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◆43、车辆子品牌识别：准确度不低于85%</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◆44、计时误差：闯红灯自动记录系统24h计时误差应不超过1s。</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iCs/>
                <w:color w:val="auto"/>
                <w:sz w:val="24"/>
                <w:szCs w:val="24"/>
                <w:highlight w:val="none"/>
                <w:lang w:val="en-US" w:eastAsia="zh-CN" w:bidi="ar-SA"/>
              </w:rPr>
              <w:t xml:space="preserve">4.12.2</w:t>
            </w:r>
            <w:r>
              <w:rPr>
                <w:rFonts w:hint="eastAsia" w:ascii="Times New Roman" w:hAnsi="Times New Roman" w:eastAsia="宋体" w:cs="Times New Roman"/>
                <w:b w:val="0"/>
                <w:bCs w:val="0"/>
                <w:color w:val="auto"/>
                <w:sz w:val="24"/>
                <w:szCs w:val="24"/>
                <w:highlight w:val="none"/>
                <w:lang w:val="en-US" w:eastAsia="zh-CN" w:bidi="ar-SA"/>
              </w:rPr>
              <w:t xml:space="preserve">微光高清抓拍单元1（尾牌）</w:t>
            </w:r>
            <w:r/>
          </w:p>
          <w:p>
            <w:pPr>
              <w:spacing w:line="440" w:lineRule="exact"/>
              <w:rPr>
                <w:rFonts w:ascii="Times New Roman" w:hAnsi="Times New Roman" w:eastAsia="宋体" w:cs="Times New Roman"/>
                <w:b w:val="0"/>
                <w:bCs w:val="0"/>
                <w:iCs/>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同4.3.2。</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4.12.3</w:t>
            </w:r>
            <w:r>
              <w:rPr>
                <w:rFonts w:ascii="Times New Roman" w:hAnsi="Times New Roman" w:eastAsia="宋体" w:cs="Times New Roman"/>
                <w:b w:val="0"/>
                <w:bCs w:val="0"/>
                <w:color w:val="auto"/>
                <w:sz w:val="24"/>
                <w:szCs w:val="24"/>
                <w:highlight w:val="none"/>
                <w:lang w:val="en-US" w:eastAsia="zh-CN" w:bidi="ar-SA"/>
              </w:rPr>
              <w:t xml:space="preserve">微光高清抓拍单元（前牌）</w:t>
            </w:r>
            <w:r/>
          </w:p>
          <w:p>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 xml:space="preserve">同4.3.3</w:t>
            </w:r>
            <w:r>
              <w:rPr>
                <w:rFonts w:hint="eastAsia" w:ascii="Times New Roman" w:hAnsi="Times New Roman" w:eastAsia="宋体" w:cs="Times New Roman"/>
                <w:b w:val="0"/>
                <w:bCs w:val="0"/>
                <w:color w:val="auto"/>
                <w:sz w:val="24"/>
                <w:szCs w:val="24"/>
                <w:highlight w:val="none"/>
                <w:lang w:val="en-US" w:eastAsia="zh-CN" w:bidi="ar-SA"/>
              </w:rPr>
              <w:t xml:space="preserve">。</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4.12.4智能补光灯</w:t>
            </w:r>
            <w:r/>
          </w:p>
          <w:p>
            <w:pPr>
              <w:spacing w:line="440" w:lineRule="exact"/>
              <w:rPr>
                <w:rFonts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同4.3.4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4.12.</w:t>
            </w:r>
            <w:r>
              <w:rPr>
                <w:rFonts w:hint="eastAsia" w:ascii="Times New Roman" w:hAnsi="Times New Roman" w:eastAsia="宋体" w:cs="Times New Roman"/>
                <w:iCs/>
                <w:color w:val="auto"/>
                <w:sz w:val="24"/>
                <w:szCs w:val="24"/>
                <w:highlight w:val="none"/>
                <w:lang w:val="en-US" w:eastAsia="zh-CN" w:bidi="ar-SA"/>
              </w:rPr>
              <w:t xml:space="preserve">5</w:t>
            </w:r>
            <w:r>
              <w:rPr>
                <w:rFonts w:ascii="Times New Roman" w:hAnsi="Times New Roman" w:eastAsia="宋体" w:cs="Times New Roman"/>
                <w:iCs/>
                <w:color w:val="auto"/>
                <w:sz w:val="24"/>
                <w:szCs w:val="24"/>
                <w:highlight w:val="none"/>
                <w:lang w:val="en-US" w:eastAsia="zh-CN" w:bidi="ar-SA"/>
              </w:rPr>
              <w:t xml:space="preserve"> 智能抱杆箱</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4.13停车收费管理系统</w:t>
            </w:r>
            <w:r/>
          </w:p>
          <w:p>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在市区范围内改造及新建200个路内停车泊位，河东路（沙州路至南环路西侧）、白鹿鹿（百桥路至西二环两侧）、锦程路（华昌路至南苑路两侧）、杨舍西街单侧、龙潭路（限时20分车位）、暨阳路（限时20分车位）、海关路（限时20分车位）、城北所前道路、老宅路（沙州路至暨阳路单侧）。</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4.13.1高位相机</w:t>
            </w:r>
            <w:r/>
          </w:p>
          <w:p>
            <w:pPr>
              <w:ind w:firstLine="482"/>
              <w:spacing w:line="440" w:lineRule="exact"/>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4"/>
                <w:highlight w:val="none"/>
                <w:lang w:val="en-US" w:eastAsia="zh-CN" w:bidi="ar-SA"/>
              </w:rPr>
              <w:t xml:space="preserve">双通道方向可以组合形成0°~355°的夹角范围；支持泊位自动画线功能，手动绘制区域后，开启自动画线功能，可对画面内的泊位信息进行自动检测和识别，并自动绘制泊位框线。支持辅助安装功能；开启辅助安装功能时，预览界面显示车牌一定像素大小的虚拟图标及上下限位线；可将虚拟图标拖动到预览画面的对应位置，以判定该目标像素点是否满足对应的智能监控需求；虚拟图标及上下限位线的像素大小可设置。（投标时须在响应文件中提供第三方检测机构出具的合格检验报告或功能截图等相关证明材料）</w:t>
            </w:r>
            <w:r/>
          </w:p>
          <w:p>
            <w:pPr>
              <w:ind w:firstLine="480"/>
              <w:spacing w:line="440" w:lineRule="exact"/>
              <w:rPr>
                <w:rFonts w:hint="default"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具体参数如下：</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传感器类型：通道1（细节）：不低于1/1.8英寸CMOS；通道2（细节）：不低于1/1.2英寸CMOS；</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像素：通道1（细节）：不低于800万；通道2（细节）：不低于800万；</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最大分辨率：不低于3840×2160；</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最低照度：通道1（细节）：不高于0.002lux（彩色模式）；不高于0.0002lux（黑白模式）；不高于0lux（补光灯开启）；通道2（细节）：不高于0.001lux（彩色模式）；不高于0.0001lux（黑白模式）；不高于0lux（补光灯开启）；</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最大补光距离：不低于100m（视频监控距离），不低于50m（车牌识别距离）；</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补光灯：通道1（细节）：不低于3颗（柔光双色灯）；通道2（细节）：不低于3颗（柔光双色灯），2颗（暖光灯）；</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镜头类型：通道1（细节）：机芯镜头 ；通道2（细节）：机芯镜头；</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镜头焦距：通道1（细节）：8mm～32mm；通道2（细节）：10mm～50mm；</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车位管理：支持路侧平行式车位驶入驶出抓拍；支持车牌识别；支持泊位关联；单枪最多支持8车位管理；支持车位巡检功能；支持非机动车占位报警、逆向停车报警、跨位停车报警、压线停车报警；支持车辆过滤；支持车牌曝光；支持停车数据报表输出；支持抓图张数2～4张可配置；支持图片合成功能；</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违停检测：支持和车位管理智能同时开启；支持违停车辆报表输出；</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卡口功能：支持卡口抓拍功能；支持和车位管理智能同时开启；支持车辆类型、车身颜色、车牌、车牌颜色等多种机动车属性识别；</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智能检索：配合Smart NVR实现事件录像的二次智能检索、分析和浓缩播放；</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低照等级：超星光；</w:t>
            </w:r>
            <w:r/>
          </w:p>
          <w:p>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防护等级：不低于IP67。</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4.13.2路侧停车智能终端管理盒</w:t>
            </w:r>
            <w:r/>
          </w:p>
          <w:p>
            <w:pPr>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参数如下：</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内存：不低于2GB；</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车辆查询：按时间段，通道，图片类型，车牌查询；</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OSD信息叠加：支持时间、地点、违法行为、违法代码、车牌、车牌颜色、车牌类型、车身颜色、车辆大小、车辆类型、车标、设备编号、防伪码、GPS信息、远程设备GPS地点信息、车位名称、自定义等信息叠加；</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证据记录：卡口、违法停车、B类违法停车、C类违法停车、D类违法停车、手动抓拍、黄网格违法停车、受限车牌、机动车违停、非机动车违停、车位有车、车位无车、停车检测、定时抓图；</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数据防删改：支持（录像、图片文件无法直接删除）；</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取证图像：车牌模糊匹配、车位状态巡检、重复车牌处理、一位多车处理、僵尸车报警、匹配异常信息上报；</w:t>
            </w:r>
            <w:r/>
          </w:p>
          <w:p>
            <w:pPr>
              <w:spacing w:line="440" w:lineRule="exact"/>
              <w:rPr>
                <w:rFonts w:hint="eastAsia" w:ascii="宋体" w:hAnsi="宋体" w:eastAsia="宋体" w:cs="Times New Roman"/>
                <w:b w:val="0"/>
                <w:color w:val="auto"/>
                <w:sz w:val="21"/>
                <w:szCs w:val="21"/>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 xml:space="preserve">国密功能：支持国密GB 35114-A级功能。</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4.13.2</w:t>
            </w:r>
            <w:r>
              <w:rPr>
                <w:rFonts w:ascii="Times New Roman" w:hAnsi="Times New Roman" w:eastAsia="宋体" w:cs="Times New Roman"/>
                <w:iCs/>
                <w:color w:val="auto"/>
                <w:sz w:val="24"/>
                <w:szCs w:val="24"/>
                <w:highlight w:val="none"/>
                <w:lang w:val="en-US" w:eastAsia="zh-CN" w:bidi="ar-SA"/>
              </w:rPr>
              <w:t xml:space="preserve">智能抱杆箱</w:t>
            </w:r>
            <w:r/>
          </w:p>
          <w:p>
            <w:pPr>
              <w:spacing w:line="440" w:lineRule="exact"/>
              <w:rPr>
                <w:rFonts w:hint="eastAsia" w:ascii="宋体" w:hAnsi="宋体" w:eastAsia="宋体" w:cs="Times New Roman"/>
                <w:b w:val="0"/>
                <w:color w:val="auto"/>
                <w:sz w:val="21"/>
                <w:szCs w:val="21"/>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同4.2.4。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 中心设备技术要求</w:t>
            </w:r>
            <w:r/>
          </w:p>
        </w:tc>
      </w:tr>
      <w:tr>
        <w:trPr>
          <w:trHeight w:val="610"/>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.1 软件系统要求</w:t>
            </w:r>
            <w:r/>
          </w:p>
          <w:p>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 xml:space="preserve">所有子系统的外场设备均需顺畅接入张家港市公安局控制中心现有的管理平台中。施工方须确保数据顺畅对接。</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.2 </w:t>
            </w:r>
            <w:r>
              <w:rPr>
                <w:rFonts w:hint="eastAsia" w:ascii="Times New Roman" w:hAnsi="Times New Roman" w:eastAsia="宋体" w:cs="Times New Roman"/>
                <w:iCs/>
                <w:color w:val="auto"/>
                <w:sz w:val="24"/>
                <w:szCs w:val="24"/>
                <w:highlight w:val="none"/>
                <w:lang w:val="en-US" w:eastAsia="zh-CN" w:bidi="ar-SA"/>
              </w:rPr>
              <w:t xml:space="preserve">云存储节点1</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1、采用高性能六核处理器；支持国产化操作系统；高速缓存：≥16GB DDR4 主频≥2666MHz；电源冗余：1+1冗余电源；网络接口：</w:t>
            </w:r>
            <w:r>
              <w:rPr>
                <w:rFonts w:hint="eastAsia" w:ascii="Times New Roman" w:hAnsi="Times New Roman" w:eastAsia="宋体" w:cs="Times New Roman"/>
                <w:iCs/>
                <w:color w:val="auto"/>
                <w:sz w:val="24"/>
                <w:szCs w:val="24"/>
                <w:highlight w:val="none"/>
                <w:lang w:val="en-US" w:eastAsia="zh-CN" w:bidi="ar-SA"/>
              </w:rPr>
              <w:t xml:space="preserve">不少于</w:t>
            </w:r>
            <w:r>
              <w:rPr>
                <w:rFonts w:ascii="Times New Roman" w:hAnsi="Times New Roman" w:eastAsia="宋体" w:cs="Times New Roman"/>
                <w:iCs/>
                <w:color w:val="auto"/>
                <w:sz w:val="24"/>
                <w:szCs w:val="24"/>
                <w:highlight w:val="none"/>
                <w:lang w:val="en-US" w:eastAsia="zh-CN" w:bidi="ar-SA"/>
              </w:rPr>
              <w:t xml:space="preserve">8个千兆数据电口；内置 1块 512G 企业级固态硬盘；包含48块</w:t>
            </w:r>
            <w:r>
              <w:rPr>
                <w:rFonts w:hint="eastAsia" w:ascii="Times New Roman" w:hAnsi="Times New Roman" w:eastAsia="宋体" w:cs="Times New Roman"/>
                <w:iCs/>
                <w:color w:val="auto"/>
                <w:sz w:val="24"/>
                <w:szCs w:val="24"/>
                <w:highlight w:val="none"/>
                <w:lang w:val="en-US" w:eastAsia="zh-CN" w:bidi="ar-SA"/>
              </w:rPr>
              <w:t xml:space="preserve">8</w:t>
            </w:r>
            <w:r>
              <w:rPr>
                <w:rFonts w:ascii="Times New Roman" w:hAnsi="Times New Roman" w:eastAsia="宋体" w:cs="Times New Roman"/>
                <w:iCs/>
                <w:color w:val="auto"/>
                <w:sz w:val="24"/>
                <w:szCs w:val="24"/>
                <w:highlight w:val="none"/>
                <w:lang w:val="en-US" w:eastAsia="zh-CN" w:bidi="ar-SA"/>
              </w:rPr>
              <w:t xml:space="preserve">T云存储专用硬盘。</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2、支持人脸、车辆卡口设备接入以及结构化数据接入；支持视频和图片的基础存储业务，包括录像计划，图片计划配置管理，包括视频流按通道和类型进行分类，并进行相应的索引创建等。</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3、单节点支持最大视频存储300路且最大带宽≤800Mbps，最大64路或256Mbps转发；最大300路卡口，写入200张图片/s(1:1大小图)，读取200张图片/s(1:1大小图)。</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云存储集群单节点大图和小图在1比1混合场景下的性能，并发同时写性能不低于8000张大图/秒和8000张小图/秒，同时并发读取性能也不低于8000张大图/秒和8000张小图/秒，云存储集群图片整体读写性能随存储节点数量扩容增加而线性扩展递增云存储超融合系统内置支持容器引擎服务，支持开放容器应用。一套云存储超融合系统支</w:t>
            </w:r>
            <w:r>
              <w:rPr>
                <w:rFonts w:ascii="Times New Roman" w:hAnsi="Times New Roman" w:eastAsia="宋体" w:cs="Times New Roman"/>
                <w:iCs/>
                <w:color w:val="auto"/>
                <w:sz w:val="24"/>
                <w:szCs w:val="24"/>
                <w:highlight w:val="none"/>
                <w:lang w:val="en-US" w:eastAsia="zh-CN" w:bidi="ar-SA"/>
              </w:rPr>
              <w:t xml:space="preserve">持5种不同维度异构组合能力，包括异构CPU（X86（包含海光CPU）、ARM）、异构算力（ CPU算力（低、中、高）、 GPU算力（Tesla卡、Atlas卡））、不同操作系统（欧拉、CentOS、麒麟、ubuntu、统信）、不同网络（千兆/万兆、FC）、不同硬盘介质（SSD/HDD、SAS盘/SATA盘）。支持统一对全局资源进行管控和最优调度，支持计算、存储、网络资源共享、虚拟化和高性能网络方案。支持容器网络的出入向QoS，支持对Pod带宽进行限流；支持LoadBalancer、Nodeport网络模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5、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p>
          <w:p>
            <w:pPr>
              <w:spacing w:line="440" w:lineRule="exact"/>
              <w:rPr>
                <w:rFonts w:hint="eastAsia" w:ascii="Times New Roman" w:hAnsi="Times New Roman" w:eastAsia="宋体" w:cs="Times New Roman"/>
                <w:b/>
                <w:bCs/>
                <w:i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ascii="Times New Roman" w:hAnsi="Times New Roman" w:eastAsia="宋体" w:cs="Times New Roman"/>
                <w:b/>
                <w:bCs/>
                <w:color w:val="auto"/>
                <w:sz w:val="24"/>
                <w:szCs w:val="24"/>
                <w:highlight w:val="none"/>
                <w:lang w:val="en-US" w:eastAsia="zh-CN" w:bidi="ar-SA"/>
              </w:rPr>
              <w:t xml:space="preserve">6、云存储系统支持标准SNMP协议，支持6大类信息获取接口，包括系统类接口、网络接口、CPU接口、存储介质接口、内存接口、以及云存储集群服务检测接口。云存储服务器支持BMC远程访问，支持控制服务器开机、关机、重启，支持控制开启和关闭服务器硬盘的休眠节能功能等</w:t>
            </w:r>
            <w:r>
              <w:rPr>
                <w:rFonts w:hint="eastAsia" w:ascii="Times New Roman" w:hAnsi="Times New Roman" w:eastAsia="宋体" w:cs="Times New Roman"/>
                <w:b/>
                <w:bCs/>
                <w:color w:val="auto"/>
                <w:sz w:val="24"/>
                <w:szCs w:val="24"/>
                <w:highlight w:val="none"/>
                <w:lang w:val="en-US" w:eastAsia="zh-CN" w:bidi="ar-SA"/>
              </w:rPr>
              <w:t xml:space="preserve">。（投标时须在响应文件中提供第三方检测机构出具的合格检验报告或功能截图等相关证明材料）</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7、云存储系统支持监控硬盘各项指标，可以查看10种硬盘典型SMART信息，包括硬盘错误数、硬盘坏道数、硬盘容量、硬盘温度、硬盘振动、数据读取错误率、上电时间、上电时长、断电次数、重映射扇区数，并针对每种指标在页面上展示健康评判结果和参考范围。硬盘监</w:t>
            </w:r>
            <w:r>
              <w:rPr>
                <w:rFonts w:ascii="Times New Roman" w:hAnsi="Times New Roman" w:eastAsia="宋体" w:cs="Times New Roman"/>
                <w:iCs/>
                <w:color w:val="auto"/>
                <w:sz w:val="24"/>
                <w:szCs w:val="24"/>
                <w:highlight w:val="none"/>
                <w:lang w:val="en-US" w:eastAsia="zh-CN" w:bidi="ar-SA"/>
              </w:rPr>
              <w:t xml:space="preserve">控管理支持以全局列表和服务器拓扑两种形式展示硬盘的基本信息，支持展示14种硬盘信息：包含硬盘类型、所在服务器槽位、IP、序列号、在位状态、介质类型、IO利用率、容量使用情况、SMART健康度、专有工具检测健康结果、硬盘抖动频率、IO波动比例、预测剩余寿命时间、硬盘健康状态（包括正常、良好、亚健康告警、变慢、即将损坏、故障损坏6个等级）。支持按时间显示硬盘的坏扇区、振动异常数、硬盘温度、硬盘错误数、硬盘断电数、硬盘坏道数、重映射扇区数、已用容量占比、数据读取错误率、IO利用率10项指标信息的变化趋势的曲线图。</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8、云存储集群支持网络亚健康监测管理，支持6种网络异常监测，包括支持监测网卡丢包、网卡低于千兆速率（降速）、流量瞬时波峰数、网络重连数、ping大包丢失、网络超时数。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.3 视频平台</w:t>
            </w:r>
            <w:r>
              <w:rPr>
                <w:rFonts w:hint="eastAsia" w:ascii="Times New Roman" w:hAnsi="Times New Roman" w:eastAsia="宋体" w:cs="Times New Roman"/>
                <w:iCs/>
                <w:color w:val="auto"/>
                <w:sz w:val="24"/>
                <w:szCs w:val="24"/>
                <w:highlight w:val="none"/>
                <w:lang w:val="en-US" w:eastAsia="zh-CN" w:bidi="ar-SA"/>
              </w:rPr>
              <w:t xml:space="preserve">接</w:t>
            </w:r>
            <w:r>
              <w:rPr>
                <w:rFonts w:ascii="Times New Roman" w:hAnsi="Times New Roman" w:eastAsia="宋体" w:cs="Times New Roman"/>
                <w:iCs/>
                <w:color w:val="auto"/>
                <w:sz w:val="24"/>
                <w:szCs w:val="24"/>
                <w:highlight w:val="none"/>
                <w:lang w:val="en-US" w:eastAsia="zh-CN" w:bidi="ar-SA"/>
              </w:rPr>
              <w:t xml:space="preserve">入扩容</w:t>
            </w:r>
            <w:r/>
          </w:p>
          <w:p>
            <w:pPr>
              <w:jc w:val="left"/>
              <w:spacing w:line="440" w:lineRule="exact"/>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对张家港交警大队现有视频监控平台进行接入授权扩容，包含视频监控平台接入授权，基础功能支持流媒体视频流的转发、存储、回放及下载。</w:t>
            </w:r>
            <w:r/>
          </w:p>
        </w:tc>
      </w:tr>
      <w:tr>
        <w:trPr>
          <w:trHeight w:val="2960"/>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4.14.4服务器配置要求</w:t>
            </w:r>
            <w:r/>
          </w:p>
          <w:tbl>
            <w:tblPr>
              <w:tblStyle w:val="1043"/>
              <w:tblpPr w:horzAnchor="page" w:tblpXSpec="center" w:vertAnchor="text" w:tblpY="293" w:leftFromText="180" w:topFromText="0" w:rightFromText="180" w:bottomFromText="0"/>
              <w:tblW w:w="81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314"/>
              <w:gridCol w:w="1200"/>
              <w:gridCol w:w="4915"/>
            </w:tblGrid>
            <w:tr>
              <w:trPr>
                <w:jc w:val="center"/>
                <w:trHeight w:val="909"/>
              </w:trPr>
              <w:tc>
                <w:tcPr>
                  <w:tcW w:w="719" w:type="dxa"/>
                  <w:vAlign w:val="center"/>
                  <w:textDirection w:val="lrTb"/>
                  <w:noWrap w:val="false"/>
                </w:tcPr>
                <w:p>
                  <w:pPr>
                    <w:ind w:left="184"/>
                    <w:jc w:val="center"/>
                    <w:spacing w:before="58" w:line="223" w:lineRule="auto"/>
                    <w:rPr>
                      <w:rFonts w:hint="default" w:ascii="宋体" w:hAnsi="宋体" w:eastAsia="宋体" w:cs="宋体"/>
                      <w:b w:val="0"/>
                      <w:bCs w:val="0"/>
                      <w:color w:val="auto"/>
                      <w:sz w:val="24"/>
                      <w:szCs w:val="24"/>
                      <w:highlight w:val="none"/>
                      <w:lang w:eastAsia="en-US"/>
                    </w:rPr>
                  </w:pPr>
                  <w:r>
                    <w:rPr>
                      <w:rFonts w:hint="eastAsia" w:ascii="宋体" w:hAnsi="宋体" w:eastAsia="宋体" w:cs="宋体"/>
                      <w:b w:val="0"/>
                      <w:bCs w:val="0"/>
                      <w:color w:val="auto"/>
                      <w:spacing w:val="-6"/>
                      <w:sz w:val="24"/>
                      <w:szCs w:val="24"/>
                      <w:highlight w:val="none"/>
                      <w:lang w:eastAsia="en-US"/>
                    </w:rPr>
                    <w:t xml:space="preserve">序号</w:t>
                  </w:r>
                  <w:r/>
                </w:p>
              </w:tc>
              <w:tc>
                <w:tcPr>
                  <w:tcW w:w="1314" w:type="dxa"/>
                  <w:vAlign w:val="center"/>
                  <w:textDirection w:val="lrTb"/>
                  <w:noWrap w:val="false"/>
                </w:tcPr>
                <w:p>
                  <w:pPr>
                    <w:ind w:left="142" w:right="137" w:firstLine="25"/>
                    <w:jc w:val="center"/>
                    <w:spacing w:before="242" w:line="302" w:lineRule="auto"/>
                    <w:rPr>
                      <w:rFonts w:hint="default" w:ascii="宋体" w:hAnsi="宋体" w:eastAsia="宋体" w:cs="宋体"/>
                      <w:b w:val="0"/>
                      <w:bCs w:val="0"/>
                      <w:color w:val="auto"/>
                      <w:sz w:val="24"/>
                      <w:szCs w:val="24"/>
                      <w:highlight w:val="none"/>
                      <w:lang w:eastAsia="en-US"/>
                    </w:rPr>
                  </w:pPr>
                  <w:r>
                    <w:rPr>
                      <w:rFonts w:hint="eastAsia" w:ascii="宋体" w:hAnsi="宋体" w:eastAsia="宋体" w:cs="宋体"/>
                      <w:b w:val="0"/>
                      <w:bCs w:val="0"/>
                      <w:color w:val="auto"/>
                      <w:spacing w:val="-7"/>
                      <w:sz w:val="24"/>
                      <w:szCs w:val="24"/>
                      <w:highlight w:val="none"/>
                      <w:lang w:eastAsia="en-US"/>
                    </w:rPr>
                    <w:t xml:space="preserve">一级</w:t>
                  </w:r>
                  <w:r>
                    <w:rPr>
                      <w:rFonts w:hint="eastAsia" w:ascii="宋体" w:hAnsi="宋体" w:eastAsia="宋体" w:cs="宋体"/>
                      <w:b w:val="0"/>
                      <w:bCs w:val="0"/>
                      <w:color w:val="auto"/>
                      <w:spacing w:val="-3"/>
                      <w:position w:val="-1"/>
                      <w:sz w:val="24"/>
                      <w:szCs w:val="24"/>
                      <w:highlight w:val="none"/>
                      <w:lang w:eastAsia="en-US"/>
                    </w:rPr>
                    <w:t xml:space="preserve">指标</w:t>
                  </w:r>
                  <w:r/>
                </w:p>
              </w:tc>
              <w:tc>
                <w:tcPr>
                  <w:tcW w:w="1200" w:type="dxa"/>
                  <w:vAlign w:val="center"/>
                  <w:textDirection w:val="lrTb"/>
                  <w:noWrap w:val="false"/>
                </w:tcPr>
                <w:p>
                  <w:pPr>
                    <w:ind w:left="151"/>
                    <w:jc w:val="center"/>
                    <w:spacing w:before="59" w:line="234" w:lineRule="auto"/>
                    <w:rPr>
                      <w:rFonts w:hint="default" w:ascii="宋体" w:hAnsi="宋体" w:eastAsia="宋体" w:cs="宋体"/>
                      <w:b w:val="0"/>
                      <w:bCs w:val="0"/>
                      <w:color w:val="auto"/>
                      <w:spacing w:val="-2"/>
                      <w:sz w:val="24"/>
                      <w:szCs w:val="24"/>
                      <w:highlight w:val="none"/>
                      <w:lang w:eastAsia="en-US"/>
                    </w:rPr>
                  </w:pPr>
                  <w:r>
                    <w:rPr>
                      <w:rFonts w:hint="eastAsia" w:ascii="宋体" w:hAnsi="宋体" w:eastAsia="宋体" w:cs="宋体"/>
                      <w:b w:val="0"/>
                      <w:bCs w:val="0"/>
                      <w:color w:val="auto"/>
                      <w:spacing w:val="-2"/>
                      <w:sz w:val="24"/>
                      <w:szCs w:val="24"/>
                      <w:highlight w:val="none"/>
                      <w:lang w:eastAsia="en-US"/>
                    </w:rPr>
                    <w:t xml:space="preserve">二级指标</w:t>
                  </w:r>
                  <w:r/>
                </w:p>
              </w:tc>
              <w:tc>
                <w:tcPr>
                  <w:tcW w:w="4915" w:type="dxa"/>
                  <w:vAlign w:val="center"/>
                  <w:textDirection w:val="lrTb"/>
                  <w:noWrap w:val="false"/>
                </w:tcPr>
                <w:p>
                  <w:pPr>
                    <w:ind w:left="1135"/>
                    <w:spacing w:before="59" w:line="222" w:lineRule="auto"/>
                    <w:rPr>
                      <w:rFonts w:hint="default" w:ascii="宋体" w:hAnsi="宋体" w:eastAsia="宋体" w:cs="宋体"/>
                      <w:b w:val="0"/>
                      <w:bCs w:val="0"/>
                      <w:i/>
                      <w:iCs/>
                      <w:color w:val="auto"/>
                      <w:sz w:val="24"/>
                      <w:szCs w:val="24"/>
                      <w:highlight w:val="none"/>
                      <w:u w:val="single"/>
                      <w:lang w:eastAsia="en-US"/>
                    </w:rPr>
                  </w:pPr>
                  <w:r>
                    <w:rPr>
                      <w:rFonts w:hint="eastAsia" w:ascii="宋体" w:hAnsi="宋体" w:eastAsia="宋体" w:cs="宋体"/>
                      <w:b w:val="0"/>
                      <w:bCs w:val="0"/>
                      <w:i w:val="0"/>
                      <w:iCs w:val="0"/>
                      <w:color w:val="auto"/>
                      <w:spacing w:val="-3"/>
                      <w:sz w:val="24"/>
                      <w:szCs w:val="24"/>
                      <w:highlight w:val="none"/>
                      <w:u w:val="none"/>
                      <w:lang w:eastAsia="en-US"/>
                    </w:rPr>
                    <w:t xml:space="preserve">指标要求</w:t>
                  </w:r>
                  <w:r/>
                </w:p>
              </w:tc>
            </w:tr>
            <w:tr>
              <w:trPr>
                <w:jc w:val="center"/>
                <w:trHeight w:val="964"/>
              </w:trPr>
              <w:tc>
                <w:tcPr>
                  <w:tcW w:w="719" w:type="dxa"/>
                  <w:vAlign w:val="center"/>
                  <w:textDirection w:val="lrTb"/>
                  <w:noWrap w:val="false"/>
                </w:tcPr>
                <w:p>
                  <w:pPr>
                    <w:jc w:val="center"/>
                    <w:spacing w:line="33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327"/>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1</w:t>
                  </w:r>
                  <w:r/>
                </w:p>
              </w:tc>
              <w:tc>
                <w:tcPr>
                  <w:tcW w:w="1314" w:type="dxa"/>
                  <w:vAlign w:val="center"/>
                  <w:textDirection w:val="lrTb"/>
                  <w:noWrap w:val="false"/>
                </w:tcPr>
                <w:p>
                  <w:pPr>
                    <w:jc w:val="center"/>
                    <w:spacing w:line="24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61" w:right="160" w:hanging="1"/>
                    <w:jc w:val="center"/>
                    <w:spacing w:before="59" w:line="25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CPU</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jc w:val="center"/>
                    <w:spacing w:line="337"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ind w:left="106"/>
                    <w:jc w:val="center"/>
                    <w:spacing w:before="59" w:line="223"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信息</w:t>
                  </w:r>
                  <w:r/>
                </w:p>
              </w:tc>
              <w:tc>
                <w:tcPr>
                  <w:tcW w:w="4915" w:type="dxa"/>
                  <w:vAlign w:val="center"/>
                  <w:textDirection w:val="lrTb"/>
                  <w:noWrap w:val="false"/>
                </w:tcPr>
                <w:p>
                  <w:pPr>
                    <w:ind w:left="110" w:right="172"/>
                    <w:spacing w:before="37" w:line="23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 xml:space="preserve">CPU：≥2颗处理器，单处理器物理核心数≥</w:t>
                  </w:r>
                  <w:r>
                    <w:rPr>
                      <w:rFonts w:hint="eastAsia" w:ascii="宋体" w:hAnsi="宋体" w:eastAsia="宋体" w:cs="宋体"/>
                      <w:i/>
                      <w:iCs/>
                      <w:color w:val="auto"/>
                      <w:sz w:val="24"/>
                      <w:szCs w:val="24"/>
                      <w:highlight w:val="none"/>
                      <w:u w:val="single"/>
                      <w:lang w:val="en-US" w:eastAsia="zh-CN"/>
                    </w:rPr>
                    <w:t xml:space="preserve">32</w:t>
                  </w:r>
                  <w:r>
                    <w:rPr>
                      <w:rFonts w:hint="eastAsia" w:ascii="宋体" w:hAnsi="宋体" w:eastAsia="宋体" w:cs="宋体"/>
                      <w:i/>
                      <w:iCs/>
                      <w:color w:val="auto"/>
                      <w:sz w:val="24"/>
                      <w:szCs w:val="24"/>
                      <w:highlight w:val="none"/>
                      <w:u w:val="single"/>
                      <w:lang w:eastAsia="en-US"/>
                    </w:rPr>
                    <w:t xml:space="preserve">核，主频≥3.0.GHz，末级缓存容量≥</w:t>
                  </w:r>
                  <w:r>
                    <w:rPr>
                      <w:rFonts w:hint="eastAsia" w:ascii="宋体" w:hAnsi="宋体" w:eastAsia="宋体" w:cs="宋体"/>
                      <w:i/>
                      <w:iCs/>
                      <w:color w:val="auto"/>
                      <w:sz w:val="24"/>
                      <w:szCs w:val="24"/>
                      <w:highlight w:val="none"/>
                      <w:u w:val="single"/>
                      <w:lang w:val="en-US" w:eastAsia="zh-CN"/>
                    </w:rPr>
                    <w:t xml:space="preserve">64</w:t>
                  </w:r>
                  <w:r>
                    <w:rPr>
                      <w:rFonts w:hint="eastAsia" w:ascii="宋体" w:hAnsi="宋体" w:eastAsia="宋体" w:cs="宋体"/>
                      <w:i/>
                      <w:iCs/>
                      <w:color w:val="auto"/>
                      <w:sz w:val="24"/>
                      <w:szCs w:val="24"/>
                      <w:highlight w:val="none"/>
                      <w:u w:val="single"/>
                      <w:lang w:eastAsia="en-US"/>
                    </w:rPr>
                    <w:t xml:space="preserve">MB，线程数≥</w:t>
                  </w:r>
                  <w:r>
                    <w:rPr>
                      <w:rFonts w:hint="eastAsia" w:ascii="宋体" w:hAnsi="宋体" w:eastAsia="宋体" w:cs="宋体"/>
                      <w:i/>
                      <w:iCs/>
                      <w:color w:val="auto"/>
                      <w:sz w:val="24"/>
                      <w:szCs w:val="24"/>
                      <w:highlight w:val="none"/>
                      <w:u w:val="single"/>
                      <w:lang w:val="en-US" w:eastAsia="zh-CN"/>
                    </w:rPr>
                    <w:t xml:space="preserve">32</w:t>
                  </w:r>
                  <w:r>
                    <w:rPr>
                      <w:rFonts w:hint="eastAsia" w:ascii="宋体" w:hAnsi="宋体" w:eastAsia="宋体" w:cs="宋体"/>
                      <w:i/>
                      <w:iCs/>
                      <w:color w:val="auto"/>
                      <w:sz w:val="24"/>
                      <w:szCs w:val="24"/>
                      <w:highlight w:val="none"/>
                      <w:u w:val="single"/>
                      <w:lang w:eastAsia="en-US"/>
                    </w:rPr>
                    <w:t xml:space="preserve">线程，支持内存的最高速率≥3200 MHz；</w:t>
                  </w:r>
                  <w:r/>
                </w:p>
              </w:tc>
            </w:tr>
            <w:tr>
              <w:trPr>
                <w:jc w:val="center"/>
                <w:trHeight w:val="725"/>
              </w:trPr>
              <w:tc>
                <w:tcPr>
                  <w:tcW w:w="719" w:type="dxa"/>
                  <w:vAlign w:val="center"/>
                  <w:textDirection w:val="lrTb"/>
                  <w:noWrap w:val="false"/>
                </w:tcPr>
                <w:p>
                  <w:pPr>
                    <w:ind w:left="316"/>
                    <w:spacing w:before="27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2</w:t>
                  </w:r>
                  <w:r/>
                </w:p>
              </w:tc>
              <w:tc>
                <w:tcPr>
                  <w:tcBorders>
                    <w:bottom w:val="none" w:color="000000" w:sz="4" w:space="0"/>
                  </w:tcBorders>
                  <w:tcW w:w="1314" w:type="dxa"/>
                  <w:vAlign w:val="center"/>
                  <w:vMerge w:val="restart"/>
                  <w:textDirection w:val="lrTb"/>
                  <w:noWrap w:val="false"/>
                </w:tcPr>
                <w:p>
                  <w:pPr>
                    <w:jc w:val="center"/>
                    <w:spacing w:line="245"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spacing w:line="24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62" w:right="117" w:hanging="47"/>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主板支持的 CPU 和内存情况</w:t>
                  </w:r>
                  <w:r/>
                </w:p>
              </w:tc>
              <w:tc>
                <w:tcPr>
                  <w:tcW w:w="4915" w:type="dxa"/>
                  <w:vAlign w:val="center"/>
                  <w:textDirection w:val="lrTb"/>
                  <w:noWrap w:val="false"/>
                </w:tcPr>
                <w:p>
                  <w:pPr>
                    <w:ind w:left="120" w:right="172" w:hanging="10"/>
                    <w:spacing w:before="1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内存：≥</w:t>
                  </w:r>
                  <w:r>
                    <w:rPr>
                      <w:rFonts w:hint="eastAsia" w:ascii="宋体" w:hAnsi="宋体" w:eastAsia="宋体" w:cs="宋体"/>
                      <w:i/>
                      <w:iCs/>
                      <w:color w:val="auto"/>
                      <w:spacing w:val="2"/>
                      <w:sz w:val="24"/>
                      <w:szCs w:val="24"/>
                      <w:highlight w:val="none"/>
                      <w:u w:val="single"/>
                      <w:lang w:val="en-US" w:eastAsia="zh-CN"/>
                    </w:rPr>
                    <w:t xml:space="preserve">128</w:t>
                  </w:r>
                  <w:r>
                    <w:rPr>
                      <w:rFonts w:hint="eastAsia" w:ascii="宋体" w:hAnsi="宋体" w:eastAsia="宋体" w:cs="宋体"/>
                      <w:i/>
                      <w:iCs/>
                      <w:color w:val="auto"/>
                      <w:spacing w:val="2"/>
                      <w:sz w:val="24"/>
                      <w:szCs w:val="24"/>
                      <w:highlight w:val="none"/>
                      <w:u w:val="single"/>
                      <w:lang w:eastAsia="en-US"/>
                    </w:rPr>
                    <w:t xml:space="preserve">G DDR4，</w:t>
                  </w:r>
                  <w:r/>
                </w:p>
              </w:tc>
            </w:tr>
            <w:tr>
              <w:trPr>
                <w:jc w:val="center"/>
                <w:trHeight w:val="725"/>
              </w:trPr>
              <w:tc>
                <w:tcPr>
                  <w:tcW w:w="719" w:type="dxa"/>
                  <w:vAlign w:val="center"/>
                  <w:textDirection w:val="lrTb"/>
                  <w:noWrap w:val="false"/>
                </w:tcPr>
                <w:p>
                  <w:pPr>
                    <w:ind w:left="318"/>
                    <w:spacing w:before="27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主板内存槽数量</w:t>
                  </w:r>
                  <w:r/>
                </w:p>
              </w:tc>
              <w:tc>
                <w:tcPr>
                  <w:tcW w:w="4915" w:type="dxa"/>
                  <w:vAlign w:val="center"/>
                  <w:textDirection w:val="lrTb"/>
                  <w:noWrap w:val="false"/>
                </w:tcPr>
                <w:p>
                  <w:pPr>
                    <w:ind w:left="113" w:right="172"/>
                    <w:spacing w:before="161"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≥8根内存插槽；</w:t>
                  </w:r>
                  <w:r/>
                </w:p>
              </w:tc>
            </w:tr>
            <w:tr>
              <w:trPr>
                <w:jc w:val="center"/>
                <w:trHeight w:val="725"/>
              </w:trPr>
              <w:tc>
                <w:tcPr>
                  <w:tcW w:w="719" w:type="dxa"/>
                  <w:vAlign w:val="center"/>
                  <w:textDirection w:val="lrTb"/>
                  <w:noWrap w:val="false"/>
                </w:tcPr>
                <w:p>
                  <w:pPr>
                    <w:ind w:left="313"/>
                    <w:spacing w:before="27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 xml:space="preserve">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主板存储接口</w:t>
                  </w:r>
                  <w:r/>
                </w:p>
              </w:tc>
              <w:tc>
                <w:tcPr>
                  <w:tcW w:w="4915" w:type="dxa"/>
                  <w:vAlign w:val="center"/>
                  <w:textDirection w:val="lrTb"/>
                  <w:noWrap w:val="false"/>
                </w:tcPr>
                <w:p>
                  <w:pPr>
                    <w:ind w:left="113" w:right="172" w:firstLine="4"/>
                    <w:spacing w:before="161"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至少支持SATA、SAS、M.2、U.2等</w:t>
                  </w:r>
                  <w:r>
                    <w:rPr>
                      <w:rFonts w:hint="eastAsia" w:ascii="宋体" w:hAnsi="宋体" w:eastAsia="宋体" w:cs="宋体"/>
                      <w:i/>
                      <w:iCs/>
                      <w:color w:val="auto"/>
                      <w:spacing w:val="-4"/>
                      <w:sz w:val="24"/>
                      <w:szCs w:val="24"/>
                      <w:highlight w:val="none"/>
                      <w:u w:val="single"/>
                      <w:lang w:eastAsia="en-US"/>
                    </w:rPr>
                    <w:t xml:space="preserve">存储接口中的1种</w:t>
                  </w:r>
                  <w:r/>
                </w:p>
              </w:tc>
            </w:tr>
            <w:tr>
              <w:trPr>
                <w:jc w:val="center"/>
                <w:trHeight w:val="452"/>
              </w:trPr>
              <w:tc>
                <w:tcPr>
                  <w:tcW w:w="719" w:type="dxa"/>
                  <w:vAlign w:val="center"/>
                  <w:textDirection w:val="lrTb"/>
                  <w:noWrap w:val="false"/>
                </w:tcPr>
                <w:p>
                  <w:pPr>
                    <w:ind w:left="317"/>
                    <w:spacing w:before="58" w:line="242"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 PCIe插槽数量及规格</w:t>
                  </w:r>
                  <w:r/>
                </w:p>
              </w:tc>
              <w:tc>
                <w:tcPr>
                  <w:tcW w:w="4915" w:type="dxa"/>
                  <w:vAlign w:val="center"/>
                  <w:textDirection w:val="lrTb"/>
                  <w:noWrap w:val="false"/>
                </w:tcPr>
                <w:p>
                  <w:pPr>
                    <w:ind w:left="110" w:right="172" w:firstLine="2"/>
                    <w:spacing w:before="33"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 xml:space="preserve">≥4个标准PCIE插槽</w:t>
                  </w:r>
                  <w:r>
                    <w:rPr>
                      <w:rFonts w:hint="eastAsia" w:ascii="宋体" w:hAnsi="宋体" w:eastAsia="宋体" w:cs="宋体"/>
                      <w:i/>
                      <w:iCs/>
                      <w:color w:val="auto"/>
                      <w:sz w:val="24"/>
                      <w:szCs w:val="24"/>
                      <w:highlight w:val="none"/>
                      <w:u w:val="single"/>
                      <w:lang w:eastAsia="zh-CN"/>
                    </w:rPr>
                    <w:t xml:space="preserve">，符合PCle</w:t>
                  </w: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lang w:eastAsia="zh-CN"/>
                    </w:rPr>
                    <w:t xml:space="preserve">.0或以上的高速串行计算机扩展总线标准，</w:t>
                  </w:r>
                  <w:r>
                    <w:rPr>
                      <w:rFonts w:hint="eastAsia" w:ascii="宋体" w:hAnsi="宋体" w:eastAsia="宋体" w:cs="宋体"/>
                      <w:i/>
                      <w:iCs/>
                      <w:color w:val="auto"/>
                      <w:sz w:val="24"/>
                      <w:szCs w:val="24"/>
                      <w:u w:val="single"/>
                      <w:lang w:eastAsia="zh-CN"/>
                    </w:rPr>
                    <w:t xml:space="preserve">PCle的接口速率与位宽需保证向下兼容</w:t>
                  </w:r>
                  <w:r/>
                </w:p>
              </w:tc>
            </w:tr>
            <w:tr>
              <w:trPr>
                <w:jc w:val="center"/>
                <w:trHeight w:val="452"/>
              </w:trPr>
              <w:tc>
                <w:tcPr>
                  <w:tcW w:w="719" w:type="dxa"/>
                  <w:vAlign w:val="center"/>
                  <w:textDirection w:val="lrTb"/>
                  <w:noWrap w:val="false"/>
                </w:tcPr>
                <w:p>
                  <w:pPr>
                    <w:ind w:left="317"/>
                    <w:spacing w:before="58" w:line="242"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特殊孔位及接口</w:t>
                  </w:r>
                  <w:r/>
                </w:p>
              </w:tc>
              <w:tc>
                <w:tcPr>
                  <w:tcW w:w="4915" w:type="dxa"/>
                  <w:vAlign w:val="center"/>
                  <w:textDirection w:val="lrTb"/>
                  <w:noWrap w:val="false"/>
                </w:tcPr>
                <w:p>
                  <w:pPr>
                    <w:ind w:left="108" w:right="136" w:hanging="2"/>
                    <w:spacing w:before="58" w:line="248" w:lineRule="auto"/>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a)服务器机箱内主板可根据用户实际使用需求支持安装多功能导入装置板卡，机箱内需预留多功能导入装置板卡安装位置，容量不小于</w:t>
                  </w:r>
                  <w:r/>
                </w:p>
                <w:p>
                  <w:pPr>
                    <w:ind w:left="108" w:right="136" w:hanging="2"/>
                    <w:spacing w:before="58" w:line="248" w:lineRule="auto"/>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55mm×45mm×15mm（长×宽×高，单位毫米）；</w:t>
                  </w:r>
                  <w:r/>
                </w:p>
                <w:p>
                  <w:pPr>
                    <w:ind w:left="108" w:right="136" w:hanging="2"/>
                    <w:spacing w:before="58" w:line="248" w:lineRule="auto"/>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b)服务器主板可根据用户实际使用需求预留满足 USB2.0 或 USB3.0 数据传输规范的接口，工作电压5V，采用 USB2.0 时，最大过电流应不小于 0.5A，采用 USB3.0 时，最大过电流应不小于 1A</w:t>
                  </w:r>
                  <w:r/>
                </w:p>
              </w:tc>
            </w:tr>
            <w:tr>
              <w:trPr>
                <w:jc w:val="center"/>
                <w:trHeight w:val="169"/>
              </w:trPr>
              <w:tc>
                <w:tcPr>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7</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板载网络接口</w:t>
                  </w:r>
                  <w:r/>
                </w:p>
              </w:tc>
              <w:tc>
                <w:tcPr>
                  <w:tcW w:w="4915" w:type="dxa"/>
                  <w:vAlign w:val="center"/>
                  <w:textDirection w:val="lrTb"/>
                  <w:noWrap w:val="false"/>
                </w:tcPr>
                <w:p>
                  <w:pPr>
                    <w:ind w:left="120" w:right="172" w:hanging="9"/>
                    <w:spacing w:before="59" w:line="249"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支持板载网络接口不少于1个</w:t>
                  </w:r>
                  <w:r>
                    <w:rPr>
                      <w:rFonts w:hint="eastAsia" w:ascii="宋体" w:hAnsi="宋体" w:eastAsia="宋体" w:cs="宋体"/>
                      <w:i/>
                      <w:iCs/>
                      <w:color w:val="auto"/>
                      <w:spacing w:val="-7"/>
                      <w:sz w:val="24"/>
                      <w:szCs w:val="24"/>
                      <w:highlight w:val="none"/>
                      <w:u w:val="single"/>
                      <w:lang w:eastAsia="en-US"/>
                    </w:rPr>
                    <w:t xml:space="preserve">1GE网口</w:t>
                  </w:r>
                  <w:r/>
                </w:p>
              </w:tc>
            </w:tr>
            <w:tr>
              <w:trPr>
                <w:jc w:val="center"/>
                <w:trHeight w:val="245"/>
              </w:trPr>
              <w:tc>
                <w:tcPr>
                  <w:tcW w:w="719" w:type="dxa"/>
                  <w:vAlign w:val="center"/>
                  <w:textDirection w:val="lrTb"/>
                  <w:noWrap w:val="false"/>
                </w:tcPr>
                <w:p>
                  <w:pPr>
                    <w:ind w:left="256"/>
                    <w:spacing w:before="31" w:line="209" w:lineRule="auto"/>
                    <w:rPr>
                      <w:rFonts w:hint="default"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8</w:t>
                  </w:r>
                  <w:r/>
                </w:p>
              </w:tc>
              <w:tc>
                <w:tcPr>
                  <w:tcW w:w="1314" w:type="dxa"/>
                  <w:vAlign w:val="center"/>
                  <w:vMerge w:val="restart"/>
                  <w:textDirection w:val="lrTb"/>
                  <w:noWrap w:val="false"/>
                </w:tcPr>
                <w:p>
                  <w:pPr>
                    <w:ind w:left="107"/>
                    <w:jc w:val="center"/>
                    <w:spacing w:before="58" w:line="222" w:lineRule="auto"/>
                    <w:rPr>
                      <w:rFonts w:hint="default"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lang w:eastAsia="en-US"/>
                    </w:rPr>
                    <w:t xml:space="preserve">内存规格</w:t>
                  </w:r>
                  <w:r/>
                </w:p>
              </w:tc>
              <w:tc>
                <w:tcPr>
                  <w:tcW w:w="1200" w:type="dxa"/>
                  <w:vAlign w:val="center"/>
                  <w:textDirection w:val="lrTb"/>
                  <w:noWrap w:val="false"/>
                </w:tcPr>
                <w:p>
                  <w:pPr>
                    <w:jc w:val="cente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内存数量</w:t>
                  </w:r>
                  <w:r/>
                </w:p>
              </w:tc>
              <w:tc>
                <w:tcPr>
                  <w:tcW w:w="491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≥4</w:t>
                  </w:r>
                  <w:r/>
                </w:p>
              </w:tc>
            </w:tr>
            <w:tr>
              <w:trPr>
                <w:jc w:val="center"/>
                <w:trHeight w:val="520"/>
              </w:trPr>
              <w:tc>
                <w:tcPr>
                  <w:tcW w:w="719" w:type="dxa"/>
                  <w:vAlign w:val="center"/>
                  <w:textDirection w:val="lrTb"/>
                  <w:noWrap w:val="false"/>
                </w:tcPr>
                <w:p>
                  <w:pPr>
                    <w:jc w:val="center"/>
                    <w:spacing w:before="58" w:line="222" w:lineRule="auto"/>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w:t>
                  </w:r>
                  <w:r/>
                </w:p>
              </w:tc>
              <w:tc>
                <w:tcPr>
                  <w:tcW w:w="1314" w:type="dxa"/>
                  <w:vAlign w:val="center"/>
                  <w:vMerge w:val="continue"/>
                  <w:textDirection w:val="lrTb"/>
                  <w:noWrap w:val="false"/>
                </w:tcPr>
                <w:p>
                  <w:pPr>
                    <w:ind w:left="107"/>
                    <w:jc w:val="center"/>
                    <w:spacing w:before="58" w:line="222" w:lineRule="auto"/>
                    <w:rPr>
                      <w:rFonts w:hint="default" w:ascii="宋体" w:hAnsi="宋体" w:eastAsia="宋体" w:cs="宋体"/>
                      <w:color w:val="auto"/>
                      <w:spacing w:val="-1"/>
                      <w:sz w:val="24"/>
                      <w:szCs w:val="24"/>
                      <w:highlight w:val="none"/>
                      <w:lang w:eastAsia="en-US"/>
                    </w:rPr>
                  </w:pPr>
                  <w:r>
                    <w:rPr>
                      <w:rFonts w:hint="default" w:ascii="宋体" w:hAnsi="宋体" w:eastAsia="宋体" w:cs="宋体"/>
                      <w:color w:val="auto"/>
                      <w:spacing w:val="-1"/>
                      <w:sz w:val="24"/>
                      <w:szCs w:val="24"/>
                      <w:highlight w:val="none"/>
                      <w:lang w:eastAsia="en-US"/>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内存规格</w:t>
                  </w:r>
                  <w:r/>
                </w:p>
              </w:tc>
              <w:tc>
                <w:tcPr>
                  <w:tcW w:w="491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≥DDR4</w:t>
                  </w:r>
                  <w:r/>
                </w:p>
              </w:tc>
            </w:tr>
            <w:tr>
              <w:trPr>
                <w:jc w:val="center"/>
                <w:trHeight w:val="520"/>
              </w:trPr>
              <w:tc>
                <w:tcPr>
                  <w:tcW w:w="719" w:type="dxa"/>
                  <w:vAlign w:val="center"/>
                  <w:textDirection w:val="lrTb"/>
                  <w:noWrap w:val="false"/>
                </w:tcPr>
                <w:p>
                  <w:pPr>
                    <w:ind w:left="256"/>
                    <w:jc w:val="center"/>
                    <w:spacing w:before="59" w:line="239" w:lineRule="exact"/>
                    <w:rPr>
                      <w:rFonts w:hint="default" w:ascii="宋体" w:hAnsi="宋体" w:eastAsia="宋体" w:cs="宋体"/>
                      <w:color w:val="auto"/>
                      <w:spacing w:val="-9"/>
                      <w:position w:val="1"/>
                      <w:sz w:val="24"/>
                      <w:szCs w:val="24"/>
                      <w:highlight w:val="none"/>
                    </w:rPr>
                  </w:pPr>
                  <w:r>
                    <w:rPr>
                      <w:rFonts w:hint="default" w:ascii="宋体" w:hAnsi="宋体" w:eastAsia="宋体" w:cs="宋体"/>
                      <w:color w:val="auto"/>
                      <w:spacing w:val="-9"/>
                      <w:position w:val="1"/>
                      <w:sz w:val="24"/>
                      <w:szCs w:val="24"/>
                      <w:highlight w:val="none"/>
                    </w:rPr>
                  </w:r>
                  <w:r/>
                </w:p>
              </w:tc>
              <w:tc>
                <w:tcPr>
                  <w:tcBorders>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内存通道</w:t>
                  </w:r>
                  <w:r/>
                </w:p>
              </w:tc>
              <w:tc>
                <w:tcPr>
                  <w:tcW w:w="4915" w:type="dxa"/>
                  <w:vAlign w:val="center"/>
                  <w:textDirection w:val="lrTb"/>
                  <w:noWrap w:val="false"/>
                </w:tcPr>
                <w:p>
                  <w:pPr>
                    <w:ind w:left="107"/>
                    <w:spacing w:before="58" w:line="22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支持多个内存接口通道，每个通道可支持 1DPC 或 2DPC，当支持 2DPC时，印制电路板上应具备插槽的序号标识，具体通道数应在随机文件中明确</w:t>
                  </w:r>
                  <w:r/>
                </w:p>
              </w:tc>
            </w:tr>
            <w:tr>
              <w:trPr>
                <w:jc w:val="center"/>
                <w:trHeight w:val="485"/>
              </w:trPr>
              <w:tc>
                <w:tcPr>
                  <w:tcW w:w="719" w:type="dxa"/>
                  <w:vAlign w:val="center"/>
                  <w:textDirection w:val="lrTb"/>
                  <w:noWrap w:val="false"/>
                </w:tcPr>
                <w:p>
                  <w:pPr>
                    <w:ind w:left="256"/>
                    <w:spacing w:before="151" w:line="237" w:lineRule="exact"/>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 xml:space="preserve">1</w:t>
                  </w:r>
                  <w:r>
                    <w:rPr>
                      <w:rFonts w:hint="eastAsia" w:ascii="宋体" w:hAnsi="宋体" w:eastAsia="宋体" w:cs="宋体"/>
                      <w:color w:val="auto"/>
                      <w:spacing w:val="-9"/>
                      <w:position w:val="1"/>
                      <w:sz w:val="24"/>
                      <w:szCs w:val="24"/>
                      <w:highlight w:val="none"/>
                    </w:rPr>
                    <w:t xml:space="preserve">0</w:t>
                  </w:r>
                  <w:r/>
                </w:p>
              </w:tc>
              <w:tc>
                <w:tcPr>
                  <w:tcW w:w="1314" w:type="dxa"/>
                  <w:vAlign w:val="center"/>
                  <w:vMerge w:val="restart"/>
                  <w:textDirection w:val="lrTb"/>
                  <w:noWrap w:val="false"/>
                </w:tcPr>
                <w:p>
                  <w:pPr>
                    <w:ind w:left="186" w:right="141" w:hanging="47"/>
                    <w:jc w:val="center"/>
                    <w:spacing w:before="59" w:line="248" w:lineRule="auto"/>
                    <w:rPr>
                      <w:rFonts w:hint="default" w:ascii="宋体" w:hAnsi="宋体" w:eastAsia="宋体" w:cs="宋体"/>
                      <w:color w:val="auto"/>
                      <w:spacing w:val="-1"/>
                      <w:sz w:val="24"/>
                      <w:szCs w:val="24"/>
                      <w:highlight w:val="none"/>
                      <w:lang w:eastAsia="en-US"/>
                    </w:rPr>
                  </w:pPr>
                  <w:r>
                    <w:rPr>
                      <w:rFonts w:hint="default" w:ascii="宋体" w:hAnsi="宋体" w:eastAsia="宋体" w:cs="宋体"/>
                      <w:color w:val="auto"/>
                      <w:spacing w:val="-1"/>
                      <w:sz w:val="24"/>
                      <w:szCs w:val="24"/>
                      <w:highlight w:val="none"/>
                      <w:lang w:eastAsia="en-US"/>
                    </w:rPr>
                  </w:r>
                  <w:r/>
                </w:p>
                <w:p>
                  <w:pPr>
                    <w:ind w:left="186" w:right="141" w:hanging="47"/>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存储</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硬盘类型</w:t>
                  </w:r>
                  <w:r/>
                </w:p>
              </w:tc>
              <w:tc>
                <w:tcPr>
                  <w:tcW w:w="4915" w:type="dxa"/>
                  <w:vAlign w:val="center"/>
                  <w:textDirection w:val="lrTb"/>
                  <w:noWrap w:val="false"/>
                </w:tcPr>
                <w:p>
                  <w:pPr>
                    <w:ind w:left="115" w:right="168" w:hanging="2"/>
                    <w:spacing w:before="38" w:line="224" w:lineRule="auto"/>
                    <w:rPr>
                      <w:rFonts w:hint="default" w:ascii="宋体" w:hAnsi="宋体" w:eastAsia="宋体" w:cs="宋体"/>
                      <w:i/>
                      <w:iCs/>
                      <w:color w:val="auto"/>
                      <w:sz w:val="24"/>
                      <w:szCs w:val="24"/>
                      <w:highlight w:val="none"/>
                      <w:u w:val="single"/>
                      <w:lang w:eastAsia="en-US"/>
                    </w:rPr>
                  </w:pPr>
                  <w:r>
                    <w:rPr>
                      <w:rFonts w:hint="default" w:ascii="宋体" w:hAnsi="宋体" w:eastAsia="宋体" w:cs="宋体"/>
                      <w:i/>
                      <w:iCs/>
                      <w:color w:val="auto"/>
                      <w:spacing w:val="-1"/>
                      <w:sz w:val="24"/>
                      <w:szCs w:val="24"/>
                      <w:highlight w:val="none"/>
                      <w:u w:val="single"/>
                      <w:lang w:val="en-US" w:eastAsia="zh-CN"/>
                    </w:rPr>
                    <w:t xml:space="preserve"> SATA </w:t>
                  </w:r>
                  <w:r>
                    <w:rPr>
                      <w:rFonts w:hint="eastAsia" w:ascii="宋体" w:hAnsi="宋体" w:eastAsia="宋体" w:cs="宋体"/>
                      <w:i/>
                      <w:iCs/>
                      <w:color w:val="auto"/>
                      <w:spacing w:val="-1"/>
                      <w:sz w:val="24"/>
                      <w:szCs w:val="24"/>
                      <w:highlight w:val="none"/>
                      <w:u w:val="single"/>
                      <w:lang w:eastAsia="en-US"/>
                    </w:rPr>
                    <w:t xml:space="preserve">硬盘</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 xml:space="preserve">1</w:t>
                  </w:r>
                  <w:r>
                    <w:rPr>
                      <w:rFonts w:hint="eastAsia" w:ascii="宋体" w:hAnsi="宋体" w:eastAsia="宋体" w:cs="宋体"/>
                      <w:color w:val="auto"/>
                      <w:spacing w:val="-9"/>
                      <w:position w:val="1"/>
                      <w:sz w:val="24"/>
                      <w:szCs w:val="24"/>
                      <w:highlight w:val="none"/>
                    </w:rPr>
                    <w:t xml:space="preserve">1</w:t>
                  </w:r>
                  <w:r/>
                </w:p>
              </w:tc>
              <w:tc>
                <w:tcPr>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硬磁盘实配容量</w:t>
                  </w:r>
                  <w:r/>
                </w:p>
              </w:tc>
              <w:tc>
                <w:tcPr>
                  <w:tcW w:w="4915" w:type="dxa"/>
                  <w:vAlign w:val="center"/>
                  <w:textDirection w:val="lrTb"/>
                  <w:noWrap w:val="false"/>
                </w:tcPr>
                <w:p>
                  <w:pPr>
                    <w:ind w:left="111" w:right="123" w:hanging="4"/>
                    <w:spacing w:before="58"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val="en-US" w:eastAsia="en-US"/>
                    </w:rPr>
                    <w:t xml:space="preserve">≥</w:t>
                  </w:r>
                  <w:r>
                    <w:rPr>
                      <w:rFonts w:hint="default" w:ascii="宋体" w:hAnsi="宋体" w:eastAsia="宋体" w:cs="宋体"/>
                      <w:i/>
                      <w:iCs/>
                      <w:color w:val="auto"/>
                      <w:spacing w:val="-1"/>
                      <w:sz w:val="24"/>
                      <w:szCs w:val="24"/>
                      <w:highlight w:val="none"/>
                      <w:u w:val="single"/>
                      <w:lang w:val="en-US" w:eastAsia="zh-CN"/>
                    </w:rPr>
                    <w:t xml:space="preserve">2块 3.5英寸 SATA 4TB 企业级机械硬盘</w:t>
                  </w:r>
                  <w:r>
                    <w:rPr>
                      <w:rFonts w:hint="eastAsia" w:ascii="宋体" w:hAnsi="宋体" w:eastAsia="宋体" w:cs="宋体"/>
                      <w:i/>
                      <w:iCs/>
                      <w:color w:val="auto"/>
                      <w:spacing w:val="-1"/>
                      <w:sz w:val="24"/>
                      <w:szCs w:val="24"/>
                      <w:highlight w:val="none"/>
                      <w:u w:val="single"/>
                      <w:lang w:val="en-US" w:eastAsia="zh-CN"/>
                    </w:rPr>
                    <w:t xml:space="preserve">，</w:t>
                  </w:r>
                  <w:r>
                    <w:rPr>
                      <w:rFonts w:hint="default" w:ascii="宋体" w:hAnsi="宋体" w:eastAsia="宋体" w:cs="宋体"/>
                      <w:i/>
                      <w:iCs/>
                      <w:color w:val="auto"/>
                      <w:spacing w:val="-1"/>
                      <w:sz w:val="24"/>
                      <w:szCs w:val="24"/>
                      <w:highlight w:val="none"/>
                      <w:u w:val="single"/>
                      <w:lang w:val="en-US" w:eastAsia="zh-CN"/>
                    </w:rPr>
                    <w:t xml:space="preserve">2块 2.5英寸 SATA 960GB 读写混合型SSD</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11</w:t>
                  </w:r>
                  <w:r/>
                </w:p>
              </w:tc>
              <w:tc>
                <w:tcPr>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硬磁盘实配容量</w:t>
                  </w:r>
                  <w:r/>
                </w:p>
              </w:tc>
              <w:tc>
                <w:tcPr>
                  <w:tcW w:w="491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服务器产品至少要配备一款存储设备</w: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a)若配备硬磁盘，服务器提供的实配硬磁盘可用容量应不小于600GB b)若配备固态盘，实配固态盘单盘可用容量不小于 </w:t>
                  </w:r>
                  <w:r>
                    <w:rPr>
                      <w:rFonts w:hint="eastAsia" w:ascii="宋体" w:hAnsi="宋体" w:eastAsia="宋体" w:cs="宋体"/>
                      <w:i/>
                      <w:iCs/>
                      <w:color w:val="auto"/>
                      <w:spacing w:val="-1"/>
                      <w:sz w:val="24"/>
                      <w:szCs w:val="24"/>
                      <w:highlight w:val="none"/>
                      <w:u w:val="single"/>
                      <w:lang w:val="en-US" w:eastAsia="zh-CN"/>
                    </w:rPr>
                    <w:t xml:space="preserve">960</w:t>
                  </w:r>
                  <w:r>
                    <w:rPr>
                      <w:rFonts w:hint="eastAsia" w:ascii="宋体" w:hAnsi="宋体" w:eastAsia="宋体" w:cs="宋体"/>
                      <w:i/>
                      <w:iCs/>
                      <w:color w:val="auto"/>
                      <w:spacing w:val="-1"/>
                      <w:sz w:val="24"/>
                      <w:szCs w:val="24"/>
                      <w:highlight w:val="none"/>
                      <w:u w:val="single"/>
                      <w:lang w:eastAsia="en-US"/>
                    </w:rPr>
                    <w:t xml:space="preserve">GB，NVMe SSD容量不小于960GB</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12</w:t>
                  </w:r>
                  <w:r/>
                </w:p>
              </w:tc>
              <w:tc>
                <w:tcPr>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硬盘接口类型</w:t>
                  </w:r>
                  <w:r/>
                </w:p>
              </w:tc>
              <w:tc>
                <w:tcPr>
                  <w:tcW w:w="491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a)若配备硬磁盘，应提供 SAS 3.0或 SATA 3.0 及以上接口；</w: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b)若配备固态盘，应提供至少 1 种类型固态盘接口，如 UFS、SATA、PCIe等</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13</w:t>
                  </w:r>
                  <w:r/>
                </w:p>
              </w:tc>
              <w:tc>
                <w:tcPr>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硬盘实配数量</w:t>
                  </w:r>
                  <w:r/>
                </w:p>
              </w:tc>
              <w:tc>
                <w:tcPr>
                  <w:tcW w:w="491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a)若配备硬磁盘，服务器提供的实配硬磁盘数量应不小于 2 块，可实现互为备份；</w: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b)若配备固态盘，实配盘数应不小于 1 块</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14</w:t>
                  </w:r>
                  <w:r/>
                </w:p>
              </w:tc>
              <w:tc>
                <w:tcPr>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硬盘插槽数量及规格</w:t>
                  </w:r>
                  <w:r/>
                </w:p>
              </w:tc>
              <w:tc>
                <w:tcPr>
                  <w:tcW w:w="4915" w:type="dxa"/>
                  <w:vAlign w:val="center"/>
                  <w:textDirection w:val="lrTb"/>
                  <w:noWrap w:val="false"/>
                </w:tcPr>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 供应商应给出配置的硬盘尺寸，如 2.5 英寸、3.5 英寸硬磁盘；</w: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机箱高度为88.9mm 的服务器可支持的硬盘数量应不少于 8 块，机箱高度为44.45mm 的服务器可支持的硬盘数量应不少于 4 块。</w: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 存储型服务器可支持硬盘数量应不少于 24 块</w:t>
                  </w:r>
                  <w:r/>
                </w:p>
              </w:tc>
            </w:tr>
            <w:tr>
              <w:trPr>
                <w:jc w:val="center"/>
                <w:trHeight w:val="638"/>
              </w:trPr>
              <w:tc>
                <w:tcPr>
                  <w:tcW w:w="719" w:type="dxa"/>
                  <w:vAlign w:val="center"/>
                  <w:textDirection w:val="lrTb"/>
                  <w:noWrap w:val="false"/>
                </w:tcPr>
                <w:p>
                  <w:pPr>
                    <w:ind w:left="256"/>
                    <w:spacing w:before="59" w:line="239" w:lineRule="exact"/>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 xml:space="preserve">15</w:t>
                  </w:r>
                  <w:r/>
                </w:p>
              </w:tc>
              <w:tc>
                <w:tcPr>
                  <w:tcBorders>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硬盘其他参数要求</w:t>
                  </w:r>
                  <w:r/>
                </w:p>
              </w:tc>
              <w:tc>
                <w:tcPr>
                  <w:tcW w:w="4915" w:type="dxa"/>
                  <w:vAlign w:val="center"/>
                  <w:textDirection w:val="lrTb"/>
                  <w:noWrap w:val="false"/>
                </w:tcPr>
                <w:p>
                  <w:pPr>
                    <w:ind w:left="20" w:right="20" w:firstLine="74"/>
                    <w:spacing w:before="19" w:line="352"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a)机械硬盘准备时间应不大于30s；侧面固定螺丝孔数量可为 4 孔或6孔；工作状态环境温度应满足 5℃ ~55℃ , 其它参数应符合 GB/T 12628的相关规定；</w:t>
                  </w:r>
                  <w:r>
                    <w:rPr>
                      <w:rFonts w:hint="default" w:ascii="宋体" w:hAnsi="宋体" w:eastAsia="宋体" w:cs="宋体"/>
                      <w:i/>
                      <w:iCs/>
                      <w:color w:val="auto"/>
                      <w:spacing w:val="-1"/>
                      <w:sz w:val="24"/>
                      <w:szCs w:val="24"/>
                      <w:highlight w:val="none"/>
                      <w:u w:val="singl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771650" cy="309880"/>
                                    </a:xfrm>
                                    <a:prstGeom prst="rect">
                                      <a:avLst/>
                                    </a:prstGeom>
                                    <a:noFill/>
                                    <a:ln>
                                      <a:noFill/>
                                    </a:ln>
                                    <a:effectLst/>
                                  </wps:spPr>
                                  <wps:txbx>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wps:txbx>
                                  <wps:bodyPr lIns="0" tIns="0" rIns="0" bIns="0" upright="1"/>
                                </wps:wsp>
                              </a:graphicData>
                            </a:graphic>
                          </wp:anchor>
                        </w:drawing>
                      </mc:Choice>
                      <mc:Fallback>
                        <w:pict>
                          <v:shape id="shape 1" o:spid="_x0000_s1" o:spt="202" type="#_x0000_t202" style="position:absolute;z-index:251673600;o:allowoverlap:true;o:allowincell:true;mso-position-horizontal-relative:text;margin-left:27.6pt;mso-position-horizontal:absolute;mso-position-vertical-relative:text;margin-top:2.8pt;mso-position-vertical:absolute;width:139.5pt;height:24.4pt;mso-wrap-distance-left:9.0pt;mso-wrap-distance-top:0.0pt;mso-wrap-distance-right:9.0pt;mso-wrap-distance-bottom:0.0pt;visibility:visible;" filled="f" stroked="f">
                            <v:textbox inset="0,0,0,0">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v:textbox>
                          </v:shape>
                        </w:pict>
                      </mc:Fallback>
                    </mc:AlternateContent>
                  </w:r>
                  <w:r/>
                </w:p>
                <w:p>
                  <w:pPr>
                    <w:ind w:left="111" w:right="123" w:hanging="4"/>
                    <w:spacing w:before="58" w:line="248"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b)若服务器支持固态盘，固态盘符合 SJ/T 11654 相关规定</w:t>
                  </w:r>
                  <w:r/>
                </w:p>
              </w:tc>
            </w:tr>
            <w:tr>
              <w:trPr>
                <w:jc w:val="center"/>
                <w:trHeight w:val="488"/>
              </w:trPr>
              <w:tc>
                <w:tcPr>
                  <w:tcW w:w="719" w:type="dxa"/>
                  <w:vAlign w:val="center"/>
                  <w:textDirection w:val="lrTb"/>
                  <w:noWrap w:val="false"/>
                </w:tcPr>
                <w:p>
                  <w:pPr>
                    <w:ind w:left="256"/>
                    <w:jc w:val="center"/>
                    <w:spacing w:before="156"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position w:val="1"/>
                      <w:sz w:val="24"/>
                      <w:szCs w:val="24"/>
                      <w:highlight w:val="none"/>
                      <w:lang w:eastAsia="en-US"/>
                    </w:rPr>
                    <w:t xml:space="preserve">19</w:t>
                  </w:r>
                  <w:r/>
                </w:p>
              </w:tc>
              <w:tc>
                <w:tcPr>
                  <w:tcW w:w="1314" w:type="dxa"/>
                  <w:vAlign w:val="center"/>
                  <w:textDirection w:val="lrTb"/>
                  <w:noWrap w:val="false"/>
                </w:tcPr>
                <w:p>
                  <w:pPr>
                    <w:ind w:left="189" w:right="185"/>
                    <w:jc w:val="center"/>
                    <w:spacing w:before="4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5"/>
                      <w:sz w:val="24"/>
                      <w:szCs w:val="24"/>
                      <w:highlight w:val="none"/>
                      <w:lang w:eastAsia="en-US"/>
                    </w:rPr>
                    <w:t xml:space="preserve">卡规</w:t>
                  </w:r>
                  <w:r>
                    <w:rPr>
                      <w:rFonts w:hint="eastAsia" w:ascii="宋体" w:hAnsi="宋体" w:eastAsia="宋体" w:cs="宋体"/>
                      <w:color w:val="auto"/>
                      <w:spacing w:val="-11"/>
                      <w:sz w:val="24"/>
                      <w:szCs w:val="24"/>
                      <w:highlight w:val="none"/>
                      <w:lang w:eastAsia="en-US"/>
                    </w:rPr>
                    <w:t xml:space="preserve">格（若</w:t>
                  </w:r>
                  <w:r>
                    <w:rPr>
                      <w:rFonts w:hint="eastAsia" w:ascii="宋体" w:hAnsi="宋体" w:eastAsia="宋体" w:cs="宋体"/>
                      <w:color w:val="auto"/>
                      <w:spacing w:val="-4"/>
                      <w:sz w:val="24"/>
                      <w:szCs w:val="24"/>
                      <w:highlight w:val="none"/>
                      <w:lang w:eastAsia="en-US"/>
                    </w:rPr>
                    <w:t xml:space="preserve">支持</w:t>
                  </w: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4"/>
                      <w:sz w:val="24"/>
                      <w:szCs w:val="24"/>
                      <w:highlight w:val="none"/>
                      <w:lang w:eastAsia="en-US"/>
                    </w:rPr>
                    <w:t xml:space="preserve">卡）</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卡支持的 SAS接口数</w:t>
                  </w:r>
                  <w:r/>
                </w:p>
              </w:tc>
              <w:tc>
                <w:tcPr>
                  <w:tcW w:w="4915" w:type="dxa"/>
                  <w:vAlign w:val="center"/>
                  <w:textDirection w:val="lrTb"/>
                  <w:noWrap w:val="false"/>
                </w:tcPr>
                <w:p>
                  <w:pPr>
                    <w:ind w:left="131"/>
                    <w:spacing w:before="16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3"/>
                      <w:sz w:val="24"/>
                      <w:szCs w:val="24"/>
                      <w:highlight w:val="none"/>
                      <w:u w:val="single"/>
                      <w:lang w:eastAsia="en-US"/>
                    </w:rPr>
                    <w:t xml:space="preserve">≥8</w:t>
                  </w:r>
                  <w:r/>
                </w:p>
              </w:tc>
            </w:tr>
            <w:tr>
              <w:trPr>
                <w:jc w:val="center"/>
                <w:trHeight w:val="1684"/>
              </w:trPr>
              <w:tc>
                <w:tcPr>
                  <w:tcW w:w="719" w:type="dxa"/>
                  <w:vAlign w:val="center"/>
                  <w:textDirection w:val="lrTb"/>
                  <w:noWrap w:val="false"/>
                </w:tcPr>
                <w:p>
                  <w:pPr>
                    <w:jc w:val="center"/>
                    <w:spacing w:before="5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20</w:t>
                  </w:r>
                  <w:r/>
                </w:p>
              </w:tc>
              <w:tc>
                <w:tcPr>
                  <w:tcW w:w="1314" w:type="dxa"/>
                  <w:vAlign w:val="center"/>
                  <w:textDirection w:val="lrTb"/>
                  <w:noWrap w:val="false"/>
                </w:tcPr>
                <w:p>
                  <w:pPr>
                    <w:ind w:left="186" w:right="119" w:hanging="66"/>
                    <w:jc w:val="center"/>
                    <w:spacing w:before="37"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SAS直</w:t>
                  </w:r>
                  <w:r>
                    <w:rPr>
                      <w:rFonts w:hint="eastAsia" w:ascii="宋体" w:hAnsi="宋体" w:eastAsia="宋体" w:cs="宋体"/>
                      <w:color w:val="auto"/>
                      <w:spacing w:val="-3"/>
                      <w:sz w:val="24"/>
                      <w:szCs w:val="24"/>
                      <w:highlight w:val="none"/>
                      <w:lang w:eastAsia="en-US"/>
                    </w:rPr>
                    <w:t xml:space="preserve">通卡</w:t>
                  </w:r>
                  <w:r/>
                </w:p>
                <w:p>
                  <w:pPr>
                    <w:ind w:left="110" w:right="130" w:firstLine="76"/>
                    <w:jc w:val="center"/>
                    <w:spacing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规格</w:t>
                  </w:r>
                  <w:r>
                    <w:rPr>
                      <w:rFonts w:hint="eastAsia" w:ascii="宋体" w:hAnsi="宋体" w:eastAsia="宋体" w:cs="宋体"/>
                      <w:color w:val="auto"/>
                      <w:spacing w:val="8"/>
                      <w:sz w:val="24"/>
                      <w:szCs w:val="24"/>
                      <w:highlight w:val="none"/>
                      <w:lang w:eastAsia="en-US"/>
                    </w:rPr>
                    <w:t xml:space="preserve">(若支</w:t>
                  </w:r>
                  <w:r>
                    <w:rPr>
                      <w:rFonts w:hint="eastAsia" w:ascii="宋体" w:hAnsi="宋体" w:eastAsia="宋体" w:cs="宋体"/>
                      <w:color w:val="auto"/>
                      <w:spacing w:val="-4"/>
                      <w:sz w:val="24"/>
                      <w:szCs w:val="24"/>
                      <w:highlight w:val="none"/>
                      <w:lang w:eastAsia="en-US"/>
                    </w:rPr>
                    <w:t xml:space="preserve">持SAS</w:t>
                  </w:r>
                  <w:r>
                    <w:rPr>
                      <w:rFonts w:hint="eastAsia" w:ascii="宋体" w:hAnsi="宋体" w:eastAsia="宋体" w:cs="宋体"/>
                      <w:color w:val="auto"/>
                      <w:spacing w:val="35"/>
                      <w:sz w:val="24"/>
                      <w:szCs w:val="24"/>
                      <w:highlight w:val="none"/>
                      <w:lang w:eastAsia="en-US"/>
                    </w:rPr>
                    <w:t xml:space="preserve">直通</w:t>
                  </w:r>
                  <w:r/>
                </w:p>
                <w:p>
                  <w:pPr>
                    <w:ind w:left="235"/>
                    <w:jc w:val="center"/>
                    <w:spacing w:line="20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w:t>
                  </w:r>
                  <w:r/>
                </w:p>
              </w:tc>
              <w:tc>
                <w:tcPr>
                  <w:tcW w:w="1200" w:type="dxa"/>
                  <w:vAlign w:val="center"/>
                  <w:textDirection w:val="lrTb"/>
                  <w:noWrap w:val="false"/>
                </w:tcPr>
                <w:p>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SAS直通卡SAS接口数量</w:t>
                  </w:r>
                  <w:r/>
                </w:p>
              </w:tc>
              <w:tc>
                <w:tcPr>
                  <w:tcW w:w="4915" w:type="dxa"/>
                  <w:vAlign w:val="center"/>
                  <w:textDirection w:val="lrTb"/>
                  <w:noWrap w:val="false"/>
                </w:tcPr>
                <w:p>
                  <w:pPr>
                    <w:spacing w:line="34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34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9"/>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 xml:space="preserve">/</w:t>
                  </w:r>
                  <w:r/>
                </w:p>
              </w:tc>
            </w:tr>
            <w:tr>
              <w:trPr>
                <w:jc w:val="center"/>
                <w:trHeight w:val="1444"/>
              </w:trPr>
              <w:tc>
                <w:tcPr>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21</w:t>
                  </w:r>
                  <w:r/>
                </w:p>
              </w:tc>
              <w:tc>
                <w:tcPr>
                  <w:tcW w:w="1314" w:type="dxa"/>
                  <w:vAlign w:val="center"/>
                  <w:textDirection w:val="lrTb"/>
                  <w:noWrap w:val="false"/>
                </w:tcPr>
                <w:p>
                  <w:pPr>
                    <w:ind w:left="110" w:right="119" w:firstLine="11"/>
                    <w:jc w:val="center"/>
                    <w:spacing w:before="40"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HBA卡</w:t>
                  </w:r>
                  <w:r>
                    <w:rPr>
                      <w:rFonts w:hint="eastAsia" w:ascii="宋体" w:hAnsi="宋体" w:eastAsia="宋体" w:cs="宋体"/>
                      <w:color w:val="auto"/>
                      <w:spacing w:val="35"/>
                      <w:sz w:val="24"/>
                      <w:szCs w:val="24"/>
                      <w:highlight w:val="none"/>
                      <w:lang w:eastAsia="en-US"/>
                    </w:rPr>
                    <w:t xml:space="preserve">规格</w:t>
                  </w:r>
                  <w:r>
                    <w:rPr>
                      <w:rFonts w:hint="eastAsia" w:ascii="宋体" w:hAnsi="宋体" w:eastAsia="宋体" w:cs="宋体"/>
                      <w:color w:val="auto"/>
                      <w:spacing w:val="8"/>
                      <w:sz w:val="24"/>
                      <w:szCs w:val="24"/>
                      <w:highlight w:val="none"/>
                      <w:lang w:eastAsia="en-US"/>
                    </w:rPr>
                    <w:t xml:space="preserve">(若支</w:t>
                  </w:r>
                  <w:r>
                    <w:rPr>
                      <w:rFonts w:hint="eastAsia" w:ascii="宋体" w:hAnsi="宋体" w:eastAsia="宋体" w:cs="宋体"/>
                      <w:color w:val="auto"/>
                      <w:spacing w:val="-4"/>
                      <w:sz w:val="24"/>
                      <w:szCs w:val="24"/>
                      <w:highlight w:val="none"/>
                      <w:lang w:eastAsia="en-US"/>
                    </w:rPr>
                    <w:t xml:space="preserve">持HBA</w:t>
                  </w:r>
                  <w:r>
                    <w:rPr>
                      <w:rFonts w:hint="eastAsia" w:ascii="宋体" w:hAnsi="宋体" w:eastAsia="宋体" w:cs="宋体"/>
                      <w:color w:val="auto"/>
                      <w:spacing w:val="35"/>
                      <w:sz w:val="24"/>
                      <w:szCs w:val="24"/>
                      <w:highlight w:val="none"/>
                      <w:lang w:eastAsia="en-US"/>
                    </w:rPr>
                    <w:t xml:space="preserve">直通</w:t>
                  </w:r>
                  <w:r/>
                </w:p>
                <w:p>
                  <w:pPr>
                    <w:ind w:left="235"/>
                    <w:jc w:val="center"/>
                    <w:spacing w:line="19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w:t>
                  </w:r>
                  <w:r/>
                </w:p>
              </w:tc>
              <w:tc>
                <w:tcPr>
                  <w:tcW w:w="1200" w:type="dxa"/>
                  <w:vAlign w:val="center"/>
                  <w:textDirection w:val="lrTb"/>
                  <w:noWrap w:val="false"/>
                </w:tcPr>
                <w:p>
                  <w:pPr>
                    <w:jc w:val="cente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HBA卡端口数量</w:t>
                  </w:r>
                  <w:r/>
                </w:p>
              </w:tc>
              <w:tc>
                <w:tcPr>
                  <w:tcW w:w="4915" w:type="dxa"/>
                  <w:vAlign w:val="center"/>
                  <w:textDirection w:val="lrTb"/>
                  <w:noWrap w:val="false"/>
                </w:tcPr>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8"/>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 xml:space="preserve">/</w:t>
                  </w:r>
                  <w:r/>
                </w:p>
              </w:tc>
            </w:tr>
            <w:tr>
              <w:trPr>
                <w:jc w:val="center"/>
                <w:trHeight w:val="1684"/>
              </w:trPr>
              <w:tc>
                <w:tcPr>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22</w:t>
                  </w:r>
                  <w:r/>
                </w:p>
              </w:tc>
              <w:tc>
                <w:tcPr>
                  <w:tcBorders>
                    <w:bottom w:val="none" w:color="000000" w:sz="4" w:space="0"/>
                  </w:tcBorders>
                  <w:tcW w:w="1314" w:type="dxa"/>
                  <w:vAlign w:val="center"/>
                  <w:vMerge w:val="restart"/>
                  <w:textDirection w:val="lrTb"/>
                  <w:noWrap w:val="false"/>
                </w:tcPr>
                <w:p>
                  <w:pPr>
                    <w:ind w:right="141"/>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网络</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ind w:right="123"/>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网口速率和数量</w:t>
                  </w:r>
                  <w:r/>
                </w:p>
              </w:tc>
              <w:tc>
                <w:tcPr>
                  <w:tcW w:w="4915" w:type="dxa"/>
                  <w:vAlign w:val="center"/>
                  <w:textDirection w:val="lrTb"/>
                  <w:noWrap w:val="false"/>
                </w:tcPr>
                <w:p>
                  <w:pPr>
                    <w:spacing w:line="28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spacing w:line="290"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2" w:right="168" w:firstLine="2"/>
                    <w:spacing w:before="58"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配备网口数量不少于</w:t>
                  </w:r>
                  <w:r>
                    <w:rPr>
                      <w:rFonts w:hint="eastAsia" w:ascii="宋体" w:hAnsi="宋体" w:eastAsia="宋体" w:cs="宋体"/>
                      <w:i/>
                      <w:iCs/>
                      <w:color w:val="auto"/>
                      <w:spacing w:val="-3"/>
                      <w:sz w:val="24"/>
                      <w:szCs w:val="24"/>
                      <w:highlight w:val="none"/>
                      <w:u w:val="single"/>
                      <w:lang w:val="en-US" w:eastAsia="zh-CN"/>
                    </w:rPr>
                    <w:t xml:space="preserve">8</w:t>
                  </w:r>
                  <w:r>
                    <w:rPr>
                      <w:rFonts w:hint="eastAsia" w:ascii="宋体" w:hAnsi="宋体" w:eastAsia="宋体" w:cs="宋体"/>
                      <w:i/>
                      <w:iCs/>
                      <w:color w:val="auto"/>
                      <w:spacing w:val="-3"/>
                      <w:sz w:val="24"/>
                      <w:szCs w:val="24"/>
                      <w:highlight w:val="none"/>
                      <w:u w:val="single"/>
                      <w:lang w:eastAsia="en-US"/>
                    </w:rPr>
                    <w:t xml:space="preserve">个，且网口速率不少于1GE</w:t>
                  </w:r>
                  <w:r/>
                </w:p>
              </w:tc>
            </w:tr>
            <w:tr>
              <w:trPr>
                <w:jc w:val="center"/>
                <w:trHeight w:val="1684"/>
              </w:trPr>
              <w:tc>
                <w:tcPr>
                  <w:tcW w:w="719" w:type="dxa"/>
                  <w:vAlign w:val="center"/>
                  <w:textDirection w:val="lrTb"/>
                  <w:noWrap w:val="false"/>
                </w:tcPr>
                <w:p>
                  <w:pPr>
                    <w:jc w:val="center"/>
                    <w:spacing w:before="58"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50"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存储型服务器网口速率和数量</w:t>
                  </w:r>
                  <w:r/>
                </w:p>
              </w:tc>
              <w:tc>
                <w:tcPr>
                  <w:tcW w:w="4915" w:type="dxa"/>
                  <w:vAlign w:val="center"/>
                  <w:textDirection w:val="lrTb"/>
                  <w:noWrap w:val="false"/>
                </w:tcPr>
                <w:p>
                  <w:pPr>
                    <w:ind w:right="168"/>
                    <w:spacing w:before="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存储型服务器1GE网口数量不少于</w:t>
                  </w:r>
                  <w:r>
                    <w:rPr>
                      <w:rFonts w:hint="eastAsia" w:ascii="宋体" w:hAnsi="宋体" w:eastAsia="宋体" w:cs="宋体"/>
                      <w:i/>
                      <w:iCs/>
                      <w:color w:val="auto"/>
                      <w:sz w:val="24"/>
                      <w:szCs w:val="24"/>
                      <w:highlight w:val="none"/>
                      <w:u w:val="single"/>
                      <w:lang w:eastAsia="en-US"/>
                    </w:rPr>
                    <w:t xml:space="preserve">2个，10GE以上网口数量不少于2个</w:t>
                  </w:r>
                  <w:r/>
                </w:p>
              </w:tc>
            </w:tr>
            <w:tr>
              <w:trPr>
                <w:jc w:val="center"/>
                <w:trHeight w:val="725"/>
              </w:trPr>
              <w:tc>
                <w:tcPr>
                  <w:tcW w:w="719" w:type="dxa"/>
                  <w:vAlign w:val="center"/>
                  <w:textDirection w:val="lrTb"/>
                  <w:noWrap w:val="false"/>
                </w:tcPr>
                <w:p>
                  <w:pPr>
                    <w:ind w:left="246"/>
                    <w:spacing w:before="274"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独立网卡网口数量</w:t>
                  </w:r>
                  <w:r/>
                </w:p>
              </w:tc>
              <w:tc>
                <w:tcPr>
                  <w:tcW w:w="4915" w:type="dxa"/>
                  <w:vAlign w:val="center"/>
                  <w:textDirection w:val="lrTb"/>
                  <w:noWrap w:val="false"/>
                </w:tcPr>
                <w:p>
                  <w:pPr>
                    <w:ind w:left="115" w:right="168" w:hanging="2"/>
                    <w:spacing w:before="162" w:line="25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若配备独立网卡，独立网卡网口数</w:t>
                  </w:r>
                  <w:r>
                    <w:rPr>
                      <w:rFonts w:hint="eastAsia" w:ascii="宋体" w:hAnsi="宋体" w:eastAsia="宋体" w:cs="宋体"/>
                      <w:i/>
                      <w:iCs/>
                      <w:color w:val="auto"/>
                      <w:spacing w:val="-4"/>
                      <w:sz w:val="24"/>
                      <w:szCs w:val="24"/>
                      <w:highlight w:val="none"/>
                      <w:u w:val="single"/>
                      <w:lang w:eastAsia="en-US"/>
                    </w:rPr>
                    <w:t xml:space="preserve">量≥0</w:t>
                  </w:r>
                  <w:r/>
                </w:p>
              </w:tc>
            </w:tr>
            <w:tr>
              <w:trPr>
                <w:jc w:val="center"/>
                <w:trHeight w:val="1224"/>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25</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独立网卡接口类型</w:t>
                  </w:r>
                  <w:r/>
                </w:p>
              </w:tc>
              <w:tc>
                <w:tcPr>
                  <w:tcW w:w="4915" w:type="dxa"/>
                  <w:vAlign w:val="center"/>
                  <w:textDirection w:val="lrTb"/>
                  <w:noWrap w:val="false"/>
                </w:tcPr>
                <w:p>
                  <w:pPr>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支持RJ45/QSFP/SFP等</w:t>
                  </w:r>
                  <w:r/>
                </w:p>
              </w:tc>
            </w:tr>
            <w:tr>
              <w:trPr>
                <w:jc w:val="center"/>
                <w:trHeight w:val="994"/>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26</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板载网卡接口类型</w:t>
                  </w:r>
                  <w:r/>
                </w:p>
              </w:tc>
              <w:tc>
                <w:tcPr>
                  <w:tcW w:w="4915" w:type="dxa"/>
                  <w:vAlign w:val="center"/>
                  <w:textDirection w:val="lrTb"/>
                  <w:noWrap w:val="false"/>
                </w:tcPr>
                <w:p>
                  <w:pPr>
                    <w:spacing w:before="59"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支持RJ45/QSFP/SFP等</w:t>
                  </w:r>
                  <w:r/>
                </w:p>
              </w:tc>
            </w:tr>
            <w:tr>
              <w:trPr>
                <w:jc w:val="center"/>
                <w:trHeight w:val="485"/>
              </w:trPr>
              <w:tc>
                <w:tcPr>
                  <w:tcW w:w="719" w:type="dxa"/>
                  <w:vAlign w:val="center"/>
                  <w:textDirection w:val="lrTb"/>
                  <w:noWrap w:val="false"/>
                </w:tcPr>
                <w:p>
                  <w:pPr>
                    <w:ind w:left="246"/>
                    <w:spacing w:before="157"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27</w:t>
                  </w:r>
                  <w:r/>
                </w:p>
              </w:tc>
              <w:tc>
                <w:tcPr>
                  <w:tcBorders>
                    <w:bottom w:val="none" w:color="000000" w:sz="4" w:space="0"/>
                  </w:tcBorders>
                  <w:tcW w:w="1314" w:type="dxa"/>
                  <w:vAlign w:val="center"/>
                  <w:textDirection w:val="lrTb"/>
                  <w:noWrap w:val="false"/>
                </w:tcPr>
                <w:p>
                  <w:pPr>
                    <w:ind w:left="139"/>
                    <w:jc w:val="center"/>
                    <w:spacing w:before="289" w:line="19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外部</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显示接口</w:t>
                  </w:r>
                  <w:r/>
                </w:p>
              </w:tc>
              <w:tc>
                <w:tcPr>
                  <w:tcW w:w="4915" w:type="dxa"/>
                  <w:vAlign w:val="center"/>
                  <w:textDirection w:val="lrTb"/>
                  <w:noWrap w:val="false"/>
                </w:tcPr>
                <w:p>
                  <w:pPr>
                    <w:ind w:left="108" w:right="206" w:firstLine="9"/>
                    <w:spacing w:before="45" w:line="22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显示接口类型应不少于1种，如：</w:t>
                  </w:r>
                  <w:r>
                    <w:rPr>
                      <w:rFonts w:hint="eastAsia" w:ascii="宋体" w:hAnsi="宋体" w:eastAsia="宋体" w:cs="宋体"/>
                      <w:i/>
                      <w:iCs/>
                      <w:color w:val="auto"/>
                      <w:spacing w:val="-1"/>
                      <w:sz w:val="24"/>
                      <w:szCs w:val="24"/>
                      <w:highlight w:val="none"/>
                      <w:u w:val="single"/>
                      <w:lang w:eastAsia="en-US"/>
                    </w:rPr>
                    <w:t xml:space="preserve">VGA、DP、HDMI等</w:t>
                  </w:r>
                  <w:r/>
                </w:p>
              </w:tc>
            </w:tr>
            <w:tr>
              <w:trPr>
                <w:jc w:val="center"/>
                <w:trHeight w:val="728"/>
              </w:trPr>
              <w:tc>
                <w:tcPr>
                  <w:tcW w:w="719" w:type="dxa"/>
                  <w:vAlign w:val="center"/>
                  <w:textDirection w:val="lrTb"/>
                  <w:noWrap w:val="false"/>
                </w:tcPr>
                <w:p>
                  <w:pPr>
                    <w:ind w:left="246"/>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28</w:t>
                  </w:r>
                  <w:r/>
                </w:p>
              </w:tc>
              <w:tc>
                <w:tcPr>
                  <w:tcBorders>
                    <w:top w:val="none" w:color="000000" w:sz="4" w:space="0"/>
                  </w:tcBorders>
                  <w:tcW w:w="1314" w:type="dxa"/>
                  <w:vAlign w:val="center"/>
                  <w:textDirection w:val="lrTb"/>
                  <w:noWrap w:val="false"/>
                </w:tcPr>
                <w:p>
                  <w:pPr>
                    <w:ind w:left="186" w:right="186"/>
                    <w:jc w:val="center"/>
                    <w:spacing w:before="40"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接口</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USB 接口</w:t>
                  </w:r>
                  <w:r/>
                </w:p>
              </w:tc>
              <w:tc>
                <w:tcPr>
                  <w:tcW w:w="4915" w:type="dxa"/>
                  <w:vAlign w:val="center"/>
                  <w:textDirection w:val="lrTb"/>
                  <w:noWrap w:val="false"/>
                </w:tcPr>
                <w:p>
                  <w:pPr>
                    <w:ind w:left="112" w:right="123" w:firstLine="2"/>
                    <w:spacing w:before="165"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配备USB接口，如USB2.0、USB3.0</w:t>
                  </w:r>
                  <w:r>
                    <w:rPr>
                      <w:rFonts w:hint="eastAsia" w:ascii="宋体" w:hAnsi="宋体" w:eastAsia="宋体" w:cs="宋体"/>
                      <w:i/>
                      <w:iCs/>
                      <w:color w:val="auto"/>
                      <w:sz w:val="24"/>
                      <w:szCs w:val="24"/>
                      <w:highlight w:val="none"/>
                      <w:u w:val="single"/>
                      <w:lang w:eastAsia="en-US"/>
                    </w:rPr>
                    <w:t xml:space="preserve">等</w:t>
                  </w:r>
                  <w:r/>
                </w:p>
              </w:tc>
            </w:tr>
            <w:tr>
              <w:trPr>
                <w:jc w:val="center"/>
                <w:trHeight w:val="725"/>
              </w:trPr>
              <w:tc>
                <w:tcPr>
                  <w:tcW w:w="719" w:type="dxa"/>
                  <w:vAlign w:val="center"/>
                  <w:textDirection w:val="lrTb"/>
                  <w:noWrap w:val="false"/>
                </w:tcPr>
                <w:p>
                  <w:pPr>
                    <w:ind w:left="246"/>
                    <w:spacing w:before="274"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29</w:t>
                  </w:r>
                  <w:r/>
                </w:p>
              </w:tc>
              <w:tc>
                <w:tcPr>
                  <w:tcBorders>
                    <w:top w:val="none" w:color="000000" w:sz="4" w:space="0"/>
                    <w:bottom w:val="none" w:color="000000" w:sz="4" w:space="0"/>
                  </w:tcBorders>
                  <w:tcW w:w="1314"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特殊接口及孔位</w:t>
                  </w:r>
                  <w:r/>
                </w:p>
              </w:tc>
              <w:tc>
                <w:tcPr>
                  <w:tcW w:w="4915" w:type="dxa"/>
                  <w:vAlign w:val="center"/>
                  <w:textDirection w:val="lrTb"/>
                  <w:noWrap w:val="false"/>
                </w:tcPr>
                <w:p>
                  <w:pPr>
                    <w:ind w:left="114" w:right="168" w:hanging="1"/>
                    <w:spacing w:before="1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 xml:space="preserve">前面板预留1个专用USB母座接口</w:t>
                  </w:r>
                  <w:r>
                    <w:rPr>
                      <w:rFonts w:hint="eastAsia" w:ascii="宋体" w:hAnsi="宋体" w:eastAsia="宋体" w:cs="宋体"/>
                      <w:i/>
                      <w:iCs/>
                      <w:color w:val="auto"/>
                      <w:spacing w:val="-5"/>
                      <w:sz w:val="24"/>
                      <w:szCs w:val="24"/>
                      <w:highlight w:val="none"/>
                      <w:u w:val="single"/>
                      <w:lang w:eastAsia="en-US"/>
                    </w:rPr>
                    <w:t xml:space="preserve">孔位</w:t>
                  </w:r>
                  <w:r/>
                </w:p>
              </w:tc>
            </w:tr>
            <w:tr>
              <w:trPr>
                <w:jc w:val="center"/>
                <w:trHeight w:val="744"/>
              </w:trPr>
              <w:tc>
                <w:tcPr>
                  <w:tcW w:w="719" w:type="dxa"/>
                  <w:vAlign w:val="center"/>
                  <w:textDirection w:val="lrTb"/>
                  <w:noWrap w:val="false"/>
                </w:tcPr>
                <w:p>
                  <w:pPr>
                    <w:ind w:left="247"/>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30</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其他接口</w:t>
                  </w:r>
                  <w:r/>
                </w:p>
              </w:tc>
              <w:tc>
                <w:tcPr>
                  <w:tcW w:w="4915" w:type="dxa"/>
                  <w:vAlign w:val="center"/>
                  <w:textDirection w:val="lrTb"/>
                  <w:noWrap w:val="false"/>
                </w:tcPr>
                <w:p>
                  <w:pPr>
                    <w:ind w:left="113" w:right="103" w:firstLine="1"/>
                    <w:spacing w:before="41"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a)串口数量不少于1个，并可实现</w:t>
                  </w:r>
                  <w:r>
                    <w:rPr>
                      <w:rFonts w:hint="eastAsia" w:ascii="宋体" w:hAnsi="宋体" w:eastAsia="宋体" w:cs="宋体"/>
                      <w:i/>
                      <w:iCs/>
                      <w:color w:val="auto"/>
                      <w:spacing w:val="-2"/>
                      <w:sz w:val="24"/>
                      <w:szCs w:val="24"/>
                      <w:highlight w:val="none"/>
                      <w:u w:val="single"/>
                      <w:lang w:eastAsia="en-US"/>
                    </w:rPr>
                    <w:t xml:space="preserve">GB/T 6107或GB/T 26803.2的相关</w:t>
                  </w:r>
                  <w:r>
                    <w:rPr>
                      <w:rFonts w:hint="eastAsia" w:ascii="宋体" w:hAnsi="宋体" w:eastAsia="宋体" w:cs="宋体"/>
                      <w:i/>
                      <w:iCs/>
                      <w:color w:val="auto"/>
                      <w:spacing w:val="-3"/>
                      <w:sz w:val="24"/>
                      <w:szCs w:val="24"/>
                      <w:highlight w:val="none"/>
                      <w:u w:val="single"/>
                      <w:lang w:eastAsia="en-US"/>
                    </w:rPr>
                    <w:t xml:space="preserve">功能；</w:t>
                  </w:r>
                  <w:r/>
                </w:p>
                <w:p>
                  <w:pPr>
                    <w:ind w:left="114" w:right="168"/>
                    <w:spacing w:before="5"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服务器主机前面板可根据用户</w:t>
                  </w:r>
                  <w:r>
                    <w:rPr>
                      <w:rFonts w:hint="eastAsia" w:ascii="宋体" w:hAnsi="宋体" w:eastAsia="宋体" w:cs="宋体"/>
                      <w:i/>
                      <w:iCs/>
                      <w:color w:val="auto"/>
                      <w:spacing w:val="-4"/>
                      <w:sz w:val="24"/>
                      <w:szCs w:val="24"/>
                      <w:highlight w:val="none"/>
                      <w:u w:val="single"/>
                      <w:lang w:eastAsia="en-US"/>
                    </w:rPr>
                    <w:t xml:space="preserve">实际使用需求预留1个专用USB母</w:t>
                  </w:r>
                  <w:r>
                    <w:rPr>
                      <w:rFonts w:hint="eastAsia" w:ascii="宋体" w:hAnsi="宋体" w:eastAsia="宋体" w:cs="宋体"/>
                      <w:i/>
                      <w:iCs/>
                      <w:color w:val="auto"/>
                      <w:spacing w:val="-2"/>
                      <w:sz w:val="24"/>
                      <w:szCs w:val="24"/>
                      <w:highlight w:val="none"/>
                      <w:u w:val="single"/>
                      <w:lang w:eastAsia="en-US"/>
                    </w:rPr>
                    <w:t xml:space="preserve">座接口孔位</w:t>
                  </w:r>
                  <w:r/>
                </w:p>
              </w:tc>
            </w:tr>
            <w:tr>
              <w:trPr>
                <w:jc w:val="center"/>
                <w:trHeight w:val="347"/>
              </w:trPr>
              <w:tc>
                <w:tcPr>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31</w:t>
                  </w:r>
                  <w:r/>
                </w:p>
              </w:tc>
              <w:tc>
                <w:tcPr>
                  <w:tcBorders>
                    <w:bottom w:val="none" w:color="000000" w:sz="4" w:space="0"/>
                  </w:tcBorders>
                  <w:tcW w:w="1314" w:type="dxa"/>
                  <w:vAlign w:val="center"/>
                  <w:vMerge w:val="restart"/>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电源</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电源冗余模式</w:t>
                  </w:r>
                  <w:r/>
                </w:p>
              </w:tc>
              <w:tc>
                <w:tcPr>
                  <w:tcW w:w="4915" w:type="dxa"/>
                  <w:vAlign w:val="center"/>
                  <w:textDirection w:val="lrTb"/>
                  <w:noWrap w:val="false"/>
                </w:tcPr>
                <w:p>
                  <w:pPr>
                    <w:ind w:left="115" w:right="168" w:hanging="3"/>
                    <w:spacing w:before="58"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整机电源模块按1+1冗余或N+1冗</w:t>
                  </w:r>
                  <w:r>
                    <w:rPr>
                      <w:rFonts w:hint="eastAsia" w:ascii="宋体" w:hAnsi="宋体" w:eastAsia="宋体" w:cs="宋体"/>
                      <w:i/>
                      <w:iCs/>
                      <w:color w:val="auto"/>
                      <w:spacing w:val="-4"/>
                      <w:sz w:val="24"/>
                      <w:szCs w:val="24"/>
                      <w:highlight w:val="none"/>
                      <w:u w:val="single"/>
                      <w:lang w:eastAsia="en-US"/>
                    </w:rPr>
                    <w:t xml:space="preserve">余配置</w:t>
                  </w:r>
                  <w:r/>
                </w:p>
              </w:tc>
            </w:tr>
            <w:tr>
              <w:trPr>
                <w:jc w:val="center"/>
                <w:trHeight w:val="90"/>
              </w:trPr>
              <w:tc>
                <w:tcPr>
                  <w:tcW w:w="719" w:type="dxa"/>
                  <w:vAlign w:val="center"/>
                  <w:textDirection w:val="lrTb"/>
                  <w:noWrap w:val="false"/>
                </w:tcPr>
                <w:p>
                  <w:pPr>
                    <w:ind w:left="247"/>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32</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电源模块数量</w:t>
                  </w:r>
                  <w:r/>
                </w:p>
              </w:tc>
              <w:tc>
                <w:tcPr>
                  <w:tcW w:w="4915" w:type="dxa"/>
                  <w:vAlign w:val="center"/>
                  <w:textDirection w:val="lrTb"/>
                  <w:noWrap w:val="false"/>
                </w:tcPr>
                <w:p>
                  <w:pPr>
                    <w:spacing w:line="341"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8"/>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pacing w:val="-13"/>
                      <w:sz w:val="24"/>
                      <w:szCs w:val="24"/>
                      <w:highlight w:val="none"/>
                      <w:u w:val="single"/>
                      <w:lang w:eastAsia="en-US"/>
                    </w:rPr>
                    <w:t xml:space="preserve">≥</w:t>
                  </w:r>
                  <w:r>
                    <w:rPr>
                      <w:rFonts w:hint="eastAsia" w:ascii="宋体" w:hAnsi="宋体" w:eastAsia="宋体" w:cs="宋体"/>
                      <w:i/>
                      <w:iCs/>
                      <w:color w:val="auto"/>
                      <w:spacing w:val="-13"/>
                      <w:sz w:val="24"/>
                      <w:szCs w:val="24"/>
                      <w:highlight w:val="none"/>
                      <w:u w:val="single"/>
                      <w:lang w:val="en-US" w:eastAsia="zh-CN"/>
                    </w:rPr>
                    <w:t xml:space="preserve">2</w:t>
                  </w:r>
                  <w:r/>
                </w:p>
              </w:tc>
            </w:tr>
            <w:tr>
              <w:trPr>
                <w:jc w:val="center"/>
                <w:trHeight w:val="169"/>
              </w:trPr>
              <w:tc>
                <w:tcPr>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电源功率</w:t>
                  </w:r>
                  <w:r/>
                </w:p>
              </w:tc>
              <w:tc>
                <w:tcPr>
                  <w:tcW w:w="4915" w:type="dxa"/>
                  <w:vAlign w:val="center"/>
                  <w:textDirection w:val="lrTb"/>
                  <w:noWrap w:val="false"/>
                </w:tcPr>
                <w:p>
                  <w:pPr>
                    <w:ind w:right="168"/>
                    <w:spacing w:before="58"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电源模块功率应有一定冗余，满足</w:t>
                  </w:r>
                  <w:r>
                    <w:rPr>
                      <w:rFonts w:hint="eastAsia" w:ascii="宋体" w:hAnsi="宋体" w:eastAsia="宋体" w:cs="宋体"/>
                      <w:i/>
                      <w:iCs/>
                      <w:color w:val="auto"/>
                      <w:spacing w:val="-1"/>
                      <w:sz w:val="24"/>
                      <w:szCs w:val="24"/>
                      <w:highlight w:val="none"/>
                      <w:u w:val="single"/>
                      <w:lang w:eastAsia="en-US"/>
                    </w:rPr>
                    <w:t xml:space="preserve">处理器满载时的需求</w:t>
                  </w:r>
                  <w:r/>
                </w:p>
              </w:tc>
            </w:tr>
            <w:tr>
              <w:trPr>
                <w:jc w:val="center"/>
                <w:trHeight w:val="725"/>
              </w:trPr>
              <w:tc>
                <w:tcPr>
                  <w:tcW w:w="719" w:type="dxa"/>
                  <w:vAlign w:val="center"/>
                  <w:textDirection w:val="lrTb"/>
                  <w:noWrap w:val="false"/>
                </w:tcPr>
                <w:p>
                  <w:pPr>
                    <w:ind w:left="247"/>
                    <w:spacing w:before="274"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34</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电源指示灯</w:t>
                  </w:r>
                  <w:r/>
                </w:p>
              </w:tc>
              <w:tc>
                <w:tcPr>
                  <w:tcW w:w="4915" w:type="dxa"/>
                  <w:vAlign w:val="center"/>
                  <w:textDirection w:val="lrTb"/>
                  <w:noWrap w:val="false"/>
                </w:tcPr>
                <w:p>
                  <w:pPr>
                    <w:ind w:left="116" w:right="168" w:hanging="2"/>
                    <w:spacing w:before="161"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配备电源指示灯，指示待机、工作</w:t>
                  </w:r>
                  <w:r>
                    <w:rPr>
                      <w:rFonts w:hint="eastAsia" w:ascii="宋体" w:hAnsi="宋体" w:eastAsia="宋体" w:cs="宋体"/>
                      <w:i/>
                      <w:iCs/>
                      <w:color w:val="auto"/>
                      <w:spacing w:val="-3"/>
                      <w:sz w:val="24"/>
                      <w:szCs w:val="24"/>
                      <w:highlight w:val="none"/>
                      <w:u w:val="single"/>
                      <w:lang w:eastAsia="en-US"/>
                    </w:rPr>
                    <w:t xml:space="preserve">异常等状态</w:t>
                  </w:r>
                  <w:r/>
                </w:p>
              </w:tc>
            </w:tr>
            <w:tr>
              <w:trPr>
                <w:jc w:val="center"/>
                <w:trHeight w:val="4571"/>
              </w:trPr>
              <w:tc>
                <w:tcPr>
                  <w:tcW w:w="719" w:type="dxa"/>
                  <w:vAlign w:val="center"/>
                  <w:textDirection w:val="lrTb"/>
                  <w:noWrap w:val="false"/>
                </w:tcPr>
                <w:p>
                  <w:pPr>
                    <w:jc w:val="center"/>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35</w:t>
                  </w:r>
                  <w:r/>
                </w:p>
              </w:tc>
              <w:tc>
                <w:tcPr>
                  <w:tcW w:w="1314" w:type="dxa"/>
                  <w:vAlign w:val="center"/>
                  <w:textDirection w:val="lrTb"/>
                  <w:noWrap w:val="false"/>
                </w:tcPr>
                <w:p>
                  <w:pPr>
                    <w:ind w:right="141"/>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rPr>
                      <w:rFonts w:hint="eastAsia" w:ascii="宋体" w:hAnsi="宋体" w:eastAsia="宋体" w:cs="宋体"/>
                      <w:color w:val="auto"/>
                      <w:spacing w:val="-3"/>
                      <w:sz w:val="24"/>
                      <w:szCs w:val="24"/>
                      <w:highlight w:val="none"/>
                      <w:lang w:eastAsia="en-US"/>
                    </w:rPr>
                    <w:t xml:space="preserve">规格</w:t>
                  </w:r>
                  <w:r/>
                </w:p>
              </w:tc>
              <w:tc>
                <w:tcPr>
                  <w:tcW w:w="1200" w:type="dxa"/>
                  <w:vAlign w:val="center"/>
                  <w:textDirection w:val="lrTb"/>
                  <w:noWrap w:val="false"/>
                </w:tcPr>
                <w:p>
                  <w:pPr>
                    <w:ind w:right="123"/>
                    <w:jc w:val="center"/>
                    <w:spacing w:before="58" w:line="250"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外观和结构</w:t>
                  </w:r>
                  <w:r/>
                </w:p>
              </w:tc>
              <w:tc>
                <w:tcPr>
                  <w:tcW w:w="4915" w:type="dxa"/>
                  <w:vAlign w:val="center"/>
                  <w:textDirection w:val="lrTb"/>
                  <w:noWrap w:val="false"/>
                </w:tcPr>
                <w:p>
                  <w:pPr>
                    <w:ind w:left="112" w:right="168" w:firstLine="2"/>
                    <w:spacing w:before="40"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a)服务器的零部件应紧固无松动，可插拔部件应可靠连接，开关、按钮和其它控制部件应灵活可靠，布局应方便使用；</w:t>
                  </w:r>
                  <w:r/>
                </w:p>
                <w:p>
                  <w:pPr>
                    <w:ind w:left="112" w:right="103" w:firstLine="2"/>
                    <w:spacing w:before="5"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b) 产品表面不应有明显的凹痕、划</w:t>
                  </w:r>
                  <w:r>
                    <w:rPr>
                      <w:rFonts w:hint="eastAsia" w:ascii="宋体" w:hAnsi="宋体" w:eastAsia="宋体" w:cs="宋体"/>
                      <w:i/>
                      <w:iCs/>
                      <w:color w:val="auto"/>
                      <w:spacing w:val="-1"/>
                      <w:sz w:val="24"/>
                      <w:szCs w:val="24"/>
                      <w:highlight w:val="none"/>
                      <w:u w:val="single"/>
                      <w:lang w:eastAsia="en-US"/>
                    </w:rPr>
                    <w:t xml:space="preserve">伤、裂缝、变形和污染等。表面涂层均匀，不应起泡、龟裂、脱落和磨损，金属零部件无锈蚀及其它机</w:t>
                  </w:r>
                  <w:r>
                    <w:rPr>
                      <w:rFonts w:hint="eastAsia" w:ascii="宋体" w:hAnsi="宋体" w:eastAsia="宋体" w:cs="宋体"/>
                      <w:i/>
                      <w:iCs/>
                      <w:color w:val="auto"/>
                      <w:spacing w:val="-2"/>
                      <w:sz w:val="24"/>
                      <w:szCs w:val="24"/>
                      <w:highlight w:val="none"/>
                      <w:u w:val="single"/>
                      <w:lang w:eastAsia="en-US"/>
                    </w:rPr>
                    <w:t xml:space="preserve">械损伤；</w:t>
                  </w:r>
                  <w:r/>
                </w:p>
                <w:p>
                  <w:pPr>
                    <w:ind w:left="114" w:right="103" w:hanging="1"/>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c) 产品表面说明功能的文字、符号</w:t>
                  </w:r>
                  <w:r>
                    <w:rPr>
                      <w:rFonts w:hint="eastAsia" w:ascii="宋体" w:hAnsi="宋体" w:eastAsia="宋体" w:cs="宋体"/>
                      <w:i/>
                      <w:iCs/>
                      <w:color w:val="auto"/>
                      <w:spacing w:val="-1"/>
                      <w:sz w:val="24"/>
                      <w:szCs w:val="24"/>
                      <w:highlight w:val="none"/>
                      <w:u w:val="single"/>
                      <w:lang w:eastAsia="en-US"/>
                    </w:rPr>
                    <w:t xml:space="preserve">和标志应清晰、端正且牢固；</w:t>
                  </w:r>
                  <w:r/>
                </w:p>
                <w:p>
                  <w:pPr>
                    <w:ind w:left="113" w:right="168"/>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 应在服务器的显著位置提供运行状态的指示功能，并在随机文件中明确具体含义；</w:t>
                  </w:r>
                  <w:r/>
                </w:p>
                <w:p>
                  <w:pPr>
                    <w:ind w:left="110" w:right="57" w:firstLine="3"/>
                    <w:spacing w:before="6"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e) 机架、机箱的尺寸应符合通用机</w:t>
                  </w:r>
                  <w:r>
                    <w:rPr>
                      <w:rFonts w:hint="eastAsia" w:ascii="宋体" w:hAnsi="宋体" w:eastAsia="宋体" w:cs="宋体"/>
                      <w:i/>
                      <w:iCs/>
                      <w:color w:val="auto"/>
                      <w:spacing w:val="-1"/>
                      <w:sz w:val="24"/>
                      <w:szCs w:val="24"/>
                      <w:highlight w:val="none"/>
                      <w:u w:val="single"/>
                      <w:lang w:eastAsia="en-US"/>
                    </w:rPr>
                    <w:t xml:space="preserve">柜的安装要求，插入总线插座的电路板接口外形尺寸应符合有关总线</w:t>
                  </w:r>
                  <w:r>
                    <w:rPr>
                      <w:rFonts w:hint="eastAsia" w:ascii="宋体" w:hAnsi="宋体" w:eastAsia="宋体" w:cs="宋体"/>
                      <w:i/>
                      <w:iCs/>
                      <w:color w:val="auto"/>
                      <w:spacing w:val="-5"/>
                      <w:sz w:val="24"/>
                      <w:szCs w:val="24"/>
                      <w:highlight w:val="none"/>
                      <w:u w:val="single"/>
                      <w:lang w:eastAsia="en-US"/>
                    </w:rPr>
                    <w:t xml:space="preserve">标准的规定，将机箱固定在机柜上，</w:t>
                  </w:r>
                  <w:r>
                    <w:rPr>
                      <w:rFonts w:hint="eastAsia" w:ascii="宋体" w:hAnsi="宋体" w:eastAsia="宋体" w:cs="宋体"/>
                      <w:i/>
                      <w:iCs/>
                      <w:color w:val="auto"/>
                      <w:spacing w:val="-1"/>
                      <w:sz w:val="24"/>
                      <w:szCs w:val="24"/>
                      <w:highlight w:val="none"/>
                      <w:u w:val="single"/>
                      <w:lang w:eastAsia="en-US"/>
                    </w:rPr>
                    <w:t xml:space="preserve">机箱底面最大下垂变形不得干涉相邻机体；</w:t>
                  </w:r>
                  <w:r/>
                </w:p>
                <w:p>
                  <w:pPr>
                    <w:ind w:left="110" w:right="57" w:firstLine="3"/>
                    <w:spacing w:before="6" w:line="245" w:lineRule="auto"/>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rPr>
                    <w:t xml:space="preserve">f) 高密度服务器应给出 CPU 个数与</w:t>
                  </w:r>
                  <w:r>
                    <w:rPr>
                      <w:rFonts w:hint="eastAsia" w:ascii="宋体" w:hAnsi="宋体" w:eastAsia="宋体" w:cs="宋体"/>
                      <w:i/>
                      <w:iCs/>
                      <w:color w:val="auto"/>
                      <w:spacing w:val="-2"/>
                      <w:sz w:val="24"/>
                      <w:szCs w:val="24"/>
                      <w:highlight w:val="none"/>
                      <w:u w:val="single"/>
                      <w:lang w:eastAsia="en-US"/>
                    </w:rPr>
                    <w:t xml:space="preserve">机柜高度；</w:t>
                  </w:r>
                  <w:r/>
                </w:p>
                <w:p>
                  <w:pPr>
                    <w:ind w:left="110" w:right="57" w:firstLine="3"/>
                    <w:spacing w:before="6" w:line="245" w:lineRule="auto"/>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g) 服务器尺寸具体要求在随机文件中明确</w:t>
                  </w:r>
                  <w:r/>
                </w:p>
                <w:p>
                  <w:pPr>
                    <w:spacing w:before="5" w:line="200" w:lineRule="auto"/>
                    <w:rPr>
                      <w:rFonts w:hint="default" w:ascii="宋体" w:hAnsi="宋体" w:eastAsia="宋体" w:cs="宋体"/>
                      <w:i/>
                      <w:iCs/>
                      <w:color w:val="auto"/>
                      <w:sz w:val="24"/>
                      <w:szCs w:val="24"/>
                      <w:highlight w:val="none"/>
                      <w:u w:val="single"/>
                      <w:lang w:eastAsia="en-US"/>
                    </w:rPr>
                  </w:pPr>
                  <w:r>
                    <w:rPr>
                      <w:rFonts w:hint="default" w:ascii="宋体" w:hAnsi="宋体" w:eastAsia="宋体" w:cs="宋体"/>
                      <w:i/>
                      <w:iCs/>
                      <w:color w:val="auto"/>
                      <w:sz w:val="24"/>
                      <w:szCs w:val="24"/>
                      <w:highlight w:val="none"/>
                      <w:u w:val="single"/>
                      <w:lang w:eastAsia="en-US"/>
                    </w:rPr>
                  </w:r>
                  <w:r/>
                </w:p>
              </w:tc>
            </w:tr>
            <w:tr>
              <w:trPr>
                <w:jc w:val="center"/>
                <w:trHeight w:val="964"/>
              </w:trPr>
              <w:tc>
                <w:tcPr>
                  <w:tcW w:w="719" w:type="dxa"/>
                  <w:vAlign w:val="center"/>
                  <w:textDirection w:val="lrTb"/>
                  <w:noWrap w:val="false"/>
                </w:tcPr>
                <w:p>
                  <w:pPr>
                    <w:ind w:left="247"/>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36</w:t>
                  </w:r>
                  <w:r/>
                </w:p>
              </w:tc>
              <w:tc>
                <w:tcPr>
                  <w:tcBorders>
                    <w:top w:val="none" w:color="000000" w:sz="4" w:space="0"/>
                  </w:tcBorders>
                  <w:tcW w:w="1314"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尺寸（高×宽×深）</w:t>
                  </w:r>
                  <w:r/>
                </w:p>
              </w:tc>
              <w:tc>
                <w:tcPr>
                  <w:tcW w:w="4915" w:type="dxa"/>
                  <w:vAlign w:val="center"/>
                  <w:textDirection w:val="lrTb"/>
                  <w:noWrap w:val="false"/>
                </w:tcPr>
                <w:p>
                  <w:pPr>
                    <w:ind w:left="110" w:right="57" w:firstLine="3"/>
                    <w:spacing w:before="6" w:line="245" w:lineRule="auto"/>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2U标准尺寸</w:t>
                  </w:r>
                  <w:r/>
                </w:p>
                <w:p>
                  <w:pPr>
                    <w:ind w:left="110" w:right="57" w:firstLine="3"/>
                    <w:spacing w:before="6"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设计应遵循标准化、系列化的要求；机箱的内部结构符合通用部件的安</w:t>
                  </w:r>
                  <w:r>
                    <w:rPr>
                      <w:rFonts w:hint="eastAsia" w:ascii="宋体" w:hAnsi="宋体" w:eastAsia="宋体" w:cs="宋体"/>
                      <w:i/>
                      <w:iCs/>
                      <w:color w:val="auto"/>
                      <w:spacing w:val="-2"/>
                      <w:sz w:val="24"/>
                      <w:szCs w:val="24"/>
                      <w:highlight w:val="none"/>
                      <w:u w:val="single"/>
                      <w:lang w:eastAsia="en-US"/>
                    </w:rPr>
                    <w:t xml:space="preserve">装需要</w:t>
                  </w:r>
                  <w:r/>
                </w:p>
              </w:tc>
            </w:tr>
            <w:tr>
              <w:trPr>
                <w:jc w:val="center"/>
                <w:trHeight w:val="485"/>
              </w:trPr>
              <w:tc>
                <w:tcPr>
                  <w:tcW w:w="719" w:type="dxa"/>
                  <w:vAlign w:val="center"/>
                  <w:textDirection w:val="lrTb"/>
                  <w:noWrap w:val="false"/>
                </w:tcPr>
                <w:p>
                  <w:pPr>
                    <w:ind w:left="247"/>
                    <w:spacing w:before="15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37</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服务器导轨</w:t>
                  </w:r>
                  <w:r/>
                </w:p>
              </w:tc>
              <w:tc>
                <w:tcPr>
                  <w:tcW w:w="4915" w:type="dxa"/>
                  <w:vAlign w:val="center"/>
                  <w:textDirection w:val="lrTb"/>
                  <w:noWrap w:val="false"/>
                </w:tcPr>
                <w:p>
                  <w:pPr>
                    <w:ind w:left="113" w:right="168"/>
                    <w:spacing w:before="4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19英寸标准，</w:t>
                  </w:r>
                  <w:r>
                    <w:rPr>
                      <w:rFonts w:hint="eastAsia" w:ascii="宋体" w:hAnsi="宋体" w:eastAsia="宋体" w:cs="宋体"/>
                      <w:i/>
                      <w:iCs/>
                      <w:color w:val="auto"/>
                      <w:spacing w:val="-1"/>
                      <w:sz w:val="24"/>
                      <w:szCs w:val="24"/>
                      <w:highlight w:val="none"/>
                      <w:u w:val="single"/>
                    </w:rPr>
                    <w:t xml:space="preserve">L型固定支架安装</w:t>
                  </w:r>
                  <w:r/>
                </w:p>
              </w:tc>
            </w:tr>
            <w:tr>
              <w:trPr>
                <w:jc w:val="center"/>
                <w:trHeight w:val="964"/>
              </w:trPr>
              <w:tc>
                <w:tcPr>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38</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个数与机柜高度单位(U)比</w:t>
                  </w:r>
                  <w:r/>
                </w:p>
              </w:tc>
              <w:tc>
                <w:tcPr>
                  <w:tcW w:w="4915" w:type="dxa"/>
                  <w:vAlign w:val="center"/>
                  <w:textDirection w:val="lrTb"/>
                  <w:noWrap w:val="false"/>
                </w:tcPr>
                <w:p>
                  <w:pPr>
                    <w:spacing w:line="339"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3"/>
                    <w:spacing w:before="59" w:line="222" w:lineRule="auto"/>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1*</w:t>
                  </w:r>
                  <w:r>
                    <w:rPr>
                      <w:rFonts w:hint="eastAsia" w:ascii="宋体" w:hAnsi="宋体" w:eastAsia="宋体" w:cs="宋体"/>
                      <w:i/>
                      <w:iCs/>
                      <w:color w:val="auto"/>
                      <w:sz w:val="24"/>
                      <w:szCs w:val="24"/>
                      <w:highlight w:val="none"/>
                      <w:u w:val="single"/>
                      <w:lang w:eastAsia="en-US"/>
                    </w:rPr>
                    <w:t xml:space="preserve">CPU</w:t>
                  </w:r>
                  <w:r>
                    <w:rPr>
                      <w:rFonts w:hint="eastAsia" w:ascii="宋体" w:hAnsi="宋体" w:eastAsia="宋体" w:cs="宋体"/>
                      <w:i/>
                      <w:iCs/>
                      <w:color w:val="auto"/>
                      <w:spacing w:val="2"/>
                      <w:sz w:val="24"/>
                      <w:szCs w:val="24"/>
                      <w:highlight w:val="none"/>
                      <w:u w:val="single"/>
                      <w:lang w:eastAsia="en-US"/>
                    </w:rPr>
                    <w:t xml:space="preserve">个数与机柜高度</w:t>
                  </w:r>
                  <w:r>
                    <w:rPr>
                      <w:rFonts w:hint="eastAsia" w:ascii="宋体" w:hAnsi="宋体" w:eastAsia="宋体" w:cs="宋体"/>
                      <w:i/>
                      <w:iCs/>
                      <w:color w:val="auto"/>
                      <w:spacing w:val="2"/>
                      <w:sz w:val="24"/>
                      <w:szCs w:val="24"/>
                      <w:highlight w:val="none"/>
                      <w:u w:val="single"/>
                    </w:rPr>
                    <w:t xml:space="preserve">（42U）</w:t>
                  </w:r>
                  <w:r/>
                </w:p>
              </w:tc>
            </w:tr>
            <w:tr>
              <w:trPr>
                <w:jc w:val="center"/>
                <w:trHeight w:val="1444"/>
              </w:trPr>
              <w:tc>
                <w:tcPr>
                  <w:tcW w:w="719" w:type="dxa"/>
                  <w:vAlign w:val="center"/>
                  <w:textDirection w:val="lrTb"/>
                  <w:noWrap w:val="false"/>
                </w:tcPr>
                <w:p>
                  <w:pPr>
                    <w:ind w:left="247"/>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39</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left="110" w:right="123" w:hanging="3"/>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环境适应性</w:t>
                  </w:r>
                  <w:r/>
                </w:p>
              </w:tc>
              <w:tc>
                <w:tcPr>
                  <w:tcW w:w="4915" w:type="dxa"/>
                  <w:vAlign w:val="center"/>
                  <w:textDirection w:val="lrTb"/>
                  <w:noWrap w:val="false"/>
                </w:tcPr>
                <w:p>
                  <w:pPr>
                    <w:ind w:left="117"/>
                    <w:spacing w:before="40"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气候环境适应性应符合</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2"/>
                      <w:sz w:val="24"/>
                      <w:szCs w:val="24"/>
                      <w:highlight w:val="none"/>
                      <w:u w:val="single"/>
                      <w:lang w:eastAsia="en-US"/>
                    </w:rPr>
                    <w:t xml:space="preserve">/T</w:t>
                  </w:r>
                  <w:r/>
                </w:p>
                <w:p>
                  <w:pPr>
                    <w:ind w:left="110" w:right="103" w:hanging="2"/>
                    <w:spacing w:before="26"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9813.3的有关规定，工作温度10~</w:t>
                  </w:r>
                  <w:r>
                    <w:rPr>
                      <w:rFonts w:hint="eastAsia" w:ascii="宋体" w:hAnsi="宋体" w:eastAsia="宋体" w:cs="宋体"/>
                      <w:i/>
                      <w:iCs/>
                      <w:color w:val="auto"/>
                      <w:spacing w:val="-5"/>
                      <w:sz w:val="24"/>
                      <w:szCs w:val="24"/>
                      <w:highlight w:val="none"/>
                      <w:u w:val="single"/>
                      <w:lang w:eastAsia="en-US"/>
                    </w:rPr>
                    <w:t xml:space="preserve">35℃,贮存运输温度-40～55℃；工</w:t>
                  </w:r>
                  <w:r>
                    <w:rPr>
                      <w:rFonts w:hint="eastAsia" w:ascii="宋体" w:hAnsi="宋体" w:eastAsia="宋体" w:cs="宋体"/>
                      <w:i/>
                      <w:iCs/>
                      <w:color w:val="auto"/>
                      <w:spacing w:val="2"/>
                      <w:sz w:val="24"/>
                      <w:szCs w:val="24"/>
                      <w:highlight w:val="none"/>
                      <w:u w:val="single"/>
                      <w:lang w:eastAsia="en-US"/>
                    </w:rPr>
                    <w:t xml:space="preserve">作相对湿度35%～80%，贮存运输相</w:t>
                  </w:r>
                  <w:r>
                    <w:rPr>
                      <w:rFonts w:hint="eastAsia" w:ascii="宋体" w:hAnsi="宋体" w:eastAsia="宋体" w:cs="宋体"/>
                      <w:i/>
                      <w:iCs/>
                      <w:color w:val="auto"/>
                      <w:spacing w:val="-4"/>
                      <w:sz w:val="24"/>
                      <w:szCs w:val="24"/>
                      <w:highlight w:val="none"/>
                      <w:u w:val="single"/>
                      <w:lang w:eastAsia="en-US"/>
                    </w:rPr>
                    <w:t xml:space="preserve">对湿度20％～93%（40℃) ；大气压</w:t>
                  </w:r>
                  <w:r>
                    <w:rPr>
                      <w:rFonts w:hint="eastAsia" w:ascii="宋体" w:hAnsi="宋体" w:eastAsia="宋体" w:cs="宋体"/>
                      <w:i/>
                      <w:iCs/>
                      <w:color w:val="auto"/>
                      <w:spacing w:val="-1"/>
                      <w:sz w:val="24"/>
                      <w:szCs w:val="24"/>
                      <w:highlight w:val="none"/>
                      <w:u w:val="single"/>
                      <w:lang w:eastAsia="en-US"/>
                    </w:rPr>
                    <w:t xml:space="preserve">86～106kPa</w:t>
                  </w:r>
                  <w:r/>
                </w:p>
              </w:tc>
            </w:tr>
            <w:tr>
              <w:trPr>
                <w:jc w:val="center"/>
                <w:trHeight w:val="965"/>
              </w:trPr>
              <w:tc>
                <w:tcPr>
                  <w:tcW w:w="719" w:type="dxa"/>
                  <w:vAlign w:val="center"/>
                  <w:textDirection w:val="lrTb"/>
                  <w:noWrap w:val="false"/>
                </w:tcPr>
                <w:p>
                  <w:pPr>
                    <w:ind w:left="242"/>
                    <w:spacing w:before="5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40</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特殊机型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环境适应性</w:t>
                  </w:r>
                  <w:r/>
                </w:p>
              </w:tc>
              <w:tc>
                <w:tcPr>
                  <w:tcW w:w="4915" w:type="dxa"/>
                  <w:vAlign w:val="center"/>
                  <w:textDirection w:val="lrTb"/>
                  <w:noWrap w:val="false"/>
                </w:tcPr>
                <w:p>
                  <w:pPr>
                    <w:ind w:left="113" w:right="103"/>
                    <w:spacing w:before="42"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边缘应用服务器，工作环境温度宜</w:t>
                  </w:r>
                  <w:r>
                    <w:rPr>
                      <w:rFonts w:hint="eastAsia" w:ascii="宋体" w:hAnsi="宋体" w:eastAsia="宋体" w:cs="宋体"/>
                      <w:i/>
                      <w:iCs/>
                      <w:color w:val="auto"/>
                      <w:spacing w:val="-5"/>
                      <w:sz w:val="24"/>
                      <w:szCs w:val="24"/>
                      <w:highlight w:val="none"/>
                      <w:u w:val="single"/>
                      <w:lang w:eastAsia="en-US"/>
                    </w:rPr>
                    <w:t xml:space="preserve">为0～45℃,短期工作可承受环境温度宜为-5～55℃,液冷服务器贮存</w:t>
                  </w:r>
                  <w:r>
                    <w:rPr>
                      <w:rFonts w:hint="eastAsia" w:ascii="宋体" w:hAnsi="宋体" w:eastAsia="宋体" w:cs="宋体"/>
                      <w:i/>
                      <w:iCs/>
                      <w:color w:val="auto"/>
                      <w:spacing w:val="-1"/>
                      <w:sz w:val="24"/>
                      <w:szCs w:val="24"/>
                      <w:highlight w:val="none"/>
                      <w:u w:val="single"/>
                      <w:lang w:eastAsia="en-US"/>
                    </w:rPr>
                    <w:t xml:space="preserve">运输温度宜为-30～55℃</w:t>
                  </w:r>
                  <w:r/>
                </w:p>
              </w:tc>
            </w:tr>
            <w:tr>
              <w:trPr>
                <w:jc w:val="center"/>
                <w:trHeight w:val="485"/>
              </w:trPr>
              <w:tc>
                <w:tcPr>
                  <w:tcW w:w="719" w:type="dxa"/>
                  <w:vAlign w:val="center"/>
                  <w:textDirection w:val="lrTb"/>
                  <w:noWrap w:val="false"/>
                </w:tcPr>
                <w:p>
                  <w:pPr>
                    <w:ind w:left="242"/>
                    <w:spacing w:before="15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41</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机械环境适应性</w:t>
                  </w:r>
                  <w:r/>
                </w:p>
              </w:tc>
              <w:tc>
                <w:tcPr>
                  <w:tcW w:w="4915" w:type="dxa"/>
                  <w:vAlign w:val="center"/>
                  <w:textDirection w:val="lrTb"/>
                  <w:noWrap w:val="false"/>
                </w:tcPr>
                <w:p>
                  <w:pPr>
                    <w:ind w:left="108" w:right="666" w:firstLine="3"/>
                    <w:spacing w:before="4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机械环境适应性应符合</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3"/>
                      <w:sz w:val="24"/>
                      <w:szCs w:val="24"/>
                      <w:highlight w:val="none"/>
                      <w:u w:val="single"/>
                      <w:lang w:eastAsia="en-US"/>
                    </w:rPr>
                    <w:t xml:space="preserve">/T</w:t>
                  </w:r>
                  <w:r>
                    <w:rPr>
                      <w:rFonts w:hint="eastAsia" w:ascii="宋体" w:hAnsi="宋体" w:eastAsia="宋体" w:cs="宋体"/>
                      <w:i/>
                      <w:iCs/>
                      <w:color w:val="auto"/>
                      <w:spacing w:val="-2"/>
                      <w:sz w:val="24"/>
                      <w:szCs w:val="24"/>
                      <w:highlight w:val="none"/>
                      <w:u w:val="single"/>
                      <w:lang w:eastAsia="en-US"/>
                    </w:rPr>
                    <w:t xml:space="preserve">9813.3的有关规定</w:t>
                  </w:r>
                  <w:r/>
                </w:p>
              </w:tc>
            </w:tr>
            <w:tr>
              <w:trPr>
                <w:jc w:val="center"/>
                <w:trHeight w:val="965"/>
              </w:trPr>
              <w:tc>
                <w:tcPr>
                  <w:tcW w:w="719" w:type="dxa"/>
                  <w:vAlign w:val="center"/>
                  <w:textDirection w:val="lrTb"/>
                  <w:noWrap w:val="false"/>
                </w:tcPr>
                <w:p>
                  <w:pPr>
                    <w:jc w:val="center"/>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42</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噪声</w:t>
                  </w:r>
                  <w:r/>
                </w:p>
              </w:tc>
              <w:tc>
                <w:tcPr>
                  <w:tcW w:w="4915" w:type="dxa"/>
                  <w:vAlign w:val="center"/>
                  <w:textDirection w:val="lrTb"/>
                  <w:noWrap w:val="false"/>
                </w:tcPr>
                <w:p>
                  <w:pPr>
                    <w:ind w:left="112" w:right="168"/>
                    <w:spacing w:before="41" w:line="24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符合GB/T 9813.3的有关规定，在</w:t>
                  </w:r>
                  <w:r>
                    <w:rPr>
                      <w:rFonts w:hint="eastAsia" w:ascii="宋体" w:hAnsi="宋体" w:eastAsia="宋体" w:cs="宋体"/>
                      <w:i/>
                      <w:iCs/>
                      <w:color w:val="auto"/>
                      <w:spacing w:val="-1"/>
                      <w:sz w:val="24"/>
                      <w:szCs w:val="24"/>
                      <w:highlight w:val="none"/>
                      <w:u w:val="single"/>
                      <w:lang w:eastAsia="en-US"/>
                    </w:rPr>
                    <w:t xml:space="preserve">产品说明中给出具体测试值</w:t>
                  </w:r>
                  <w:r/>
                </w:p>
                <w:p>
                  <w:pPr>
                    <w:ind w:left="114" w:right="168" w:hanging="1"/>
                    <w:spacing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塔式服务器噪声在空闲状态下不大</w:t>
                  </w:r>
                  <w:r>
                    <w:rPr>
                      <w:rFonts w:hint="eastAsia" w:ascii="宋体" w:hAnsi="宋体" w:eastAsia="宋体" w:cs="宋体"/>
                      <w:i/>
                      <w:iCs/>
                      <w:color w:val="auto"/>
                      <w:spacing w:val="-3"/>
                      <w:sz w:val="24"/>
                      <w:szCs w:val="24"/>
                      <w:highlight w:val="none"/>
                      <w:u w:val="single"/>
                      <w:lang w:eastAsia="en-US"/>
                    </w:rPr>
                    <w:t xml:space="preserve">于50dB</w:t>
                  </w:r>
                  <w:r/>
                </w:p>
              </w:tc>
            </w:tr>
            <w:tr>
              <w:trPr>
                <w:jc w:val="center"/>
                <w:trHeight w:val="2404"/>
              </w:trPr>
              <w:tc>
                <w:tcPr>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43</w:t>
                  </w:r>
                  <w:r/>
                </w:p>
              </w:tc>
              <w:tc>
                <w:tcPr>
                  <w:tcBorders>
                    <w:bottom w:val="none" w:color="000000" w:sz="4" w:space="0"/>
                  </w:tcBorders>
                  <w:tcW w:w="1314" w:type="dxa"/>
                  <w:vAlign w:val="center"/>
                  <w:vMerge w:val="restart"/>
                  <w:textDirection w:val="lrTb"/>
                  <w:noWrap w:val="false"/>
                </w:tcPr>
                <w:p>
                  <w:pPr>
                    <w:ind w:left="192"/>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AI计</w:t>
                  </w:r>
                  <w:r>
                    <w:rPr>
                      <w:rFonts w:hint="eastAsia" w:ascii="宋体" w:hAnsi="宋体" w:eastAsia="宋体" w:cs="宋体"/>
                      <w:color w:val="auto"/>
                      <w:spacing w:val="-4"/>
                      <w:sz w:val="24"/>
                      <w:szCs w:val="24"/>
                      <w:highlight w:val="none"/>
                      <w:lang w:eastAsia="en-US"/>
                    </w:rPr>
                    <w:t xml:space="preserve">算单</w:t>
                  </w:r>
                  <w:r>
                    <w:rPr>
                      <w:rFonts w:hint="eastAsia" w:ascii="宋体" w:hAnsi="宋体" w:eastAsia="宋体" w:cs="宋体"/>
                      <w:color w:val="auto"/>
                      <w:spacing w:val="-6"/>
                      <w:sz w:val="24"/>
                      <w:szCs w:val="24"/>
                      <w:highlight w:val="none"/>
                      <w:lang w:eastAsia="en-US"/>
                    </w:rPr>
                    <w:t xml:space="preserve">元规</w:t>
                  </w:r>
                  <w:r>
                    <w:rPr>
                      <w:rFonts w:hint="eastAsia" w:ascii="宋体" w:hAnsi="宋体" w:eastAsia="宋体" w:cs="宋体"/>
                      <w:color w:val="auto"/>
                      <w:sz w:val="24"/>
                      <w:szCs w:val="24"/>
                      <w:highlight w:val="none"/>
                      <w:lang w:eastAsia="en-US"/>
                    </w:rPr>
                    <w:t xml:space="preserve">格</w:t>
                  </w:r>
                  <w:r/>
                </w:p>
              </w:tc>
              <w:tc>
                <w:tcPr>
                  <w:tcW w:w="1200" w:type="dxa"/>
                  <w:vAlign w:val="center"/>
                  <w:textDirection w:val="lrTb"/>
                  <w:noWrap w:val="false"/>
                </w:tcPr>
                <w:p>
                  <w:pPr>
                    <w:ind w:right="168"/>
                    <w:jc w:val="center"/>
                    <w:spacing w:before="58"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AI 计算单元</w:t>
                  </w:r>
                  <w:r/>
                </w:p>
              </w:tc>
              <w:tc>
                <w:tcPr>
                  <w:tcW w:w="4915" w:type="dxa"/>
                  <w:vAlign w:val="center"/>
                  <w:textDirection w:val="lrTb"/>
                  <w:noWrap w:val="false"/>
                </w:tcPr>
                <w:p>
                  <w:pPr>
                    <w:ind w:left="114" w:right="259" w:hanging="1"/>
                    <w:spacing w:before="43" w:line="24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若配备</w:t>
                  </w:r>
                  <w:r>
                    <w:rPr>
                      <w:rFonts w:hint="eastAsia" w:ascii="宋体" w:hAnsi="宋体" w:eastAsia="宋体" w:cs="宋体"/>
                      <w:i/>
                      <w:iCs/>
                      <w:color w:val="auto"/>
                      <w:sz w:val="24"/>
                      <w:szCs w:val="24"/>
                      <w:highlight w:val="none"/>
                      <w:u w:val="single"/>
                      <w:lang w:eastAsia="en-US"/>
                    </w:rPr>
                    <w:t xml:space="preserve">AI</w:t>
                  </w:r>
                  <w:r>
                    <w:rPr>
                      <w:rFonts w:hint="eastAsia" w:ascii="宋体" w:hAnsi="宋体" w:eastAsia="宋体" w:cs="宋体"/>
                      <w:i/>
                      <w:iCs/>
                      <w:color w:val="auto"/>
                      <w:spacing w:val="6"/>
                      <w:sz w:val="24"/>
                      <w:szCs w:val="24"/>
                      <w:highlight w:val="none"/>
                      <w:u w:val="single"/>
                      <w:lang w:eastAsia="en-US"/>
                    </w:rPr>
                    <w:t xml:space="preserve">计算单元应符合如下要</w:t>
                  </w:r>
                  <w:r>
                    <w:rPr>
                      <w:rFonts w:hint="eastAsia" w:ascii="宋体" w:hAnsi="宋体" w:eastAsia="宋体" w:cs="宋体"/>
                      <w:i/>
                      <w:iCs/>
                      <w:color w:val="auto"/>
                      <w:spacing w:val="-5"/>
                      <w:sz w:val="24"/>
                      <w:szCs w:val="24"/>
                      <w:highlight w:val="none"/>
                      <w:u w:val="single"/>
                      <w:lang w:eastAsia="en-US"/>
                    </w:rPr>
                    <w:t xml:space="preserve">求：</w:t>
                  </w:r>
                  <w:r/>
                </w:p>
                <w:p>
                  <w:pPr>
                    <w:ind w:left="112" w:right="103" w:firstLine="2"/>
                    <w:spacing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具备人工智能加速处理器，计算</w:t>
                  </w:r>
                  <w:r>
                    <w:rPr>
                      <w:rFonts w:hint="eastAsia" w:ascii="宋体" w:hAnsi="宋体" w:eastAsia="宋体" w:cs="宋体"/>
                      <w:i/>
                      <w:iCs/>
                      <w:color w:val="auto"/>
                      <w:sz w:val="24"/>
                      <w:szCs w:val="24"/>
                      <w:highlight w:val="none"/>
                      <w:u w:val="single"/>
                      <w:lang w:eastAsia="en-US"/>
                    </w:rPr>
                    <w:t xml:space="preserve">精度至少支持FP16、BF16、FP32、 </w:t>
                  </w:r>
                  <w:r>
                    <w:rPr>
                      <w:rFonts w:hint="eastAsia" w:ascii="宋体" w:hAnsi="宋体" w:eastAsia="宋体" w:cs="宋体"/>
                      <w:i/>
                      <w:iCs/>
                      <w:color w:val="auto"/>
                      <w:spacing w:val="-5"/>
                      <w:sz w:val="24"/>
                      <w:szCs w:val="24"/>
                      <w:highlight w:val="none"/>
                      <w:u w:val="single"/>
                      <w:lang w:eastAsia="en-US"/>
                    </w:rPr>
                    <w:t xml:space="preserve">FP64、INT8和 INT16等中的1种；</w:t>
                  </w:r>
                  <w:r/>
                </w:p>
                <w:p>
                  <w:pPr>
                    <w:ind w:left="112" w:right="168" w:firstLine="2"/>
                    <w:spacing w:before="5"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单推理卡或模块，具备视频解析、文本识别、语音分析等推理能力；在视觉场景下配备可直接调用的接口实现视觉计算加速，路数不小于64（1080P 30FPS）</w:t>
                  </w:r>
                  <w:r/>
                </w:p>
              </w:tc>
            </w:tr>
            <w:tr>
              <w:trPr>
                <w:jc w:val="center"/>
                <w:trHeight w:val="725"/>
              </w:trPr>
              <w:tc>
                <w:tcPr>
                  <w:tcW w:w="719" w:type="dxa"/>
                  <w:vAlign w:val="center"/>
                  <w:textDirection w:val="lrTb"/>
                  <w:noWrap w:val="false"/>
                </w:tcPr>
                <w:p>
                  <w:pPr>
                    <w:ind w:left="242"/>
                    <w:spacing w:before="276"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44</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一键式迁移</w:t>
                  </w:r>
                  <w:r/>
                </w:p>
              </w:tc>
              <w:tc>
                <w:tcPr>
                  <w:tcW w:w="4915" w:type="dxa"/>
                  <w:vAlign w:val="center"/>
                  <w:textDirection w:val="lrTb"/>
                  <w:noWrap w:val="false"/>
                </w:tcPr>
                <w:p>
                  <w:pPr>
                    <w:ind w:left="113" w:right="103"/>
                    <w:spacing w:before="163"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若服务器配备</w:t>
                  </w:r>
                  <w:r>
                    <w:rPr>
                      <w:rFonts w:hint="eastAsia" w:ascii="宋体" w:hAnsi="宋体" w:eastAsia="宋体" w:cs="宋体"/>
                      <w:i/>
                      <w:iCs/>
                      <w:color w:val="auto"/>
                      <w:sz w:val="24"/>
                      <w:szCs w:val="24"/>
                      <w:highlight w:val="none"/>
                      <w:u w:val="single"/>
                      <w:lang w:eastAsia="en-US"/>
                    </w:rPr>
                    <w:t xml:space="preserve">AI</w:t>
                  </w:r>
                  <w:r>
                    <w:rPr>
                      <w:rFonts w:hint="eastAsia" w:ascii="宋体" w:hAnsi="宋体" w:eastAsia="宋体" w:cs="宋体"/>
                      <w:i/>
                      <w:iCs/>
                      <w:color w:val="auto"/>
                      <w:spacing w:val="4"/>
                      <w:sz w:val="24"/>
                      <w:szCs w:val="24"/>
                      <w:highlight w:val="none"/>
                      <w:u w:val="single"/>
                      <w:lang w:eastAsia="en-US"/>
                    </w:rPr>
                    <w:t xml:space="preserve">计算单元，提供训</w:t>
                  </w:r>
                  <w:r>
                    <w:rPr>
                      <w:rFonts w:hint="eastAsia" w:ascii="宋体" w:hAnsi="宋体" w:eastAsia="宋体" w:cs="宋体"/>
                      <w:i/>
                      <w:iCs/>
                      <w:color w:val="auto"/>
                      <w:spacing w:val="-2"/>
                      <w:sz w:val="24"/>
                      <w:szCs w:val="24"/>
                      <w:highlight w:val="none"/>
                      <w:u w:val="single"/>
                      <w:lang w:eastAsia="en-US"/>
                    </w:rPr>
                    <w:t xml:space="preserve">练脚本迁移工具</w:t>
                  </w:r>
                  <w:r/>
                </w:p>
              </w:tc>
            </w:tr>
            <w:tr>
              <w:trPr>
                <w:jc w:val="center"/>
                <w:trHeight w:val="485"/>
              </w:trPr>
              <w:tc>
                <w:tcPr>
                  <w:tcW w:w="719" w:type="dxa"/>
                  <w:vAlign w:val="center"/>
                  <w:textDirection w:val="lrTb"/>
                  <w:noWrap w:val="false"/>
                </w:tcPr>
                <w:p>
                  <w:pPr>
                    <w:ind w:left="242"/>
                    <w:spacing w:before="15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45</w:t>
                  </w:r>
                  <w:r/>
                </w:p>
              </w:tc>
              <w:tc>
                <w:tcPr>
                  <w:tcBorders>
                    <w:bottom w:val="none" w:color="000000" w:sz="4" w:space="0"/>
                  </w:tcBorders>
                  <w:tcW w:w="1314" w:type="dxa"/>
                  <w:vAlign w:val="center"/>
                  <w:vMerge w:val="restart"/>
                  <w:textDirection w:val="lrTb"/>
                  <w:noWrap w:val="false"/>
                </w:tcPr>
                <w:p>
                  <w:pPr>
                    <w:spacing w:line="267"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6" w:right="186"/>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机柜规格</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机柜尺寸</w:t>
                  </w:r>
                  <w:r/>
                </w:p>
              </w:tc>
              <w:tc>
                <w:tcPr>
                  <w:tcW w:w="4915" w:type="dxa"/>
                  <w:vAlign w:val="center"/>
                  <w:textDirection w:val="lrTb"/>
                  <w:noWrap w:val="false"/>
                </w:tcPr>
                <w:p>
                  <w:pPr>
                    <w:jc w:val="left"/>
                    <w:widowControl w:val="off"/>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6</w:t>
                  </w:r>
                  <w:r>
                    <w:rPr>
                      <w:rFonts w:hint="eastAsia" w:ascii="宋体" w:hAnsi="宋体" w:eastAsia="宋体" w:cs="宋体"/>
                      <w:i/>
                      <w:iCs/>
                      <w:color w:val="auto"/>
                      <w:spacing w:val="4"/>
                      <w:sz w:val="24"/>
                      <w:szCs w:val="24"/>
                      <w:highlight w:val="none"/>
                      <w:u w:val="single"/>
                      <w:lang w:val="en-US" w:eastAsia="zh-CN" w:bidi="ar-SA"/>
                    </w:rPr>
                    <w:t xml:space="preserve">00*800*2000mm、42U标准尺寸</w:t>
                  </w:r>
                  <w:r/>
                </w:p>
              </w:tc>
            </w:tr>
            <w:tr>
              <w:trPr>
                <w:jc w:val="center"/>
                <w:trHeight w:val="725"/>
              </w:trPr>
              <w:tc>
                <w:tcPr>
                  <w:tcW w:w="719" w:type="dxa"/>
                  <w:vAlign w:val="center"/>
                  <w:textDirection w:val="lrTb"/>
                  <w:noWrap w:val="false"/>
                </w:tcPr>
                <w:p>
                  <w:pPr>
                    <w:ind w:left="242"/>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机柜管理板</w:t>
                  </w:r>
                  <w:r/>
                </w:p>
              </w:tc>
              <w:tc>
                <w:tcPr>
                  <w:tcW w:w="4915" w:type="dxa"/>
                  <w:vAlign w:val="center"/>
                  <w:textDirection w:val="lrTb"/>
                  <w:noWrap w:val="false"/>
                </w:tcPr>
                <w:p>
                  <w:pPr>
                    <w:ind w:left="114"/>
                    <w:spacing w:before="282"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配备机柜管理板</w:t>
                  </w:r>
                  <w:r/>
                </w:p>
              </w:tc>
            </w:tr>
            <w:tr>
              <w:trPr>
                <w:jc w:val="center"/>
                <w:trHeight w:val="1444"/>
              </w:trPr>
              <w:tc>
                <w:tcPr>
                  <w:tcW w:w="719" w:type="dxa"/>
                  <w:vAlign w:val="center"/>
                  <w:textDirection w:val="lrTb"/>
                  <w:noWrap w:val="false"/>
                </w:tcPr>
                <w:p>
                  <w:pPr>
                    <w:ind w:left="242"/>
                    <w:spacing w:before="58"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47</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right="214"/>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机柜电源规格</w:t>
                  </w:r>
                  <w:r/>
                </w:p>
              </w:tc>
              <w:tc>
                <w:tcPr>
                  <w:tcW w:w="4915" w:type="dxa"/>
                  <w:vAlign w:val="center"/>
                  <w:textDirection w:val="lrTb"/>
                  <w:noWrap w:val="false"/>
                </w:tcPr>
                <w:p>
                  <w:pPr>
                    <w:ind w:left="113" w:right="103" w:firstLine="1"/>
                    <w:spacing w:before="283"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机柜电源支持集中供电，电源输入不少于2路且支持自动切换；</w:t>
                  </w:r>
                  <w:r/>
                </w:p>
                <w:p>
                  <w:pPr>
                    <w:ind w:left="117" w:right="259" w:hanging="2"/>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机柜电源模块支持N+1冗余配</w:t>
                  </w:r>
                  <w:r>
                    <w:rPr>
                      <w:rFonts w:hint="eastAsia" w:ascii="宋体" w:hAnsi="宋体" w:eastAsia="宋体" w:cs="宋体"/>
                      <w:i/>
                      <w:iCs/>
                      <w:color w:val="auto"/>
                      <w:spacing w:val="-2"/>
                      <w:sz w:val="24"/>
                      <w:szCs w:val="24"/>
                      <w:highlight w:val="none"/>
                      <w:u w:val="single"/>
                      <w:lang w:eastAsia="en-US"/>
                    </w:rPr>
                    <w:t xml:space="preserve">置，电源模块可独立更换</w:t>
                  </w:r>
                  <w:r/>
                </w:p>
              </w:tc>
            </w:tr>
            <w:tr>
              <w:trPr>
                <w:jc w:val="center"/>
                <w:trHeight w:val="248"/>
              </w:trPr>
              <w:tc>
                <w:tcPr>
                  <w:tcW w:w="719" w:type="dxa"/>
                  <w:vAlign w:val="center"/>
                  <w:textDirection w:val="lrTb"/>
                  <w:noWrap w:val="false"/>
                </w:tcPr>
                <w:p>
                  <w:pPr>
                    <w:ind w:left="242"/>
                    <w:spacing w:before="38" w:line="205"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48</w:t>
                  </w:r>
                  <w:r/>
                </w:p>
              </w:tc>
              <w:tc>
                <w:tcPr>
                  <w:tcW w:w="1314" w:type="dxa"/>
                  <w:vAlign w:val="center"/>
                  <w:textDirection w:val="lrTb"/>
                  <w:noWrap w:val="false"/>
                </w:tcPr>
                <w:p>
                  <w:pPr>
                    <w:ind w:left="139"/>
                    <w:jc w:val="center"/>
                    <w:spacing w:before="43" w:line="20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主板</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主板外部接口种类</w:t>
                  </w:r>
                  <w:r/>
                </w:p>
              </w:tc>
              <w:tc>
                <w:tcPr>
                  <w:tcW w:w="4915" w:type="dxa"/>
                  <w:vAlign w:val="center"/>
                  <w:textDirection w:val="lrTb"/>
                  <w:noWrap w:val="false"/>
                </w:tcPr>
                <w:p>
                  <w:pPr>
                    <w:ind w:left="119"/>
                    <w:spacing w:before="43" w:line="20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支持USB、显示、管理等接口，如：</w:t>
                  </w:r>
                  <w:r>
                    <w:rPr>
                      <w:rFonts w:hint="eastAsia" w:ascii="宋体" w:hAnsi="宋体" w:eastAsia="宋体" w:cs="宋体"/>
                      <w:i/>
                      <w:iCs/>
                      <w:color w:val="auto"/>
                      <w:spacing w:val="-8"/>
                      <w:sz w:val="24"/>
                      <w:szCs w:val="24"/>
                      <w:highlight w:val="none"/>
                      <w:u w:val="single"/>
                      <w:lang w:eastAsia="en-US"/>
                    </w:rPr>
                    <w:t xml:space="preserve">VGA、DP、HDMI、USB3.0、PS/2接口、</w:t>
                  </w:r>
                  <w:r>
                    <w:rPr>
                      <w:rFonts w:hint="eastAsia" w:ascii="宋体" w:hAnsi="宋体" w:eastAsia="宋体" w:cs="宋体"/>
                      <w:i/>
                      <w:iCs/>
                      <w:color w:val="auto"/>
                      <w:spacing w:val="-3"/>
                      <w:sz w:val="24"/>
                      <w:szCs w:val="24"/>
                      <w:highlight w:val="none"/>
                      <w:u w:val="single"/>
                      <w:lang w:eastAsia="en-US"/>
                    </w:rPr>
                    <w:t xml:space="preserve">BMC管理端口</w:t>
                  </w:r>
                  <w:r/>
                </w:p>
              </w:tc>
            </w:tr>
            <w:tr>
              <w:trPr>
                <w:jc w:val="center"/>
                <w:trHeight w:val="964"/>
              </w:trPr>
              <w:tc>
                <w:tcPr>
                  <w:tcW w:w="719" w:type="dxa"/>
                  <w:vAlign w:val="center"/>
                  <w:textDirection w:val="lrTb"/>
                  <w:noWrap w:val="false"/>
                </w:tcPr>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49</w:t>
                  </w:r>
                  <w:r/>
                </w:p>
              </w:tc>
              <w:tc>
                <w:tcPr>
                  <w:tcBorders>
                    <w:top w:val="none" w:color="000000" w:sz="4" w:space="0"/>
                    <w:bottom w:val="none" w:color="000000" w:sz="4" w:space="0"/>
                  </w:tcBorders>
                  <w:tcW w:w="131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主板防烧板设计</w:t>
                  </w:r>
                  <w:r/>
                </w:p>
              </w:tc>
              <w:tc>
                <w:tcPr>
                  <w:tcW w:w="4915" w:type="dxa"/>
                  <w:vAlign w:val="center"/>
                  <w:textDirection w:val="lrTb"/>
                  <w:noWrap w:val="false"/>
                </w:tcPr>
                <w:p>
                  <w:pPr>
                    <w:ind w:left="118" w:right="168" w:firstLine="1"/>
                    <w:spacing w:before="27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支持主板防烧板设计，保证电源故</w:t>
                  </w:r>
                  <w:r>
                    <w:rPr>
                      <w:rFonts w:hint="eastAsia" w:ascii="宋体" w:hAnsi="宋体" w:eastAsia="宋体" w:cs="宋体"/>
                      <w:i/>
                      <w:iCs/>
                      <w:color w:val="auto"/>
                      <w:spacing w:val="-3"/>
                      <w:sz w:val="24"/>
                      <w:szCs w:val="24"/>
                      <w:highlight w:val="none"/>
                      <w:u w:val="single"/>
                      <w:lang w:eastAsia="en-US"/>
                    </w:rPr>
                    <w:t xml:space="preserve">障后不扩散</w:t>
                  </w:r>
                  <w:r/>
                </w:p>
              </w:tc>
            </w:tr>
            <w:tr>
              <w:trPr>
                <w:jc w:val="center"/>
                <w:trHeight w:val="725"/>
              </w:trPr>
              <w:tc>
                <w:tcPr>
                  <w:tcW w:w="719" w:type="dxa"/>
                  <w:vAlign w:val="center"/>
                  <w:textDirection w:val="lrTb"/>
                  <w:noWrap w:val="false"/>
                </w:tcPr>
                <w:p>
                  <w:pPr>
                    <w:ind w:left="243"/>
                    <w:spacing w:before="27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50</w:t>
                  </w:r>
                  <w:r/>
                </w:p>
              </w:tc>
              <w:tc>
                <w:tcPr>
                  <w:tcBorders>
                    <w:top w:val="none" w:color="000000" w:sz="4" w:space="0"/>
                  </w:tcBorders>
                  <w:tcW w:w="131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扩展功能</w:t>
                  </w:r>
                  <w:r/>
                </w:p>
              </w:tc>
              <w:tc>
                <w:tcPr>
                  <w:tcW w:w="4915" w:type="dxa"/>
                  <w:vAlign w:val="center"/>
                  <w:textDirection w:val="lrTb"/>
                  <w:noWrap w:val="false"/>
                </w:tcPr>
                <w:p>
                  <w:pPr>
                    <w:ind w:left="115" w:right="168" w:firstLine="3"/>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实现至少一种扩展功能，如存储功能卡、显示功能卡、运算加速功能卡及网络功能卡等扩展功能</w:t>
                  </w:r>
                  <w:r/>
                </w:p>
              </w:tc>
            </w:tr>
            <w:tr>
              <w:trPr>
                <w:jc w:val="center"/>
                <w:trHeight w:val="485"/>
              </w:trPr>
              <w:tc>
                <w:tcPr>
                  <w:tcW w:w="719" w:type="dxa"/>
                  <w:vAlign w:val="center"/>
                  <w:textDirection w:val="lrTb"/>
                  <w:noWrap w:val="false"/>
                </w:tcPr>
                <w:p>
                  <w:pPr>
                    <w:ind w:left="243"/>
                    <w:spacing w:before="155"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51</w:t>
                  </w:r>
                  <w:r/>
                </w:p>
              </w:tc>
              <w:tc>
                <w:tcPr>
                  <w:tcW w:w="1314" w:type="dxa"/>
                  <w:vAlign w:val="center"/>
                  <w:textDirection w:val="lrTb"/>
                  <w:noWrap w:val="false"/>
                </w:tcPr>
                <w:p>
                  <w:pPr>
                    <w:ind w:left="189" w:right="141" w:hanging="50"/>
                    <w:jc w:val="center"/>
                    <w:spacing w:before="42"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网络</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网络功能</w:t>
                  </w:r>
                  <w:r/>
                </w:p>
              </w:tc>
              <w:tc>
                <w:tcPr>
                  <w:tcW w:w="4915" w:type="dxa"/>
                  <w:vAlign w:val="center"/>
                  <w:textDirection w:val="lrTb"/>
                  <w:noWrap w:val="false"/>
                </w:tcPr>
                <w:p>
                  <w:pPr>
                    <w:ind w:left="113" w:right="168" w:firstLine="5"/>
                    <w:spacing w:before="4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支持网络连接、网络访问、数据交换和网络管控功能</w:t>
                  </w:r>
                  <w:r/>
                </w:p>
              </w:tc>
            </w:tr>
            <w:tr>
              <w:trPr>
                <w:jc w:val="center"/>
                <w:trHeight w:val="1444"/>
              </w:trPr>
              <w:tc>
                <w:tcPr>
                  <w:tcW w:w="719" w:type="dxa"/>
                  <w:vAlign w:val="center"/>
                  <w:textDirection w:val="lrTb"/>
                  <w:noWrap w:val="false"/>
                </w:tcPr>
                <w:p>
                  <w:pPr>
                    <w:jc w:val="center"/>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52</w:t>
                  </w:r>
                  <w:r/>
                </w:p>
              </w:tc>
              <w:tc>
                <w:tcPr>
                  <w:tcBorders>
                    <w:bottom w:val="none" w:color="000000" w:sz="4" w:space="0"/>
                  </w:tcBorders>
                  <w:tcW w:w="1314" w:type="dxa"/>
                  <w:vAlign w:val="center"/>
                  <w:vMerge w:val="restart"/>
                  <w:textDirection w:val="lrTb"/>
                  <w:noWrap w:val="false"/>
                </w:tcPr>
                <w:p>
                  <w:pPr>
                    <w:ind w:right="185"/>
                    <w:jc w:val="center"/>
                    <w:spacing w:before="58" w:line="25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CPU</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计算处理</w:t>
                  </w:r>
                  <w:r/>
                </w:p>
              </w:tc>
              <w:tc>
                <w:tcPr>
                  <w:tcW w:w="4915" w:type="dxa"/>
                  <w:vAlign w:val="center"/>
                  <w:textDirection w:val="lrTb"/>
                  <w:noWrap w:val="false"/>
                </w:tcPr>
                <w:p>
                  <w:pPr>
                    <w:ind w:left="113" w:right="103" w:firstLine="6"/>
                    <w:spacing w:before="41"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支持通用计算及虚拟化功能。处理器需集成整型计算单元、浮点计算</w:t>
                  </w:r>
                  <w:r>
                    <w:rPr>
                      <w:rFonts w:hint="eastAsia" w:ascii="宋体" w:hAnsi="宋体" w:eastAsia="宋体" w:cs="宋体"/>
                      <w:i/>
                      <w:iCs/>
                      <w:color w:val="auto"/>
                      <w:spacing w:val="-6"/>
                      <w:sz w:val="24"/>
                      <w:szCs w:val="24"/>
                      <w:highlight w:val="none"/>
                      <w:u w:val="single"/>
                      <w:lang w:eastAsia="en-US"/>
                    </w:rPr>
                    <w:t xml:space="preserve">单元、内存控制器、I/O模块等，处</w:t>
                  </w:r>
                  <w:r>
                    <w:rPr>
                      <w:rFonts w:hint="eastAsia" w:ascii="宋体" w:hAnsi="宋体" w:eastAsia="宋体" w:cs="宋体"/>
                      <w:i/>
                      <w:iCs/>
                      <w:color w:val="auto"/>
                      <w:spacing w:val="-1"/>
                      <w:sz w:val="24"/>
                      <w:szCs w:val="24"/>
                      <w:highlight w:val="none"/>
                      <w:u w:val="single"/>
                      <w:lang w:eastAsia="en-US"/>
                    </w:rPr>
                    <w:t xml:space="preserve">理器与存储部件、网络部件、I/O部件等组成计算系统，提供数据处理、网络接入等计算相关功能</w:t>
                  </w:r>
                  <w:r/>
                </w:p>
              </w:tc>
            </w:tr>
            <w:tr>
              <w:trPr>
                <w:jc w:val="center"/>
                <w:trHeight w:val="965"/>
              </w:trPr>
              <w:tc>
                <w:tcPr>
                  <w:tcW w:w="719" w:type="dxa"/>
                  <w:vAlign w:val="center"/>
                  <w:textDirection w:val="lrTb"/>
                  <w:noWrap w:val="false"/>
                </w:tcPr>
                <w:p>
                  <w:pPr>
                    <w:ind w:left="243"/>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53</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密码算法实现</w:t>
                  </w:r>
                  <w:r/>
                </w:p>
              </w:tc>
              <w:tc>
                <w:tcPr>
                  <w:tcW w:w="4915" w:type="dxa"/>
                  <w:vAlign w:val="center"/>
                  <w:textDirection w:val="lrTb"/>
                  <w:noWrap w:val="false"/>
                </w:tcPr>
                <w:p>
                  <w:pPr>
                    <w:ind w:left="111" w:right="103" w:firstLine="1"/>
                    <w:spacing w:before="162"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CPU芯片应符合GM/T0008的相关规</w:t>
                  </w:r>
                  <w:r>
                    <w:rPr>
                      <w:rFonts w:hint="eastAsia" w:ascii="宋体" w:hAnsi="宋体" w:eastAsia="宋体" w:cs="宋体"/>
                      <w:i/>
                      <w:iCs/>
                      <w:color w:val="auto"/>
                      <w:spacing w:val="2"/>
                      <w:sz w:val="24"/>
                      <w:szCs w:val="24"/>
                      <w:highlight w:val="none"/>
                      <w:u w:val="single"/>
                      <w:lang w:eastAsia="en-US"/>
                    </w:rPr>
                    <w:t xml:space="preserve">定，或芯片密码模块应符合</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2"/>
                      <w:sz w:val="24"/>
                      <w:szCs w:val="24"/>
                      <w:highlight w:val="none"/>
                      <w:u w:val="single"/>
                      <w:lang w:eastAsia="en-US"/>
                    </w:rPr>
                    <w:t xml:space="preserve">/T</w:t>
                  </w:r>
                  <w:r/>
                </w:p>
                <w:p>
                  <w:pPr>
                    <w:ind w:left="113"/>
                    <w:spacing w:before="5"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37092或GM/T 0028的相关规定</w:t>
                  </w:r>
                  <w:r/>
                </w:p>
              </w:tc>
            </w:tr>
            <w:tr>
              <w:trPr>
                <w:jc w:val="center"/>
                <w:trHeight w:val="965"/>
              </w:trPr>
              <w:tc>
                <w:tcPr>
                  <w:tcW w:w="719" w:type="dxa"/>
                  <w:vAlign w:val="center"/>
                  <w:textDirection w:val="lrTb"/>
                  <w:noWrap w:val="false"/>
                </w:tcPr>
                <w:p>
                  <w:pPr>
                    <w:ind w:left="243"/>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54</w:t>
                  </w:r>
                  <w:r/>
                </w:p>
              </w:tc>
              <w:tc>
                <w:tcPr>
                  <w:tcBorders>
                    <w:bottom w:val="none" w:color="000000" w:sz="4" w:space="0"/>
                  </w:tcBorders>
                  <w:tcW w:w="1314" w:type="dxa"/>
                  <w:vAlign w:val="center"/>
                  <w:vMerge w:val="restart"/>
                  <w:textDirection w:val="lrTb"/>
                  <w:noWrap w:val="false"/>
                </w:tcPr>
                <w:p>
                  <w:pPr>
                    <w:spacing w:line="31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9" w:right="186"/>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存储功能</w:t>
                  </w:r>
                  <w:r/>
                </w:p>
              </w:tc>
              <w:tc>
                <w:tcPr>
                  <w:tcW w:w="1200" w:type="dxa"/>
                  <w:vAlign w:val="center"/>
                  <w:textDirection w:val="lrTb"/>
                  <w:noWrap w:val="false"/>
                </w:tcPr>
                <w:p>
                  <w:pPr>
                    <w:jc w:val="center"/>
                    <w:spacing w:line="340" w:lineRule="auto"/>
                    <w:widowControl/>
                    <w:rPr>
                      <w:rFonts w:hint="default" w:ascii="宋体" w:hAnsi="宋体" w:eastAsia="宋体" w:cs="宋体"/>
                      <w:color w:val="auto"/>
                      <w:spacing w:val="-2"/>
                      <w:sz w:val="24"/>
                      <w:szCs w:val="24"/>
                      <w:highlight w:val="none"/>
                      <w:lang w:eastAsia="en-US"/>
                    </w:rPr>
                  </w:pPr>
                  <w:r>
                    <w:rPr>
                      <w:rFonts w:hint="default" w:ascii="宋体" w:hAnsi="宋体" w:eastAsia="宋体" w:cs="宋体"/>
                      <w:color w:val="auto"/>
                      <w:spacing w:val="-2"/>
                      <w:sz w:val="24"/>
                      <w:szCs w:val="24"/>
                      <w:highlight w:val="none"/>
                      <w:lang w:eastAsia="en-US"/>
                    </w:rPr>
                  </w:r>
                  <w:r/>
                </w:p>
                <w:p>
                  <w:pPr>
                    <w:ind w:left="121"/>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内存校验</w:t>
                  </w:r>
                  <w:r/>
                </w:p>
              </w:tc>
              <w:tc>
                <w:tcPr>
                  <w:tcW w:w="4915" w:type="dxa"/>
                  <w:vAlign w:val="center"/>
                  <w:textDirection w:val="lrTb"/>
                  <w:noWrap w:val="false"/>
                </w:tcPr>
                <w:p>
                  <w:pPr>
                    <w:ind w:left="119" w:right="168"/>
                    <w:spacing w:before="281"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支持内存校验或内存增强型纠错功</w:t>
                  </w:r>
                  <w:r>
                    <w:rPr>
                      <w:rFonts w:hint="eastAsia" w:ascii="宋体" w:hAnsi="宋体" w:eastAsia="宋体" w:cs="宋体"/>
                      <w:i/>
                      <w:iCs/>
                      <w:color w:val="auto"/>
                      <w:sz w:val="24"/>
                      <w:szCs w:val="24"/>
                      <w:highlight w:val="none"/>
                      <w:u w:val="single"/>
                      <w:lang w:eastAsia="en-US"/>
                    </w:rPr>
                    <w:t xml:space="preserve">能</w:t>
                  </w:r>
                  <w:r/>
                </w:p>
              </w:tc>
            </w:tr>
            <w:tr>
              <w:trPr>
                <w:jc w:val="center"/>
                <w:trHeight w:val="725"/>
              </w:trPr>
              <w:tc>
                <w:tcPr>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55</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 NAND 健康状态上报</w:t>
                  </w:r>
                  <w:r/>
                </w:p>
              </w:tc>
              <w:tc>
                <w:tcPr>
                  <w:tcW w:w="4915" w:type="dxa"/>
                  <w:vAlign w:val="center"/>
                  <w:textDirection w:val="lrTb"/>
                  <w:noWrap w:val="false"/>
                </w:tcPr>
                <w:p>
                  <w:pPr>
                    <w:ind w:left="112" w:right="102" w:firstLine="7"/>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支持关键外部存储器（硬磁盘、SSD</w:t>
                  </w:r>
                  <w:r>
                    <w:rPr>
                      <w:rFonts w:hint="eastAsia" w:ascii="宋体" w:hAnsi="宋体" w:eastAsia="宋体" w:cs="宋体"/>
                      <w:i/>
                      <w:iCs/>
                      <w:color w:val="auto"/>
                      <w:spacing w:val="-1"/>
                      <w:sz w:val="24"/>
                      <w:szCs w:val="24"/>
                      <w:highlight w:val="none"/>
                      <w:u w:val="single"/>
                      <w:lang w:eastAsia="en-US"/>
                    </w:rPr>
                    <w:t xml:space="preserve">等）的健康状态上报并进行故障诊</w:t>
                  </w:r>
                  <w:r>
                    <w:rPr>
                      <w:rFonts w:hint="eastAsia" w:ascii="宋体" w:hAnsi="宋体" w:eastAsia="宋体" w:cs="宋体"/>
                      <w:i/>
                      <w:iCs/>
                      <w:color w:val="auto"/>
                      <w:sz w:val="24"/>
                      <w:szCs w:val="24"/>
                      <w:highlight w:val="none"/>
                      <w:u w:val="single"/>
                      <w:lang w:eastAsia="en-US"/>
                    </w:rPr>
                    <w:t xml:space="preserve">断</w:t>
                  </w:r>
                  <w:r/>
                </w:p>
              </w:tc>
            </w:tr>
            <w:tr>
              <w:trPr>
                <w:jc w:val="center"/>
                <w:trHeight w:val="725"/>
              </w:trPr>
              <w:tc>
                <w:tcPr>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56</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SSD单 die 故障隔离</w:t>
                  </w:r>
                  <w:r/>
                </w:p>
              </w:tc>
              <w:tc>
                <w:tcPr>
                  <w:tcW w:w="4915" w:type="dxa"/>
                  <w:vAlign w:val="center"/>
                  <w:textDirection w:val="lrTb"/>
                  <w:noWrap w:val="false"/>
                </w:tcPr>
                <w:p>
                  <w:pPr>
                    <w:ind w:left="121" w:right="168" w:hanging="2"/>
                    <w:spacing w:before="163"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支持SSD关键外部存储器中单存储晶元故障隔离</w:t>
                  </w:r>
                  <w:r/>
                </w:p>
              </w:tc>
            </w:tr>
            <w:tr>
              <w:trPr>
                <w:jc w:val="center"/>
                <w:trHeight w:val="90"/>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57</w:t>
                  </w:r>
                  <w:r/>
                </w:p>
              </w:tc>
              <w:tc>
                <w:tcPr>
                  <w:tcBorders>
                    <w:bottom w:val="none" w:color="000000" w:sz="4" w:space="0"/>
                  </w:tcBorders>
                  <w:tcW w:w="1314" w:type="dxa"/>
                  <w:vAlign w:val="center"/>
                  <w:vMerge w:val="restart"/>
                  <w:textDirection w:val="lrTb"/>
                  <w:noWrap w:val="false"/>
                </w:tcPr>
                <w:p>
                  <w:pPr>
                    <w:ind w:left="117" w:right="107" w:firstLine="71"/>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32"/>
                      <w:sz w:val="24"/>
                      <w:szCs w:val="24"/>
                      <w:highlight w:val="none"/>
                      <w:lang w:eastAsia="en-US"/>
                    </w:rPr>
                    <w:t xml:space="preserve">卡功</w:t>
                  </w:r>
                  <w:r>
                    <w:rPr>
                      <w:rFonts w:hint="eastAsia" w:ascii="宋体" w:hAnsi="宋体" w:eastAsia="宋体" w:cs="宋体"/>
                      <w:color w:val="auto"/>
                      <w:spacing w:val="-13"/>
                      <w:sz w:val="24"/>
                      <w:szCs w:val="24"/>
                      <w:highlight w:val="none"/>
                      <w:lang w:eastAsia="en-US"/>
                    </w:rPr>
                    <w:t xml:space="preserve">能（若</w:t>
                  </w:r>
                  <w:r>
                    <w:rPr>
                      <w:rFonts w:hint="eastAsia" w:ascii="宋体" w:hAnsi="宋体" w:eastAsia="宋体" w:cs="宋体"/>
                      <w:color w:val="auto"/>
                      <w:spacing w:val="32"/>
                      <w:sz w:val="24"/>
                      <w:szCs w:val="24"/>
                      <w:highlight w:val="none"/>
                      <w:lang w:eastAsia="en-US"/>
                    </w:rPr>
                    <w:t xml:space="preserve">支持</w:t>
                  </w:r>
                  <w:r>
                    <w:rPr>
                      <w:rFonts w:hint="eastAsia" w:ascii="宋体" w:hAnsi="宋体" w:eastAsia="宋体" w:cs="宋体"/>
                      <w:color w:val="auto"/>
                      <w:spacing w:val="16"/>
                      <w:sz w:val="24"/>
                      <w:szCs w:val="24"/>
                      <w:highlight w:val="none"/>
                      <w:lang w:eastAsia="en-US"/>
                    </w:rPr>
                    <w:t xml:space="preserve">RAID</w:t>
                  </w:r>
                  <w:r>
                    <w:rPr>
                      <w:rFonts w:hint="eastAsia" w:ascii="宋体" w:hAnsi="宋体" w:eastAsia="宋体" w:cs="宋体"/>
                      <w:color w:val="auto"/>
                      <w:spacing w:val="32"/>
                      <w:sz w:val="24"/>
                      <w:szCs w:val="24"/>
                      <w:highlight w:val="none"/>
                      <w:lang w:eastAsia="en-US"/>
                    </w:rPr>
                    <w:t xml:space="preserve">卡）</w:t>
                  </w:r>
                  <w:r/>
                </w:p>
              </w:tc>
              <w:tc>
                <w:tcPr>
                  <w:tcW w:w="1200" w:type="dxa"/>
                  <w:vAlign w:val="center"/>
                  <w:textDirection w:val="lrTb"/>
                  <w:noWrap w:val="false"/>
                </w:tcPr>
                <w:p>
                  <w:pPr>
                    <w:jc w:val="center"/>
                    <w:spacing w:before="58" w:line="224"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w:t>
                  </w:r>
                  <w:r/>
                </w:p>
                <w:p>
                  <w:pPr>
                    <w:ind w:left="115" w:right="168" w:hanging="4"/>
                    <w:jc w:val="center"/>
                    <w:spacing w:before="21"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级别支持</w:t>
                  </w:r>
                  <w:r/>
                </w:p>
              </w:tc>
              <w:tc>
                <w:tcPr>
                  <w:tcW w:w="4915" w:type="dxa"/>
                  <w:vAlign w:val="center"/>
                  <w:textDirection w:val="lrTb"/>
                  <w:noWrap w:val="false"/>
                </w:tcPr>
                <w:p>
                  <w:pPr>
                    <w:ind w:left="112" w:right="168" w:firstLine="2"/>
                    <w:spacing w:before="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RAID模式支持RAID 0/1/10/5，存储型支持RAID 0/1/5/6/10/50/60</w:t>
                  </w:r>
                  <w:r/>
                </w:p>
              </w:tc>
            </w:tr>
            <w:tr>
              <w:trPr>
                <w:jc w:val="center"/>
                <w:trHeight w:val="485"/>
              </w:trPr>
              <w:tc>
                <w:tcPr>
                  <w:tcW w:w="719" w:type="dxa"/>
                  <w:vAlign w:val="center"/>
                  <w:textDirection w:val="lrTb"/>
                  <w:noWrap w:val="false"/>
                </w:tcPr>
                <w:p>
                  <w:pPr>
                    <w:ind w:left="243"/>
                    <w:spacing w:before="15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58</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BBU 单元</w:t>
                  </w:r>
                  <w:r/>
                </w:p>
              </w:tc>
              <w:tc>
                <w:tcPr>
                  <w:tcW w:w="4915" w:type="dxa"/>
                  <w:vAlign w:val="center"/>
                  <w:textDirection w:val="lrTb"/>
                  <w:noWrap w:val="false"/>
                </w:tcPr>
                <w:p>
                  <w:pPr>
                    <w:ind w:left="114"/>
                    <w:spacing w:before="16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RAID卡支持电池或电容备份单元</w:t>
                  </w:r>
                  <w:r/>
                </w:p>
              </w:tc>
            </w:tr>
            <w:tr>
              <w:trPr>
                <w:jc w:val="center"/>
                <w:trHeight w:val="727"/>
              </w:trPr>
              <w:tc>
                <w:tcPr>
                  <w:tcW w:w="719" w:type="dxa"/>
                  <w:vAlign w:val="center"/>
                  <w:textDirection w:val="lrTb"/>
                  <w:noWrap w:val="false"/>
                </w:tcPr>
                <w:p>
                  <w:pPr>
                    <w:ind w:left="243"/>
                    <w:spacing w:before="276"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59</w:t>
                  </w:r>
                  <w:r/>
                </w:p>
              </w:tc>
              <w:tc>
                <w:tcPr>
                  <w:tcW w:w="1314" w:type="dxa"/>
                  <w:vAlign w:val="center"/>
                  <w:textDirection w:val="lrTb"/>
                  <w:noWrap w:val="false"/>
                </w:tcPr>
                <w:p>
                  <w:pPr>
                    <w:ind w:left="189" w:right="186" w:hanging="2"/>
                    <w:jc w:val="center"/>
                    <w:spacing w:before="162"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光驱</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光驱类型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（是否支持 RW，以及光盘类型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CD/DVD）</w:t>
                  </w:r>
                  <w:r/>
                </w:p>
              </w:tc>
              <w:tc>
                <w:tcPr>
                  <w:tcW w:w="4915" w:type="dxa"/>
                  <w:vAlign w:val="center"/>
                  <w:textDirection w:val="lrTb"/>
                  <w:noWrap w:val="false"/>
                </w:tcPr>
                <w:p>
                  <w:pPr>
                    <w:ind w:left="115" w:right="168" w:hanging="2"/>
                    <w:spacing w:before="44"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若配备光驱，应提供光驱的安装形式（如内置、外置）、光驱读写类型（如只读、可刻录等）、光盘类</w:t>
                  </w:r>
                  <w:r>
                    <w:rPr>
                      <w:rFonts w:hint="eastAsia" w:ascii="宋体" w:hAnsi="宋体" w:eastAsia="宋体" w:cs="宋体"/>
                      <w:i/>
                      <w:iCs/>
                      <w:color w:val="auto"/>
                      <w:spacing w:val="-3"/>
                      <w:sz w:val="24"/>
                      <w:szCs w:val="24"/>
                      <w:highlight w:val="none"/>
                      <w:u w:val="single"/>
                      <w:lang w:eastAsia="en-US"/>
                    </w:rPr>
                    <w:t xml:space="preserve">型的兼容列表（如CD-ROM、CD-RW、</w:t>
                  </w:r>
                  <w:r>
                    <w:rPr>
                      <w:rFonts w:hint="eastAsia" w:ascii="宋体" w:hAnsi="宋体" w:eastAsia="宋体" w:cs="宋体"/>
                      <w:i/>
                      <w:iCs/>
                      <w:color w:val="auto"/>
                      <w:spacing w:val="-2"/>
                      <w:sz w:val="24"/>
                      <w:szCs w:val="24"/>
                      <w:highlight w:val="none"/>
                      <w:u w:val="single"/>
                      <w:lang w:eastAsia="en-US"/>
                    </w:rPr>
                    <w:t xml:space="preserve">DVD±RW等）</w:t>
                  </w:r>
                  <w:r/>
                </w:p>
              </w:tc>
            </w:tr>
            <w:tr>
              <w:trPr>
                <w:jc w:val="center"/>
                <w:trHeight w:val="485"/>
              </w:trPr>
              <w:tc>
                <w:tcPr>
                  <w:tcW w:w="719" w:type="dxa"/>
                  <w:vAlign w:val="center"/>
                  <w:textDirection w:val="lrTb"/>
                  <w:noWrap w:val="false"/>
                </w:tcPr>
                <w:p>
                  <w:pPr>
                    <w:ind w:left="247"/>
                    <w:spacing w:before="154"/>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60</w:t>
                  </w:r>
                  <w:r/>
                </w:p>
              </w:tc>
              <w:tc>
                <w:tcPr>
                  <w:tcBorders>
                    <w:bottom w:val="none" w:color="000000" w:sz="4" w:space="0"/>
                  </w:tcBorders>
                  <w:tcW w:w="1314" w:type="dxa"/>
                  <w:vAlign w:val="center"/>
                  <w:vMerge w:val="restart"/>
                  <w:textDirection w:val="lrTb"/>
                  <w:noWrap w:val="false"/>
                </w:tcPr>
                <w:p>
                  <w:pPr>
                    <w:ind w:left="112" w:right="174" w:hanging="4"/>
                    <w:jc w:val="center"/>
                    <w:spacing w:before="286"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电源热插拔</w:t>
                  </w:r>
                  <w:r/>
                </w:p>
              </w:tc>
              <w:tc>
                <w:tcPr>
                  <w:tcW w:w="4915" w:type="dxa"/>
                  <w:vAlign w:val="center"/>
                  <w:textDirection w:val="lrTb"/>
                  <w:noWrap w:val="false"/>
                </w:tcPr>
                <w:p>
                  <w:pPr>
                    <w:ind w:left="112"/>
                    <w:spacing w:before="159"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整机电源模块应具备热插拔功能</w:t>
                  </w:r>
                  <w:r/>
                </w:p>
              </w:tc>
            </w:tr>
            <w:tr>
              <w:trPr>
                <w:jc w:val="center"/>
                <w:trHeight w:val="485"/>
              </w:trPr>
              <w:tc>
                <w:tcPr>
                  <w:tcW w:w="719" w:type="dxa"/>
                  <w:vAlign w:val="center"/>
                  <w:textDirection w:val="lrTb"/>
                  <w:noWrap w:val="false"/>
                </w:tcPr>
                <w:p>
                  <w:pPr>
                    <w:ind w:left="247"/>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61</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电源过流保护</w:t>
                  </w:r>
                  <w:r/>
                </w:p>
              </w:tc>
              <w:tc>
                <w:tcPr>
                  <w:tcW w:w="4915" w:type="dxa"/>
                  <w:vAlign w:val="center"/>
                  <w:textDirection w:val="lrTb"/>
                  <w:noWrap w:val="false"/>
                </w:tcPr>
                <w:p>
                  <w:pPr>
                    <w:ind w:left="119"/>
                    <w:spacing w:before="161"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支持过流及短路保护的功能</w:t>
                  </w:r>
                  <w:r/>
                </w:p>
              </w:tc>
            </w:tr>
            <w:tr>
              <w:trPr>
                <w:jc w:val="center"/>
                <w:trHeight w:val="485"/>
              </w:trPr>
              <w:tc>
                <w:tcPr>
                  <w:tcW w:w="719" w:type="dxa"/>
                  <w:vAlign w:val="center"/>
                  <w:textDirection w:val="lrTb"/>
                  <w:noWrap w:val="false"/>
                </w:tcPr>
                <w:p>
                  <w:pPr>
                    <w:ind w:left="247"/>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62</w:t>
                  </w:r>
                  <w:r/>
                </w:p>
              </w:tc>
              <w:tc>
                <w:tcPr>
                  <w:tcBorders>
                    <w:bottom w:val="none" w:color="000000" w:sz="4" w:space="0"/>
                  </w:tcBorders>
                  <w:tcW w:w="1314" w:type="dxa"/>
                  <w:vAlign w:val="center"/>
                  <w:vMerge w:val="restart"/>
                  <w:textDirection w:val="lrTb"/>
                  <w:noWrap w:val="false"/>
                </w:tcPr>
                <w:p>
                  <w:pPr>
                    <w:jc w:val="center"/>
                    <w:spacing w:line="344"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89" w:right="141" w:hanging="50"/>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散热方式</w:t>
                  </w:r>
                  <w:r/>
                </w:p>
              </w:tc>
              <w:tc>
                <w:tcPr>
                  <w:tcW w:w="4915" w:type="dxa"/>
                  <w:vAlign w:val="center"/>
                  <w:textDirection w:val="lrTb"/>
                  <w:noWrap w:val="false"/>
                </w:tcPr>
                <w:p>
                  <w:pPr>
                    <w:ind w:left="119"/>
                    <w:spacing w:before="160"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支持风冷或液冷等散热方式</w:t>
                  </w:r>
                  <w:r/>
                </w:p>
              </w:tc>
            </w:tr>
            <w:tr>
              <w:trPr>
                <w:jc w:val="center"/>
                <w:trHeight w:val="725"/>
              </w:trPr>
              <w:tc>
                <w:tcPr>
                  <w:tcW w:w="719" w:type="dxa"/>
                  <w:vAlign w:val="center"/>
                  <w:textDirection w:val="lrTb"/>
                  <w:noWrap w:val="false"/>
                </w:tcPr>
                <w:p>
                  <w:pPr>
                    <w:ind w:left="247"/>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63</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其他功能</w:t>
                  </w:r>
                  <w:r/>
                </w:p>
              </w:tc>
              <w:tc>
                <w:tcPr>
                  <w:tcW w:w="4915" w:type="dxa"/>
                  <w:vAlign w:val="center"/>
                  <w:textDirection w:val="lrTb"/>
                  <w:noWrap w:val="false"/>
                </w:tcPr>
                <w:p>
                  <w:pPr>
                    <w:ind w:left="114" w:right="109"/>
                    <w:spacing w:before="40"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a) 支持关键部件冗余（包括电源、风扇等</w:t>
                  </w:r>
                  <w:r>
                    <w:rPr>
                      <w:rFonts w:hint="eastAsia" w:ascii="宋体" w:hAnsi="宋体" w:eastAsia="宋体" w:cs="宋体"/>
                      <w:i/>
                      <w:iCs/>
                      <w:color w:val="auto"/>
                      <w:sz w:val="24"/>
                      <w:szCs w:val="24"/>
                      <w:highlight w:val="none"/>
                      <w:u w:val="single"/>
                      <w:lang w:eastAsia="en-US"/>
                    </w:rPr>
                    <w:t xml:space="preserve">）；</w:t>
                  </w:r>
                  <w:r/>
                </w:p>
                <w:p>
                  <w:pPr>
                    <w:ind w:left="115"/>
                    <w:spacing w:before="5" w:line="20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支持熔断保护与恢复功能</w:t>
                  </w:r>
                  <w:r/>
                </w:p>
              </w:tc>
            </w:tr>
            <w:tr>
              <w:trPr>
                <w:jc w:val="center"/>
                <w:trHeight w:val="4055"/>
              </w:trPr>
              <w:tc>
                <w:tcPr>
                  <w:tcW w:w="719" w:type="dxa"/>
                  <w:vAlign w:val="center"/>
                  <w:textDirection w:val="lrTb"/>
                  <w:noWrap w:val="false"/>
                </w:tcPr>
                <w:p>
                  <w:pPr>
                    <w:ind w:left="247"/>
                    <w:spacing w:before="5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64</w:t>
                  </w:r>
                  <w:r/>
                </w:p>
              </w:tc>
              <w:tc>
                <w:tcPr>
                  <w:tcW w:w="1314" w:type="dxa"/>
                  <w:vAlign w:val="center"/>
                  <w:textDirection w:val="lrTb"/>
                  <w:noWrap w:val="false"/>
                </w:tcPr>
                <w:p>
                  <w:pPr>
                    <w:ind w:left="189" w:right="141" w:hanging="50"/>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管理</w:t>
                  </w:r>
                  <w:r>
                    <w:rPr>
                      <w:rFonts w:hint="eastAsia" w:ascii="宋体" w:hAnsi="宋体" w:eastAsia="宋体" w:cs="宋体"/>
                      <w:color w:val="auto"/>
                      <w:spacing w:val="-5"/>
                      <w:sz w:val="24"/>
                      <w:szCs w:val="24"/>
                      <w:highlight w:val="none"/>
                      <w:lang w:eastAsia="en-US"/>
                    </w:rPr>
                    <w:t xml:space="preserve">系统功能</w:t>
                  </w:r>
                  <w:r/>
                </w:p>
              </w:tc>
              <w:tc>
                <w:tcPr>
                  <w:tcW w:w="1200" w:type="dxa"/>
                  <w:vAlign w:val="center"/>
                  <w:textDirection w:val="lrTb"/>
                  <w:noWrap w:val="false"/>
                </w:tcPr>
                <w:p>
                  <w:pPr>
                    <w:ind w:right="168"/>
                    <w:jc w:val="center"/>
                    <w:spacing w:before="59" w:line="247"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BMC 固件基础功能</w:t>
                  </w:r>
                  <w:r/>
                </w:p>
              </w:tc>
              <w:tc>
                <w:tcPr>
                  <w:tcW w:w="4915" w:type="dxa"/>
                  <w:vAlign w:val="center"/>
                  <w:textDirection w:val="lrTb"/>
                  <w:noWrap w:val="false"/>
                </w:tcPr>
                <w:p>
                  <w:pPr>
                    <w:ind w:left="123"/>
                    <w:spacing w:before="39"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1)支持DHCP设置网络功能；</w:t>
                  </w:r>
                  <w:r/>
                </w:p>
                <w:p>
                  <w:pPr>
                    <w:ind w:left="112"/>
                    <w:spacing w:before="32"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2)支持静态 IP设置网络功能；</w:t>
                  </w:r>
                  <w:r/>
                </w:p>
                <w:p>
                  <w:pPr>
                    <w:ind w:left="112" w:right="168" w:firstLine="1"/>
                    <w:spacing w:before="33"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3)支持设备日志记录，包括但不限于登录日志、操作日志和报警日志</w:t>
                  </w:r>
                  <w:r>
                    <w:rPr>
                      <w:rFonts w:hint="eastAsia" w:ascii="宋体" w:hAnsi="宋体" w:eastAsia="宋体" w:cs="宋体"/>
                      <w:i/>
                      <w:iCs/>
                      <w:color w:val="auto"/>
                      <w:spacing w:val="-2"/>
                      <w:sz w:val="24"/>
                      <w:szCs w:val="24"/>
                      <w:highlight w:val="none"/>
                      <w:u w:val="single"/>
                      <w:lang w:eastAsia="en-US"/>
                    </w:rPr>
                    <w:t xml:space="preserve">等功能；</w:t>
                  </w:r>
                  <w:r/>
                </w:p>
                <w:p>
                  <w:pPr>
                    <w:ind w:left="118" w:right="168" w:hanging="10"/>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4)支持日志信息导出和记录删除功</w:t>
                  </w:r>
                  <w:r>
                    <w:rPr>
                      <w:rFonts w:hint="eastAsia" w:ascii="宋体" w:hAnsi="宋体" w:eastAsia="宋体" w:cs="宋体"/>
                      <w:i/>
                      <w:iCs/>
                      <w:color w:val="auto"/>
                      <w:spacing w:val="-7"/>
                      <w:sz w:val="24"/>
                      <w:szCs w:val="24"/>
                      <w:highlight w:val="none"/>
                      <w:u w:val="single"/>
                      <w:lang w:eastAsia="en-US"/>
                    </w:rPr>
                    <w:t xml:space="preserve">能；</w:t>
                  </w:r>
                  <w:r/>
                </w:p>
                <w:p>
                  <w:pPr>
                    <w:ind w:left="123" w:right="168" w:hanging="14"/>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5)支持通过管理接口向外输出准确</w:t>
                  </w:r>
                  <w:r>
                    <w:rPr>
                      <w:rFonts w:hint="eastAsia" w:ascii="宋体" w:hAnsi="宋体" w:eastAsia="宋体" w:cs="宋体"/>
                      <w:i/>
                      <w:iCs/>
                      <w:color w:val="auto"/>
                      <w:spacing w:val="-3"/>
                      <w:sz w:val="24"/>
                      <w:szCs w:val="24"/>
                      <w:highlight w:val="none"/>
                      <w:u w:val="single"/>
                      <w:lang w:eastAsia="en-US"/>
                    </w:rPr>
                    <w:t xml:space="preserve">的报警信息功能；</w:t>
                  </w:r>
                  <w:r/>
                </w:p>
                <w:p>
                  <w:pPr>
                    <w:ind w:left="112" w:right="168"/>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6)设备的</w:t>
                  </w:r>
                  <w:r>
                    <w:rPr>
                      <w:rFonts w:hint="eastAsia" w:ascii="宋体" w:hAnsi="宋体" w:eastAsia="宋体" w:cs="宋体"/>
                      <w:i/>
                      <w:iCs/>
                      <w:color w:val="auto"/>
                      <w:sz w:val="24"/>
                      <w:szCs w:val="24"/>
                      <w:highlight w:val="none"/>
                      <w:u w:val="single"/>
                      <w:lang w:eastAsia="en-US"/>
                    </w:rPr>
                    <w:t xml:space="preserve">BMC</w:t>
                  </w:r>
                  <w:r>
                    <w:rPr>
                      <w:rFonts w:hint="eastAsia" w:ascii="宋体" w:hAnsi="宋体" w:eastAsia="宋体" w:cs="宋体"/>
                      <w:i/>
                      <w:iCs/>
                      <w:color w:val="auto"/>
                      <w:spacing w:val="1"/>
                      <w:sz w:val="24"/>
                      <w:szCs w:val="24"/>
                      <w:highlight w:val="none"/>
                      <w:u w:val="single"/>
                      <w:lang w:eastAsia="en-US"/>
                    </w:rPr>
                    <w:t xml:space="preserve">管理软件应能够按报</w:t>
                  </w:r>
                  <w:r>
                    <w:rPr>
                      <w:rFonts w:hint="eastAsia" w:ascii="宋体" w:hAnsi="宋体" w:eastAsia="宋体" w:cs="宋体"/>
                      <w:i/>
                      <w:iCs/>
                      <w:color w:val="auto"/>
                      <w:spacing w:val="-1"/>
                      <w:sz w:val="24"/>
                      <w:szCs w:val="24"/>
                      <w:highlight w:val="none"/>
                      <w:u w:val="single"/>
                      <w:lang w:eastAsia="en-US"/>
                    </w:rPr>
                    <w:t xml:space="preserve">警的严重程度进行区分；</w:t>
                  </w:r>
                  <w:r/>
                </w:p>
                <w:p>
                  <w:pPr>
                    <w:ind w:left="112" w:right="215" w:firstLine="2"/>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7)支持 IPMI2.0、SNMP或Redfish</w:t>
                  </w:r>
                  <w:r>
                    <w:rPr>
                      <w:rFonts w:hint="eastAsia" w:ascii="宋体" w:hAnsi="宋体" w:eastAsia="宋体" w:cs="宋体"/>
                      <w:i/>
                      <w:iCs/>
                      <w:color w:val="auto"/>
                      <w:spacing w:val="-1"/>
                      <w:sz w:val="24"/>
                      <w:szCs w:val="24"/>
                      <w:highlight w:val="none"/>
                      <w:u w:val="single"/>
                      <w:lang w:eastAsia="en-US"/>
                    </w:rPr>
                    <w:t xml:space="preserve">等接口功能；</w:t>
                  </w:r>
                  <w:r/>
                </w:p>
                <w:p>
                  <w:pPr>
                    <w:ind w:left="112" w:right="41" w:hanging="1"/>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8)支持键盘、鼠标和视频的重定向、</w:t>
                  </w:r>
                  <w:r>
                    <w:rPr>
                      <w:rFonts w:hint="eastAsia" w:ascii="宋体" w:hAnsi="宋体" w:eastAsia="宋体" w:cs="宋体"/>
                      <w:i/>
                      <w:iCs/>
                      <w:color w:val="auto"/>
                      <w:spacing w:val="-1"/>
                      <w:sz w:val="24"/>
                      <w:szCs w:val="24"/>
                      <w:highlight w:val="none"/>
                      <w:u w:val="single"/>
                      <w:lang w:eastAsia="en-US"/>
                    </w:rPr>
                    <w:t xml:space="preserve">文本控制台的重定向、远程虚拟媒</w:t>
                  </w:r>
                  <w:r>
                    <w:rPr>
                      <w:rFonts w:hint="eastAsia" w:ascii="宋体" w:hAnsi="宋体" w:eastAsia="宋体" w:cs="宋体"/>
                      <w:i/>
                      <w:iCs/>
                      <w:color w:val="auto"/>
                      <w:spacing w:val="-4"/>
                      <w:sz w:val="24"/>
                      <w:szCs w:val="24"/>
                      <w:highlight w:val="none"/>
                      <w:u w:val="single"/>
                      <w:lang w:eastAsia="en-US"/>
                    </w:rPr>
                    <w:t xml:space="preserve">体、高可靠的硬件监控和管理功能；</w:t>
                  </w:r>
                  <w:r/>
                </w:p>
                <w:p>
                  <w:pPr>
                    <w:ind w:left="113" w:right="168" w:hanging="5"/>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9)支持基于网络开启、关闭和重启设备的功能，并查询当前设备开机</w:t>
                  </w:r>
                  <w:r>
                    <w:rPr>
                      <w:rFonts w:hint="eastAsia" w:ascii="宋体" w:hAnsi="宋体" w:eastAsia="宋体" w:cs="宋体"/>
                      <w:i/>
                      <w:iCs/>
                      <w:color w:val="auto"/>
                      <w:spacing w:val="-2"/>
                      <w:sz w:val="24"/>
                      <w:szCs w:val="24"/>
                      <w:highlight w:val="none"/>
                      <w:u w:val="single"/>
                      <w:lang w:eastAsia="en-US"/>
                    </w:rPr>
                    <w:t xml:space="preserve">运行状态；</w:t>
                  </w:r>
                  <w:r/>
                </w:p>
                <w:p>
                  <w:pPr>
                    <w:ind w:left="134" w:right="103" w:hanging="11"/>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10)支持故障提示功能，并可通过接口读取服务器故障信息；</w:t>
                  </w:r>
                  <w:r/>
                </w:p>
                <w:p>
                  <w:pPr>
                    <w:ind w:left="112" w:right="124" w:firstLine="10"/>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11)支持基于网络的固件更新功能，包括BMC和BIOS等；</w:t>
                  </w:r>
                  <w:r/>
                </w:p>
                <w:p>
                  <w:pPr>
                    <w:ind w:left="113" w:right="168" w:firstLine="9"/>
                    <w:spacing w:before="7"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12)支持基于网络安装操作系统的</w:t>
                  </w:r>
                  <w:r>
                    <w:rPr>
                      <w:rFonts w:hint="eastAsia" w:ascii="宋体" w:hAnsi="宋体" w:eastAsia="宋体" w:cs="宋体"/>
                      <w:i/>
                      <w:iCs/>
                      <w:color w:val="auto"/>
                      <w:spacing w:val="-1"/>
                      <w:sz w:val="24"/>
                      <w:szCs w:val="24"/>
                      <w:highlight w:val="none"/>
                      <w:u w:val="single"/>
                      <w:lang w:eastAsia="en-US"/>
                    </w:rPr>
                    <w:t xml:space="preserve">功能，并可通过网络控制台访问设</w:t>
                  </w:r>
                  <w:r>
                    <w:rPr>
                      <w:rFonts w:hint="eastAsia" w:ascii="宋体" w:hAnsi="宋体" w:eastAsia="宋体" w:cs="宋体"/>
                      <w:i/>
                      <w:iCs/>
                      <w:color w:val="auto"/>
                      <w:spacing w:val="-4"/>
                      <w:sz w:val="24"/>
                      <w:szCs w:val="24"/>
                      <w:highlight w:val="none"/>
                      <w:u w:val="single"/>
                      <w:lang w:eastAsia="en-US"/>
                    </w:rPr>
                    <w:t xml:space="preserve">备；</w:t>
                  </w:r>
                  <w:r/>
                </w:p>
                <w:p>
                  <w:pPr>
                    <w:ind w:left="112" w:right="168" w:firstLine="10"/>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13)支持通过本地的硬盘或光驱等</w:t>
                  </w:r>
                  <w:r>
                    <w:rPr>
                      <w:rFonts w:hint="eastAsia" w:ascii="宋体" w:hAnsi="宋体" w:eastAsia="宋体" w:cs="宋体"/>
                      <w:i/>
                      <w:iCs/>
                      <w:color w:val="auto"/>
                      <w:spacing w:val="-1"/>
                      <w:sz w:val="24"/>
                      <w:szCs w:val="24"/>
                      <w:highlight w:val="none"/>
                      <w:u w:val="single"/>
                      <w:lang w:eastAsia="en-US"/>
                    </w:rPr>
                    <w:t xml:space="preserve">存储设备，基于网络完成设备的操作系统安装功能；</w:t>
                  </w:r>
                  <w:r/>
                </w:p>
                <w:p>
                  <w:pPr>
                    <w:ind w:left="115" w:right="259" w:firstLine="7"/>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14)支持通过浏览器打开管理界面并登录功能；</w:t>
                  </w:r>
                  <w:r/>
                </w:p>
                <w:p>
                  <w:pPr>
                    <w:ind w:left="123"/>
                    <w:spacing w:before="6"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15)支持设置口令策略功能；</w:t>
                  </w:r>
                  <w:r/>
                </w:p>
                <w:p>
                  <w:pPr>
                    <w:ind w:left="141" w:right="103" w:hanging="18"/>
                    <w:spacing w:before="33"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16)支持访问权限设置功能，并通过</w:t>
                  </w:r>
                  <w:r>
                    <w:rPr>
                      <w:rFonts w:hint="eastAsia" w:ascii="宋体" w:hAnsi="宋体" w:eastAsia="宋体" w:cs="宋体"/>
                      <w:i/>
                      <w:iCs/>
                      <w:color w:val="auto"/>
                      <w:spacing w:val="-4"/>
                      <w:sz w:val="24"/>
                      <w:szCs w:val="24"/>
                      <w:highlight w:val="none"/>
                      <w:u w:val="single"/>
                      <w:lang w:eastAsia="en-US"/>
                    </w:rPr>
                    <w:t xml:space="preserve">日志记录访问事件；</w:t>
                  </w:r>
                  <w:r/>
                </w:p>
                <w:p>
                  <w:pPr>
                    <w:ind w:left="112" w:right="168" w:firstLine="10"/>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17)支持对出厂默认的用户名及口</w:t>
                  </w:r>
                  <w:r>
                    <w:rPr>
                      <w:rFonts w:hint="eastAsia" w:ascii="宋体" w:hAnsi="宋体" w:eastAsia="宋体" w:cs="宋体"/>
                      <w:i/>
                      <w:iCs/>
                      <w:color w:val="auto"/>
                      <w:spacing w:val="-1"/>
                      <w:sz w:val="24"/>
                      <w:szCs w:val="24"/>
                      <w:highlight w:val="none"/>
                      <w:u w:val="single"/>
                      <w:lang w:eastAsia="en-US"/>
                    </w:rPr>
                    <w:t xml:space="preserve">令进行安全保护功能，并提供默认口令修改提示；</w:t>
                  </w:r>
                  <w:r/>
                </w:p>
                <w:p>
                  <w:pPr>
                    <w:ind w:left="114" w:right="259" w:firstLine="8"/>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18)支持读取设备主板的工作环境温度功能；</w:t>
                  </w:r>
                  <w:r/>
                </w:p>
                <w:p>
                  <w:pPr>
                    <w:ind w:left="123" w:right="103"/>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19)支持读取服务器CPU等核心器件</w:t>
                  </w:r>
                  <w:r>
                    <w:rPr>
                      <w:rFonts w:hint="eastAsia" w:ascii="宋体" w:hAnsi="宋体" w:eastAsia="宋体" w:cs="宋体"/>
                      <w:i/>
                      <w:iCs/>
                      <w:color w:val="auto"/>
                      <w:spacing w:val="-3"/>
                      <w:sz w:val="24"/>
                      <w:szCs w:val="24"/>
                      <w:highlight w:val="none"/>
                      <w:u w:val="single"/>
                      <w:lang w:eastAsia="en-US"/>
                    </w:rPr>
                    <w:t xml:space="preserve">的温度功能；</w:t>
                  </w:r>
                  <w:r/>
                </w:p>
                <w:p>
                  <w:pPr>
                    <w:ind w:left="112"/>
                    <w:spacing w:before="6" w:line="199"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20)支持通过外部管理工具进行BMC参数设置的功能，并可基于网络通</w:t>
                  </w:r>
                  <w:r>
                    <w:rPr>
                      <w:rFonts w:hint="eastAsia" w:ascii="宋体" w:hAnsi="宋体" w:eastAsia="宋体" w:cs="宋体"/>
                      <w:i/>
                      <w:iCs/>
                      <w:color w:val="auto"/>
                      <w:spacing w:val="-2"/>
                      <w:sz w:val="24"/>
                      <w:szCs w:val="24"/>
                      <w:highlight w:val="none"/>
                      <w:u w:val="single"/>
                      <w:lang w:eastAsia="en-US"/>
                    </w:rPr>
                    <w:t xml:space="preserve">过外部管理工具对BMC进行管理；</w:t>
                  </w:r>
                  <w:r/>
                </w:p>
                <w:p>
                  <w:pPr>
                    <w:ind w:left="112"/>
                    <w:spacing w:before="5"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21)应支持固件版本查询、固件升级</w:t>
                  </w:r>
                  <w:r/>
                </w:p>
                <w:p>
                  <w:pPr>
                    <w:ind w:left="112" w:right="259"/>
                    <w:spacing w:before="25"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22)支持基于网络实现开关机和复位控制的功能；</w:t>
                  </w:r>
                  <w:r/>
                </w:p>
                <w:p>
                  <w:pPr>
                    <w:ind w:left="113" w:right="103" w:hanging="1"/>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23)BMC启动时间应不超过180s，实</w:t>
                  </w:r>
                  <w:r>
                    <w:rPr>
                      <w:rFonts w:hint="eastAsia" w:ascii="宋体" w:hAnsi="宋体" w:eastAsia="宋体" w:cs="宋体"/>
                      <w:i/>
                      <w:iCs/>
                      <w:color w:val="auto"/>
                      <w:spacing w:val="-1"/>
                      <w:sz w:val="24"/>
                      <w:szCs w:val="24"/>
                      <w:highlight w:val="none"/>
                      <w:u w:val="single"/>
                      <w:lang w:eastAsia="en-US"/>
                    </w:rPr>
                    <w:t xml:space="preserve">现功能包括网络、IPMI、散热、传</w:t>
                  </w:r>
                  <w:r>
                    <w:rPr>
                      <w:rFonts w:hint="eastAsia" w:ascii="宋体" w:hAnsi="宋体" w:eastAsia="宋体" w:cs="宋体"/>
                      <w:i/>
                      <w:iCs/>
                      <w:color w:val="auto"/>
                      <w:spacing w:val="-2"/>
                      <w:sz w:val="24"/>
                      <w:szCs w:val="24"/>
                      <w:highlight w:val="none"/>
                      <w:u w:val="single"/>
                      <w:lang w:eastAsia="en-US"/>
                    </w:rPr>
                    <w:t xml:space="preserve">感器服务可用；</w:t>
                  </w:r>
                  <w:r/>
                </w:p>
                <w:p>
                  <w:pPr>
                    <w:ind w:left="112"/>
                    <w:spacing w:before="6" w:line="199"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24)支持BMC固件设置的恢复出厂功</w:t>
                  </w:r>
                  <w:r>
                    <w:rPr>
                      <w:rFonts w:hint="eastAsia" w:ascii="宋体" w:hAnsi="宋体" w:eastAsia="宋体" w:cs="宋体"/>
                      <w:i/>
                      <w:iCs/>
                      <w:color w:val="auto"/>
                      <w:sz w:val="24"/>
                      <w:szCs w:val="24"/>
                      <w:highlight w:val="none"/>
                      <w:u w:val="single"/>
                      <w:lang w:eastAsia="en-US"/>
                    </w:rPr>
                    <w:t xml:space="preserve">能</w:t>
                  </w:r>
                  <w:r/>
                </w:p>
              </w:tc>
            </w:tr>
            <w:tr>
              <w:trPr>
                <w:jc w:val="center"/>
                <w:trHeight w:val="1638"/>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65</w:t>
                  </w:r>
                  <w:r/>
                </w:p>
              </w:tc>
              <w:tc>
                <w:tcPr>
                  <w:tcBorders>
                    <w:top w:val="none" w:color="000000" w:sz="4" w:space="0"/>
                  </w:tcBorders>
                  <w:tcW w:w="1314"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right="214"/>
                    <w:jc w:val="center"/>
                    <w:spacing w:before="59"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BMC 固件增强功能</w:t>
                  </w:r>
                  <w:r/>
                </w:p>
              </w:tc>
              <w:tc>
                <w:tcPr>
                  <w:tcW w:w="4915" w:type="dxa"/>
                  <w:vAlign w:val="center"/>
                  <w:textDirection w:val="lrTb"/>
                  <w:noWrap w:val="false"/>
                </w:tcPr>
                <w:p>
                  <w:pPr>
                    <w:ind w:left="118" w:right="103" w:hanging="4"/>
                    <w:spacing w:before="29"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a）网络控制、安装提供图形访问界面网络；</w:t>
                  </w:r>
                  <w:r/>
                </w:p>
                <w:p>
                  <w:pPr>
                    <w:ind w:left="112" w:right="103" w:firstLine="2"/>
                    <w:spacing w:before="5"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b）设备的BMC管理软件界面显示报</w:t>
                  </w:r>
                  <w:r>
                    <w:rPr>
                      <w:rFonts w:hint="eastAsia" w:ascii="宋体" w:hAnsi="宋体" w:eastAsia="宋体" w:cs="宋体"/>
                      <w:i/>
                      <w:iCs/>
                      <w:color w:val="auto"/>
                      <w:spacing w:val="-1"/>
                      <w:sz w:val="24"/>
                      <w:szCs w:val="24"/>
                      <w:highlight w:val="none"/>
                      <w:u w:val="single"/>
                      <w:lang w:eastAsia="en-US"/>
                    </w:rPr>
                    <w:t xml:space="preserve">警信息，且能够按报警的严重程度</w:t>
                  </w:r>
                  <w:r>
                    <w:rPr>
                      <w:rFonts w:hint="eastAsia" w:ascii="宋体" w:hAnsi="宋体" w:eastAsia="宋体" w:cs="宋体"/>
                      <w:i/>
                      <w:iCs/>
                      <w:color w:val="auto"/>
                      <w:spacing w:val="-2"/>
                      <w:sz w:val="24"/>
                      <w:szCs w:val="24"/>
                      <w:highlight w:val="none"/>
                      <w:u w:val="single"/>
                      <w:lang w:eastAsia="en-US"/>
                    </w:rPr>
                    <w:t xml:space="preserve">进行区分；</w:t>
                  </w:r>
                  <w:r/>
                </w:p>
                <w:p>
                  <w:pPr>
                    <w:ind w:left="113" w:right="125"/>
                    <w:spacing w:before="3"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c）Web GUI采用BMC端口直连，平</w:t>
                  </w:r>
                  <w:r>
                    <w:rPr>
                      <w:rFonts w:hint="eastAsia" w:ascii="宋体" w:hAnsi="宋体" w:eastAsia="宋体" w:cs="宋体"/>
                      <w:i/>
                      <w:iCs/>
                      <w:color w:val="auto"/>
                      <w:spacing w:val="-3"/>
                      <w:sz w:val="24"/>
                      <w:szCs w:val="24"/>
                      <w:highlight w:val="none"/>
                      <w:u w:val="single"/>
                      <w:lang w:eastAsia="en-US"/>
                    </w:rPr>
                    <w:t xml:space="preserve">均响应时间为不大于1s</w:t>
                  </w:r>
                  <w:r/>
                </w:p>
              </w:tc>
            </w:tr>
            <w:tr>
              <w:trPr>
                <w:jc w:val="center"/>
                <w:trHeight w:val="6072"/>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right="214"/>
                    <w:jc w:val="center"/>
                    <w:spacing w:before="58" w:line="247"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BIOS 固件基础功能</w:t>
                  </w:r>
                  <w:r/>
                </w:p>
              </w:tc>
              <w:tc>
                <w:tcPr>
                  <w:tcW w:w="4915" w:type="dxa"/>
                  <w:vAlign w:val="center"/>
                  <w:textDirection w:val="lrTb"/>
                  <w:noWrap w:val="false"/>
                </w:tcPr>
                <w:p>
                  <w:pPr>
                    <w:ind w:left="113" w:right="109"/>
                    <w:spacing w:before="30" w:line="23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a）支持查看固件版本、内存信息、</w:t>
                  </w:r>
                  <w:r>
                    <w:rPr>
                      <w:rFonts w:hint="eastAsia" w:ascii="宋体" w:hAnsi="宋体" w:eastAsia="宋体" w:cs="宋体"/>
                      <w:i/>
                      <w:iCs/>
                      <w:color w:val="auto"/>
                      <w:spacing w:val="-1"/>
                      <w:sz w:val="24"/>
                      <w:szCs w:val="24"/>
                      <w:highlight w:val="none"/>
                      <w:u w:val="single"/>
                      <w:lang w:eastAsia="en-US"/>
                    </w:rPr>
                    <w:t xml:space="preserve">主板信息、处理器信息和系统时间</w:t>
                  </w:r>
                  <w:r>
                    <w:rPr>
                      <w:rFonts w:hint="eastAsia" w:ascii="宋体" w:hAnsi="宋体" w:eastAsia="宋体" w:cs="宋体"/>
                      <w:i/>
                      <w:iCs/>
                      <w:color w:val="auto"/>
                      <w:spacing w:val="-2"/>
                      <w:sz w:val="24"/>
                      <w:szCs w:val="24"/>
                      <w:highlight w:val="none"/>
                      <w:u w:val="single"/>
                      <w:lang w:eastAsia="en-US"/>
                    </w:rPr>
                    <w:t xml:space="preserve">信息功能；</w:t>
                  </w:r>
                  <w:r/>
                </w:p>
                <w:p>
                  <w:pPr>
                    <w:ind w:left="112" w:right="103" w:firstLine="2"/>
                    <w:spacing w:before="7" w:line="23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b）支持上电初始化界面显示CPU信</w:t>
                  </w:r>
                  <w:r>
                    <w:rPr>
                      <w:rFonts w:hint="eastAsia" w:ascii="宋体" w:hAnsi="宋体" w:eastAsia="宋体" w:cs="宋体"/>
                      <w:i/>
                      <w:iCs/>
                      <w:color w:val="auto"/>
                      <w:spacing w:val="-1"/>
                      <w:sz w:val="24"/>
                      <w:szCs w:val="24"/>
                      <w:highlight w:val="none"/>
                      <w:u w:val="single"/>
                      <w:lang w:eastAsia="en-US"/>
                    </w:rPr>
                    <w:t xml:space="preserve">息、内存信息、固件版本和部分快捷键信息功能；</w:t>
                  </w:r>
                  <w:r/>
                </w:p>
                <w:p>
                  <w:pPr>
                    <w:ind w:left="119" w:right="103" w:hanging="6"/>
                    <w:spacing w:before="6"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c）支持设置界面中英文显示切换功</w:t>
                  </w:r>
                  <w:r>
                    <w:rPr>
                      <w:rFonts w:hint="eastAsia" w:ascii="宋体" w:hAnsi="宋体" w:eastAsia="宋体" w:cs="宋体"/>
                      <w:i/>
                      <w:iCs/>
                      <w:color w:val="auto"/>
                      <w:spacing w:val="-7"/>
                      <w:sz w:val="24"/>
                      <w:szCs w:val="24"/>
                      <w:highlight w:val="none"/>
                      <w:u w:val="single"/>
                      <w:lang w:eastAsia="en-US"/>
                    </w:rPr>
                    <w:t xml:space="preserve">能；</w:t>
                  </w:r>
                  <w:r/>
                </w:p>
                <w:p>
                  <w:pPr>
                    <w:ind w:left="114" w:right="169" w:hanging="1"/>
                    <w:spacing w:before="2"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d）支持查看PCIe设备信息，SATA设备信息功能；</w:t>
                  </w:r>
                  <w:r/>
                </w:p>
                <w:p>
                  <w:pPr>
                    <w:ind w:left="114" w:right="124" w:hanging="1"/>
                    <w:spacing w:before="5"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e）支持操作系统安装和引导功能，</w:t>
                  </w:r>
                  <w:r>
                    <w:rPr>
                      <w:rFonts w:hint="eastAsia" w:ascii="宋体" w:hAnsi="宋体" w:eastAsia="宋体" w:cs="宋体"/>
                      <w:i/>
                      <w:iCs/>
                      <w:color w:val="auto"/>
                      <w:spacing w:val="-1"/>
                      <w:sz w:val="24"/>
                      <w:szCs w:val="24"/>
                      <w:highlight w:val="none"/>
                      <w:u w:val="single"/>
                      <w:lang w:eastAsia="en-US"/>
                    </w:rPr>
                    <w:t xml:space="preserve">应并向操作系统提供计算机主板信</w:t>
                  </w:r>
                  <w:r>
                    <w:rPr>
                      <w:rFonts w:hint="eastAsia" w:ascii="宋体" w:hAnsi="宋体" w:eastAsia="宋体" w:cs="宋体"/>
                      <w:i/>
                      <w:iCs/>
                      <w:color w:val="auto"/>
                      <w:spacing w:val="-2"/>
                      <w:sz w:val="24"/>
                      <w:szCs w:val="24"/>
                      <w:highlight w:val="none"/>
                      <w:u w:val="single"/>
                      <w:lang w:eastAsia="en-US"/>
                    </w:rPr>
                    <w:t xml:space="preserve">息和服务接口；</w:t>
                  </w:r>
                  <w:r/>
                </w:p>
                <w:p>
                  <w:pPr>
                    <w:ind w:left="123" w:right="103" w:hanging="9"/>
                    <w:spacing w:before="6"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f）支持设置启动顺序，并按照设置</w:t>
                  </w:r>
                  <w:r>
                    <w:rPr>
                      <w:rFonts w:hint="eastAsia" w:ascii="宋体" w:hAnsi="宋体" w:eastAsia="宋体" w:cs="宋体"/>
                      <w:i/>
                      <w:iCs/>
                      <w:color w:val="auto"/>
                      <w:spacing w:val="-2"/>
                      <w:sz w:val="24"/>
                      <w:szCs w:val="24"/>
                      <w:highlight w:val="none"/>
                      <w:u w:val="single"/>
                      <w:lang w:eastAsia="en-US"/>
                    </w:rPr>
                    <w:t xml:space="preserve">的启动顺序启动功能；</w:t>
                  </w:r>
                  <w:r/>
                </w:p>
                <w:p>
                  <w:pPr>
                    <w:ind w:left="113"/>
                    <w:spacing w:before="3"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g）支持安全启动功能；</w:t>
                  </w:r>
                  <w:r/>
                </w:p>
                <w:p>
                  <w:pPr>
                    <w:ind w:left="134" w:right="103" w:hanging="18"/>
                    <w:spacing w:before="25"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h）支持设置口令、修改口令、验证</w:t>
                  </w:r>
                  <w:r>
                    <w:rPr>
                      <w:rFonts w:hint="eastAsia" w:ascii="宋体" w:hAnsi="宋体" w:eastAsia="宋体" w:cs="宋体"/>
                      <w:i/>
                      <w:iCs/>
                      <w:color w:val="auto"/>
                      <w:spacing w:val="-6"/>
                      <w:sz w:val="24"/>
                      <w:szCs w:val="24"/>
                      <w:highlight w:val="none"/>
                      <w:u w:val="single"/>
                      <w:lang w:eastAsia="en-US"/>
                    </w:rPr>
                    <w:t xml:space="preserve">口令功能；</w:t>
                  </w:r>
                  <w:r/>
                </w:p>
                <w:p>
                  <w:pPr>
                    <w:ind w:left="118" w:right="103" w:firstLine="25"/>
                    <w:spacing w:before="6"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i）支持板载显示控制或独立显卡的</w:t>
                  </w:r>
                  <w:r>
                    <w:rPr>
                      <w:rFonts w:hint="eastAsia" w:ascii="宋体" w:hAnsi="宋体" w:eastAsia="宋体" w:cs="宋体"/>
                      <w:i/>
                      <w:iCs/>
                      <w:color w:val="auto"/>
                      <w:spacing w:val="-2"/>
                      <w:sz w:val="24"/>
                      <w:szCs w:val="24"/>
                      <w:highlight w:val="none"/>
                      <w:u w:val="single"/>
                      <w:lang w:eastAsia="en-US"/>
                    </w:rPr>
                    <w:t xml:space="preserve">显示控制功能；</w:t>
                  </w:r>
                  <w:r/>
                </w:p>
                <w:p>
                  <w:pPr>
                    <w:ind w:left="123"/>
                    <w:spacing w:before="3"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j）支持RAID识别和启动功能；</w:t>
                  </w:r>
                  <w:r/>
                </w:p>
                <w:p>
                  <w:pPr>
                    <w:ind w:left="117"/>
                    <w:spacing w:before="25"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k）支持串口重定向功能；</w:t>
                  </w:r>
                  <w:r/>
                </w:p>
                <w:p>
                  <w:pPr>
                    <w:ind w:left="144"/>
                    <w:spacing w:before="25"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l）支持固件更新功能；</w:t>
                  </w:r>
                  <w:r/>
                </w:p>
                <w:p>
                  <w:pPr>
                    <w:ind w:left="114" w:right="168" w:hanging="5"/>
                    <w:spacing w:before="28"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m）支持</w:t>
                  </w:r>
                  <w:r>
                    <w:rPr>
                      <w:rFonts w:hint="eastAsia" w:ascii="宋体" w:hAnsi="宋体" w:eastAsia="宋体" w:cs="宋体"/>
                      <w:i/>
                      <w:iCs/>
                      <w:color w:val="auto"/>
                      <w:sz w:val="24"/>
                      <w:szCs w:val="24"/>
                      <w:highlight w:val="none"/>
                      <w:u w:val="single"/>
                      <w:lang w:eastAsia="en-US"/>
                    </w:rPr>
                    <w:t xml:space="preserve">BIOS</w:t>
                  </w:r>
                  <w:r>
                    <w:rPr>
                      <w:rFonts w:hint="eastAsia" w:ascii="宋体" w:hAnsi="宋体" w:eastAsia="宋体" w:cs="宋体"/>
                      <w:i/>
                      <w:iCs/>
                      <w:color w:val="auto"/>
                      <w:spacing w:val="1"/>
                      <w:sz w:val="24"/>
                      <w:szCs w:val="24"/>
                      <w:highlight w:val="none"/>
                      <w:u w:val="single"/>
                      <w:lang w:eastAsia="en-US"/>
                    </w:rPr>
                    <w:t xml:space="preserve">固件设置的恢复出厂</w:t>
                  </w:r>
                  <w:r>
                    <w:rPr>
                      <w:rFonts w:hint="eastAsia" w:ascii="宋体" w:hAnsi="宋体" w:eastAsia="宋体" w:cs="宋体"/>
                      <w:i/>
                      <w:iCs/>
                      <w:color w:val="auto"/>
                      <w:spacing w:val="-3"/>
                      <w:sz w:val="24"/>
                      <w:szCs w:val="24"/>
                      <w:highlight w:val="none"/>
                      <w:u w:val="single"/>
                      <w:lang w:eastAsia="en-US"/>
                    </w:rPr>
                    <w:t xml:space="preserve">功能；</w:t>
                  </w:r>
                  <w:r/>
                </w:p>
                <w:p>
                  <w:pPr>
                    <w:ind w:left="116"/>
                    <w:spacing w:before="5" w:line="20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n）支持网络引导启用和关闭功能</w:t>
                  </w:r>
                  <w:r/>
                </w:p>
              </w:tc>
            </w:tr>
            <w:tr>
              <w:trPr>
                <w:jc w:val="center"/>
                <w:trHeight w:val="485"/>
              </w:trPr>
              <w:tc>
                <w:tcPr>
                  <w:tcW w:w="719" w:type="dxa"/>
                  <w:vAlign w:val="center"/>
                  <w:textDirection w:val="lrTb"/>
                  <w:noWrap w:val="false"/>
                </w:tcPr>
                <w:p>
                  <w:pPr>
                    <w:ind w:left="247"/>
                    <w:spacing w:before="155"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67</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远程控制</w:t>
                  </w:r>
                  <w:r/>
                </w:p>
              </w:tc>
              <w:tc>
                <w:tcPr>
                  <w:tcW w:w="4915" w:type="dxa"/>
                  <w:vAlign w:val="center"/>
                  <w:textDirection w:val="lrTb"/>
                  <w:noWrap w:val="false"/>
                </w:tcPr>
                <w:p>
                  <w:pPr>
                    <w:ind w:left="119"/>
                    <w:spacing w:before="162"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支持远程关机和重新启动功能</w:t>
                  </w:r>
                  <w:r/>
                </w:p>
              </w:tc>
            </w:tr>
            <w:tr>
              <w:trPr>
                <w:jc w:val="center"/>
                <w:trHeight w:val="725"/>
              </w:trPr>
              <w:tc>
                <w:tcPr>
                  <w:tcW w:w="719" w:type="dxa"/>
                  <w:vAlign w:val="center"/>
                  <w:textDirection w:val="lrTb"/>
                  <w:noWrap w:val="false"/>
                </w:tcPr>
                <w:p>
                  <w:pPr>
                    <w:ind w:left="247"/>
                    <w:spacing w:before="277"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68</w:t>
                  </w:r>
                  <w:r/>
                </w:p>
              </w:tc>
              <w:tc>
                <w:tcPr>
                  <w:tcBorders>
                    <w:bottom w:val="none" w:color="000000" w:sz="4" w:space="0"/>
                  </w:tcBorders>
                  <w:tcW w:w="1314" w:type="dxa"/>
                  <w:vAlign w:val="center"/>
                  <w:vMerge w:val="restart"/>
                  <w:textDirection w:val="lrTb"/>
                  <w:noWrap w:val="false"/>
                </w:tcPr>
                <w:p>
                  <w:pPr>
                    <w:jc w:val="center"/>
                    <w:spacing w:before="5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操作</w:t>
                  </w:r>
                  <w:r/>
                </w:p>
                <w:p>
                  <w:pPr>
                    <w:ind w:left="192"/>
                    <w:jc w:val="center"/>
                    <w:spacing w:before="23" w:line="22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系统</w:t>
                  </w:r>
                  <w:r/>
                </w:p>
                <w:p>
                  <w:pPr>
                    <w:ind w:left="188"/>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及驱</w:t>
                  </w:r>
                  <w:r/>
                </w:p>
                <w:p>
                  <w:pPr>
                    <w:ind w:left="189"/>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动功</w:t>
                  </w:r>
                  <w:r/>
                </w:p>
                <w:p>
                  <w:pPr>
                    <w:ind w:left="285"/>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操作系统及驱动的升级</w:t>
                  </w:r>
                  <w:r/>
                </w:p>
              </w:tc>
              <w:tc>
                <w:tcPr>
                  <w:tcW w:w="4915" w:type="dxa"/>
                  <w:vAlign w:val="center"/>
                  <w:textDirection w:val="lrTb"/>
                  <w:noWrap w:val="false"/>
                </w:tcPr>
                <w:p>
                  <w:pPr>
                    <w:ind w:left="112" w:right="41" w:firstLine="7"/>
                    <w:spacing w:before="164"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支持通过网络、闪存盘对操作系统、</w:t>
                  </w:r>
                  <w:r>
                    <w:rPr>
                      <w:rFonts w:hint="eastAsia" w:ascii="宋体" w:hAnsi="宋体" w:eastAsia="宋体" w:cs="宋体"/>
                      <w:i/>
                      <w:iCs/>
                      <w:color w:val="auto"/>
                      <w:spacing w:val="-1"/>
                      <w:sz w:val="24"/>
                      <w:szCs w:val="24"/>
                      <w:highlight w:val="none"/>
                      <w:u w:val="single"/>
                      <w:lang w:eastAsia="en-US"/>
                    </w:rPr>
                    <w:t xml:space="preserve">驱动进行升级</w:t>
                  </w:r>
                  <w:r/>
                </w:p>
              </w:tc>
            </w:tr>
            <w:tr>
              <w:trPr>
                <w:jc w:val="center"/>
                <w:trHeight w:val="725"/>
              </w:trPr>
              <w:tc>
                <w:tcPr>
                  <w:tcW w:w="719" w:type="dxa"/>
                  <w:vAlign w:val="center"/>
                  <w:textDirection w:val="lrTb"/>
                  <w:noWrap w:val="false"/>
                </w:tcPr>
                <w:p>
                  <w:pPr>
                    <w:ind w:left="247"/>
                    <w:spacing w:before="277"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69</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操作系统</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及驱动的</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备份还原</w:t>
                  </w:r>
                  <w:r/>
                </w:p>
              </w:tc>
              <w:tc>
                <w:tcPr>
                  <w:tcW w:w="4915" w:type="dxa"/>
                  <w:vAlign w:val="center"/>
                  <w:textDirection w:val="lrTb"/>
                  <w:noWrap w:val="false"/>
                </w:tcPr>
                <w:p>
                  <w:pPr>
                    <w:ind w:left="119"/>
                    <w:spacing w:before="283"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支持操作系统备份及还原功能</w:t>
                  </w:r>
                  <w:r/>
                </w:p>
              </w:tc>
            </w:tr>
            <w:tr>
              <w:trPr>
                <w:jc w:val="center"/>
                <w:trHeight w:val="967"/>
              </w:trPr>
              <w:tc>
                <w:tcPr>
                  <w:tcW w:w="719" w:type="dxa"/>
                  <w:vAlign w:val="center"/>
                  <w:textDirection w:val="lrTb"/>
                  <w:noWrap w:val="false"/>
                </w:tcPr>
                <w:p>
                  <w:pPr>
                    <w:ind w:left="248"/>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70</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操作系统功能</w:t>
                  </w:r>
                  <w:r/>
                </w:p>
              </w:tc>
              <w:tc>
                <w:tcPr>
                  <w:tcW w:w="4915" w:type="dxa"/>
                  <w:vAlign w:val="center"/>
                  <w:textDirection w:val="lrTb"/>
                  <w:noWrap w:val="false"/>
                </w:tcPr>
                <w:p>
                  <w:pPr>
                    <w:ind w:left="113" w:right="103" w:firstLine="1"/>
                    <w:spacing w:before="44"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支持访问控制、安全审计、网络</w:t>
                  </w:r>
                  <w:r>
                    <w:rPr>
                      <w:rFonts w:hint="eastAsia" w:ascii="宋体" w:hAnsi="宋体" w:eastAsia="宋体" w:cs="宋体"/>
                      <w:i/>
                      <w:iCs/>
                      <w:color w:val="auto"/>
                      <w:spacing w:val="-1"/>
                      <w:sz w:val="24"/>
                      <w:szCs w:val="24"/>
                      <w:highlight w:val="none"/>
                      <w:u w:val="single"/>
                      <w:lang w:eastAsia="en-US"/>
                    </w:rPr>
                    <w:t xml:space="preserve">接入鉴别等功能；</w:t>
                  </w:r>
                  <w:r/>
                </w:p>
                <w:p>
                  <w:pPr>
                    <w:ind w:left="117" w:right="259" w:hanging="2"/>
                    <w:spacing w:before="6"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操作系统其他功能应满足操作系统政府采购需求标准中加*的指</w:t>
                  </w:r>
                  <w:r>
                    <w:rPr>
                      <w:rFonts w:hint="eastAsia" w:ascii="宋体" w:hAnsi="宋体" w:eastAsia="宋体" w:cs="宋体"/>
                      <w:i/>
                      <w:iCs/>
                      <w:color w:val="auto"/>
                      <w:spacing w:val="-2"/>
                      <w:sz w:val="24"/>
                      <w:szCs w:val="24"/>
                      <w:highlight w:val="none"/>
                      <w:u w:val="single"/>
                      <w:lang w:eastAsia="en-US"/>
                    </w:rPr>
                    <w:t xml:space="preserve">标要求</w:t>
                  </w:r>
                  <w:r/>
                </w:p>
              </w:tc>
            </w:tr>
            <w:tr>
              <w:trPr>
                <w:jc w:val="center"/>
                <w:trHeight w:val="964"/>
              </w:trPr>
              <w:tc>
                <w:tcPr>
                  <w:tcW w:w="719" w:type="dxa"/>
                  <w:vAlign w:val="center"/>
                  <w:textDirection w:val="lrTb"/>
                  <w:noWrap w:val="false"/>
                </w:tcPr>
                <w:p>
                  <w:pPr>
                    <w:ind w:left="248"/>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71</w:t>
                  </w:r>
                  <w:r/>
                </w:p>
              </w:tc>
              <w:tc>
                <w:tcPr>
                  <w:tcW w:w="1314" w:type="dxa"/>
                  <w:vAlign w:val="center"/>
                  <w:textDirection w:val="lrTb"/>
                  <w:noWrap w:val="false"/>
                </w:tcPr>
                <w:p>
                  <w:pPr>
                    <w:ind w:left="188" w:right="141" w:hanging="49"/>
                    <w:jc w:val="center"/>
                    <w:spacing w:before="38"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中文</w:t>
                  </w:r>
                  <w:r>
                    <w:rPr>
                      <w:rFonts w:hint="eastAsia" w:ascii="宋体" w:hAnsi="宋体" w:eastAsia="宋体" w:cs="宋体"/>
                      <w:color w:val="auto"/>
                      <w:spacing w:val="-4"/>
                      <w:sz w:val="24"/>
                      <w:szCs w:val="24"/>
                      <w:highlight w:val="none"/>
                      <w:lang w:eastAsia="en-US"/>
                    </w:rPr>
                    <w:t xml:space="preserve">信息处理</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中文信息处理</w:t>
                  </w:r>
                  <w:r/>
                </w:p>
              </w:tc>
              <w:tc>
                <w:tcPr>
                  <w:tcW w:w="4915" w:type="dxa"/>
                  <w:vAlign w:val="center"/>
                  <w:textDirection w:val="lrTb"/>
                  <w:noWrap w:val="false"/>
                </w:tcPr>
                <w:p>
                  <w:pPr>
                    <w:spacing w:line="337"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13"/>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符合GB18030的有关规定</w:t>
                  </w:r>
                  <w:r/>
                </w:p>
              </w:tc>
            </w:tr>
            <w:tr>
              <w:trPr>
                <w:jc w:val="center"/>
                <w:trHeight w:val="725"/>
              </w:trPr>
              <w:tc>
                <w:tcPr>
                  <w:tcW w:w="719" w:type="dxa"/>
                  <w:vAlign w:val="center"/>
                  <w:textDirection w:val="lrTb"/>
                  <w:noWrap w:val="false"/>
                </w:tcPr>
                <w:p>
                  <w:pPr>
                    <w:ind w:left="248"/>
                    <w:spacing w:before="273"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72</w:t>
                  </w:r>
                  <w:r/>
                </w:p>
              </w:tc>
              <w:tc>
                <w:tcPr>
                  <w:tcBorders>
                    <w:bottom w:val="none" w:color="000000" w:sz="4" w:space="0"/>
                  </w:tcBorders>
                  <w:tcW w:w="1314" w:type="dxa"/>
                  <w:vAlign w:val="center"/>
                  <w:vMerge w:val="restart"/>
                  <w:textDirection w:val="lrTb"/>
                  <w:noWrap w:val="false"/>
                </w:tcPr>
                <w:p>
                  <w:pPr>
                    <w:ind w:right="186"/>
                    <w:jc w:val="center"/>
                    <w:spacing w:before="58"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机柜</w:t>
                  </w:r>
                  <w:r>
                    <w:rPr>
                      <w:rFonts w:hint="eastAsia" w:ascii="宋体" w:hAnsi="宋体" w:eastAsia="宋体" w:cs="宋体"/>
                      <w:color w:val="auto"/>
                      <w:spacing w:val="-5"/>
                      <w:sz w:val="24"/>
                      <w:szCs w:val="24"/>
                      <w:highlight w:val="none"/>
                      <w:lang w:eastAsia="en-US"/>
                    </w:rPr>
                    <w:t xml:space="preserve">功能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机柜管理功能</w:t>
                  </w:r>
                  <w:r/>
                </w:p>
              </w:tc>
              <w:tc>
                <w:tcPr>
                  <w:tcW w:w="4915" w:type="dxa"/>
                  <w:vAlign w:val="center"/>
                  <w:textDirection w:val="lrTb"/>
                  <w:noWrap w:val="false"/>
                </w:tcPr>
                <w:p>
                  <w:pPr>
                    <w:ind w:left="114" w:right="168" w:hanging="2"/>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机柜管理系统包括服务器节点BMC管理系统、机柜管理系统或交换节</w:t>
                  </w:r>
                  <w:r>
                    <w:rPr>
                      <w:rFonts w:hint="eastAsia" w:ascii="宋体" w:hAnsi="宋体" w:eastAsia="宋体" w:cs="宋体"/>
                      <w:i/>
                      <w:iCs/>
                      <w:color w:val="auto"/>
                      <w:spacing w:val="-2"/>
                      <w:sz w:val="24"/>
                      <w:szCs w:val="24"/>
                      <w:highlight w:val="none"/>
                      <w:u w:val="single"/>
                      <w:lang w:eastAsia="en-US"/>
                    </w:rPr>
                    <w:t xml:space="preserve">点管理系统</w:t>
                  </w:r>
                  <w:r/>
                </w:p>
              </w:tc>
            </w:tr>
            <w:tr>
              <w:trPr>
                <w:jc w:val="center"/>
                <w:trHeight w:val="725"/>
              </w:trPr>
              <w:tc>
                <w:tcPr>
                  <w:tcW w:w="719" w:type="dxa"/>
                  <w:vAlign w:val="center"/>
                  <w:textDirection w:val="lrTb"/>
                  <w:noWrap w:val="false"/>
                </w:tcPr>
                <w:p>
                  <w:pPr>
                    <w:ind w:left="248"/>
                    <w:spacing w:before="273"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机柜通信方式</w:t>
                  </w:r>
                  <w:r/>
                </w:p>
              </w:tc>
              <w:tc>
                <w:tcPr>
                  <w:tcW w:w="4915" w:type="dxa"/>
                  <w:vAlign w:val="center"/>
                  <w:textDirection w:val="lrTb"/>
                  <w:noWrap w:val="false"/>
                </w:tcPr>
                <w:p>
                  <w:pPr>
                    <w:ind w:left="112" w:right="168" w:firstLine="1"/>
                    <w:spacing w:before="39" w:line="23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若配备机柜管理板可实现包括：资产管理、电源模块、功耗管理和液冷漏液检测等功能</w:t>
                  </w:r>
                  <w:r/>
                </w:p>
              </w:tc>
            </w:tr>
            <w:tr>
              <w:trPr>
                <w:jc w:val="center"/>
                <w:trHeight w:val="725"/>
              </w:trPr>
              <w:tc>
                <w:tcPr>
                  <w:tcW w:w="719" w:type="dxa"/>
                  <w:vAlign w:val="center"/>
                  <w:textDirection w:val="lrTb"/>
                  <w:noWrap w:val="false"/>
                </w:tcPr>
                <w:p>
                  <w:pPr>
                    <w:ind w:left="248"/>
                    <w:spacing w:before="27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74</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多集群作业管理</w:t>
                  </w:r>
                  <w:r/>
                </w:p>
              </w:tc>
              <w:tc>
                <w:tcPr>
                  <w:tcW w:w="4915" w:type="dxa"/>
                  <w:vAlign w:val="center"/>
                  <w:textDirection w:val="lrTb"/>
                  <w:noWrap w:val="false"/>
                </w:tcPr>
                <w:p>
                  <w:pPr>
                    <w:ind w:left="119"/>
                    <w:spacing w:before="280"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支持多集群作业管理功能</w:t>
                  </w:r>
                  <w:r/>
                </w:p>
              </w:tc>
            </w:tr>
            <w:tr>
              <w:trPr>
                <w:jc w:val="center"/>
                <w:trHeight w:val="1684"/>
              </w:trPr>
              <w:tc>
                <w:tcPr>
                  <w:tcW w:w="719" w:type="dxa"/>
                  <w:vAlign w:val="center"/>
                  <w:textDirection w:val="lrTb"/>
                  <w:noWrap w:val="false"/>
                </w:tcPr>
                <w:p>
                  <w:pPr>
                    <w:jc w:val="center"/>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75</w:t>
                  </w:r>
                  <w:r/>
                </w:p>
              </w:tc>
              <w:tc>
                <w:tcPr>
                  <w:tcW w:w="1314" w:type="dxa"/>
                  <w:vAlign w:val="center"/>
                  <w:textDirection w:val="lrTb"/>
                  <w:noWrap w:val="false"/>
                </w:tcPr>
                <w:p>
                  <w:pPr>
                    <w:ind w:right="174"/>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关键</w:t>
                  </w:r>
                  <w:r>
                    <w:rPr>
                      <w:rFonts w:hint="eastAsia" w:ascii="宋体" w:hAnsi="宋体" w:eastAsia="宋体" w:cs="宋体"/>
                      <w:color w:val="auto"/>
                      <w:spacing w:val="-3"/>
                      <w:sz w:val="24"/>
                      <w:szCs w:val="24"/>
                      <w:highlight w:val="none"/>
                      <w:lang w:eastAsia="en-US"/>
                    </w:rPr>
                    <w:t xml:space="preserve">部件安全要求</w:t>
                  </w:r>
                  <w:r/>
                </w:p>
              </w:tc>
              <w:tc>
                <w:tcPr>
                  <w:tcW w:w="1200" w:type="dxa"/>
                  <w:vAlign w:val="center"/>
                  <w:textDirection w:val="lrTb"/>
                  <w:noWrap w:val="false"/>
                </w:tcPr>
                <w:p>
                  <w:pPr>
                    <w:jc w:val="center"/>
                    <w:spacing w:before="59" w:line="223"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关键部件</w:t>
                  </w:r>
                  <w:r/>
                </w:p>
                <w:p>
                  <w:pPr>
                    <w:ind w:left="117"/>
                    <w:jc w:val="center"/>
                    <w:spacing w:before="7" w:line="23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安全要求</w:t>
                  </w:r>
                  <w:r/>
                </w:p>
              </w:tc>
              <w:tc>
                <w:tcPr>
                  <w:tcW w:w="4915" w:type="dxa"/>
                  <w:vAlign w:val="center"/>
                  <w:textDirection w:val="lrTb"/>
                  <w:noWrap w:val="false"/>
                </w:tcPr>
                <w:p>
                  <w:pPr>
                    <w:ind w:right="213"/>
                    <w:spacing w:before="58"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CPU和操作系统等关键部件应当符</w:t>
                  </w:r>
                  <w:r>
                    <w:rPr>
                      <w:rFonts w:hint="eastAsia" w:ascii="宋体" w:hAnsi="宋体" w:eastAsia="宋体" w:cs="宋体"/>
                      <w:i/>
                      <w:iCs/>
                      <w:color w:val="auto"/>
                      <w:spacing w:val="-1"/>
                      <w:sz w:val="24"/>
                      <w:szCs w:val="24"/>
                      <w:highlight w:val="none"/>
                      <w:u w:val="single"/>
                      <w:lang w:eastAsia="en-US"/>
                    </w:rPr>
                    <w:t xml:space="preserve">合安全可靠测评要求</w:t>
                  </w:r>
                  <w:r/>
                </w:p>
              </w:tc>
            </w:tr>
            <w:tr>
              <w:trPr>
                <w:jc w:val="center"/>
                <w:trHeight w:val="725"/>
              </w:trPr>
              <w:tc>
                <w:tcPr>
                  <w:tcW w:w="719" w:type="dxa"/>
                  <w:vAlign w:val="center"/>
                  <w:textDirection w:val="lrTb"/>
                  <w:noWrap w:val="false"/>
                </w:tcPr>
                <w:p>
                  <w:pPr>
                    <w:ind w:left="248"/>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76</w:t>
                  </w:r>
                  <w:r/>
                </w:p>
              </w:tc>
              <w:tc>
                <w:tcPr>
                  <w:tcBorders>
                    <w:bottom w:val="none" w:color="000000" w:sz="4" w:space="0"/>
                  </w:tcBorders>
                  <w:tcW w:w="1314" w:type="dxa"/>
                  <w:vAlign w:val="center"/>
                  <w:vMerge w:val="restart"/>
                  <w:textDirection w:val="lrTb"/>
                  <w:noWrap w:val="false"/>
                </w:tcPr>
                <w:p>
                  <w:pPr>
                    <w:ind w:left="186" w:right="141" w:hanging="47"/>
                    <w:jc w:val="center"/>
                    <w:spacing w:before="58"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固件</w:t>
                  </w:r>
                  <w:r>
                    <w:rPr>
                      <w:rFonts w:hint="eastAsia" w:ascii="宋体" w:hAnsi="宋体" w:eastAsia="宋体" w:cs="宋体"/>
                      <w:color w:val="auto"/>
                      <w:spacing w:val="-3"/>
                      <w:sz w:val="24"/>
                      <w:szCs w:val="24"/>
                      <w:highlight w:val="none"/>
                      <w:lang w:eastAsia="en-US"/>
                    </w:rPr>
                    <w:t xml:space="preserve">安全要求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故障检测</w:t>
                  </w:r>
                  <w:r/>
                </w:p>
              </w:tc>
              <w:tc>
                <w:tcPr>
                  <w:tcW w:w="4915" w:type="dxa"/>
                  <w:vAlign w:val="center"/>
                  <w:textDirection w:val="lrTb"/>
                  <w:noWrap w:val="false"/>
                </w:tcPr>
                <w:p>
                  <w:pPr>
                    <w:ind w:left="113" w:right="103" w:firstLine="6"/>
                    <w:spacing w:before="39" w:line="23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支持故障检测功能，可以检测到具</w:t>
                  </w:r>
                  <w:r>
                    <w:rPr>
                      <w:rFonts w:hint="eastAsia" w:ascii="宋体" w:hAnsi="宋体" w:eastAsia="宋体" w:cs="宋体"/>
                      <w:i/>
                      <w:iCs/>
                      <w:color w:val="auto"/>
                      <w:spacing w:val="-5"/>
                      <w:sz w:val="24"/>
                      <w:szCs w:val="24"/>
                      <w:highlight w:val="none"/>
                      <w:u w:val="single"/>
                      <w:lang w:eastAsia="en-US"/>
                    </w:rPr>
                    <w:t xml:space="preserve">体的FRU（内存、硬盘等）的故障并</w:t>
                  </w:r>
                  <w:r>
                    <w:rPr>
                      <w:rFonts w:hint="eastAsia" w:ascii="宋体" w:hAnsi="宋体" w:eastAsia="宋体" w:cs="宋体"/>
                      <w:i/>
                      <w:iCs/>
                      <w:color w:val="auto"/>
                      <w:spacing w:val="-2"/>
                      <w:sz w:val="24"/>
                      <w:szCs w:val="24"/>
                      <w:highlight w:val="none"/>
                      <w:u w:val="single"/>
                      <w:lang w:eastAsia="en-US"/>
                    </w:rPr>
                    <w:t xml:space="preserve">发出告警</w:t>
                  </w:r>
                  <w:r/>
                </w:p>
              </w:tc>
            </w:tr>
            <w:tr>
              <w:trPr>
                <w:jc w:val="center"/>
                <w:trHeight w:val="964"/>
              </w:trPr>
              <w:tc>
                <w:tcPr>
                  <w:tcW w:w="719" w:type="dxa"/>
                  <w:vAlign w:val="center"/>
                  <w:textDirection w:val="lrTb"/>
                  <w:noWrap w:val="false"/>
                </w:tcPr>
                <w:p>
                  <w:pPr>
                    <w:ind w:left="248"/>
                    <w:spacing w:before="5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77</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内存故障</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智能预测</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和自愈修复</w:t>
                  </w:r>
                  <w:r/>
                </w:p>
              </w:tc>
              <w:tc>
                <w:tcPr>
                  <w:tcW w:w="4915" w:type="dxa"/>
                  <w:vAlign w:val="center"/>
                  <w:textDirection w:val="lrTb"/>
                  <w:noWrap w:val="false"/>
                </w:tcPr>
                <w:p>
                  <w:pPr>
                    <w:ind w:left="119"/>
                    <w:spacing w:before="39"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支持内存故障智能预测和自愈修</w:t>
                  </w:r>
                  <w:r/>
                </w:p>
                <w:p>
                  <w:pPr>
                    <w:ind w:left="117" w:right="168" w:hanging="2"/>
                    <w:spacing w:before="25"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复，提前自动硬隔离，避免内存故障引起的非预期宕机以及内存寿命</w:t>
                  </w:r>
                  <w:r>
                    <w:rPr>
                      <w:rFonts w:hint="eastAsia" w:ascii="宋体" w:hAnsi="宋体" w:eastAsia="宋体" w:cs="宋体"/>
                      <w:i/>
                      <w:iCs/>
                      <w:color w:val="auto"/>
                      <w:spacing w:val="-4"/>
                      <w:sz w:val="24"/>
                      <w:szCs w:val="24"/>
                      <w:highlight w:val="none"/>
                      <w:u w:val="single"/>
                      <w:lang w:eastAsia="en-US"/>
                    </w:rPr>
                    <w:t xml:space="preserve">的降低</w:t>
                  </w:r>
                  <w:r/>
                </w:p>
              </w:tc>
            </w:tr>
            <w:tr>
              <w:trPr>
                <w:jc w:val="center"/>
                <w:trHeight w:val="725"/>
              </w:trPr>
              <w:tc>
                <w:tcPr>
                  <w:tcW w:w="719" w:type="dxa"/>
                  <w:vAlign w:val="center"/>
                  <w:textDirection w:val="lrTb"/>
                  <w:noWrap w:val="false"/>
                </w:tcPr>
                <w:p>
                  <w:pPr>
                    <w:ind w:left="248"/>
                    <w:spacing w:before="275"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78</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硬盘故障智能预测</w:t>
                  </w:r>
                  <w:r/>
                </w:p>
              </w:tc>
              <w:tc>
                <w:tcPr>
                  <w:tcW w:w="4915" w:type="dxa"/>
                  <w:vAlign w:val="center"/>
                  <w:textDirection w:val="lrTb"/>
                  <w:noWrap w:val="false"/>
                </w:tcPr>
                <w:p>
                  <w:pPr>
                    <w:ind w:left="112" w:right="168" w:firstLine="7"/>
                    <w:spacing w:before="162"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支持硬盘故障智能预测，基于故障模型预测出硬盘的故障</w:t>
                  </w:r>
                  <w:r/>
                </w:p>
              </w:tc>
            </w:tr>
            <w:tr>
              <w:trPr>
                <w:jc w:val="center"/>
                <w:trHeight w:val="725"/>
              </w:trPr>
              <w:tc>
                <w:tcPr>
                  <w:tcW w:w="719" w:type="dxa"/>
                  <w:vAlign w:val="center"/>
                  <w:textDirection w:val="lrTb"/>
                  <w:noWrap w:val="false"/>
                </w:tcPr>
                <w:p>
                  <w:pPr>
                    <w:ind w:left="248"/>
                    <w:spacing w:before="27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 xml:space="preserve">79</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PCIe 链路故障智能诊断</w:t>
                  </w:r>
                  <w:r/>
                </w:p>
              </w:tc>
              <w:tc>
                <w:tcPr>
                  <w:tcW w:w="4915" w:type="dxa"/>
                  <w:vAlign w:val="center"/>
                  <w:textDirection w:val="lrTb"/>
                  <w:noWrap w:val="false"/>
                </w:tcPr>
                <w:p>
                  <w:pPr>
                    <w:ind w:left="125" w:right="103" w:hanging="6"/>
                    <w:spacing w:before="162"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支持PCIe链路故障智能诊断，判断</w:t>
                  </w:r>
                  <w:r>
                    <w:rPr>
                      <w:rFonts w:hint="eastAsia" w:ascii="宋体" w:hAnsi="宋体" w:eastAsia="宋体" w:cs="宋体"/>
                      <w:i/>
                      <w:iCs/>
                      <w:color w:val="auto"/>
                      <w:spacing w:val="2"/>
                      <w:sz w:val="24"/>
                      <w:szCs w:val="24"/>
                      <w:highlight w:val="none"/>
                      <w:u w:val="single"/>
                      <w:lang w:eastAsia="en-US"/>
                    </w:rPr>
                    <w:t xml:space="preserve">出现故障的</w:t>
                  </w:r>
                  <w:r>
                    <w:rPr>
                      <w:rFonts w:hint="eastAsia" w:ascii="宋体" w:hAnsi="宋体" w:eastAsia="宋体" w:cs="宋体"/>
                      <w:i/>
                      <w:iCs/>
                      <w:color w:val="auto"/>
                      <w:sz w:val="24"/>
                      <w:szCs w:val="24"/>
                      <w:highlight w:val="none"/>
                      <w:u w:val="single"/>
                      <w:lang w:eastAsia="en-US"/>
                    </w:rPr>
                    <w:t xml:space="preserve">PCIe</w:t>
                  </w:r>
                  <w:r>
                    <w:rPr>
                      <w:rFonts w:hint="eastAsia" w:ascii="宋体" w:hAnsi="宋体" w:eastAsia="宋体" w:cs="宋体"/>
                      <w:i/>
                      <w:iCs/>
                      <w:color w:val="auto"/>
                      <w:spacing w:val="2"/>
                      <w:sz w:val="24"/>
                      <w:szCs w:val="24"/>
                      <w:highlight w:val="none"/>
                      <w:u w:val="single"/>
                      <w:lang w:eastAsia="en-US"/>
                    </w:rPr>
                    <w:t xml:space="preserve">链路</w:t>
                  </w:r>
                  <w:r/>
                </w:p>
              </w:tc>
            </w:tr>
            <w:tr>
              <w:trPr>
                <w:jc w:val="center"/>
                <w:trHeight w:val="725"/>
              </w:trPr>
              <w:tc>
                <w:tcPr>
                  <w:tcW w:w="719" w:type="dxa"/>
                  <w:vAlign w:val="center"/>
                  <w:textDirection w:val="lrTb"/>
                  <w:noWrap w:val="false"/>
                </w:tcPr>
                <w:p>
                  <w:pPr>
                    <w:ind w:left="245"/>
                    <w:spacing w:before="27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80</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内存故障隔离</w:t>
                  </w:r>
                  <w:r/>
                </w:p>
              </w:tc>
              <w:tc>
                <w:tcPr>
                  <w:tcW w:w="4915" w:type="dxa"/>
                  <w:vAlign w:val="center"/>
                  <w:textDirection w:val="lrTb"/>
                  <w:noWrap w:val="false"/>
                </w:tcPr>
                <w:p>
                  <w:pPr>
                    <w:ind w:left="115" w:right="123" w:firstLine="4"/>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支持内存故障隔离，在内存产生CE</w:t>
                  </w:r>
                  <w:r>
                    <w:rPr>
                      <w:rFonts w:hint="eastAsia" w:ascii="宋体" w:hAnsi="宋体" w:eastAsia="宋体" w:cs="宋体"/>
                      <w:i/>
                      <w:iCs/>
                      <w:color w:val="auto"/>
                      <w:spacing w:val="-1"/>
                      <w:sz w:val="24"/>
                      <w:szCs w:val="24"/>
                      <w:highlight w:val="none"/>
                      <w:u w:val="single"/>
                      <w:lang w:eastAsia="en-US"/>
                    </w:rPr>
                    <w:t xml:space="preserve">故障时，内存地址被隔离成功，服务器正常运行，业务系统不中断</w:t>
                  </w:r>
                  <w:r/>
                </w:p>
              </w:tc>
            </w:tr>
            <w:tr>
              <w:trPr>
                <w:jc w:val="center"/>
                <w:trHeight w:val="964"/>
              </w:trPr>
              <w:tc>
                <w:tcPr>
                  <w:tcW w:w="719" w:type="dxa"/>
                  <w:vAlign w:val="center"/>
                  <w:textDirection w:val="lrTb"/>
                  <w:noWrap w:val="false"/>
                </w:tcPr>
                <w:p>
                  <w:pPr>
                    <w:ind w:left="245"/>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81</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内存、PCIe卡的故障</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精准告警功能</w:t>
                  </w:r>
                  <w:r/>
                </w:p>
              </w:tc>
              <w:tc>
                <w:tcPr>
                  <w:tcW w:w="4915" w:type="dxa"/>
                  <w:vAlign w:val="center"/>
                  <w:textDirection w:val="lrTb"/>
                  <w:noWrap w:val="false"/>
                </w:tcPr>
                <w:p>
                  <w:pPr>
                    <w:ind w:left="115" w:right="125" w:firstLine="4"/>
                    <w:spacing w:before="163"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支持内存、PCIe卡的故障精准告警</w:t>
                  </w:r>
                  <w:r>
                    <w:rPr>
                      <w:rFonts w:hint="eastAsia" w:ascii="宋体" w:hAnsi="宋体" w:eastAsia="宋体" w:cs="宋体"/>
                      <w:i/>
                      <w:iCs/>
                      <w:color w:val="auto"/>
                      <w:spacing w:val="-1"/>
                      <w:sz w:val="24"/>
                      <w:szCs w:val="24"/>
                      <w:highlight w:val="none"/>
                      <w:u w:val="single"/>
                      <w:lang w:eastAsia="en-US"/>
                    </w:rPr>
                    <w:t xml:space="preserve">功能，触发告警并明确指示具体的</w:t>
                  </w:r>
                  <w:r>
                    <w:rPr>
                      <w:rFonts w:hint="eastAsia" w:ascii="宋体" w:hAnsi="宋体" w:eastAsia="宋体" w:cs="宋体"/>
                      <w:i/>
                      <w:iCs/>
                      <w:color w:val="auto"/>
                      <w:spacing w:val="-3"/>
                      <w:sz w:val="24"/>
                      <w:szCs w:val="24"/>
                      <w:highlight w:val="none"/>
                      <w:u w:val="single"/>
                      <w:lang w:eastAsia="en-US"/>
                    </w:rPr>
                    <w:t xml:space="preserve">故障位置</w:t>
                  </w:r>
                  <w:r/>
                </w:p>
              </w:tc>
            </w:tr>
            <w:tr>
              <w:trPr>
                <w:jc w:val="center"/>
                <w:trHeight w:val="725"/>
              </w:trPr>
              <w:tc>
                <w:tcPr>
                  <w:tcW w:w="719" w:type="dxa"/>
                  <w:vAlign w:val="center"/>
                  <w:textDirection w:val="lrTb"/>
                  <w:noWrap w:val="false"/>
                </w:tcPr>
                <w:p>
                  <w:pPr>
                    <w:ind w:left="245"/>
                    <w:spacing w:before="27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82</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异常下电</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关键数据保护</w:t>
                  </w:r>
                  <w:r/>
                </w:p>
              </w:tc>
              <w:tc>
                <w:tcPr>
                  <w:tcW w:w="4915" w:type="dxa"/>
                  <w:vAlign w:val="center"/>
                  <w:textDirection w:val="lrTb"/>
                  <w:noWrap w:val="false"/>
                </w:tcPr>
                <w:p>
                  <w:pPr>
                    <w:ind w:left="113" w:right="168" w:firstLine="5"/>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支持异常下电关键数据保护，支持数据备份恢复机制，防止系统异常掉电导致的数据文件丢失</w:t>
                  </w:r>
                  <w:r/>
                </w:p>
              </w:tc>
            </w:tr>
            <w:tr>
              <w:trPr>
                <w:jc w:val="center"/>
                <w:trHeight w:val="725"/>
              </w:trPr>
              <w:tc>
                <w:tcPr>
                  <w:tcW w:w="719" w:type="dxa"/>
                  <w:vAlign w:val="center"/>
                  <w:textDirection w:val="lrTb"/>
                  <w:noWrap w:val="false"/>
                </w:tcPr>
                <w:p>
                  <w:pPr>
                    <w:ind w:left="245"/>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BMC/BIOS固件双镜像保护</w:t>
                  </w:r>
                  <w:r/>
                </w:p>
              </w:tc>
              <w:tc>
                <w:tcPr>
                  <w:tcW w:w="4915" w:type="dxa"/>
                  <w:vAlign w:val="center"/>
                  <w:textDirection w:val="lrTb"/>
                  <w:noWrap w:val="false"/>
                </w:tcPr>
                <w:p>
                  <w:pPr>
                    <w:ind w:left="113" w:right="103" w:firstLine="5"/>
                    <w:spacing w:before="42" w:line="24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支持BMC/BIOS固件双镜像保护，运</w:t>
                  </w:r>
                  <w:r>
                    <w:rPr>
                      <w:rFonts w:hint="eastAsia" w:ascii="宋体" w:hAnsi="宋体" w:eastAsia="宋体" w:cs="宋体"/>
                      <w:i/>
                      <w:iCs/>
                      <w:color w:val="auto"/>
                      <w:spacing w:val="-1"/>
                      <w:sz w:val="24"/>
                      <w:szCs w:val="24"/>
                      <w:highlight w:val="none"/>
                      <w:u w:val="single"/>
                      <w:lang w:eastAsia="en-US"/>
                    </w:rPr>
                    <w:t xml:space="preserve">行异常时自动切换到备份镜像运</w:t>
                  </w:r>
                  <w:r/>
                </w:p>
                <w:p>
                  <w:pPr>
                    <w:ind w:left="113"/>
                    <w:spacing w:line="19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行，提升系统稳定性</w:t>
                  </w:r>
                  <w:r/>
                </w:p>
              </w:tc>
            </w:tr>
            <w:tr>
              <w:trPr>
                <w:jc w:val="center"/>
                <w:trHeight w:val="964"/>
              </w:trPr>
              <w:tc>
                <w:tcPr>
                  <w:tcW w:w="719" w:type="dxa"/>
                  <w:vAlign w:val="center"/>
                  <w:textDirection w:val="lrTb"/>
                  <w:noWrap w:val="false"/>
                </w:tcPr>
                <w:p>
                  <w:pPr>
                    <w:jc w:val="center"/>
                    <w:spacing w:line="33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45"/>
                    <w:spacing w:before="58"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核重启隔离</w:t>
                  </w:r>
                  <w:r/>
                </w:p>
              </w:tc>
              <w:tc>
                <w:tcPr>
                  <w:tcW w:w="4915" w:type="dxa"/>
                  <w:vAlign w:val="center"/>
                  <w:textDirection w:val="lrTb"/>
                  <w:noWrap w:val="false"/>
                </w:tcPr>
                <w:p>
                  <w:pPr>
                    <w:ind w:left="119"/>
                    <w:spacing w:before="44"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支持CPU核发生不可纠正故障后，</w:t>
                  </w:r>
                  <w:r/>
                </w:p>
                <w:p>
                  <w:pPr>
                    <w:ind w:left="115" w:right="103" w:firstLine="2"/>
                    <w:spacing w:before="32" w:line="229"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重启后由</w:t>
                  </w:r>
                  <w:r>
                    <w:rPr>
                      <w:rFonts w:hint="eastAsia" w:ascii="宋体" w:hAnsi="宋体" w:eastAsia="宋体" w:cs="宋体"/>
                      <w:i/>
                      <w:iCs/>
                      <w:color w:val="auto"/>
                      <w:sz w:val="24"/>
                      <w:szCs w:val="24"/>
                      <w:highlight w:val="none"/>
                      <w:u w:val="single"/>
                      <w:lang w:eastAsia="en-US"/>
                    </w:rPr>
                    <w:t xml:space="preserve">BIOS</w:t>
                  </w:r>
                  <w:r>
                    <w:rPr>
                      <w:rFonts w:hint="eastAsia" w:ascii="宋体" w:hAnsi="宋体" w:eastAsia="宋体" w:cs="宋体"/>
                      <w:i/>
                      <w:iCs/>
                      <w:color w:val="auto"/>
                      <w:spacing w:val="1"/>
                      <w:sz w:val="24"/>
                      <w:szCs w:val="24"/>
                      <w:highlight w:val="none"/>
                      <w:u w:val="single"/>
                      <w:lang w:eastAsia="en-US"/>
                    </w:rPr>
                    <w:t xml:space="preserve">隔离该故障核，</w:t>
                  </w:r>
                  <w:r>
                    <w:rPr>
                      <w:rFonts w:hint="eastAsia" w:ascii="宋体" w:hAnsi="宋体" w:eastAsia="宋体" w:cs="宋体"/>
                      <w:i/>
                      <w:iCs/>
                      <w:color w:val="auto"/>
                      <w:sz w:val="24"/>
                      <w:szCs w:val="24"/>
                      <w:highlight w:val="none"/>
                      <w:u w:val="single"/>
                      <w:lang w:eastAsia="en-US"/>
                    </w:rPr>
                    <w:t xml:space="preserve">OS</w:t>
                  </w:r>
                  <w:r>
                    <w:rPr>
                      <w:rFonts w:hint="eastAsia" w:ascii="宋体" w:hAnsi="宋体" w:eastAsia="宋体" w:cs="宋体"/>
                      <w:i/>
                      <w:iCs/>
                      <w:color w:val="auto"/>
                      <w:spacing w:val="-3"/>
                      <w:sz w:val="24"/>
                      <w:szCs w:val="24"/>
                      <w:highlight w:val="none"/>
                      <w:u w:val="single"/>
                      <w:lang w:eastAsia="en-US"/>
                    </w:rPr>
                    <w:t xml:space="preserve">不可见，防止OS再次使用导致系统</w:t>
                  </w:r>
                  <w:r>
                    <w:rPr>
                      <w:rFonts w:hint="eastAsia" w:ascii="宋体" w:hAnsi="宋体" w:eastAsia="宋体" w:cs="宋体"/>
                      <w:i/>
                      <w:iCs/>
                      <w:color w:val="auto"/>
                      <w:spacing w:val="-5"/>
                      <w:sz w:val="24"/>
                      <w:szCs w:val="24"/>
                      <w:highlight w:val="none"/>
                      <w:u w:val="single"/>
                      <w:lang w:eastAsia="en-US"/>
                    </w:rPr>
                    <w:t xml:space="preserve">异常，核0除外</w:t>
                  </w:r>
                  <w:r/>
                </w:p>
              </w:tc>
            </w:tr>
            <w:tr>
              <w:trPr>
                <w:jc w:val="center"/>
                <w:trHeight w:val="248"/>
              </w:trPr>
              <w:tc>
                <w:tcPr>
                  <w:tcW w:w="719" w:type="dxa"/>
                  <w:vAlign w:val="center"/>
                  <w:textDirection w:val="lrTb"/>
                  <w:noWrap w:val="false"/>
                </w:tcPr>
                <w:p>
                  <w:pPr>
                    <w:ind w:left="245"/>
                    <w:spacing w:before="37" w:line="20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85</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内存地址隔离</w:t>
                  </w:r>
                  <w:r/>
                </w:p>
              </w:tc>
              <w:tc>
                <w:tcPr>
                  <w:tcW w:w="4915" w:type="dxa"/>
                  <w:vAlign w:val="center"/>
                  <w:textDirection w:val="lrTb"/>
                  <w:noWrap w:val="false"/>
                </w:tcPr>
                <w:p>
                  <w:pPr>
                    <w:ind w:left="112"/>
                    <w:spacing w:before="44" w:line="19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在硬件支持的情况下，支持故障内</w:t>
                  </w:r>
                  <w:r>
                    <w:rPr>
                      <w:rFonts w:hint="eastAsia" w:ascii="宋体" w:hAnsi="宋体" w:eastAsia="宋体" w:cs="宋体"/>
                      <w:i/>
                      <w:iCs/>
                      <w:color w:val="auto"/>
                      <w:spacing w:val="-2"/>
                      <w:sz w:val="24"/>
                      <w:szCs w:val="24"/>
                      <w:highlight w:val="none"/>
                      <w:u w:val="single"/>
                      <w:lang w:eastAsia="en-US"/>
                    </w:rPr>
                    <w:t xml:space="preserve">存地址重启后隔离</w:t>
                  </w:r>
                  <w:r/>
                </w:p>
              </w:tc>
            </w:tr>
            <w:tr>
              <w:trPr>
                <w:jc w:val="center"/>
                <w:trHeight w:val="725"/>
              </w:trPr>
              <w:tc>
                <w:tcPr>
                  <w:tcW w:w="719" w:type="dxa"/>
                  <w:vAlign w:val="center"/>
                  <w:textDirection w:val="lrTb"/>
                  <w:noWrap w:val="false"/>
                </w:tcPr>
                <w:p>
                  <w:pPr>
                    <w:ind w:left="245"/>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86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内存存储阵列替换</w:t>
                  </w:r>
                  <w:r/>
                </w:p>
              </w:tc>
              <w:tc>
                <w:tcPr>
                  <w:tcW w:w="4915" w:type="dxa"/>
                  <w:vAlign w:val="center"/>
                  <w:textDirection w:val="lrTb"/>
                  <w:noWrap w:val="false"/>
                </w:tcPr>
                <w:p>
                  <w:pPr>
                    <w:ind w:left="114" w:right="168" w:hanging="2"/>
                    <w:spacing w:before="157"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在硬件支持的情况下，支持故障内</w:t>
                  </w:r>
                  <w:r>
                    <w:rPr>
                      <w:rFonts w:hint="eastAsia" w:ascii="宋体" w:hAnsi="宋体" w:eastAsia="宋体" w:cs="宋体"/>
                      <w:i/>
                      <w:iCs/>
                      <w:color w:val="auto"/>
                      <w:spacing w:val="-2"/>
                      <w:sz w:val="24"/>
                      <w:szCs w:val="24"/>
                      <w:highlight w:val="none"/>
                      <w:u w:val="single"/>
                      <w:lang w:eastAsia="en-US"/>
                    </w:rPr>
                    <w:t xml:space="preserve">存存储阵列替换</w:t>
                  </w:r>
                  <w:r/>
                </w:p>
              </w:tc>
            </w:tr>
            <w:tr>
              <w:trPr>
                <w:jc w:val="center"/>
                <w:trHeight w:val="725"/>
              </w:trPr>
              <w:tc>
                <w:tcPr>
                  <w:tcW w:w="719" w:type="dxa"/>
                  <w:vAlign w:val="center"/>
                  <w:textDirection w:val="lrTb"/>
                  <w:noWrap w:val="false"/>
                </w:tcPr>
                <w:p>
                  <w:pPr>
                    <w:ind w:left="245"/>
                    <w:spacing w:before="272"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87</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安全启动</w:t>
                  </w:r>
                  <w:r/>
                </w:p>
              </w:tc>
              <w:tc>
                <w:tcPr>
                  <w:tcW w:w="4915" w:type="dxa"/>
                  <w:vAlign w:val="center"/>
                  <w:textDirection w:val="lrTb"/>
                  <w:noWrap w:val="false"/>
                </w:tcPr>
                <w:p>
                  <w:pPr>
                    <w:ind w:left="112" w:right="168" w:firstLine="7"/>
                    <w:spacing w:before="39" w:line="23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支持执行环境要求在整个系统启动的过程中，系统应提供一个机制来保护平台的完整性</w:t>
                  </w:r>
                  <w:r/>
                </w:p>
              </w:tc>
            </w:tr>
            <w:tr>
              <w:trPr>
                <w:jc w:val="center"/>
                <w:trHeight w:val="90"/>
              </w:trPr>
              <w:tc>
                <w:tcPr>
                  <w:tcW w:w="719" w:type="dxa"/>
                  <w:vAlign w:val="center"/>
                  <w:textDirection w:val="lrTb"/>
                  <w:noWrap w:val="false"/>
                </w:tcPr>
                <w:p>
                  <w:pPr>
                    <w:ind w:left="245"/>
                    <w:spacing w:before="27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88</w:t>
                  </w:r>
                  <w:r/>
                </w:p>
              </w:tc>
              <w:tc>
                <w:tcPr>
                  <w:tcBorders>
                    <w:bottom w:val="none" w:color="000000" w:sz="4" w:space="0"/>
                  </w:tcBorders>
                  <w:tcW w:w="1314"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系统</w:t>
                  </w:r>
                  <w:r>
                    <w:rPr>
                      <w:rFonts w:hint="eastAsia" w:ascii="宋体" w:hAnsi="宋体" w:eastAsia="宋体" w:cs="宋体"/>
                      <w:color w:val="auto"/>
                      <w:spacing w:val="-3"/>
                      <w:sz w:val="24"/>
                      <w:szCs w:val="24"/>
                      <w:highlight w:val="none"/>
                      <w:lang w:eastAsia="en-US"/>
                    </w:rPr>
                    <w:t xml:space="preserve">安全要求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syslog 双向鉴别</w:t>
                  </w:r>
                  <w:r/>
                </w:p>
              </w:tc>
              <w:tc>
                <w:tcPr>
                  <w:tcW w:w="4915" w:type="dxa"/>
                  <w:vAlign w:val="center"/>
                  <w:textDirection w:val="lrTb"/>
                  <w:noWrap w:val="false"/>
                </w:tcPr>
                <w:p>
                  <w:pPr>
                    <w:ind w:left="112" w:right="168" w:firstLine="7"/>
                    <w:spacing w:before="160"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支持系统日志双向鉴别，对服务器根证书和客户端根证书进行鉴别</w:t>
                  </w:r>
                  <w:r/>
                </w:p>
              </w:tc>
            </w:tr>
            <w:tr>
              <w:trPr>
                <w:jc w:val="center"/>
                <w:trHeight w:val="725"/>
              </w:trPr>
              <w:tc>
                <w:tcPr>
                  <w:tcW w:w="719" w:type="dxa"/>
                  <w:vAlign w:val="center"/>
                  <w:textDirection w:val="lrTb"/>
                  <w:noWrap w:val="false"/>
                </w:tcPr>
                <w:p>
                  <w:pPr>
                    <w:ind w:left="245"/>
                    <w:spacing w:before="27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 xml:space="preserve">89</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弱口令字典检查</w:t>
                  </w:r>
                  <w:r/>
                </w:p>
              </w:tc>
              <w:tc>
                <w:tcPr>
                  <w:tcW w:w="4915" w:type="dxa"/>
                  <w:vAlign w:val="center"/>
                  <w:textDirection w:val="lrTb"/>
                  <w:noWrap w:val="false"/>
                </w:tcPr>
                <w:p>
                  <w:pPr>
                    <w:ind w:left="118" w:right="168" w:firstLine="1"/>
                    <w:spacing w:before="39" w:line="23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支持弱口令字典检查功能，出现在弱口令字典中的字符串不能被设置</w:t>
                  </w:r>
                  <w:r>
                    <w:rPr>
                      <w:rFonts w:hint="eastAsia" w:ascii="宋体" w:hAnsi="宋体" w:eastAsia="宋体" w:cs="宋体"/>
                      <w:i/>
                      <w:iCs/>
                      <w:color w:val="auto"/>
                      <w:spacing w:val="-3"/>
                      <w:sz w:val="24"/>
                      <w:szCs w:val="24"/>
                      <w:highlight w:val="none"/>
                      <w:u w:val="single"/>
                      <w:lang w:eastAsia="en-US"/>
                    </w:rPr>
                    <w:t xml:space="preserve">为用户口令</w:t>
                  </w:r>
                  <w:r/>
                </w:p>
              </w:tc>
            </w:tr>
            <w:tr>
              <w:trPr>
                <w:jc w:val="center"/>
                <w:trHeight w:val="725"/>
              </w:trPr>
              <w:tc>
                <w:tcPr>
                  <w:tcW w:w="719" w:type="dxa"/>
                  <w:vAlign w:val="center"/>
                  <w:textDirection w:val="lrTb"/>
                  <w:noWrap w:val="false"/>
                </w:tcPr>
                <w:p>
                  <w:pPr>
                    <w:ind w:left="242"/>
                    <w:spacing w:before="27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90</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白名单访问控制</w:t>
                  </w:r>
                  <w:r/>
                </w:p>
              </w:tc>
              <w:tc>
                <w:tcPr>
                  <w:tcW w:w="4915" w:type="dxa"/>
                  <w:vAlign w:val="center"/>
                  <w:textDirection w:val="lrTb"/>
                  <w:noWrap w:val="false"/>
                </w:tcPr>
                <w:p>
                  <w:pPr>
                    <w:ind w:left="123" w:right="125" w:hanging="4"/>
                    <w:spacing w:before="15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支持基于时间、IP或MAC 白名单访</w:t>
                  </w:r>
                  <w:r>
                    <w:rPr>
                      <w:rFonts w:hint="eastAsia" w:ascii="宋体" w:hAnsi="宋体" w:eastAsia="宋体" w:cs="宋体"/>
                      <w:i/>
                      <w:iCs/>
                      <w:color w:val="auto"/>
                      <w:spacing w:val="-6"/>
                      <w:sz w:val="24"/>
                      <w:szCs w:val="24"/>
                      <w:highlight w:val="none"/>
                      <w:u w:val="single"/>
                      <w:lang w:eastAsia="en-US"/>
                    </w:rPr>
                    <w:t xml:space="preserve">问控制</w:t>
                  </w:r>
                  <w:r/>
                </w:p>
              </w:tc>
            </w:tr>
            <w:tr>
              <w:trPr>
                <w:jc w:val="center"/>
                <w:trHeight w:val="725"/>
              </w:trPr>
              <w:tc>
                <w:tcPr>
                  <w:tcW w:w="719" w:type="dxa"/>
                  <w:vAlign w:val="center"/>
                  <w:textDirection w:val="lrTb"/>
                  <w:noWrap w:val="false"/>
                </w:tcPr>
                <w:p>
                  <w:pPr>
                    <w:ind w:left="242"/>
                    <w:spacing w:before="271"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91</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双因素鉴别</w:t>
                  </w:r>
                  <w:r/>
                </w:p>
              </w:tc>
              <w:tc>
                <w:tcPr>
                  <w:tcW w:w="4915" w:type="dxa"/>
                  <w:vAlign w:val="center"/>
                  <w:textDirection w:val="lrTb"/>
                  <w:noWrap w:val="false"/>
                </w:tcPr>
                <w:p>
                  <w:pPr>
                    <w:ind w:left="116" w:right="168" w:firstLine="2"/>
                    <w:spacing w:before="159" w:line="24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支持使用客户端证书和证书密码的双因素鉴别方式登录管理系统</w:t>
                  </w:r>
                  <w:r/>
                </w:p>
              </w:tc>
            </w:tr>
            <w:tr>
              <w:trPr>
                <w:jc w:val="center"/>
                <w:trHeight w:val="964"/>
              </w:trPr>
              <w:tc>
                <w:tcPr>
                  <w:tcW w:w="719" w:type="dxa"/>
                  <w:vAlign w:val="center"/>
                  <w:textDirection w:val="lrTb"/>
                  <w:noWrap w:val="false"/>
                </w:tcPr>
                <w:p>
                  <w:pPr>
                    <w:spacing w:line="332"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92</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before="58"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二次鉴别</w:t>
                  </w:r>
                  <w:r/>
                </w:p>
              </w:tc>
              <w:tc>
                <w:tcPr>
                  <w:tcW w:w="4915" w:type="dxa"/>
                  <w:vAlign w:val="center"/>
                  <w:textDirection w:val="lrTb"/>
                  <w:noWrap w:val="false"/>
                </w:tcPr>
                <w:p>
                  <w:pPr>
                    <w:ind w:left="112" w:right="41" w:firstLine="7"/>
                    <w:spacing w:before="37" w:line="23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支持二次鉴别功能。对于用户配置、</w:t>
                  </w:r>
                  <w:r>
                    <w:rPr>
                      <w:rFonts w:hint="eastAsia" w:ascii="宋体" w:hAnsi="宋体" w:eastAsia="宋体" w:cs="宋体"/>
                      <w:i/>
                      <w:iCs/>
                      <w:color w:val="auto"/>
                      <w:spacing w:val="-1"/>
                      <w:sz w:val="24"/>
                      <w:szCs w:val="24"/>
                      <w:highlight w:val="none"/>
                      <w:u w:val="single"/>
                      <w:lang w:eastAsia="en-US"/>
                    </w:rPr>
                    <w:t xml:space="preserve">权限配置、公钥导入等重要的管理操作，已登录用户应通过二次鉴别后，才能执行操作</w:t>
                  </w:r>
                  <w:r/>
                </w:p>
              </w:tc>
            </w:tr>
            <w:tr>
              <w:trPr>
                <w:jc w:val="center"/>
                <w:trHeight w:val="725"/>
              </w:trPr>
              <w:tc>
                <w:tcPr>
                  <w:tcW w:w="719" w:type="dxa"/>
                  <w:vAlign w:val="center"/>
                  <w:textDirection w:val="lrTb"/>
                  <w:noWrap w:val="false"/>
                </w:tcPr>
                <w:p>
                  <w:pPr>
                    <w:ind w:left="242"/>
                    <w:spacing w:before="273" w:line="238"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匿名化用</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户告警接收邮箱</w:t>
                  </w:r>
                  <w:r/>
                </w:p>
              </w:tc>
              <w:tc>
                <w:tcPr>
                  <w:tcW w:w="4915" w:type="dxa"/>
                  <w:vAlign w:val="center"/>
                  <w:textDirection w:val="lrTb"/>
                  <w:noWrap w:val="false"/>
                </w:tcPr>
                <w:p>
                  <w:pPr>
                    <w:ind w:left="113" w:right="168" w:firstLine="6"/>
                    <w:spacing w:before="160"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支持带外管理系统中的用户告警接收邮箱进行匿名化处理</w:t>
                  </w:r>
                  <w:r/>
                </w:p>
              </w:tc>
            </w:tr>
            <w:tr>
              <w:trPr>
                <w:jc w:val="center"/>
                <w:trHeight w:val="964"/>
              </w:trPr>
              <w:tc>
                <w:tcPr>
                  <w:tcW w:w="719" w:type="dxa"/>
                  <w:vAlign w:val="center"/>
                  <w:textDirection w:val="lrTb"/>
                  <w:noWrap w:val="false"/>
                </w:tcPr>
                <w:p>
                  <w:pPr>
                    <w:ind w:left="242"/>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密码证书安全加密存储</w:t>
                  </w:r>
                  <w:r/>
                </w:p>
              </w:tc>
              <w:tc>
                <w:tcPr>
                  <w:tcW w:w="4915" w:type="dxa"/>
                  <w:vAlign w:val="center"/>
                  <w:textDirection w:val="lrTb"/>
                  <w:noWrap w:val="false"/>
                </w:tcPr>
                <w:p>
                  <w:pPr>
                    <w:ind w:left="114" w:right="168" w:firstLine="4"/>
                    <w:spacing w:before="41"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支持对带外管理系统中的用户口令和证书等敏感信息进行加密存储，禁止使用私有的和业界已知不安全</w:t>
                  </w:r>
                  <w:r>
                    <w:rPr>
                      <w:rFonts w:hint="eastAsia" w:ascii="宋体" w:hAnsi="宋体" w:eastAsia="宋体" w:cs="宋体"/>
                      <w:i/>
                      <w:iCs/>
                      <w:color w:val="auto"/>
                      <w:spacing w:val="-2"/>
                      <w:sz w:val="24"/>
                      <w:szCs w:val="24"/>
                      <w:highlight w:val="none"/>
                      <w:u w:val="single"/>
                      <w:lang w:eastAsia="en-US"/>
                    </w:rPr>
                    <w:t xml:space="preserve">的密码算法</w:t>
                  </w:r>
                  <w:r/>
                </w:p>
              </w:tc>
            </w:tr>
            <w:tr>
              <w:trPr>
                <w:jc w:val="center"/>
                <w:trHeight w:val="725"/>
              </w:trPr>
              <w:tc>
                <w:tcPr>
                  <w:tcW w:w="719" w:type="dxa"/>
                  <w:vAlign w:val="center"/>
                  <w:textDirection w:val="lrTb"/>
                  <w:noWrap w:val="false"/>
                </w:tcPr>
                <w:p>
                  <w:pPr>
                    <w:ind w:left="242"/>
                    <w:spacing w:before="27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95</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敏感信息安全加密传输</w:t>
                  </w:r>
                  <w:r/>
                </w:p>
              </w:tc>
              <w:tc>
                <w:tcPr>
                  <w:tcW w:w="4915" w:type="dxa"/>
                  <w:vAlign w:val="center"/>
                  <w:textDirection w:val="lrTb"/>
                  <w:noWrap w:val="false"/>
                </w:tcPr>
                <w:p>
                  <w:pPr>
                    <w:ind w:left="113" w:right="103" w:firstLine="6"/>
                    <w:spacing w:before="42"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支持使用安全的传输加密协议（如</w:t>
                  </w:r>
                  <w:r>
                    <w:rPr>
                      <w:rFonts w:hint="eastAsia" w:ascii="宋体" w:hAnsi="宋体" w:eastAsia="宋体" w:cs="宋体"/>
                      <w:i/>
                      <w:iCs/>
                      <w:color w:val="auto"/>
                      <w:spacing w:val="-6"/>
                      <w:sz w:val="24"/>
                      <w:szCs w:val="24"/>
                      <w:highlight w:val="none"/>
                      <w:u w:val="single"/>
                      <w:lang w:eastAsia="en-US"/>
                    </w:rPr>
                    <w:t xml:space="preserve">SSH或</w:t>
                  </w:r>
                  <w:r>
                    <w:rPr>
                      <w:rFonts w:hint="default" w:eastAsia="宋体" w:cs="Times New Roman"/>
                      <w:color w:val="auto"/>
                      <w:highlight w:val="none"/>
                    </w:rPr>
                    <w:fldChar w:fldCharType="begin"/>
                  </w:r>
                  <w:r>
                    <w:rPr>
                      <w:rFonts w:hint="default" w:eastAsia="宋体" w:cs="Times New Roman"/>
                      <w:color w:val="auto"/>
                      <w:highlight w:val="none"/>
                    </w:rPr>
                    <w:instrText xml:space="preserve"> HYPERLINK "file:///C:\\Users\\Administrator\\Documents\\WeChat%20Files\\zj19900816zj\\FileStorage\\File\\2026-07\\HTTPS" </w:instrText>
                  </w:r>
                  <w:r>
                    <w:rPr>
                      <w:rFonts w:hint="default" w:eastAsia="宋体" w:cs="Times New Roman"/>
                      <w:color w:val="auto"/>
                      <w:highlight w:val="none"/>
                    </w:rPr>
                    <w:fldChar w:fldCharType="separate"/>
                  </w:r>
                  <w:r>
                    <w:rPr>
                      <w:rFonts w:hint="eastAsia" w:ascii="宋体" w:hAnsi="宋体" w:eastAsia="宋体" w:cs="宋体"/>
                      <w:i/>
                      <w:iCs/>
                      <w:color w:val="auto"/>
                      <w:spacing w:val="-6"/>
                      <w:sz w:val="24"/>
                      <w:szCs w:val="24"/>
                      <w:highlight w:val="none"/>
                      <w:u w:val="single"/>
                      <w:lang w:eastAsia="en-US"/>
                    </w:rPr>
                    <w:t xml:space="preserve">HTTPS</w:t>
                  </w:r>
                  <w:r>
                    <w:rPr>
                      <w:rFonts w:hint="eastAsia" w:ascii="宋体" w:hAnsi="宋体" w:eastAsia="宋体" w:cs="宋体"/>
                      <w:i/>
                      <w:iCs/>
                      <w:color w:val="auto"/>
                      <w:spacing w:val="-6"/>
                      <w:sz w:val="24"/>
                      <w:szCs w:val="24"/>
                      <w:highlight w:val="none"/>
                      <w:u w:val="single"/>
                      <w:lang w:eastAsia="en-US"/>
                    </w:rPr>
                    <w:fldChar w:fldCharType="end"/>
                  </w:r>
                  <w:r>
                    <w:rPr>
                      <w:rFonts w:hint="eastAsia" w:ascii="宋体" w:hAnsi="宋体" w:eastAsia="宋体" w:cs="宋体"/>
                      <w:i/>
                      <w:iCs/>
                      <w:color w:val="auto"/>
                      <w:spacing w:val="-6"/>
                      <w:sz w:val="24"/>
                      <w:szCs w:val="24"/>
                      <w:highlight w:val="none"/>
                      <w:u w:val="single"/>
                      <w:lang w:eastAsia="en-US"/>
                    </w:rPr>
                    <w:t xml:space="preserve">等）传输用户的敏感信</w:t>
                  </w:r>
                  <w:r>
                    <w:rPr>
                      <w:rFonts w:hint="eastAsia" w:ascii="宋体" w:hAnsi="宋体" w:eastAsia="宋体" w:cs="宋体"/>
                      <w:i/>
                      <w:iCs/>
                      <w:color w:val="auto"/>
                      <w:sz w:val="24"/>
                      <w:szCs w:val="24"/>
                      <w:highlight w:val="none"/>
                      <w:u w:val="single"/>
                      <w:lang w:eastAsia="en-US"/>
                    </w:rPr>
                    <w:t xml:space="preserve">息</w:t>
                  </w:r>
                  <w:r/>
                </w:p>
              </w:tc>
            </w:tr>
            <w:tr>
              <w:trPr>
                <w:jc w:val="center"/>
                <w:trHeight w:val="1648"/>
              </w:trPr>
              <w:tc>
                <w:tcPr>
                  <w:tcW w:w="719" w:type="dxa"/>
                  <w:vAlign w:val="center"/>
                  <w:textDirection w:val="lrTb"/>
                  <w:noWrap w:val="false"/>
                </w:tcPr>
                <w:p>
                  <w:pPr>
                    <w:ind w:left="242"/>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96</w:t>
                  </w:r>
                  <w:r/>
                </w:p>
              </w:tc>
              <w:tc>
                <w:tcPr>
                  <w:tcBorders>
                    <w:bottom w:val="none" w:color="000000" w:sz="4" w:space="0"/>
                  </w:tcBorders>
                  <w:tcW w:w="1314"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信息</w:t>
                  </w:r>
                  <w:r>
                    <w:rPr>
                      <w:rFonts w:hint="eastAsia" w:ascii="宋体" w:hAnsi="宋体" w:eastAsia="宋体" w:cs="宋体"/>
                      <w:color w:val="auto"/>
                      <w:spacing w:val="-3"/>
                      <w:sz w:val="24"/>
                      <w:szCs w:val="24"/>
                      <w:highlight w:val="none"/>
                      <w:lang w:eastAsia="en-US"/>
                    </w:rPr>
                    <w:t xml:space="preserve">安全要求</w:t>
                  </w:r>
                  <w:r/>
                </w:p>
              </w:tc>
              <w:tc>
                <w:tcPr>
                  <w:tcW w:w="1200" w:type="dxa"/>
                  <w:vAlign w:val="center"/>
                  <w:textDirection w:val="lrTb"/>
                  <w:noWrap w:val="false"/>
                </w:tcPr>
                <w:p>
                  <w:pPr>
                    <w:ind w:right="123"/>
                    <w:jc w:val="center"/>
                    <w:spacing w:before="58"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研发过程安全</w:t>
                  </w:r>
                  <w:r/>
                </w:p>
              </w:tc>
              <w:tc>
                <w:tcPr>
                  <w:tcW w:w="4915" w:type="dxa"/>
                  <w:vAlign w:val="center"/>
                  <w:textDirection w:val="lrTb"/>
                  <w:noWrap w:val="false"/>
                </w:tcPr>
                <w:p>
                  <w:pPr>
                    <w:ind w:left="114" w:right="41" w:hanging="1"/>
                    <w:spacing w:before="41" w:line="24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供应商承诺，生产商已建立从需求、</w:t>
                  </w:r>
                  <w:r>
                    <w:rPr>
                      <w:rFonts w:hint="eastAsia" w:ascii="宋体" w:hAnsi="宋体" w:eastAsia="宋体" w:cs="宋体"/>
                      <w:i/>
                      <w:iCs/>
                      <w:color w:val="auto"/>
                      <w:spacing w:val="-1"/>
                      <w:sz w:val="24"/>
                      <w:szCs w:val="24"/>
                      <w:highlight w:val="none"/>
                      <w:u w:val="single"/>
                      <w:lang w:eastAsia="en-US"/>
                    </w:rPr>
                    <w:t xml:space="preserve">设计、开发、测试、维护端到端的开发流程管理机制，输出和保存开发流程中每个阶段的产品需求清</w:t>
                  </w:r>
                  <w:r/>
                </w:p>
                <w:p>
                  <w:pPr>
                    <w:ind w:left="115" w:right="168" w:firstLine="3"/>
                    <w:spacing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单、设计文档、开发文档、测试记录等材料，保证各个流程可追溯</w:t>
                  </w:r>
                  <w:r/>
                </w:p>
              </w:tc>
            </w:tr>
            <w:tr>
              <w:trPr>
                <w:jc w:val="center"/>
                <w:trHeight w:val="964"/>
              </w:trPr>
              <w:tc>
                <w:tcPr>
                  <w:tcW w:w="719" w:type="dxa"/>
                  <w:vAlign w:val="center"/>
                  <w:textDirection w:val="lrTb"/>
                  <w:noWrap w:val="false"/>
                </w:tcPr>
                <w:p>
                  <w:pPr>
                    <w:ind w:left="242"/>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97</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left="110"/>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漏洞管理</w:t>
                  </w:r>
                  <w:r/>
                </w:p>
              </w:tc>
              <w:tc>
                <w:tcPr>
                  <w:tcW w:w="4915" w:type="dxa"/>
                  <w:vAlign w:val="center"/>
                  <w:textDirection w:val="lrTb"/>
                  <w:noWrap w:val="false"/>
                </w:tcPr>
                <w:p>
                  <w:pPr>
                    <w:ind w:left="113" w:right="168"/>
                    <w:spacing w:before="41"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供应商承诺，生产商已建立漏洞全量视图，保证产品版本涉及到的所</w:t>
                  </w:r>
                  <w:r>
                    <w:rPr>
                      <w:rFonts w:hint="eastAsia" w:ascii="宋体" w:hAnsi="宋体" w:eastAsia="宋体" w:cs="宋体"/>
                      <w:i/>
                      <w:iCs/>
                      <w:color w:val="auto"/>
                      <w:spacing w:val="-2"/>
                      <w:sz w:val="24"/>
                      <w:szCs w:val="24"/>
                      <w:highlight w:val="none"/>
                      <w:u w:val="single"/>
                      <w:lang w:eastAsia="en-US"/>
                    </w:rPr>
                    <w:t xml:space="preserve">有漏洞(如驱动程序、BMC软件等)都可以查看</w:t>
                  </w:r>
                  <w:r/>
                </w:p>
              </w:tc>
            </w:tr>
            <w:tr>
              <w:trPr>
                <w:jc w:val="center"/>
                <w:trHeight w:val="725"/>
              </w:trPr>
              <w:tc>
                <w:tcPr>
                  <w:tcW w:w="719" w:type="dxa"/>
                  <w:vAlign w:val="center"/>
                  <w:textDirection w:val="lrTb"/>
                  <w:noWrap w:val="false"/>
                </w:tcPr>
                <w:p>
                  <w:pPr>
                    <w:ind w:left="242"/>
                    <w:spacing w:before="277"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98</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网络关键</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设备服务器要求</w:t>
                  </w:r>
                  <w:r/>
                </w:p>
              </w:tc>
              <w:tc>
                <w:tcPr>
                  <w:tcW w:w="4915" w:type="dxa"/>
                  <w:vAlign w:val="center"/>
                  <w:textDirection w:val="lrTb"/>
                  <w:noWrap w:val="false"/>
                </w:tcPr>
                <w:p>
                  <w:pPr>
                    <w:ind w:left="112" w:right="168"/>
                    <w:spacing w:before="162"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作为网络关键设备的服务器应符合</w:t>
                  </w:r>
                  <w:r>
                    <w:rPr>
                      <w:rFonts w:hint="eastAsia" w:ascii="宋体" w:hAnsi="宋体" w:eastAsia="宋体" w:cs="宋体"/>
                      <w:i/>
                      <w:iCs/>
                      <w:color w:val="auto"/>
                      <w:spacing w:val="-3"/>
                      <w:sz w:val="24"/>
                      <w:szCs w:val="24"/>
                      <w:highlight w:val="none"/>
                      <w:u w:val="single"/>
                      <w:lang w:eastAsia="en-US"/>
                    </w:rPr>
                    <w:t xml:space="preserve">GB 40050的相关规定</w:t>
                  </w:r>
                  <w:r/>
                </w:p>
              </w:tc>
            </w:tr>
            <w:tr>
              <w:trPr>
                <w:jc w:val="center"/>
                <w:trHeight w:val="1687"/>
              </w:trPr>
              <w:tc>
                <w:tcPr>
                  <w:tcW w:w="719" w:type="dxa"/>
                  <w:vAlign w:val="center"/>
                  <w:textDirection w:val="lrTb"/>
                  <w:noWrap w:val="false"/>
                </w:tcPr>
                <w:p>
                  <w:pPr>
                    <w:ind w:left="242"/>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 xml:space="preserve">99</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left="109"/>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增强要求</w:t>
                  </w:r>
                  <w:r/>
                </w:p>
              </w:tc>
              <w:tc>
                <w:tcPr>
                  <w:tcW w:w="4915" w:type="dxa"/>
                  <w:vAlign w:val="center"/>
                  <w:textDirection w:val="lrTb"/>
                  <w:noWrap w:val="false"/>
                </w:tcPr>
                <w:p>
                  <w:pPr>
                    <w:ind w:left="113" w:right="103" w:firstLine="1"/>
                    <w:spacing w:before="44"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嵌入物理可信根，实现设备的信任链构建；</w:t>
                  </w:r>
                  <w:r/>
                </w:p>
                <w:p>
                  <w:pPr>
                    <w:ind w:left="115"/>
                    <w:spacing w:before="5"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支持可信平台控制模块(TPCM)；</w:t>
                  </w:r>
                  <w:r/>
                </w:p>
                <w:p>
                  <w:pPr>
                    <w:ind w:left="113"/>
                    <w:spacing w:before="32"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 支持在固件系统（BMC、BIOS）</w:t>
                  </w:r>
                  <w:r/>
                </w:p>
                <w:p>
                  <w:pPr>
                    <w:ind w:left="112" w:right="103" w:firstLine="1"/>
                    <w:spacing w:before="24" w:line="230"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启动前实现对固件度量的功能，支持物理可信根对BMC固件或BIOS固件进行完整性检测、更新和恢复；</w:t>
                  </w:r>
                  <w:r/>
                </w:p>
                <w:p>
                  <w:pPr>
                    <w:ind w:left="113" w:right="125"/>
                    <w:spacing w:before="38" w:line="24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 支持对CPU、网络控制器等关键处理器进行身份识别与度量的功</w:t>
                  </w:r>
                  <w:r/>
                </w:p>
                <w:p>
                  <w:pPr>
                    <w:ind w:left="119"/>
                    <w:spacing w:line="21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 xml:space="preserve">能；</w:t>
                  </w:r>
                  <w:r/>
                </w:p>
                <w:p>
                  <w:pPr>
                    <w:ind w:left="112" w:right="259" w:firstLine="1"/>
                    <w:spacing w:before="32"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e) 支持基于处理器或可信计算模块度量的功能；</w:t>
                  </w:r>
                  <w:r/>
                </w:p>
                <w:p>
                  <w:pPr>
                    <w:ind w:left="113" w:right="259" w:firstLine="1"/>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f) 所采用的可信密码模块接口应</w:t>
                  </w:r>
                  <w:r>
                    <w:rPr>
                      <w:rFonts w:hint="eastAsia" w:ascii="宋体" w:hAnsi="宋体" w:eastAsia="宋体" w:cs="宋体"/>
                      <w:i/>
                      <w:iCs/>
                      <w:color w:val="auto"/>
                      <w:spacing w:val="-2"/>
                      <w:sz w:val="24"/>
                      <w:szCs w:val="24"/>
                      <w:highlight w:val="none"/>
                      <w:u w:val="single"/>
                      <w:lang w:eastAsia="en-US"/>
                    </w:rPr>
                    <w:t xml:space="preserve">符合GM/T 0012的相关规定；</w:t>
                  </w:r>
                  <w:r/>
                </w:p>
                <w:p>
                  <w:pPr>
                    <w:ind w:left="112" w:right="103" w:firstLine="1"/>
                    <w:spacing w:before="24" w:line="230" w:lineRule="auto"/>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g) 可信安全管理模块、处理器等硬</w:t>
                  </w:r>
                  <w:r>
                    <w:rPr>
                      <w:rFonts w:hint="eastAsia" w:ascii="宋体" w:hAnsi="宋体" w:eastAsia="宋体" w:cs="宋体"/>
                      <w:i/>
                      <w:iCs/>
                      <w:color w:val="auto"/>
                      <w:spacing w:val="-1"/>
                      <w:sz w:val="24"/>
                      <w:szCs w:val="24"/>
                      <w:highlight w:val="none"/>
                      <w:u w:val="single"/>
                      <w:lang w:eastAsia="en-US"/>
                    </w:rPr>
                    <w:t xml:space="preserve">件载体应通过国家相关部门的认证</w:t>
                  </w:r>
                  <w:r>
                    <w:rPr>
                      <w:rFonts w:hint="eastAsia" w:ascii="宋体" w:hAnsi="宋体" w:eastAsia="宋体" w:cs="宋体"/>
                      <w:i/>
                      <w:iCs/>
                      <w:color w:val="auto"/>
                      <w:spacing w:val="-2"/>
                      <w:sz w:val="24"/>
                      <w:szCs w:val="24"/>
                      <w:highlight w:val="none"/>
                      <w:u w:val="single"/>
                      <w:lang w:eastAsia="en-US"/>
                    </w:rPr>
                    <w:t xml:space="preserve">和许可</w:t>
                  </w:r>
                  <w:r/>
                </w:p>
              </w:tc>
            </w:tr>
            <w:tr>
              <w:trPr>
                <w:jc w:val="center"/>
                <w:trHeight w:val="485"/>
              </w:trPr>
              <w:tc>
                <w:tcPr>
                  <w:tcW w:w="719" w:type="dxa"/>
                  <w:vAlign w:val="center"/>
                  <w:textDirection w:val="lrTb"/>
                  <w:noWrap w:val="false"/>
                </w:tcPr>
                <w:p>
                  <w:pPr>
                    <w:ind w:left="211"/>
                    <w:spacing w:before="154"/>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100</w:t>
                  </w:r>
                  <w:r/>
                </w:p>
              </w:tc>
              <w:tc>
                <w:tcPr>
                  <w:tcW w:w="1314" w:type="dxa"/>
                  <w:vAlign w:val="center"/>
                  <w:textDirection w:val="lrTb"/>
                  <w:noWrap w:val="false"/>
                </w:tcPr>
                <w:p>
                  <w:pPr>
                    <w:ind w:left="195" w:right="141" w:hanging="56"/>
                    <w:jc w:val="center"/>
                    <w:spacing w:before="40"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物理</w:t>
                  </w:r>
                  <w:r>
                    <w:rPr>
                      <w:rFonts w:hint="eastAsia" w:ascii="宋体" w:hAnsi="宋体" w:eastAsia="宋体" w:cs="宋体"/>
                      <w:color w:val="auto"/>
                      <w:spacing w:val="-8"/>
                      <w:sz w:val="24"/>
                      <w:szCs w:val="24"/>
                      <w:highlight w:val="none"/>
                      <w:lang w:eastAsia="en-US"/>
                    </w:rPr>
                    <w:t xml:space="preserve">安全</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物理安全</w:t>
                  </w:r>
                  <w:r/>
                </w:p>
              </w:tc>
              <w:tc>
                <w:tcPr>
                  <w:tcW w:w="4915" w:type="dxa"/>
                  <w:vAlign w:val="center"/>
                  <w:textDirection w:val="lrTb"/>
                  <w:noWrap w:val="false"/>
                </w:tcPr>
                <w:p>
                  <w:pPr>
                    <w:ind w:left="120"/>
                    <w:spacing w:before="1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安全要求应符合GB 4943.1的规定</w:t>
                  </w:r>
                  <w:r/>
                </w:p>
              </w:tc>
            </w:tr>
            <w:tr>
              <w:trPr>
                <w:jc w:val="center"/>
                <w:trHeight w:val="90"/>
              </w:trPr>
              <w:tc>
                <w:tcPr>
                  <w:tcW w:w="719" w:type="dxa"/>
                  <w:vAlign w:val="center"/>
                  <w:textDirection w:val="lrTb"/>
                  <w:noWrap w:val="false"/>
                </w:tcPr>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101</w:t>
                  </w:r>
                  <w:r/>
                </w:p>
              </w:tc>
              <w:tc>
                <w:tcPr>
                  <w:tcW w:w="1314" w:type="dxa"/>
                  <w:vAlign w:val="center"/>
                  <w:textDirection w:val="lrTb"/>
                  <w:noWrap w:val="false"/>
                </w:tcPr>
                <w:p>
                  <w:pPr>
                    <w:ind w:left="187" w:right="141" w:hanging="48"/>
                    <w:jc w:val="center"/>
                    <w:spacing w:before="28" w:line="23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限用</w:t>
                  </w:r>
                  <w:r>
                    <w:rPr>
                      <w:rFonts w:hint="eastAsia" w:ascii="宋体" w:hAnsi="宋体" w:eastAsia="宋体" w:cs="宋体"/>
                      <w:color w:val="auto"/>
                      <w:spacing w:val="-4"/>
                      <w:sz w:val="24"/>
                      <w:szCs w:val="24"/>
                      <w:highlight w:val="none"/>
                      <w:lang w:eastAsia="en-US"/>
                    </w:rPr>
                    <w:t xml:space="preserve">物质</w:t>
                  </w:r>
                  <w:r/>
                </w:p>
                <w:p>
                  <w:pPr>
                    <w:ind w:left="198"/>
                    <w:jc w:val="center"/>
                    <w:spacing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的限</w:t>
                  </w:r>
                  <w:r/>
                </w:p>
                <w:p>
                  <w:pPr>
                    <w:ind w:left="280" w:right="186" w:hanging="90"/>
                    <w:jc w:val="center"/>
                    <w:spacing w:before="17" w:line="22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量要</w:t>
                  </w:r>
                  <w:r>
                    <w:rPr>
                      <w:rFonts w:hint="eastAsia" w:ascii="宋体" w:hAnsi="宋体" w:eastAsia="宋体" w:cs="宋体"/>
                      <w:color w:val="auto"/>
                      <w:sz w:val="24"/>
                      <w:szCs w:val="24"/>
                      <w:highlight w:val="none"/>
                      <w:lang w:eastAsia="en-US"/>
                    </w:rPr>
                    <w:t xml:space="preserve">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限用物质的限量要求</w:t>
                  </w:r>
                  <w:r/>
                </w:p>
              </w:tc>
              <w:tc>
                <w:tcPr>
                  <w:tcW w:w="4915" w:type="dxa"/>
                  <w:vAlign w:val="center"/>
                  <w:textDirection w:val="lrTb"/>
                  <w:noWrap w:val="false"/>
                </w:tcPr>
                <w:p>
                  <w:pPr>
                    <w:spacing w:line="318"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23" w:right="123" w:firstLine="1"/>
                    <w:spacing w:before="58" w:line="24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限用物质的限量应符合</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1"/>
                      <w:sz w:val="24"/>
                      <w:szCs w:val="24"/>
                      <w:highlight w:val="none"/>
                      <w:u w:val="single"/>
                      <w:lang w:eastAsia="en-US"/>
                    </w:rPr>
                    <w:t xml:space="preserve">/T 26572</w:t>
                  </w:r>
                  <w:r>
                    <w:rPr>
                      <w:rFonts w:hint="eastAsia" w:ascii="宋体" w:hAnsi="宋体" w:eastAsia="宋体" w:cs="宋体"/>
                      <w:i/>
                      <w:iCs/>
                      <w:color w:val="auto"/>
                      <w:spacing w:val="-6"/>
                      <w:sz w:val="24"/>
                      <w:szCs w:val="24"/>
                      <w:highlight w:val="none"/>
                      <w:u w:val="single"/>
                      <w:lang w:eastAsia="en-US"/>
                    </w:rPr>
                    <w:t xml:space="preserve">的要求</w:t>
                  </w:r>
                  <w:r/>
                </w:p>
              </w:tc>
            </w:tr>
            <w:tr>
              <w:trPr>
                <w:jc w:val="center"/>
                <w:trHeight w:val="472"/>
              </w:trPr>
              <w:tc>
                <w:tcPr>
                  <w:tcW w:w="719" w:type="dxa"/>
                  <w:vAlign w:val="center"/>
                  <w:textDirection w:val="lrTb"/>
                  <w:noWrap w:val="false"/>
                </w:tcPr>
                <w:p>
                  <w:pPr>
                    <w:ind w:left="211"/>
                    <w:spacing w:before="1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102</w:t>
                  </w:r>
                  <w:r/>
                </w:p>
              </w:tc>
              <w:tc>
                <w:tcPr>
                  <w:tcBorders>
                    <w:bottom w:val="none" w:color="000000" w:sz="4" w:space="0"/>
                  </w:tcBorders>
                  <w:tcW w:w="1314" w:type="dxa"/>
                  <w:vAlign w:val="center"/>
                  <w:vMerge w:val="restart"/>
                  <w:textDirection w:val="lrTb"/>
                  <w:noWrap w:val="false"/>
                </w:tcPr>
                <w:p>
                  <w:pPr>
                    <w:ind w:left="187" w:right="185" w:hanging="3"/>
                    <w:jc w:val="center"/>
                    <w:spacing w:before="59" w:line="24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CPU</w:t>
                  </w:r>
                  <w:r>
                    <w:rPr>
                      <w:rFonts w:hint="eastAsia" w:ascii="宋体" w:hAnsi="宋体" w:eastAsia="宋体" w:cs="宋体"/>
                      <w:color w:val="auto"/>
                      <w:spacing w:val="-4"/>
                      <w:sz w:val="24"/>
                      <w:szCs w:val="24"/>
                      <w:highlight w:val="none"/>
                      <w:lang w:eastAsia="en-US"/>
                    </w:rPr>
                    <w:t xml:space="preserve">性能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CPU 主频</w:t>
                  </w:r>
                  <w:r/>
                </w:p>
              </w:tc>
              <w:tc>
                <w:tcPr>
                  <w:tcW w:w="4915" w:type="dxa"/>
                  <w:vAlign w:val="center"/>
                  <w:textDirection w:val="lrTb"/>
                  <w:noWrap w:val="false"/>
                </w:tcPr>
                <w:p>
                  <w:pPr>
                    <w:ind w:left="131"/>
                    <w:spacing w:before="14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w:t>
                  </w:r>
                  <w:r>
                    <w:rPr>
                      <w:rFonts w:hint="eastAsia" w:ascii="宋体" w:hAnsi="宋体" w:eastAsia="宋体" w:cs="宋体"/>
                      <w:i/>
                      <w:iCs/>
                      <w:color w:val="auto"/>
                      <w:spacing w:val="-4"/>
                      <w:sz w:val="24"/>
                      <w:szCs w:val="24"/>
                      <w:highlight w:val="none"/>
                      <w:u w:val="single"/>
                      <w:lang w:val="en-US" w:eastAsia="zh-CN"/>
                    </w:rPr>
                    <w:t xml:space="preserve">2</w:t>
                  </w:r>
                  <w:r>
                    <w:rPr>
                      <w:rFonts w:hint="eastAsia" w:ascii="宋体" w:hAnsi="宋体" w:eastAsia="宋体" w:cs="宋体"/>
                      <w:i/>
                      <w:iCs/>
                      <w:color w:val="auto"/>
                      <w:spacing w:val="-4"/>
                      <w:sz w:val="24"/>
                      <w:szCs w:val="24"/>
                      <w:highlight w:val="none"/>
                      <w:u w:val="single"/>
                      <w:lang w:eastAsia="en-US"/>
                    </w:rPr>
                    <w:t xml:space="preserve">.</w:t>
                  </w:r>
                  <w:r>
                    <w:rPr>
                      <w:rFonts w:hint="eastAsia" w:ascii="宋体" w:hAnsi="宋体" w:eastAsia="宋体" w:cs="宋体"/>
                      <w:i/>
                      <w:iCs/>
                      <w:color w:val="auto"/>
                      <w:spacing w:val="-4"/>
                      <w:sz w:val="24"/>
                      <w:szCs w:val="24"/>
                      <w:highlight w:val="none"/>
                      <w:u w:val="single"/>
                      <w:lang w:val="en-US" w:eastAsia="zh-CN"/>
                    </w:rPr>
                    <w:t xml:space="preserve">6</w:t>
                  </w:r>
                  <w:r>
                    <w:rPr>
                      <w:rFonts w:hint="eastAsia" w:ascii="宋体" w:hAnsi="宋体" w:eastAsia="宋体" w:cs="宋体"/>
                      <w:i/>
                      <w:iCs/>
                      <w:color w:val="auto"/>
                      <w:spacing w:val="-4"/>
                      <w:sz w:val="24"/>
                      <w:szCs w:val="24"/>
                      <w:highlight w:val="none"/>
                      <w:u w:val="single"/>
                      <w:lang w:eastAsia="en-US"/>
                    </w:rPr>
                    <w:t xml:space="preserve">GHz</w:t>
                  </w:r>
                  <w:r/>
                </w:p>
              </w:tc>
            </w:tr>
            <w:tr>
              <w:trPr>
                <w:jc w:val="center"/>
                <w:trHeight w:val="90"/>
              </w:trPr>
              <w:tc>
                <w:tcPr>
                  <w:tcW w:w="719" w:type="dxa"/>
                  <w:vAlign w:val="center"/>
                  <w:textDirection w:val="lrTb"/>
                  <w:noWrap w:val="false"/>
                </w:tcPr>
                <w:p>
                  <w:pPr>
                    <w:ind w:left="211"/>
                    <w:spacing w:before="26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单 CPU 核数</w:t>
                  </w:r>
                  <w:r/>
                </w:p>
              </w:tc>
              <w:tc>
                <w:tcPr>
                  <w:tcW w:w="4915" w:type="dxa"/>
                  <w:vAlign w:val="center"/>
                  <w:textDirection w:val="lrTb"/>
                  <w:noWrap w:val="false"/>
                </w:tcPr>
                <w:p>
                  <w:pPr>
                    <w:ind w:left="131"/>
                    <w:spacing w:before="262"/>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pacing w:val="-13"/>
                      <w:sz w:val="24"/>
                      <w:szCs w:val="24"/>
                      <w:highlight w:val="none"/>
                      <w:u w:val="single"/>
                      <w:lang w:eastAsia="en-US"/>
                    </w:rPr>
                    <w:t xml:space="preserve">≥</w:t>
                  </w:r>
                  <w:r>
                    <w:rPr>
                      <w:rFonts w:hint="eastAsia" w:ascii="宋体" w:hAnsi="宋体" w:eastAsia="宋体" w:cs="宋体"/>
                      <w:i/>
                      <w:iCs/>
                      <w:color w:val="auto"/>
                      <w:spacing w:val="-13"/>
                      <w:sz w:val="24"/>
                      <w:szCs w:val="24"/>
                      <w:highlight w:val="none"/>
                      <w:u w:val="single"/>
                      <w:lang w:val="en-US" w:eastAsia="zh-CN"/>
                    </w:rPr>
                    <w:t xml:space="preserve">32</w:t>
                  </w:r>
                  <w:r/>
                </w:p>
              </w:tc>
            </w:tr>
            <w:tr>
              <w:trPr>
                <w:jc w:val="center"/>
                <w:trHeight w:val="90"/>
              </w:trPr>
              <w:tc>
                <w:tcPr>
                  <w:tcW w:w="719" w:type="dxa"/>
                  <w:vAlign w:val="center"/>
                  <w:textDirection w:val="lrTb"/>
                  <w:noWrap w:val="false"/>
                </w:tcPr>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104</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单CPU末级缓存容量</w:t>
                  </w:r>
                  <w:r/>
                </w:p>
              </w:tc>
              <w:tc>
                <w:tcPr>
                  <w:tcW w:w="4915" w:type="dxa"/>
                  <w:vAlign w:val="center"/>
                  <w:textDirection w:val="lrTb"/>
                  <w:noWrap w:val="false"/>
                </w:tcPr>
                <w:p>
                  <w:pPr>
                    <w:spacing w:line="435" w:lineRule="auto"/>
                    <w:widowControl/>
                    <w:rPr>
                      <w:rFonts w:hint="default" w:ascii="宋体" w:hAnsi="宋体" w:eastAsia="宋体" w:cs="宋体"/>
                      <w:i/>
                      <w:iCs/>
                      <w:color w:val="auto"/>
                      <w:sz w:val="24"/>
                      <w:szCs w:val="24"/>
                      <w:highlight w:val="none"/>
                      <w:u w:val="single"/>
                    </w:rPr>
                  </w:pPr>
                  <w:r>
                    <w:rPr>
                      <w:rFonts w:hint="default" w:ascii="宋体" w:hAnsi="宋体" w:eastAsia="宋体" w:cs="宋体"/>
                      <w:i/>
                      <w:iCs/>
                      <w:color w:val="auto"/>
                      <w:sz w:val="24"/>
                      <w:szCs w:val="24"/>
                      <w:highlight w:val="none"/>
                      <w:u w:val="single"/>
                    </w:rPr>
                  </w:r>
                  <w:r/>
                </w:p>
                <w:p>
                  <w:pPr>
                    <w:ind w:left="131"/>
                    <w:spacing w:before="5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 xml:space="preserve">≥</w:t>
                  </w:r>
                  <w:r>
                    <w:rPr>
                      <w:rFonts w:hint="eastAsia" w:ascii="宋体" w:hAnsi="宋体" w:eastAsia="宋体" w:cs="宋体"/>
                      <w:i/>
                      <w:iCs/>
                      <w:color w:val="auto"/>
                      <w:spacing w:val="-7"/>
                      <w:sz w:val="24"/>
                      <w:szCs w:val="24"/>
                      <w:highlight w:val="none"/>
                      <w:u w:val="single"/>
                      <w:lang w:val="en-US" w:eastAsia="zh-CN"/>
                    </w:rPr>
                    <w:t xml:space="preserve">64</w:t>
                  </w:r>
                  <w:r>
                    <w:rPr>
                      <w:rFonts w:hint="eastAsia" w:ascii="宋体" w:hAnsi="宋体" w:eastAsia="宋体" w:cs="宋体"/>
                      <w:i/>
                      <w:iCs/>
                      <w:color w:val="auto"/>
                      <w:spacing w:val="-7"/>
                      <w:sz w:val="24"/>
                      <w:szCs w:val="24"/>
                      <w:highlight w:val="none"/>
                      <w:u w:val="single"/>
                      <w:lang w:eastAsia="en-US"/>
                    </w:rPr>
                    <w:t xml:space="preserve">MB</w:t>
                  </w:r>
                  <w:r/>
                </w:p>
              </w:tc>
            </w:tr>
            <w:tr>
              <w:trPr>
                <w:jc w:val="center"/>
                <w:trHeight w:val="471"/>
              </w:trPr>
              <w:tc>
                <w:tcPr>
                  <w:tcW w:w="719" w:type="dxa"/>
                  <w:vAlign w:val="center"/>
                  <w:textDirection w:val="lrTb"/>
                  <w:noWrap w:val="false"/>
                </w:tcPr>
                <w:p>
                  <w:pPr>
                    <w:ind w:left="211"/>
                    <w:spacing w:before="1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105</w:t>
                  </w:r>
                  <w:r/>
                </w:p>
              </w:tc>
              <w:tc>
                <w:tcPr>
                  <w:tcBorders>
                    <w:bottom w:val="none" w:color="000000" w:sz="4" w:space="0"/>
                  </w:tcBorders>
                  <w:tcW w:w="1314" w:type="dxa"/>
                  <w:vAlign w:val="center"/>
                  <w:vMerge w:val="restart"/>
                  <w:textDirection w:val="lrTb"/>
                  <w:noWrap w:val="false"/>
                </w:tcPr>
                <w:p>
                  <w:pPr>
                    <w:ind w:left="188" w:right="141" w:hanging="49"/>
                    <w:jc w:val="center"/>
                    <w:spacing w:before="269" w:line="24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内存</w:t>
                  </w:r>
                  <w:r>
                    <w:rPr>
                      <w:rFonts w:hint="eastAsia" w:ascii="宋体" w:hAnsi="宋体" w:eastAsia="宋体" w:cs="宋体"/>
                      <w:color w:val="auto"/>
                      <w:spacing w:val="-4"/>
                      <w:sz w:val="24"/>
                      <w:szCs w:val="24"/>
                      <w:highlight w:val="none"/>
                      <w:lang w:eastAsia="en-US"/>
                    </w:rPr>
                    <w:t xml:space="preserve">性能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单内存模块容量</w:t>
                  </w:r>
                  <w:r/>
                </w:p>
              </w:tc>
              <w:tc>
                <w:tcPr>
                  <w:tcW w:w="4915" w:type="dxa"/>
                  <w:vAlign w:val="center"/>
                  <w:textDirection w:val="lrTb"/>
                  <w:noWrap w:val="false"/>
                </w:tcPr>
                <w:p>
                  <w:pPr>
                    <w:ind w:left="131"/>
                    <w:spacing w:before="14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w:t>
                  </w:r>
                  <w:r>
                    <w:rPr>
                      <w:rFonts w:hint="eastAsia" w:ascii="宋体" w:hAnsi="宋体" w:eastAsia="宋体" w:cs="宋体"/>
                      <w:i/>
                      <w:iCs/>
                      <w:color w:val="auto"/>
                      <w:spacing w:val="-6"/>
                      <w:sz w:val="24"/>
                      <w:szCs w:val="24"/>
                      <w:highlight w:val="none"/>
                      <w:u w:val="single"/>
                      <w:lang w:val="en-US" w:eastAsia="zh-CN"/>
                    </w:rPr>
                    <w:t xml:space="preserve">32</w:t>
                  </w:r>
                  <w:r>
                    <w:rPr>
                      <w:rFonts w:hint="eastAsia" w:ascii="宋体" w:hAnsi="宋体" w:eastAsia="宋体" w:cs="宋体"/>
                      <w:i/>
                      <w:iCs/>
                      <w:color w:val="auto"/>
                      <w:spacing w:val="-6"/>
                      <w:sz w:val="24"/>
                      <w:szCs w:val="24"/>
                      <w:highlight w:val="none"/>
                      <w:u w:val="single"/>
                      <w:lang w:eastAsia="en-US"/>
                    </w:rPr>
                    <w:t xml:space="preserve">GB</w:t>
                  </w:r>
                  <w:r/>
                </w:p>
              </w:tc>
            </w:tr>
            <w:tr>
              <w:trPr>
                <w:jc w:val="center"/>
                <w:trHeight w:val="472"/>
              </w:trPr>
              <w:tc>
                <w:tcPr>
                  <w:tcW w:w="719" w:type="dxa"/>
                  <w:vAlign w:val="center"/>
                  <w:textDirection w:val="lrTb"/>
                  <w:noWrap w:val="false"/>
                </w:tcPr>
                <w:p>
                  <w:pPr>
                    <w:ind w:left="211"/>
                    <w:spacing w:before="149"/>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106</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内存速率</w:t>
                  </w:r>
                  <w:r/>
                </w:p>
              </w:tc>
              <w:tc>
                <w:tcPr>
                  <w:tcW w:w="4915" w:type="dxa"/>
                  <w:vAlign w:val="center"/>
                  <w:textDirection w:val="lrTb"/>
                  <w:noWrap w:val="false"/>
                </w:tcPr>
                <w:p>
                  <w:pPr>
                    <w:ind w:left="131"/>
                    <w:spacing w:before="149"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≥2666MT/s</w:t>
                  </w:r>
                  <w:r/>
                </w:p>
              </w:tc>
            </w:tr>
            <w:tr>
              <w:trPr>
                <w:jc w:val="center"/>
                <w:trHeight w:val="472"/>
              </w:trPr>
              <w:tc>
                <w:tcPr>
                  <w:tcW w:w="719" w:type="dxa"/>
                  <w:vAlign w:val="center"/>
                  <w:textDirection w:val="lrTb"/>
                  <w:noWrap w:val="false"/>
                </w:tcPr>
                <w:p>
                  <w:pPr>
                    <w:ind w:left="211"/>
                    <w:spacing w:before="150"/>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107</w:t>
                  </w:r>
                  <w:r/>
                </w:p>
              </w:tc>
              <w:tc>
                <w:tcPr>
                  <w:tcW w:w="1314" w:type="dxa"/>
                  <w:vAlign w:val="center"/>
                  <w:textDirection w:val="lrTb"/>
                  <w:noWrap w:val="false"/>
                </w:tcPr>
                <w:p>
                  <w:pPr>
                    <w:ind w:left="189"/>
                    <w:jc w:val="center"/>
                    <w:spacing w:before="31"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w:t>
                  </w:r>
                  <w:r>
                    <w:rPr>
                      <w:rFonts w:hint="eastAsia" w:ascii="宋体" w:hAnsi="宋体" w:eastAsia="宋体" w:cs="宋体"/>
                      <w:color w:val="auto"/>
                      <w:spacing w:val="-4"/>
                      <w:sz w:val="24"/>
                      <w:szCs w:val="24"/>
                      <w:highlight w:val="none"/>
                      <w:lang w:eastAsia="en-US"/>
                    </w:rPr>
                    <w:t xml:space="preserve">性能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硬盘转速</w:t>
                  </w:r>
                  <w:r/>
                </w:p>
              </w:tc>
              <w:tc>
                <w:tcPr>
                  <w:tcW w:w="4915" w:type="dxa"/>
                  <w:vAlign w:val="center"/>
                  <w:textDirection w:val="lrTb"/>
                  <w:noWrap w:val="false"/>
                </w:tcPr>
                <w:p>
                  <w:pPr>
                    <w:ind w:left="120"/>
                    <w:spacing w:before="147" w:line="21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安装的硬磁盘转速不小于7200</w:t>
                  </w:r>
                  <w:r>
                    <w:rPr>
                      <w:rFonts w:hint="eastAsia" w:ascii="宋体" w:hAnsi="宋体" w:eastAsia="宋体" w:cs="宋体"/>
                      <w:i/>
                      <w:iCs/>
                      <w:color w:val="auto"/>
                      <w:sz w:val="24"/>
                      <w:szCs w:val="24"/>
                      <w:highlight w:val="none"/>
                      <w:u w:val="single"/>
                      <w:lang w:eastAsia="en-US"/>
                    </w:rPr>
                    <w:t xml:space="preserve">rpm</w:t>
                  </w:r>
                  <w:r/>
                </w:p>
              </w:tc>
            </w:tr>
            <w:tr>
              <w:trPr>
                <w:jc w:val="center"/>
                <w:trHeight w:val="706"/>
              </w:trPr>
              <w:tc>
                <w:tcPr>
                  <w:tcW w:w="719" w:type="dxa"/>
                  <w:vAlign w:val="center"/>
                  <w:textDirection w:val="lrTb"/>
                  <w:noWrap w:val="false"/>
                </w:tcPr>
                <w:p>
                  <w:pPr>
                    <w:ind w:left="211"/>
                    <w:spacing w:before="26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108</w:t>
                  </w:r>
                  <w:r/>
                </w:p>
              </w:tc>
              <w:tc>
                <w:tcPr>
                  <w:tcW w:w="1314" w:type="dxa"/>
                  <w:vAlign w:val="center"/>
                  <w:textDirection w:val="lrTb"/>
                  <w:noWrap w:val="false"/>
                </w:tcPr>
                <w:p>
                  <w:pPr>
                    <w:ind w:left="189" w:right="185"/>
                    <w:jc w:val="center"/>
                    <w:spacing w:before="32" w:line="22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w:t>
                  </w:r>
                  <w:r>
                    <w:rPr>
                      <w:rFonts w:hint="eastAsia" w:ascii="宋体" w:hAnsi="宋体" w:eastAsia="宋体" w:cs="宋体"/>
                      <w:color w:val="auto"/>
                      <w:spacing w:val="-5"/>
                      <w:sz w:val="24"/>
                      <w:szCs w:val="24"/>
                      <w:highlight w:val="none"/>
                      <w:lang w:eastAsia="en-US"/>
                    </w:rPr>
                    <w:t xml:space="preserve">卡性</w:t>
                  </w:r>
                  <w:r>
                    <w:rPr>
                      <w:rFonts w:hint="eastAsia" w:ascii="宋体" w:hAnsi="宋体" w:eastAsia="宋体" w:cs="宋体"/>
                      <w:color w:val="auto"/>
                      <w:spacing w:val="37"/>
                      <w:sz w:val="24"/>
                      <w:szCs w:val="24"/>
                      <w:highlight w:val="none"/>
                      <w:lang w:eastAsia="en-US"/>
                    </w:rPr>
                    <w:t xml:space="preserve">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卡缓存容量大小</w:t>
                  </w:r>
                  <w:r/>
                </w:p>
              </w:tc>
              <w:tc>
                <w:tcPr>
                  <w:tcW w:w="4915" w:type="dxa"/>
                  <w:vAlign w:val="center"/>
                  <w:textDirection w:val="lrTb"/>
                  <w:noWrap w:val="false"/>
                </w:tcPr>
                <w:p>
                  <w:pPr>
                    <w:ind w:left="115" w:right="168" w:hanging="2"/>
                    <w:spacing w:before="148" w:line="23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若配备RAID卡且RAID卡有缓存容量，容量不少于1GB</w:t>
                  </w:r>
                  <w:r/>
                </w:p>
              </w:tc>
            </w:tr>
            <w:tr>
              <w:trPr>
                <w:jc w:val="center"/>
                <w:trHeight w:val="705"/>
              </w:trPr>
              <w:tc>
                <w:tcPr>
                  <w:tcW w:w="719" w:type="dxa"/>
                  <w:vAlign w:val="center"/>
                  <w:textDirection w:val="lrTb"/>
                  <w:noWrap w:val="false"/>
                </w:tcPr>
                <w:p>
                  <w:pPr>
                    <w:ind w:left="211"/>
                    <w:spacing w:before="26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109</w:t>
                  </w:r>
                  <w:r/>
                </w:p>
              </w:tc>
              <w:tc>
                <w:tcPr>
                  <w:tcW w:w="1314" w:type="dxa"/>
                  <w:vAlign w:val="center"/>
                  <w:textDirection w:val="lrTb"/>
                  <w:noWrap w:val="false"/>
                </w:tcPr>
                <w:p>
                  <w:pPr>
                    <w:ind w:left="113"/>
                    <w:jc w:val="center"/>
                    <w:spacing w:before="59" w:line="184"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FCHBA</w:t>
                  </w:r>
                  <w:r/>
                </w:p>
                <w:p>
                  <w:pPr>
                    <w:ind w:left="189"/>
                    <w:jc w:val="center"/>
                    <w:spacing w:before="25"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卡性</w:t>
                  </w:r>
                  <w:r/>
                </w:p>
                <w:p>
                  <w:pPr>
                    <w:ind w:left="285"/>
                    <w:jc w:val="center"/>
                    <w:spacing w:before="15" w:line="20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FC HBA 卡速率</w:t>
                  </w:r>
                  <w:r/>
                </w:p>
              </w:tc>
              <w:tc>
                <w:tcPr>
                  <w:tcW w:w="4915" w:type="dxa"/>
                  <w:vAlign w:val="center"/>
                  <w:textDirection w:val="lrTb"/>
                  <w:noWrap w:val="false"/>
                </w:tcPr>
                <w:p>
                  <w:pPr>
                    <w:ind w:left="113" w:right="103"/>
                    <w:spacing w:before="146" w:line="24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若配备FC HBA卡，单端口最大的连</w:t>
                  </w:r>
                  <w:r>
                    <w:rPr>
                      <w:rFonts w:hint="eastAsia" w:ascii="宋体" w:hAnsi="宋体" w:eastAsia="宋体" w:cs="宋体"/>
                      <w:i/>
                      <w:iCs/>
                      <w:color w:val="auto"/>
                      <w:spacing w:val="4"/>
                      <w:sz w:val="24"/>
                      <w:szCs w:val="24"/>
                      <w:highlight w:val="none"/>
                      <w:u w:val="single"/>
                      <w:lang w:eastAsia="en-US"/>
                    </w:rPr>
                    <w:t xml:space="preserve">接速率不少于8</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4"/>
                      <w:sz w:val="24"/>
                      <w:szCs w:val="24"/>
                      <w:highlight w:val="none"/>
                      <w:u w:val="single"/>
                      <w:lang w:eastAsia="en-US"/>
                    </w:rPr>
                    <w:t xml:space="preserve">/s</w:t>
                  </w:r>
                  <w:r/>
                </w:p>
              </w:tc>
            </w:tr>
            <w:tr>
              <w:trPr>
                <w:jc w:val="center"/>
                <w:trHeight w:val="472"/>
              </w:trPr>
              <w:tc>
                <w:tcPr>
                  <w:tcW w:w="719" w:type="dxa"/>
                  <w:vAlign w:val="center"/>
                  <w:textDirection w:val="lrTb"/>
                  <w:noWrap w:val="false"/>
                </w:tcPr>
                <w:p>
                  <w:pPr>
                    <w:ind w:left="211"/>
                    <w:spacing w:before="1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110</w:t>
                  </w:r>
                  <w:r/>
                </w:p>
              </w:tc>
              <w:tc>
                <w:tcPr>
                  <w:tcBorders>
                    <w:bottom w:val="none" w:color="000000" w:sz="4" w:space="0"/>
                  </w:tcBorders>
                  <w:tcW w:w="1314" w:type="dxa"/>
                  <w:vAlign w:val="center"/>
                  <w:vMerge w:val="restart"/>
                  <w:textDirection w:val="lrTb"/>
                  <w:noWrap w:val="false"/>
                </w:tcPr>
                <w:p>
                  <w:pPr>
                    <w:ind w:left="188" w:right="186" w:firstLine="8"/>
                    <w:jc w:val="center"/>
                    <w:spacing w:before="269" w:line="241"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网络</w:t>
                  </w:r>
                  <w:r>
                    <w:rPr>
                      <w:rFonts w:hint="eastAsia" w:ascii="宋体" w:hAnsi="宋体" w:eastAsia="宋体" w:cs="宋体"/>
                      <w:color w:val="auto"/>
                      <w:spacing w:val="-4"/>
                      <w:sz w:val="24"/>
                      <w:szCs w:val="24"/>
                      <w:highlight w:val="none"/>
                      <w:lang w:eastAsia="en-US"/>
                    </w:rPr>
                    <w:t xml:space="preserve">性能</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独立网卡速率</w:t>
                  </w:r>
                  <w:r/>
                </w:p>
              </w:tc>
              <w:tc>
                <w:tcPr>
                  <w:tcW w:w="4915" w:type="dxa"/>
                  <w:vAlign w:val="center"/>
                  <w:textDirection w:val="lrTb"/>
                  <w:noWrap w:val="false"/>
                </w:tcPr>
                <w:p>
                  <w:pPr>
                    <w:ind w:left="131"/>
                    <w:spacing w:before="14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≥10GE</w:t>
                  </w:r>
                  <w:r/>
                </w:p>
              </w:tc>
            </w:tr>
            <w:tr>
              <w:trPr>
                <w:jc w:val="center"/>
                <w:trHeight w:val="472"/>
              </w:trPr>
              <w:tc>
                <w:tcPr>
                  <w:tcW w:w="719" w:type="dxa"/>
                  <w:vAlign w:val="center"/>
                  <w:textDirection w:val="lrTb"/>
                  <w:noWrap w:val="false"/>
                </w:tcPr>
                <w:p>
                  <w:pPr>
                    <w:ind w:left="211"/>
                    <w:spacing w:before="148"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111</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板载网卡速率</w:t>
                  </w:r>
                  <w:r/>
                </w:p>
              </w:tc>
              <w:tc>
                <w:tcPr>
                  <w:tcW w:w="4915" w:type="dxa"/>
                  <w:vAlign w:val="center"/>
                  <w:textDirection w:val="lrTb"/>
                  <w:noWrap w:val="false"/>
                </w:tcPr>
                <w:p>
                  <w:pPr>
                    <w:ind w:left="131"/>
                    <w:spacing w:before="14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 xml:space="preserve">≥1GE</w:t>
                  </w:r>
                  <w:r/>
                </w:p>
              </w:tc>
            </w:tr>
            <w:tr>
              <w:trPr>
                <w:jc w:val="center"/>
                <w:trHeight w:val="471"/>
              </w:trPr>
              <w:tc>
                <w:tcPr>
                  <w:tcW w:w="719" w:type="dxa"/>
                  <w:vAlign w:val="center"/>
                  <w:textDirection w:val="lrTb"/>
                  <w:noWrap w:val="false"/>
                </w:tcPr>
                <w:p>
                  <w:pPr>
                    <w:ind w:left="211"/>
                    <w:spacing w:before="149"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112</w:t>
                  </w:r>
                  <w:r/>
                </w:p>
              </w:tc>
              <w:tc>
                <w:tcPr>
                  <w:tcW w:w="1314" w:type="dxa"/>
                  <w:vAlign w:val="center"/>
                  <w:textDirection w:val="lrTb"/>
                  <w:noWrap w:val="false"/>
                </w:tcPr>
                <w:p>
                  <w:pPr>
                    <w:ind w:left="193" w:right="141" w:hanging="54"/>
                    <w:jc w:val="center"/>
                    <w:spacing w:before="32" w:line="220"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电源</w:t>
                  </w:r>
                  <w:r>
                    <w:rPr>
                      <w:rFonts w:hint="eastAsia" w:ascii="宋体" w:hAnsi="宋体" w:eastAsia="宋体" w:cs="宋体"/>
                      <w:color w:val="auto"/>
                      <w:spacing w:val="-7"/>
                      <w:sz w:val="24"/>
                      <w:szCs w:val="24"/>
                      <w:highlight w:val="none"/>
                      <w:lang w:eastAsia="en-US"/>
                    </w:rPr>
                    <w:t xml:space="preserve">能耗</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电源能耗</w:t>
                  </w:r>
                  <w:r/>
                </w:p>
              </w:tc>
              <w:tc>
                <w:tcPr>
                  <w:tcW w:w="4915" w:type="dxa"/>
                  <w:vAlign w:val="center"/>
                  <w:textDirection w:val="lrTb"/>
                  <w:noWrap w:val="false"/>
                </w:tcPr>
                <w:p>
                  <w:pPr>
                    <w:ind w:left="113"/>
                    <w:spacing w:before="146"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符合GB/T 9813.3的有关规定</w:t>
                  </w:r>
                  <w:r/>
                </w:p>
              </w:tc>
            </w:tr>
            <w:tr>
              <w:trPr>
                <w:jc w:val="center"/>
                <w:trHeight w:val="472"/>
              </w:trPr>
              <w:tc>
                <w:tcPr>
                  <w:tcW w:w="719" w:type="dxa"/>
                  <w:vAlign w:val="center"/>
                  <w:textDirection w:val="lrTb"/>
                  <w:noWrap w:val="false"/>
                </w:tcPr>
                <w:p>
                  <w:pPr>
                    <w:ind w:left="211"/>
                    <w:spacing w:before="14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113</w:t>
                  </w:r>
                  <w:r/>
                </w:p>
              </w:tc>
              <w:tc>
                <w:tcPr>
                  <w:tcBorders>
                    <w:bottom w:val="none" w:color="000000" w:sz="4" w:space="0"/>
                  </w:tcBorders>
                  <w:tcW w:w="1314" w:type="dxa"/>
                  <w:vAlign w:val="center"/>
                  <w:vMerge w:val="restart"/>
                  <w:textDirection w:val="lrTb"/>
                  <w:noWrap w:val="false"/>
                </w:tcPr>
                <w:p>
                  <w:pPr>
                    <w:ind w:left="139"/>
                    <w:jc w:val="center"/>
                    <w:spacing w:before="59"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部件</w:t>
                  </w:r>
                  <w:r/>
                </w:p>
                <w:p>
                  <w:pPr>
                    <w:ind w:left="190"/>
                    <w:jc w:val="center"/>
                    <w:spacing w:before="15"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188"/>
                    <w:jc w:val="center"/>
                    <w:spacing w:before="16"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p>
                <w:p>
                  <w:pPr>
                    <w:ind w:left="281"/>
                    <w:jc w:val="center"/>
                    <w:spacing w:before="18" w:line="22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内存兼容性</w:t>
                  </w:r>
                  <w:r/>
                </w:p>
              </w:tc>
              <w:tc>
                <w:tcPr>
                  <w:tcW w:w="4915" w:type="dxa"/>
                  <w:vAlign w:val="center"/>
                  <w:textDirection w:val="lrTb"/>
                  <w:noWrap w:val="false"/>
                </w:tcPr>
                <w:p>
                  <w:pPr>
                    <w:ind w:left="115" w:right="213"/>
                    <w:spacing w:before="32" w:line="22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适配3种及以上厂商的内存产品，</w:t>
                  </w:r>
                  <w:r>
                    <w:rPr>
                      <w:rFonts w:hint="eastAsia" w:ascii="宋体" w:hAnsi="宋体" w:eastAsia="宋体" w:cs="宋体"/>
                      <w:i/>
                      <w:iCs/>
                      <w:color w:val="auto"/>
                      <w:spacing w:val="-1"/>
                      <w:sz w:val="24"/>
                      <w:szCs w:val="24"/>
                      <w:highlight w:val="none"/>
                      <w:u w:val="single"/>
                      <w:lang w:eastAsia="en-US"/>
                    </w:rPr>
                    <w:t xml:space="preserve">且均不低于产品支持的内存规格</w:t>
                  </w:r>
                  <w:r/>
                </w:p>
              </w:tc>
            </w:tr>
            <w:tr>
              <w:trPr>
                <w:jc w:val="center"/>
                <w:trHeight w:val="706"/>
              </w:trPr>
              <w:tc>
                <w:tcPr>
                  <w:tcW w:w="719" w:type="dxa"/>
                  <w:vAlign w:val="center"/>
                  <w:textDirection w:val="lrTb"/>
                  <w:noWrap w:val="false"/>
                </w:tcPr>
                <w:p>
                  <w:pPr>
                    <w:ind w:left="211"/>
                    <w:spacing w:before="266"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固态存储兼容性</w:t>
                  </w:r>
                  <w:r/>
                </w:p>
              </w:tc>
              <w:tc>
                <w:tcPr>
                  <w:tcW w:w="4915" w:type="dxa"/>
                  <w:vAlign w:val="center"/>
                  <w:textDirection w:val="lrTb"/>
                  <w:noWrap w:val="false"/>
                </w:tcPr>
                <w:p>
                  <w:pPr>
                    <w:ind w:left="112" w:right="168" w:firstLine="3"/>
                    <w:spacing w:before="32" w:line="22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适配3种或以上厂商的固态存储产</w:t>
                  </w:r>
                  <w:r>
                    <w:rPr>
                      <w:rFonts w:hint="eastAsia" w:ascii="宋体" w:hAnsi="宋体" w:eastAsia="宋体" w:cs="宋体"/>
                      <w:i/>
                      <w:iCs/>
                      <w:color w:val="auto"/>
                      <w:spacing w:val="-1"/>
                      <w:sz w:val="24"/>
                      <w:szCs w:val="24"/>
                      <w:highlight w:val="none"/>
                      <w:u w:val="single"/>
                      <w:lang w:eastAsia="en-US"/>
                    </w:rPr>
                    <w:t xml:space="preserve">品，且均不低于产品支持的固态存</w:t>
                  </w:r>
                  <w:r>
                    <w:rPr>
                      <w:rFonts w:hint="eastAsia" w:ascii="宋体" w:hAnsi="宋体" w:eastAsia="宋体" w:cs="宋体"/>
                      <w:i/>
                      <w:iCs/>
                      <w:color w:val="auto"/>
                      <w:spacing w:val="-2"/>
                      <w:sz w:val="24"/>
                      <w:szCs w:val="24"/>
                      <w:highlight w:val="none"/>
                      <w:u w:val="single"/>
                      <w:lang w:eastAsia="en-US"/>
                    </w:rPr>
                    <w:t xml:space="preserve">储设备规格</w:t>
                  </w:r>
                  <w:r/>
                </w:p>
              </w:tc>
            </w:tr>
            <w:tr>
              <w:trPr>
                <w:jc w:val="center"/>
                <w:trHeight w:val="472"/>
              </w:trPr>
              <w:tc>
                <w:tcPr>
                  <w:tcW w:w="719" w:type="dxa"/>
                  <w:vAlign w:val="center"/>
                  <w:textDirection w:val="lrTb"/>
                  <w:noWrap w:val="false"/>
                </w:tcPr>
                <w:p>
                  <w:pPr>
                    <w:ind w:left="211"/>
                    <w:spacing w:before="14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115</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FC HBA 卡兼容性</w:t>
                  </w:r>
                  <w:r/>
                </w:p>
              </w:tc>
              <w:tc>
                <w:tcPr>
                  <w:tcW w:w="4915" w:type="dxa"/>
                  <w:vAlign w:val="center"/>
                  <w:textDirection w:val="lrTb"/>
                  <w:noWrap w:val="false"/>
                </w:tcPr>
                <w:p>
                  <w:pPr>
                    <w:ind w:left="115"/>
                    <w:spacing w:before="148"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FC HBA应适配两种或以上厂商产品</w:t>
                  </w:r>
                  <w:r/>
                </w:p>
              </w:tc>
            </w:tr>
            <w:tr>
              <w:trPr>
                <w:jc w:val="center"/>
                <w:trHeight w:val="471"/>
              </w:trPr>
              <w:tc>
                <w:tcPr>
                  <w:tcW w:w="719" w:type="dxa"/>
                  <w:vAlign w:val="center"/>
                  <w:textDirection w:val="lrTb"/>
                  <w:noWrap w:val="false"/>
                </w:tcPr>
                <w:p>
                  <w:pPr>
                    <w:ind w:left="211"/>
                    <w:spacing w:before="149"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RAID 卡兼容性</w:t>
                  </w:r>
                  <w:r/>
                </w:p>
              </w:tc>
              <w:tc>
                <w:tcPr>
                  <w:tcW w:w="4915" w:type="dxa"/>
                  <w:vAlign w:val="center"/>
                  <w:textDirection w:val="lrTb"/>
                  <w:noWrap w:val="false"/>
                </w:tcPr>
                <w:p>
                  <w:pPr>
                    <w:ind w:left="114"/>
                    <w:spacing w:before="146"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RAID卡应适配两种或以上厂商产品</w:t>
                  </w:r>
                  <w:r/>
                </w:p>
              </w:tc>
            </w:tr>
            <w:tr>
              <w:trPr>
                <w:jc w:val="center"/>
                <w:trHeight w:val="247"/>
              </w:trPr>
              <w:tc>
                <w:tcPr>
                  <w:tcW w:w="719" w:type="dxa"/>
                  <w:vAlign w:val="center"/>
                  <w:textDirection w:val="lrTb"/>
                  <w:noWrap w:val="false"/>
                </w:tcPr>
                <w:p>
                  <w:pPr>
                    <w:ind w:left="211"/>
                    <w:spacing w:before="35" w:line="20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117</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网卡兼容性</w:t>
                  </w:r>
                  <w:r/>
                </w:p>
              </w:tc>
              <w:tc>
                <w:tcPr>
                  <w:tcW w:w="4915" w:type="dxa"/>
                  <w:vAlign w:val="center"/>
                  <w:textDirection w:val="lrTb"/>
                  <w:noWrap w:val="false"/>
                </w:tcPr>
                <w:p>
                  <w:pPr>
                    <w:ind w:left="122"/>
                    <w:spacing w:before="35" w:line="20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网卡应适配两种或以上厂商产品</w:t>
                  </w:r>
                  <w:r/>
                </w:p>
              </w:tc>
            </w:tr>
            <w:tr>
              <w:trPr>
                <w:jc w:val="center"/>
                <w:trHeight w:val="706"/>
              </w:trPr>
              <w:tc>
                <w:tcPr>
                  <w:tcW w:w="719" w:type="dxa"/>
                  <w:vAlign w:val="center"/>
                  <w:textDirection w:val="lrTb"/>
                  <w:noWrap w:val="false"/>
                </w:tcPr>
                <w:p>
                  <w:pPr>
                    <w:ind w:left="211"/>
                    <w:spacing w:before="261"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118</w:t>
                  </w:r>
                  <w:r/>
                </w:p>
              </w:tc>
              <w:tc>
                <w:tcPr>
                  <w:tcBorders>
                    <w:top w:val="none" w:color="000000" w:sz="4" w:space="0"/>
                  </w:tcBorders>
                  <w:tcW w:w="131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功能卡兼容性</w:t>
                  </w:r>
                  <w:r/>
                </w:p>
              </w:tc>
              <w:tc>
                <w:tcPr>
                  <w:tcW w:w="4915" w:type="dxa"/>
                  <w:vAlign w:val="center"/>
                  <w:textDirection w:val="lrTb"/>
                  <w:noWrap w:val="false"/>
                </w:tcPr>
                <w:p>
                  <w:pPr>
                    <w:ind w:left="120" w:right="50" w:firstLine="4"/>
                    <w:spacing w:before="29" w:line="22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0"/>
                      <w:sz w:val="24"/>
                      <w:szCs w:val="24"/>
                      <w:highlight w:val="none"/>
                      <w:u w:val="single"/>
                      <w:lang w:eastAsia="en-US"/>
                    </w:rPr>
                    <w:t xml:space="preserve">内置或适配符合PCIe的功能卡，如：</w:t>
                  </w:r>
                  <w:r>
                    <w:rPr>
                      <w:rFonts w:hint="eastAsia" w:ascii="宋体" w:hAnsi="宋体" w:eastAsia="宋体" w:cs="宋体"/>
                      <w:i/>
                      <w:iCs/>
                      <w:color w:val="auto"/>
                      <w:spacing w:val="-1"/>
                      <w:sz w:val="24"/>
                      <w:szCs w:val="24"/>
                      <w:highlight w:val="none"/>
                      <w:u w:val="single"/>
                      <w:lang w:eastAsia="en-US"/>
                    </w:rPr>
                    <w:t xml:space="preserve">网络功能卡、存储功能卡及图形显</w:t>
                  </w:r>
                  <w:r>
                    <w:rPr>
                      <w:rFonts w:hint="eastAsia" w:ascii="宋体" w:hAnsi="宋体" w:eastAsia="宋体" w:cs="宋体"/>
                      <w:i/>
                      <w:iCs/>
                      <w:color w:val="auto"/>
                      <w:spacing w:val="-4"/>
                      <w:sz w:val="24"/>
                      <w:szCs w:val="24"/>
                      <w:highlight w:val="none"/>
                      <w:u w:val="single"/>
                      <w:lang w:eastAsia="en-US"/>
                    </w:rPr>
                    <w:t xml:space="preserve">示功能卡</w:t>
                  </w:r>
                  <w:r/>
                </w:p>
              </w:tc>
            </w:tr>
            <w:tr>
              <w:trPr>
                <w:jc w:val="center"/>
                <w:trHeight w:val="1171"/>
              </w:trPr>
              <w:tc>
                <w:tcPr>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119</w:t>
                  </w:r>
                  <w:r/>
                </w:p>
              </w:tc>
              <w:tc>
                <w:tcPr>
                  <w:tcW w:w="1314" w:type="dxa"/>
                  <w:vAlign w:val="center"/>
                  <w:textDirection w:val="lrTb"/>
                  <w:noWrap w:val="false"/>
                </w:tcPr>
                <w:p>
                  <w:pPr>
                    <w:ind w:left="139"/>
                    <w:jc w:val="center"/>
                    <w:spacing w:before="260"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外设</w:t>
                  </w:r>
                  <w:r/>
                </w:p>
                <w:p>
                  <w:pPr>
                    <w:ind w:left="190"/>
                    <w:jc w:val="center"/>
                    <w:spacing w:before="17"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279"/>
                    <w:jc w:val="center"/>
                    <w:spacing w:before="16"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w:t>
                  </w:r>
                  <w:r/>
                </w:p>
              </w:tc>
              <w:tc>
                <w:tcPr>
                  <w:tcW w:w="1200" w:type="dxa"/>
                  <w:vAlign w:val="center"/>
                  <w:textDirection w:val="lrTb"/>
                  <w:noWrap w:val="false"/>
                </w:tcPr>
                <w:p>
                  <w:pPr>
                    <w:ind w:right="123"/>
                    <w:jc w:val="center"/>
                    <w:spacing w:before="59" w:line="24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外设兼容性</w:t>
                  </w:r>
                  <w:r/>
                </w:p>
              </w:tc>
              <w:tc>
                <w:tcPr>
                  <w:tcW w:w="4915" w:type="dxa"/>
                  <w:vAlign w:val="center"/>
                  <w:textDirection w:val="lrTb"/>
                  <w:noWrap w:val="false"/>
                </w:tcPr>
                <w:p>
                  <w:pPr>
                    <w:ind w:left="115"/>
                    <w:spacing w:before="27"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兼容多种主流生产商的外部设备，</w:t>
                  </w:r>
                  <w:r/>
                </w:p>
                <w:p>
                  <w:pPr>
                    <w:ind w:left="112" w:right="41"/>
                    <w:spacing w:before="24" w:line="23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 xml:space="preserve">包括显示器、键盘、鼠标、闪存盘、</w:t>
                  </w:r>
                  <w:r>
                    <w:rPr>
                      <w:rFonts w:hint="eastAsia" w:ascii="宋体" w:hAnsi="宋体" w:eastAsia="宋体" w:cs="宋体"/>
                      <w:i/>
                      <w:iCs/>
                      <w:color w:val="auto"/>
                      <w:spacing w:val="-6"/>
                      <w:sz w:val="24"/>
                      <w:szCs w:val="24"/>
                      <w:highlight w:val="none"/>
                      <w:u w:val="single"/>
                      <w:lang w:eastAsia="en-US"/>
                    </w:rPr>
                    <w:t xml:space="preserve">移动硬盘、USB光驱及KVM等，要求</w:t>
                  </w:r>
                  <w:r>
                    <w:rPr>
                      <w:rFonts w:hint="eastAsia" w:ascii="宋体" w:hAnsi="宋体" w:eastAsia="宋体" w:cs="宋体"/>
                      <w:i/>
                      <w:iCs/>
                      <w:color w:val="auto"/>
                      <w:spacing w:val="-1"/>
                      <w:sz w:val="24"/>
                      <w:szCs w:val="24"/>
                      <w:highlight w:val="none"/>
                      <w:u w:val="single"/>
                      <w:lang w:eastAsia="en-US"/>
                    </w:rPr>
                    <w:t xml:space="preserve">使用不同厂商的外部设备时，系统均能正常识别和安装驱动</w:t>
                  </w:r>
                  <w:r/>
                </w:p>
              </w:tc>
            </w:tr>
            <w:tr>
              <w:trPr>
                <w:jc w:val="center"/>
                <w:trHeight w:val="472"/>
              </w:trPr>
              <w:tc>
                <w:tcPr>
                  <w:tcW w:w="719" w:type="dxa"/>
                  <w:vAlign w:val="center"/>
                  <w:textDirection w:val="lrTb"/>
                  <w:noWrap w:val="false"/>
                </w:tcPr>
                <w:p>
                  <w:pPr>
                    <w:ind w:left="211"/>
                    <w:spacing w:before="1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120</w:t>
                  </w:r>
                  <w:r/>
                </w:p>
              </w:tc>
              <w:tc>
                <w:tcPr>
                  <w:tcBorders>
                    <w:bottom w:val="none" w:color="000000" w:sz="4" w:space="0"/>
                  </w:tcBorders>
                  <w:tcW w:w="1314" w:type="dxa"/>
                  <w:vAlign w:val="center"/>
                  <w:vMerge w:val="restart"/>
                  <w:textDirection w:val="lrTb"/>
                  <w:noWrap w:val="false"/>
                </w:tcPr>
                <w:p>
                  <w:pPr>
                    <w:ind w:left="139"/>
                    <w:jc w:val="center"/>
                    <w:spacing w:before="5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软件</w:t>
                  </w:r>
                  <w:r/>
                </w:p>
                <w:p>
                  <w:pPr>
                    <w:ind w:left="190"/>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兼容</w:t>
                  </w:r>
                  <w:r/>
                </w:p>
                <w:p>
                  <w:pPr>
                    <w:ind w:left="279"/>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数据库兼容</w:t>
                  </w:r>
                  <w:r/>
                </w:p>
              </w:tc>
              <w:tc>
                <w:tcPr>
                  <w:tcW w:w="4915" w:type="dxa"/>
                  <w:vAlign w:val="center"/>
                  <w:textDirection w:val="lrTb"/>
                  <w:noWrap w:val="false"/>
                </w:tcPr>
                <w:p>
                  <w:pPr>
                    <w:ind w:left="115"/>
                    <w:spacing w:before="145"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兼容3个及以上厂商的数据库产品</w:t>
                  </w:r>
                  <w:r/>
                </w:p>
              </w:tc>
            </w:tr>
            <w:tr>
              <w:trPr>
                <w:jc w:val="center"/>
                <w:trHeight w:val="485"/>
              </w:trPr>
              <w:tc>
                <w:tcPr>
                  <w:tcW w:w="719" w:type="dxa"/>
                  <w:vAlign w:val="center"/>
                  <w:textDirection w:val="lrTb"/>
                  <w:noWrap w:val="false"/>
                </w:tcPr>
                <w:p>
                  <w:pPr>
                    <w:ind w:left="211"/>
                    <w:spacing w:before="153"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121</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中间件兼容</w:t>
                  </w:r>
                  <w:r/>
                </w:p>
              </w:tc>
              <w:tc>
                <w:tcPr>
                  <w:tcW w:w="4915" w:type="dxa"/>
                  <w:vAlign w:val="center"/>
                  <w:textDirection w:val="lrTb"/>
                  <w:noWrap w:val="false"/>
                </w:tcPr>
                <w:p>
                  <w:pPr>
                    <w:ind w:left="115"/>
                    <w:spacing w:before="160"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兼容3个及以上厂商的中间件产品</w:t>
                  </w:r>
                  <w:r/>
                </w:p>
              </w:tc>
            </w:tr>
            <w:tr>
              <w:trPr>
                <w:jc w:val="center"/>
                <w:trHeight w:val="485"/>
              </w:trPr>
              <w:tc>
                <w:tcPr>
                  <w:tcW w:w="719" w:type="dxa"/>
                  <w:vAlign w:val="center"/>
                  <w:textDirection w:val="lrTb"/>
                  <w:noWrap w:val="false"/>
                </w:tcPr>
                <w:p>
                  <w:pPr>
                    <w:ind w:left="211"/>
                    <w:spacing w:before="152"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122</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平台软件兼容</w:t>
                  </w:r>
                  <w:r/>
                </w:p>
              </w:tc>
              <w:tc>
                <w:tcPr>
                  <w:tcW w:w="4915" w:type="dxa"/>
                  <w:vAlign w:val="center"/>
                  <w:textDirection w:val="lrTb"/>
                  <w:noWrap w:val="false"/>
                </w:tcPr>
                <w:p>
                  <w:pPr>
                    <w:ind w:left="115"/>
                    <w:spacing w:before="159"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兼容3个及以上厂商的大数据平台</w:t>
                  </w:r>
                  <w:r/>
                </w:p>
              </w:tc>
            </w:tr>
            <w:tr>
              <w:trPr>
                <w:jc w:val="center"/>
                <w:trHeight w:val="485"/>
              </w:trPr>
              <w:tc>
                <w:tcPr>
                  <w:tcW w:w="719" w:type="dxa"/>
                  <w:vAlign w:val="center"/>
                  <w:textDirection w:val="lrTb"/>
                  <w:noWrap w:val="false"/>
                </w:tcPr>
                <w:p>
                  <w:pPr>
                    <w:ind w:left="211"/>
                    <w:spacing w:before="152"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123</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虚拟化软件兼容</w:t>
                  </w:r>
                  <w:r/>
                </w:p>
              </w:tc>
              <w:tc>
                <w:tcPr>
                  <w:tcW w:w="4915" w:type="dxa"/>
                  <w:vAlign w:val="center"/>
                  <w:textDirection w:val="lrTb"/>
                  <w:noWrap w:val="false"/>
                </w:tcPr>
                <w:p>
                  <w:pPr>
                    <w:ind w:left="115"/>
                    <w:spacing w:before="159"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兼容2款及以上虚拟化软件</w:t>
                  </w:r>
                  <w:r/>
                </w:p>
              </w:tc>
            </w:tr>
            <w:tr>
              <w:trPr>
                <w:jc w:val="center"/>
                <w:trHeight w:val="964"/>
              </w:trPr>
              <w:tc>
                <w:tcPr>
                  <w:tcW w:w="719" w:type="dxa"/>
                  <w:vAlign w:val="center"/>
                  <w:textDirection w:val="lrTb"/>
                  <w:noWrap w:val="false"/>
                </w:tcPr>
                <w:p>
                  <w:pPr>
                    <w:ind w:left="211"/>
                    <w:spacing w:before="58" w:line="240"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124</w:t>
                  </w:r>
                  <w:r/>
                </w:p>
              </w:tc>
              <w:tc>
                <w:tcPr>
                  <w:tcW w:w="1314" w:type="dxa"/>
                  <w:vAlign w:val="center"/>
                  <w:textDirection w:val="lrTb"/>
                  <w:noWrap w:val="false"/>
                </w:tcPr>
                <w:p>
                  <w:pPr>
                    <w:ind w:left="189"/>
                    <w:jc w:val="center"/>
                    <w:spacing w:before="38"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存储</w:t>
                  </w:r>
                  <w:r/>
                </w:p>
                <w:p>
                  <w:pPr>
                    <w:ind w:left="191"/>
                    <w:jc w:val="center"/>
                    <w:spacing w:before="23"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可靠</w:t>
                  </w:r>
                  <w:r/>
                </w:p>
                <w:p>
                  <w:pPr>
                    <w:ind w:left="280" w:right="186" w:hanging="92"/>
                    <w:jc w:val="center"/>
                    <w:spacing w:before="23"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rPr>
                      <w:rFonts w:hint="eastAsia" w:ascii="宋体" w:hAnsi="宋体" w:eastAsia="宋体" w:cs="宋体"/>
                      <w:color w:val="auto"/>
                      <w:sz w:val="24"/>
                      <w:szCs w:val="24"/>
                      <w:highlight w:val="none"/>
                      <w:lang w:eastAsia="en-US"/>
                    </w:rPr>
                    <w:t xml:space="preserve">求</w:t>
                  </w:r>
                  <w:r/>
                </w:p>
              </w:tc>
              <w:tc>
                <w:tcPr>
                  <w:tcW w:w="1200" w:type="dxa"/>
                  <w:vAlign w:val="center"/>
                  <w:textDirection w:val="lrTb"/>
                  <w:noWrap w:val="false"/>
                </w:tcPr>
                <w:p>
                  <w:pPr>
                    <w:ind w:right="213"/>
                    <w:jc w:val="center"/>
                    <w:spacing w:before="58" w:line="25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SATA SSD可靠性</w:t>
                  </w:r>
                  <w:r/>
                </w:p>
              </w:tc>
              <w:tc>
                <w:tcPr>
                  <w:tcW w:w="4915" w:type="dxa"/>
                  <w:vAlign w:val="center"/>
                  <w:textDirection w:val="lrTb"/>
                  <w:noWrap w:val="false"/>
                </w:tcPr>
                <w:p>
                  <w:pPr>
                    <w:ind w:left="115" w:right="102" w:hanging="2"/>
                    <w:spacing w:before="279"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 xml:space="preserve">SSD的m1值（MTBF的不可接受值）</w:t>
                  </w:r>
                  <w:r>
                    <w:rPr>
                      <w:rFonts w:hint="eastAsia" w:ascii="宋体" w:hAnsi="宋体" w:eastAsia="宋体" w:cs="宋体"/>
                      <w:i/>
                      <w:iCs/>
                      <w:color w:val="auto"/>
                      <w:spacing w:val="-2"/>
                      <w:sz w:val="24"/>
                      <w:szCs w:val="24"/>
                      <w:highlight w:val="none"/>
                      <w:u w:val="single"/>
                      <w:lang w:eastAsia="en-US"/>
                    </w:rPr>
                    <w:t xml:space="preserve">不低于200000h</w:t>
                  </w:r>
                  <w:r/>
                </w:p>
              </w:tc>
            </w:tr>
            <w:tr>
              <w:trPr>
                <w:jc w:val="center"/>
                <w:trHeight w:val="725"/>
              </w:trPr>
              <w:tc>
                <w:tcPr>
                  <w:tcW w:w="719" w:type="dxa"/>
                  <w:vAlign w:val="center"/>
                  <w:textDirection w:val="lrTb"/>
                  <w:noWrap w:val="false"/>
                </w:tcPr>
                <w:p>
                  <w:pPr>
                    <w:ind w:left="211"/>
                    <w:spacing w:before="273"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125</w:t>
                  </w:r>
                  <w:r/>
                </w:p>
              </w:tc>
              <w:tc>
                <w:tcPr>
                  <w:tcBorders>
                    <w:bottom w:val="none" w:color="000000" w:sz="4" w:space="0"/>
                  </w:tcBorders>
                  <w:tcW w:w="1314" w:type="dxa"/>
                  <w:vAlign w:val="center"/>
                  <w:vMerge w:val="restart"/>
                  <w:textDirection w:val="lrTb"/>
                  <w:noWrap w:val="false"/>
                </w:tcPr>
                <w:p>
                  <w:pPr>
                    <w:ind w:left="139"/>
                    <w:jc w:val="center"/>
                    <w:spacing w:before="58" w:line="224"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整机</w:t>
                  </w:r>
                  <w:r/>
                </w:p>
                <w:p>
                  <w:pPr>
                    <w:ind w:left="191"/>
                    <w:jc w:val="center"/>
                    <w:spacing w:before="20"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可靠</w:t>
                  </w:r>
                  <w:r/>
                </w:p>
                <w:p>
                  <w:pPr>
                    <w:ind w:left="188"/>
                    <w:jc w:val="center"/>
                    <w:spacing w:before="24"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性要</w:t>
                  </w:r>
                  <w:r/>
                </w:p>
                <w:p>
                  <w:pPr>
                    <w:ind w:left="281"/>
                    <w:jc w:val="center"/>
                    <w:spacing w:before="23" w:line="22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整机可靠性</w:t>
                  </w:r>
                  <w:r/>
                </w:p>
              </w:tc>
              <w:tc>
                <w:tcPr>
                  <w:tcW w:w="4915" w:type="dxa"/>
                  <w:vAlign w:val="center"/>
                  <w:textDirection w:val="lrTb"/>
                  <w:noWrap w:val="false"/>
                </w:tcPr>
                <w:p>
                  <w:pPr>
                    <w:ind w:left="113" w:right="103" w:hanging="4"/>
                    <w:spacing w:before="159" w:line="25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m1值（MTBF的不可接受值）不得低于30000h</w:t>
                  </w:r>
                  <w:r/>
                </w:p>
              </w:tc>
            </w:tr>
            <w:tr>
              <w:trPr>
                <w:jc w:val="center"/>
                <w:trHeight w:val="485"/>
              </w:trPr>
              <w:tc>
                <w:tcPr>
                  <w:tcW w:w="719" w:type="dxa"/>
                  <w:vAlign w:val="center"/>
                  <w:textDirection w:val="lrTb"/>
                  <w:noWrap w:val="false"/>
                </w:tcPr>
                <w:p>
                  <w:pPr>
                    <w:ind w:left="211"/>
                    <w:spacing w:before="152"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126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风扇可靠性</w:t>
                  </w:r>
                  <w:r/>
                </w:p>
              </w:tc>
              <w:tc>
                <w:tcPr>
                  <w:tcW w:w="4915" w:type="dxa"/>
                  <w:vAlign w:val="center"/>
                  <w:textDirection w:val="lrTb"/>
                  <w:noWrap w:val="false"/>
                </w:tcPr>
                <w:p>
                  <w:pPr>
                    <w:ind w:left="114"/>
                    <w:spacing w:before="1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风扇寿命应不低于40000h</w:t>
                  </w:r>
                  <w:r/>
                </w:p>
              </w:tc>
            </w:tr>
            <w:tr>
              <w:trPr>
                <w:jc w:val="center"/>
                <w:trHeight w:val="485"/>
              </w:trPr>
              <w:tc>
                <w:tcPr>
                  <w:tcW w:w="719" w:type="dxa"/>
                  <w:vAlign w:val="center"/>
                  <w:textDirection w:val="lrTb"/>
                  <w:noWrap w:val="false"/>
                </w:tcPr>
                <w:p>
                  <w:pPr>
                    <w:ind w:left="211"/>
                    <w:spacing w:before="154"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127</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部件可靠性</w:t>
                  </w:r>
                  <w:r/>
                </w:p>
              </w:tc>
              <w:tc>
                <w:tcPr>
                  <w:tcW w:w="4915" w:type="dxa"/>
                  <w:vAlign w:val="center"/>
                  <w:textDirection w:val="lrTb"/>
                  <w:noWrap w:val="false"/>
                </w:tcPr>
                <w:p>
                  <w:pPr>
                    <w:ind w:left="114" w:right="103" w:firstLine="4"/>
                    <w:spacing w:before="4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支持硬盘、电源、风扇热插拔(内置</w:t>
                  </w:r>
                  <w:r>
                    <w:rPr>
                      <w:rFonts w:hint="eastAsia" w:ascii="宋体" w:hAnsi="宋体" w:eastAsia="宋体" w:cs="宋体"/>
                      <w:i/>
                      <w:iCs/>
                      <w:color w:val="auto"/>
                      <w:spacing w:val="-2"/>
                      <w:sz w:val="24"/>
                      <w:szCs w:val="24"/>
                      <w:highlight w:val="none"/>
                      <w:u w:val="single"/>
                      <w:lang w:eastAsia="en-US"/>
                    </w:rPr>
                    <w:t xml:space="preserve">风扇除外)</w:t>
                  </w:r>
                  <w:r/>
                </w:p>
              </w:tc>
            </w:tr>
            <w:tr>
              <w:trPr>
                <w:jc w:val="center"/>
                <w:trHeight w:val="964"/>
              </w:trPr>
              <w:tc>
                <w:tcPr>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128</w:t>
                  </w:r>
                  <w:r/>
                </w:p>
              </w:tc>
              <w:tc>
                <w:tcPr>
                  <w:tcW w:w="1314" w:type="dxa"/>
                  <w:vAlign w:val="center"/>
                  <w:textDirection w:val="lrTb"/>
                  <w:noWrap w:val="false"/>
                </w:tcPr>
                <w:p>
                  <w:pPr>
                    <w:ind w:left="188" w:right="141" w:hanging="49"/>
                    <w:jc w:val="center"/>
                    <w:spacing w:before="41" w:line="246"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包装</w:t>
                  </w:r>
                  <w:r>
                    <w:rPr>
                      <w:rFonts w:hint="eastAsia" w:ascii="宋体" w:hAnsi="宋体" w:eastAsia="宋体" w:cs="宋体"/>
                      <w:color w:val="auto"/>
                      <w:spacing w:val="-4"/>
                      <w:sz w:val="24"/>
                      <w:szCs w:val="24"/>
                      <w:highlight w:val="none"/>
                      <w:lang w:eastAsia="en-US"/>
                    </w:rPr>
                    <w:t xml:space="preserve">及运</w:t>
                  </w:r>
                  <w:r/>
                </w:p>
                <w:p>
                  <w:pPr>
                    <w:ind w:left="280" w:right="186" w:hanging="93"/>
                    <w:jc w:val="center"/>
                    <w:spacing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输要</w:t>
                  </w:r>
                  <w:r>
                    <w:rPr>
                      <w:rFonts w:hint="eastAsia" w:ascii="宋体" w:hAnsi="宋体" w:eastAsia="宋体" w:cs="宋体"/>
                      <w:color w:val="auto"/>
                      <w:sz w:val="24"/>
                      <w:szCs w:val="24"/>
                      <w:highlight w:val="none"/>
                      <w:lang w:eastAsia="en-US"/>
                    </w:rPr>
                    <w:t xml:space="preserve">求</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标志、包</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装、运输和贮存</w:t>
                  </w:r>
                  <w:r/>
                </w:p>
              </w:tc>
              <w:tc>
                <w:tcPr>
                  <w:tcW w:w="4915" w:type="dxa"/>
                  <w:vAlign w:val="center"/>
                  <w:textDirection w:val="lrTb"/>
                  <w:noWrap w:val="false"/>
                </w:tcPr>
                <w:p>
                  <w:pPr>
                    <w:ind w:left="112" w:right="168"/>
                    <w:spacing w:before="281" w:line="24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符合</w:t>
                  </w:r>
                  <w:r>
                    <w:rPr>
                      <w:rFonts w:hint="eastAsia" w:ascii="宋体" w:hAnsi="宋体" w:eastAsia="宋体" w:cs="宋体"/>
                      <w:i/>
                      <w:iCs/>
                      <w:color w:val="auto"/>
                      <w:sz w:val="24"/>
                      <w:szCs w:val="24"/>
                      <w:highlight w:val="none"/>
                      <w:u w:val="single"/>
                      <w:lang w:eastAsia="en-US"/>
                    </w:rPr>
                    <w:t xml:space="preserve">GB</w:t>
                  </w:r>
                  <w:r>
                    <w:rPr>
                      <w:rFonts w:hint="eastAsia" w:ascii="宋体" w:hAnsi="宋体" w:eastAsia="宋体" w:cs="宋体"/>
                      <w:i/>
                      <w:iCs/>
                      <w:color w:val="auto"/>
                      <w:spacing w:val="1"/>
                      <w:sz w:val="24"/>
                      <w:szCs w:val="24"/>
                      <w:highlight w:val="none"/>
                      <w:u w:val="single"/>
                      <w:lang w:eastAsia="en-US"/>
                    </w:rPr>
                    <w:t xml:space="preserve">/T 9813.3和商品包装政府</w:t>
                  </w:r>
                  <w:r>
                    <w:rPr>
                      <w:rFonts w:hint="eastAsia" w:ascii="宋体" w:hAnsi="宋体" w:eastAsia="宋体" w:cs="宋体"/>
                      <w:i/>
                      <w:iCs/>
                      <w:color w:val="auto"/>
                      <w:spacing w:val="-1"/>
                      <w:sz w:val="24"/>
                      <w:szCs w:val="24"/>
                      <w:highlight w:val="none"/>
                      <w:u w:val="single"/>
                      <w:lang w:eastAsia="en-US"/>
                    </w:rPr>
                    <w:t xml:space="preserve">采购需求标准的相关规定</w:t>
                  </w:r>
                  <w:r/>
                </w:p>
              </w:tc>
            </w:tr>
            <w:tr>
              <w:trPr>
                <w:jc w:val="center"/>
                <w:trHeight w:val="2644"/>
              </w:trPr>
              <w:tc>
                <w:tcPr>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129</w:t>
                  </w:r>
                  <w:r/>
                </w:p>
              </w:tc>
              <w:tc>
                <w:tcPr>
                  <w:tcBorders>
                    <w:bottom w:val="none" w:color="000000" w:sz="4" w:space="0"/>
                  </w:tcBorders>
                  <w:tcW w:w="1314" w:type="dxa"/>
                  <w:vAlign w:val="center"/>
                  <w:vMerge w:val="restart"/>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8"/>
                      <w:sz w:val="24"/>
                      <w:szCs w:val="24"/>
                      <w:highlight w:val="none"/>
                      <w:lang w:eastAsia="en-US"/>
                    </w:rPr>
                    <w:t xml:space="preserve">响应</w:t>
                  </w:r>
                  <w:r/>
                </w:p>
              </w:tc>
              <w:tc>
                <w:tcPr>
                  <w:tcW w:w="1200" w:type="dxa"/>
                  <w:vAlign w:val="center"/>
                  <w:textDirection w:val="lrTb"/>
                  <w:noWrap w:val="false"/>
                </w:tcPr>
                <w:p>
                  <w:pPr>
                    <w:jc w:val="center"/>
                    <w:spacing w:before="59"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服务响应</w:t>
                  </w:r>
                  <w:r/>
                </w:p>
              </w:tc>
              <w:tc>
                <w:tcPr>
                  <w:tcW w:w="4915" w:type="dxa"/>
                  <w:vAlign w:val="center"/>
                  <w:textDirection w:val="lrTb"/>
                  <w:noWrap w:val="false"/>
                </w:tcPr>
                <w:p>
                  <w:pPr>
                    <w:ind w:left="112" w:right="103" w:firstLine="2"/>
                    <w:spacing w:before="42"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提供电话、电子邮件、远程连接</w:t>
                  </w:r>
                  <w:r>
                    <w:rPr>
                      <w:rFonts w:hint="eastAsia" w:ascii="宋体" w:hAnsi="宋体" w:eastAsia="宋体" w:cs="宋体"/>
                      <w:i/>
                      <w:iCs/>
                      <w:color w:val="auto"/>
                      <w:spacing w:val="-1"/>
                      <w:sz w:val="24"/>
                      <w:szCs w:val="24"/>
                      <w:highlight w:val="none"/>
                      <w:u w:val="single"/>
                      <w:lang w:eastAsia="en-US"/>
                    </w:rPr>
                    <w:t xml:space="preserve">等多种形式服务；</w:t>
                  </w:r>
                  <w:r/>
                </w:p>
                <w:p>
                  <w:pPr>
                    <w:ind w:left="113" w:right="103" w:firstLine="2"/>
                    <w:spacing w:before="4"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 xml:space="preserve">b) 提供同城4h、异地12h技术响应服务，2个工作日解决问题，对于未</w:t>
                  </w:r>
                  <w:r>
                    <w:rPr>
                      <w:rFonts w:hint="eastAsia" w:ascii="宋体" w:hAnsi="宋体" w:eastAsia="宋体" w:cs="宋体"/>
                      <w:i/>
                      <w:iCs/>
                      <w:color w:val="auto"/>
                      <w:spacing w:val="-1"/>
                      <w:sz w:val="24"/>
                      <w:szCs w:val="24"/>
                      <w:highlight w:val="none"/>
                      <w:u w:val="single"/>
                      <w:lang w:eastAsia="en-US"/>
                    </w:rPr>
                    <w:t xml:space="preserve">能解决的问题和故障应提供可行的升级方案，并提供周转设备；</w:t>
                  </w:r>
                  <w:r/>
                </w:p>
                <w:p>
                  <w:pPr>
                    <w:ind w:left="112" w:right="57"/>
                    <w:spacing w:before="6" w:line="24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 建立全国技术服务体系和服务</w:t>
                  </w:r>
                  <w:r>
                    <w:rPr>
                      <w:rFonts w:hint="eastAsia" w:ascii="宋体" w:hAnsi="宋体" w:eastAsia="宋体" w:cs="宋体"/>
                      <w:i/>
                      <w:iCs/>
                      <w:color w:val="auto"/>
                      <w:spacing w:val="-5"/>
                      <w:sz w:val="24"/>
                      <w:szCs w:val="24"/>
                      <w:highlight w:val="none"/>
                      <w:u w:val="single"/>
                      <w:lang w:eastAsia="en-US"/>
                    </w:rPr>
                    <w:t xml:space="preserve">团体，符合专业服务体系标准要求，</w:t>
                  </w:r>
                  <w:r>
                    <w:rPr>
                      <w:rFonts w:hint="eastAsia" w:ascii="宋体" w:hAnsi="宋体" w:eastAsia="宋体" w:cs="宋体"/>
                      <w:i/>
                      <w:iCs/>
                      <w:color w:val="auto"/>
                      <w:spacing w:val="-1"/>
                      <w:sz w:val="24"/>
                      <w:szCs w:val="24"/>
                      <w:highlight w:val="none"/>
                      <w:u w:val="single"/>
                      <w:lang w:eastAsia="en-US"/>
                    </w:rPr>
                    <w:t xml:space="preserve">提供原厂中文服务；</w:t>
                  </w:r>
                  <w:r/>
                </w:p>
                <w:p>
                  <w:pPr>
                    <w:ind w:left="112" w:right="103"/>
                    <w:spacing w:before="5"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d) 服务周期内提供产品的维修、换</w:t>
                  </w:r>
                  <w:r>
                    <w:rPr>
                      <w:rFonts w:hint="eastAsia" w:ascii="宋体" w:hAnsi="宋体" w:eastAsia="宋体" w:cs="宋体"/>
                      <w:i/>
                      <w:iCs/>
                      <w:color w:val="auto"/>
                      <w:spacing w:val="-1"/>
                      <w:sz w:val="24"/>
                      <w:szCs w:val="24"/>
                      <w:highlight w:val="none"/>
                      <w:u w:val="single"/>
                      <w:lang w:eastAsia="en-US"/>
                    </w:rPr>
                    <w:t xml:space="preserve">件和升级服务</w:t>
                  </w:r>
                  <w:r/>
                </w:p>
              </w:tc>
            </w:tr>
            <w:tr>
              <w:trPr>
                <w:jc w:val="center"/>
                <w:trHeight w:val="485"/>
              </w:trPr>
              <w:tc>
                <w:tcPr>
                  <w:tcW w:w="719" w:type="dxa"/>
                  <w:vAlign w:val="center"/>
                  <w:textDirection w:val="lrTb"/>
                  <w:noWrap w:val="false"/>
                </w:tcPr>
                <w:p>
                  <w:pPr>
                    <w:ind w:left="211"/>
                    <w:spacing w:before="15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130</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培训服务</w:t>
                  </w:r>
                  <w:r/>
                </w:p>
              </w:tc>
              <w:tc>
                <w:tcPr>
                  <w:tcW w:w="4915" w:type="dxa"/>
                  <w:vAlign w:val="center"/>
                  <w:textDirection w:val="lrTb"/>
                  <w:noWrap w:val="false"/>
                </w:tcPr>
                <w:p>
                  <w:pPr>
                    <w:ind w:left="113" w:right="197"/>
                    <w:spacing w:before="42"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供应商提供培训材料、产品手册、</w:t>
                  </w:r>
                  <w:r>
                    <w:rPr>
                      <w:rFonts w:hint="eastAsia" w:ascii="宋体" w:hAnsi="宋体" w:eastAsia="宋体" w:cs="宋体"/>
                      <w:i/>
                      <w:iCs/>
                      <w:color w:val="auto"/>
                      <w:spacing w:val="-1"/>
                      <w:sz w:val="24"/>
                      <w:szCs w:val="24"/>
                      <w:highlight w:val="none"/>
                      <w:u w:val="single"/>
                      <w:lang w:eastAsia="en-US"/>
                    </w:rPr>
                    <w:t xml:space="preserve">培训视频等培训相关内容</w:t>
                  </w:r>
                  <w:r/>
                </w:p>
              </w:tc>
            </w:tr>
            <w:tr>
              <w:trPr>
                <w:jc w:val="center"/>
                <w:trHeight w:val="2167"/>
              </w:trPr>
              <w:tc>
                <w:tcPr>
                  <w:tcW w:w="719" w:type="dxa"/>
                  <w:vAlign w:val="center"/>
                  <w:textDirection w:val="lrTb"/>
                  <w:noWrap w:val="false"/>
                </w:tcPr>
                <w:p>
                  <w:pPr>
                    <w:jc w:val="center"/>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131</w:t>
                  </w:r>
                  <w:r/>
                </w:p>
              </w:tc>
              <w:tc>
                <w:tcPr>
                  <w:tcW w:w="1314" w:type="dxa"/>
                  <w:vAlign w:val="center"/>
                  <w:textDirection w:val="lrTb"/>
                  <w:noWrap w:val="false"/>
                </w:tcPr>
                <w:p>
                  <w:pPr>
                    <w:ind w:right="141"/>
                    <w:jc w:val="center"/>
                    <w:spacing w:before="59" w:line="248"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4"/>
                      <w:sz w:val="24"/>
                      <w:szCs w:val="24"/>
                      <w:highlight w:val="none"/>
                      <w:lang w:eastAsia="en-US"/>
                    </w:rPr>
                    <w:t xml:space="preserve">周期</w:t>
                  </w:r>
                  <w:r/>
                </w:p>
              </w:tc>
              <w:tc>
                <w:tcPr>
                  <w:tcW w:w="1200"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服务周期</w:t>
                  </w:r>
                  <w:r/>
                </w:p>
              </w:tc>
              <w:tc>
                <w:tcPr>
                  <w:tcW w:w="4915" w:type="dxa"/>
                  <w:vAlign w:val="center"/>
                  <w:textDirection w:val="lrTb"/>
                  <w:noWrap w:val="false"/>
                </w:tcPr>
                <w:p>
                  <w:pPr>
                    <w:ind w:left="113" w:right="103" w:firstLine="1"/>
                    <w:spacing w:before="42"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a) 产品免费服务周期（含换件和维</w:t>
                  </w:r>
                  <w:r>
                    <w:rPr>
                      <w:rFonts w:hint="eastAsia" w:ascii="宋体" w:hAnsi="宋体" w:eastAsia="宋体" w:cs="宋体"/>
                      <w:i/>
                      <w:iCs/>
                      <w:color w:val="auto"/>
                      <w:spacing w:val="-3"/>
                      <w:sz w:val="24"/>
                      <w:szCs w:val="24"/>
                      <w:highlight w:val="none"/>
                      <w:u w:val="single"/>
                      <w:lang w:eastAsia="en-US"/>
                    </w:rPr>
                    <w:t xml:space="preserve">修）应不小于3年；</w:t>
                  </w:r>
                  <w:r/>
                </w:p>
                <w:p>
                  <w:pPr>
                    <w:ind w:left="113" w:right="168" w:firstLine="2"/>
                    <w:spacing w:before="4"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设备停产后继续提供质量保障服务（含备品备件</w:t>
                  </w:r>
                  <w:r>
                    <w:rPr>
                      <w:rFonts w:hint="eastAsia" w:ascii="宋体" w:hAnsi="宋体" w:eastAsia="宋体" w:cs="宋体"/>
                      <w:i/>
                      <w:iCs/>
                      <w:color w:val="auto"/>
                      <w:spacing w:val="3"/>
                      <w:sz w:val="24"/>
                      <w:szCs w:val="24"/>
                      <w:highlight w:val="none"/>
                      <w:u w:val="single"/>
                      <w:lang w:eastAsia="en-US"/>
                    </w:rPr>
                    <w:t xml:space="preserve">），</w:t>
                  </w:r>
                  <w:r>
                    <w:rPr>
                      <w:rFonts w:hint="eastAsia" w:ascii="宋体" w:hAnsi="宋体" w:eastAsia="宋体" w:cs="宋体"/>
                      <w:i/>
                      <w:iCs/>
                      <w:color w:val="auto"/>
                      <w:spacing w:val="-1"/>
                      <w:sz w:val="24"/>
                      <w:szCs w:val="24"/>
                      <w:highlight w:val="none"/>
                      <w:u w:val="single"/>
                      <w:lang w:eastAsia="en-US"/>
                    </w:rPr>
                    <w:t xml:space="preserve">服务终止时间与最后一批设备交付时间间隔不</w:t>
                  </w:r>
                  <w:r>
                    <w:rPr>
                      <w:rFonts w:hint="eastAsia" w:ascii="宋体" w:hAnsi="宋体" w:eastAsia="宋体" w:cs="宋体"/>
                      <w:i/>
                      <w:iCs/>
                      <w:color w:val="auto"/>
                      <w:spacing w:val="-5"/>
                      <w:sz w:val="24"/>
                      <w:szCs w:val="24"/>
                      <w:highlight w:val="none"/>
                      <w:u w:val="single"/>
                      <w:lang w:eastAsia="en-US"/>
                    </w:rPr>
                    <w:t xml:space="preserve">低于6年；</w:t>
                  </w:r>
                  <w:r/>
                </w:p>
                <w:p>
                  <w:pPr>
                    <w:ind w:left="118" w:right="103" w:hanging="5"/>
                    <w:spacing w:before="6"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 产品停止服务时间应提前1年告</w:t>
                  </w:r>
                  <w:r>
                    <w:rPr>
                      <w:rFonts w:hint="eastAsia" w:ascii="宋体" w:hAnsi="宋体" w:eastAsia="宋体" w:cs="宋体"/>
                      <w:i/>
                      <w:iCs/>
                      <w:color w:val="auto"/>
                      <w:spacing w:val="-3"/>
                      <w:sz w:val="24"/>
                      <w:szCs w:val="24"/>
                      <w:highlight w:val="none"/>
                      <w:u w:val="single"/>
                      <w:lang w:eastAsia="en-US"/>
                    </w:rPr>
                    <w:t xml:space="preserve">知客户；</w:t>
                  </w:r>
                  <w:r/>
                </w:p>
                <w:p>
                  <w:pPr>
                    <w:ind w:left="113"/>
                    <w:spacing w:before="5" w:line="20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 产品发布日期需在随机文件中</w:t>
                  </w:r>
                  <w:r>
                    <w:rPr>
                      <w:rFonts w:hint="eastAsia" w:ascii="宋体" w:hAnsi="宋体" w:eastAsia="宋体" w:cs="宋体"/>
                      <w:i/>
                      <w:iCs/>
                      <w:color w:val="auto"/>
                      <w:spacing w:val="-8"/>
                      <w:sz w:val="24"/>
                      <w:szCs w:val="24"/>
                      <w:highlight w:val="none"/>
                      <w:u w:val="single"/>
                      <w:lang w:eastAsia="en-US"/>
                    </w:rPr>
                    <w:t xml:space="preserve">明确</w:t>
                  </w:r>
                  <w:r/>
                </w:p>
              </w:tc>
            </w:tr>
            <w:tr>
              <w:trPr>
                <w:jc w:val="center"/>
                <w:trHeight w:val="964"/>
              </w:trPr>
              <w:tc>
                <w:tcPr>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132</w:t>
                  </w:r>
                  <w:r/>
                </w:p>
              </w:tc>
              <w:tc>
                <w:tcPr>
                  <w:tcBorders>
                    <w:bottom w:val="none" w:color="000000" w:sz="4" w:space="0"/>
                  </w:tcBorders>
                  <w:tcW w:w="1314" w:type="dxa"/>
                  <w:vAlign w:val="center"/>
                  <w:vMerge w:val="restart"/>
                  <w:textDirection w:val="lrTb"/>
                  <w:noWrap w:val="false"/>
                </w:tcPr>
                <w:p>
                  <w:pPr>
                    <w:ind w:left="186" w:right="141" w:hanging="47"/>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服务</w:t>
                  </w:r>
                  <w:r>
                    <w:rPr>
                      <w:rFonts w:hint="eastAsia" w:ascii="宋体" w:hAnsi="宋体" w:eastAsia="宋体" w:cs="宋体"/>
                      <w:color w:val="auto"/>
                      <w:spacing w:val="-3"/>
                      <w:sz w:val="24"/>
                      <w:szCs w:val="24"/>
                      <w:highlight w:val="none"/>
                      <w:lang w:eastAsia="en-US"/>
                    </w:rPr>
                    <w:t xml:space="preserve">工具要求</w:t>
                  </w:r>
                  <w:r/>
                </w:p>
              </w:tc>
              <w:tc>
                <w:tcPr>
                  <w:tcW w:w="1200"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工具要求</w:t>
                  </w:r>
                  <w:r/>
                </w:p>
              </w:tc>
              <w:tc>
                <w:tcPr>
                  <w:tcW w:w="4915" w:type="dxa"/>
                  <w:vAlign w:val="center"/>
                  <w:textDirection w:val="lrTb"/>
                  <w:noWrap w:val="false"/>
                </w:tcPr>
                <w:p>
                  <w:pPr>
                    <w:ind w:left="112" w:right="168"/>
                    <w:spacing w:before="37" w:line="23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供应商提供设置服务器硬件、辅助操作系统安装等功能的辅助工具和管理软件。且随附软件应具有合法</w:t>
                  </w:r>
                  <w:r>
                    <w:rPr>
                      <w:rFonts w:hint="eastAsia" w:ascii="宋体" w:hAnsi="宋体" w:eastAsia="宋体" w:cs="宋体"/>
                      <w:i/>
                      <w:iCs/>
                      <w:color w:val="auto"/>
                      <w:spacing w:val="-2"/>
                      <w:sz w:val="24"/>
                      <w:szCs w:val="24"/>
                      <w:highlight w:val="none"/>
                      <w:u w:val="single"/>
                      <w:lang w:eastAsia="en-US"/>
                    </w:rPr>
                    <w:t xml:space="preserve">授权或版权</w:t>
                  </w:r>
                  <w:r/>
                </w:p>
              </w:tc>
            </w:tr>
            <w:tr>
              <w:trPr>
                <w:jc w:val="center"/>
                <w:trHeight w:val="1684"/>
              </w:trPr>
              <w:tc>
                <w:tcPr>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133</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before="59" w:line="222"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辅助工具</w:t>
                  </w:r>
                  <w:r/>
                </w:p>
              </w:tc>
              <w:tc>
                <w:tcPr>
                  <w:tcW w:w="4915" w:type="dxa"/>
                  <w:vAlign w:val="center"/>
                  <w:textDirection w:val="lrTb"/>
                  <w:noWrap w:val="false"/>
                </w:tcPr>
                <w:p>
                  <w:pPr>
                    <w:ind w:left="119"/>
                    <w:spacing w:before="41"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 xml:space="preserve">支持如下功能</w:t>
                  </w:r>
                  <w:r/>
                </w:p>
                <w:p>
                  <w:pPr>
                    <w:ind w:left="114"/>
                    <w:spacing w:before="23"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 本地的数据备份和还原功能；</w:t>
                  </w:r>
                  <w:r/>
                </w:p>
                <w:p>
                  <w:pPr>
                    <w:ind w:left="115"/>
                    <w:spacing w:before="32" w:line="21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b) 网络的数据备份和还原功能；</w:t>
                  </w:r>
                  <w:r/>
                </w:p>
                <w:p>
                  <w:pPr>
                    <w:ind w:left="119" w:right="259" w:hanging="6"/>
                    <w:spacing w:before="32" w:line="243"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 服务器操作系统的自动安装功</w:t>
                  </w:r>
                  <w:r>
                    <w:rPr>
                      <w:rFonts w:hint="eastAsia" w:ascii="宋体" w:hAnsi="宋体" w:eastAsia="宋体" w:cs="宋体"/>
                      <w:i/>
                      <w:iCs/>
                      <w:color w:val="auto"/>
                      <w:spacing w:val="-7"/>
                      <w:sz w:val="24"/>
                      <w:szCs w:val="24"/>
                      <w:highlight w:val="none"/>
                      <w:u w:val="single"/>
                      <w:lang w:eastAsia="en-US"/>
                    </w:rPr>
                    <w:t xml:space="preserve">能；</w:t>
                  </w:r>
                  <w:r/>
                </w:p>
                <w:p>
                  <w:pPr>
                    <w:ind w:left="113" w:right="259"/>
                    <w:spacing w:before="5"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d) 服务器所配硬件需要的驱动程</w:t>
                  </w:r>
                  <w:r>
                    <w:rPr>
                      <w:rFonts w:hint="eastAsia" w:ascii="宋体" w:hAnsi="宋体" w:eastAsia="宋体" w:cs="宋体"/>
                      <w:i/>
                      <w:iCs/>
                      <w:color w:val="auto"/>
                      <w:spacing w:val="-2"/>
                      <w:sz w:val="24"/>
                      <w:szCs w:val="24"/>
                      <w:highlight w:val="none"/>
                      <w:u w:val="single"/>
                      <w:lang w:eastAsia="en-US"/>
                    </w:rPr>
                    <w:t xml:space="preserve">序和系统补丁</w:t>
                  </w:r>
                  <w:r/>
                </w:p>
              </w:tc>
            </w:tr>
            <w:tr>
              <w:trPr>
                <w:jc w:val="center"/>
                <w:trHeight w:val="965"/>
              </w:trPr>
              <w:tc>
                <w:tcPr>
                  <w:tcW w:w="719" w:type="dxa"/>
                  <w:vAlign w:val="center"/>
                  <w:textDirection w:val="lrTb"/>
                  <w:noWrap w:val="false"/>
                </w:tcPr>
                <w:p>
                  <w:pPr>
                    <w:ind w:left="211"/>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134</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驱动安装升级指引</w:t>
                  </w:r>
                  <w:r/>
                </w:p>
              </w:tc>
              <w:tc>
                <w:tcPr>
                  <w:tcW w:w="4915" w:type="dxa"/>
                  <w:vAlign w:val="center"/>
                  <w:textDirection w:val="lrTb"/>
                  <w:noWrap w:val="false"/>
                </w:tcPr>
                <w:p>
                  <w:pPr>
                    <w:ind w:left="112" w:right="168"/>
                    <w:spacing w:before="42"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供应商提供出厂安装的配件所需的驱动程序，形式包括但不限于驱动光盘、驱动下载链接等。其他配件</w:t>
                  </w:r>
                  <w:r>
                    <w:rPr>
                      <w:rFonts w:hint="eastAsia" w:ascii="宋体" w:hAnsi="宋体" w:eastAsia="宋体" w:cs="宋体"/>
                      <w:i/>
                      <w:iCs/>
                      <w:color w:val="auto"/>
                      <w:spacing w:val="-2"/>
                      <w:sz w:val="24"/>
                      <w:szCs w:val="24"/>
                      <w:highlight w:val="none"/>
                      <w:u w:val="single"/>
                      <w:lang w:eastAsia="en-US"/>
                    </w:rPr>
                    <w:t xml:space="preserve">应提供指引</w:t>
                  </w:r>
                  <w:r/>
                </w:p>
              </w:tc>
            </w:tr>
            <w:tr>
              <w:trPr>
                <w:jc w:val="center"/>
                <w:trHeight w:val="485"/>
              </w:trPr>
              <w:tc>
                <w:tcPr>
                  <w:tcW w:w="719" w:type="dxa"/>
                  <w:vAlign w:val="center"/>
                  <w:textDirection w:val="lrTb"/>
                  <w:noWrap w:val="false"/>
                </w:tcPr>
                <w:p>
                  <w:pPr>
                    <w:ind w:left="211"/>
                    <w:spacing w:before="15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135</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随机附开盖工具</w:t>
                  </w:r>
                  <w:r/>
                </w:p>
              </w:tc>
              <w:tc>
                <w:tcPr>
                  <w:tcW w:w="4915" w:type="dxa"/>
                  <w:vAlign w:val="center"/>
                  <w:textDirection w:val="lrTb"/>
                  <w:noWrap w:val="false"/>
                </w:tcPr>
                <w:p>
                  <w:pPr>
                    <w:ind w:left="118"/>
                    <w:spacing w:before="161"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随服务器打包提供开机箱工具</w:t>
                  </w:r>
                  <w:r/>
                </w:p>
              </w:tc>
            </w:tr>
            <w:tr>
              <w:trPr>
                <w:jc w:val="center"/>
                <w:trHeight w:val="2164"/>
              </w:trPr>
              <w:tc>
                <w:tcPr>
                  <w:tcW w:w="719" w:type="dxa"/>
                  <w:vAlign w:val="center"/>
                  <w:textDirection w:val="lrTb"/>
                  <w:noWrap w:val="false"/>
                </w:tcPr>
                <w:p>
                  <w:pPr>
                    <w:ind w:left="211"/>
                    <w:spacing w:before="58"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136</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right="214"/>
                    <w:jc w:val="center"/>
                    <w:spacing w:before="59"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代码迁移工具</w:t>
                  </w:r>
                  <w:r/>
                </w:p>
              </w:tc>
              <w:tc>
                <w:tcPr>
                  <w:tcW w:w="4915" w:type="dxa"/>
                  <w:vAlign w:val="center"/>
                  <w:textDirection w:val="lrTb"/>
                  <w:noWrap w:val="false"/>
                </w:tcPr>
                <w:p>
                  <w:pPr>
                    <w:ind w:left="112" w:right="168"/>
                    <w:spacing w:before="42" w:line="245"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供应商提供从其他CPU架构到当前服务器CPU架构的软件迁移工具产</w:t>
                  </w:r>
                  <w:r>
                    <w:rPr>
                      <w:rFonts w:hint="eastAsia" w:ascii="宋体" w:hAnsi="宋体" w:eastAsia="宋体" w:cs="宋体"/>
                      <w:i/>
                      <w:iCs/>
                      <w:color w:val="auto"/>
                      <w:spacing w:val="-1"/>
                      <w:sz w:val="24"/>
                      <w:szCs w:val="24"/>
                      <w:highlight w:val="none"/>
                      <w:u w:val="single"/>
                      <w:lang w:eastAsia="en-US"/>
                    </w:rPr>
                    <w:t xml:space="preserve">品，支持软件包迁移评估，对满足产品重构要求的软件包，能重构为</w:t>
                  </w:r>
                  <w:r>
                    <w:rPr>
                      <w:rFonts w:hint="eastAsia" w:ascii="宋体" w:hAnsi="宋体" w:eastAsia="宋体" w:cs="宋体"/>
                      <w:i/>
                      <w:iCs/>
                      <w:color w:val="auto"/>
                      <w:spacing w:val="-2"/>
                      <w:sz w:val="24"/>
                      <w:szCs w:val="24"/>
                      <w:highlight w:val="none"/>
                      <w:u w:val="single"/>
                      <w:lang w:eastAsia="en-US"/>
                    </w:rPr>
                    <w:t xml:space="preserve">当前服务器CPU架构的软件包。提</w:t>
                  </w:r>
                  <w:r>
                    <w:rPr>
                      <w:rFonts w:hint="eastAsia" w:ascii="宋体" w:hAnsi="宋体" w:eastAsia="宋体" w:cs="宋体"/>
                      <w:i/>
                      <w:iCs/>
                      <w:color w:val="auto"/>
                      <w:spacing w:val="-1"/>
                      <w:sz w:val="24"/>
                      <w:szCs w:val="24"/>
                      <w:highlight w:val="none"/>
                      <w:u w:val="single"/>
                      <w:lang w:eastAsia="en-US"/>
                    </w:rPr>
                    <w:t xml:space="preserve">供源码迁移功能，检查分析</w:t>
                  </w:r>
                  <w:r/>
                </w:p>
                <w:p>
                  <w:pPr>
                    <w:ind w:left="112" w:right="168"/>
                    <w:spacing w:before="5" w:line="230"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C/C++/Fortran/Go/解释型语言/汇编等源码文件，基于产品功能给出</w:t>
                  </w:r>
                  <w:r>
                    <w:rPr>
                      <w:rFonts w:hint="eastAsia" w:ascii="宋体" w:hAnsi="宋体" w:eastAsia="宋体" w:cs="宋体"/>
                      <w:i/>
                      <w:iCs/>
                      <w:color w:val="auto"/>
                      <w:spacing w:val="-2"/>
                      <w:sz w:val="24"/>
                      <w:szCs w:val="24"/>
                      <w:highlight w:val="none"/>
                      <w:u w:val="single"/>
                      <w:lang w:eastAsia="en-US"/>
                    </w:rPr>
                    <w:t xml:space="preserve">迁移指导</w:t>
                  </w:r>
                  <w:r/>
                </w:p>
              </w:tc>
            </w:tr>
            <w:tr>
              <w:trPr>
                <w:jc w:val="center"/>
                <w:trHeight w:val="1444"/>
              </w:trPr>
              <w:tc>
                <w:tcPr>
                  <w:tcW w:w="719" w:type="dxa"/>
                  <w:vAlign w:val="center"/>
                  <w:textDirection w:val="lrTb"/>
                  <w:noWrap w:val="false"/>
                </w:tcPr>
                <w:p>
                  <w:pPr>
                    <w:ind w:left="211"/>
                    <w:spacing w:before="58"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137</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ind w:right="214"/>
                    <w:jc w:val="center"/>
                    <w:spacing w:before="59" w:line="249"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性能分析工具</w:t>
                  </w:r>
                  <w:r/>
                </w:p>
              </w:tc>
              <w:tc>
                <w:tcPr>
                  <w:tcW w:w="4915" w:type="dxa"/>
                  <w:vAlign w:val="center"/>
                  <w:textDirection w:val="lrTb"/>
                  <w:noWrap w:val="false"/>
                </w:tcPr>
                <w:p>
                  <w:pPr>
                    <w:ind w:left="111" w:right="41" w:firstLine="1"/>
                    <w:spacing w:before="41" w:line="238"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供应商提供支持当前服务器CPU架</w:t>
                  </w:r>
                  <w:r>
                    <w:rPr>
                      <w:rFonts w:hint="eastAsia" w:ascii="宋体" w:hAnsi="宋体" w:eastAsia="宋体" w:cs="宋体"/>
                      <w:i/>
                      <w:iCs/>
                      <w:color w:val="auto"/>
                      <w:spacing w:val="-1"/>
                      <w:sz w:val="24"/>
                      <w:szCs w:val="24"/>
                      <w:highlight w:val="none"/>
                      <w:u w:val="single"/>
                      <w:lang w:eastAsia="en-US"/>
                    </w:rPr>
                    <w:t xml:space="preserve">构的性能分析工具产品，支持系统性能分析、Java性能分析和系统诊</w:t>
                  </w:r>
                  <w:r>
                    <w:rPr>
                      <w:rFonts w:hint="eastAsia" w:ascii="宋体" w:hAnsi="宋体" w:eastAsia="宋体" w:cs="宋体"/>
                      <w:i/>
                      <w:iCs/>
                      <w:color w:val="auto"/>
                      <w:spacing w:val="-12"/>
                      <w:sz w:val="24"/>
                      <w:szCs w:val="24"/>
                      <w:highlight w:val="none"/>
                      <w:u w:val="single"/>
                      <w:lang w:eastAsia="en-US"/>
                    </w:rPr>
                    <w:t xml:space="preserve">断，可分析系统或应用在CPU、内存、</w:t>
                  </w:r>
                  <w:r>
                    <w:rPr>
                      <w:rFonts w:hint="eastAsia" w:ascii="宋体" w:hAnsi="宋体" w:eastAsia="宋体" w:cs="宋体"/>
                      <w:i/>
                      <w:iCs/>
                      <w:color w:val="auto"/>
                      <w:spacing w:val="-1"/>
                      <w:sz w:val="24"/>
                      <w:szCs w:val="24"/>
                      <w:highlight w:val="none"/>
                      <w:u w:val="single"/>
                      <w:lang w:eastAsia="en-US"/>
                    </w:rPr>
                    <w:t xml:space="preserve">IO、网络等方面的性能，并给出优</w:t>
                  </w:r>
                  <w:r>
                    <w:rPr>
                      <w:rFonts w:hint="eastAsia" w:ascii="宋体" w:hAnsi="宋体" w:eastAsia="宋体" w:cs="宋体"/>
                      <w:i/>
                      <w:iCs/>
                      <w:color w:val="auto"/>
                      <w:spacing w:val="-2"/>
                      <w:sz w:val="24"/>
                      <w:szCs w:val="24"/>
                      <w:highlight w:val="none"/>
                      <w:u w:val="single"/>
                      <w:lang w:eastAsia="en-US"/>
                    </w:rPr>
                    <w:t xml:space="preserve">化建议</w:t>
                  </w:r>
                  <w:r/>
                </w:p>
              </w:tc>
            </w:tr>
            <w:tr>
              <w:trPr>
                <w:jc w:val="center"/>
                <w:trHeight w:val="705"/>
              </w:trPr>
              <w:tc>
                <w:tcPr>
                  <w:tcW w:w="719" w:type="dxa"/>
                  <w:vAlign w:val="center"/>
                  <w:textDirection w:val="lrTb"/>
                  <w:noWrap w:val="false"/>
                </w:tcPr>
                <w:p>
                  <w:pPr>
                    <w:ind w:left="211"/>
                    <w:spacing w:before="26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138</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跨架构平</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台应用兼容</w:t>
                  </w:r>
                  <w:r/>
                </w:p>
              </w:tc>
              <w:tc>
                <w:tcPr>
                  <w:tcW w:w="4915" w:type="dxa"/>
                  <w:vAlign w:val="center"/>
                  <w:textDirection w:val="lrTb"/>
                  <w:noWrap w:val="false"/>
                </w:tcPr>
                <w:p>
                  <w:pPr>
                    <w:ind w:left="115" w:right="168" w:hanging="2"/>
                    <w:spacing w:before="33" w:line="226"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跨CPU架构平台应用兼容工具，可</w:t>
                  </w:r>
                  <w:r>
                    <w:rPr>
                      <w:rFonts w:hint="eastAsia" w:ascii="宋体" w:hAnsi="宋体" w:eastAsia="宋体" w:cs="宋体"/>
                      <w:i/>
                      <w:iCs/>
                      <w:color w:val="auto"/>
                      <w:spacing w:val="-1"/>
                      <w:sz w:val="24"/>
                      <w:szCs w:val="24"/>
                      <w:highlight w:val="none"/>
                      <w:u w:val="single"/>
                      <w:lang w:eastAsia="en-US"/>
                    </w:rPr>
                    <w:t xml:space="preserve">兼容一种或者一种以上不同架构平</w:t>
                  </w:r>
                  <w:r>
                    <w:rPr>
                      <w:rFonts w:hint="eastAsia" w:ascii="宋体" w:hAnsi="宋体" w:eastAsia="宋体" w:cs="宋体"/>
                      <w:i/>
                      <w:iCs/>
                      <w:color w:val="auto"/>
                      <w:spacing w:val="-3"/>
                      <w:sz w:val="24"/>
                      <w:szCs w:val="24"/>
                      <w:highlight w:val="none"/>
                      <w:u w:val="single"/>
                      <w:lang w:eastAsia="en-US"/>
                    </w:rPr>
                    <w:t xml:space="preserve">台的应用</w:t>
                  </w:r>
                  <w:r/>
                </w:p>
              </w:tc>
            </w:tr>
            <w:tr>
              <w:trPr>
                <w:jc w:val="center"/>
                <w:trHeight w:val="706"/>
              </w:trPr>
              <w:tc>
                <w:tcPr>
                  <w:tcW w:w="719" w:type="dxa"/>
                  <w:vAlign w:val="center"/>
                  <w:textDirection w:val="lrTb"/>
                  <w:noWrap w:val="false"/>
                </w:tcPr>
                <w:p>
                  <w:pPr>
                    <w:ind w:left="211"/>
                    <w:spacing w:before="265"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139</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管理软件</w:t>
                  </w:r>
                  <w:r/>
                </w:p>
              </w:tc>
              <w:tc>
                <w:tcPr>
                  <w:tcW w:w="4915" w:type="dxa"/>
                  <w:vAlign w:val="center"/>
                  <w:textDirection w:val="lrTb"/>
                  <w:noWrap w:val="false"/>
                </w:tcPr>
                <w:p>
                  <w:pPr>
                    <w:ind w:left="112" w:right="168" w:firstLine="5"/>
                    <w:spacing w:before="32" w:line="22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具备资源管理、系统管理、性能监控、健康监控、基于网络控制、报</w:t>
                  </w:r>
                  <w:r>
                    <w:rPr>
                      <w:rFonts w:hint="eastAsia" w:ascii="宋体" w:hAnsi="宋体" w:eastAsia="宋体" w:cs="宋体"/>
                      <w:i/>
                      <w:iCs/>
                      <w:color w:val="auto"/>
                      <w:spacing w:val="-2"/>
                      <w:sz w:val="24"/>
                      <w:szCs w:val="24"/>
                      <w:highlight w:val="none"/>
                      <w:u w:val="single"/>
                      <w:lang w:eastAsia="en-US"/>
                    </w:rPr>
                    <w:t xml:space="preserve">警设置功能</w:t>
                  </w:r>
                  <w:r/>
                </w:p>
              </w:tc>
            </w:tr>
            <w:tr>
              <w:trPr>
                <w:jc w:val="center"/>
                <w:trHeight w:val="938"/>
              </w:trPr>
              <w:tc>
                <w:tcPr>
                  <w:tcW w:w="719" w:type="dxa"/>
                  <w:vAlign w:val="center"/>
                  <w:textDirection w:val="lrTb"/>
                  <w:noWrap w:val="false"/>
                </w:tcPr>
                <w:p>
                  <w:pPr>
                    <w:jc w:val="center"/>
                    <w:spacing w:line="32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211"/>
                    <w:spacing w:before="5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140</w:t>
                  </w:r>
                  <w:r/>
                </w:p>
              </w:tc>
              <w:tc>
                <w:tcPr>
                  <w:tcBorders>
                    <w:bottom w:val="none" w:color="000000" w:sz="4" w:space="0"/>
                  </w:tcBorders>
                  <w:tcW w:w="1314" w:type="dxa"/>
                  <w:vAlign w:val="center"/>
                  <w:vMerge w:val="restart"/>
                  <w:textDirection w:val="lrTb"/>
                  <w:noWrap w:val="false"/>
                </w:tcPr>
                <w:p>
                  <w:pPr>
                    <w:ind w:left="187" w:right="141" w:hanging="48"/>
                    <w:jc w:val="center"/>
                    <w:spacing w:before="59" w:line="247"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增值</w:t>
                  </w:r>
                  <w:r>
                    <w:rPr>
                      <w:rFonts w:hint="eastAsia" w:ascii="宋体" w:hAnsi="宋体" w:eastAsia="宋体" w:cs="宋体"/>
                      <w:color w:val="auto"/>
                      <w:spacing w:val="-4"/>
                      <w:sz w:val="24"/>
                      <w:szCs w:val="24"/>
                      <w:highlight w:val="none"/>
                      <w:lang w:eastAsia="en-US"/>
                    </w:rPr>
                    <w:t xml:space="preserve">服务</w:t>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厂家升级产品软件与扩容服务</w:t>
                  </w:r>
                  <w:r/>
                </w:p>
              </w:tc>
              <w:tc>
                <w:tcPr>
                  <w:tcW w:w="4915" w:type="dxa"/>
                  <w:vAlign w:val="center"/>
                  <w:textDirection w:val="lrTb"/>
                  <w:noWrap w:val="false"/>
                </w:tcPr>
                <w:p>
                  <w:pPr>
                    <w:ind w:left="122" w:right="259" w:hanging="9"/>
                    <w:spacing w:before="26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供应商提供原厂级的部件/软件产</w:t>
                  </w:r>
                  <w:r>
                    <w:rPr>
                      <w:rFonts w:hint="eastAsia" w:ascii="宋体" w:hAnsi="宋体" w:eastAsia="宋体" w:cs="宋体"/>
                      <w:i/>
                      <w:iCs/>
                      <w:color w:val="auto"/>
                      <w:spacing w:val="-3"/>
                      <w:sz w:val="24"/>
                      <w:szCs w:val="24"/>
                      <w:highlight w:val="none"/>
                      <w:u w:val="single"/>
                      <w:lang w:eastAsia="en-US"/>
                    </w:rPr>
                    <w:t xml:space="preserve">品升级和扩容能力</w:t>
                  </w:r>
                  <w:r/>
                </w:p>
              </w:tc>
            </w:tr>
            <w:tr>
              <w:trPr>
                <w:jc w:val="center"/>
                <w:trHeight w:val="706"/>
              </w:trPr>
              <w:tc>
                <w:tcPr>
                  <w:tcW w:w="719" w:type="dxa"/>
                  <w:vAlign w:val="center"/>
                  <w:textDirection w:val="lrTb"/>
                  <w:noWrap w:val="false"/>
                </w:tcPr>
                <w:p>
                  <w:pPr>
                    <w:ind w:left="211"/>
                    <w:spacing w:before="265"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141</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服务保障升级</w:t>
                  </w:r>
                  <w:r/>
                </w:p>
              </w:tc>
              <w:tc>
                <w:tcPr>
                  <w:tcW w:w="4915" w:type="dxa"/>
                  <w:vAlign w:val="center"/>
                  <w:textDirection w:val="lrTb"/>
                  <w:noWrap w:val="false"/>
                </w:tcPr>
                <w:p>
                  <w:pPr>
                    <w:ind w:left="112" w:right="168"/>
                    <w:spacing w:before="32" w:line="227"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供应商有偿提供远程技术支持、软件授权服务、备件更换服务、现场</w:t>
                  </w:r>
                  <w:r>
                    <w:rPr>
                      <w:rFonts w:hint="eastAsia" w:ascii="宋体" w:hAnsi="宋体" w:eastAsia="宋体" w:cs="宋体"/>
                      <w:i/>
                      <w:iCs/>
                      <w:color w:val="auto"/>
                      <w:spacing w:val="-2"/>
                      <w:sz w:val="24"/>
                      <w:szCs w:val="24"/>
                      <w:highlight w:val="none"/>
                      <w:u w:val="single"/>
                      <w:lang w:eastAsia="en-US"/>
                    </w:rPr>
                    <w:t xml:space="preserve">支承服务</w:t>
                  </w:r>
                  <w:r/>
                </w:p>
              </w:tc>
            </w:tr>
            <w:tr>
              <w:trPr>
                <w:jc w:val="center"/>
                <w:trHeight w:val="472"/>
              </w:trPr>
              <w:tc>
                <w:tcPr>
                  <w:tcW w:w="719" w:type="dxa"/>
                  <w:vAlign w:val="center"/>
                  <w:textDirection w:val="lrTb"/>
                  <w:noWrap w:val="false"/>
                </w:tcPr>
                <w:p>
                  <w:pPr>
                    <w:ind w:left="211"/>
                    <w:spacing w:before="147"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142</w:t>
                  </w:r>
                  <w:r/>
                </w:p>
              </w:tc>
              <w:tc>
                <w:tcPr>
                  <w:tcBorders>
                    <w:top w:val="none" w:color="000000" w:sz="4" w:space="0"/>
                    <w:bottom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提供上门服务</w:t>
                  </w:r>
                  <w:r/>
                </w:p>
              </w:tc>
              <w:tc>
                <w:tcPr>
                  <w:tcW w:w="4915" w:type="dxa"/>
                  <w:vAlign w:val="center"/>
                  <w:textDirection w:val="lrTb"/>
                  <w:noWrap w:val="false"/>
                </w:tcPr>
                <w:p>
                  <w:pPr>
                    <w:ind w:left="147" w:right="348" w:hanging="34"/>
                    <w:spacing w:before="31" w:line="221"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供应商具备提供上门服务的能力</w:t>
                  </w:r>
                  <w:r>
                    <w:rPr>
                      <w:rFonts w:hint="eastAsia" w:ascii="宋体" w:hAnsi="宋体" w:eastAsia="宋体" w:cs="宋体"/>
                      <w:i/>
                      <w:iCs/>
                      <w:color w:val="auto"/>
                      <w:spacing w:val="-9"/>
                      <w:sz w:val="24"/>
                      <w:szCs w:val="24"/>
                      <w:highlight w:val="none"/>
                      <w:u w:val="single"/>
                      <w:lang w:eastAsia="en-US"/>
                    </w:rPr>
                    <w:t xml:space="preserve">(可收费)</w:t>
                  </w:r>
                  <w:r/>
                </w:p>
              </w:tc>
            </w:tr>
            <w:tr>
              <w:trPr>
                <w:jc w:val="center"/>
                <w:trHeight w:val="1641"/>
              </w:trPr>
              <w:tc>
                <w:tcPr>
                  <w:tcW w:w="719" w:type="dxa"/>
                  <w:vAlign w:val="center"/>
                  <w:textDirection w:val="lrTb"/>
                  <w:noWrap w:val="false"/>
                </w:tcPr>
                <w:p>
                  <w:pPr>
                    <w:jc w:val="center"/>
                    <w:spacing w:before="59" w:line="237"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143</w:t>
                  </w:r>
                  <w:r/>
                </w:p>
              </w:tc>
              <w:tc>
                <w:tcPr>
                  <w:tcBorders>
                    <w:top w:val="none" w:color="000000" w:sz="4"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业务场景</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性能优化</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服务及整</w:t>
                  </w:r>
                  <w:r/>
                </w:p>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体架构升级服务</w:t>
                  </w:r>
                  <w:r/>
                </w:p>
              </w:tc>
              <w:tc>
                <w:tcPr>
                  <w:tcW w:w="4915" w:type="dxa"/>
                  <w:vAlign w:val="center"/>
                  <w:textDirection w:val="lrTb"/>
                  <w:noWrap w:val="false"/>
                </w:tcPr>
                <w:p>
                  <w:pPr>
                    <w:ind w:right="168"/>
                    <w:spacing w:before="5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供应商提供针对特定业务场景性能优化服务及整体架构升级服务</w:t>
                  </w:r>
                  <w:r/>
                </w:p>
              </w:tc>
            </w:tr>
            <w:tr>
              <w:trPr>
                <w:jc w:val="center"/>
                <w:trHeight w:val="963"/>
              </w:trPr>
              <w:tc>
                <w:tcPr>
                  <w:tcBorders>
                    <w:bottom w:val="single" w:color="000000" w:sz="2" w:space="0"/>
                  </w:tcBorders>
                  <w:tcW w:w="719" w:type="dxa"/>
                  <w:vAlign w:val="center"/>
                  <w:textDirection w:val="lrTb"/>
                  <w:noWrap w:val="false"/>
                </w:tcPr>
                <w:p>
                  <w:pPr>
                    <w:jc w:val="center"/>
                    <w:spacing w:before="58" w:line="239" w:lineRule="exact"/>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 xml:space="preserve">144</w:t>
                  </w:r>
                  <w:r/>
                </w:p>
              </w:tc>
              <w:tc>
                <w:tcPr>
                  <w:tcBorders>
                    <w:bottom w:val="single" w:color="000000" w:sz="2" w:space="0"/>
                  </w:tcBorders>
                  <w:tcW w:w="1314" w:type="dxa"/>
                  <w:vAlign w:val="center"/>
                  <w:vMerge w:val="restart"/>
                  <w:textDirection w:val="lrTb"/>
                  <w:noWrap w:val="false"/>
                </w:tcPr>
                <w:p>
                  <w:pPr>
                    <w:spacing w:line="463"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139"/>
                    <w:jc w:val="center"/>
                    <w:spacing w:before="58" w:line="223"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供应</w:t>
                  </w:r>
                  <w:r/>
                </w:p>
                <w:p>
                  <w:pPr>
                    <w:ind w:left="186"/>
                    <w:jc w:val="center"/>
                    <w:spacing w:before="22" w:line="22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链质</w:t>
                  </w:r>
                  <w:r/>
                </w:p>
                <w:p>
                  <w:pPr>
                    <w:ind w:left="281"/>
                    <w:jc w:val="center"/>
                    <w:spacing w:before="23" w:line="229"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量</w:t>
                  </w:r>
                  <w:r/>
                </w:p>
              </w:tc>
              <w:tc>
                <w:tcPr>
                  <w:tcBorders>
                    <w:bottom w:val="single" w:color="000000" w:sz="2" w:space="0"/>
                  </w:tcBorders>
                  <w:tcW w:w="1200" w:type="dxa"/>
                  <w:vAlign w:val="center"/>
                  <w:textDirection w:val="lrTb"/>
                  <w:noWrap w:val="false"/>
                </w:tcPr>
                <w:p>
                  <w:pPr>
                    <w:jc w:val="center"/>
                    <w:spacing w:before="58" w:line="221"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抗干扰性</w:t>
                  </w:r>
                  <w:r/>
                </w:p>
              </w:tc>
              <w:tc>
                <w:tcPr>
                  <w:tcBorders>
                    <w:bottom w:val="single" w:color="000000" w:sz="2" w:space="0"/>
                  </w:tcBorders>
                  <w:tcW w:w="4915" w:type="dxa"/>
                  <w:vAlign w:val="center"/>
                  <w:textDirection w:val="lrTb"/>
                  <w:noWrap w:val="false"/>
                </w:tcPr>
                <w:p>
                  <w:pPr>
                    <w:ind w:left="118" w:right="168" w:firstLine="7"/>
                    <w:spacing w:before="40" w:line="234"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 xml:space="preserve">当产品部件出现供应风险时，应通</w:t>
                  </w:r>
                  <w:r>
                    <w:rPr>
                      <w:rFonts w:hint="eastAsia" w:ascii="宋体" w:hAnsi="宋体" w:eastAsia="宋体" w:cs="宋体"/>
                      <w:i/>
                      <w:iCs/>
                      <w:color w:val="auto"/>
                      <w:spacing w:val="-1"/>
                      <w:sz w:val="24"/>
                      <w:szCs w:val="24"/>
                      <w:highlight w:val="none"/>
                      <w:u w:val="single"/>
                      <w:lang w:eastAsia="en-US"/>
                    </w:rPr>
                    <w:t xml:space="preserve">知客户并提供风险应对方案确保产品的服务保障，必要时应停止相关</w:t>
                  </w:r>
                  <w:r>
                    <w:rPr>
                      <w:rFonts w:hint="eastAsia" w:ascii="宋体" w:hAnsi="宋体" w:eastAsia="宋体" w:cs="宋体"/>
                      <w:i/>
                      <w:iCs/>
                      <w:color w:val="auto"/>
                      <w:spacing w:val="-2"/>
                      <w:sz w:val="24"/>
                      <w:szCs w:val="24"/>
                      <w:highlight w:val="none"/>
                      <w:u w:val="single"/>
                      <w:lang w:eastAsia="en-US"/>
                    </w:rPr>
                    <w:t xml:space="preserve">受影响产品的销售</w:t>
                  </w:r>
                  <w:r/>
                </w:p>
              </w:tc>
            </w:tr>
            <w:tr>
              <w:trPr>
                <w:jc w:val="center"/>
                <w:trHeight w:val="1854"/>
              </w:trPr>
              <w:tc>
                <w:tcPr>
                  <w:tcBorders>
                    <w:top w:val="single" w:color="000000" w:sz="2" w:space="0"/>
                    <w:bottom w:val="single" w:color="000000" w:sz="2" w:space="0"/>
                  </w:tcBorders>
                  <w:tcW w:w="719" w:type="dxa"/>
                  <w:vAlign w:val="center"/>
                  <w:textDirection w:val="lrTb"/>
                  <w:noWrap w:val="false"/>
                </w:tcPr>
                <w:p>
                  <w:pPr>
                    <w:jc w:val="center"/>
                    <w:spacing w:before="274" w:line="242" w:lineRule="auto"/>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145</w:t>
                  </w:r>
                  <w:r/>
                </w:p>
              </w:tc>
              <w:tc>
                <w:tcPr>
                  <w:tcBorders>
                    <w:top w:val="single" w:color="000000" w:sz="2" w:space="0"/>
                    <w:bottom w:val="single" w:color="000000" w:sz="2" w:space="0"/>
                  </w:tcBorders>
                  <w:tcW w:w="1314" w:type="dxa"/>
                  <w:vAlign w:val="center"/>
                  <w:vMerge w:val="continue"/>
                  <w:textDirection w:val="lrTb"/>
                  <w:noWrap w:val="false"/>
                </w:tcPr>
                <w:p>
                  <w:pPr>
                    <w:jc w:val="center"/>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2" w:space="0"/>
                    <w:bottom w:val="single" w:color="000000" w:sz="2" w:space="0"/>
                  </w:tcBorders>
                  <w:tcW w:w="1200" w:type="dxa"/>
                  <w:vAlign w:val="center"/>
                  <w:textDirection w:val="lrTb"/>
                  <w:noWrap w:val="false"/>
                </w:tcPr>
                <w:p>
                  <w:pPr>
                    <w:jc w:val="center"/>
                    <w:spacing w:line="248" w:lineRule="auto"/>
                    <w:widowControl/>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供应能力证明</w:t>
                  </w:r>
                  <w:r/>
                </w:p>
              </w:tc>
              <w:tc>
                <w:tcPr>
                  <w:tcBorders>
                    <w:top w:val="single" w:color="000000" w:sz="2" w:space="0"/>
                    <w:bottom w:val="single" w:color="000000" w:sz="2" w:space="0"/>
                  </w:tcBorders>
                  <w:tcW w:w="4915" w:type="dxa"/>
                  <w:vAlign w:val="center"/>
                  <w:textDirection w:val="lrTb"/>
                  <w:noWrap w:val="false"/>
                </w:tcPr>
                <w:p>
                  <w:pPr>
                    <w:ind w:left="111" w:right="168" w:firstLine="1"/>
                    <w:spacing w:before="40" w:line="23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供应商提供供应链稳定承诺书，确保产品的部件在产品服务周期内稳</w:t>
                  </w:r>
                  <w:r>
                    <w:rPr>
                      <w:rFonts w:hint="eastAsia" w:ascii="宋体" w:hAnsi="宋体" w:eastAsia="宋体" w:cs="宋体"/>
                      <w:i/>
                      <w:iCs/>
                      <w:color w:val="auto"/>
                      <w:spacing w:val="-2"/>
                      <w:sz w:val="24"/>
                      <w:szCs w:val="24"/>
                      <w:highlight w:val="none"/>
                      <w:u w:val="single"/>
                      <w:lang w:eastAsia="en-US"/>
                    </w:rPr>
                    <w:t xml:space="preserve">定供货</w:t>
                  </w:r>
                  <w:r/>
                </w:p>
              </w:tc>
            </w:tr>
          </w:tbl>
          <w:p>
            <w:pPr>
              <w:spacing w:line="44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ascii="Times New Roman" w:hAnsi="Times New Roman" w:eastAsia="宋体" w:cs="Times New Roman"/>
                <w:iCs/>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5</w:t>
            </w:r>
            <w:r>
              <w:rPr>
                <w:rFonts w:ascii="Times New Roman" w:hAnsi="Times New Roman" w:eastAsia="宋体" w:cs="Times New Roman"/>
                <w:iCs/>
                <w:color w:val="auto"/>
                <w:sz w:val="24"/>
                <w:szCs w:val="24"/>
                <w:highlight w:val="none"/>
                <w:lang w:val="en-US" w:eastAsia="zh-CN" w:bidi="ar-SA"/>
              </w:rPr>
              <w:t xml:space="preserve"> </w:t>
            </w:r>
            <w:r>
              <w:rPr>
                <w:rFonts w:hint="eastAsia" w:ascii="Times New Roman" w:hAnsi="Times New Roman" w:eastAsia="宋体" w:cs="Times New Roman"/>
                <w:iCs/>
                <w:color w:val="auto"/>
                <w:sz w:val="24"/>
                <w:szCs w:val="24"/>
                <w:highlight w:val="none"/>
                <w:lang w:val="en-US" w:eastAsia="zh-CN" w:bidi="ar-SA"/>
              </w:rPr>
              <w:t xml:space="preserve">管理服务器、数据库服务器、应用服务器、接入服务器</w:t>
            </w:r>
            <w:r/>
          </w:p>
          <w:p>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同4.14.4</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default"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hint="default" w:ascii="Times New Roman" w:hAnsi="Times New Roman" w:eastAsia="宋体" w:cs="Times New Roman"/>
                <w:iCs/>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6</w:t>
            </w:r>
            <w:r>
              <w:rPr>
                <w:rFonts w:hint="default" w:ascii="Times New Roman" w:hAnsi="Times New Roman" w:eastAsia="宋体" w:cs="Times New Roman"/>
                <w:iCs/>
                <w:color w:val="auto"/>
                <w:sz w:val="24"/>
                <w:szCs w:val="24"/>
                <w:highlight w:val="none"/>
                <w:lang w:val="en-US" w:eastAsia="zh-CN" w:bidi="ar-SA"/>
              </w:rPr>
              <w:t xml:space="preserve"> 汇聚交换机</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1.交换容量≥2.56Tbps，包转发率≥1476Mpps</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2.支持</w:t>
            </w:r>
            <w:r>
              <w:rPr>
                <w:rFonts w:hint="eastAsia" w:ascii="Times New Roman" w:hAnsi="Times New Roman" w:eastAsia="宋体" w:cs="Times New Roman"/>
                <w:iCs/>
                <w:color w:val="auto"/>
                <w:sz w:val="24"/>
                <w:szCs w:val="24"/>
                <w:highlight w:val="none"/>
                <w:lang w:val="en-US" w:eastAsia="zh-CN" w:bidi="ar-SA"/>
              </w:rPr>
              <w:t xml:space="preserve">不少于</w:t>
            </w:r>
            <w:r>
              <w:rPr>
                <w:rFonts w:hint="default" w:ascii="Times New Roman" w:hAnsi="Times New Roman" w:eastAsia="宋体" w:cs="Times New Roman"/>
                <w:iCs/>
                <w:color w:val="auto"/>
                <w:sz w:val="24"/>
                <w:szCs w:val="24"/>
                <w:highlight w:val="none"/>
                <w:lang w:val="en-US" w:eastAsia="zh-CN" w:bidi="ar-SA"/>
              </w:rPr>
              <w:t xml:space="preserve">24个10/100/1000M Base-T以太网端口，16个10GE SFP+，8个25GE SFP28，2个40/100GE QSFP28</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3.采用国产自研芯片</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4.内存</w:t>
            </w:r>
            <w:r>
              <w:rPr>
                <w:rFonts w:hint="eastAsia" w:ascii="Times New Roman" w:hAnsi="Times New Roman" w:eastAsia="宋体" w:cs="Times New Roman"/>
                <w:iCs/>
                <w:color w:val="auto"/>
                <w:sz w:val="24"/>
                <w:szCs w:val="24"/>
                <w:highlight w:val="none"/>
                <w:lang w:val="en-US" w:eastAsia="zh-CN" w:bidi="ar-SA"/>
              </w:rPr>
              <w:t xml:space="preserve">不低于</w:t>
            </w:r>
            <w:r>
              <w:rPr>
                <w:rFonts w:hint="default" w:ascii="Times New Roman" w:hAnsi="Times New Roman" w:eastAsia="宋体" w:cs="Times New Roman"/>
                <w:iCs/>
                <w:color w:val="auto"/>
                <w:sz w:val="24"/>
                <w:szCs w:val="24"/>
                <w:highlight w:val="none"/>
                <w:lang w:val="en-US" w:eastAsia="zh-CN" w:bidi="ar-SA"/>
              </w:rPr>
              <w:t xml:space="preserve">4GB，保证系统可靠运行</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5.支持静态路由、RIP v1/v2、OSPF、BGP、ISIS、RIPng、OSPFv3、ISISv6、BGP4+</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6.支持MAC表项≥128K，支持ARP表项规格≥64K，支持IPv4 路由表≥128K，支持IPv6 路由表≥64K</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7.支持切片功能，支持SRv6 BE功能</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8.实配：千兆单模模块40km</w:t>
            </w:r>
            <w:r>
              <w:rPr>
                <w:rFonts w:hint="eastAsia" w:ascii="Times New Roman" w:hAnsi="Times New Roman" w:eastAsia="宋体" w:cs="Times New Roman"/>
                <w:iCs/>
                <w:color w:val="auto"/>
                <w:sz w:val="24"/>
                <w:szCs w:val="24"/>
                <w:highlight w:val="none"/>
                <w:lang w:val="en-US" w:eastAsia="zh-CN" w:bidi="ar-SA"/>
              </w:rPr>
              <w:t xml:space="preserve">  </w:t>
            </w:r>
            <w:r>
              <w:rPr>
                <w:rFonts w:hint="default" w:ascii="Times New Roman" w:hAnsi="Times New Roman" w:eastAsia="宋体" w:cs="Times New Roman"/>
                <w:iCs/>
                <w:color w:val="auto"/>
                <w:sz w:val="24"/>
                <w:szCs w:val="24"/>
                <w:highlight w:val="none"/>
                <w:lang w:val="en-US" w:eastAsia="zh-CN" w:bidi="ar-SA"/>
              </w:rPr>
              <w:t xml:space="preserve">24个，万兆多模模块300m</w:t>
            </w:r>
            <w:r>
              <w:rPr>
                <w:rFonts w:hint="eastAsia" w:ascii="Times New Roman" w:hAnsi="Times New Roman" w:eastAsia="宋体" w:cs="Times New Roman"/>
                <w:iCs/>
                <w:color w:val="auto"/>
                <w:sz w:val="24"/>
                <w:szCs w:val="24"/>
                <w:highlight w:val="none"/>
                <w:lang w:val="en-US" w:eastAsia="zh-CN" w:bidi="ar-SA"/>
              </w:rPr>
              <w:t xml:space="preserve">  </w:t>
            </w:r>
            <w:r>
              <w:rPr>
                <w:rFonts w:hint="default" w:ascii="Times New Roman" w:hAnsi="Times New Roman" w:eastAsia="宋体" w:cs="Times New Roman"/>
                <w:iCs/>
                <w:color w:val="auto"/>
                <w:sz w:val="24"/>
                <w:szCs w:val="24"/>
                <w:highlight w:val="none"/>
                <w:lang w:val="en-US" w:eastAsia="zh-CN" w:bidi="ar-SA"/>
              </w:rPr>
              <w:t xml:space="preserve">2个</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default" w:ascii="Times New Roman" w:hAnsi="Times New Roman" w:eastAsia="宋体" w:cs="Times New Roman"/>
                <w:iCs/>
                <w:color w:val="auto"/>
                <w:sz w:val="24"/>
                <w:szCs w:val="24"/>
                <w:highlight w:val="none"/>
                <w:lang w:val="en-US" w:eastAsia="zh-CN" w:bidi="ar-SA"/>
              </w:rPr>
              <w:t xml:space="preserve">4.1</w:t>
            </w:r>
            <w:r>
              <w:rPr>
                <w:rFonts w:hint="eastAsia" w:ascii="Times New Roman" w:hAnsi="Times New Roman" w:eastAsia="宋体" w:cs="Times New Roman"/>
                <w:iCs/>
                <w:color w:val="auto"/>
                <w:sz w:val="24"/>
                <w:szCs w:val="24"/>
                <w:highlight w:val="none"/>
                <w:lang w:val="en-US" w:eastAsia="zh-CN" w:bidi="ar-SA"/>
              </w:rPr>
              <w:t xml:space="preserve">4</w:t>
            </w:r>
            <w:r>
              <w:rPr>
                <w:rFonts w:hint="default" w:ascii="Times New Roman" w:hAnsi="Times New Roman" w:eastAsia="宋体" w:cs="Times New Roman"/>
                <w:iCs/>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7</w:t>
            </w:r>
            <w:r>
              <w:rPr>
                <w:rFonts w:hint="default" w:ascii="Times New Roman" w:hAnsi="Times New Roman" w:eastAsia="宋体" w:cs="Times New Roman"/>
                <w:iCs/>
                <w:color w:val="auto"/>
                <w:sz w:val="24"/>
                <w:szCs w:val="24"/>
                <w:highlight w:val="none"/>
                <w:lang w:val="en-US" w:eastAsia="zh-CN" w:bidi="ar-SA"/>
              </w:rPr>
              <w:t xml:space="preserve"> 管理交换机</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1.交换容量≥672 Gbps，包转发率≥207Mpps</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2.支持</w:t>
            </w:r>
            <w:r>
              <w:rPr>
                <w:rFonts w:hint="eastAsia" w:ascii="Times New Roman" w:hAnsi="Times New Roman" w:eastAsia="宋体" w:cs="Times New Roman"/>
                <w:iCs/>
                <w:color w:val="auto"/>
                <w:sz w:val="24"/>
                <w:szCs w:val="24"/>
                <w:highlight w:val="none"/>
                <w:lang w:val="en-US" w:eastAsia="zh-CN" w:bidi="ar-SA"/>
              </w:rPr>
              <w:t xml:space="preserve">不少于</w:t>
            </w:r>
            <w:r>
              <w:rPr>
                <w:rFonts w:hint="default" w:ascii="Times New Roman" w:hAnsi="Times New Roman" w:eastAsia="宋体" w:cs="Times New Roman"/>
                <w:iCs/>
                <w:color w:val="auto"/>
                <w:sz w:val="24"/>
                <w:szCs w:val="24"/>
                <w:highlight w:val="none"/>
                <w:lang w:val="en-US" w:eastAsia="zh-CN" w:bidi="ar-SA"/>
              </w:rPr>
              <w:t xml:space="preserve">48个10/100/1000BASE-T以太网端口,4个万兆SFP+,2个12GE专用堆叠口 </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3.采用国产自研芯片</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4.内存</w:t>
            </w:r>
            <w:r>
              <w:rPr>
                <w:rFonts w:hint="eastAsia" w:ascii="Times New Roman" w:hAnsi="Times New Roman" w:eastAsia="宋体" w:cs="Times New Roman"/>
                <w:iCs/>
                <w:color w:val="auto"/>
                <w:sz w:val="24"/>
                <w:szCs w:val="24"/>
                <w:highlight w:val="none"/>
                <w:lang w:val="en-US" w:eastAsia="zh-CN" w:bidi="ar-SA"/>
              </w:rPr>
              <w:t xml:space="preserve">不低于</w:t>
            </w:r>
            <w:r>
              <w:rPr>
                <w:rFonts w:hint="default" w:ascii="Times New Roman" w:hAnsi="Times New Roman" w:eastAsia="宋体" w:cs="Times New Roman"/>
                <w:iCs/>
                <w:color w:val="auto"/>
                <w:sz w:val="24"/>
                <w:szCs w:val="24"/>
                <w:highlight w:val="none"/>
                <w:lang w:val="en-US" w:eastAsia="zh-CN" w:bidi="ar-SA"/>
              </w:rPr>
              <w:t xml:space="preserve">2GB，保证系统可靠运行</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5.设备支持复位按钮和清配置按钮</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6.支持静态路由、RIP、OSPF、RIPng、OSPFv3</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7.支持WRR、DRR、SP、WRR＋SP、DRR+SP 队列调度算法</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8.实配：万兆多模光模块不低于2个</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4.14.8 云数据库一体机</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主处理器：A节点：至少2颗国产化处理器，单颗不低于32核64线程，主频不低于2.5GHz，三级缓存32MB，单颗 TDP 115W；B节点：至少2颗国产化，单颗不低于32核64线程，主频不低于2.5GHz，三级缓存32MB，单颗 TDP 115W；</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内存：A节点:配置128GB DDR4内存;B节点:配置128GB DDR4内存</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RAID卡：A节点:支持RAID0/1/10/JDOB;B节点:支持RAID0/1/10/JDOB</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网口：A节点:4个GE电口，1000Mbps;B节点:4个GE电口，1000Mbps</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性能要求：</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单套支持不低于25亿条数据量的存储和分析；支持集群扩容，集群可支持PB级数据量的存储；</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总量25亿数据，日增量1500万，1个月内进行精确查询，模糊查询平均响应时间≤1秒；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总量25亿数据，日增量1500万，1天内在无车牌过滤条件下做全量数据的频繁轨迹出现分析，平均响应时间≤3秒；7天内在指定车牌过滤条件下，平均响应时间≤5秒；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总量25亿数据，日增量1500万，1天内在无车牌过滤条件下做1500万数据与1500万数据进行全量碰撞分析，平均响应时间小于5秒；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采用分布式架构，充分调度各主机的CPU、内存、网络、磁盘能力，支持横向扩展；</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支持行式、列式、行列混成等多种存储模式，可根据不同应用场景为上层应用提供接口使用；</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普通查询，支持不低于100个并发。</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4.14.9 云存储节点2 </w:t>
            </w:r>
            <w:r/>
          </w:p>
          <w:p>
            <w:pPr>
              <w:spacing w:line="440" w:lineRule="exact"/>
              <w:rPr>
                <w:rFonts w:hint="default" w:ascii="宋体" w:hAnsi="宋体" w:eastAsia="宋体" w:cs="Times New Roman"/>
                <w:color w:val="auto"/>
                <w:sz w:val="21"/>
                <w:szCs w:val="21"/>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参数要求：</w:t>
            </w:r>
            <w:r/>
          </w:p>
          <w:tbl>
            <w:tblPr>
              <w:tblStyle w:val="761"/>
              <w:tblW w:w="724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46"/>
              <w:gridCol w:w="5095"/>
            </w:tblGrid>
            <w:tr>
              <w:trPr>
                <w:jc w:val="center"/>
              </w:trPr>
              <w:tc>
                <w:tcPr>
                  <w:tcBorders>
                    <w:top w:val="single" w:color="auto" w:sz="2" w:space="0"/>
                    <w:left w:val="single" w:color="auto" w:sz="2" w:space="0"/>
                    <w:bottom w:val="single" w:color="auto" w:sz="2" w:space="0"/>
                    <w:right w:val="single" w:color="auto" w:sz="2" w:space="0"/>
                  </w:tcBorders>
                  <w:tcW w:w="2146" w:type="dxa"/>
                  <w:vAlign w:val="center"/>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bCs/>
                      <w:color w:val="auto"/>
                      <w:szCs w:val="21"/>
                      <w:highlight w:val="none"/>
                    </w:rPr>
                    <w:t xml:space="preserve">指标项</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jc w:val="center"/>
                    <w:spacing w:line="360" w:lineRule="auto"/>
                    <w:rPr>
                      <w:rFonts w:hint="default" w:ascii="宋体" w:hAnsi="宋体" w:eastAsia="宋体" w:cs="Times New Roman"/>
                      <w:color w:val="auto"/>
                      <w:szCs w:val="21"/>
                      <w:highlight w:val="none"/>
                    </w:rPr>
                  </w:pPr>
                  <w:r>
                    <w:rPr>
                      <w:rFonts w:hint="eastAsia" w:ascii="宋体" w:hAnsi="宋体" w:eastAsia="宋体" w:cs="Times New Roman"/>
                      <w:bCs/>
                      <w:color w:val="auto"/>
                      <w:szCs w:val="21"/>
                      <w:highlight w:val="none"/>
                    </w:rPr>
                    <w:t xml:space="preserve">技术参数</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center"/>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兼容性</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设备须与交通局现有存量云存储集群同X86架构、完全兼容，纳入原有云存储池统一管理、统一使用。扩容期间所有在线业务须无中断、无停机，无需迁移原有业务数据。</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主处理器</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≥1颗国产高性能处理器，核心≥8、线程≥16，主频≥2.8GHZ，三级缓存≥64MB，TDP≥120W</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操作系统</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支持</w:t>
                  </w:r>
                  <w:r>
                    <w:rPr>
                      <w:rFonts w:hint="eastAsia" w:ascii="宋体" w:hAnsi="宋体" w:eastAsia="宋体" w:cs="Times New Roman"/>
                      <w:color w:val="auto"/>
                      <w:szCs w:val="21"/>
                      <w:highlight w:val="none"/>
                    </w:rPr>
                    <w:t xml:space="preserve">嵌入式</w:t>
                  </w:r>
                  <w:r>
                    <w:rPr>
                      <w:rFonts w:hint="default" w:ascii="宋体" w:hAnsi="宋体" w:eastAsia="宋体" w:cs="Times New Roman"/>
                      <w:color w:val="auto"/>
                      <w:szCs w:val="21"/>
                      <w:highlight w:val="none"/>
                    </w:rPr>
                    <w:t xml:space="preserve">LINUX</w:t>
                  </w:r>
                  <w:r>
                    <w:rPr>
                      <w:rFonts w:hint="eastAsia" w:ascii="宋体" w:hAnsi="宋体" w:eastAsia="宋体" w:cs="Times New Roman"/>
                      <w:color w:val="auto"/>
                      <w:szCs w:val="21"/>
                      <w:highlight w:val="none"/>
                    </w:rPr>
                    <w:t xml:space="preserve">系统</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操作界面</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WEB</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控制器</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双控制器</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高速缓存</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标配</w:t>
                  </w:r>
                  <w:r>
                    <w:rPr>
                      <w:rFonts w:hint="default" w:ascii="宋体" w:hAnsi="宋体" w:eastAsia="宋体" w:cs="Times New Roman"/>
                      <w:color w:val="auto"/>
                      <w:szCs w:val="21"/>
                      <w:highlight w:val="none"/>
                    </w:rPr>
                    <w:t xml:space="preserve">16G</w:t>
                  </w:r>
                  <w:r>
                    <w:rPr>
                      <w:rFonts w:hint="eastAsia" w:ascii="宋体" w:hAnsi="宋体" w:eastAsia="宋体" w:cs="Times New Roman"/>
                      <w:color w:val="auto"/>
                      <w:szCs w:val="21"/>
                      <w:highlight w:val="none"/>
                    </w:rPr>
                    <w:t xml:space="preserve">，可扩展至</w:t>
                  </w:r>
                  <w:r>
                    <w:rPr>
                      <w:rFonts w:hint="default" w:ascii="宋体" w:hAnsi="宋体" w:eastAsia="宋体" w:cs="Times New Roman"/>
                      <w:color w:val="auto"/>
                      <w:szCs w:val="21"/>
                      <w:highlight w:val="none"/>
                    </w:rPr>
                    <w:t xml:space="preserve">32G</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电源冗余</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1+1冗余电源</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SAS</w:t>
                  </w:r>
                  <w:r>
                    <w:rPr>
                      <w:rFonts w:hint="eastAsia" w:ascii="宋体" w:hAnsi="宋体" w:eastAsia="宋体" w:cs="Times New Roman"/>
                      <w:color w:val="auto"/>
                      <w:szCs w:val="21"/>
                      <w:highlight w:val="none"/>
                    </w:rPr>
                    <w:t xml:space="preserve">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个</w:t>
                  </w:r>
                  <w:r>
                    <w:rPr>
                      <w:rFonts w:hint="default" w:ascii="宋体" w:hAnsi="宋体" w:eastAsia="宋体" w:cs="Times New Roman"/>
                      <w:color w:val="auto"/>
                      <w:szCs w:val="21"/>
                      <w:highlight w:val="none"/>
                    </w:rPr>
                    <w:t xml:space="preserve">SAS</w:t>
                  </w:r>
                  <w:r>
                    <w:rPr>
                      <w:rFonts w:hint="eastAsia" w:ascii="宋体" w:hAnsi="宋体" w:eastAsia="宋体" w:cs="Times New Roman"/>
                      <w:color w:val="auto"/>
                      <w:szCs w:val="21"/>
                      <w:highlight w:val="none"/>
                    </w:rPr>
                    <w:t xml:space="preserve">接口</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网络接口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eastAsia" w:ascii="宋体" w:hAnsi="宋体" w:eastAsia="宋体" w:cs="Times New Roman"/>
                      <w:color w:val="auto"/>
                      <w:szCs w:val="21"/>
                      <w:highlight w:val="none"/>
                    </w:rPr>
                    <w:t xml:space="preserve">4个千兆数据电口，2个万兆数据光口</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网络接口扩展</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支持扩展</w:t>
                  </w: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个万兆光口</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eSATA</w:t>
                  </w:r>
                  <w:r>
                    <w:rPr>
                      <w:rFonts w:hint="eastAsia" w:ascii="宋体" w:hAnsi="宋体" w:eastAsia="宋体" w:cs="Times New Roman"/>
                      <w:color w:val="auto"/>
                      <w:szCs w:val="21"/>
                      <w:highlight w:val="none"/>
                    </w:rPr>
                    <w:t xml:space="preserve">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个</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RS-232</w:t>
                  </w:r>
                  <w:r>
                    <w:rPr>
                      <w:rFonts w:hint="eastAsia" w:ascii="宋体" w:hAnsi="宋体" w:eastAsia="宋体" w:cs="Times New Roman"/>
                      <w:color w:val="auto"/>
                      <w:szCs w:val="21"/>
                      <w:highlight w:val="none"/>
                    </w:rPr>
                    <w:t xml:space="preserve">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个</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RS-485</w:t>
                  </w:r>
                  <w:r>
                    <w:rPr>
                      <w:rFonts w:hint="eastAsia" w:ascii="宋体" w:hAnsi="宋体" w:eastAsia="宋体" w:cs="Times New Roman"/>
                      <w:color w:val="auto"/>
                      <w:szCs w:val="21"/>
                      <w:highlight w:val="none"/>
                    </w:rPr>
                    <w:t xml:space="preserve">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个</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USB</w:t>
                  </w:r>
                  <w:r>
                    <w:rPr>
                      <w:rFonts w:hint="eastAsia" w:ascii="宋体" w:hAnsi="宋体" w:eastAsia="宋体" w:cs="Times New Roman"/>
                      <w:color w:val="auto"/>
                      <w:szCs w:val="21"/>
                      <w:highlight w:val="none"/>
                    </w:rPr>
                    <w:t xml:space="preserve">接口</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Hans"/>
                    </w:rPr>
                    <w:t xml:space="preserve">不少于</w:t>
                  </w: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个USB3.0接口</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硬盘个数</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不低于</w:t>
                  </w:r>
                  <w:r>
                    <w:rPr>
                      <w:rFonts w:hint="default" w:ascii="宋体" w:hAnsi="宋体" w:eastAsia="宋体" w:cs="Times New Roman"/>
                      <w:color w:val="auto"/>
                      <w:szCs w:val="21"/>
                      <w:highlight w:val="none"/>
                    </w:rPr>
                    <w:t xml:space="preserve">48</w:t>
                  </w:r>
                  <w:r>
                    <w:rPr>
                      <w:rFonts w:hint="eastAsia" w:ascii="宋体" w:hAnsi="宋体" w:eastAsia="宋体" w:cs="Times New Roman"/>
                      <w:color w:val="auto"/>
                      <w:szCs w:val="21"/>
                      <w:highlight w:val="none"/>
                    </w:rPr>
                    <w:t xml:space="preserve">块</w:t>
                  </w:r>
                  <w:r>
                    <w:rPr>
                      <w:rFonts w:hint="default" w:ascii="宋体" w:hAnsi="宋体" w:eastAsia="宋体" w:cs="Times New Roman"/>
                      <w:color w:val="auto"/>
                      <w:szCs w:val="21"/>
                      <w:highlight w:val="none"/>
                    </w:rPr>
                    <w:t xml:space="preserve">8</w:t>
                  </w:r>
                  <w:r>
                    <w:rPr>
                      <w:rFonts w:hint="eastAsia" w:ascii="宋体" w:hAnsi="宋体" w:eastAsia="宋体" w:cs="Times New Roman"/>
                      <w:color w:val="auto"/>
                      <w:szCs w:val="21"/>
                      <w:highlight w:val="none"/>
                    </w:rPr>
                    <w:t xml:space="preserve">T企业级硬盘</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硬盘兼容性</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2T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3T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4T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5T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6T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8T</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10T</w:t>
                  </w:r>
                  <w:r>
                    <w:rPr>
                      <w:rFonts w:hint="eastAsia" w:ascii="宋体" w:hAnsi="宋体" w:eastAsia="宋体" w:cs="Times New Roman"/>
                      <w:color w:val="auto"/>
                      <w:szCs w:val="21"/>
                      <w:highlight w:val="none"/>
                    </w:rPr>
                    <w:t xml:space="preserve">支持</w:t>
                  </w:r>
                  <w:r>
                    <w:rPr>
                      <w:rFonts w:hint="default" w:ascii="宋体" w:hAnsi="宋体" w:eastAsia="宋体" w:cs="Times New Roman"/>
                      <w:color w:val="auto"/>
                      <w:szCs w:val="21"/>
                      <w:highlight w:val="none"/>
                    </w:rPr>
                    <w:t xml:space="preserve">SAS</w:t>
                  </w:r>
                  <w:r>
                    <w:rPr>
                      <w:rFonts w:hint="eastAsia" w:ascii="宋体" w:hAnsi="宋体" w:eastAsia="宋体" w:cs="Times New Roman"/>
                      <w:color w:val="auto"/>
                      <w:szCs w:val="21"/>
                      <w:highlight w:val="none"/>
                    </w:rPr>
                    <w:t xml:space="preserve">盘混插</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支持</w:t>
                  </w:r>
                  <w:r>
                    <w:rPr>
                      <w:rFonts w:hint="default" w:ascii="宋体" w:hAnsi="宋体" w:eastAsia="宋体" w:cs="Times New Roman"/>
                      <w:color w:val="auto"/>
                      <w:szCs w:val="21"/>
                      <w:highlight w:val="none"/>
                    </w:rPr>
                    <w:t xml:space="preserve">SSD</w:t>
                  </w:r>
                  <w:r>
                    <w:rPr>
                      <w:rFonts w:hint="eastAsia" w:ascii="宋体" w:hAnsi="宋体" w:eastAsia="宋体" w:cs="Times New Roman"/>
                      <w:color w:val="auto"/>
                      <w:szCs w:val="21"/>
                      <w:highlight w:val="none"/>
                    </w:rPr>
                    <w:t xml:space="preserve">硬盘</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支持</w:t>
                  </w:r>
                  <w:r>
                    <w:rPr>
                      <w:rFonts w:hint="default" w:ascii="宋体" w:hAnsi="宋体" w:eastAsia="宋体" w:cs="Times New Roman"/>
                      <w:color w:val="auto"/>
                      <w:szCs w:val="21"/>
                      <w:highlight w:val="none"/>
                    </w:rPr>
                    <w:t xml:space="preserve">2.5</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3.5</w:t>
                  </w:r>
                  <w:r>
                    <w:rPr>
                      <w:rFonts w:hint="eastAsia" w:ascii="宋体" w:hAnsi="宋体" w:eastAsia="宋体" w:cs="Times New Roman"/>
                      <w:color w:val="auto"/>
                      <w:szCs w:val="21"/>
                      <w:highlight w:val="none"/>
                    </w:rPr>
                    <w:t xml:space="preserve">英寸硬盘</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不支持</w:t>
                  </w:r>
                  <w:r>
                    <w:rPr>
                      <w:rFonts w:hint="default" w:ascii="宋体" w:hAnsi="宋体" w:eastAsia="宋体" w:cs="Times New Roman"/>
                      <w:color w:val="auto"/>
                      <w:szCs w:val="21"/>
                      <w:highlight w:val="none"/>
                    </w:rPr>
                    <w:t xml:space="preserve">SATA</w:t>
                  </w:r>
                  <w:r>
                    <w:rPr>
                      <w:rFonts w:hint="eastAsia" w:ascii="宋体" w:hAnsi="宋体" w:eastAsia="宋体" w:cs="Times New Roman"/>
                      <w:color w:val="auto"/>
                      <w:szCs w:val="21"/>
                      <w:highlight w:val="none"/>
                    </w:rPr>
                    <w:t xml:space="preserve">盘</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硬盘安装</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独立硬盘支架</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硬盘热插拔</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支持硬盘热插拔、在线更换</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硬盘使用模式</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单盘，</w:t>
                  </w:r>
                  <w:r>
                    <w:rPr>
                      <w:rFonts w:hint="default" w:ascii="宋体" w:hAnsi="宋体" w:eastAsia="宋体" w:cs="Times New Roman"/>
                      <w:color w:val="auto"/>
                      <w:szCs w:val="21"/>
                      <w:highlight w:val="none"/>
                    </w:rPr>
                    <w:t xml:space="preserve">RAID0</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JBOD</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Hot-Spare</w:t>
                  </w:r>
                  <w:r>
                    <w:rPr>
                      <w:rFonts w:hint="eastAsia" w:ascii="宋体" w:hAnsi="宋体" w:eastAsia="宋体" w:cs="Times New Roman"/>
                      <w:color w:val="auto"/>
                      <w:szCs w:val="21"/>
                      <w:highlight w:val="none"/>
                    </w:rPr>
                    <w:t xml:space="preserve">（热备）、</w:t>
                  </w:r>
                  <w:r>
                    <w:rPr>
                      <w:rFonts w:hint="default" w:ascii="宋体" w:hAnsi="宋体" w:eastAsia="宋体" w:cs="Times New Roman"/>
                      <w:color w:val="auto"/>
                      <w:szCs w:val="21"/>
                      <w:highlight w:val="none"/>
                    </w:rPr>
                    <w:t xml:space="preserve">SRAID</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硬盘管理</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非工作盘休眠，利于散热和降低功耗，延长硬盘寿命</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硬盘处理</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支持磁盘坏道映射，延长硬盘使用寿命</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硬盘状态检测</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支持硬盘使用前预检、使用中周期性巡检</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供电方式</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100V~240V</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47~63Hz</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12A-6A</w:t>
                  </w:r>
                  <w:r>
                    <w:rPr>
                      <w:rFonts w:hint="eastAsia" w:ascii="宋体" w:hAnsi="宋体" w:eastAsia="宋体" w:cs="Times New Roman"/>
                      <w:color w:val="auto"/>
                      <w:szCs w:val="21"/>
                      <w:highlight w:val="none"/>
                    </w:rPr>
                    <w:t xml:space="preserve">，支持热插拔</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风扇</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支持热插拔，冗余双滚珠轴承风扇，</w:t>
                  </w:r>
                  <w:r>
                    <w:rPr>
                      <w:rFonts w:hint="default" w:ascii="宋体" w:hAnsi="宋体" w:eastAsia="宋体" w:cs="Times New Roman"/>
                      <w:color w:val="auto"/>
                      <w:szCs w:val="21"/>
                      <w:highlight w:val="none"/>
                    </w:rPr>
                    <w:t xml:space="preserve">MTBF&gt;10</w:t>
                  </w:r>
                  <w:r>
                    <w:rPr>
                      <w:rFonts w:hint="eastAsia" w:ascii="宋体" w:hAnsi="宋体" w:eastAsia="宋体" w:cs="Times New Roman"/>
                      <w:color w:val="auto"/>
                      <w:szCs w:val="21"/>
                      <w:highlight w:val="none"/>
                    </w:rPr>
                    <w:t xml:space="preserve">万小时</w:t>
                  </w:r>
                  <w:r/>
                </w:p>
              </w:tc>
            </w:tr>
            <w:tr>
              <w:trPr>
                <w:jc w:val="center"/>
              </w:trPr>
              <w:tc>
                <w:tcPr>
                  <w:tcBorders>
                    <w:top w:val="single" w:color="auto" w:sz="2" w:space="0"/>
                    <w:left w:val="single" w:color="auto" w:sz="2" w:space="0"/>
                    <w:bottom w:val="single" w:color="auto" w:sz="2" w:space="0"/>
                    <w:right w:val="single" w:color="auto" w:sz="2" w:space="0"/>
                  </w:tcBorders>
                  <w:tcW w:w="2146" w:type="dxa"/>
                  <w:vAlign w:val="center"/>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辅材</w:t>
                  </w:r>
                  <w:r/>
                </w:p>
              </w:tc>
              <w:tc>
                <w:tcPr>
                  <w:tcBorders>
                    <w:top w:val="single" w:color="auto" w:sz="2" w:space="0"/>
                    <w:left w:val="single" w:color="auto" w:sz="2" w:space="0"/>
                    <w:bottom w:val="single" w:color="auto" w:sz="2" w:space="0"/>
                    <w:right w:val="single" w:color="auto" w:sz="2" w:space="0"/>
                  </w:tcBorders>
                  <w:tcW w:w="5095" w:type="dxa"/>
                  <w:vAlign w:val="top"/>
                  <w:textDirection w:val="lrTb"/>
                  <w:noWrap w:val="false"/>
                </w:tcPr>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pacing w:val="2"/>
                      <w:szCs w:val="21"/>
                      <w:highlight w:val="none"/>
                    </w:rPr>
                    <w:t xml:space="preserve">含安装所需的网线，光跳线等辅材</w:t>
                  </w:r>
                  <w:r/>
                </w:p>
              </w:tc>
            </w:tr>
          </w:tbl>
          <w:p>
            <w:pPr>
              <w:spacing w:line="440" w:lineRule="exact"/>
              <w:rPr>
                <w:rFonts w:hint="default" w:ascii="书宋-简" w:hAnsi="书宋-简" w:eastAsia="书宋-简" w:cs="书宋-简"/>
                <w:i w:val="0"/>
                <w:iCs w:val="0"/>
                <w:color w:val="auto"/>
                <w:sz w:val="18"/>
                <w:szCs w:val="18"/>
                <w:highlight w:val="none"/>
                <w:u w:val="none"/>
                <w:lang w:val="en-US" w:eastAsia="zh-CN" w:bidi="ar"/>
              </w:rPr>
            </w:pPr>
            <w:r>
              <w:rPr>
                <w:rFonts w:hint="default" w:ascii="书宋-简" w:hAnsi="书宋-简" w:eastAsia="书宋-简" w:cs="书宋-简"/>
                <w:i w:val="0"/>
                <w:iCs w:val="0"/>
                <w:color w:val="auto"/>
                <w:sz w:val="18"/>
                <w:szCs w:val="18"/>
                <w:highlight w:val="none"/>
                <w:u w:val="none"/>
                <w:lang w:val="en-US" w:eastAsia="zh-CN" w:bidi="ar"/>
              </w:rPr>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4.14.10 视频算法识别</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包含了渣土车、工程车开盖运输、工程车抛洒滴漏等算法</w:t>
            </w:r>
            <w:r>
              <w:rPr>
                <w:rFonts w:hint="default" w:ascii="Times New Roman" w:hAnsi="Times New Roman" w:eastAsia="宋体" w:cs="Times New Roman"/>
                <w:iCs/>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识别准确率不低于</w:t>
            </w:r>
            <w:r>
              <w:rPr>
                <w:rFonts w:hint="default" w:ascii="Times New Roman" w:hAnsi="Times New Roman" w:eastAsia="宋体" w:cs="Times New Roman"/>
                <w:iCs/>
                <w:color w:val="auto"/>
                <w:sz w:val="24"/>
                <w:szCs w:val="24"/>
                <w:highlight w:val="none"/>
                <w:lang w:val="en-US" w:eastAsia="zh-Hans" w:bidi="ar-SA"/>
              </w:rPr>
              <w:t xml:space="preserve">80%</w:t>
            </w:r>
            <w:r>
              <w:rPr>
                <w:rFonts w:hint="eastAsia" w:ascii="Times New Roman" w:hAnsi="Times New Roman" w:eastAsia="宋体" w:cs="Times New Roman"/>
                <w:iCs/>
                <w:color w:val="auto"/>
                <w:sz w:val="24"/>
                <w:szCs w:val="24"/>
                <w:highlight w:val="none"/>
                <w:lang w:val="en-US" w:eastAsia="zh-CN" w:bidi="ar-SA"/>
              </w:rPr>
              <w:t xml:space="preserve">。</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1）工程车开盖运输：划定区域，检测经过工程车开盖状态，当工程车有载物且开盖时，给出告警；</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2）工程车抛洒滴漏：划定道路区域，检测是否有工程渣土车抛洒滴漏泥沙、渣土等污染物的行为，若有则上报抛洒预警、抛洒前背景、嫌疑车辆信息进行预警</w:t>
            </w:r>
            <w:r>
              <w:rPr>
                <w:rFonts w:hint="default" w:ascii="Times New Roman" w:hAnsi="Times New Roman" w:eastAsia="宋体" w:cs="Times New Roman"/>
                <w:iCs/>
                <w:color w:val="auto"/>
                <w:sz w:val="24"/>
                <w:szCs w:val="24"/>
                <w:highlight w:val="none"/>
                <w:lang w:val="en-US" w:eastAsia="zh-CN" w:bidi="ar-SA"/>
              </w:rPr>
              <w:t xml:space="preserve">。</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4.14.10</w:t>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4.14.11事件检测智能服务器</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至少2颗国产化处理器，单颗</w:t>
            </w:r>
            <w:r>
              <w:rPr>
                <w:rFonts w:hint="eastAsia" w:ascii="Times New Roman" w:hAnsi="Times New Roman" w:cs="Times New Roman"/>
                <w:iCs/>
                <w:color w:val="auto"/>
                <w:sz w:val="24"/>
                <w:szCs w:val="24"/>
                <w:highlight w:val="none"/>
                <w:lang w:val="en-US" w:eastAsia="zh-CN" w:bidi="ar-SA"/>
              </w:rPr>
              <w:t xml:space="preserve">不低于</w:t>
            </w:r>
            <w:r>
              <w:rPr>
                <w:rFonts w:hint="eastAsia" w:ascii="Times New Roman" w:hAnsi="Times New Roman" w:eastAsia="宋体" w:cs="Times New Roman"/>
                <w:iCs/>
                <w:color w:val="auto"/>
                <w:sz w:val="24"/>
                <w:szCs w:val="24"/>
                <w:highlight w:val="none"/>
                <w:lang w:val="en-US" w:eastAsia="zh-CN" w:bidi="ar-SA"/>
              </w:rPr>
              <w:t xml:space="preserve">24核48线程，主频</w:t>
            </w:r>
            <w:r>
              <w:rPr>
                <w:rFonts w:hint="eastAsia" w:ascii="Times New Roman" w:hAnsi="Times New Roman" w:cs="Times New Roman"/>
                <w:iCs/>
                <w:color w:val="auto"/>
                <w:sz w:val="24"/>
                <w:szCs w:val="24"/>
                <w:highlight w:val="none"/>
                <w:lang w:val="en-US" w:eastAsia="zh-CN" w:bidi="ar-SA"/>
              </w:rPr>
              <w:t xml:space="preserve">不低于</w:t>
            </w:r>
            <w:r>
              <w:rPr>
                <w:rFonts w:hint="eastAsia" w:ascii="Times New Roman" w:hAnsi="Times New Roman" w:eastAsia="宋体" w:cs="Times New Roman"/>
                <w:iCs/>
                <w:color w:val="auto"/>
                <w:sz w:val="24"/>
                <w:szCs w:val="24"/>
                <w:highlight w:val="none"/>
                <w:lang w:val="en-US" w:eastAsia="zh-CN" w:bidi="ar-SA"/>
              </w:rPr>
              <w:t xml:space="preserve">2.5GHZ,共享64MB三级缓存，TDP 210W；4根32GB DDR4内存条，最大槽位数16个槽位；硬盘不低于1块2.5英寸480GB SSD硬盘，2块4T 3.5寸硬盘；</w:t>
            </w:r>
            <w:r>
              <w:rPr>
                <w:rFonts w:hint="default" w:ascii="Times New Roman" w:hAnsi="Times New Roman" w:eastAsia="宋体" w:cs="Times New Roman"/>
                <w:iCs/>
                <w:color w:val="auto"/>
                <w:sz w:val="24"/>
                <w:szCs w:val="24"/>
                <w:highlight w:val="none"/>
                <w:lang w:val="en-US" w:eastAsia="zh-CN" w:bidi="ar-SA"/>
              </w:rPr>
              <w:t xml:space="preserve">1+1冗余电源</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带4G缓存RAID卡</w:t>
            </w:r>
            <w:r>
              <w:rPr>
                <w:rFonts w:hint="eastAsia" w:ascii="Times New Roman" w:hAnsi="Times New Roman" w:eastAsia="宋体" w:cs="Times New Roman"/>
                <w:iCs/>
                <w:color w:val="auto"/>
                <w:sz w:val="24"/>
                <w:szCs w:val="24"/>
                <w:highlight w:val="none"/>
                <w:lang w:val="en-US" w:eastAsia="zh-CN" w:bidi="ar-SA"/>
              </w:rPr>
              <w:t xml:space="preserve">、不低于4*板载千兆网口</w:t>
            </w:r>
            <w:r>
              <w:rPr>
                <w:rFonts w:hint="default" w:ascii="Times New Roman" w:hAnsi="Times New Roman" w:eastAsia="宋体" w:cs="Times New Roman"/>
                <w:iCs/>
                <w:color w:val="auto"/>
                <w:sz w:val="24"/>
                <w:szCs w:val="24"/>
                <w:highlight w:val="none"/>
                <w:lang w:val="en-US" w:eastAsia="zh-CN" w:bidi="ar-SA"/>
              </w:rPr>
              <w:t xml:space="preserve">；PCIe 5.0</w:t>
            </w:r>
            <w:r>
              <w:rPr>
                <w:rFonts w:hint="eastAsia" w:ascii="Times New Roman" w:hAnsi="Times New Roman" w:eastAsia="宋体" w:cs="Times New Roman"/>
                <w:iCs/>
                <w:color w:val="auto"/>
                <w:sz w:val="24"/>
                <w:szCs w:val="24"/>
                <w:highlight w:val="none"/>
                <w:lang w:val="en-US" w:eastAsia="zh-CN" w:bidi="ar-SA"/>
              </w:rPr>
              <w:t xml:space="preserve">以上接口不少于5个；</w:t>
            </w:r>
            <w:r>
              <w:rPr>
                <w:rFonts w:hint="default" w:ascii="Times New Roman" w:hAnsi="Times New Roman" w:eastAsia="宋体" w:cs="Times New Roman"/>
                <w:iCs/>
                <w:color w:val="auto"/>
                <w:sz w:val="24"/>
                <w:szCs w:val="24"/>
                <w:highlight w:val="none"/>
                <w:lang w:val="en-US" w:eastAsia="zh-CN" w:bidi="ar-SA"/>
              </w:rPr>
              <w:t xml:space="preserve">1个VGA</w:t>
            </w:r>
            <w:r>
              <w:rPr>
                <w:rFonts w:hint="eastAsia" w:ascii="Times New Roman" w:hAnsi="Times New Roman" w:eastAsia="宋体" w:cs="Times New Roman"/>
                <w:iCs/>
                <w:color w:val="auto"/>
                <w:sz w:val="24"/>
                <w:szCs w:val="24"/>
                <w:highlight w:val="none"/>
                <w:lang w:val="en-US" w:eastAsia="zh-CN" w:bidi="ar-SA"/>
              </w:rPr>
              <w:t xml:space="preserve">或HDMI</w:t>
            </w:r>
            <w:r>
              <w:rPr>
                <w:rFonts w:hint="default" w:ascii="Times New Roman" w:hAnsi="Times New Roman" w:eastAsia="宋体" w:cs="Times New Roman"/>
                <w:iCs/>
                <w:color w:val="auto"/>
                <w:sz w:val="24"/>
                <w:szCs w:val="24"/>
                <w:highlight w:val="none"/>
                <w:lang w:val="en-US" w:eastAsia="zh-CN" w:bidi="ar-SA"/>
              </w:rPr>
              <w:t xml:space="preserve">接口</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4个USB接口</w:t>
            </w:r>
            <w:r>
              <w:rPr>
                <w:rFonts w:hint="eastAsia" w:ascii="Times New Roman" w:hAnsi="Times New Roman" w:eastAsia="宋体" w:cs="Times New Roman"/>
                <w:iCs/>
                <w:color w:val="auto"/>
                <w:sz w:val="24"/>
                <w:szCs w:val="24"/>
                <w:highlight w:val="none"/>
                <w:lang w:val="en-US" w:eastAsia="zh-CN" w:bidi="ar-SA"/>
              </w:rPr>
              <w:t xml:space="preserve">；电源功率不低于</w:t>
            </w:r>
            <w:r>
              <w:rPr>
                <w:rFonts w:hint="default" w:ascii="Times New Roman" w:hAnsi="Times New Roman" w:eastAsia="宋体" w:cs="Times New Roman"/>
                <w:iCs/>
                <w:color w:val="auto"/>
                <w:sz w:val="24"/>
                <w:szCs w:val="24"/>
                <w:highlight w:val="none"/>
                <w:lang w:val="en-US" w:eastAsia="zh-CN" w:bidi="ar-SA"/>
              </w:rPr>
              <w:t xml:space="preserve">800W，CRPS白金级能效</w:t>
            </w:r>
            <w:r>
              <w:rPr>
                <w:rFonts w:hint="eastAsia" w:ascii="Times New Roman" w:hAnsi="Times New Roman" w:eastAsia="宋体" w:cs="Times New Roman"/>
                <w:iCs/>
                <w:color w:val="auto"/>
                <w:sz w:val="24"/>
                <w:szCs w:val="24"/>
                <w:highlight w:val="none"/>
                <w:lang w:val="en-US" w:eastAsia="zh-CN" w:bidi="ar-SA"/>
              </w:rPr>
              <w:t xml:space="preserve">电源、</w:t>
            </w:r>
            <w:r>
              <w:rPr>
                <w:rFonts w:hint="default" w:ascii="Times New Roman" w:hAnsi="Times New Roman" w:eastAsia="宋体" w:cs="Times New Roman"/>
                <w:iCs/>
                <w:color w:val="auto"/>
                <w:sz w:val="24"/>
                <w:szCs w:val="24"/>
                <w:highlight w:val="none"/>
                <w:lang w:val="en-US" w:eastAsia="zh-CN" w:bidi="ar-SA"/>
              </w:rPr>
              <w:t xml:space="preserve">满负荷小于660W；支持远程关机和重新启动功能</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工作温度工作时5℃～45℃(41℉～113℉)；工作湿度：20% RH(25°C)～93% RH(45°C)。</w:t>
            </w:r>
            <w:r>
              <w:rPr>
                <w:rFonts w:hint="eastAsia" w:ascii="Times New Roman" w:hAnsi="Times New Roman" w:eastAsia="宋体" w:cs="Times New Roman"/>
                <w:iCs/>
                <w:color w:val="auto"/>
                <w:sz w:val="24"/>
                <w:szCs w:val="24"/>
                <w:highlight w:val="none"/>
                <w:lang w:val="en-US" w:eastAsia="zh-CN" w:bidi="ar-SA"/>
              </w:rPr>
              <w:t xml:space="preserve">采用国产化操作系统，至少含5张智能分析E卡(100 TOPS（峰值算力）,INT8,分析卡内存LPDDR4X 24GB 分析卡功耗72W）可接入至少40路不低于800万像素视频实时分析</w:t>
            </w:r>
            <w:r>
              <w:rPr>
                <w:rFonts w:hint="default" w:ascii="Times New Roman" w:hAnsi="Times New Roman" w:eastAsia="宋体" w:cs="Times New Roman"/>
                <w:iCs/>
                <w:color w:val="auto"/>
                <w:sz w:val="24"/>
                <w:szCs w:val="24"/>
                <w:highlight w:val="none"/>
                <w:lang w:val="en-US" w:eastAsia="zh-CN" w:bidi="ar-SA"/>
              </w:rPr>
              <w:t xml:space="preserve">。</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4.14.12 视图智能引擎算法服务基础授权</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支持算法仓对算法的统一管理，支持算法包的上传、删除、启/停用操作，详细信息展示等。支持算力资源的灵活管理，包括：CPU、内存、各类解析、计算卡等。支持人脸、车辆</w:t>
            </w:r>
            <w:r>
              <w:rPr>
                <w:rFonts w:hint="eastAsia" w:ascii="Times New Roman" w:hAnsi="Times New Roman" w:eastAsia="宋体" w:cs="Times New Roman"/>
                <w:iCs/>
                <w:color w:val="auto"/>
                <w:sz w:val="24"/>
                <w:szCs w:val="24"/>
                <w:highlight w:val="none"/>
                <w:lang w:val="en-US" w:eastAsia="zh-CN" w:bidi="ar-SA"/>
              </w:rPr>
              <w:t xml:space="preserve">、人机非混合结构化、事件等智能任务的灵活调度，对应用侧提供统一调用接口。支持多个服务集群管理及运行监控，根据节点压力动态调节各节点负担，保证系统均衡稳定。支持服务注册信息、配置信息的统一收集及管理，提供统一运维门户及自动化运维模块。支持特征数据的分布式存储及存储服务的集群管理。支持对算力的授权使能管理。支持边端设备分析后的结构化属性数据和半结构化特征数据，和中心协同，达到云边端数据复用。支持碎片化空闲算力的整合管理，释放的空闲算力资源，提高闲时硬件资源利用率。支持不同网络间算力分时复用。支持任务优先级抢占。</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4.14.13 AI智能分析服务器</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至少2颗国产CPU，单CPU不低于24核，主频不低于2.5GHz；标配8张智能分析算力卡，单卡纯硬件算力：不低于50 TFLOPS（FP16峰值算力）、不低于100 TOPS（INT8峰值算力）；内存不低于4*32GB DDR4；硬盘不低于480GB SSD、2*4T SATA 7200RPM 3.5英寸标准盘；</w:t>
            </w:r>
            <w:r>
              <w:rPr>
                <w:rFonts w:hint="default" w:ascii="Times New Roman" w:hAnsi="Times New Roman" w:eastAsia="宋体" w:cs="Times New Roman"/>
                <w:iCs/>
                <w:color w:val="auto"/>
                <w:sz w:val="24"/>
                <w:szCs w:val="24"/>
                <w:highlight w:val="none"/>
                <w:lang w:val="en-US" w:eastAsia="zh-CN" w:bidi="ar-SA"/>
              </w:rPr>
              <w:t xml:space="preserve">1+1冗余电源</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带4G缓存RAID卡</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PCIe 5.0</w:t>
            </w:r>
            <w:r>
              <w:rPr>
                <w:rFonts w:hint="eastAsia" w:ascii="Times New Roman" w:hAnsi="Times New Roman" w:eastAsia="宋体" w:cs="Times New Roman"/>
                <w:iCs/>
                <w:color w:val="auto"/>
                <w:sz w:val="24"/>
                <w:szCs w:val="24"/>
                <w:highlight w:val="none"/>
                <w:lang w:val="en-US" w:eastAsia="zh-CN" w:bidi="ar-SA"/>
              </w:rPr>
              <w:t xml:space="preserve">以上接口不少于5个；</w:t>
            </w:r>
            <w:r>
              <w:rPr>
                <w:rFonts w:hint="default" w:ascii="Times New Roman" w:hAnsi="Times New Roman" w:eastAsia="宋体" w:cs="Times New Roman"/>
                <w:iCs/>
                <w:color w:val="auto"/>
                <w:sz w:val="24"/>
                <w:szCs w:val="24"/>
                <w:highlight w:val="none"/>
                <w:lang w:val="en-US" w:eastAsia="zh-CN" w:bidi="ar-SA"/>
              </w:rPr>
              <w:t xml:space="preserve">1个VGA</w:t>
            </w:r>
            <w:r>
              <w:rPr>
                <w:rFonts w:hint="eastAsia" w:ascii="Times New Roman" w:hAnsi="Times New Roman" w:eastAsia="宋体" w:cs="Times New Roman"/>
                <w:iCs/>
                <w:color w:val="auto"/>
                <w:sz w:val="24"/>
                <w:szCs w:val="24"/>
                <w:highlight w:val="none"/>
                <w:lang w:val="en-US" w:eastAsia="zh-CN" w:bidi="ar-SA"/>
              </w:rPr>
              <w:t xml:space="preserve">或HDMI</w:t>
            </w:r>
            <w:r>
              <w:rPr>
                <w:rFonts w:hint="default" w:ascii="Times New Roman" w:hAnsi="Times New Roman" w:eastAsia="宋体" w:cs="Times New Roman"/>
                <w:iCs/>
                <w:color w:val="auto"/>
                <w:sz w:val="24"/>
                <w:szCs w:val="24"/>
                <w:highlight w:val="none"/>
                <w:lang w:val="en-US" w:eastAsia="zh-CN" w:bidi="ar-SA"/>
              </w:rPr>
              <w:t xml:space="preserve">接口</w:t>
            </w:r>
            <w:r>
              <w:rPr>
                <w:rFonts w:hint="eastAsia" w:ascii="Times New Roman" w:hAnsi="Times New Roman" w:eastAsia="宋体" w:cs="Times New Roman"/>
                <w:iCs/>
                <w:color w:val="auto"/>
                <w:sz w:val="24"/>
                <w:szCs w:val="24"/>
                <w:highlight w:val="none"/>
                <w:lang w:val="en-US" w:eastAsia="zh-CN" w:bidi="ar-SA"/>
              </w:rPr>
              <w:t xml:space="preserve">、</w:t>
            </w:r>
            <w:r>
              <w:rPr>
                <w:rFonts w:hint="default" w:ascii="Times New Roman" w:hAnsi="Times New Roman" w:eastAsia="宋体" w:cs="Times New Roman"/>
                <w:iCs/>
                <w:color w:val="auto"/>
                <w:sz w:val="24"/>
                <w:szCs w:val="24"/>
                <w:highlight w:val="none"/>
                <w:lang w:val="en-US" w:eastAsia="zh-CN" w:bidi="ar-SA"/>
              </w:rPr>
              <w:t xml:space="preserve">4个USB接口</w:t>
            </w:r>
            <w:r>
              <w:rPr>
                <w:rFonts w:hint="eastAsia" w:ascii="Times New Roman" w:hAnsi="Times New Roman" w:eastAsia="宋体" w:cs="Times New Roman"/>
                <w:iCs/>
                <w:color w:val="auto"/>
                <w:sz w:val="24"/>
                <w:szCs w:val="24"/>
                <w:highlight w:val="none"/>
                <w:lang w:val="en-US" w:eastAsia="zh-CN" w:bidi="ar-SA"/>
              </w:rPr>
              <w:t xml:space="preserve">；采用国产化操作系统，不低于4*板载千兆网口；电源不低于2*2000W；</w:t>
            </w:r>
            <w:r>
              <w:rPr>
                <w:rFonts w:hint="default" w:ascii="Times New Roman" w:hAnsi="Times New Roman" w:eastAsia="宋体" w:cs="Times New Roman"/>
                <w:iCs/>
                <w:color w:val="auto"/>
                <w:sz w:val="24"/>
                <w:szCs w:val="24"/>
                <w:highlight w:val="none"/>
                <w:lang w:val="en-US" w:eastAsia="zh-CN" w:bidi="ar-SA"/>
              </w:rPr>
              <w:t xml:space="preserve">支持远程关机和重新启动功能</w:t>
            </w:r>
            <w:r>
              <w:rPr>
                <w:rFonts w:hint="eastAsia" w:ascii="Times New Roman" w:hAnsi="Times New Roman" w:eastAsia="宋体" w:cs="Times New Roman"/>
                <w:iCs/>
                <w:color w:val="auto"/>
                <w:sz w:val="24"/>
                <w:szCs w:val="24"/>
                <w:highlight w:val="none"/>
                <w:lang w:val="en-US" w:eastAsia="zh-CN" w:bidi="ar-SA"/>
              </w:rPr>
              <w:t xml:space="preserve">。</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功能要求</w:t>
            </w:r>
            <w:r/>
          </w:p>
          <w:p>
            <w:pPr>
              <w:numPr>
                <w:ilvl w:val="0"/>
                <w:numId w:val="0"/>
              </w:num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CN" w:bidi="ar-SA"/>
              </w:rPr>
              <w:t xml:space="preserve">违法行为智能审核：支持与公安交通集成指挥平台实现对接，直接嵌入平台运行。AI分析交通违法图片，满足交管非现场执法智能化预审、预警及审核业务需求。</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支持交通违法行为智能识别与取证图片合规分析，自动区分证据充分性，标记无效违法数据。</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具备多场景自适应能力，可适配不同道路类型、交通管控、光照、天气等复杂通行环境。支持自定义各类无效取证场景过滤规则，可灵活配置规则启用状态。</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数据处理性能：单台设备每分钟数据处理量不少于50条；号牌识别准确率不低于98%，通用交通违法无效场景识别正确率不低于95%。</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支持客车、货车、摩托车等常规车型及出租车、危化品运输车、救护车、消防车、警用车、工程救险车等特种车辆精准识别。</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iCs/>
                <w:color w:val="auto"/>
                <w:sz w:val="24"/>
                <w:szCs w:val="24"/>
                <w:highlight w:val="none"/>
                <w:lang w:val="en-US" w:eastAsia="zh-CN" w:bidi="ar-SA"/>
              </w:rPr>
              <w:t xml:space="preserve">交通事件检测：</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通过获取前端实时视频进行交通相关事件检测分析，要求支持交通事件大模型分析、小模型分析和二次研判功能，主要包括停车、拥堵、行人、低速、事故等事件类型，并能分析工程车、危化品车等车辆类型，事件分析准确率不低于90%。支持包括但不限于 RTSP、GB28181 等主流视频协议，可同时接入不少于20路不同协议的视频流。同时须提供标准化的 API 接口，支持与第三方系统进行数据交互与功能集成。</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4.14.13 应用服务节点</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配置不低于：两颗国产处理器，单颗 16 核 32 线程，主频 2.5GHz，单颗三级缓存 32MB，单颗 TDP 190W；操</w:t>
            </w:r>
            <w:r>
              <w:rPr>
                <w:rFonts w:hint="eastAsia" w:ascii="Times New Roman" w:hAnsi="Times New Roman" w:eastAsia="宋体" w:cs="Times New Roman"/>
                <w:iCs/>
                <w:color w:val="auto"/>
                <w:sz w:val="24"/>
                <w:szCs w:val="24"/>
                <w:highlight w:val="none"/>
                <w:lang w:val="en-US" w:eastAsia="zh-CN" w:bidi="ar-SA"/>
              </w:rPr>
              <w:t xml:space="preserve">作系统：国产操作系统；控制器：单控制器；高速缓存：128GB DDR5；电源冗余：1+1冗余电源；RAID控制器：带4G缓存RAID卡；网络接口：8个千兆数据电口；VGA接口：1个；USB接口：4个USB接口；硬盘个数：标配：2块 3.5英寸 SATA 4TB 企业级机械硬盘2块 2.5英寸 SATA 960GB 读写混合型SSD；供电方式：800W，CRPS白金级能效；功耗：满负荷小于660W；工作温度：工作时5℃～45℃(41℉～113℉)；工作湿度：20% RH(25°C)～93% RH(45°C)。</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4.14.14</w:t>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4.14.14 大数据存储节点</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参数要求：</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主处理器：A节点：至少2颗国产化处理器，单颗不低于32核64线程，主频不低于2.5GHz，三级缓存32MB，单颗 TDP 115W；B节点：至少2颗国产化，单颗不低于32核64线程，主频不低于2.5GHz，三级缓存32MB，单颗 TDP 115W；</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内存：A节点:配置128GB DDR4内存;B节点:配置128GB DDR4内存</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RAID卡：A节点:支持RAID0/1/10/JDOB;B节点:支持RAID0/1/10/JDOB</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网口：A节点:4个GE电口，1000Mbps;B节点:4个GE电口，1000Mbps</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接口：</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A节点:前面板提供 2 个 USB 3.0 端口、1 个 DB15 VGA 端口,后面板提供 2 个 USB 3.0 端口、1 个 DB15 VGA 端口,1 个RJ45 串口、1 个 RJ45 系统管理端口;</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B节点:前面板提供 2 个 USB 3.0 端口、1 个 DB15 VGA 端口,后面板提供 2 个 USB 3.0 端口、1 个 DB15 VGA 端口,1 个RJ45 串口、1 个 RJ45 系统管理端口</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性能要求：</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单套支持不低于25亿条数据量的存储和分析；支持集群扩容，集群可支持PB级数据量的存储；</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总量25亿数据，日增量1500万，1个月内进行精确查询，模糊查询平均响应时间≤1秒；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总量25亿数据，日增量1500万，1天内在无车牌过滤条件下做全量数据的频繁轨迹出现分析，平均响应时间≤3秒；7天内在指定车牌过滤条件下，平均响应时间≤5秒；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总量25亿数据，日增量1500万，1天内在无车牌过滤条件下做1500万数据与1500万数据进行全量碰撞分析，平均响应时间小于5秒；</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采用分布式架构，充分调度各主机的CPU、内存、网络、磁盘能力，支持横向扩展；</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支持行式、列式、行列混成等多种存储模。</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4.14.15 高性能GPU分析节点</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至</w:t>
            </w:r>
            <w:r>
              <w:rPr>
                <w:rFonts w:hint="eastAsia" w:ascii="Times New Roman" w:hAnsi="Times New Roman" w:eastAsia="宋体" w:cs="Times New Roman"/>
                <w:iCs/>
                <w:color w:val="auto"/>
                <w:sz w:val="24"/>
                <w:szCs w:val="24"/>
                <w:highlight w:val="none"/>
                <w:lang w:val="en-US" w:eastAsia="zh-CN" w:bidi="ar-SA"/>
              </w:rPr>
              <w:t xml:space="preserve">少2颗国产化处理器，单颗 24 核 48 线程，主频2.5GHZ,共享 64MB 三级缓存，TDP 210W；内存不低于4*32GB DDR4；硬盘不低于2块2.5英寸480GB SSD硬盘，4块4T 3.5寸硬盘；采用国产化操作系统，至少含4张智能分析卡(100 TOPS（峰值算力）,INT8,分析卡内存LPDDR4X 24GB 分析卡功耗72W）,至少含2张智能对比卡（140 TOPS（峰值算力）,INT8,分析卡内存64G， 分析卡功耗70W）支持车辆结构化属性智能分析、以图搜图数据检索、车辆布控等。</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4.14.16 视频准入设备</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1、标准2U设备，配置6千兆电口，4个千兆光口，2个万兆光口，另有一个扩展槽位，冗余电源,2TB 硬盘,最大支持10000点以下终端认证或3500个泛终端安全防护。</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2、支持策略路由、端口镜像、透明网桥、802.1X、Portal、DHCP准入、MAB、WebAuth等多种准入控制方式。</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3、支持802.1x有线无线网络环境下基于用户、角色、设备类型、设备分组、设备标签等属性动态下发VLAN、ACL。</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4、支持802.1X方式下的双因子认证，至少支持动态验证码、短信验证码的双因子认证。</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5、设备支持将收到的镜像流量做过滤并将镜像流量复制一份输出给其他流量监测类设备。</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6、支持用户、设备、接入交换机、接入端口之间的1对1，1对多的混合绑定，支持手动及自动绑定，支持配置自动绑定数量限制。</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7、支持无线/有线、IP地址/交换机端口级的接入控制，使用用户名密码、Ukey、主机唯一标识、扫描二维码、短信认证、访客码等认证方式，适应复杂网络环境下的接入控制。</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CN" w:bidi="ar-SA"/>
              </w:rPr>
              <w:t xml:space="preserve">8、支持手动或自动学习IP/MAC绑定关系，通过配置策略可对网络内设备随意变更IP地址的行为或随意使用其他设备IP地址的行为进行快速发现和有效阻断。</w:t>
            </w:r>
            <w:r/>
          </w:p>
          <w:p>
            <w:pPr>
              <w:spacing w:line="440" w:lineRule="exact"/>
              <w:rPr>
                <w:rFonts w:hint="eastAsia" w:ascii="Times New Roman" w:hAnsi="Times New Roman" w:eastAsia="宋体" w:cs="Times New Roman"/>
                <w:i/>
                <w:iCs w:val="0"/>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 xml:space="preserve">9、设备应支持对具有唯一性标识的设备（支持GA/T 1400 协议、GB/T 28181 协议、GB 35114协议）进行认证。</w:t>
            </w:r>
            <w:r/>
          </w:p>
          <w:p>
            <w:pPr>
              <w:spacing w:line="440" w:lineRule="exact"/>
              <w:rPr>
                <w:rFonts w:hint="eastAsia" w:ascii="Times New Roman" w:hAnsi="Times New Roman" w:eastAsia="宋体" w:cs="Times New Roman"/>
                <w:i/>
                <w:iCs w:val="0"/>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 xml:space="preserve">10、应通过GB/T 28181-2016 公共安全视频监控联网系统信息传输、交换、控制技术要求测试并取得测试报告。</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iCs/>
                <w:color w:val="auto"/>
                <w:sz w:val="24"/>
                <w:szCs w:val="24"/>
                <w:highlight w:val="none"/>
                <w:lang w:val="en-US" w:eastAsia="zh-CN" w:bidi="ar-SA"/>
              </w:rPr>
              <w:t xml:space="preserve">11、支持Smurf入侵、LAND攻击、winnuke攻击等网络攻击行为发现和告警。</w:t>
            </w:r>
            <w:r>
              <w:rPr>
                <w:rFonts w:hint="eastAsia" w:ascii="Times New Roman" w:hAnsi="Times New Roman" w:eastAsia="宋体" w:cs="Times New Roman"/>
                <w:b/>
                <w:bCs/>
                <w:color w:val="auto"/>
                <w:sz w:val="24"/>
                <w:szCs w:val="24"/>
                <w:highlight w:val="none"/>
                <w:lang w:val="en-US" w:eastAsia="zh-CN" w:bidi="ar-SA"/>
              </w:rPr>
              <w:t xml:space="preserve">（投标时须在响应文件中提供第三方检测机构出具的合格检验报告或功能截图等相关证明材料）</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4.14.17 虚拟化节点（扩容）</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1、虚拟化平台软件、分布式存储软件必须具有国产软件自主知识产权，具有自主研发能力，保障后续产品的连续性；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2、通过X86/ARM服务器节点构建，同一节点内实现计算存储融合，不需要外置SAN存储，存储系统为分布式Server SAN架构，可配置副本或EC（纠删码），满足不同可靠性要求的业务场景。</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3、支持在统一管理界面中监控和管理计算、存储、交换机、虚拟化平台；支持一键式或定期自动输出系统健康巡检报告，包括CPU、内存、HDD、SSD、RAID卡等硬件状态，虚拟化平台，存储软件，超融合管理软件等部件的健康状态，便于主动识别潜在的风险。</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4、支持在统一管理界面上一键式日志收集功能，在需要定位问题时能够快速收集需要的所有日志信息，包括硬件，虚拟化平台，存储软件、管理软件。包括节点的进程监控、页面操作日志、身份认证管理、安装日志、资源管理、操作系统日志。</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5、支持在统一界面上扩容节点，在界面可将待扩容节点自动发现，完成相应的系统配置，包括：IP地址、主机名、网关、存储池等参数，校验后进行系统扩容操作，将待扩容节点加入系统集群中</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6、支持在统一界面上进行超融合组件升级，在界面上可以通过系统升级功能完成虚拟化、分布式存储等组件的升级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7、支持展示环境中节点信息，包括：设备名称、健康状态、在线状态、角色、设备型号、IP地址、机柜、机箱、槽位。能够查看节点监控信息，包括CPU使用率、内存存用率、网络流入流出速率。</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8、支持2节点起配，支持多种仲裁方式。包括第三方仲裁和静态仲裁，由用户根据需要灵活选择。</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9、支持两节点下的在线平滑扩容，步长为1个节点，无需停机；支持两节点全闪存场景下的数据重删和压缩。</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10、支持用户自定义性能图表并指定对象，对CPU利用率、内存利用率、带宽、IOPS、时延、磁盘利用率、存储池利用率等进行统计。</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11、支持虚拟机的CPU 、内存QoS设置，满足不同应用的性能需求。</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12、支持创建精简配置卷，系统应该根据精简配置卷的实际使用情况动态分配空间，提供存储资源利用率。</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13、支持卷的IOPS、带宽的上限设置，可设置卷的总IOPS和带宽，也可以设置每单位容量的IOPS与带宽，用户可指定Qos策略的运行周期为单次、每天、每周或始终执行。</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14、支持虚拟交换机，通过对接受和发送的流量进行整形保证网络质量，至少支持安全组、平均带宽、峰值带宽、突发大小、优先级、DHCP隔离、广播抑制、TCP校验和的设置</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15、提供VPC管理，为虚拟机发放提供一个独占并且完全隔离的网络，基于VPC提供子网和安全组能力</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16、支持虚拟机HA，允许配置集群内HA预留的主机数量，以保证在虚拟机故障时有足够的资源进行切换，支持配置存储故障后是HA虚拟机还是不处理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17、支持磁盘亚健康管理功能：支持定期检测磁盘SMART信息，判断磁盘亚健康情况(硬盘扇区重映射数超过门限、读错误率统计超标、慢盘)，并在磁盘损坏前进行隔离并告警。</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18、支持网络亚健康管理功能：支持针对存储节点的网络出现丢包、错包、延时大、速率不匹配等故障现象可提供故障告警并自动尝试修复；</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19、支持存储节点亚健康功能：如果存储节点在由硬件或者软件故障导致处理速度慢于其他节点时，系统可以自动检测对应的节点，发出告警并提供处理方案。</w:t>
            </w:r>
            <w:r/>
          </w:p>
          <w:p>
            <w:pPr>
              <w:spacing w:line="440" w:lineRule="exact"/>
              <w:rPr>
                <w:rFonts w:hint="eastAsia" w:ascii="Times New Roman" w:hAnsi="Times New Roman" w:eastAsia="宋体" w:cs="Times New Roman"/>
                <w:b w:val="0"/>
                <w:bCs w:val="0"/>
                <w:iCs/>
                <w:color w:val="auto"/>
                <w:sz w:val="24"/>
                <w:szCs w:val="24"/>
                <w:highlight w:val="none"/>
                <w:lang w:val="en-US" w:eastAsia="zh-Hans" w:bidi="ar-SA"/>
              </w:rPr>
            </w:pPr>
            <w:r>
              <w:rPr>
                <w:rFonts w:hint="eastAsia" w:ascii="宋体" w:hAnsi="宋体" w:eastAsia="宋体" w:cs="宋体"/>
                <w:b/>
                <w:bCs/>
                <w:color w:val="auto"/>
                <w:sz w:val="24"/>
                <w:szCs w:val="24"/>
                <w:highlight w:val="none"/>
                <w:lang w:val="en-US" w:eastAsia="zh-CN" w:bidi="ar-SA"/>
              </w:rPr>
              <w:t xml:space="preserve">▲</w:t>
            </w:r>
            <w:r>
              <w:rPr>
                <w:rFonts w:hint="eastAsia" w:ascii="Times New Roman" w:hAnsi="Times New Roman" w:eastAsia="宋体" w:cs="Times New Roman"/>
                <w:b/>
                <w:bCs/>
                <w:iCs/>
                <w:color w:val="auto"/>
                <w:sz w:val="24"/>
                <w:szCs w:val="24"/>
                <w:highlight w:val="none"/>
                <w:lang w:val="en-US" w:eastAsia="zh-CN" w:bidi="ar-SA"/>
              </w:rPr>
              <w:t xml:space="preserve">20、支持容错功能，2块硬盘拨出自动告警，5分钟内互换槽位插入，系统不重构数据。</w:t>
            </w:r>
            <w:r>
              <w:rPr>
                <w:rFonts w:hint="eastAsia" w:ascii="Times New Roman" w:hAnsi="Times New Roman" w:eastAsia="宋体" w:cs="Times New Roman"/>
                <w:b/>
                <w:bCs/>
                <w:color w:val="auto"/>
                <w:sz w:val="24"/>
                <w:szCs w:val="24"/>
                <w:highlight w:val="none"/>
                <w:lang w:val="en-US" w:eastAsia="zh-CN" w:bidi="ar-SA"/>
              </w:rPr>
              <w:t xml:space="preserve">（投标时须在响应文件中提供第三方检测机构出具的合格检验报告或功能截图等相关证明材料</w:t>
            </w:r>
            <w:r>
              <w:rPr>
                <w:rFonts w:hint="eastAsia" w:ascii="Times New Roman" w:hAnsi="Times New Roman" w:eastAsia="宋体" w:cs="Times New Roman"/>
                <w:b w:val="0"/>
                <w:bCs w:val="0"/>
                <w:color w:val="auto"/>
                <w:sz w:val="24"/>
                <w:szCs w:val="24"/>
                <w:highlight w:val="none"/>
                <w:lang w:val="en-US" w:eastAsia="zh-CN" w:bidi="ar-SA"/>
              </w:rPr>
              <w:t xml:space="preserve">）</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2</w:t>
            </w:r>
            <w:r>
              <w:rPr>
                <w:rFonts w:hint="eastAsia" w:ascii="Times New Roman" w:hAnsi="Times New Roman" w:eastAsia="宋体" w:cs="Times New Roman"/>
                <w:iCs/>
                <w:color w:val="auto"/>
                <w:sz w:val="24"/>
                <w:szCs w:val="24"/>
                <w:highlight w:val="none"/>
                <w:lang w:val="en-US" w:eastAsia="zh-CN" w:bidi="ar-SA"/>
              </w:rPr>
              <w:t xml:space="preserve">1</w:t>
            </w:r>
            <w:r>
              <w:rPr>
                <w:rFonts w:hint="eastAsia" w:ascii="Times New Roman" w:hAnsi="Times New Roman" w:eastAsia="宋体" w:cs="Times New Roman"/>
                <w:iCs/>
                <w:color w:val="auto"/>
                <w:sz w:val="24"/>
                <w:szCs w:val="24"/>
                <w:highlight w:val="none"/>
                <w:lang w:val="en-US" w:eastAsia="zh-Hans" w:bidi="ar-SA"/>
              </w:rPr>
              <w:t xml:space="preserve">、超融合管理系统能够实现存储DIF校验和恢复数据块能力。</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2</w:t>
            </w:r>
            <w:r>
              <w:rPr>
                <w:rFonts w:hint="eastAsia" w:ascii="Times New Roman" w:hAnsi="Times New Roman" w:eastAsia="宋体" w:cs="Times New Roman"/>
                <w:iCs/>
                <w:color w:val="auto"/>
                <w:sz w:val="24"/>
                <w:szCs w:val="24"/>
                <w:highlight w:val="none"/>
                <w:lang w:val="en-US" w:eastAsia="zh-CN" w:bidi="ar-SA"/>
              </w:rPr>
              <w:t xml:space="preserve">2</w:t>
            </w:r>
            <w:r>
              <w:rPr>
                <w:rFonts w:hint="eastAsia" w:ascii="Times New Roman" w:hAnsi="Times New Roman" w:eastAsia="宋体" w:cs="Times New Roman"/>
                <w:iCs/>
                <w:color w:val="auto"/>
                <w:sz w:val="24"/>
                <w:szCs w:val="24"/>
                <w:highlight w:val="none"/>
                <w:lang w:val="en-US" w:eastAsia="zh-Hans" w:bidi="ar-SA"/>
              </w:rPr>
              <w:t xml:space="preserve">、CPU：至少2颗</w:t>
            </w:r>
            <w:r>
              <w:rPr>
                <w:rFonts w:hint="eastAsia" w:ascii="Times New Roman" w:hAnsi="Times New Roman" w:eastAsia="宋体" w:cs="Times New Roman"/>
                <w:iCs/>
                <w:color w:val="auto"/>
                <w:sz w:val="24"/>
                <w:szCs w:val="24"/>
                <w:highlight w:val="none"/>
                <w:lang w:val="en-US" w:eastAsia="zh-CN" w:bidi="ar-SA"/>
              </w:rPr>
              <w:t xml:space="preserve">国产处理器</w:t>
            </w:r>
            <w:r>
              <w:rPr>
                <w:rFonts w:hint="eastAsia" w:ascii="Times New Roman" w:hAnsi="Times New Roman" w:eastAsia="宋体" w:cs="Times New Roman"/>
                <w:iCs/>
                <w:color w:val="auto"/>
                <w:sz w:val="24"/>
                <w:szCs w:val="24"/>
                <w:highlight w:val="none"/>
                <w:lang w:val="en-US" w:eastAsia="zh-Hans" w:bidi="ar-SA"/>
              </w:rPr>
              <w:t xml:space="preserve">，单颗处理器核数≥32，单颗处理器主频≥2.6GHz</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内存：</w:t>
            </w:r>
            <w:r>
              <w:rPr>
                <w:rFonts w:hint="eastAsia" w:ascii="Times New Roman" w:hAnsi="Times New Roman" w:eastAsia="宋体" w:cs="Times New Roman"/>
                <w:iCs/>
                <w:color w:val="auto"/>
                <w:sz w:val="24"/>
                <w:szCs w:val="24"/>
                <w:highlight w:val="none"/>
                <w:u w:val="none"/>
                <w:lang w:val="en-US" w:eastAsia="zh-Hans" w:bidi="ar-SA"/>
              </w:rPr>
              <w:t xml:space="preserve">容量不少于512GB</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 xml:space="preserve">系统盘：≥2*960GSSD</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 xml:space="preserve">主存：≥8*4TB SATA HDD</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 xml:space="preserve">缓存盘：≥1*1.6T NVME SSD</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 xml:space="preserve">网口：4*GE、4*10GE</w:t>
            </w:r>
            <w:r/>
          </w:p>
          <w:p>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CN" w:bidi="ar-SA"/>
              </w:rPr>
              <w:t xml:space="preserve">◆23、</w:t>
            </w:r>
            <w:r>
              <w:rPr>
                <w:rFonts w:hint="eastAsia" w:ascii="Times New Roman" w:hAnsi="Times New Roman" w:eastAsia="宋体" w:cs="Times New Roman"/>
                <w:iCs/>
                <w:color w:val="auto"/>
                <w:sz w:val="24"/>
                <w:szCs w:val="24"/>
                <w:highlight w:val="none"/>
                <w:u w:val="none"/>
                <w:lang w:val="en-US" w:eastAsia="zh-Hans" w:bidi="ar-SA"/>
              </w:rPr>
              <w:t xml:space="preserve">含对应的超融合基础架构、计算、存储、池化授权；</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u w:val="none"/>
                <w:lang w:val="en-US" w:eastAsia="zh-Hans" w:bidi="ar-SA"/>
              </w:rPr>
              <w:t xml:space="preserve">含</w:t>
            </w:r>
            <w:r>
              <w:rPr>
                <w:rFonts w:hint="eastAsia" w:ascii="Times New Roman" w:hAnsi="Times New Roman" w:eastAsia="宋体" w:cs="Times New Roman"/>
                <w:iCs/>
                <w:color w:val="auto"/>
                <w:sz w:val="24"/>
                <w:szCs w:val="24"/>
                <w:highlight w:val="none"/>
                <w:u w:val="none"/>
                <w:lang w:val="en-US" w:eastAsia="zh-CN" w:bidi="ar-SA"/>
              </w:rPr>
              <w:t xml:space="preserve">5</w:t>
            </w:r>
            <w:r>
              <w:rPr>
                <w:rFonts w:hint="eastAsia" w:ascii="Times New Roman" w:hAnsi="Times New Roman" w:eastAsia="宋体" w:cs="Times New Roman"/>
                <w:iCs/>
                <w:color w:val="auto"/>
                <w:sz w:val="24"/>
                <w:szCs w:val="24"/>
                <w:highlight w:val="none"/>
                <w:u w:val="none"/>
                <w:lang w:val="en-US" w:eastAsia="zh-Hans" w:bidi="ar-SA"/>
              </w:rPr>
              <w:t xml:space="preserve">年维保及介质保留服务</w:t>
            </w:r>
            <w:r>
              <w:rPr>
                <w:rFonts w:hint="eastAsia" w:ascii="Times New Roman" w:hAnsi="Times New Roman" w:eastAsia="宋体" w:cs="Times New Roman"/>
                <w:iCs/>
                <w:color w:val="auto"/>
                <w:sz w:val="24"/>
                <w:szCs w:val="24"/>
                <w:highlight w:val="none"/>
                <w:u w:val="none"/>
                <w:lang w:val="en-US" w:eastAsia="zh-CN" w:bidi="ar-SA"/>
              </w:rPr>
              <w:t xml:space="preserve">。</w:t>
            </w:r>
            <w:r/>
          </w:p>
        </w:tc>
      </w:tr>
      <w:tr>
        <w:trPr/>
        <w:tc>
          <w:tcPr>
            <w:tcW w:w="936" w:type="dxa"/>
            <w:vAlign w:val="center"/>
            <w:vMerge w:val="continue"/>
            <w:textDirection w:val="lrTb"/>
            <w:noWrap w:val="false"/>
          </w:tcPr>
          <w:p>
            <w:pPr>
              <w:jc w:val="left"/>
              <w:spacing w:line="44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4.14.18 全息监管平台（扩容）</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本次项目将</w:t>
            </w:r>
            <w:r>
              <w:rPr>
                <w:rFonts w:hint="eastAsia" w:ascii="Times New Roman" w:hAnsi="Times New Roman" w:eastAsia="宋体" w:cs="Times New Roman"/>
                <w:iCs/>
                <w:color w:val="auto"/>
                <w:sz w:val="24"/>
                <w:szCs w:val="24"/>
                <w:highlight w:val="none"/>
                <w:lang w:val="en-US" w:eastAsia="zh-CN" w:bidi="ar-SA"/>
              </w:rPr>
              <w:t xml:space="preserve">西二</w:t>
            </w:r>
            <w:r>
              <w:rPr>
                <w:rFonts w:hint="eastAsia" w:ascii="Times New Roman" w:hAnsi="Times New Roman" w:eastAsia="宋体" w:cs="Times New Roman"/>
                <w:iCs/>
                <w:color w:val="auto"/>
                <w:sz w:val="24"/>
                <w:szCs w:val="24"/>
                <w:highlight w:val="none"/>
                <w:lang w:val="en-US" w:eastAsia="zh-Hans" w:bidi="ar-SA"/>
              </w:rPr>
              <w:t xml:space="preserve">环快速路纳入到</w:t>
            </w:r>
            <w:r>
              <w:rPr>
                <w:rFonts w:hint="eastAsia" w:ascii="Times New Roman" w:hAnsi="Times New Roman" w:eastAsia="宋体" w:cs="Times New Roman"/>
                <w:iCs/>
                <w:color w:val="auto"/>
                <w:sz w:val="24"/>
                <w:szCs w:val="24"/>
                <w:highlight w:val="none"/>
                <w:lang w:val="en-US" w:eastAsia="zh-CN" w:bidi="ar-SA"/>
              </w:rPr>
              <w:t xml:space="preserve">张家港市交管大队</w:t>
            </w:r>
            <w:r>
              <w:rPr>
                <w:rFonts w:hint="eastAsia" w:ascii="Times New Roman" w:hAnsi="Times New Roman" w:eastAsia="宋体" w:cs="Times New Roman"/>
                <w:iCs/>
                <w:color w:val="auto"/>
                <w:sz w:val="24"/>
                <w:szCs w:val="24"/>
                <w:highlight w:val="none"/>
                <w:lang w:val="en-US" w:eastAsia="zh-Hans" w:bidi="ar-SA"/>
              </w:rPr>
              <w:t xml:space="preserve">全息</w:t>
            </w:r>
            <w:r>
              <w:rPr>
                <w:rFonts w:hint="eastAsia" w:ascii="Times New Roman" w:hAnsi="Times New Roman" w:eastAsia="宋体" w:cs="Times New Roman"/>
                <w:iCs/>
                <w:color w:val="auto"/>
                <w:sz w:val="24"/>
                <w:szCs w:val="24"/>
                <w:highlight w:val="none"/>
                <w:lang w:val="en-US" w:eastAsia="zh-CN" w:bidi="ar-SA"/>
              </w:rPr>
              <w:t xml:space="preserve">监管</w:t>
            </w:r>
            <w:r>
              <w:rPr>
                <w:rFonts w:hint="eastAsia" w:ascii="Times New Roman" w:hAnsi="Times New Roman" w:eastAsia="宋体" w:cs="Times New Roman"/>
                <w:iCs/>
                <w:color w:val="auto"/>
                <w:sz w:val="24"/>
                <w:szCs w:val="24"/>
                <w:highlight w:val="none"/>
                <w:lang w:val="en-US" w:eastAsia="zh-Hans" w:bidi="ar-SA"/>
              </w:rPr>
              <w:t xml:space="preserve">平台管理范围内，考虑到快速路和地面道路的三维空间属性关系，以及进一步对微观车辆运行实时追踪的精细化管控，将对现有全息</w:t>
            </w:r>
            <w:r>
              <w:rPr>
                <w:rFonts w:hint="eastAsia" w:ascii="Times New Roman" w:hAnsi="Times New Roman" w:eastAsia="宋体" w:cs="Times New Roman"/>
                <w:iCs/>
                <w:color w:val="auto"/>
                <w:sz w:val="24"/>
                <w:szCs w:val="24"/>
                <w:highlight w:val="none"/>
                <w:lang w:val="en-US" w:eastAsia="zh-CN" w:bidi="ar-SA"/>
              </w:rPr>
              <w:t xml:space="preserve">监管</w:t>
            </w:r>
            <w:r>
              <w:rPr>
                <w:rFonts w:hint="eastAsia" w:ascii="Times New Roman" w:hAnsi="Times New Roman" w:eastAsia="宋体" w:cs="Times New Roman"/>
                <w:iCs/>
                <w:color w:val="auto"/>
                <w:sz w:val="24"/>
                <w:szCs w:val="24"/>
                <w:highlight w:val="none"/>
                <w:lang w:val="en-US" w:eastAsia="zh-Hans" w:bidi="ar-SA"/>
              </w:rPr>
              <w:t xml:space="preserve">平台的三维地图以及部分业务功能根据快速路的特点进行升级，同时，对</w:t>
            </w:r>
            <w:r>
              <w:rPr>
                <w:rFonts w:hint="eastAsia" w:ascii="Times New Roman" w:hAnsi="Times New Roman" w:eastAsia="宋体" w:cs="Times New Roman"/>
                <w:iCs/>
                <w:color w:val="auto"/>
                <w:sz w:val="24"/>
                <w:szCs w:val="24"/>
                <w:highlight w:val="none"/>
                <w:lang w:val="en-US" w:eastAsia="zh-CN" w:bidi="ar-SA"/>
              </w:rPr>
              <w:t xml:space="preserve">西二</w:t>
            </w:r>
            <w:r>
              <w:rPr>
                <w:rFonts w:hint="eastAsia" w:ascii="Times New Roman" w:hAnsi="Times New Roman" w:eastAsia="宋体" w:cs="Times New Roman"/>
                <w:iCs/>
                <w:color w:val="auto"/>
                <w:sz w:val="24"/>
                <w:szCs w:val="24"/>
                <w:highlight w:val="none"/>
                <w:lang w:val="en-US" w:eastAsia="zh-Hans" w:bidi="ar-SA"/>
              </w:rPr>
              <w:t xml:space="preserve">环新建道路段进行高精测绘，满足业务使用需求，具体功能要求如下：</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1、全域监测升级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数字孪生展示</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根据本项目特点，对快速路结构、交通、环境等多主体和要素实时呈现，实时、直观、真实感强烈。采用地图引擎界面及高精度地图、车辆及其行车轨迹等进行孪生展示。可360度视角对道路主体（路面、车流、路侧等）、设备设施、车流、车辆等关键目标1：1实时孪生再现。</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轨迹视频同步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将根据实时数据仿真之后的车辆轨迹叠加在高精度地图上，并叠加实时视频流数据，通过定位融合、角度统一、时间同步等数据处理方式，确保地图仿真轨迹视角与视频实时画面的观察角度、时序一致，高质量还原路段实时交通态势。</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实时交通指标</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通过数字化三维地图和统计图表，展示快速路各路段的流量、平均车速、饱和度、延误等指标的分布。通过指标列表排名、地图高亮等方式标记数值突出路段，提醒用户监管重点。可在地图选中的具体路段查询该路段上述指标数值、趋势，并结合实时视频、仿真轨迹等信息辅助用户决策。</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2、联动控制升级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对接快速路诱导屏，当拥堵、停车、逆行、行人闯入、低速行驶、超速行驶等事件发生后，根据事件发生位置自动关联附近诱导屏，根据事件类型、事件详情自动向上述诱导屏立即推送事件信息；对接车驾管数据，将快速路上的涉嫌违法但未达到处罚标准的行为在事件发生之后以短信方式推送到驾驶人员以作警示。 </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3、事件中心升级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实时事件预警</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基于设备感知能力自动预警拥堵、停车、逆行、行人闯入等事件，并提供时间、地点、文字详情、图片视频等详细信息，最终由用户对事件进行 “正确”、“错误”、“重复预警”标记。 </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事件查询分析</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图表展示快速路所有交通事件的流水和时变趋势，提供地点、事件类型、日期、事件标记等特征值组合筛选查询，支持事件详情查看、流水表单导出等功能。</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4、数据中心升级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通行流量研判</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图表展示快速路所有路段、匝道流量流水和时变趋势，提供路段（匝道）、日期、统计时段、统计间隔等特征值组合筛选查询，支持不同路段（匝道）对比、不同日期对比、流水表单导出等功能。</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指标数据查询</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列表展示快速路所有路段、匝道饱和度、平均延误、事件预警频次等指标数据流水，提供路段（匝道）、日期、统计时段等特征值组合筛选查询，支持不同路段（匝道）对比、不同日期对比、流水表单导出等功能。</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原始数据查询</w:t>
            </w:r>
            <w:r/>
          </w:p>
          <w:p>
            <w:pPr>
              <w:spacing w:line="440" w:lineRule="exact"/>
              <w:rPr>
                <w:rFonts w:hint="eastAsia" w:ascii="宋体" w:hAnsi="宋体" w:eastAsia="宋体" w:cs="Times New Roman"/>
                <w:color w:val="auto"/>
                <w:sz w:val="21"/>
                <w:szCs w:val="21"/>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列表展示快速路所有感知设备流量、速度、占有率等原始历史数据流水，提供设备、日期、车道等特征值组合筛选查询，支持不同设备对比、不同日期对比、流水表单导出等功能</w:t>
            </w:r>
            <w:r>
              <w:rPr>
                <w:rFonts w:hint="eastAsia" w:ascii="宋体" w:hAnsi="宋体" w:eastAsia="宋体" w:cs="Times New Roman"/>
                <w:color w:val="auto"/>
                <w:sz w:val="21"/>
                <w:szCs w:val="21"/>
                <w:highlight w:val="none"/>
                <w:lang w:val="en-US" w:eastAsia="zh-Hans" w:bidi="ar-SA"/>
              </w:rPr>
              <w:t xml:space="preserve">。</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5、设备管理升级</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实时工况监测</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基于数字化三维地图动态监测</w:t>
            </w:r>
            <w:r>
              <w:rPr>
                <w:rFonts w:hint="eastAsia" w:ascii="宋体" w:hAnsi="宋体" w:eastAsia="宋体" w:cs="Times New Roman"/>
                <w:color w:val="auto"/>
                <w:sz w:val="21"/>
                <w:szCs w:val="21"/>
                <w:highlight w:val="none"/>
                <w:lang w:val="en-US" w:eastAsia="zh-CN" w:bidi="ar-SA"/>
              </w:rPr>
              <w:t xml:space="preserve">西二环快速</w:t>
            </w:r>
            <w:r>
              <w:rPr>
                <w:rFonts w:hint="eastAsia" w:ascii="宋体" w:hAnsi="宋体" w:eastAsia="宋体" w:cs="Times New Roman"/>
                <w:color w:val="auto"/>
                <w:sz w:val="21"/>
                <w:szCs w:val="21"/>
                <w:highlight w:val="none"/>
                <w:lang w:val="en-US" w:eastAsia="zh-Hans" w:bidi="ar-SA"/>
              </w:rPr>
              <w:t xml:space="preserve">路</w:t>
            </w:r>
            <w:r>
              <w:rPr>
                <w:rFonts w:hint="eastAsia" w:ascii="Times New Roman" w:hAnsi="Times New Roman" w:eastAsia="宋体" w:cs="Times New Roman"/>
                <w:iCs/>
                <w:color w:val="auto"/>
                <w:sz w:val="24"/>
                <w:szCs w:val="24"/>
                <w:highlight w:val="none"/>
                <w:lang w:val="en-US" w:eastAsia="zh-Hans" w:bidi="ar-SA"/>
              </w:rPr>
              <w:t xml:space="preserve">接入设备的运行工作状态，方便快速识别故障设备。同时通过图表展示各工况占比分布、故障流水、高频故障设备排名、设备推送数据趋势等的信息，为设备的维护提供决策支持。</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智能设备管理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列表展示</w:t>
            </w:r>
            <w:r>
              <w:rPr>
                <w:rFonts w:hint="eastAsia" w:ascii="Times New Roman" w:hAnsi="Times New Roman" w:eastAsia="宋体" w:cs="Times New Roman"/>
                <w:iCs/>
                <w:color w:val="auto"/>
                <w:sz w:val="24"/>
                <w:szCs w:val="24"/>
                <w:highlight w:val="none"/>
                <w:lang w:val="en-US" w:eastAsia="zh-CN" w:bidi="ar-SA"/>
              </w:rPr>
              <w:t xml:space="preserve">西二环快速</w:t>
            </w:r>
            <w:r>
              <w:rPr>
                <w:rFonts w:hint="eastAsia" w:ascii="Times New Roman" w:hAnsi="Times New Roman" w:eastAsia="宋体" w:cs="Times New Roman"/>
                <w:iCs/>
                <w:color w:val="auto"/>
                <w:sz w:val="24"/>
                <w:szCs w:val="24"/>
                <w:highlight w:val="none"/>
                <w:lang w:val="en-US" w:eastAsia="zh-Hans" w:bidi="ar-SA"/>
              </w:rPr>
              <w:t xml:space="preserve">路智能设备参数配置，并提供筛选查询、增删改、批量导入导出等功能。筛选查询支持路段名称、设备状态、设备名称等字段组合筛选，感知设备的基础信息可按照指定模板批量导入。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故障设备管理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展示故障感知设备的故障信息、地图位置和实时监控，并提供故障设备筛选查询、批量导出等功能。支持设备“维护中”状态的一键标注功能。</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6、三维地图采集与建模扩容</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高精度地图要求</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A、地图精度</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高精度地图绝对精度按1:2000地形图精度要求执行，三维模型相对精度RMSE不大于20cm；单体化三维模型相对精度RMSE不大于30cm。</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高精度地图要素</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基于开源卫星影像图、高精度车道级shp数据、矢量底图tif图以及倾斜摄影OSGB等数据，辅以视频画面，完成对三维场景道路模型要素、业务要素模型的构建与管理。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为方便后期维护，</w:t>
            </w:r>
            <w:r>
              <w:rPr>
                <w:rFonts w:hint="eastAsia" w:ascii="Times New Roman" w:hAnsi="Times New Roman" w:eastAsia="宋体" w:cs="Times New Roman"/>
                <w:iCs/>
                <w:color w:val="auto"/>
                <w:sz w:val="24"/>
                <w:szCs w:val="24"/>
                <w:highlight w:val="none"/>
                <w:lang w:val="en-US" w:eastAsia="zh-Hans" w:bidi="ar-SA"/>
              </w:rPr>
              <w:t xml:space="preserve">支持用户对简易道路、交通标志、支撑结构、设备设施、隧道、交通工具、周边环境、停车位等模型要素进行参数化编辑。可完成的操作包括但不限于新增、二次编辑、移动、旋转、替换、聚焦、贴地、复制、锁定、显隐、删除等，并支持“点绘制”、“线绘制”、“面绘制”、“笔刷”、“线吸附”、“一键框选”等快捷操作。</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同时，用户可自主快速搭建各类仿真事件的三维孪生场景，如车辆碰撞事件、各类施工事件等。支持多人在线协同编辑，满足不同角色在同一时间编辑同一工程中的协作，大大提升编辑效率。</w:t>
            </w:r>
            <w:r/>
          </w:p>
          <w:p>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三维道路场景建模清单：</w:t>
            </w:r>
            <w:r/>
          </w:p>
          <w:tbl>
            <w:tblPr>
              <w:tblStyle w:val="761"/>
              <w:tblW w:w="703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436"/>
              <w:gridCol w:w="1517"/>
              <w:gridCol w:w="4649"/>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子模块</w:t>
                  </w:r>
                  <w:r/>
                </w:p>
              </w:tc>
              <w:tc>
                <w:tcPr>
                  <w:shd w:val="clear" w:color="auto" w:fill="auto"/>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元素</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模型编辑</w:t>
                  </w:r>
                  <w:r>
                    <w:rPr>
                      <w:rFonts w:hint="eastAsia" w:ascii="宋体" w:hAnsi="宋体" w:eastAsia="宋体" w:cs="宋体"/>
                      <w:i w:val="0"/>
                      <w:iCs w:val="0"/>
                      <w:color w:val="auto"/>
                      <w:sz w:val="22"/>
                      <w:szCs w:val="22"/>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交通标线</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线性</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斑马线、停车线、白实线、黄实线、虚线、减速标志线等。</w:t>
                  </w:r>
                  <w:r/>
                </w:p>
              </w:tc>
            </w:tr>
            <w:tr>
              <w:trPr>
                <w:trHeight w:val="84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导向</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左转、直行、右转、直右、掉头、让行、禁止掉头、符号、停车位、面铺装等。</w:t>
                  </w:r>
                  <w:r/>
                </w:p>
              </w:tc>
            </w:tr>
            <w:tr>
              <w:trPr>
                <w:trHeight w:val="86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文字</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公交专用道、机动车道、非机动车道、合乘专用道等。支持自定义文字内容。</w:t>
                  </w:r>
                  <w:r/>
                </w:p>
              </w:tc>
            </w:tr>
            <w:tr>
              <w:trPr>
                <w:trHeight w:val="90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不带电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设施</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交通标志</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禁令、指示、警告、指路、旅游、告示、辅助；支持编辑标志、标牌内容。</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支撑结构</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立柱式、悬臂式、门架式、路灯杆、组合式。</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防护结构</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护栏、交通岛、警示桩、隔离柱、附属类。</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带电设备</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电警、卡口、枪机、球机、雷达等。</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控制类</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信号灯、信号机箱、倒计时牌、诱导屏、车道指示灯、道钉等。</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环境</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建筑</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住宅、商业、公共、交通、工业、古建。</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数木、山石、花草、其它。</w:t>
                  </w:r>
                  <w:r/>
                </w:p>
              </w:tc>
            </w:tr>
            <w:tr>
              <w:trPr>
                <w:trHeight w:val="720"/>
              </w:trPr>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交通工具</w:t>
                  </w:r>
                  <w:r/>
                </w:p>
              </w:tc>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 家用、客运、货运、电动车。</w:t>
                  </w:r>
                  <w:r/>
                </w:p>
              </w:tc>
            </w:tr>
          </w:tbl>
          <w:p>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数据质量要求</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A、数据采集</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Hans" w:bidi="ar-SA"/>
              </w:rPr>
              <w:t xml:space="preserve">要求</w:t>
            </w:r>
            <w:r>
              <w:rPr>
                <w:rFonts w:hint="eastAsia" w:ascii="Times New Roman" w:hAnsi="Times New Roman" w:eastAsia="宋体" w:cs="Times New Roman"/>
                <w:iCs/>
                <w:color w:val="auto"/>
                <w:sz w:val="24"/>
                <w:szCs w:val="24"/>
                <w:highlight w:val="none"/>
                <w:lang w:val="en-US" w:eastAsia="zh-CN" w:bidi="ar-SA"/>
              </w:rPr>
              <w:t xml:space="preserve">数据采集</w:t>
            </w:r>
            <w:r>
              <w:rPr>
                <w:rFonts w:hint="eastAsia" w:ascii="Times New Roman" w:hAnsi="Times New Roman" w:eastAsia="宋体" w:cs="Times New Roman"/>
                <w:iCs/>
                <w:color w:val="auto"/>
                <w:sz w:val="24"/>
                <w:szCs w:val="24"/>
                <w:highlight w:val="none"/>
                <w:lang w:val="en-US" w:eastAsia="zh-Hans" w:bidi="ar-SA"/>
              </w:rPr>
              <w:t xml:space="preserve">必须</w:t>
            </w:r>
            <w:r>
              <w:rPr>
                <w:rFonts w:hint="eastAsia" w:ascii="Times New Roman" w:hAnsi="Times New Roman" w:eastAsia="宋体" w:cs="Times New Roman"/>
                <w:iCs/>
                <w:color w:val="auto"/>
                <w:sz w:val="24"/>
                <w:szCs w:val="24"/>
                <w:highlight w:val="none"/>
                <w:lang w:val="en-US" w:eastAsia="zh-CN" w:bidi="ar-SA"/>
              </w:rPr>
              <w:t xml:space="preserve">由多个传感器同时进行，进行数据的联合标定与时间同步，</w:t>
            </w:r>
            <w:r>
              <w:rPr>
                <w:rFonts w:hint="eastAsia" w:ascii="Times New Roman" w:hAnsi="Times New Roman" w:eastAsia="宋体" w:cs="Times New Roman"/>
                <w:iCs/>
                <w:color w:val="auto"/>
                <w:sz w:val="24"/>
                <w:szCs w:val="24"/>
                <w:highlight w:val="none"/>
                <w:lang w:val="en-US" w:eastAsia="zh-Hans" w:bidi="ar-SA"/>
              </w:rPr>
              <w:t xml:space="preserve">且要</w:t>
            </w:r>
            <w:r>
              <w:rPr>
                <w:rFonts w:hint="eastAsia" w:ascii="Times New Roman" w:hAnsi="Times New Roman" w:eastAsia="宋体" w:cs="Times New Roman"/>
                <w:iCs/>
                <w:color w:val="auto"/>
                <w:sz w:val="24"/>
                <w:szCs w:val="24"/>
                <w:highlight w:val="none"/>
                <w:lang w:val="en-US" w:eastAsia="zh-CN" w:bidi="ar-SA"/>
              </w:rPr>
              <w:t xml:space="preserve">解决多传感器融合误差问题，</w:t>
            </w:r>
            <w:r>
              <w:rPr>
                <w:rFonts w:hint="eastAsia" w:ascii="Times New Roman" w:hAnsi="Times New Roman" w:eastAsia="宋体" w:cs="Times New Roman"/>
                <w:iCs/>
                <w:color w:val="auto"/>
                <w:sz w:val="24"/>
                <w:szCs w:val="24"/>
                <w:highlight w:val="none"/>
                <w:lang w:val="en-US" w:eastAsia="zh-Hans" w:bidi="ar-SA"/>
              </w:rPr>
              <w:t xml:space="preserve">避免出现</w:t>
            </w:r>
            <w:r>
              <w:rPr>
                <w:rFonts w:hint="eastAsia" w:ascii="Times New Roman" w:hAnsi="Times New Roman" w:eastAsia="宋体" w:cs="Times New Roman"/>
                <w:iCs/>
                <w:color w:val="auto"/>
                <w:sz w:val="24"/>
                <w:szCs w:val="24"/>
                <w:highlight w:val="none"/>
                <w:lang w:val="en-US" w:eastAsia="zh-CN" w:bidi="ar-SA"/>
              </w:rPr>
              <w:t xml:space="preserve">数据的同步与融合问题。</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B、数据预处理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采集回来的高精度数据，必须进行定位融合与数据信息预处理：</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时间同步：把点云、图像与GPS轨迹进行时间同步，消除误差。</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点云拼接融合：把相邻扫描的点云数据拼接在一起，利用算法进行数据的融合处理，消除时间误差与位置误差。</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点云二维处理：将点云中关注的道路信息点进行提取，形成可作为加工依据的底图影像。</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自动化提取点云中的道路标线信息，并进行矢量化处理（矢量化处理效果快速路&gt;90%，普通道路&gt;70%）；</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提取点云中标志牌、红绿灯等信息，提取其中高度以及形状信息；</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提取图片中标示牌、红绿灯等交通信息并进行自动分类；</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地图编绘</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A、</w:t>
            </w:r>
            <w:r>
              <w:rPr>
                <w:rFonts w:hint="eastAsia" w:ascii="Times New Roman" w:hAnsi="Times New Roman" w:eastAsia="宋体" w:cs="Times New Roman"/>
                <w:iCs/>
                <w:color w:val="auto"/>
                <w:sz w:val="24"/>
                <w:szCs w:val="24"/>
                <w:highlight w:val="none"/>
                <w:lang w:val="en-US" w:eastAsia="zh-Hans" w:bidi="ar-SA"/>
              </w:rPr>
              <w:t xml:space="preserve">道路数据加工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在现有高精度地图生产平台基础上进行高精度道路数据加工，加工过程自动化处理与人工处理相结合：</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原始数据以及预处理数据导入；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自动提取结果上进行道路线补绘；</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补绘结束，工具自动生成路口以及虚拟车道线；</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属性处理以及属性关系自动化建立；</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加工数据质量、精度检查，修改错误数据；</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B、</w:t>
            </w:r>
            <w:r>
              <w:rPr>
                <w:rFonts w:hint="eastAsia" w:ascii="Times New Roman" w:hAnsi="Times New Roman" w:eastAsia="宋体" w:cs="Times New Roman"/>
                <w:iCs/>
                <w:color w:val="auto"/>
                <w:sz w:val="24"/>
                <w:szCs w:val="24"/>
                <w:highlight w:val="none"/>
                <w:lang w:val="en-US" w:eastAsia="zh-Hans" w:bidi="ar-SA"/>
              </w:rPr>
              <w:t xml:space="preserve">交通标线加工：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导入提取的标线信息；</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在自动提取的结果基础上进行补绘；</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绑定车道信息；</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C、</w:t>
            </w:r>
            <w:r>
              <w:rPr>
                <w:rFonts w:hint="eastAsia" w:ascii="Times New Roman" w:hAnsi="Times New Roman" w:eastAsia="宋体" w:cs="Times New Roman"/>
                <w:iCs/>
                <w:color w:val="auto"/>
                <w:sz w:val="24"/>
                <w:szCs w:val="24"/>
                <w:highlight w:val="none"/>
                <w:lang w:val="en-US" w:eastAsia="zh-Hans" w:bidi="ar-SA"/>
              </w:rPr>
              <w:t xml:space="preserve">道路附属设施加工：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自动提取信息导入高精度地图中；</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在道路数据基础上，利用图片和点云提取信息进行交通灯、标志牌等数据加工；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对此类信息进行车道绑定。</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D、</w:t>
            </w:r>
            <w:r>
              <w:rPr>
                <w:rFonts w:hint="eastAsia" w:ascii="Times New Roman" w:hAnsi="Times New Roman" w:eastAsia="宋体" w:cs="Times New Roman"/>
                <w:iCs/>
                <w:color w:val="auto"/>
                <w:sz w:val="24"/>
                <w:szCs w:val="24"/>
                <w:highlight w:val="none"/>
                <w:lang w:val="en-US" w:eastAsia="zh-Hans" w:bidi="ar-SA"/>
              </w:rPr>
              <w:t xml:space="preserve">数据导出</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根据要求的数据格式进行数据导出。支持shapefile、mid/mif、OpenDriveFormat1.5格式数据导出。</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 xml:space="preserve">E、</w:t>
            </w:r>
            <w:r>
              <w:rPr>
                <w:rFonts w:hint="eastAsia" w:ascii="Times New Roman" w:hAnsi="Times New Roman" w:eastAsia="宋体" w:cs="Times New Roman"/>
                <w:iCs/>
                <w:color w:val="auto"/>
                <w:sz w:val="24"/>
                <w:szCs w:val="24"/>
                <w:highlight w:val="none"/>
                <w:lang w:val="en-US" w:eastAsia="zh-Hans" w:bidi="ar-SA"/>
              </w:rPr>
              <w:t xml:space="preserve">数据质量检查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高精度数据质量检查执行严格的“两检一审”制度，分三个阶段：</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加工人员自检；</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加工库综合检查；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数据导出后合成数据综合检查。</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每阶段都应规定相应的检查项，可以工具检查为主，辅以人工验证。</w:t>
            </w:r>
            <w:r/>
          </w:p>
          <w:p>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iCs/>
                <w:color w:val="auto"/>
                <w:sz w:val="24"/>
                <w:szCs w:val="24"/>
                <w:highlight w:val="none"/>
                <w:lang w:val="en-US" w:eastAsia="zh-Hans" w:bidi="ar-SA"/>
              </w:rPr>
              <w:t xml:space="preserve">三维地图处理与渲染</w:t>
            </w:r>
            <w:r/>
          </w:p>
          <w:p>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Hans" w:bidi="ar-SA"/>
              </w:rPr>
              <w:t xml:space="preserve">基于三维地图渲染引擎，将快速路路段、匝道、雷视一体机、视频监控、交通卡口、诱导屏、标志标线等要素转化为三维模型，快速、逼真展示于Web端2D、2.5D、3D地图场景中。</w:t>
            </w:r>
            <w:r/>
          </w:p>
          <w:p>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4.14.19 </w:t>
            </w:r>
            <w:r>
              <w:rPr>
                <w:rFonts w:hint="eastAsia" w:ascii="Times New Roman" w:hAnsi="Times New Roman" w:eastAsia="宋体" w:cs="Times New Roman"/>
                <w:color w:val="auto"/>
                <w:sz w:val="24"/>
                <w:szCs w:val="24"/>
                <w:highlight w:val="none"/>
                <w:lang w:val="en-US" w:eastAsia="zh-CN" w:bidi="ar-SA"/>
              </w:rPr>
              <w:t xml:space="preserve">图形工作站参数要求</w:t>
            </w:r>
            <w:r/>
          </w:p>
          <w:tbl>
            <w:tblPr>
              <w:tblStyle w:val="1043"/>
              <w:tblpPr w:horzAnchor="page" w:tblpX="20" w:vertAnchor="text" w:tblpY="466" w:leftFromText="180" w:topFromText="0" w:rightFromText="180" w:bottomFromText="0"/>
              <w:tblW w:w="63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0"/>
              <w:gridCol w:w="737"/>
              <w:gridCol w:w="885"/>
              <w:gridCol w:w="958"/>
              <w:gridCol w:w="3214"/>
            </w:tblGrid>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10"/>
                      <w:sz w:val="24"/>
                      <w:szCs w:val="24"/>
                      <w:highlight w:val="none"/>
                      <w:u w:val="none"/>
                      <w:lang w:val="en-US" w:eastAsia="zh-CN" w:bidi="ar-SA"/>
                    </w:rPr>
                    <w:t xml:space="preserve">序号</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 xml:space="preserve">指标</w:t>
                  </w:r>
                  <w:r>
                    <w:rPr>
                      <w:rFonts w:hint="eastAsia" w:ascii="宋体" w:hAnsi="宋体" w:eastAsia="宋体" w:cs="宋体"/>
                      <w:b/>
                      <w:i w:val="0"/>
                      <w:iCs w:val="0"/>
                      <w:color w:val="auto"/>
                      <w:spacing w:val="-5"/>
                      <w:sz w:val="24"/>
                      <w:szCs w:val="24"/>
                      <w:highlight w:val="none"/>
                      <w:u w:val="none"/>
                      <w:lang w:val="en-US" w:eastAsia="zh-CN" w:bidi="ar-SA"/>
                    </w:rPr>
                    <w:t xml:space="preserve">分类</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 xml:space="preserve">一级</w:t>
                  </w:r>
                  <w:r>
                    <w:rPr>
                      <w:rFonts w:hint="eastAsia" w:ascii="宋体" w:hAnsi="宋体" w:eastAsia="宋体" w:cs="宋体"/>
                      <w:b/>
                      <w:i w:val="0"/>
                      <w:iCs w:val="0"/>
                      <w:color w:val="auto"/>
                      <w:sz w:val="24"/>
                      <w:szCs w:val="24"/>
                      <w:highlight w:val="none"/>
                      <w:u w:val="none"/>
                      <w:lang w:val="en-US" w:eastAsia="zh-CN" w:bidi="ar-SA"/>
                    </w:rPr>
                    <w:t xml:space="preserve">指标</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 xml:space="preserve">二级</w:t>
                  </w:r>
                  <w:r>
                    <w:rPr>
                      <w:rFonts w:hint="eastAsia" w:ascii="宋体" w:hAnsi="宋体" w:eastAsia="宋体" w:cs="宋体"/>
                      <w:b/>
                      <w:i w:val="0"/>
                      <w:iCs w:val="0"/>
                      <w:color w:val="auto"/>
                      <w:sz w:val="24"/>
                      <w:szCs w:val="24"/>
                      <w:highlight w:val="none"/>
                      <w:u w:val="none"/>
                      <w:lang w:val="en-US" w:eastAsia="zh-CN" w:bidi="ar-SA"/>
                    </w:rPr>
                    <w:t xml:space="preserve">指标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z w:val="24"/>
                      <w:szCs w:val="24"/>
                      <w:highlight w:val="none"/>
                      <w:u w:val="none"/>
                      <w:lang w:val="en-US" w:eastAsia="zh-CN" w:bidi="ar-SA"/>
                    </w:rPr>
                    <w:t xml:space="preserve">指标要</w:t>
                  </w:r>
                  <w:r>
                    <w:rPr>
                      <w:rFonts w:hint="eastAsia" w:ascii="宋体" w:hAnsi="宋体" w:eastAsia="宋体" w:cs="宋体"/>
                      <w:b/>
                      <w:i w:val="0"/>
                      <w:iCs w:val="0"/>
                      <w:color w:val="auto"/>
                      <w:spacing w:val="-10"/>
                      <w:sz w:val="24"/>
                      <w:szCs w:val="24"/>
                      <w:highlight w:val="none"/>
                      <w:u w:val="none"/>
                      <w:lang w:val="en-US" w:eastAsia="zh-CN" w:bidi="ar-SA"/>
                    </w:rPr>
                    <w:t xml:space="preserve">求</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CPU</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CPU</w:t>
                  </w:r>
                  <w:r>
                    <w:rPr>
                      <w:rFonts w:hint="eastAsia" w:ascii="宋体" w:hAnsi="宋体" w:eastAsia="宋体" w:cs="宋体"/>
                      <w:i w:val="0"/>
                      <w:iCs w:val="0"/>
                      <w:color w:val="auto"/>
                      <w:spacing w:val="-23"/>
                      <w:sz w:val="24"/>
                      <w:szCs w:val="24"/>
                      <w:highlight w:val="none"/>
                      <w:u w:val="none"/>
                      <w:lang w:val="en-US" w:eastAsia="zh-CN" w:bidi="ar-SA"/>
                    </w:rPr>
                    <w:t xml:space="preserve">信</w:t>
                  </w:r>
                  <w:r>
                    <w:rPr>
                      <w:rFonts w:hint="eastAsia" w:ascii="宋体" w:hAnsi="宋体" w:eastAsia="宋体" w:cs="宋体"/>
                      <w:i w:val="0"/>
                      <w:iCs w:val="0"/>
                      <w:color w:val="auto"/>
                      <w:spacing w:val="-10"/>
                      <w:sz w:val="24"/>
                      <w:szCs w:val="24"/>
                      <w:highlight w:val="none"/>
                      <w:u w:val="none"/>
                      <w:lang w:val="en-US" w:eastAsia="zh-CN" w:bidi="ar-SA"/>
                    </w:rPr>
                    <w:t xml:space="preserve">息</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CPU不低于10核心、不低于20线程，主频不低于3.7GHz，内存不低于32G、最高速率不低于4800MHz、单通道不低于64位</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w:t>
                  </w:r>
                  <w:r>
                    <w:rPr>
                      <w:rFonts w:hint="eastAsia" w:ascii="宋体" w:hAnsi="宋体" w:eastAsia="宋体" w:cs="宋体"/>
                      <w:i w:val="0"/>
                      <w:iCs w:val="0"/>
                      <w:color w:val="auto"/>
                      <w:spacing w:val="-6"/>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内存配置容量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≥32GB</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内存类</w:t>
                  </w:r>
                  <w:r>
                    <w:rPr>
                      <w:rFonts w:hint="eastAsia" w:ascii="宋体" w:hAnsi="宋体" w:eastAsia="宋体" w:cs="宋体"/>
                      <w:i w:val="0"/>
                      <w:iCs w:val="0"/>
                      <w:color w:val="auto"/>
                      <w:spacing w:val="-10"/>
                      <w:sz w:val="24"/>
                      <w:szCs w:val="24"/>
                      <w:highlight w:val="none"/>
                      <w:u w:val="none"/>
                      <w:lang w:val="en-US" w:eastAsia="zh-CN" w:bidi="ar-SA"/>
                    </w:rPr>
                    <w:t xml:space="preserve">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 xml:space="preserve">支持</w:t>
                  </w:r>
                  <w:r>
                    <w:rPr>
                      <w:rFonts w:hint="eastAsia" w:ascii="宋体" w:hAnsi="宋体" w:eastAsia="宋体" w:cs="宋体"/>
                      <w:i/>
                      <w:iCs/>
                      <w:color w:val="auto"/>
                      <w:sz w:val="24"/>
                      <w:szCs w:val="24"/>
                      <w:highlight w:val="none"/>
                      <w:u w:val="single"/>
                      <w:lang w:val="en-US" w:eastAsia="zh-CN" w:bidi="ar-SA"/>
                    </w:rPr>
                    <w:t xml:space="preserve">DDR4/LPDDR4/LPDDR4X</w:t>
                  </w:r>
                  <w:r>
                    <w:rPr>
                      <w:rFonts w:hint="eastAsia" w:ascii="宋体" w:hAnsi="宋体" w:eastAsia="宋体" w:cs="宋体"/>
                      <w:i/>
                      <w:iCs/>
                      <w:color w:val="auto"/>
                      <w:spacing w:val="-9"/>
                      <w:sz w:val="24"/>
                      <w:szCs w:val="24"/>
                      <w:highlight w:val="none"/>
                      <w:u w:val="single"/>
                      <w:lang w:val="en-US" w:eastAsia="zh-CN" w:bidi="ar-SA"/>
                    </w:rPr>
                    <w:t xml:space="preserve"> 及以上内</w:t>
                  </w:r>
                  <w:r>
                    <w:rPr>
                      <w:rFonts w:hint="eastAsia" w:ascii="宋体" w:hAnsi="宋体" w:eastAsia="宋体" w:cs="宋体"/>
                      <w:i/>
                      <w:iCs/>
                      <w:color w:val="auto"/>
                      <w:spacing w:val="-4"/>
                      <w:sz w:val="24"/>
                      <w:szCs w:val="24"/>
                      <w:highlight w:val="none"/>
                      <w:u w:val="single"/>
                      <w:lang w:val="en-US" w:eastAsia="zh-CN" w:bidi="ar-SA"/>
                    </w:rPr>
                    <w:t xml:space="preserve">存类型</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内存条</w:t>
                  </w:r>
                  <w:r>
                    <w:rPr>
                      <w:rFonts w:hint="eastAsia" w:ascii="宋体" w:hAnsi="宋体" w:eastAsia="宋体" w:cs="宋体"/>
                      <w:i w:val="0"/>
                      <w:iCs w:val="0"/>
                      <w:color w:val="auto"/>
                      <w:spacing w:val="-3"/>
                      <w:sz w:val="24"/>
                      <w:szCs w:val="24"/>
                      <w:highlight w:val="none"/>
                      <w:u w:val="none"/>
                      <w:lang w:val="en-US" w:eastAsia="zh-CN" w:bidi="ar-SA"/>
                    </w:rPr>
                    <w:t xml:space="preserve">配置数量</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（板载内存不涉</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及</w:t>
                  </w:r>
                  <w:r>
                    <w:rPr>
                      <w:rFonts w:hint="eastAsia" w:ascii="宋体" w:hAnsi="宋体" w:eastAsia="宋体" w:cs="宋体"/>
                      <w:i w:val="0"/>
                      <w:iCs w:val="0"/>
                      <w:color w:val="auto"/>
                      <w:spacing w:val="-10"/>
                      <w:sz w:val="24"/>
                      <w:szCs w:val="24"/>
                      <w:highlight w:val="none"/>
                      <w:u w:val="none"/>
                      <w:lang w:val="en-US" w:eastAsia="zh-CN" w:bidi="ar-SA"/>
                    </w:rPr>
                    <w:t xml:space="preserve">）</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≥2</w:t>
                  </w:r>
                  <w:r/>
                </w:p>
              </w:tc>
            </w:tr>
            <w:tr>
              <w:trPr>
                <w:trHeight w:val="71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主板集成模块</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集成资源扩展模块、计算处理模块、音</w:t>
                  </w:r>
                  <w:r>
                    <w:rPr>
                      <w:rFonts w:hint="eastAsia" w:ascii="宋体" w:hAnsi="宋体" w:eastAsia="宋体" w:cs="宋体"/>
                      <w:i/>
                      <w:iCs/>
                      <w:color w:val="auto"/>
                      <w:spacing w:val="-11"/>
                      <w:sz w:val="24"/>
                      <w:szCs w:val="24"/>
                      <w:highlight w:val="none"/>
                      <w:u w:val="single"/>
                      <w:lang w:val="en-US" w:eastAsia="zh-CN" w:bidi="ar-SA"/>
                    </w:rPr>
                    <w:t xml:space="preserve">频扩展模块等，主板的互联拓扑可通过</w:t>
                  </w:r>
                  <w:r>
                    <w:rPr>
                      <w:rFonts w:hint="eastAsia" w:ascii="宋体" w:hAnsi="宋体" w:eastAsia="宋体" w:cs="宋体"/>
                      <w:i/>
                      <w:iCs/>
                      <w:color w:val="auto"/>
                      <w:spacing w:val="-2"/>
                      <w:sz w:val="24"/>
                      <w:szCs w:val="24"/>
                      <w:highlight w:val="none"/>
                      <w:u w:val="single"/>
                      <w:lang w:val="en-US" w:eastAsia="zh-CN" w:bidi="ar-SA"/>
                    </w:rPr>
                    <w:t xml:space="preserve">处理器或交换电路实现</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主板支</w:t>
                  </w:r>
                  <w:r>
                    <w:rPr>
                      <w:rFonts w:hint="eastAsia" w:ascii="宋体" w:hAnsi="宋体" w:eastAsia="宋体" w:cs="宋体"/>
                      <w:i w:val="0"/>
                      <w:iCs w:val="0"/>
                      <w:color w:val="auto"/>
                      <w:spacing w:val="-8"/>
                      <w:sz w:val="24"/>
                      <w:szCs w:val="24"/>
                      <w:highlight w:val="none"/>
                      <w:u w:val="none"/>
                      <w:lang w:val="en-US" w:eastAsia="zh-CN" w:bidi="ar-SA"/>
                    </w:rPr>
                    <w:t xml:space="preserve">持的 </w:t>
                  </w:r>
                  <w:r>
                    <w:rPr>
                      <w:rFonts w:hint="eastAsia" w:ascii="宋体" w:hAnsi="宋体" w:eastAsia="宋体" w:cs="宋体"/>
                      <w:i w:val="0"/>
                      <w:iCs w:val="0"/>
                      <w:color w:val="auto"/>
                      <w:sz w:val="24"/>
                      <w:szCs w:val="24"/>
                      <w:highlight w:val="none"/>
                      <w:u w:val="none"/>
                      <w:lang w:val="en-US" w:eastAsia="zh-CN" w:bidi="ar-SA"/>
                    </w:rPr>
                    <w:t xml:space="preserve">CPU</w:t>
                  </w:r>
                  <w:r>
                    <w:rPr>
                      <w:rFonts w:hint="eastAsia" w:ascii="宋体" w:hAnsi="宋体" w:eastAsia="宋体" w:cs="宋体"/>
                      <w:i w:val="0"/>
                      <w:iCs w:val="0"/>
                      <w:color w:val="auto"/>
                      <w:spacing w:val="-4"/>
                      <w:sz w:val="24"/>
                      <w:szCs w:val="24"/>
                      <w:highlight w:val="none"/>
                      <w:u w:val="none"/>
                      <w:lang w:val="en-US" w:eastAsia="zh-CN" w:bidi="ar-SA"/>
                    </w:rPr>
                    <w:t xml:space="preserve">和内存情</w:t>
                  </w:r>
                  <w:r>
                    <w:rPr>
                      <w:rFonts w:hint="eastAsia" w:ascii="宋体" w:hAnsi="宋体" w:eastAsia="宋体" w:cs="宋体"/>
                      <w:i w:val="0"/>
                      <w:iCs w:val="0"/>
                      <w:color w:val="auto"/>
                      <w:spacing w:val="-10"/>
                      <w:sz w:val="24"/>
                      <w:szCs w:val="24"/>
                      <w:highlight w:val="none"/>
                      <w:u w:val="none"/>
                      <w:lang w:val="en-US" w:eastAsia="zh-CN" w:bidi="ar-SA"/>
                    </w:rPr>
                    <w:t xml:space="preserve">况</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iCs/>
                      <w:color w:val="auto"/>
                      <w:spacing w:val="-6"/>
                      <w:sz w:val="24"/>
                      <w:szCs w:val="24"/>
                      <w:highlight w:val="none"/>
                      <w:u w:val="single"/>
                      <w:lang w:val="en-US" w:eastAsia="zh-CN" w:bidi="ar-SA"/>
                    </w:rPr>
                    <w:t xml:space="preserve">CPU</w:t>
                  </w:r>
                  <w:r>
                    <w:rPr>
                      <w:rFonts w:hint="eastAsia" w:ascii="宋体" w:hAnsi="宋体" w:eastAsia="宋体" w:cs="宋体"/>
                      <w:i/>
                      <w:iCs/>
                      <w:color w:val="auto"/>
                      <w:spacing w:val="-6"/>
                      <w:sz w:val="24"/>
                      <w:szCs w:val="24"/>
                      <w:highlight w:val="none"/>
                      <w:u w:val="single"/>
                      <w:lang w:val="en-US" w:eastAsia="zh-CN" w:bidi="ar-SA"/>
                    </w:rPr>
                    <w:t xml:space="preserve">不少于1颗10核心、不低于20线程，主频不低于3.7GHz，内存不低于32G</w:t>
                  </w:r>
                  <w:r/>
                </w:p>
              </w:tc>
            </w:tr>
            <w:tr>
              <w:trPr>
                <w:trHeight w:val="24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主板内置 </w:t>
                  </w:r>
                  <w:r>
                    <w:rPr>
                      <w:rFonts w:hint="eastAsia" w:ascii="宋体" w:hAnsi="宋体" w:eastAsia="宋体" w:cs="宋体"/>
                      <w:i w:val="0"/>
                      <w:iCs w:val="0"/>
                      <w:color w:val="auto"/>
                      <w:sz w:val="24"/>
                      <w:szCs w:val="24"/>
                      <w:highlight w:val="none"/>
                      <w:u w:val="none"/>
                      <w:lang w:val="en-US" w:eastAsia="zh-CN" w:bidi="ar-SA"/>
                    </w:rPr>
                    <w:t xml:space="preserve">PCIe</w:t>
                  </w:r>
                  <w:r>
                    <w:rPr>
                      <w:rFonts w:hint="eastAsia" w:ascii="宋体" w:hAnsi="宋体" w:eastAsia="宋体" w:cs="宋体"/>
                      <w:i w:val="0"/>
                      <w:iCs w:val="0"/>
                      <w:color w:val="auto"/>
                      <w:spacing w:val="-20"/>
                      <w:sz w:val="24"/>
                      <w:szCs w:val="24"/>
                      <w:highlight w:val="none"/>
                      <w:u w:val="none"/>
                      <w:lang w:val="en-US" w:eastAsia="zh-CN" w:bidi="ar-SA"/>
                    </w:rPr>
                    <w:t xml:space="preserve"> 插</w:t>
                  </w:r>
                  <w:r>
                    <w:rPr>
                      <w:rFonts w:hint="eastAsia" w:ascii="宋体" w:hAnsi="宋体" w:eastAsia="宋体" w:cs="宋体"/>
                      <w:i w:val="0"/>
                      <w:iCs w:val="0"/>
                      <w:color w:val="auto"/>
                      <w:spacing w:val="-4"/>
                      <w:sz w:val="24"/>
                      <w:szCs w:val="24"/>
                      <w:highlight w:val="none"/>
                      <w:u w:val="none"/>
                      <w:lang w:val="en-US" w:eastAsia="zh-CN" w:bidi="ar-SA"/>
                    </w:rPr>
                    <w:t xml:space="preserve">槽数量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支持数量</w:t>
                  </w:r>
                  <w:r>
                    <w:rPr>
                      <w:rFonts w:hint="eastAsia" w:ascii="宋体" w:hAnsi="宋体" w:eastAsia="宋体" w:cs="宋体"/>
                      <w:i/>
                      <w:iCs/>
                      <w:color w:val="auto"/>
                      <w:spacing w:val="-5"/>
                      <w:sz w:val="24"/>
                      <w:szCs w:val="24"/>
                      <w:highlight w:val="none"/>
                      <w:u w:val="single"/>
                      <w:lang w:val="en-US" w:eastAsia="zh-CN" w:bidi="ar-SA"/>
                    </w:rPr>
                    <w:t xml:space="preserve">≥3</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其中至少包括一个</w:t>
                  </w:r>
                  <w:r>
                    <w:rPr>
                      <w:rFonts w:hint="eastAsia" w:ascii="宋体" w:hAnsi="宋体" w:eastAsia="宋体" w:cs="宋体"/>
                      <w:i/>
                      <w:iCs/>
                      <w:color w:val="auto"/>
                      <w:sz w:val="24"/>
                      <w:szCs w:val="24"/>
                      <w:highlight w:val="none"/>
                      <w:u w:val="single"/>
                      <w:lang w:val="en-US" w:eastAsia="zh-CN" w:bidi="ar-SA"/>
                    </w:rPr>
                    <w:t xml:space="preserve">PCIex16</w:t>
                  </w:r>
                  <w:r>
                    <w:rPr>
                      <w:rFonts w:hint="eastAsia" w:ascii="宋体" w:hAnsi="宋体" w:eastAsia="宋体" w:cs="宋体"/>
                      <w:i/>
                      <w:iCs/>
                      <w:color w:val="auto"/>
                      <w:spacing w:val="-11"/>
                      <w:sz w:val="24"/>
                      <w:szCs w:val="24"/>
                      <w:highlight w:val="none"/>
                      <w:u w:val="single"/>
                      <w:lang w:val="en-US" w:eastAsia="zh-CN" w:bidi="ar-SA"/>
                    </w:rPr>
                    <w:t xml:space="preserve"> 和一个</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PCIex8</w:t>
                  </w:r>
                  <w:r/>
                </w:p>
              </w:tc>
            </w:tr>
            <w:tr>
              <w:trPr>
                <w:trHeight w:val="168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特殊孔位及接口</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a）</w:t>
                  </w:r>
                  <w:r>
                    <w:rPr>
                      <w:rFonts w:hint="eastAsia" w:ascii="宋体" w:hAnsi="宋体" w:eastAsia="宋体" w:cs="宋体"/>
                      <w:i/>
                      <w:iCs/>
                      <w:color w:val="auto"/>
                      <w:spacing w:val="-10"/>
                      <w:sz w:val="24"/>
                      <w:szCs w:val="24"/>
                      <w:highlight w:val="none"/>
                      <w:u w:val="single"/>
                      <w:lang w:val="en-US" w:eastAsia="zh-CN" w:bidi="ar-SA"/>
                    </w:rPr>
                    <w:t xml:space="preserve">在计算机主板预留满足 </w:t>
                  </w:r>
                  <w:r>
                    <w:rPr>
                      <w:rFonts w:hint="eastAsia" w:ascii="宋体" w:hAnsi="宋体" w:eastAsia="宋体" w:cs="宋体"/>
                      <w:i/>
                      <w:iCs/>
                      <w:color w:val="auto"/>
                      <w:spacing w:val="-6"/>
                      <w:sz w:val="24"/>
                      <w:szCs w:val="24"/>
                      <w:highlight w:val="none"/>
                      <w:u w:val="single"/>
                      <w:lang w:val="en-US" w:eastAsia="zh-CN" w:bidi="ar-SA"/>
                    </w:rPr>
                    <w:t xml:space="preserve">USB3.0</w:t>
                  </w:r>
                  <w:r>
                    <w:rPr>
                      <w:rFonts w:hint="eastAsia" w:ascii="宋体" w:hAnsi="宋体" w:eastAsia="宋体" w:cs="宋体"/>
                      <w:i/>
                      <w:iCs/>
                      <w:color w:val="auto"/>
                      <w:spacing w:val="-18"/>
                      <w:sz w:val="24"/>
                      <w:szCs w:val="24"/>
                      <w:highlight w:val="none"/>
                      <w:u w:val="single"/>
                      <w:lang w:val="en-US" w:eastAsia="zh-CN" w:bidi="ar-SA"/>
                    </w:rPr>
                    <w:t xml:space="preserve"> 数据</w:t>
                  </w:r>
                  <w:r>
                    <w:rPr>
                      <w:rFonts w:hint="eastAsia" w:ascii="宋体" w:hAnsi="宋体" w:eastAsia="宋体" w:cs="宋体"/>
                      <w:i/>
                      <w:iCs/>
                      <w:color w:val="auto"/>
                      <w:spacing w:val="-4"/>
                      <w:sz w:val="24"/>
                      <w:szCs w:val="24"/>
                      <w:highlight w:val="none"/>
                      <w:u w:val="single"/>
                      <w:lang w:val="en-US" w:eastAsia="zh-CN" w:bidi="ar-SA"/>
                    </w:rPr>
                    <w:t xml:space="preserve">传输规范的接口，工作电压 </w:t>
                  </w:r>
                  <w:r>
                    <w:rPr>
                      <w:rFonts w:hint="eastAsia" w:ascii="宋体" w:hAnsi="宋体" w:eastAsia="宋体" w:cs="宋体"/>
                      <w:i/>
                      <w:iCs/>
                      <w:color w:val="auto"/>
                      <w:sz w:val="24"/>
                      <w:szCs w:val="24"/>
                      <w:highlight w:val="none"/>
                      <w:u w:val="single"/>
                      <w:lang w:val="en-US" w:eastAsia="zh-CN" w:bidi="ar-SA"/>
                    </w:rPr>
                    <w:t xml:space="preserve">5V，最大</w:t>
                  </w:r>
                  <w:r>
                    <w:rPr>
                      <w:rFonts w:hint="eastAsia" w:ascii="宋体" w:hAnsi="宋体" w:eastAsia="宋体" w:cs="宋体"/>
                      <w:i/>
                      <w:iCs/>
                      <w:color w:val="auto"/>
                      <w:spacing w:val="-6"/>
                      <w:sz w:val="24"/>
                      <w:szCs w:val="24"/>
                      <w:highlight w:val="none"/>
                      <w:u w:val="single"/>
                      <w:lang w:val="en-US" w:eastAsia="zh-CN" w:bidi="ar-SA"/>
                    </w:rPr>
                    <w:t xml:space="preserve">过电流应不小于 </w:t>
                  </w:r>
                  <w:r>
                    <w:rPr>
                      <w:rFonts w:hint="eastAsia" w:ascii="宋体" w:hAnsi="宋体" w:eastAsia="宋体" w:cs="宋体"/>
                      <w:i/>
                      <w:iCs/>
                      <w:color w:val="auto"/>
                      <w:sz w:val="24"/>
                      <w:szCs w:val="24"/>
                      <w:highlight w:val="none"/>
                      <w:u w:val="single"/>
                      <w:lang w:val="en-US" w:eastAsia="zh-CN" w:bidi="ar-SA"/>
                    </w:rPr>
                    <w:t xml:space="preserve">3A；</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b</w:t>
                  </w:r>
                  <w:r>
                    <w:rPr>
                      <w:rFonts w:hint="eastAsia" w:ascii="宋体" w:hAnsi="宋体" w:eastAsia="宋体" w:cs="宋体"/>
                      <w:i/>
                      <w:iCs/>
                      <w:color w:val="auto"/>
                      <w:spacing w:val="-2"/>
                      <w:sz w:val="24"/>
                      <w:szCs w:val="24"/>
                      <w:highlight w:val="none"/>
                      <w:u w:val="single"/>
                      <w:lang w:val="en-US" w:eastAsia="zh-CN" w:bidi="ar-SA"/>
                    </w:rPr>
                    <w:t xml:space="preserve">) 预留多功能导入装置板卡安装孔</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位，采用内置方式与主机一体化集成，</w:t>
                  </w:r>
                  <w:r>
                    <w:rPr>
                      <w:rFonts w:hint="eastAsia" w:ascii="宋体" w:hAnsi="宋体" w:eastAsia="宋体" w:cs="宋体"/>
                      <w:i/>
                      <w:iCs/>
                      <w:color w:val="auto"/>
                      <w:spacing w:val="-8"/>
                      <w:sz w:val="24"/>
                      <w:szCs w:val="24"/>
                      <w:highlight w:val="none"/>
                      <w:u w:val="single"/>
                      <w:lang w:val="en-US" w:eastAsia="zh-CN" w:bidi="ar-SA"/>
                    </w:rPr>
                    <w:t xml:space="preserve">容量不小于 </w:t>
                  </w:r>
                  <w:r>
                    <w:rPr>
                      <w:rFonts w:hint="eastAsia" w:ascii="宋体" w:hAnsi="宋体" w:eastAsia="宋体" w:cs="宋体"/>
                      <w:i/>
                      <w:iCs/>
                      <w:color w:val="auto"/>
                      <w:sz w:val="24"/>
                      <w:szCs w:val="24"/>
                      <w:highlight w:val="none"/>
                      <w:u w:val="single"/>
                      <w:lang w:val="en-US" w:eastAsia="zh-CN" w:bidi="ar-SA"/>
                    </w:rPr>
                    <w:t xml:space="preserve">145mm×125mm×16.5mm</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（长×宽×高</w:t>
                  </w:r>
                  <w:r>
                    <w:rPr>
                      <w:rFonts w:hint="eastAsia" w:ascii="宋体" w:hAnsi="宋体" w:eastAsia="宋体" w:cs="宋体"/>
                      <w:i/>
                      <w:iCs/>
                      <w:color w:val="auto"/>
                      <w:spacing w:val="-10"/>
                      <w:sz w:val="24"/>
                      <w:szCs w:val="24"/>
                      <w:highlight w:val="none"/>
                      <w:u w:val="single"/>
                      <w:lang w:val="en-US" w:eastAsia="zh-CN" w:bidi="ar-SA"/>
                    </w:rPr>
                    <w:t xml:space="preserve">）</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主板其他内置接</w:t>
                  </w:r>
                  <w:r>
                    <w:rPr>
                      <w:rFonts w:hint="eastAsia" w:ascii="宋体" w:hAnsi="宋体" w:eastAsia="宋体" w:cs="宋体"/>
                      <w:i w:val="0"/>
                      <w:iCs w:val="0"/>
                      <w:color w:val="auto"/>
                      <w:spacing w:val="-10"/>
                      <w:sz w:val="24"/>
                      <w:szCs w:val="24"/>
                      <w:highlight w:val="none"/>
                      <w:u w:val="none"/>
                      <w:lang w:val="en-US" w:eastAsia="zh-CN" w:bidi="ar-SA"/>
                    </w:rPr>
                    <w:t xml:space="preserve">口</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不少于2个SATA3.0 或M.2以上接口、不少于4个USB3.0以上接口</w:t>
                  </w:r>
                  <w:r/>
                </w:p>
              </w:tc>
            </w:tr>
            <w:tr>
              <w:trPr>
                <w:trHeight w:val="144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单内存插槽最大可支持容量（板载内存不涉</w:t>
                  </w:r>
                  <w:r>
                    <w:rPr>
                      <w:rFonts w:hint="eastAsia" w:ascii="宋体" w:hAnsi="宋体" w:eastAsia="宋体" w:cs="宋体"/>
                      <w:i w:val="0"/>
                      <w:iCs w:val="0"/>
                      <w:color w:val="auto"/>
                      <w:spacing w:val="-6"/>
                      <w:sz w:val="24"/>
                      <w:szCs w:val="24"/>
                      <w:highlight w:val="none"/>
                      <w:u w:val="none"/>
                      <w:lang w:val="en-US" w:eastAsia="zh-CN" w:bidi="ar-SA"/>
                    </w:rPr>
                    <w:t xml:space="preserve">及）</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≥32GB</w:t>
                  </w:r>
                  <w:r/>
                </w:p>
              </w:tc>
            </w:tr>
            <w:tr>
              <w:trPr>
                <w:trHeight w:val="19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bookmarkStart w:id="173" w:name="_bookmark1"/>
                  <w:r/>
                  <w:bookmarkEnd w:id="173"/>
                  <w:r/>
                  <w:bookmarkStart w:id="174" w:name="_bookmark0"/>
                  <w:r/>
                  <w:bookmarkEnd w:id="174"/>
                  <w:r>
                    <w:rPr>
                      <w:rFonts w:hint="eastAsia" w:ascii="宋体" w:hAnsi="宋体" w:eastAsia="宋体" w:cs="宋体"/>
                      <w:i w:val="0"/>
                      <w:iCs w:val="0"/>
                      <w:color w:val="auto"/>
                      <w:spacing w:val="-5"/>
                      <w:sz w:val="24"/>
                      <w:szCs w:val="24"/>
                      <w:highlight w:val="none"/>
                      <w:u w:val="none"/>
                      <w:lang w:val="en-US" w:eastAsia="zh-CN" w:bidi="ar-SA"/>
                    </w:rPr>
                    <w:t xml:space="preserve">11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内存插槽满配时提供的最高内存总</w:t>
                  </w:r>
                  <w:r>
                    <w:rPr>
                      <w:rFonts w:hint="eastAsia" w:ascii="宋体" w:hAnsi="宋体" w:eastAsia="宋体" w:cs="宋体"/>
                      <w:i w:val="0"/>
                      <w:iCs w:val="0"/>
                      <w:color w:val="auto"/>
                      <w:spacing w:val="-6"/>
                      <w:sz w:val="24"/>
                      <w:szCs w:val="24"/>
                      <w:highlight w:val="none"/>
                      <w:u w:val="none"/>
                      <w:lang w:val="en-US" w:eastAsia="zh-CN" w:bidi="ar-SA"/>
                    </w:rPr>
                    <w:t xml:space="preserve">容量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≥256GB</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固态盘</w:t>
                  </w:r>
                  <w:r>
                    <w:rPr>
                      <w:rFonts w:hint="eastAsia" w:ascii="宋体" w:hAnsi="宋体" w:eastAsia="宋体" w:cs="宋体"/>
                      <w:i w:val="0"/>
                      <w:iCs w:val="0"/>
                      <w:color w:val="auto"/>
                      <w:spacing w:val="-6"/>
                      <w:sz w:val="24"/>
                      <w:szCs w:val="24"/>
                      <w:highlight w:val="none"/>
                      <w:u w:val="none"/>
                      <w:lang w:val="en-US" w:eastAsia="zh-CN" w:bidi="ar-SA"/>
                    </w:rPr>
                    <w:t xml:space="preserve">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固态存储容量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≥512GB</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机械硬盘数量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w:t>
                  </w:r>
                  <w:r>
                    <w:rPr>
                      <w:rFonts w:hint="eastAsia" w:ascii="宋体" w:hAnsi="宋体" w:eastAsia="宋体" w:cs="宋体"/>
                      <w:i w:val="0"/>
                      <w:iCs w:val="0"/>
                      <w:color w:val="auto"/>
                      <w:spacing w:val="-3"/>
                      <w:sz w:val="24"/>
                      <w:szCs w:val="24"/>
                      <w:highlight w:val="none"/>
                      <w:u w:val="none"/>
                      <w:lang w:val="en-US" w:eastAsia="zh-CN" w:bidi="ar-SA"/>
                    </w:rPr>
                    <w:t xml:space="preserve">盘总容量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≥1TB</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机械硬盘转速</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≥7200rpm</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机械硬盘</w:t>
                  </w:r>
                  <w:r>
                    <w:rPr>
                      <w:rFonts w:hint="eastAsia" w:ascii="宋体" w:hAnsi="宋体" w:eastAsia="宋体" w:cs="宋体"/>
                      <w:i w:val="0"/>
                      <w:iCs w:val="0"/>
                      <w:color w:val="auto"/>
                      <w:spacing w:val="-3"/>
                      <w:sz w:val="24"/>
                      <w:szCs w:val="24"/>
                      <w:highlight w:val="none"/>
                      <w:u w:val="none"/>
                      <w:lang w:val="en-US" w:eastAsia="zh-CN" w:bidi="ar-SA"/>
                    </w:rPr>
                    <w:t xml:space="preserve">接口协议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SATA3.0</w:t>
                  </w:r>
                  <w:r>
                    <w:rPr>
                      <w:rFonts w:hint="eastAsia" w:ascii="宋体" w:hAnsi="宋体" w:eastAsia="宋体" w:cs="宋体"/>
                      <w:i/>
                      <w:iCs/>
                      <w:color w:val="auto"/>
                      <w:spacing w:val="-17"/>
                      <w:sz w:val="24"/>
                      <w:szCs w:val="24"/>
                      <w:highlight w:val="none"/>
                      <w:u w:val="single"/>
                      <w:lang w:val="en-US" w:eastAsia="zh-CN" w:bidi="ar-SA"/>
                    </w:rPr>
                    <w:t xml:space="preserve"> 及以上或 </w:t>
                  </w:r>
                  <w:r>
                    <w:rPr>
                      <w:rFonts w:hint="eastAsia" w:ascii="宋体" w:hAnsi="宋体" w:eastAsia="宋体" w:cs="宋体"/>
                      <w:i/>
                      <w:iCs/>
                      <w:color w:val="auto"/>
                      <w:spacing w:val="-2"/>
                      <w:sz w:val="24"/>
                      <w:szCs w:val="24"/>
                      <w:highlight w:val="none"/>
                      <w:u w:val="single"/>
                      <w:lang w:val="en-US" w:eastAsia="zh-CN" w:bidi="ar-SA"/>
                    </w:rPr>
                    <w:t xml:space="preserve">SAS3.0</w:t>
                  </w:r>
                  <w:r>
                    <w:rPr>
                      <w:rFonts w:hint="eastAsia" w:ascii="宋体" w:hAnsi="宋体" w:eastAsia="宋体" w:cs="宋体"/>
                      <w:i/>
                      <w:iCs/>
                      <w:color w:val="auto"/>
                      <w:spacing w:val="-14"/>
                      <w:sz w:val="24"/>
                      <w:szCs w:val="24"/>
                      <w:highlight w:val="none"/>
                      <w:u w:val="single"/>
                      <w:lang w:val="en-US" w:eastAsia="zh-CN" w:bidi="ar-SA"/>
                    </w:rPr>
                    <w:t xml:space="preserve"> 及以上</w:t>
                  </w:r>
                  <w:r>
                    <w:rPr>
                      <w:rFonts w:hint="eastAsia" w:ascii="宋体" w:hAnsi="宋体" w:eastAsia="宋体" w:cs="宋体"/>
                      <w:i/>
                      <w:iCs/>
                      <w:color w:val="auto"/>
                      <w:spacing w:val="-6"/>
                      <w:sz w:val="24"/>
                      <w:szCs w:val="24"/>
                      <w:highlight w:val="none"/>
                      <w:u w:val="single"/>
                      <w:lang w:val="en-US" w:eastAsia="zh-CN" w:bidi="ar-SA"/>
                    </w:rPr>
                    <w:t xml:space="preserve">接口</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机械硬盘</w:t>
                  </w:r>
                  <w:r>
                    <w:rPr>
                      <w:rFonts w:hint="eastAsia" w:ascii="宋体" w:hAnsi="宋体" w:eastAsia="宋体" w:cs="宋体"/>
                      <w:i w:val="0"/>
                      <w:iCs w:val="0"/>
                      <w:color w:val="auto"/>
                      <w:spacing w:val="-6"/>
                      <w:sz w:val="24"/>
                      <w:szCs w:val="24"/>
                      <w:highlight w:val="none"/>
                      <w:u w:val="none"/>
                      <w:lang w:val="en-US" w:eastAsia="zh-CN" w:bidi="ar-SA"/>
                    </w:rPr>
                    <w:t xml:space="preserve">形态</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2.5</w:t>
                  </w:r>
                  <w:r>
                    <w:rPr>
                      <w:rFonts w:hint="eastAsia" w:ascii="宋体" w:hAnsi="宋体" w:eastAsia="宋体" w:cs="宋体"/>
                      <w:i/>
                      <w:iCs/>
                      <w:color w:val="auto"/>
                      <w:spacing w:val="-19"/>
                      <w:sz w:val="24"/>
                      <w:szCs w:val="24"/>
                      <w:highlight w:val="none"/>
                      <w:u w:val="single"/>
                      <w:lang w:val="en-US" w:eastAsia="zh-CN" w:bidi="ar-SA"/>
                    </w:rPr>
                    <w:t xml:space="preserve"> 英寸或 </w:t>
                  </w:r>
                  <w:r>
                    <w:rPr>
                      <w:rFonts w:hint="eastAsia" w:ascii="宋体" w:hAnsi="宋体" w:eastAsia="宋体" w:cs="宋体"/>
                      <w:i/>
                      <w:iCs/>
                      <w:color w:val="auto"/>
                      <w:spacing w:val="-2"/>
                      <w:sz w:val="24"/>
                      <w:szCs w:val="24"/>
                      <w:highlight w:val="none"/>
                      <w:u w:val="single"/>
                      <w:lang w:val="en-US" w:eastAsia="zh-CN" w:bidi="ar-SA"/>
                    </w:rPr>
                    <w:t xml:space="preserve">3.5</w:t>
                  </w:r>
                  <w:r>
                    <w:rPr>
                      <w:rFonts w:hint="eastAsia" w:ascii="宋体" w:hAnsi="宋体" w:eastAsia="宋体" w:cs="宋体"/>
                      <w:i/>
                      <w:iCs/>
                      <w:color w:val="auto"/>
                      <w:spacing w:val="-14"/>
                      <w:sz w:val="24"/>
                      <w:szCs w:val="24"/>
                      <w:highlight w:val="none"/>
                      <w:u w:val="single"/>
                      <w:lang w:val="en-US" w:eastAsia="zh-CN" w:bidi="ar-SA"/>
                    </w:rPr>
                    <w:t xml:space="preserve"> 英寸等</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固态存储</w:t>
                  </w:r>
                  <w:r>
                    <w:rPr>
                      <w:rFonts w:hint="eastAsia" w:ascii="宋体" w:hAnsi="宋体" w:eastAsia="宋体" w:cs="宋体"/>
                      <w:i w:val="0"/>
                      <w:iCs w:val="0"/>
                      <w:color w:val="auto"/>
                      <w:spacing w:val="-3"/>
                      <w:sz w:val="24"/>
                      <w:szCs w:val="24"/>
                      <w:highlight w:val="none"/>
                      <w:u w:val="none"/>
                      <w:lang w:val="en-US" w:eastAsia="zh-CN" w:bidi="ar-SA"/>
                    </w:rPr>
                    <w:t xml:space="preserve">接口协议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UFS/SATA/PCIe/NVMe/M.2</w:t>
                  </w:r>
                  <w:r>
                    <w:rPr>
                      <w:rFonts w:hint="eastAsia" w:ascii="宋体" w:hAnsi="宋体" w:eastAsia="宋体" w:cs="宋体"/>
                      <w:i/>
                      <w:iCs/>
                      <w:color w:val="auto"/>
                      <w:spacing w:val="-9"/>
                      <w:sz w:val="24"/>
                      <w:szCs w:val="24"/>
                      <w:highlight w:val="none"/>
                      <w:u w:val="single"/>
                      <w:lang w:val="en-US" w:eastAsia="zh-CN" w:bidi="ar-SA"/>
                    </w:rPr>
                    <w:t xml:space="preserve"> 等类型接口</w:t>
                  </w:r>
                  <w:r>
                    <w:rPr>
                      <w:rFonts w:hint="eastAsia" w:ascii="宋体" w:hAnsi="宋体" w:eastAsia="宋体" w:cs="宋体"/>
                      <w:i/>
                      <w:iCs/>
                      <w:color w:val="auto"/>
                      <w:spacing w:val="-6"/>
                      <w:sz w:val="24"/>
                      <w:szCs w:val="24"/>
                      <w:highlight w:val="none"/>
                      <w:u w:val="single"/>
                      <w:lang w:val="en-US" w:eastAsia="zh-CN" w:bidi="ar-SA"/>
                    </w:rPr>
                    <w:t xml:space="preserve">协议</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固态存储形态</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采用插卡或板载等形态，插卡形态宜符</w:t>
                  </w:r>
                  <w:r>
                    <w:rPr>
                      <w:rFonts w:hint="eastAsia" w:ascii="宋体" w:hAnsi="宋体" w:eastAsia="宋体" w:cs="宋体"/>
                      <w:i/>
                      <w:iCs/>
                      <w:color w:val="auto"/>
                      <w:spacing w:val="26"/>
                      <w:sz w:val="24"/>
                      <w:szCs w:val="24"/>
                      <w:highlight w:val="none"/>
                      <w:u w:val="single"/>
                      <w:lang w:val="en-US" w:eastAsia="zh-CN" w:bidi="ar-SA"/>
                    </w:rPr>
                    <w:t xml:space="preserve">合</w:t>
                  </w:r>
                  <w:r>
                    <w:rPr>
                      <w:rFonts w:hint="eastAsia" w:ascii="宋体" w:hAnsi="宋体" w:eastAsia="宋体" w:cs="宋体"/>
                      <w:i/>
                      <w:iCs/>
                      <w:color w:val="auto"/>
                      <w:sz w:val="24"/>
                      <w:szCs w:val="24"/>
                      <w:highlight w:val="none"/>
                      <w:u w:val="single"/>
                      <w:lang w:val="en-US" w:eastAsia="zh-CN" w:bidi="ar-SA"/>
                    </w:rPr>
                    <w:t xml:space="preserve">M.2</w:t>
                  </w:r>
                  <w:r>
                    <w:rPr>
                      <w:rFonts w:hint="eastAsia" w:ascii="宋体" w:hAnsi="宋体" w:eastAsia="宋体" w:cs="宋体"/>
                      <w:i/>
                      <w:iCs/>
                      <w:color w:val="auto"/>
                      <w:spacing w:val="-17"/>
                      <w:sz w:val="24"/>
                      <w:szCs w:val="24"/>
                      <w:highlight w:val="none"/>
                      <w:u w:val="single"/>
                      <w:lang w:val="en-US" w:eastAsia="zh-CN" w:bidi="ar-SA"/>
                    </w:rPr>
                    <w:t xml:space="preserve"> 或</w:t>
                  </w:r>
                  <w:r>
                    <w:rPr>
                      <w:rFonts w:hint="eastAsia" w:ascii="宋体" w:hAnsi="宋体" w:eastAsia="宋体" w:cs="宋体"/>
                      <w:i/>
                      <w:iCs/>
                      <w:color w:val="auto"/>
                      <w:sz w:val="24"/>
                      <w:szCs w:val="24"/>
                      <w:highlight w:val="none"/>
                      <w:u w:val="single"/>
                      <w:lang w:val="en-US" w:eastAsia="zh-CN" w:bidi="ar-SA"/>
                    </w:rPr>
                    <w:t xml:space="preserve">mSATA</w:t>
                  </w:r>
                  <w:r>
                    <w:rPr>
                      <w:rFonts w:hint="eastAsia" w:ascii="宋体" w:hAnsi="宋体" w:eastAsia="宋体" w:cs="宋体"/>
                      <w:i/>
                      <w:iCs/>
                      <w:color w:val="auto"/>
                      <w:spacing w:val="-9"/>
                      <w:sz w:val="24"/>
                      <w:szCs w:val="24"/>
                      <w:highlight w:val="none"/>
                      <w:u w:val="single"/>
                      <w:lang w:val="en-US" w:eastAsia="zh-CN" w:bidi="ar-SA"/>
                    </w:rPr>
                    <w:t xml:space="preserve"> 等标准尺寸和接口定义</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存储设备</w:t>
                  </w:r>
                  <w:r>
                    <w:rPr>
                      <w:rFonts w:hint="eastAsia" w:ascii="宋体" w:hAnsi="宋体" w:eastAsia="宋体" w:cs="宋体"/>
                      <w:i w:val="0"/>
                      <w:iCs w:val="0"/>
                      <w:color w:val="auto"/>
                      <w:spacing w:val="-3"/>
                      <w:sz w:val="24"/>
                      <w:szCs w:val="24"/>
                      <w:highlight w:val="none"/>
                      <w:u w:val="none"/>
                      <w:lang w:val="en-US" w:eastAsia="zh-CN" w:bidi="ar-SA"/>
                    </w:rPr>
                    <w:t xml:space="preserve">扩展盘位</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default"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143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存储设备其他参数要求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a）</w:t>
                  </w:r>
                  <w:r>
                    <w:rPr>
                      <w:rFonts w:hint="eastAsia" w:ascii="宋体" w:hAnsi="宋体" w:eastAsia="宋体" w:cs="宋体"/>
                      <w:i/>
                      <w:iCs/>
                      <w:color w:val="auto"/>
                      <w:spacing w:val="-13"/>
                      <w:sz w:val="24"/>
                      <w:szCs w:val="24"/>
                      <w:highlight w:val="none"/>
                      <w:u w:val="single"/>
                      <w:lang w:val="en-US" w:eastAsia="zh-CN" w:bidi="ar-SA"/>
                    </w:rPr>
                    <w:t xml:space="preserve">固态盘应符合 </w:t>
                  </w:r>
                  <w:r>
                    <w:rPr>
                      <w:rFonts w:hint="eastAsia" w:ascii="宋体" w:hAnsi="宋体" w:eastAsia="宋体" w:cs="宋体"/>
                      <w:i/>
                      <w:iCs/>
                      <w:color w:val="auto"/>
                      <w:spacing w:val="-6"/>
                      <w:sz w:val="24"/>
                      <w:szCs w:val="24"/>
                      <w:highlight w:val="none"/>
                      <w:u w:val="single"/>
                      <w:lang w:val="en-US" w:eastAsia="zh-CN" w:bidi="ar-SA"/>
                    </w:rPr>
                    <w:t xml:space="preserve">SJ/T</w:t>
                  </w:r>
                  <w:r>
                    <w:rPr>
                      <w:rFonts w:hint="eastAsia" w:ascii="宋体" w:hAnsi="宋体" w:eastAsia="宋体" w:cs="宋体"/>
                      <w:i/>
                      <w:iCs/>
                      <w:color w:val="auto"/>
                      <w:spacing w:val="-43"/>
                      <w:sz w:val="24"/>
                      <w:szCs w:val="24"/>
                      <w:highlight w:val="none"/>
                      <w:u w:val="single"/>
                      <w:lang w:val="en-US" w:eastAsia="zh-CN" w:bidi="ar-SA"/>
                    </w:rPr>
                    <w:t xml:space="preserve"> </w:t>
                  </w:r>
                  <w:r>
                    <w:rPr>
                      <w:rFonts w:hint="eastAsia" w:ascii="宋体" w:hAnsi="宋体" w:eastAsia="宋体" w:cs="宋体"/>
                      <w:i/>
                      <w:iCs/>
                      <w:color w:val="auto"/>
                      <w:spacing w:val="-6"/>
                      <w:sz w:val="24"/>
                      <w:szCs w:val="24"/>
                      <w:highlight w:val="none"/>
                      <w:u w:val="single"/>
                      <w:lang w:val="en-US" w:eastAsia="zh-CN" w:bidi="ar-SA"/>
                    </w:rPr>
                    <w:t xml:space="preserve">11654</w:t>
                  </w:r>
                  <w:r>
                    <w:rPr>
                      <w:rFonts w:hint="eastAsia" w:ascii="宋体" w:hAnsi="宋体" w:eastAsia="宋体" w:cs="宋体"/>
                      <w:i/>
                      <w:iCs/>
                      <w:color w:val="auto"/>
                      <w:spacing w:val="-16"/>
                      <w:sz w:val="24"/>
                      <w:szCs w:val="24"/>
                      <w:highlight w:val="none"/>
                      <w:u w:val="single"/>
                      <w:lang w:val="en-US" w:eastAsia="zh-CN" w:bidi="ar-SA"/>
                    </w:rPr>
                    <w:t xml:space="preserve"> 相关规定；</w:t>
                  </w:r>
                  <w:r>
                    <w:rPr>
                      <w:rFonts w:hint="eastAsia" w:ascii="宋体" w:hAnsi="宋体" w:eastAsia="宋体" w:cs="宋体"/>
                      <w:i/>
                      <w:iCs/>
                      <w:color w:val="auto"/>
                      <w:spacing w:val="-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b）</w:t>
                  </w:r>
                  <w:r>
                    <w:rPr>
                      <w:rFonts w:hint="eastAsia" w:ascii="宋体" w:hAnsi="宋体" w:eastAsia="宋体" w:cs="宋体"/>
                      <w:i/>
                      <w:iCs/>
                      <w:color w:val="auto"/>
                      <w:spacing w:val="-4"/>
                      <w:sz w:val="24"/>
                      <w:szCs w:val="24"/>
                      <w:highlight w:val="none"/>
                      <w:u w:val="single"/>
                      <w:lang w:val="en-US" w:eastAsia="zh-CN" w:bidi="ar-SA"/>
                    </w:rPr>
                    <w:t xml:space="preserve">机械硬盘准备时间应不大于 </w:t>
                  </w:r>
                  <w:r>
                    <w:rPr>
                      <w:rFonts w:hint="eastAsia" w:ascii="宋体" w:hAnsi="宋体" w:eastAsia="宋体" w:cs="宋体"/>
                      <w:i/>
                      <w:iCs/>
                      <w:color w:val="auto"/>
                      <w:sz w:val="24"/>
                      <w:szCs w:val="24"/>
                      <w:highlight w:val="none"/>
                      <w:u w:val="single"/>
                      <w:lang w:val="en-US" w:eastAsia="zh-CN" w:bidi="ar-SA"/>
                    </w:rPr>
                    <w:t xml:space="preserve">30s；</w:t>
                  </w:r>
                  <w:r>
                    <w:rPr>
                      <w:rFonts w:hint="eastAsia" w:ascii="宋体" w:hAnsi="宋体" w:eastAsia="宋体" w:cs="宋体"/>
                      <w:i/>
                      <w:iCs/>
                      <w:color w:val="auto"/>
                      <w:spacing w:val="-4"/>
                      <w:sz w:val="24"/>
                      <w:szCs w:val="24"/>
                      <w:highlight w:val="none"/>
                      <w:u w:val="single"/>
                      <w:lang w:val="en-US" w:eastAsia="zh-CN" w:bidi="ar-SA"/>
                    </w:rPr>
                    <w:t xml:space="preserve">侧面固定螺丝孔数量可为 </w:t>
                  </w:r>
                  <w:r>
                    <w:rPr>
                      <w:rFonts w:hint="eastAsia" w:ascii="宋体" w:hAnsi="宋体" w:eastAsia="宋体" w:cs="宋体"/>
                      <w:i/>
                      <w:iCs/>
                      <w:color w:val="auto"/>
                      <w:sz w:val="24"/>
                      <w:szCs w:val="24"/>
                      <w:highlight w:val="none"/>
                      <w:u w:val="single"/>
                      <w:lang w:val="en-US" w:eastAsia="zh-CN" w:bidi="ar-SA"/>
                    </w:rPr>
                    <w:t xml:space="preserve">4</w:t>
                  </w:r>
                  <w:r>
                    <w:rPr>
                      <w:rFonts w:hint="eastAsia" w:ascii="宋体" w:hAnsi="宋体" w:eastAsia="宋体" w:cs="宋体"/>
                      <w:i/>
                      <w:iCs/>
                      <w:color w:val="auto"/>
                      <w:spacing w:val="-24"/>
                      <w:sz w:val="24"/>
                      <w:szCs w:val="24"/>
                      <w:highlight w:val="none"/>
                      <w:u w:val="single"/>
                      <w:lang w:val="en-US" w:eastAsia="zh-CN" w:bidi="ar-SA"/>
                    </w:rPr>
                    <w:t xml:space="preserve"> 孔或 </w:t>
                  </w:r>
                  <w:r>
                    <w:rPr>
                      <w:rFonts w:hint="eastAsia" w:ascii="宋体" w:hAnsi="宋体" w:eastAsia="宋体" w:cs="宋体"/>
                      <w:i/>
                      <w:iCs/>
                      <w:color w:val="auto"/>
                      <w:sz w:val="24"/>
                      <w:szCs w:val="24"/>
                      <w:highlight w:val="none"/>
                      <w:u w:val="single"/>
                      <w:lang w:val="en-US" w:eastAsia="zh-CN" w:bidi="ar-SA"/>
                    </w:rPr>
                    <w:t xml:space="preserve">6</w:t>
                  </w:r>
                  <w:r>
                    <w:rPr>
                      <w:rFonts w:hint="eastAsia" w:ascii="宋体" w:hAnsi="宋体" w:eastAsia="宋体" w:cs="宋体"/>
                      <w:i/>
                      <w:iCs/>
                      <w:color w:val="auto"/>
                      <w:spacing w:val="-16"/>
                      <w:sz w:val="24"/>
                      <w:szCs w:val="24"/>
                      <w:highlight w:val="none"/>
                      <w:u w:val="single"/>
                      <w:lang w:val="en-US" w:eastAsia="zh-CN" w:bidi="ar-SA"/>
                    </w:rPr>
                    <w:t xml:space="preserve"> 孔；</w:t>
                  </w:r>
                  <w:r>
                    <w:rPr>
                      <w:rFonts w:hint="eastAsia" w:ascii="宋体" w:hAnsi="宋体" w:eastAsia="宋体" w:cs="宋体"/>
                      <w:i/>
                      <w:iCs/>
                      <w:color w:val="auto"/>
                      <w:spacing w:val="-4"/>
                      <w:sz w:val="24"/>
                      <w:szCs w:val="24"/>
                      <w:highlight w:val="none"/>
                      <w:u w:val="single"/>
                      <w:lang w:val="en-US" w:eastAsia="zh-CN" w:bidi="ar-SA"/>
                    </w:rPr>
                    <w:t xml:space="preserve">工作状态环境温度应满足 </w:t>
                  </w:r>
                  <w:r>
                    <w:rPr>
                      <w:rFonts w:hint="eastAsia" w:ascii="宋体" w:hAnsi="宋体" w:eastAsia="宋体" w:cs="宋体"/>
                      <w:i/>
                      <w:iCs/>
                      <w:color w:val="auto"/>
                      <w:sz w:val="24"/>
                      <w:szCs w:val="24"/>
                      <w:highlight w:val="none"/>
                      <w:u w:val="single"/>
                      <w:lang w:val="en-US" w:eastAsia="zh-CN" w:bidi="ar-SA"/>
                    </w:rPr>
                    <w:t xml:space="preserve">5℃~55℃；</w:t>
                  </w:r>
                  <w:r>
                    <w:rPr>
                      <w:rFonts w:hint="eastAsia" w:ascii="宋体" w:hAnsi="宋体" w:eastAsia="宋体" w:cs="宋体"/>
                      <w:i/>
                      <w:iCs/>
                      <w:color w:val="auto"/>
                      <w:spacing w:val="-4"/>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 xml:space="preserve">GB/T 12628</w:t>
                  </w:r>
                  <w:r>
                    <w:rPr>
                      <w:rFonts w:hint="eastAsia" w:ascii="宋体" w:hAnsi="宋体" w:eastAsia="宋体" w:cs="宋体"/>
                      <w:i/>
                      <w:iCs/>
                      <w:color w:val="auto"/>
                      <w:spacing w:val="-6"/>
                      <w:sz w:val="24"/>
                      <w:szCs w:val="24"/>
                      <w:highlight w:val="none"/>
                      <w:u w:val="single"/>
                      <w:lang w:val="en-US" w:eastAsia="zh-CN" w:bidi="ar-SA"/>
                    </w:rPr>
                    <w:t xml:space="preserve"> 的相关规</w:t>
                  </w:r>
                  <w:r>
                    <w:rPr>
                      <w:rFonts w:hint="eastAsia" w:ascii="宋体" w:hAnsi="宋体" w:eastAsia="宋体" w:cs="宋体"/>
                      <w:i/>
                      <w:iCs/>
                      <w:color w:val="auto"/>
                      <w:spacing w:val="-10"/>
                      <w:sz w:val="24"/>
                      <w:szCs w:val="24"/>
                      <w:highlight w:val="none"/>
                      <w:u w:val="single"/>
                      <w:lang w:val="en-US" w:eastAsia="zh-CN" w:bidi="ar-SA"/>
                    </w:rPr>
                    <w:t xml:space="preserve">定</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显卡类</w:t>
                  </w:r>
                  <w:r>
                    <w:rPr>
                      <w:rFonts w:hint="eastAsia" w:ascii="宋体" w:hAnsi="宋体" w:eastAsia="宋体" w:cs="宋体"/>
                      <w:i w:val="0"/>
                      <w:iCs w:val="0"/>
                      <w:color w:val="auto"/>
                      <w:spacing w:val="-10"/>
                      <w:sz w:val="24"/>
                      <w:szCs w:val="24"/>
                      <w:highlight w:val="none"/>
                      <w:u w:val="none"/>
                      <w:lang w:val="en-US" w:eastAsia="zh-CN" w:bidi="ar-SA"/>
                    </w:rPr>
                    <w:t xml:space="preserve">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独立显卡</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独立显卡显存类</w:t>
                  </w:r>
                  <w:r>
                    <w:rPr>
                      <w:rFonts w:hint="eastAsia" w:ascii="宋体" w:hAnsi="宋体" w:eastAsia="宋体" w:cs="宋体"/>
                      <w:i w:val="0"/>
                      <w:iCs w:val="0"/>
                      <w:color w:val="auto"/>
                      <w:spacing w:val="-10"/>
                      <w:sz w:val="24"/>
                      <w:szCs w:val="24"/>
                      <w:highlight w:val="none"/>
                      <w:u w:val="none"/>
                      <w:lang w:val="en-US" w:eastAsia="zh-CN" w:bidi="ar-SA"/>
                    </w:rPr>
                    <w:t xml:space="preserve">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显存类型应为 GDDR6以上规格</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独立显卡显存位</w:t>
                  </w:r>
                  <w:r>
                    <w:rPr>
                      <w:rFonts w:hint="eastAsia" w:ascii="宋体" w:hAnsi="宋体" w:eastAsia="宋体" w:cs="宋体"/>
                      <w:i w:val="0"/>
                      <w:iCs w:val="0"/>
                      <w:color w:val="auto"/>
                      <w:spacing w:val="-10"/>
                      <w:sz w:val="24"/>
                      <w:szCs w:val="24"/>
                      <w:highlight w:val="none"/>
                      <w:u w:val="none"/>
                      <w:lang w:val="en-US" w:eastAsia="zh-CN" w:bidi="ar-SA"/>
                    </w:rPr>
                    <w:t xml:space="preserve">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显存位宽≥64</w:t>
                  </w:r>
                  <w:r>
                    <w:rPr>
                      <w:rFonts w:hint="eastAsia" w:ascii="宋体" w:hAnsi="宋体" w:eastAsia="宋体" w:cs="宋体"/>
                      <w:i/>
                      <w:iCs/>
                      <w:color w:val="auto"/>
                      <w:spacing w:val="-15"/>
                      <w:sz w:val="24"/>
                      <w:szCs w:val="24"/>
                      <w:highlight w:val="none"/>
                      <w:u w:val="single"/>
                      <w:lang w:val="en-US" w:eastAsia="zh-CN" w:bidi="ar-SA"/>
                    </w:rPr>
                    <w:t xml:space="preserve"> 位</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独立显卡显存容</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显存容量≥</w:t>
                  </w:r>
                  <w:r>
                    <w:rPr>
                      <w:rFonts w:hint="eastAsia" w:ascii="宋体" w:hAnsi="宋体" w:eastAsia="宋体" w:cs="宋体"/>
                      <w:i/>
                      <w:iCs/>
                      <w:color w:val="auto"/>
                      <w:spacing w:val="-4"/>
                      <w:sz w:val="24"/>
                      <w:szCs w:val="24"/>
                      <w:highlight w:val="none"/>
                      <w:u w:val="single"/>
                      <w:lang w:val="en-US" w:eastAsia="zh-CN" w:bidi="ar-SA"/>
                    </w:rPr>
                    <w:t xml:space="preserve">8GB</w:t>
                  </w:r>
                  <w:r/>
                </w:p>
              </w:tc>
            </w:tr>
            <w:tr>
              <w:trPr>
                <w:trHeight w:val="119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独立显卡</w:t>
                  </w:r>
                  <w:r>
                    <w:rPr>
                      <w:rFonts w:hint="eastAsia" w:ascii="宋体" w:hAnsi="宋体" w:eastAsia="宋体" w:cs="宋体"/>
                      <w:i w:val="0"/>
                      <w:iCs w:val="0"/>
                      <w:color w:val="auto"/>
                      <w:spacing w:val="-3"/>
                      <w:sz w:val="24"/>
                      <w:szCs w:val="24"/>
                      <w:highlight w:val="none"/>
                      <w:u w:val="none"/>
                      <w:lang w:val="en-US" w:eastAsia="zh-CN" w:bidi="ar-SA"/>
                    </w:rPr>
                    <w:t xml:space="preserve">接口协议</w:t>
                  </w:r>
                  <w:r/>
                </w:p>
              </w:tc>
              <w:tc>
                <w:tcPr>
                  <w:tcW w:w="3214" w:type="dxa"/>
                  <w:vAlign w:val="center"/>
                  <w:textDirection w:val="lrTb"/>
                  <w:noWrap w:val="false"/>
                </w:tcPr>
                <w:p>
                  <w:pPr>
                    <w:ind w:left="0" w:right="0" w:firstLine="0"/>
                    <w:jc w:val="left"/>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产品支持</w:t>
                  </w:r>
                  <w:r>
                    <w:rPr>
                      <w:rFonts w:hint="eastAsia" w:ascii="宋体" w:hAnsi="宋体" w:eastAsia="宋体" w:cs="宋体"/>
                      <w:i/>
                      <w:iCs/>
                      <w:color w:val="auto"/>
                      <w:spacing w:val="-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PCIe</w:t>
                  </w:r>
                  <w:r>
                    <w:rPr>
                      <w:rFonts w:hint="eastAsia" w:ascii="宋体" w:hAnsi="宋体" w:eastAsia="宋体" w:cs="宋体"/>
                      <w:i/>
                      <w:iCs/>
                      <w:color w:val="auto"/>
                      <w:spacing w:val="-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协议版本大于等于2.0或H</w:t>
                  </w:r>
                  <w:r>
                    <w:rPr>
                      <w:rFonts w:hint="eastAsia" w:ascii="宋体" w:hAnsi="宋体" w:cs="宋体"/>
                      <w:i/>
                      <w:iCs/>
                      <w:color w:val="auto"/>
                      <w:sz w:val="24"/>
                      <w:szCs w:val="24"/>
                      <w:highlight w:val="none"/>
                      <w:u w:val="single"/>
                      <w:lang w:val="en-US" w:eastAsia="zh-CN" w:bidi="ar-SA"/>
                    </w:rPr>
                    <w:t xml:space="preserve">T</w:t>
                  </w:r>
                  <w:r>
                    <w:rPr>
                      <w:rFonts w:hint="eastAsia" w:ascii="宋体" w:hAnsi="宋体" w:eastAsia="宋体" w:cs="宋体"/>
                      <w:i/>
                      <w:iCs/>
                      <w:color w:val="auto"/>
                      <w:sz w:val="24"/>
                      <w:szCs w:val="24"/>
                      <w:highlight w:val="none"/>
                      <w:u w:val="single"/>
                      <w:lang w:val="en-US" w:eastAsia="zh-CN" w:bidi="ar-SA"/>
                    </w:rPr>
                    <w:t xml:space="preserve">（HyperTransport）协议版本大</w:t>
                  </w:r>
                  <w:r>
                    <w:rPr>
                      <w:rFonts w:hint="eastAsia" w:ascii="宋体" w:hAnsi="宋体" w:eastAsia="宋体" w:cs="宋体"/>
                      <w:i/>
                      <w:iCs/>
                      <w:color w:val="auto"/>
                      <w:spacing w:val="-5"/>
                      <w:sz w:val="24"/>
                      <w:szCs w:val="24"/>
                      <w:highlight w:val="none"/>
                      <w:u w:val="single"/>
                      <w:lang w:val="en-US" w:eastAsia="zh-CN" w:bidi="ar-SA"/>
                    </w:rPr>
                    <w:t xml:space="preserve">于等于 </w:t>
                  </w:r>
                  <w:r>
                    <w:rPr>
                      <w:rFonts w:hint="eastAsia" w:ascii="宋体" w:hAnsi="宋体" w:eastAsia="宋体" w:cs="宋体"/>
                      <w:i/>
                      <w:iCs/>
                      <w:color w:val="auto"/>
                      <w:sz w:val="24"/>
                      <w:szCs w:val="24"/>
                      <w:highlight w:val="none"/>
                      <w:u w:val="single"/>
                      <w:lang w:val="en-US" w:eastAsia="zh-CN" w:bidi="ar-SA"/>
                    </w:rPr>
                    <w:t xml:space="preserve">3.0</w:t>
                  </w:r>
                  <w:r>
                    <w:rPr>
                      <w:rFonts w:hint="eastAsia" w:ascii="宋体" w:hAnsi="宋体" w:eastAsia="宋体" w:cs="宋体"/>
                      <w:i/>
                      <w:iCs/>
                      <w:color w:val="auto"/>
                      <w:spacing w:val="-5"/>
                      <w:sz w:val="24"/>
                      <w:szCs w:val="24"/>
                      <w:highlight w:val="none"/>
                      <w:u w:val="single"/>
                      <w:lang w:val="en-US" w:eastAsia="zh-CN" w:bidi="ar-SA"/>
                    </w:rPr>
                    <w:t xml:space="preserve"> 的独立显卡接口协议</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显示屏屏占比</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≥80%</w:t>
                  </w:r>
                  <w:r/>
                </w:p>
              </w:tc>
            </w:tr>
            <w:tr>
              <w:trPr>
                <w:trHeight w:val="19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29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显示屏分辨率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≥2560×1440</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显示屏像素密度</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≥120</w:t>
                  </w:r>
                  <w:r>
                    <w:rPr>
                      <w:rFonts w:hint="eastAsia" w:ascii="宋体" w:hAnsi="宋体" w:eastAsia="宋体" w:cs="宋体"/>
                      <w:i/>
                      <w:iCs/>
                      <w:color w:val="auto"/>
                      <w:spacing w:val="-10"/>
                      <w:sz w:val="24"/>
                      <w:szCs w:val="24"/>
                      <w:highlight w:val="none"/>
                      <w:u w:val="single"/>
                      <w:lang w:val="en-US" w:eastAsia="zh-CN" w:bidi="ar-SA"/>
                    </w:rPr>
                    <w:t xml:space="preserve"> 像素/英寸</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显示屏可视角度</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水平≥</w:t>
                  </w:r>
                  <w:r>
                    <w:rPr>
                      <w:rFonts w:hint="eastAsia" w:ascii="宋体" w:hAnsi="宋体" w:eastAsia="宋体" w:cs="宋体"/>
                      <w:i/>
                      <w:iCs/>
                      <w:color w:val="auto"/>
                      <w:spacing w:val="-2"/>
                      <w:sz w:val="24"/>
                      <w:szCs w:val="24"/>
                      <w:highlight w:val="none"/>
                      <w:u w:val="single"/>
                      <w:lang w:val="en-US" w:eastAsia="zh-CN" w:bidi="ar-SA"/>
                    </w:rPr>
                    <w:t xml:space="preserve">170°</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6"/>
                      <w:sz w:val="24"/>
                      <w:szCs w:val="24"/>
                      <w:highlight w:val="none"/>
                      <w:u w:val="none"/>
                      <w:lang w:val="en-US" w:eastAsia="zh-CN" w:bidi="ar-SA"/>
                    </w:rPr>
                    <w:t xml:space="preserve">尺寸</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≥23</w:t>
                  </w:r>
                  <w:r>
                    <w:rPr>
                      <w:rFonts w:hint="eastAsia" w:ascii="宋体" w:hAnsi="宋体" w:eastAsia="宋体" w:cs="宋体"/>
                      <w:i/>
                      <w:iCs/>
                      <w:color w:val="auto"/>
                      <w:spacing w:val="-17"/>
                      <w:sz w:val="24"/>
                      <w:szCs w:val="24"/>
                      <w:highlight w:val="none"/>
                      <w:u w:val="single"/>
                      <w:lang w:val="en-US" w:eastAsia="zh-CN" w:bidi="ar-SA"/>
                    </w:rPr>
                    <w:t xml:space="preserve"> 英寸</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3"/>
                      <w:sz w:val="24"/>
                      <w:szCs w:val="24"/>
                      <w:highlight w:val="none"/>
                      <w:u w:val="none"/>
                      <w:lang w:val="en-US" w:eastAsia="zh-CN" w:bidi="ar-SA"/>
                    </w:rPr>
                    <w:t xml:space="preserve">屏幕比例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16:9</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显示器</w:t>
                  </w:r>
                  <w:r>
                    <w:rPr>
                      <w:rFonts w:hint="eastAsia" w:ascii="宋体" w:hAnsi="宋体" w:eastAsia="宋体" w:cs="宋体"/>
                      <w:i w:val="0"/>
                      <w:iCs w:val="0"/>
                      <w:color w:val="auto"/>
                      <w:spacing w:val="-3"/>
                      <w:sz w:val="24"/>
                      <w:szCs w:val="24"/>
                      <w:highlight w:val="none"/>
                      <w:u w:val="none"/>
                      <w:lang w:val="en-US" w:eastAsia="zh-CN" w:bidi="ar-SA"/>
                    </w:rPr>
                    <w:t xml:space="preserve">外观颜色</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黑色</w:t>
                  </w:r>
                  <w:r/>
                </w:p>
              </w:tc>
            </w:tr>
            <w:tr>
              <w:trPr>
                <w:trHeight w:val="933"/>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显示屏防蓝光</w:t>
                  </w:r>
                  <w:r/>
                </w:p>
              </w:tc>
              <w:tc>
                <w:tcPr>
                  <w:tcW w:w="3214" w:type="dxa"/>
                  <w:vAlign w:val="center"/>
                  <w:textDirection w:val="lrTb"/>
                  <w:noWrap w:val="false"/>
                </w:tcPr>
                <w:p>
                  <w:pPr>
                    <w:ind w:left="0" w:right="0" w:firstLine="0"/>
                    <w:jc w:val="left"/>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 xml:space="preserve">支持防蓝光模式，蓝光加权辐射亮度比</w:t>
                  </w:r>
                  <w:r>
                    <w:rPr>
                      <w:rFonts w:hint="eastAsia" w:ascii="宋体" w:hAnsi="宋体" w:eastAsia="宋体" w:cs="宋体"/>
                      <w:i/>
                      <w:iCs/>
                      <w:color w:val="auto"/>
                      <w:spacing w:val="-4"/>
                      <w:sz w:val="24"/>
                      <w:szCs w:val="24"/>
                      <w:highlight w:val="none"/>
                      <w:u w:val="single"/>
                      <w:lang w:val="en-US" w:eastAsia="zh-CN" w:bidi="ar-SA"/>
                    </w:rPr>
                    <w:t xml:space="preserve">应≤0.0012W/(·cd·sr)（瓦每坎特拉</w:t>
                  </w:r>
                  <w:r>
                    <w:rPr>
                      <w:rFonts w:hint="eastAsia" w:ascii="宋体" w:hAnsi="宋体" w:eastAsia="宋体" w:cs="宋体"/>
                      <w:i/>
                      <w:iCs/>
                      <w:color w:val="auto"/>
                      <w:spacing w:val="-2"/>
                      <w:sz w:val="24"/>
                      <w:szCs w:val="24"/>
                      <w:highlight w:val="none"/>
                      <w:u w:val="single"/>
                      <w:lang w:val="en-US" w:eastAsia="zh-CN" w:bidi="ar-SA"/>
                    </w:rPr>
                    <w:t xml:space="preserve">每球面度）</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显示屏低频闪</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显示屏应支持低频闪≤-</w:t>
                  </w:r>
                  <w:r>
                    <w:rPr>
                      <w:rFonts w:hint="eastAsia" w:ascii="宋体" w:hAnsi="宋体" w:eastAsia="宋体" w:cs="宋体"/>
                      <w:i/>
                      <w:iCs/>
                      <w:color w:val="auto"/>
                      <w:spacing w:val="-4"/>
                      <w:sz w:val="24"/>
                      <w:szCs w:val="24"/>
                      <w:highlight w:val="none"/>
                      <w:u w:val="single"/>
                      <w:lang w:val="en-US" w:eastAsia="zh-CN" w:bidi="ar-SA"/>
                    </w:rPr>
                    <w:t xml:space="preserve">35dB</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显示屏防炫目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显示屏镜面反射率≤</w:t>
                  </w:r>
                  <w:r>
                    <w:rPr>
                      <w:rFonts w:hint="eastAsia" w:ascii="宋体" w:hAnsi="宋体" w:eastAsia="宋体" w:cs="宋体"/>
                      <w:i/>
                      <w:iCs/>
                      <w:color w:val="auto"/>
                      <w:spacing w:val="-4"/>
                      <w:sz w:val="24"/>
                      <w:szCs w:val="24"/>
                      <w:highlight w:val="none"/>
                      <w:u w:val="single"/>
                      <w:lang w:val="en-US" w:eastAsia="zh-CN" w:bidi="ar-SA"/>
                    </w:rPr>
                    <w:t xml:space="preserve">10%</w:t>
                  </w:r>
                  <w:r/>
                </w:p>
              </w:tc>
            </w:tr>
            <w:tr>
              <w:trPr>
                <w:trHeight w:val="9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外设</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传声器数</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39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扬声器数</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鼠标数</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键盘数</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摄像头</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光驱数量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≥0</w:t>
                  </w:r>
                  <w:r>
                    <w:rPr>
                      <w:rFonts w:hint="eastAsia" w:ascii="宋体" w:hAnsi="宋体" w:eastAsia="宋体" w:cs="宋体"/>
                      <w:i/>
                      <w:iCs/>
                      <w:color w:val="auto"/>
                      <w:spacing w:val="-28"/>
                      <w:sz w:val="24"/>
                      <w:szCs w:val="24"/>
                      <w:highlight w:val="none"/>
                      <w:u w:val="single"/>
                      <w:lang w:val="en-US" w:eastAsia="zh-CN" w:bidi="ar-SA"/>
                    </w:rPr>
                    <w:t xml:space="preserve"> 个</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键盘按键数目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104</w:t>
                  </w:r>
                  <w:r>
                    <w:rPr>
                      <w:rFonts w:hint="eastAsia" w:ascii="宋体" w:hAnsi="宋体" w:eastAsia="宋体" w:cs="宋体"/>
                      <w:i/>
                      <w:iCs/>
                      <w:color w:val="auto"/>
                      <w:spacing w:val="-18"/>
                      <w:sz w:val="24"/>
                      <w:szCs w:val="24"/>
                      <w:highlight w:val="none"/>
                      <w:u w:val="single"/>
                      <w:lang w:val="en-US" w:eastAsia="zh-CN" w:bidi="ar-SA"/>
                    </w:rPr>
                    <w:t xml:space="preserve"> 键</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摄像头</w:t>
                  </w:r>
                  <w:r>
                    <w:rPr>
                      <w:rFonts w:hint="eastAsia" w:ascii="宋体" w:hAnsi="宋体" w:eastAsia="宋体" w:cs="宋体"/>
                      <w:i w:val="0"/>
                      <w:iCs w:val="0"/>
                      <w:color w:val="auto"/>
                      <w:spacing w:val="-6"/>
                      <w:sz w:val="24"/>
                      <w:szCs w:val="24"/>
                      <w:highlight w:val="none"/>
                      <w:u w:val="none"/>
                      <w:lang w:val="en-US" w:eastAsia="zh-CN" w:bidi="ar-SA"/>
                    </w:rPr>
                    <w:t xml:space="preserve">像素</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≥50</w:t>
                  </w:r>
                  <w:r>
                    <w:rPr>
                      <w:rFonts w:hint="eastAsia" w:ascii="宋体" w:hAnsi="宋体" w:eastAsia="宋体" w:cs="宋体"/>
                      <w:i/>
                      <w:iCs/>
                      <w:color w:val="auto"/>
                      <w:spacing w:val="-26"/>
                      <w:sz w:val="24"/>
                      <w:szCs w:val="24"/>
                      <w:highlight w:val="none"/>
                      <w:u w:val="single"/>
                      <w:lang w:val="en-US" w:eastAsia="zh-CN" w:bidi="ar-SA"/>
                    </w:rPr>
                    <w:t xml:space="preserve"> 万</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摄像头分辨率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≥800×600</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扬声器</w:t>
                  </w:r>
                  <w:r>
                    <w:rPr>
                      <w:rFonts w:hint="eastAsia" w:ascii="宋体" w:hAnsi="宋体" w:eastAsia="宋体" w:cs="宋体"/>
                      <w:i w:val="0"/>
                      <w:iCs w:val="0"/>
                      <w:color w:val="auto"/>
                      <w:spacing w:val="-6"/>
                      <w:sz w:val="24"/>
                      <w:szCs w:val="24"/>
                      <w:highlight w:val="none"/>
                      <w:u w:val="none"/>
                      <w:lang w:val="en-US" w:eastAsia="zh-CN" w:bidi="ar-SA"/>
                    </w:rPr>
                    <w:t xml:space="preserve">功率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15"/>
                      <w:sz w:val="24"/>
                      <w:szCs w:val="24"/>
                      <w:highlight w:val="none"/>
                      <w:u w:val="single"/>
                      <w:lang w:val="en-US" w:eastAsia="zh-CN" w:bidi="ar-SA"/>
                    </w:rPr>
                    <w:t xml:space="preserve"> 瓦/个</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扬声器</w:t>
                  </w:r>
                  <w:r>
                    <w:rPr>
                      <w:rFonts w:hint="eastAsia" w:ascii="宋体" w:hAnsi="宋体" w:eastAsia="宋体" w:cs="宋体"/>
                      <w:i w:val="0"/>
                      <w:iCs w:val="0"/>
                      <w:color w:val="auto"/>
                      <w:spacing w:val="-3"/>
                      <w:sz w:val="24"/>
                      <w:szCs w:val="24"/>
                      <w:highlight w:val="none"/>
                      <w:u w:val="none"/>
                      <w:lang w:val="en-US" w:eastAsia="zh-CN" w:bidi="ar-SA"/>
                    </w:rPr>
                    <w:t xml:space="preserve">频率范围</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不低于（100Hz-8kHz）</w:t>
                  </w:r>
                  <w:r>
                    <w:rPr>
                      <w:rFonts w:hint="eastAsia" w:ascii="宋体" w:hAnsi="宋体" w:eastAsia="宋体" w:cs="宋体"/>
                      <w:i/>
                      <w:iCs/>
                      <w:color w:val="auto"/>
                      <w:spacing w:val="-6"/>
                      <w:sz w:val="24"/>
                      <w:szCs w:val="24"/>
                      <w:highlight w:val="none"/>
                      <w:u w:val="single"/>
                      <w:lang w:val="en-US" w:eastAsia="zh-CN" w:bidi="ar-SA"/>
                    </w:rPr>
                    <w:t xml:space="preserve">范围</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49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扬声器总</w:t>
                  </w:r>
                  <w:r>
                    <w:rPr>
                      <w:rFonts w:hint="eastAsia" w:ascii="宋体" w:hAnsi="宋体" w:eastAsia="宋体" w:cs="宋体"/>
                      <w:i w:val="0"/>
                      <w:iCs w:val="0"/>
                      <w:color w:val="auto"/>
                      <w:spacing w:val="-3"/>
                      <w:sz w:val="24"/>
                      <w:szCs w:val="24"/>
                      <w:highlight w:val="none"/>
                      <w:u w:val="none"/>
                      <w:lang w:val="en-US" w:eastAsia="zh-CN" w:bidi="ar-SA"/>
                    </w:rPr>
                    <w:t xml:space="preserve">谐波失真</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谐波失真在 </w:t>
                  </w:r>
                  <w:r>
                    <w:rPr>
                      <w:rFonts w:hint="eastAsia" w:ascii="宋体" w:hAnsi="宋体" w:eastAsia="宋体" w:cs="宋体"/>
                      <w:i/>
                      <w:iCs/>
                      <w:color w:val="auto"/>
                      <w:spacing w:val="-2"/>
                      <w:sz w:val="24"/>
                      <w:szCs w:val="24"/>
                      <w:highlight w:val="none"/>
                      <w:u w:val="single"/>
                      <w:lang w:val="en-US" w:eastAsia="zh-CN" w:bidi="ar-SA"/>
                    </w:rPr>
                    <w:t xml:space="preserve">100Hz-7kHz</w:t>
                  </w:r>
                  <w:r>
                    <w:rPr>
                      <w:rFonts w:hint="eastAsia" w:ascii="宋体" w:hAnsi="宋体" w:eastAsia="宋体" w:cs="宋体"/>
                      <w:i/>
                      <w:iCs/>
                      <w:color w:val="auto"/>
                      <w:spacing w:val="-10"/>
                      <w:sz w:val="24"/>
                      <w:szCs w:val="24"/>
                      <w:highlight w:val="none"/>
                      <w:u w:val="single"/>
                      <w:lang w:val="en-US" w:eastAsia="zh-CN" w:bidi="ar-SA"/>
                    </w:rPr>
                    <w:t xml:space="preserve"> 频率范围内不</w:t>
                  </w:r>
                  <w:r>
                    <w:rPr>
                      <w:rFonts w:hint="eastAsia" w:ascii="宋体" w:hAnsi="宋体" w:eastAsia="宋体" w:cs="宋体"/>
                      <w:i/>
                      <w:iCs/>
                      <w:color w:val="auto"/>
                      <w:spacing w:val="-14"/>
                      <w:sz w:val="24"/>
                      <w:szCs w:val="24"/>
                      <w:highlight w:val="none"/>
                      <w:u w:val="single"/>
                      <w:lang w:val="en-US" w:eastAsia="zh-CN" w:bidi="ar-SA"/>
                    </w:rPr>
                    <w:t xml:space="preserve">高于 </w:t>
                  </w:r>
                  <w:r>
                    <w:rPr>
                      <w:rFonts w:hint="eastAsia" w:ascii="宋体" w:hAnsi="宋体" w:eastAsia="宋体" w:cs="宋体"/>
                      <w:i/>
                      <w:iCs/>
                      <w:color w:val="auto"/>
                      <w:sz w:val="24"/>
                      <w:szCs w:val="24"/>
                      <w:highlight w:val="none"/>
                      <w:u w:val="single"/>
                      <w:lang w:val="en-US" w:eastAsia="zh-CN" w:bidi="ar-SA"/>
                    </w:rPr>
                    <w:t xml:space="preserve">10%</w:t>
                  </w:r>
                  <w:r/>
                </w:p>
              </w:tc>
            </w:tr>
            <w:tr>
              <w:trPr>
                <w:trHeight w:val="144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扬声器最</w:t>
                  </w:r>
                  <w:r>
                    <w:rPr>
                      <w:rFonts w:hint="eastAsia" w:ascii="宋体" w:hAnsi="宋体" w:eastAsia="宋体" w:cs="宋体"/>
                      <w:i w:val="0"/>
                      <w:iCs w:val="0"/>
                      <w:color w:val="auto"/>
                      <w:spacing w:val="-3"/>
                      <w:sz w:val="24"/>
                      <w:szCs w:val="24"/>
                      <w:highlight w:val="none"/>
                      <w:u w:val="none"/>
                      <w:lang w:val="en-US" w:eastAsia="zh-CN" w:bidi="ar-SA"/>
                    </w:rPr>
                    <w:t xml:space="preserve">大声压级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最大声压级在粉红噪声播放场景下，工</w:t>
                  </w:r>
                  <w:r>
                    <w:rPr>
                      <w:rFonts w:hint="eastAsia" w:ascii="宋体" w:hAnsi="宋体" w:eastAsia="宋体" w:cs="宋体"/>
                      <w:i/>
                      <w:iCs/>
                      <w:color w:val="auto"/>
                      <w:spacing w:val="-4"/>
                      <w:sz w:val="24"/>
                      <w:szCs w:val="24"/>
                      <w:highlight w:val="none"/>
                      <w:u w:val="single"/>
                      <w:lang w:val="en-US" w:eastAsia="zh-CN" w:bidi="ar-SA"/>
                    </w:rPr>
                    <w:t xml:space="preserve">作距离处声压级不低于 </w:t>
                  </w:r>
                  <w:r>
                    <w:rPr>
                      <w:rFonts w:hint="eastAsia" w:ascii="宋体" w:hAnsi="宋体" w:eastAsia="宋体" w:cs="宋体"/>
                      <w:i/>
                      <w:iCs/>
                      <w:color w:val="auto"/>
                      <w:sz w:val="24"/>
                      <w:szCs w:val="24"/>
                      <w:highlight w:val="none"/>
                      <w:u w:val="single"/>
                      <w:lang w:val="en-US" w:eastAsia="zh-CN" w:bidi="ar-SA"/>
                    </w:rPr>
                    <w:t xml:space="preserve">70dB</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键盘连接方式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有线或无线</w:t>
                  </w:r>
                  <w:r/>
                </w:p>
              </w:tc>
            </w:tr>
            <w:tr>
              <w:trPr>
                <w:trHeight w:val="168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键盘键</w:t>
                  </w:r>
                  <w:r>
                    <w:rPr>
                      <w:rFonts w:hint="eastAsia" w:ascii="宋体" w:hAnsi="宋体" w:eastAsia="宋体" w:cs="宋体"/>
                      <w:i w:val="0"/>
                      <w:iCs w:val="0"/>
                      <w:color w:val="auto"/>
                      <w:spacing w:val="-10"/>
                      <w:sz w:val="24"/>
                      <w:szCs w:val="24"/>
                      <w:highlight w:val="none"/>
                      <w:u w:val="none"/>
                      <w:lang w:val="en-US" w:eastAsia="zh-CN" w:bidi="ar-SA"/>
                    </w:rPr>
                    <w:t xml:space="preserve">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2.3mm</w:t>
                  </w:r>
                  <w:r>
                    <w:rPr>
                      <w:rFonts w:hint="eastAsia" w:ascii="宋体" w:hAnsi="宋体" w:eastAsia="宋体" w:cs="宋体"/>
                      <w:i/>
                      <w:iCs/>
                      <w:color w:val="auto"/>
                      <w:spacing w:val="-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w:t>
                  </w:r>
                  <w:r>
                    <w:rPr>
                      <w:rFonts w:hint="eastAsia" w:ascii="宋体" w:hAnsi="宋体" w:eastAsia="宋体" w:cs="宋体"/>
                      <w:i/>
                      <w:iCs/>
                      <w:color w:val="auto"/>
                      <w:spacing w:val="-2"/>
                      <w:sz w:val="24"/>
                      <w:szCs w:val="24"/>
                      <w:highlight w:val="none"/>
                      <w:u w:val="single"/>
                      <w:lang w:val="en-US" w:eastAsia="zh-CN" w:bidi="ar-SA"/>
                    </w:rPr>
                    <w:t xml:space="preserve"> 4.0mm</w:t>
                  </w:r>
                  <w:r/>
                </w:p>
              </w:tc>
            </w:tr>
            <w:tr>
              <w:trPr>
                <w:trHeight w:val="95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键盘按键压力</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按键压力应在 </w:t>
                  </w:r>
                  <w:r>
                    <w:rPr>
                      <w:rFonts w:hint="eastAsia" w:ascii="宋体" w:hAnsi="宋体" w:eastAsia="宋体" w:cs="宋体"/>
                      <w:i/>
                      <w:iCs/>
                      <w:color w:val="auto"/>
                      <w:sz w:val="24"/>
                      <w:szCs w:val="24"/>
                      <w:highlight w:val="none"/>
                      <w:u w:val="single"/>
                      <w:lang w:val="en-US" w:eastAsia="zh-CN" w:bidi="ar-SA"/>
                    </w:rPr>
                    <w:t xml:space="preserve">0.54</w:t>
                  </w:r>
                  <w:r>
                    <w:rPr>
                      <w:rFonts w:hint="eastAsia" w:ascii="宋体" w:hAnsi="宋体" w:eastAsia="宋体" w:cs="宋体"/>
                      <w:i/>
                      <w:iCs/>
                      <w:color w:val="auto"/>
                      <w:spacing w:val="-3"/>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N±0.14N</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有线键</w:t>
                  </w:r>
                  <w:r>
                    <w:rPr>
                      <w:rFonts w:hint="eastAsia" w:ascii="宋体" w:hAnsi="宋体" w:eastAsia="宋体" w:cs="宋体"/>
                      <w:i w:val="0"/>
                      <w:iCs w:val="0"/>
                      <w:color w:val="auto"/>
                      <w:spacing w:val="-3"/>
                      <w:sz w:val="24"/>
                      <w:szCs w:val="24"/>
                      <w:highlight w:val="none"/>
                      <w:u w:val="none"/>
                      <w:lang w:val="en-US" w:eastAsia="zh-CN" w:bidi="ar-SA"/>
                    </w:rPr>
                    <w:t xml:space="preserve">盘连接线</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≥1.5</w:t>
                  </w:r>
                  <w:r>
                    <w:rPr>
                      <w:rFonts w:hint="eastAsia" w:ascii="宋体" w:hAnsi="宋体" w:eastAsia="宋体" w:cs="宋体"/>
                      <w:i/>
                      <w:iCs/>
                      <w:color w:val="auto"/>
                      <w:spacing w:val="-26"/>
                      <w:sz w:val="24"/>
                      <w:szCs w:val="24"/>
                      <w:highlight w:val="none"/>
                      <w:u w:val="single"/>
                      <w:lang w:val="en-US" w:eastAsia="zh-CN" w:bidi="ar-SA"/>
                    </w:rPr>
                    <w:t xml:space="preserve"> 米</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键盘颜</w:t>
                  </w:r>
                  <w:r>
                    <w:rPr>
                      <w:rFonts w:hint="eastAsia" w:ascii="宋体" w:hAnsi="宋体" w:eastAsia="宋体" w:cs="宋体"/>
                      <w:i w:val="0"/>
                      <w:iCs w:val="0"/>
                      <w:color w:val="auto"/>
                      <w:spacing w:val="-10"/>
                      <w:sz w:val="24"/>
                      <w:szCs w:val="24"/>
                      <w:highlight w:val="none"/>
                      <w:u w:val="none"/>
                      <w:lang w:val="en-US" w:eastAsia="zh-CN" w:bidi="ar-SA"/>
                    </w:rPr>
                    <w:t xml:space="preserve">色</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黑色</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键盘其他要求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键盘外观结构、连接方式、主要功能、</w:t>
                  </w:r>
                  <w:r>
                    <w:rPr>
                      <w:rFonts w:hint="eastAsia" w:ascii="宋体" w:hAnsi="宋体" w:eastAsia="宋体" w:cs="宋体"/>
                      <w:i/>
                      <w:iCs/>
                      <w:color w:val="auto"/>
                      <w:spacing w:val="-13"/>
                      <w:sz w:val="24"/>
                      <w:szCs w:val="24"/>
                      <w:highlight w:val="none"/>
                      <w:u w:val="single"/>
                      <w:lang w:val="en-US" w:eastAsia="zh-CN" w:bidi="ar-SA"/>
                    </w:rPr>
                    <w:t xml:space="preserve">安全、电磁兼容性、可靠性应符合 </w:t>
                  </w:r>
                  <w:r>
                    <w:rPr>
                      <w:rFonts w:hint="eastAsia" w:ascii="宋体" w:hAnsi="宋体" w:eastAsia="宋体" w:cs="宋体"/>
                      <w:i/>
                      <w:iCs/>
                      <w:color w:val="auto"/>
                      <w:sz w:val="24"/>
                      <w:szCs w:val="24"/>
                      <w:highlight w:val="none"/>
                      <w:u w:val="single"/>
                      <w:lang w:val="en-US" w:eastAsia="zh-CN" w:bidi="ar-SA"/>
                    </w:rPr>
                    <w:t xml:space="preserve">GB/T 14081</w:t>
                  </w:r>
                  <w:r>
                    <w:rPr>
                      <w:rFonts w:hint="eastAsia" w:ascii="宋体" w:hAnsi="宋体" w:eastAsia="宋体" w:cs="宋体"/>
                      <w:i/>
                      <w:iCs/>
                      <w:color w:val="auto"/>
                      <w:spacing w:val="-8"/>
                      <w:sz w:val="24"/>
                      <w:szCs w:val="24"/>
                      <w:highlight w:val="none"/>
                      <w:u w:val="single"/>
                      <w:lang w:val="en-US" w:eastAsia="zh-CN" w:bidi="ar-SA"/>
                    </w:rPr>
                    <w:t xml:space="preserve"> 的相关规定</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鼠标连接方式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无线</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有线鼠</w:t>
                  </w:r>
                  <w:r>
                    <w:rPr>
                      <w:rFonts w:hint="eastAsia" w:ascii="宋体" w:hAnsi="宋体" w:eastAsia="宋体" w:cs="宋体"/>
                      <w:i w:val="0"/>
                      <w:iCs w:val="0"/>
                      <w:color w:val="auto"/>
                      <w:spacing w:val="-3"/>
                      <w:sz w:val="24"/>
                      <w:szCs w:val="24"/>
                      <w:highlight w:val="none"/>
                      <w:u w:val="none"/>
                      <w:lang w:val="en-US" w:eastAsia="zh-CN" w:bidi="ar-SA"/>
                    </w:rPr>
                    <w:t xml:space="preserve">标连接线</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w:t>
                  </w:r>
                  <w:r/>
                </w:p>
              </w:tc>
            </w:tr>
            <w:tr>
              <w:trPr>
                <w:trHeight w:val="95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59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鼠标 </w:t>
                  </w:r>
                  <w:r>
                    <w:rPr>
                      <w:rFonts w:hint="eastAsia" w:ascii="宋体" w:hAnsi="宋体" w:eastAsia="宋体" w:cs="宋体"/>
                      <w:i w:val="0"/>
                      <w:iCs w:val="0"/>
                      <w:color w:val="auto"/>
                      <w:spacing w:val="-2"/>
                      <w:sz w:val="24"/>
                      <w:szCs w:val="24"/>
                      <w:highlight w:val="none"/>
                      <w:u w:val="none"/>
                      <w:lang w:val="en-US" w:eastAsia="zh-CN" w:bidi="ar-SA"/>
                    </w:rPr>
                    <w:t xml:space="preserve">DPI</w:t>
                  </w:r>
                  <w:r>
                    <w:rPr>
                      <w:rFonts w:hint="eastAsia" w:ascii="宋体" w:hAnsi="宋体" w:eastAsia="宋体" w:cs="宋体"/>
                      <w:i w:val="0"/>
                      <w:iCs w:val="0"/>
                      <w:color w:val="auto"/>
                      <w:spacing w:val="-17"/>
                      <w:sz w:val="24"/>
                      <w:szCs w:val="24"/>
                      <w:highlight w:val="none"/>
                      <w:u w:val="none"/>
                      <w:lang w:val="en-US" w:eastAsia="zh-CN" w:bidi="ar-SA"/>
                    </w:rPr>
                    <w:t xml:space="preserve"> 分辨</w:t>
                  </w:r>
                  <w:r>
                    <w:rPr>
                      <w:rFonts w:hint="eastAsia" w:ascii="宋体" w:hAnsi="宋体" w:eastAsia="宋体" w:cs="宋体"/>
                      <w:i w:val="0"/>
                      <w:iCs w:val="0"/>
                      <w:color w:val="auto"/>
                      <w:spacing w:val="-10"/>
                      <w:sz w:val="24"/>
                      <w:szCs w:val="24"/>
                      <w:highlight w:val="none"/>
                      <w:u w:val="none"/>
                      <w:lang w:val="en-US" w:eastAsia="zh-CN" w:bidi="ar-SA"/>
                    </w:rPr>
                    <w:t xml:space="preserve">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800~1600</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鼠标颜色</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黑色</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鼠标其他要求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26245</w:t>
                  </w:r>
                  <w:r>
                    <w:rPr>
                      <w:rFonts w:hint="eastAsia" w:ascii="宋体" w:hAnsi="宋体" w:eastAsia="宋体" w:cs="宋体"/>
                      <w:i/>
                      <w:iCs/>
                      <w:color w:val="auto"/>
                      <w:spacing w:val="-10"/>
                      <w:sz w:val="24"/>
                      <w:szCs w:val="24"/>
                      <w:highlight w:val="none"/>
                      <w:u w:val="single"/>
                      <w:lang w:val="en-US" w:eastAsia="zh-CN" w:bidi="ar-SA"/>
                    </w:rPr>
                    <w:t xml:space="preserve"> 的相关规定</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内置光驱</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支持内置光驱</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网络</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有线网卡数量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≥1</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无线网卡及天线数</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单无线网卡天线数</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外部</w:t>
                  </w:r>
                  <w:r>
                    <w:rPr>
                      <w:rFonts w:hint="eastAsia" w:ascii="宋体" w:hAnsi="宋体" w:eastAsia="宋体" w:cs="宋体"/>
                      <w:i w:val="0"/>
                      <w:iCs w:val="0"/>
                      <w:color w:val="auto"/>
                      <w:spacing w:val="-6"/>
                      <w:sz w:val="24"/>
                      <w:szCs w:val="24"/>
                      <w:highlight w:val="none"/>
                      <w:u w:val="none"/>
                      <w:lang w:val="en-US" w:eastAsia="zh-CN" w:bidi="ar-SA"/>
                    </w:rPr>
                    <w:t xml:space="preserve">接口</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USB</w:t>
                  </w:r>
                  <w:r>
                    <w:rPr>
                      <w:rFonts w:hint="eastAsia" w:ascii="宋体" w:hAnsi="宋体" w:eastAsia="宋体" w:cs="宋体"/>
                      <w:i w:val="0"/>
                      <w:iCs w:val="0"/>
                      <w:color w:val="auto"/>
                      <w:spacing w:val="-24"/>
                      <w:sz w:val="24"/>
                      <w:szCs w:val="24"/>
                      <w:highlight w:val="none"/>
                      <w:u w:val="none"/>
                      <w:lang w:val="en-US" w:eastAsia="zh-CN" w:bidi="ar-SA"/>
                    </w:rPr>
                    <w:t xml:space="preserve"> 接</w:t>
                  </w:r>
                  <w:r>
                    <w:rPr>
                      <w:rFonts w:hint="eastAsia" w:ascii="宋体" w:hAnsi="宋体" w:eastAsia="宋体" w:cs="宋体"/>
                      <w:i w:val="0"/>
                      <w:iCs w:val="0"/>
                      <w:color w:val="auto"/>
                      <w:spacing w:val="-4"/>
                      <w:sz w:val="24"/>
                      <w:szCs w:val="24"/>
                      <w:highlight w:val="none"/>
                      <w:u w:val="none"/>
                      <w:lang w:val="en-US" w:eastAsia="zh-CN" w:bidi="ar-SA"/>
                    </w:rPr>
                    <w:t xml:space="preserve">口数量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≥8</w:t>
                  </w:r>
                  <w:r>
                    <w:rPr>
                      <w:rFonts w:hint="eastAsia" w:ascii="宋体" w:hAnsi="宋体" w:eastAsia="宋体" w:cs="宋体"/>
                      <w:i/>
                      <w:iCs/>
                      <w:color w:val="auto"/>
                      <w:spacing w:val="-9"/>
                      <w:sz w:val="24"/>
                      <w:szCs w:val="24"/>
                      <w:highlight w:val="none"/>
                      <w:u w:val="single"/>
                      <w:lang w:val="en-US" w:eastAsia="zh-CN" w:bidi="ar-SA"/>
                    </w:rPr>
                    <w:t xml:space="preserve">，机箱前板至少包括 </w:t>
                  </w:r>
                  <w:r>
                    <w:rPr>
                      <w:rFonts w:hint="eastAsia" w:ascii="宋体" w:hAnsi="宋体" w:eastAsia="宋体" w:cs="宋体"/>
                      <w:i/>
                      <w:iCs/>
                      <w:color w:val="auto"/>
                      <w:spacing w:val="-4"/>
                      <w:sz w:val="24"/>
                      <w:szCs w:val="24"/>
                      <w:highlight w:val="none"/>
                      <w:u w:val="single"/>
                      <w:lang w:val="en-US" w:eastAsia="zh-CN" w:bidi="ar-SA"/>
                    </w:rPr>
                    <w:t xml:space="preserve">2</w:t>
                  </w:r>
                  <w:r>
                    <w:rPr>
                      <w:rFonts w:hint="eastAsia" w:ascii="宋体" w:hAnsi="宋体" w:eastAsia="宋体" w:cs="宋体"/>
                      <w:i/>
                      <w:iCs/>
                      <w:color w:val="auto"/>
                      <w:spacing w:val="-32"/>
                      <w:sz w:val="24"/>
                      <w:szCs w:val="24"/>
                      <w:highlight w:val="none"/>
                      <w:u w:val="single"/>
                      <w:lang w:val="en-US" w:eastAsia="zh-CN" w:bidi="ar-SA"/>
                    </w:rPr>
                    <w:t xml:space="preserve"> 个 </w:t>
                  </w:r>
                  <w:r>
                    <w:rPr>
                      <w:rFonts w:hint="eastAsia" w:ascii="宋体" w:hAnsi="宋体" w:eastAsia="宋体" w:cs="宋体"/>
                      <w:i/>
                      <w:iCs/>
                      <w:color w:val="auto"/>
                      <w:spacing w:val="-4"/>
                      <w:sz w:val="24"/>
                      <w:szCs w:val="24"/>
                      <w:highlight w:val="none"/>
                      <w:u w:val="single"/>
                      <w:lang w:val="en-US" w:eastAsia="zh-CN" w:bidi="ar-SA"/>
                    </w:rPr>
                    <w:t xml:space="preserve">USB3.0</w:t>
                  </w:r>
                  <w:r>
                    <w:rPr>
                      <w:rFonts w:hint="eastAsia" w:ascii="宋体" w:hAnsi="宋体" w:eastAsia="宋体" w:cs="宋体"/>
                      <w:i/>
                      <w:iCs/>
                      <w:color w:val="auto"/>
                      <w:spacing w:val="-24"/>
                      <w:sz w:val="24"/>
                      <w:szCs w:val="24"/>
                      <w:highlight w:val="none"/>
                      <w:u w:val="single"/>
                      <w:lang w:val="en-US" w:eastAsia="zh-CN" w:bidi="ar-SA"/>
                    </w:rPr>
                    <w:t xml:space="preserve"> 及</w:t>
                  </w:r>
                  <w:r>
                    <w:rPr>
                      <w:rFonts w:hint="eastAsia" w:ascii="宋体" w:hAnsi="宋体" w:eastAsia="宋体" w:cs="宋体"/>
                      <w:i/>
                      <w:iCs/>
                      <w:color w:val="auto"/>
                      <w:spacing w:val="-4"/>
                      <w:sz w:val="24"/>
                      <w:szCs w:val="24"/>
                      <w:highlight w:val="none"/>
                      <w:u w:val="single"/>
                      <w:lang w:val="en-US" w:eastAsia="zh-CN" w:bidi="ar-SA"/>
                    </w:rPr>
                    <w:t xml:space="preserve">以上接口</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USB</w:t>
                  </w:r>
                  <w:r>
                    <w:rPr>
                      <w:rFonts w:hint="eastAsia" w:ascii="宋体" w:hAnsi="宋体" w:eastAsia="宋体" w:cs="宋体"/>
                      <w:i w:val="0"/>
                      <w:iCs w:val="0"/>
                      <w:color w:val="auto"/>
                      <w:spacing w:val="-14"/>
                      <w:sz w:val="24"/>
                      <w:szCs w:val="24"/>
                      <w:highlight w:val="none"/>
                      <w:u w:val="none"/>
                      <w:lang w:val="en-US" w:eastAsia="zh-CN" w:bidi="ar-SA"/>
                    </w:rPr>
                    <w:t xml:space="preserve"> 母座</w:t>
                  </w:r>
                  <w:r>
                    <w:rPr>
                      <w:rFonts w:hint="eastAsia" w:ascii="宋体" w:hAnsi="宋体" w:eastAsia="宋体" w:cs="宋体"/>
                      <w:i w:val="0"/>
                      <w:iCs w:val="0"/>
                      <w:color w:val="auto"/>
                      <w:spacing w:val="-3"/>
                      <w:sz w:val="24"/>
                      <w:szCs w:val="24"/>
                      <w:highlight w:val="none"/>
                      <w:u w:val="none"/>
                      <w:lang w:val="en-US" w:eastAsia="zh-CN" w:bidi="ar-SA"/>
                    </w:rPr>
                    <w:t xml:space="preserve">接口要求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机箱前面板额外预</w:t>
                  </w:r>
                  <w:r>
                    <w:rPr>
                      <w:rFonts w:hint="eastAsia" w:ascii="宋体" w:hAnsi="宋体" w:eastAsia="宋体" w:cs="宋体"/>
                      <w:i/>
                      <w:iCs/>
                      <w:color w:val="auto"/>
                      <w:spacing w:val="28"/>
                      <w:sz w:val="24"/>
                      <w:szCs w:val="24"/>
                      <w:highlight w:val="none"/>
                      <w:u w:val="single"/>
                      <w:lang w:val="en-US" w:eastAsia="zh-CN" w:bidi="ar-SA"/>
                    </w:rPr>
                    <w:t xml:space="preserve">留</w:t>
                  </w:r>
                  <w:r>
                    <w:rPr>
                      <w:rFonts w:hint="eastAsia" w:ascii="宋体" w:hAnsi="宋体" w:eastAsia="宋体" w:cs="宋体"/>
                      <w:i/>
                      <w:iCs/>
                      <w:color w:val="auto"/>
                      <w:sz w:val="24"/>
                      <w:szCs w:val="24"/>
                      <w:highlight w:val="none"/>
                      <w:u w:val="single"/>
                      <w:lang w:val="en-US" w:eastAsia="zh-CN" w:bidi="ar-SA"/>
                    </w:rPr>
                    <w:t xml:space="preserve">2</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个专</w:t>
                  </w:r>
                  <w:r>
                    <w:rPr>
                      <w:rFonts w:hint="eastAsia" w:ascii="宋体" w:hAnsi="宋体" w:eastAsia="宋体" w:cs="宋体"/>
                      <w:i/>
                      <w:iCs/>
                      <w:color w:val="auto"/>
                      <w:spacing w:val="28"/>
                      <w:sz w:val="24"/>
                      <w:szCs w:val="24"/>
                      <w:highlight w:val="none"/>
                      <w:u w:val="single"/>
                      <w:lang w:val="en-US" w:eastAsia="zh-CN" w:bidi="ar-SA"/>
                    </w:rPr>
                    <w:t xml:space="preserve">用</w:t>
                  </w:r>
                  <w:r>
                    <w:rPr>
                      <w:rFonts w:hint="eastAsia" w:ascii="宋体" w:hAnsi="宋体" w:eastAsia="宋体" w:cs="宋体"/>
                      <w:i/>
                      <w:iCs/>
                      <w:color w:val="auto"/>
                      <w:sz w:val="24"/>
                      <w:szCs w:val="24"/>
                      <w:highlight w:val="none"/>
                      <w:u w:val="single"/>
                      <w:lang w:val="en-US" w:eastAsia="zh-CN" w:bidi="ar-SA"/>
                    </w:rPr>
                    <w:t xml:space="preserve">USB</w:t>
                  </w:r>
                  <w:r>
                    <w:rPr>
                      <w:rFonts w:hint="eastAsia" w:ascii="宋体" w:hAnsi="宋体" w:eastAsia="宋体" w:cs="宋体"/>
                      <w:i/>
                      <w:iCs/>
                      <w:color w:val="auto"/>
                      <w:spacing w:val="-1"/>
                      <w:sz w:val="24"/>
                      <w:szCs w:val="24"/>
                      <w:highlight w:val="none"/>
                      <w:u w:val="single"/>
                      <w:lang w:val="en-US" w:eastAsia="zh-CN" w:bidi="ar-SA"/>
                    </w:rPr>
                    <w:t xml:space="preserve"> 母座</w:t>
                  </w:r>
                  <w:r>
                    <w:rPr>
                      <w:rFonts w:hint="eastAsia" w:ascii="宋体" w:hAnsi="宋体" w:eastAsia="宋体" w:cs="宋体"/>
                      <w:i/>
                      <w:iCs/>
                      <w:color w:val="auto"/>
                      <w:sz w:val="24"/>
                      <w:szCs w:val="24"/>
                      <w:highlight w:val="none"/>
                      <w:u w:val="single"/>
                      <w:lang w:val="en-US" w:eastAsia="zh-CN" w:bidi="ar-SA"/>
                    </w:rPr>
                    <w:t xml:space="preserve">接口孔位和</w:t>
                  </w:r>
                  <w:r>
                    <w:rPr>
                      <w:rFonts w:hint="eastAsia" w:ascii="宋体" w:hAnsi="宋体" w:eastAsia="宋体" w:cs="宋体"/>
                      <w:i/>
                      <w:iCs/>
                      <w:color w:val="auto"/>
                      <w:spacing w:val="-1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1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个通</w:t>
                  </w:r>
                  <w:r>
                    <w:rPr>
                      <w:rFonts w:hint="eastAsia" w:ascii="宋体" w:hAnsi="宋体" w:eastAsia="宋体" w:cs="宋体"/>
                      <w:i/>
                      <w:iCs/>
                      <w:color w:val="auto"/>
                      <w:spacing w:val="33"/>
                      <w:sz w:val="24"/>
                      <w:szCs w:val="24"/>
                      <w:highlight w:val="none"/>
                      <w:u w:val="single"/>
                      <w:lang w:val="en-US" w:eastAsia="zh-CN" w:bidi="ar-SA"/>
                    </w:rPr>
                    <w:t xml:space="preserve">用</w:t>
                  </w:r>
                  <w:r>
                    <w:rPr>
                      <w:rFonts w:hint="eastAsia" w:ascii="宋体" w:hAnsi="宋体" w:eastAsia="宋体" w:cs="宋体"/>
                      <w:i/>
                      <w:iCs/>
                      <w:color w:val="auto"/>
                      <w:sz w:val="24"/>
                      <w:szCs w:val="24"/>
                      <w:highlight w:val="none"/>
                      <w:u w:val="single"/>
                      <w:lang w:val="en-US" w:eastAsia="zh-CN" w:bidi="ar-SA"/>
                    </w:rPr>
                    <w:t xml:space="preserve">A</w:t>
                  </w:r>
                  <w:r>
                    <w:rPr>
                      <w:rFonts w:hint="eastAsia" w:ascii="宋体" w:hAnsi="宋体" w:eastAsia="宋体" w:cs="宋体"/>
                      <w:i/>
                      <w:iCs/>
                      <w:color w:val="auto"/>
                      <w:spacing w:val="9"/>
                      <w:sz w:val="24"/>
                      <w:szCs w:val="24"/>
                      <w:highlight w:val="none"/>
                      <w:u w:val="single"/>
                      <w:lang w:val="en-US" w:eastAsia="zh-CN" w:bidi="ar-SA"/>
                    </w:rPr>
                    <w:t xml:space="preserve"> 型</w:t>
                  </w:r>
                  <w:r>
                    <w:rPr>
                      <w:rFonts w:hint="eastAsia" w:ascii="宋体" w:hAnsi="宋体" w:eastAsia="宋体" w:cs="宋体"/>
                      <w:i/>
                      <w:iCs/>
                      <w:color w:val="auto"/>
                      <w:sz w:val="24"/>
                      <w:szCs w:val="24"/>
                      <w:highlight w:val="none"/>
                      <w:u w:val="single"/>
                      <w:lang w:val="en-US" w:eastAsia="zh-CN" w:bidi="ar-SA"/>
                    </w:rPr>
                    <w:t xml:space="preserve">USB</w:t>
                  </w:r>
                  <w:r>
                    <w:rPr>
                      <w:rFonts w:hint="eastAsia" w:ascii="宋体" w:hAnsi="宋体" w:eastAsia="宋体" w:cs="宋体"/>
                      <w:i/>
                      <w:iCs/>
                      <w:color w:val="auto"/>
                      <w:spacing w:val="-1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母座接口</w:t>
                  </w:r>
                  <w:r>
                    <w:rPr>
                      <w:rFonts w:hint="eastAsia" w:ascii="宋体" w:hAnsi="宋体" w:eastAsia="宋体" w:cs="宋体"/>
                      <w:i/>
                      <w:iCs/>
                      <w:color w:val="auto"/>
                      <w:spacing w:val="-10"/>
                      <w:sz w:val="24"/>
                      <w:szCs w:val="24"/>
                      <w:highlight w:val="none"/>
                      <w:u w:val="single"/>
                      <w:lang w:val="en-US" w:eastAsia="zh-CN" w:bidi="ar-SA"/>
                    </w:rPr>
                    <w:t xml:space="preserve">孔位，采用横向排列中心间距应不小于</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4"/>
                      <w:sz w:val="24"/>
                      <w:szCs w:val="24"/>
                      <w:highlight w:val="none"/>
                      <w:u w:val="single"/>
                      <w:lang w:val="en-US" w:eastAsia="zh-CN" w:bidi="ar-SA"/>
                    </w:rPr>
                    <w:t xml:space="preserve">27mm</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视频接口数量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≥1</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69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音频接口数量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≥1</w:t>
                  </w:r>
                  <w:r/>
                </w:p>
              </w:tc>
            </w:tr>
            <w:tr>
              <w:trPr>
                <w:trHeight w:val="71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存储卡接口数量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 xml:space="preserve">/</w:t>
                  </w:r>
                  <w:r/>
                </w:p>
              </w:tc>
            </w:tr>
            <w:tr>
              <w:trPr>
                <w:trHeight w:val="19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w:t>
                  </w:r>
                  <w:r>
                    <w:rPr>
                      <w:rFonts w:hint="eastAsia" w:ascii="宋体" w:hAnsi="宋体" w:eastAsia="宋体" w:cs="宋体"/>
                      <w:i w:val="0"/>
                      <w:iCs w:val="0"/>
                      <w:color w:val="auto"/>
                      <w:spacing w:val="-6"/>
                      <w:sz w:val="24"/>
                      <w:szCs w:val="24"/>
                      <w:highlight w:val="none"/>
                      <w:u w:val="none"/>
                      <w:lang w:val="en-US" w:eastAsia="zh-CN" w:bidi="ar-SA"/>
                    </w:rPr>
                    <w:t xml:space="preserve">基础</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整机外</w:t>
                  </w:r>
                  <w:r>
                    <w:rPr>
                      <w:rFonts w:hint="eastAsia" w:ascii="宋体" w:hAnsi="宋体" w:eastAsia="宋体" w:cs="宋体"/>
                      <w:i w:val="0"/>
                      <w:iCs w:val="0"/>
                      <w:color w:val="auto"/>
                      <w:spacing w:val="-10"/>
                      <w:sz w:val="24"/>
                      <w:szCs w:val="24"/>
                      <w:highlight w:val="none"/>
                      <w:u w:val="none"/>
                      <w:lang w:val="en-US" w:eastAsia="zh-CN" w:bidi="ar-SA"/>
                    </w:rPr>
                    <w:t xml:space="preserve">观</w:t>
                  </w:r>
                  <w:r/>
                </w:p>
              </w:tc>
              <w:tc>
                <w:tcPr>
                  <w:tcW w:w="3214" w:type="dxa"/>
                  <w:vAlign w:val="center"/>
                  <w:textDirection w:val="lrTb"/>
                  <w:noWrap w:val="false"/>
                </w:tcPr>
                <w:p>
                  <w:pPr>
                    <w:numPr>
                      <w:ilvl w:val="0"/>
                      <w:numId w:val="3"/>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产品表面不应有凹痕、划伤、裂缝、</w:t>
                  </w:r>
                  <w:r>
                    <w:rPr>
                      <w:rFonts w:hint="eastAsia" w:ascii="宋体" w:hAnsi="宋体" w:eastAsia="宋体" w:cs="宋体"/>
                      <w:i/>
                      <w:iCs/>
                      <w:color w:val="auto"/>
                      <w:spacing w:val="-2"/>
                      <w:sz w:val="24"/>
                      <w:szCs w:val="24"/>
                      <w:highlight w:val="none"/>
                      <w:u w:val="single"/>
                      <w:lang w:val="en-US" w:eastAsia="zh-CN" w:bidi="ar-SA"/>
                    </w:rPr>
                    <w:t xml:space="preserve">变形和污染等。表面涂层均匀，不应起泡、龟裂、脱落和磨损，金属零部件无锈蚀及其它机械损伤；</w:t>
                  </w:r>
                  <w:r/>
                </w:p>
                <w:p>
                  <w:pPr>
                    <w:numPr>
                      <w:ilvl w:val="0"/>
                      <w:numId w:val="3"/>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产品表面说明功能的文字、符号、标志，应清晰、端正、牢固；</w:t>
                  </w:r>
                  <w:r/>
                </w:p>
                <w:p>
                  <w:pPr>
                    <w:numPr>
                      <w:ilvl w:val="0"/>
                      <w:numId w:val="3"/>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宜在产品显著位置提供运行状态指</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示功能，并由生产厂商提供详细参数</w:t>
                  </w:r>
                  <w:r/>
                </w:p>
              </w:tc>
            </w:tr>
            <w:tr>
              <w:trPr>
                <w:trHeight w:val="8712"/>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整机结</w:t>
                  </w:r>
                  <w:r>
                    <w:rPr>
                      <w:rFonts w:hint="eastAsia" w:ascii="宋体" w:hAnsi="宋体" w:eastAsia="宋体" w:cs="宋体"/>
                      <w:i w:val="0"/>
                      <w:iCs w:val="0"/>
                      <w:color w:val="auto"/>
                      <w:spacing w:val="-10"/>
                      <w:sz w:val="24"/>
                      <w:szCs w:val="24"/>
                      <w:highlight w:val="none"/>
                      <w:u w:val="none"/>
                      <w:lang w:val="en-US" w:eastAsia="zh-CN" w:bidi="ar-SA"/>
                    </w:rPr>
                    <w:t xml:space="preserve">构</w:t>
                  </w:r>
                  <w:r/>
                </w:p>
              </w:tc>
              <w:tc>
                <w:tcPr>
                  <w:tcW w:w="3214" w:type="dxa"/>
                  <w:vAlign w:val="center"/>
                  <w:textDirection w:val="lrTb"/>
                  <w:noWrap w:val="false"/>
                </w:tcPr>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机箱应符合</w:t>
                  </w:r>
                  <w:r>
                    <w:rPr>
                      <w:rFonts w:hint="eastAsia" w:ascii="宋体" w:hAnsi="宋体" w:eastAsia="宋体" w:cs="宋体"/>
                      <w:i/>
                      <w:iCs/>
                      <w:color w:val="auto"/>
                      <w:spacing w:val="-1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14"/>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4208、GB/T</w:t>
                  </w:r>
                  <w:r>
                    <w:rPr>
                      <w:rFonts w:hint="eastAsia" w:ascii="宋体" w:hAnsi="宋体" w:eastAsia="宋体" w:cs="宋体"/>
                      <w:i/>
                      <w:iCs/>
                      <w:color w:val="auto"/>
                      <w:spacing w:val="-1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26246</w:t>
                  </w:r>
                  <w:r>
                    <w:rPr>
                      <w:rFonts w:hint="eastAsia" w:ascii="宋体" w:hAnsi="宋体" w:eastAsia="宋体" w:cs="宋体"/>
                      <w:i/>
                      <w:iCs/>
                      <w:color w:val="auto"/>
                      <w:spacing w:val="-2"/>
                      <w:sz w:val="24"/>
                      <w:szCs w:val="24"/>
                      <w:highlight w:val="none"/>
                      <w:u w:val="single"/>
                      <w:lang w:val="en-US" w:eastAsia="zh-CN" w:bidi="ar-SA"/>
                    </w:rPr>
                    <w:t xml:space="preserve">的相关规定；</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产品内部结构应符合通用部件的安</w:t>
                  </w:r>
                  <w:r>
                    <w:rPr>
                      <w:rFonts w:hint="eastAsia" w:ascii="宋体" w:hAnsi="宋体" w:eastAsia="宋体" w:cs="宋体"/>
                      <w:i/>
                      <w:iCs/>
                      <w:color w:val="auto"/>
                      <w:spacing w:val="-4"/>
                      <w:sz w:val="24"/>
                      <w:szCs w:val="24"/>
                      <w:highlight w:val="none"/>
                      <w:u w:val="single"/>
                      <w:lang w:val="en-US" w:eastAsia="zh-CN" w:bidi="ar-SA"/>
                    </w:rPr>
                    <w:t xml:space="preserve">装需要；</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所有输入输出接口应符合相关国家或行业标准；</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产品零部件应紧固无松动，可插拔部件应可靠连接，开关、按钮和其它控制部件应灵活可靠，布局应方便使用；</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所有 I/O 连接器及需插接线缆的部</w:t>
                  </w:r>
                  <w:r>
                    <w:rPr>
                      <w:rFonts w:hint="eastAsia" w:ascii="宋体" w:hAnsi="宋体" w:eastAsia="宋体" w:cs="宋体"/>
                      <w:i/>
                      <w:iCs/>
                      <w:color w:val="auto"/>
                      <w:spacing w:val="-8"/>
                      <w:sz w:val="24"/>
                      <w:szCs w:val="24"/>
                      <w:highlight w:val="none"/>
                      <w:u w:val="single"/>
                      <w:lang w:val="en-US" w:eastAsia="zh-CN" w:bidi="ar-SA"/>
                    </w:rPr>
                    <w:t xml:space="preserve">位应预留用户操作空间，方便插拔解锁</w:t>
                  </w:r>
                  <w:r>
                    <w:rPr>
                      <w:rFonts w:hint="eastAsia" w:ascii="宋体" w:hAnsi="宋体" w:eastAsia="宋体" w:cs="宋体"/>
                      <w:i/>
                      <w:iCs/>
                      <w:color w:val="auto"/>
                      <w:spacing w:val="-2"/>
                      <w:sz w:val="24"/>
                      <w:szCs w:val="24"/>
                      <w:highlight w:val="none"/>
                      <w:u w:val="single"/>
                      <w:lang w:val="en-US" w:eastAsia="zh-CN" w:bidi="ar-SA"/>
                    </w:rPr>
                    <w:t xml:space="preserve">与插拔线缆；</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可插拔板卡插槽部位应预留安装、拆卸或更换板卡空间；</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拆装可能接触到的金属剪口或金属尖角部位应做防划伤处理，以保证安</w:t>
                  </w:r>
                  <w:r>
                    <w:rPr>
                      <w:rFonts w:hint="eastAsia" w:ascii="宋体" w:hAnsi="宋体" w:eastAsia="宋体" w:cs="宋体"/>
                      <w:i/>
                      <w:iCs/>
                      <w:color w:val="auto"/>
                      <w:spacing w:val="-6"/>
                      <w:sz w:val="24"/>
                      <w:szCs w:val="24"/>
                      <w:highlight w:val="none"/>
                      <w:u w:val="single"/>
                      <w:lang w:val="en-US" w:eastAsia="zh-CN" w:bidi="ar-SA"/>
                    </w:rPr>
                    <w:t xml:space="preserve">全；</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整机内部走线应规整，固线结构和</w:t>
                  </w:r>
                  <w:r>
                    <w:rPr>
                      <w:rFonts w:hint="eastAsia" w:ascii="宋体" w:hAnsi="宋体" w:eastAsia="宋体" w:cs="宋体"/>
                      <w:i/>
                      <w:iCs/>
                      <w:color w:val="auto"/>
                      <w:spacing w:val="-7"/>
                      <w:sz w:val="24"/>
                      <w:szCs w:val="24"/>
                      <w:highlight w:val="none"/>
                      <w:u w:val="single"/>
                      <w:lang w:val="en-US" w:eastAsia="zh-CN" w:bidi="ar-SA"/>
                    </w:rPr>
                    <w:t xml:space="preserve">位置要合理可靠并做防割线处理，需便</w:t>
                  </w:r>
                  <w:r>
                    <w:rPr>
                      <w:rFonts w:hint="eastAsia" w:ascii="宋体" w:hAnsi="宋体" w:eastAsia="宋体" w:cs="宋体"/>
                      <w:i/>
                      <w:iCs/>
                      <w:color w:val="auto"/>
                      <w:spacing w:val="-9"/>
                      <w:sz w:val="24"/>
                      <w:szCs w:val="24"/>
                      <w:highlight w:val="none"/>
                      <w:u w:val="single"/>
                      <w:lang w:val="en-US" w:eastAsia="zh-CN" w:bidi="ar-SA"/>
                    </w:rPr>
                    <w:t xml:space="preserve">于理线和插拔操作，走线应不影响系统</w:t>
                  </w:r>
                  <w:r>
                    <w:rPr>
                      <w:rFonts w:hint="eastAsia" w:ascii="宋体" w:hAnsi="宋体" w:eastAsia="宋体" w:cs="宋体"/>
                      <w:i/>
                      <w:iCs/>
                      <w:color w:val="auto"/>
                      <w:spacing w:val="-2"/>
                      <w:sz w:val="24"/>
                      <w:szCs w:val="24"/>
                      <w:highlight w:val="none"/>
                      <w:u w:val="single"/>
                      <w:lang w:val="en-US" w:eastAsia="zh-CN" w:bidi="ar-SA"/>
                    </w:rPr>
                    <w:t xml:space="preserve">各主要部件组装和拆卸；</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如需通过孔走线，过线孔应做防割</w:t>
                  </w:r>
                  <w:r>
                    <w:rPr>
                      <w:rFonts w:hint="eastAsia" w:ascii="宋体" w:hAnsi="宋体" w:eastAsia="宋体" w:cs="宋体"/>
                      <w:i/>
                      <w:iCs/>
                      <w:color w:val="auto"/>
                      <w:spacing w:val="-4"/>
                      <w:sz w:val="24"/>
                      <w:szCs w:val="24"/>
                      <w:highlight w:val="none"/>
                      <w:u w:val="single"/>
                      <w:lang w:val="en-US" w:eastAsia="zh-CN" w:bidi="ar-SA"/>
                    </w:rPr>
                    <w:t xml:space="preserve">线处理；</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各插头位置和插拔方向应合理，应做到插拔无障碍设计，具备防呆设计，有效避免误操作；</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各主要部件拆装无障碍，使用常规工具拆装，无特殊拆装工具需求；</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各主要部件拆装步骤要少，各自拆装需避免相互干扰；</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对于整机或零部件外表面为高亮面</w:t>
                  </w:r>
                  <w:r>
                    <w:rPr>
                      <w:rFonts w:hint="eastAsia" w:ascii="宋体" w:hAnsi="宋体" w:eastAsia="宋体" w:cs="宋体"/>
                      <w:i/>
                      <w:iCs/>
                      <w:color w:val="auto"/>
                      <w:spacing w:val="-16"/>
                      <w:sz w:val="24"/>
                      <w:szCs w:val="24"/>
                      <w:highlight w:val="none"/>
                      <w:u w:val="single"/>
                      <w:lang w:val="en-US" w:eastAsia="zh-CN" w:bidi="ar-SA"/>
                    </w:rPr>
                    <w:t xml:space="preserve">的，应粘贴保护膜，保护膜需粘贴牢固，</w:t>
                  </w:r>
                  <w:r>
                    <w:rPr>
                      <w:rFonts w:hint="eastAsia" w:ascii="宋体" w:hAnsi="宋体" w:eastAsia="宋体" w:cs="宋体"/>
                      <w:i/>
                      <w:iCs/>
                      <w:color w:val="auto"/>
                      <w:spacing w:val="-2"/>
                      <w:sz w:val="24"/>
                      <w:szCs w:val="24"/>
                      <w:highlight w:val="none"/>
                      <w:u w:val="single"/>
                      <w:lang w:val="en-US" w:eastAsia="zh-CN" w:bidi="ar-SA"/>
                    </w:rPr>
                    <w:t xml:space="preserve">运输、组装等过程不易脱落，撕下无残</w:t>
                  </w:r>
                  <w:r>
                    <w:rPr>
                      <w:rFonts w:hint="eastAsia" w:ascii="宋体" w:hAnsi="宋体" w:eastAsia="宋体" w:cs="宋体"/>
                      <w:i/>
                      <w:iCs/>
                      <w:color w:val="auto"/>
                      <w:spacing w:val="-6"/>
                      <w:sz w:val="24"/>
                      <w:szCs w:val="24"/>
                      <w:highlight w:val="none"/>
                      <w:u w:val="single"/>
                      <w:lang w:val="en-US" w:eastAsia="zh-CN" w:bidi="ar-SA"/>
                    </w:rPr>
                    <w:t xml:space="preserve">留；</w:t>
                  </w:r>
                  <w:r/>
                </w:p>
                <w:p>
                  <w:pPr>
                    <w:numPr>
                      <w:ilvl w:val="0"/>
                      <w:numId w:val="4"/>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其它要求应符合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5"/>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9"/>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 xml:space="preserve">关规定</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机箱防护要求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机箱应符合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4208</w:t>
                  </w:r>
                  <w:r>
                    <w:rPr>
                      <w:rFonts w:hint="eastAsia" w:ascii="宋体" w:hAnsi="宋体" w:eastAsia="宋体" w:cs="宋体"/>
                      <w:i/>
                      <w:iCs/>
                      <w:color w:val="auto"/>
                      <w:spacing w:val="-30"/>
                      <w:sz w:val="24"/>
                      <w:szCs w:val="24"/>
                      <w:highlight w:val="none"/>
                      <w:u w:val="single"/>
                      <w:lang w:val="en-US" w:eastAsia="zh-CN" w:bidi="ar-SA"/>
                    </w:rPr>
                    <w:t xml:space="preserve"> 中 </w:t>
                  </w:r>
                  <w:r>
                    <w:rPr>
                      <w:rFonts w:hint="eastAsia" w:ascii="宋体" w:hAnsi="宋体" w:eastAsia="宋体" w:cs="宋体"/>
                      <w:i/>
                      <w:iCs/>
                      <w:color w:val="auto"/>
                      <w:sz w:val="24"/>
                      <w:szCs w:val="24"/>
                      <w:highlight w:val="none"/>
                      <w:u w:val="single"/>
                      <w:lang w:val="en-US" w:eastAsia="zh-CN" w:bidi="ar-SA"/>
                    </w:rPr>
                    <w:t xml:space="preserve">IP20</w:t>
                  </w:r>
                  <w:r>
                    <w:rPr>
                      <w:rFonts w:hint="eastAsia" w:ascii="宋体" w:hAnsi="宋体" w:eastAsia="宋体" w:cs="宋体"/>
                      <w:i/>
                      <w:iCs/>
                      <w:color w:val="auto"/>
                      <w:spacing w:val="-12"/>
                      <w:sz w:val="24"/>
                      <w:szCs w:val="24"/>
                      <w:highlight w:val="none"/>
                      <w:u w:val="single"/>
                      <w:lang w:val="en-US" w:eastAsia="zh-CN" w:bidi="ar-SA"/>
                    </w:rPr>
                    <w:t xml:space="preserve"> 防护要</w:t>
                  </w:r>
                  <w:r>
                    <w:rPr>
                      <w:rFonts w:hint="eastAsia" w:ascii="宋体" w:hAnsi="宋体" w:eastAsia="宋体" w:cs="宋体"/>
                      <w:i/>
                      <w:iCs/>
                      <w:color w:val="auto"/>
                      <w:spacing w:val="-10"/>
                      <w:sz w:val="24"/>
                      <w:szCs w:val="24"/>
                      <w:highlight w:val="none"/>
                      <w:u w:val="single"/>
                      <w:lang w:val="en-US" w:eastAsia="zh-CN" w:bidi="ar-SA"/>
                    </w:rPr>
                    <w:t xml:space="preserve">求</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整机噪</w:t>
                  </w:r>
                  <w:r>
                    <w:rPr>
                      <w:rFonts w:hint="eastAsia" w:ascii="宋体" w:hAnsi="宋体" w:eastAsia="宋体" w:cs="宋体"/>
                      <w:i w:val="0"/>
                      <w:iCs w:val="0"/>
                      <w:color w:val="auto"/>
                      <w:spacing w:val="-10"/>
                      <w:sz w:val="24"/>
                      <w:szCs w:val="24"/>
                      <w:highlight w:val="none"/>
                      <w:u w:val="none"/>
                      <w:lang w:val="en-US" w:eastAsia="zh-CN" w:bidi="ar-SA"/>
                    </w:rPr>
                    <w:t xml:space="preserve">音</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产品工作在空闲状态下，产品的声功率</w:t>
                  </w:r>
                  <w:r>
                    <w:rPr>
                      <w:rFonts w:hint="eastAsia" w:ascii="宋体" w:hAnsi="宋体" w:eastAsia="宋体" w:cs="宋体"/>
                      <w:i/>
                      <w:iCs/>
                      <w:color w:val="auto"/>
                      <w:spacing w:val="-3"/>
                      <w:sz w:val="24"/>
                      <w:szCs w:val="24"/>
                      <w:highlight w:val="none"/>
                      <w:u w:val="single"/>
                      <w:lang w:val="en-US" w:eastAsia="zh-CN" w:bidi="ar-SA"/>
                    </w:rPr>
                    <w:t xml:space="preserve">级应不超过 </w:t>
                  </w:r>
                  <w:r>
                    <w:rPr>
                      <w:rFonts w:hint="eastAsia" w:ascii="宋体" w:hAnsi="宋体" w:eastAsia="宋体" w:cs="宋体"/>
                      <w:i/>
                      <w:iCs/>
                      <w:color w:val="auto"/>
                      <w:sz w:val="24"/>
                      <w:szCs w:val="24"/>
                      <w:highlight w:val="none"/>
                      <w:u w:val="single"/>
                      <w:lang w:val="en-US" w:eastAsia="zh-CN" w:bidi="ar-SA"/>
                    </w:rPr>
                    <w:t xml:space="preserve">4.5 Bel</w:t>
                  </w:r>
                  <w:r/>
                </w:p>
              </w:tc>
            </w:tr>
            <w:tr>
              <w:trPr>
                <w:trHeight w:val="2178"/>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整机散</w:t>
                  </w:r>
                  <w:r>
                    <w:rPr>
                      <w:rFonts w:hint="eastAsia" w:ascii="宋体" w:hAnsi="宋体" w:eastAsia="宋体" w:cs="宋体"/>
                      <w:i w:val="0"/>
                      <w:iCs w:val="0"/>
                      <w:color w:val="auto"/>
                      <w:spacing w:val="-10"/>
                      <w:sz w:val="24"/>
                      <w:szCs w:val="24"/>
                      <w:highlight w:val="none"/>
                      <w:u w:val="none"/>
                      <w:lang w:val="en-US" w:eastAsia="zh-CN" w:bidi="ar-SA"/>
                    </w:rPr>
                    <w:t xml:space="preserve">热</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在环境温度</w:t>
                  </w:r>
                  <w:r>
                    <w:rPr>
                      <w:rFonts w:hint="eastAsia" w:ascii="宋体" w:hAnsi="宋体" w:eastAsia="宋体" w:cs="宋体"/>
                      <w:i/>
                      <w:iCs/>
                      <w:color w:val="auto"/>
                      <w:sz w:val="24"/>
                      <w:szCs w:val="24"/>
                      <w:highlight w:val="none"/>
                      <w:u w:val="single"/>
                      <w:lang w:val="en-US" w:eastAsia="zh-CN" w:bidi="ar-SA"/>
                    </w:rPr>
                    <w:t xml:space="preserve">25℃及处理器满载情况下，</w:t>
                  </w:r>
                  <w:r>
                    <w:rPr>
                      <w:rFonts w:hint="eastAsia" w:ascii="宋体" w:hAnsi="宋体" w:eastAsia="宋体" w:cs="宋体"/>
                      <w:i/>
                      <w:iCs/>
                      <w:color w:val="auto"/>
                      <w:spacing w:val="-2"/>
                      <w:sz w:val="24"/>
                      <w:szCs w:val="24"/>
                      <w:highlight w:val="none"/>
                      <w:u w:val="single"/>
                      <w:lang w:val="en-US" w:eastAsia="zh-CN" w:bidi="ar-SA"/>
                    </w:rPr>
                    <w:t xml:space="preserve">产品表面温度应符合下列要求：</w:t>
                  </w:r>
                  <w:r/>
                </w:p>
                <w:p>
                  <w:pPr>
                    <w:numPr>
                      <w:ilvl w:val="0"/>
                      <w:numId w:val="5"/>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出风口在机箱后面板情况下，出风</w:t>
                  </w:r>
                  <w:r>
                    <w:rPr>
                      <w:rFonts w:hint="eastAsia" w:ascii="宋体" w:hAnsi="宋体" w:eastAsia="宋体" w:cs="宋体"/>
                      <w:i/>
                      <w:iCs/>
                      <w:color w:val="auto"/>
                      <w:spacing w:val="-6"/>
                      <w:sz w:val="24"/>
                      <w:szCs w:val="24"/>
                      <w:highlight w:val="none"/>
                      <w:u w:val="single"/>
                      <w:lang w:val="en-US" w:eastAsia="zh-CN" w:bidi="ar-SA"/>
                    </w:rPr>
                    <w:t xml:space="preserve">口温度不高于 </w:t>
                  </w:r>
                  <w:r>
                    <w:rPr>
                      <w:rFonts w:hint="eastAsia" w:ascii="宋体" w:hAnsi="宋体" w:eastAsia="宋体" w:cs="宋体"/>
                      <w:i/>
                      <w:iCs/>
                      <w:color w:val="auto"/>
                      <w:sz w:val="24"/>
                      <w:szCs w:val="24"/>
                      <w:highlight w:val="none"/>
                      <w:u w:val="single"/>
                      <w:lang w:val="en-US" w:eastAsia="zh-CN" w:bidi="ar-SA"/>
                    </w:rPr>
                    <w:t xml:space="preserve">55℃；</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pacing w:val="-4"/>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可触及面温度小于 </w:t>
                  </w:r>
                  <w:r>
                    <w:rPr>
                      <w:rFonts w:hint="eastAsia" w:ascii="宋体" w:hAnsi="宋体" w:eastAsia="宋体" w:cs="宋体"/>
                      <w:i/>
                      <w:iCs/>
                      <w:color w:val="auto"/>
                      <w:spacing w:val="-4"/>
                      <w:sz w:val="24"/>
                      <w:szCs w:val="24"/>
                      <w:highlight w:val="none"/>
                      <w:u w:val="single"/>
                      <w:lang w:val="en-US" w:eastAsia="zh-CN" w:bidi="ar-SA"/>
                    </w:rPr>
                    <w:t xml:space="preserve">45℃；</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c</w:t>
                  </w:r>
                  <w:r>
                    <w:rPr>
                      <w:rFonts w:hint="eastAsia" w:ascii="宋体" w:hAnsi="宋体" w:eastAsia="宋体" w:cs="宋体"/>
                      <w:i/>
                      <w:iCs/>
                      <w:color w:val="auto"/>
                      <w:spacing w:val="-3"/>
                      <w:sz w:val="24"/>
                      <w:szCs w:val="24"/>
                      <w:highlight w:val="none"/>
                      <w:u w:val="single"/>
                      <w:lang w:val="en-US" w:eastAsia="zh-CN" w:bidi="ar-SA"/>
                    </w:rPr>
                    <w:t xml:space="preserve">) 显示器表面温度：显示屏温度不高</w:t>
                  </w:r>
                  <w:r>
                    <w:rPr>
                      <w:rFonts w:hint="eastAsia" w:ascii="宋体" w:hAnsi="宋体" w:eastAsia="宋体" w:cs="宋体"/>
                      <w:i/>
                      <w:iCs/>
                      <w:color w:val="auto"/>
                      <w:sz w:val="24"/>
                      <w:szCs w:val="24"/>
                      <w:highlight w:val="none"/>
                      <w:u w:val="single"/>
                      <w:lang w:val="en-US" w:eastAsia="zh-CN" w:bidi="ar-SA"/>
                    </w:rPr>
                    <w:t xml:space="preserve">于 38℃，显示屏上下灯带位置温</w:t>
                  </w:r>
                  <w:r>
                    <w:rPr>
                      <w:rFonts w:hint="eastAsia" w:ascii="宋体" w:hAnsi="宋体" w:eastAsia="宋体" w:cs="宋体"/>
                      <w:i/>
                      <w:iCs/>
                      <w:color w:val="auto"/>
                      <w:spacing w:val="-53"/>
                      <w:sz w:val="24"/>
                      <w:szCs w:val="24"/>
                      <w:highlight w:val="none"/>
                      <w:u w:val="single"/>
                      <w:lang w:val="en-US" w:eastAsia="zh-CN" w:bidi="ar-SA"/>
                    </w:rPr>
                    <w:t xml:space="preserve">度</w:t>
                  </w:r>
                  <w:r>
                    <w:rPr>
                      <w:rFonts w:hint="eastAsia" w:ascii="宋体" w:hAnsi="宋体" w:eastAsia="宋体" w:cs="宋体"/>
                      <w:i/>
                      <w:iCs/>
                      <w:color w:val="auto"/>
                      <w:sz w:val="24"/>
                      <w:szCs w:val="24"/>
                      <w:highlight w:val="none"/>
                      <w:u w:val="single"/>
                      <w:lang w:val="en-US" w:eastAsia="zh-CN" w:bidi="ar-SA"/>
                    </w:rPr>
                    <w:t xml:space="preserve">（如</w:t>
                  </w:r>
                  <w:r>
                    <w:rPr>
                      <w:rFonts w:hint="eastAsia" w:ascii="宋体" w:hAnsi="宋体" w:eastAsia="宋体" w:cs="宋体"/>
                      <w:i/>
                      <w:iCs/>
                      <w:color w:val="auto"/>
                      <w:sz w:val="24"/>
                      <w:szCs w:val="24"/>
                      <w:highlight w:val="none"/>
                      <w:u w:val="single"/>
                      <w:lang w:val="en-US" w:eastAsia="zh-CN" w:bidi="ar-SA"/>
                    </w:rPr>
                    <w:t xml:space="preserve">涉及）</w:t>
                  </w:r>
                  <w:r>
                    <w:rPr>
                      <w:rFonts w:hint="eastAsia" w:ascii="宋体" w:hAnsi="宋体" w:eastAsia="宋体" w:cs="宋体"/>
                      <w:i/>
                      <w:iCs/>
                      <w:color w:val="auto"/>
                      <w:spacing w:val="-11"/>
                      <w:sz w:val="24"/>
                      <w:szCs w:val="24"/>
                      <w:highlight w:val="none"/>
                      <w:u w:val="single"/>
                      <w:lang w:val="en-US" w:eastAsia="zh-CN" w:bidi="ar-SA"/>
                    </w:rPr>
                    <w:t xml:space="preserve">不高于 </w:t>
                  </w:r>
                  <w:r>
                    <w:rPr>
                      <w:rFonts w:hint="eastAsia" w:ascii="宋体" w:hAnsi="宋体" w:eastAsia="宋体" w:cs="宋体"/>
                      <w:i/>
                      <w:iCs/>
                      <w:color w:val="auto"/>
                      <w:sz w:val="24"/>
                      <w:szCs w:val="24"/>
                      <w:highlight w:val="none"/>
                      <w:u w:val="single"/>
                      <w:lang w:val="en-US" w:eastAsia="zh-CN" w:bidi="ar-SA"/>
                    </w:rPr>
                    <w:t xml:space="preserve">40℃，出风口温度不高</w:t>
                  </w:r>
                  <w:r/>
                </w:p>
                <w:p>
                  <w:pPr>
                    <w:numPr>
                      <w:ilvl w:val="0"/>
                      <w:numId w:val="5"/>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3"/>
                      <w:sz w:val="24"/>
                      <w:szCs w:val="24"/>
                      <w:highlight w:val="none"/>
                      <w:u w:val="single"/>
                      <w:lang w:val="en-US" w:eastAsia="zh-CN" w:bidi="ar-SA"/>
                    </w:rPr>
                    <w:t xml:space="preserve">于 </w:t>
                  </w:r>
                  <w:r>
                    <w:rPr>
                      <w:rFonts w:hint="eastAsia" w:ascii="宋体" w:hAnsi="宋体" w:eastAsia="宋体" w:cs="宋体"/>
                      <w:i/>
                      <w:iCs/>
                      <w:color w:val="auto"/>
                      <w:spacing w:val="-5"/>
                      <w:sz w:val="24"/>
                      <w:szCs w:val="24"/>
                      <w:highlight w:val="none"/>
                      <w:u w:val="single"/>
                      <w:lang w:val="en-US" w:eastAsia="zh-CN" w:bidi="ar-SA"/>
                    </w:rPr>
                    <w:t xml:space="preserve">45℃</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restart"/>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pacing w:val="-4"/>
                      <w:sz w:val="24"/>
                      <w:szCs w:val="24"/>
                      <w:highlight w:val="none"/>
                      <w:u w:val="none"/>
                    </w:rPr>
                    <w:t xml:space="preserve">整机</w:t>
                  </w:r>
                  <w:r>
                    <w:rPr>
                      <w:rFonts w:hint="eastAsia" w:ascii="宋体" w:hAnsi="宋体" w:eastAsia="宋体" w:cs="宋体"/>
                      <w:i w:val="0"/>
                      <w:iCs w:val="0"/>
                      <w:color w:val="auto"/>
                      <w:spacing w:val="-6"/>
                      <w:sz w:val="24"/>
                      <w:szCs w:val="24"/>
                      <w:highlight w:val="none"/>
                      <w:u w:val="none"/>
                    </w:rPr>
                    <w:t xml:space="preserve">基础</w:t>
                  </w:r>
                  <w:r>
                    <w:rPr>
                      <w:rFonts w:hint="eastAsia" w:ascii="宋体" w:hAnsi="宋体" w:eastAsia="宋体" w:cs="宋体"/>
                      <w:i w:val="0"/>
                      <w:iCs w:val="0"/>
                      <w:color w:val="auto"/>
                      <w:spacing w:val="-5"/>
                      <w:sz w:val="24"/>
                      <w:szCs w:val="24"/>
                      <w:highlight w:val="none"/>
                      <w:u w:val="none"/>
                    </w:rPr>
                    <w:t xml:space="preserve">规格</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整机能</w:t>
                  </w:r>
                  <w:r>
                    <w:rPr>
                      <w:rFonts w:hint="eastAsia" w:ascii="宋体" w:hAnsi="宋体" w:eastAsia="宋体" w:cs="宋体"/>
                      <w:i w:val="0"/>
                      <w:iCs w:val="0"/>
                      <w:color w:val="auto"/>
                      <w:spacing w:val="-3"/>
                      <w:sz w:val="24"/>
                      <w:szCs w:val="24"/>
                      <w:highlight w:val="none"/>
                      <w:u w:val="none"/>
                      <w:lang w:val="en-US" w:eastAsia="zh-CN" w:bidi="ar-SA"/>
                    </w:rPr>
                    <w:t xml:space="preserve">效限定值</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产品能效限定值应达到 </w:t>
                  </w:r>
                  <w:r>
                    <w:rPr>
                      <w:rFonts w:hint="eastAsia" w:ascii="宋体" w:hAnsi="宋体" w:eastAsia="宋体" w:cs="宋体"/>
                      <w:i/>
                      <w:iCs/>
                      <w:color w:val="auto"/>
                      <w:spacing w:val="-2"/>
                      <w:sz w:val="24"/>
                      <w:szCs w:val="24"/>
                      <w:highlight w:val="none"/>
                      <w:u w:val="single"/>
                      <w:lang w:val="en-US" w:eastAsia="zh-CN" w:bidi="ar-SA"/>
                    </w:rPr>
                    <w:t xml:space="preserve">GB</w:t>
                  </w:r>
                  <w:r>
                    <w:rPr>
                      <w:rFonts w:hint="eastAsia" w:ascii="宋体" w:hAnsi="宋体" w:eastAsia="宋体" w:cs="宋体"/>
                      <w:i/>
                      <w:iCs/>
                      <w:color w:val="auto"/>
                      <w:spacing w:val="1"/>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28380-</w:t>
                  </w:r>
                  <w:r>
                    <w:rPr>
                      <w:rFonts w:hint="eastAsia" w:ascii="宋体" w:hAnsi="宋体" w:eastAsia="宋体" w:cs="宋体"/>
                      <w:i/>
                      <w:iCs/>
                      <w:color w:val="auto"/>
                      <w:spacing w:val="-4"/>
                      <w:sz w:val="24"/>
                      <w:szCs w:val="24"/>
                      <w:highlight w:val="none"/>
                      <w:u w:val="single"/>
                      <w:lang w:val="en-US" w:eastAsia="zh-CN" w:bidi="ar-SA"/>
                    </w:rPr>
                    <w:t xml:space="preserve">2012</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标准中能效等级 </w:t>
                  </w:r>
                  <w:r>
                    <w:rPr>
                      <w:rFonts w:hint="eastAsia" w:ascii="宋体" w:hAnsi="宋体" w:eastAsia="宋体" w:cs="宋体"/>
                      <w:i/>
                      <w:iCs/>
                      <w:color w:val="auto"/>
                      <w:sz w:val="24"/>
                      <w:szCs w:val="24"/>
                      <w:highlight w:val="none"/>
                      <w:u w:val="single"/>
                      <w:lang w:val="en-US" w:eastAsia="zh-CN" w:bidi="ar-SA"/>
                    </w:rPr>
                    <w:t xml:space="preserve">2</w:t>
                  </w:r>
                  <w:r>
                    <w:rPr>
                      <w:rFonts w:hint="eastAsia" w:ascii="宋体" w:hAnsi="宋体" w:eastAsia="宋体" w:cs="宋体"/>
                      <w:i/>
                      <w:iCs/>
                      <w:color w:val="auto"/>
                      <w:spacing w:val="-12"/>
                      <w:sz w:val="24"/>
                      <w:szCs w:val="24"/>
                      <w:highlight w:val="none"/>
                      <w:u w:val="single"/>
                      <w:lang w:val="en-US" w:eastAsia="zh-CN" w:bidi="ar-SA"/>
                    </w:rPr>
                    <w:t xml:space="preserve"> 级及以上</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机身材质</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金属</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机身颜</w:t>
                  </w:r>
                  <w:r>
                    <w:rPr>
                      <w:rFonts w:hint="eastAsia" w:ascii="宋体" w:hAnsi="宋体" w:eastAsia="宋体" w:cs="宋体"/>
                      <w:i w:val="0"/>
                      <w:iCs w:val="0"/>
                      <w:color w:val="auto"/>
                      <w:spacing w:val="-10"/>
                      <w:sz w:val="24"/>
                      <w:szCs w:val="24"/>
                      <w:highlight w:val="none"/>
                      <w:u w:val="none"/>
                      <w:lang w:val="en-US" w:eastAsia="zh-CN" w:bidi="ar-SA"/>
                    </w:rPr>
                    <w:t xml:space="preserve">色</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选用黑色色系</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79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产品</w:t>
                  </w:r>
                  <w:r>
                    <w:rPr>
                      <w:rFonts w:hint="eastAsia" w:ascii="宋体" w:hAnsi="宋体" w:eastAsia="宋体" w:cs="宋体"/>
                      <w:i w:val="0"/>
                      <w:iCs w:val="0"/>
                      <w:color w:val="auto"/>
                      <w:spacing w:val="-5"/>
                      <w:sz w:val="24"/>
                      <w:szCs w:val="24"/>
                      <w:highlight w:val="none"/>
                      <w:u w:val="none"/>
                      <w:lang w:val="en-US" w:eastAsia="zh-CN" w:bidi="ar-SA"/>
                    </w:rPr>
                    <w:t xml:space="preserve">规格</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机箱尺寸容量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机箱体积应不大于 40L</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CPU</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CPU</w:t>
                  </w:r>
                  <w:r>
                    <w:rPr>
                      <w:rFonts w:hint="eastAsia" w:ascii="宋体" w:hAnsi="宋体" w:eastAsia="宋体" w:cs="宋体"/>
                      <w:i w:val="0"/>
                      <w:iCs w:val="0"/>
                      <w:color w:val="auto"/>
                      <w:spacing w:val="-24"/>
                      <w:sz w:val="24"/>
                      <w:szCs w:val="24"/>
                      <w:highlight w:val="none"/>
                      <w:u w:val="none"/>
                      <w:lang w:val="en-US" w:eastAsia="zh-CN" w:bidi="ar-SA"/>
                    </w:rPr>
                    <w:t xml:space="preserve"> 物</w:t>
                  </w:r>
                  <w:r>
                    <w:rPr>
                      <w:rFonts w:hint="eastAsia" w:ascii="宋体" w:hAnsi="宋体" w:eastAsia="宋体" w:cs="宋体"/>
                      <w:i w:val="0"/>
                      <w:iCs w:val="0"/>
                      <w:color w:val="auto"/>
                      <w:spacing w:val="-4"/>
                      <w:sz w:val="24"/>
                      <w:szCs w:val="24"/>
                      <w:highlight w:val="none"/>
                      <w:u w:val="none"/>
                      <w:lang w:val="en-US" w:eastAsia="zh-CN" w:bidi="ar-SA"/>
                    </w:rPr>
                    <w:t xml:space="preserve">理核数</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核数≥ 10，线程数≥ 20</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CPU</w:t>
                  </w:r>
                  <w:r>
                    <w:rPr>
                      <w:rFonts w:hint="eastAsia" w:ascii="宋体" w:hAnsi="宋体" w:eastAsia="宋体" w:cs="宋体"/>
                      <w:i w:val="0"/>
                      <w:iCs w:val="0"/>
                      <w:color w:val="auto"/>
                      <w:spacing w:val="-24"/>
                      <w:sz w:val="24"/>
                      <w:szCs w:val="24"/>
                      <w:highlight w:val="none"/>
                      <w:u w:val="none"/>
                      <w:lang w:val="en-US" w:eastAsia="zh-CN" w:bidi="ar-SA"/>
                    </w:rPr>
                    <w:t xml:space="preserve"> 主</w:t>
                  </w:r>
                  <w:r>
                    <w:rPr>
                      <w:rFonts w:hint="eastAsia" w:ascii="宋体" w:hAnsi="宋体" w:eastAsia="宋体" w:cs="宋体"/>
                      <w:i w:val="0"/>
                      <w:iCs w:val="0"/>
                      <w:color w:val="auto"/>
                      <w:spacing w:val="-10"/>
                      <w:sz w:val="24"/>
                      <w:szCs w:val="24"/>
                      <w:highlight w:val="none"/>
                      <w:u w:val="none"/>
                      <w:lang w:val="en-US" w:eastAsia="zh-CN" w:bidi="ar-SA"/>
                    </w:rPr>
                    <w:t xml:space="preserve">频</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≥3.2GHz</w:t>
                  </w:r>
                  <w:r/>
                </w:p>
              </w:tc>
            </w:tr>
            <w:tr>
              <w:trPr>
                <w:trHeight w:val="144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CPU 末</w:t>
                  </w:r>
                  <w:r>
                    <w:rPr>
                      <w:rFonts w:hint="eastAsia" w:ascii="宋体" w:hAnsi="宋体" w:eastAsia="宋体" w:cs="宋体"/>
                      <w:i w:val="0"/>
                      <w:iCs w:val="0"/>
                      <w:color w:val="auto"/>
                      <w:spacing w:val="-4"/>
                      <w:sz w:val="24"/>
                      <w:szCs w:val="24"/>
                      <w:highlight w:val="none"/>
                      <w:u w:val="none"/>
                      <w:lang w:val="en-US" w:eastAsia="zh-CN" w:bidi="ar-SA"/>
                    </w:rPr>
                    <w:t xml:space="preserve">级缓存容</w:t>
                  </w:r>
                  <w:r>
                    <w:rPr>
                      <w:rFonts w:hint="eastAsia" w:ascii="宋体" w:hAnsi="宋体" w:eastAsia="宋体" w:cs="宋体"/>
                      <w:i w:val="0"/>
                      <w:iCs w:val="0"/>
                      <w:color w:val="auto"/>
                      <w:spacing w:val="-10"/>
                      <w:sz w:val="24"/>
                      <w:szCs w:val="24"/>
                      <w:highlight w:val="none"/>
                      <w:u w:val="none"/>
                      <w:lang w:val="en-US" w:eastAsia="zh-CN" w:bidi="ar-SA"/>
                    </w:rPr>
                    <w:t xml:space="preserve">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≥8MB</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CPU</w:t>
                  </w:r>
                  <w:r>
                    <w:rPr>
                      <w:rFonts w:hint="eastAsia" w:ascii="宋体" w:hAnsi="宋体" w:eastAsia="宋体" w:cs="宋体"/>
                      <w:i w:val="0"/>
                      <w:iCs w:val="0"/>
                      <w:color w:val="auto"/>
                      <w:spacing w:val="-22"/>
                      <w:sz w:val="24"/>
                      <w:szCs w:val="24"/>
                      <w:highlight w:val="none"/>
                      <w:u w:val="none"/>
                      <w:lang w:val="en-US" w:eastAsia="zh-CN" w:bidi="ar-SA"/>
                    </w:rPr>
                    <w:t xml:space="preserve"> 支</w:t>
                  </w:r>
                  <w:r>
                    <w:rPr>
                      <w:rFonts w:hint="eastAsia" w:ascii="宋体" w:hAnsi="宋体" w:eastAsia="宋体" w:cs="宋体"/>
                      <w:i w:val="0"/>
                      <w:iCs w:val="0"/>
                      <w:color w:val="auto"/>
                      <w:spacing w:val="-4"/>
                      <w:sz w:val="24"/>
                      <w:szCs w:val="24"/>
                      <w:highlight w:val="none"/>
                      <w:u w:val="none"/>
                      <w:lang w:val="en-US" w:eastAsia="zh-CN" w:bidi="ar-SA"/>
                    </w:rPr>
                    <w:t xml:space="preserve">持的内存</w:t>
                  </w:r>
                  <w:r>
                    <w:rPr>
                      <w:rFonts w:hint="eastAsia" w:ascii="宋体" w:hAnsi="宋体" w:eastAsia="宋体" w:cs="宋体"/>
                      <w:i w:val="0"/>
                      <w:iCs w:val="0"/>
                      <w:color w:val="auto"/>
                      <w:spacing w:val="-3"/>
                      <w:sz w:val="24"/>
                      <w:szCs w:val="24"/>
                      <w:highlight w:val="none"/>
                      <w:u w:val="none"/>
                      <w:lang w:val="en-US" w:eastAsia="zh-CN" w:bidi="ar-SA"/>
                    </w:rPr>
                    <w:t xml:space="preserve">最高速率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≥2666MT/s</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w:t>
                  </w:r>
                  <w:r>
                    <w:rPr>
                      <w:rFonts w:hint="eastAsia" w:ascii="宋体" w:hAnsi="宋体" w:eastAsia="宋体" w:cs="宋体"/>
                      <w:i w:val="0"/>
                      <w:iCs w:val="0"/>
                      <w:color w:val="auto"/>
                      <w:spacing w:val="-5"/>
                      <w:sz w:val="24"/>
                      <w:szCs w:val="24"/>
                      <w:highlight w:val="none"/>
                      <w:u w:val="none"/>
                      <w:lang w:val="en-US" w:eastAsia="zh-CN" w:bidi="ar-SA"/>
                    </w:rPr>
                    <w:t xml:space="preserve">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内存读写速率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≥2666MT/s</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w:t>
                  </w:r>
                  <w:r>
                    <w:rPr>
                      <w:rFonts w:hint="eastAsia" w:ascii="宋体" w:hAnsi="宋体" w:eastAsia="宋体" w:cs="宋体"/>
                      <w:i w:val="0"/>
                      <w:iCs w:val="0"/>
                      <w:color w:val="auto"/>
                      <w:spacing w:val="-5"/>
                      <w:sz w:val="24"/>
                      <w:szCs w:val="24"/>
                      <w:highlight w:val="none"/>
                      <w:u w:val="none"/>
                      <w:lang w:val="en-US" w:eastAsia="zh-CN" w:bidi="ar-SA"/>
                    </w:rPr>
                    <w:t xml:space="preserve">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显示分</w:t>
                  </w:r>
                  <w:r>
                    <w:rPr>
                      <w:rFonts w:hint="eastAsia" w:ascii="宋体" w:hAnsi="宋体" w:eastAsia="宋体" w:cs="宋体"/>
                      <w:i w:val="0"/>
                      <w:iCs w:val="0"/>
                      <w:color w:val="auto"/>
                      <w:spacing w:val="-6"/>
                      <w:sz w:val="24"/>
                      <w:szCs w:val="24"/>
                      <w:highlight w:val="none"/>
                      <w:u w:val="none"/>
                      <w:lang w:val="en-US" w:eastAsia="zh-CN" w:bidi="ar-SA"/>
                    </w:rPr>
                    <w:t xml:space="preserve">辨率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≥2560×1440</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显卡显示芯片核心频率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≥800MHz</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显存等效频率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≥1600MT/s</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显卡可支持多屏同时显示</w:t>
                  </w:r>
                  <w:r>
                    <w:rPr>
                      <w:rFonts w:hint="eastAsia" w:ascii="宋体" w:hAnsi="宋体" w:eastAsia="宋体" w:cs="宋体"/>
                      <w:i w:val="0"/>
                      <w:iCs w:val="0"/>
                      <w:color w:val="auto"/>
                      <w:spacing w:val="-6"/>
                      <w:sz w:val="24"/>
                      <w:szCs w:val="24"/>
                      <w:highlight w:val="none"/>
                      <w:u w:val="none"/>
                      <w:lang w:val="en-US" w:eastAsia="zh-CN" w:bidi="ar-SA"/>
                    </w:rPr>
                    <w:t xml:space="preserve">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2</w:t>
                  </w:r>
                  <w:r>
                    <w:rPr>
                      <w:rFonts w:hint="eastAsia" w:ascii="宋体" w:hAnsi="宋体" w:eastAsia="宋体" w:cs="宋体"/>
                      <w:i/>
                      <w:iCs/>
                      <w:color w:val="auto"/>
                      <w:spacing w:val="-13"/>
                      <w:sz w:val="24"/>
                      <w:szCs w:val="24"/>
                      <w:highlight w:val="none"/>
                      <w:u w:val="single"/>
                      <w:lang w:val="en-US" w:eastAsia="zh-CN" w:bidi="ar-SA"/>
                    </w:rPr>
                    <w:t xml:space="preserve"> 块屏幕同时显示，分辨率应不低</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3"/>
                      <w:sz w:val="24"/>
                      <w:szCs w:val="24"/>
                      <w:highlight w:val="none"/>
                      <w:u w:val="single"/>
                      <w:lang w:val="en-US" w:eastAsia="zh-CN" w:bidi="ar-SA"/>
                    </w:rPr>
                    <w:t xml:space="preserve">于 </w:t>
                  </w:r>
                  <w:r>
                    <w:rPr>
                      <w:rFonts w:hint="eastAsia" w:ascii="宋体" w:hAnsi="宋体" w:eastAsia="宋体" w:cs="宋体"/>
                      <w:i/>
                      <w:iCs/>
                      <w:color w:val="auto"/>
                      <w:spacing w:val="-2"/>
                      <w:sz w:val="24"/>
                      <w:szCs w:val="24"/>
                      <w:highlight w:val="none"/>
                      <w:u w:val="single"/>
                      <w:lang w:val="en-US" w:eastAsia="zh-CN" w:bidi="ar-SA"/>
                    </w:rPr>
                    <w:t xml:space="preserve">2560×1440</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89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显示屏刷新率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≥60Hz</w:t>
                  </w:r>
                  <w:r/>
                </w:p>
              </w:tc>
            </w:tr>
            <w:tr>
              <w:trPr>
                <w:trHeight w:val="9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6"/>
                      <w:sz w:val="24"/>
                      <w:szCs w:val="24"/>
                      <w:highlight w:val="none"/>
                      <w:u w:val="none"/>
                      <w:lang w:val="en-US" w:eastAsia="zh-CN" w:bidi="ar-SA"/>
                    </w:rPr>
                    <w:t xml:space="preserve">位深</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≥8</w:t>
                  </w:r>
                  <w:r>
                    <w:rPr>
                      <w:rFonts w:hint="eastAsia" w:ascii="宋体" w:hAnsi="宋体" w:eastAsia="宋体" w:cs="宋体"/>
                      <w:i/>
                      <w:iCs/>
                      <w:color w:val="auto"/>
                      <w:spacing w:val="-28"/>
                      <w:sz w:val="24"/>
                      <w:szCs w:val="24"/>
                      <w:highlight w:val="none"/>
                      <w:u w:val="single"/>
                      <w:lang w:val="en-US" w:eastAsia="zh-CN" w:bidi="ar-SA"/>
                    </w:rPr>
                    <w:t xml:space="preserve"> 位</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显示设备性能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6"/>
                      <w:sz w:val="24"/>
                      <w:szCs w:val="24"/>
                      <w:highlight w:val="none"/>
                      <w:u w:val="none"/>
                      <w:lang w:val="en-US" w:eastAsia="zh-CN" w:bidi="ar-SA"/>
                    </w:rPr>
                    <w:t xml:space="preserve">色域</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≥99%</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4"/>
                      <w:sz w:val="24"/>
                      <w:szCs w:val="24"/>
                      <w:highlight w:val="none"/>
                      <w:u w:val="single"/>
                      <w:lang w:val="en-US" w:eastAsia="zh-CN" w:bidi="ar-SA"/>
                    </w:rPr>
                    <w:t xml:space="preserve">sRGB</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6"/>
                      <w:sz w:val="24"/>
                      <w:szCs w:val="24"/>
                      <w:highlight w:val="none"/>
                      <w:u w:val="none"/>
                      <w:lang w:val="en-US" w:eastAsia="zh-CN" w:bidi="ar-SA"/>
                    </w:rPr>
                    <w:t xml:space="preserve">色准</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△E ≤</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10"/>
                      <w:sz w:val="24"/>
                      <w:szCs w:val="24"/>
                      <w:highlight w:val="none"/>
                      <w:u w:val="single"/>
                      <w:lang w:val="en-US" w:eastAsia="zh-CN" w:bidi="ar-SA"/>
                    </w:rPr>
                    <w:t xml:space="preserve">3</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3"/>
                      <w:sz w:val="24"/>
                      <w:szCs w:val="24"/>
                      <w:highlight w:val="none"/>
                      <w:u w:val="none"/>
                      <w:lang w:val="en-US" w:eastAsia="zh-CN" w:bidi="ar-SA"/>
                    </w:rPr>
                    <w:t xml:space="preserve">响应时间</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≤6ms</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6"/>
                      <w:sz w:val="24"/>
                      <w:szCs w:val="24"/>
                      <w:highlight w:val="none"/>
                      <w:u w:val="none"/>
                      <w:lang w:val="en-US" w:eastAsia="zh-CN" w:bidi="ar-SA"/>
                    </w:rPr>
                    <w:t xml:space="preserve">亮度</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≥300</w:t>
                  </w:r>
                  <w:r>
                    <w:rPr>
                      <w:rFonts w:hint="eastAsia" w:ascii="宋体" w:hAnsi="宋体" w:eastAsia="宋体" w:cs="宋体"/>
                      <w:i/>
                      <w:iCs/>
                      <w:color w:val="auto"/>
                      <w:spacing w:val="-17"/>
                      <w:sz w:val="24"/>
                      <w:szCs w:val="24"/>
                      <w:highlight w:val="none"/>
                      <w:u w:val="single"/>
                      <w:lang w:val="en-US" w:eastAsia="zh-CN" w:bidi="ar-SA"/>
                    </w:rPr>
                    <w:t xml:space="preserve"> 尼特</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显示屏亮度一致</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≥70%</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显示屏对比度</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≥500：1</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w:t>
                  </w:r>
                  <w:r>
                    <w:rPr>
                      <w:rFonts w:hint="eastAsia" w:ascii="宋体" w:hAnsi="宋体" w:eastAsia="宋体" w:cs="宋体"/>
                      <w:i w:val="0"/>
                      <w:iCs w:val="0"/>
                      <w:color w:val="auto"/>
                      <w:spacing w:val="-3"/>
                      <w:sz w:val="24"/>
                      <w:szCs w:val="24"/>
                      <w:highlight w:val="none"/>
                      <w:u w:val="none"/>
                      <w:lang w:val="en-US" w:eastAsia="zh-CN" w:bidi="ar-SA"/>
                    </w:rPr>
                    <w:t xml:space="preserve">其他参数</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 xml:space="preserve">SJ/T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11292</w:t>
                  </w:r>
                  <w:r>
                    <w:rPr>
                      <w:rFonts w:hint="eastAsia" w:ascii="宋体" w:hAnsi="宋体" w:eastAsia="宋体" w:cs="宋体"/>
                      <w:i/>
                      <w:iCs/>
                      <w:color w:val="auto"/>
                      <w:spacing w:val="-10"/>
                      <w:sz w:val="24"/>
                      <w:szCs w:val="24"/>
                      <w:highlight w:val="none"/>
                      <w:u w:val="single"/>
                      <w:lang w:val="en-US" w:eastAsia="zh-CN" w:bidi="ar-SA"/>
                    </w:rPr>
                    <w:t xml:space="preserve"> 的相关规定</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网络</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性能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有线网卡速率</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最高速率应不低于 </w:t>
                  </w:r>
                  <w:r>
                    <w:rPr>
                      <w:rFonts w:hint="eastAsia" w:ascii="宋体" w:hAnsi="宋体" w:eastAsia="宋体" w:cs="宋体"/>
                      <w:i/>
                      <w:iCs/>
                      <w:color w:val="auto"/>
                      <w:sz w:val="24"/>
                      <w:szCs w:val="24"/>
                      <w:highlight w:val="none"/>
                      <w:u w:val="single"/>
                      <w:lang w:val="en-US" w:eastAsia="zh-CN" w:bidi="ar-SA"/>
                    </w:rPr>
                    <w:t xml:space="preserve">1000Mbps，应支持 </w:t>
                  </w:r>
                  <w:r>
                    <w:rPr>
                      <w:rFonts w:hint="eastAsia" w:ascii="宋体" w:hAnsi="宋体" w:eastAsia="宋体" w:cs="宋体"/>
                      <w:i/>
                      <w:iCs/>
                      <w:color w:val="auto"/>
                      <w:spacing w:val="-2"/>
                      <w:sz w:val="24"/>
                      <w:szCs w:val="24"/>
                      <w:highlight w:val="none"/>
                      <w:u w:val="single"/>
                      <w:lang w:val="en-US" w:eastAsia="zh-CN" w:bidi="ar-SA"/>
                    </w:rPr>
                    <w:t xml:space="preserve">10Mbps、100Mbps、1000Mbps</w:t>
                  </w:r>
                  <w:r>
                    <w:rPr>
                      <w:rFonts w:hint="eastAsia" w:ascii="宋体" w:hAnsi="宋体" w:eastAsia="宋体" w:cs="宋体"/>
                      <w:i/>
                      <w:iCs/>
                      <w:color w:val="auto"/>
                      <w:spacing w:val="-12"/>
                      <w:sz w:val="24"/>
                      <w:szCs w:val="24"/>
                      <w:highlight w:val="none"/>
                      <w:u w:val="single"/>
                      <w:lang w:val="en-US" w:eastAsia="zh-CN" w:bidi="ar-SA"/>
                    </w:rPr>
                    <w:t xml:space="preserve"> 速率自适</w:t>
                  </w:r>
                  <w:r>
                    <w:rPr>
                      <w:rFonts w:hint="eastAsia" w:ascii="宋体" w:hAnsi="宋体" w:eastAsia="宋体" w:cs="宋体"/>
                      <w:i/>
                      <w:iCs/>
                      <w:color w:val="auto"/>
                      <w:spacing w:val="-10"/>
                      <w:sz w:val="24"/>
                      <w:szCs w:val="24"/>
                      <w:highlight w:val="none"/>
                      <w:u w:val="single"/>
                      <w:lang w:val="en-US" w:eastAsia="zh-CN" w:bidi="ar-SA"/>
                    </w:rPr>
                    <w:t xml:space="preserve">应</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99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支持无线网络通信</w:t>
                  </w:r>
                  <w:r>
                    <w:rPr>
                      <w:rFonts w:hint="eastAsia" w:ascii="宋体" w:hAnsi="宋体" w:eastAsia="宋体" w:cs="宋体"/>
                      <w:i w:val="0"/>
                      <w:iCs w:val="0"/>
                      <w:color w:val="auto"/>
                      <w:spacing w:val="-3"/>
                      <w:sz w:val="24"/>
                      <w:szCs w:val="24"/>
                      <w:highlight w:val="none"/>
                      <w:u w:val="none"/>
                      <w:lang w:val="en-US" w:eastAsia="zh-CN" w:bidi="ar-SA"/>
                    </w:rPr>
                    <w:t xml:space="preserve">技术协议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WAPI</w:t>
                  </w:r>
                  <w:r>
                    <w:rPr>
                      <w:rFonts w:hint="eastAsia" w:ascii="宋体" w:hAnsi="宋体" w:eastAsia="宋体" w:cs="宋体"/>
                      <w:i/>
                      <w:iCs/>
                      <w:color w:val="auto"/>
                      <w:spacing w:val="-27"/>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 xml:space="preserve">WiFi5.0</w:t>
                  </w:r>
                  <w:r>
                    <w:rPr>
                      <w:rFonts w:hint="eastAsia" w:ascii="宋体" w:hAnsi="宋体" w:eastAsia="宋体" w:cs="宋体"/>
                      <w:i/>
                      <w:iCs/>
                      <w:color w:val="auto"/>
                      <w:spacing w:val="-10"/>
                      <w:sz w:val="24"/>
                      <w:szCs w:val="24"/>
                      <w:highlight w:val="none"/>
                      <w:u w:val="single"/>
                      <w:lang w:val="en-US" w:eastAsia="zh-CN" w:bidi="ar-SA"/>
                    </w:rPr>
                    <w:t xml:space="preserve"> 及以上协议</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无线网卡</w:t>
                  </w:r>
                  <w:r>
                    <w:rPr>
                      <w:rFonts w:hint="eastAsia" w:ascii="宋体" w:hAnsi="宋体" w:eastAsia="宋体" w:cs="宋体"/>
                      <w:i w:val="0"/>
                      <w:iCs w:val="0"/>
                      <w:color w:val="auto"/>
                      <w:spacing w:val="-6"/>
                      <w:sz w:val="24"/>
                      <w:szCs w:val="24"/>
                      <w:highlight w:val="none"/>
                      <w:u w:val="none"/>
                      <w:lang w:val="en-US" w:eastAsia="zh-CN" w:bidi="ar-SA"/>
                    </w:rPr>
                    <w:t xml:space="preserve">频宽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≥20MHz</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内存扩展接口 (板载内存不涉</w:t>
                  </w:r>
                  <w:r>
                    <w:rPr>
                      <w:rFonts w:hint="eastAsia" w:ascii="宋体" w:hAnsi="宋体" w:eastAsia="宋体" w:cs="宋体"/>
                      <w:i w:val="0"/>
                      <w:iCs w:val="0"/>
                      <w:color w:val="auto"/>
                      <w:spacing w:val="-6"/>
                      <w:sz w:val="24"/>
                      <w:szCs w:val="24"/>
                      <w:highlight w:val="none"/>
                      <w:u w:val="none"/>
                      <w:lang w:val="en-US" w:eastAsia="zh-CN" w:bidi="ar-SA"/>
                    </w:rPr>
                    <w:t xml:space="preserve">及)</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≥4</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存储扩展</w:t>
                  </w:r>
                  <w:r>
                    <w:rPr>
                      <w:rFonts w:hint="eastAsia" w:ascii="宋体" w:hAnsi="宋体" w:eastAsia="宋体" w:cs="宋体"/>
                      <w:i w:val="0"/>
                      <w:iCs w:val="0"/>
                      <w:color w:val="auto"/>
                      <w:spacing w:val="-6"/>
                      <w:sz w:val="24"/>
                      <w:szCs w:val="24"/>
                      <w:highlight w:val="none"/>
                      <w:u w:val="none"/>
                      <w:lang w:val="en-US" w:eastAsia="zh-CN" w:bidi="ar-SA"/>
                    </w:rPr>
                    <w:t xml:space="preserve">接口</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(板载存储不涉</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及)</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支持存储设备扩展接口≥2</w:t>
                  </w:r>
                  <w:r>
                    <w:rPr>
                      <w:rFonts w:hint="eastAsia" w:ascii="宋体" w:hAnsi="宋体" w:eastAsia="宋体" w:cs="宋体"/>
                      <w:i/>
                      <w:iCs/>
                      <w:color w:val="auto"/>
                      <w:spacing w:val="-12"/>
                      <w:sz w:val="24"/>
                      <w:szCs w:val="24"/>
                      <w:highlight w:val="none"/>
                      <w:u w:val="single"/>
                      <w:lang w:val="en-US" w:eastAsia="zh-CN" w:bidi="ar-SA"/>
                    </w:rPr>
                    <w:t xml:space="preserve"> 个，如</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UFS3.0、SATA3.0、SAS3.0、M.2</w:t>
                  </w:r>
                  <w:r>
                    <w:rPr>
                      <w:rFonts w:hint="eastAsia" w:ascii="宋体" w:hAnsi="宋体" w:eastAsia="宋体" w:cs="宋体"/>
                      <w:i/>
                      <w:iCs/>
                      <w:color w:val="auto"/>
                      <w:spacing w:val="-13"/>
                      <w:sz w:val="24"/>
                      <w:szCs w:val="24"/>
                      <w:highlight w:val="none"/>
                      <w:u w:val="single"/>
                      <w:lang w:val="en-US" w:eastAsia="zh-CN" w:bidi="ar-SA"/>
                    </w:rPr>
                    <w:t xml:space="preserve"> 等接</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口类型</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 </w:t>
                  </w:r>
                  <w:r>
                    <w:rPr>
                      <w:rFonts w:hint="eastAsia" w:ascii="宋体" w:hAnsi="宋体" w:eastAsia="宋体" w:cs="宋体"/>
                      <w:i w:val="0"/>
                      <w:iCs w:val="0"/>
                      <w:color w:val="auto"/>
                      <w:sz w:val="24"/>
                      <w:szCs w:val="24"/>
                      <w:highlight w:val="none"/>
                      <w:u w:val="none"/>
                      <w:lang w:val="en-US" w:eastAsia="zh-CN" w:bidi="ar-SA"/>
                    </w:rPr>
                    <w:t xml:space="preserve">USB</w:t>
                  </w:r>
                  <w:r>
                    <w:rPr>
                      <w:rFonts w:hint="eastAsia" w:ascii="宋体" w:hAnsi="宋体" w:eastAsia="宋体" w:cs="宋体"/>
                      <w:i w:val="0"/>
                      <w:iCs w:val="0"/>
                      <w:color w:val="auto"/>
                      <w:spacing w:val="-14"/>
                      <w:sz w:val="24"/>
                      <w:szCs w:val="24"/>
                      <w:highlight w:val="none"/>
                      <w:u w:val="none"/>
                      <w:lang w:val="en-US" w:eastAsia="zh-CN" w:bidi="ar-SA"/>
                    </w:rPr>
                    <w:t xml:space="preserve"> 瞬间</w:t>
                  </w:r>
                  <w:r>
                    <w:rPr>
                      <w:rFonts w:hint="eastAsia" w:ascii="宋体" w:hAnsi="宋体" w:eastAsia="宋体" w:cs="宋体"/>
                      <w:i w:val="0"/>
                      <w:iCs w:val="0"/>
                      <w:color w:val="auto"/>
                      <w:spacing w:val="-3"/>
                      <w:sz w:val="24"/>
                      <w:szCs w:val="24"/>
                      <w:highlight w:val="none"/>
                      <w:u w:val="none"/>
                      <w:lang w:val="en-US" w:eastAsia="zh-CN" w:bidi="ar-SA"/>
                    </w:rPr>
                    <w:t xml:space="preserve">过流保护</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支持瞬间过流保护功能</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主板防</w:t>
                  </w:r>
                  <w:r>
                    <w:rPr>
                      <w:rFonts w:hint="eastAsia" w:ascii="宋体" w:hAnsi="宋体" w:eastAsia="宋体" w:cs="宋体"/>
                      <w:i w:val="0"/>
                      <w:iCs w:val="0"/>
                      <w:color w:val="auto"/>
                      <w:spacing w:val="-3"/>
                      <w:sz w:val="24"/>
                      <w:szCs w:val="24"/>
                      <w:highlight w:val="none"/>
                      <w:u w:val="none"/>
                      <w:lang w:val="en-US" w:eastAsia="zh-CN" w:bidi="ar-SA"/>
                    </w:rPr>
                    <w:t xml:space="preserve">静电保护</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支持防静电保护功能</w:t>
                  </w:r>
                  <w:r/>
                </w:p>
              </w:tc>
            </w:tr>
            <w:tr>
              <w:trPr>
                <w:trHeight w:val="139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I/O</w:t>
                  </w:r>
                  <w:r>
                    <w:rPr>
                      <w:rFonts w:hint="eastAsia" w:ascii="宋体" w:hAnsi="宋体" w:eastAsia="宋体" w:cs="宋体"/>
                      <w:i w:val="0"/>
                      <w:iCs w:val="0"/>
                      <w:color w:val="auto"/>
                      <w:spacing w:val="-24"/>
                      <w:sz w:val="24"/>
                      <w:szCs w:val="24"/>
                      <w:highlight w:val="none"/>
                      <w:u w:val="none"/>
                      <w:lang w:val="en-US" w:eastAsia="zh-CN" w:bidi="ar-SA"/>
                    </w:rPr>
                    <w:t xml:space="preserve"> 接</w:t>
                  </w:r>
                  <w:r>
                    <w:rPr>
                      <w:rFonts w:hint="eastAsia" w:ascii="宋体" w:hAnsi="宋体" w:eastAsia="宋体" w:cs="宋体"/>
                      <w:i w:val="0"/>
                      <w:iCs w:val="0"/>
                      <w:color w:val="auto"/>
                      <w:spacing w:val="-4"/>
                      <w:sz w:val="24"/>
                      <w:szCs w:val="24"/>
                      <w:highlight w:val="none"/>
                      <w:u w:val="none"/>
                      <w:lang w:val="en-US" w:eastAsia="zh-CN" w:bidi="ar-SA"/>
                    </w:rPr>
                    <w:t xml:space="preserve">口功能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提供基于标准 </w:t>
                  </w:r>
                  <w:r>
                    <w:rPr>
                      <w:rFonts w:hint="eastAsia" w:ascii="宋体" w:hAnsi="宋体" w:eastAsia="宋体" w:cs="宋体"/>
                      <w:i/>
                      <w:iCs/>
                      <w:color w:val="auto"/>
                      <w:spacing w:val="-2"/>
                      <w:sz w:val="24"/>
                      <w:szCs w:val="24"/>
                      <w:highlight w:val="none"/>
                      <w:u w:val="single"/>
                      <w:lang w:val="en-US" w:eastAsia="zh-CN" w:bidi="ar-SA"/>
                    </w:rPr>
                    <w:t xml:space="preserve">USB</w:t>
                  </w:r>
                  <w:r>
                    <w:rPr>
                      <w:rFonts w:hint="eastAsia" w:ascii="宋体" w:hAnsi="宋体" w:eastAsia="宋体" w:cs="宋体"/>
                      <w:i/>
                      <w:iCs/>
                      <w:color w:val="auto"/>
                      <w:spacing w:val="-9"/>
                      <w:sz w:val="24"/>
                      <w:szCs w:val="24"/>
                      <w:highlight w:val="none"/>
                      <w:u w:val="single"/>
                      <w:lang w:val="en-US" w:eastAsia="zh-CN" w:bidi="ar-SA"/>
                    </w:rPr>
                    <w:t xml:space="preserve"> 接口外设连接功能、</w:t>
                  </w:r>
                  <w:r>
                    <w:rPr>
                      <w:rFonts w:hint="eastAsia" w:ascii="宋体" w:hAnsi="宋体" w:eastAsia="宋体" w:cs="宋体"/>
                      <w:i/>
                      <w:iCs/>
                      <w:color w:val="auto"/>
                      <w:spacing w:val="-2"/>
                      <w:sz w:val="24"/>
                      <w:szCs w:val="24"/>
                      <w:highlight w:val="none"/>
                      <w:u w:val="single"/>
                      <w:lang w:val="en-US" w:eastAsia="zh-CN" w:bidi="ar-SA"/>
                    </w:rPr>
                    <w:t xml:space="preserve">基于音频输入输出接口的音频扩展功 </w:t>
                  </w:r>
                  <w:r>
                    <w:rPr>
                      <w:rFonts w:hint="eastAsia" w:ascii="宋体" w:hAnsi="宋体" w:eastAsia="宋体" w:cs="宋体"/>
                      <w:i/>
                      <w:iCs/>
                      <w:color w:val="auto"/>
                      <w:spacing w:val="-5"/>
                      <w:sz w:val="24"/>
                      <w:szCs w:val="24"/>
                      <w:highlight w:val="none"/>
                      <w:u w:val="single"/>
                      <w:lang w:val="en-US" w:eastAsia="zh-CN" w:bidi="ar-SA"/>
                    </w:rPr>
                    <w:t xml:space="preserve">能、基于 </w:t>
                  </w:r>
                  <w:r>
                    <w:rPr>
                      <w:rFonts w:hint="eastAsia" w:ascii="宋体" w:hAnsi="宋体" w:eastAsia="宋体" w:cs="宋体"/>
                      <w:i/>
                      <w:iCs/>
                      <w:color w:val="auto"/>
                      <w:sz w:val="24"/>
                      <w:szCs w:val="24"/>
                      <w:highlight w:val="none"/>
                      <w:u w:val="single"/>
                      <w:lang w:val="en-US" w:eastAsia="zh-CN" w:bidi="ar-SA"/>
                    </w:rPr>
                    <w:t xml:space="preserve">PCIe</w:t>
                  </w:r>
                  <w:r>
                    <w:rPr>
                      <w:rFonts w:hint="eastAsia" w:ascii="宋体" w:hAnsi="宋体" w:eastAsia="宋体" w:cs="宋体"/>
                      <w:i/>
                      <w:iCs/>
                      <w:color w:val="auto"/>
                      <w:spacing w:val="-5"/>
                      <w:sz w:val="24"/>
                      <w:szCs w:val="24"/>
                      <w:highlight w:val="none"/>
                      <w:u w:val="single"/>
                      <w:lang w:val="en-US" w:eastAsia="zh-CN" w:bidi="ar-SA"/>
                    </w:rPr>
                    <w:t xml:space="preserve"> 接口板卡扩展功能、基</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 xml:space="preserve">HDMI/VGA/Type-C/DVI/DP</w:t>
                  </w:r>
                  <w:r>
                    <w:rPr>
                      <w:rFonts w:hint="eastAsia" w:ascii="宋体" w:hAnsi="宋体" w:eastAsia="宋体" w:cs="宋体"/>
                      <w:i/>
                      <w:iCs/>
                      <w:color w:val="auto"/>
                      <w:spacing w:val="-5"/>
                      <w:sz w:val="24"/>
                      <w:szCs w:val="24"/>
                      <w:highlight w:val="none"/>
                      <w:u w:val="single"/>
                      <w:lang w:val="en-US" w:eastAsia="zh-CN" w:bidi="ar-SA"/>
                    </w:rPr>
                    <w:t xml:space="preserve"> 等接口外</w:t>
                  </w:r>
                  <w:r>
                    <w:rPr>
                      <w:rFonts w:hint="eastAsia" w:ascii="宋体" w:hAnsi="宋体" w:eastAsia="宋体" w:cs="宋体"/>
                      <w:i/>
                      <w:iCs/>
                      <w:color w:val="auto"/>
                      <w:spacing w:val="-9"/>
                      <w:sz w:val="24"/>
                      <w:szCs w:val="24"/>
                      <w:highlight w:val="none"/>
                      <w:u w:val="single"/>
                      <w:lang w:val="en-US" w:eastAsia="zh-CN" w:bidi="ar-SA"/>
                    </w:rPr>
                    <w:t xml:space="preserve">接显示器扩展功能、基于存储接口对产</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1"/>
                      <w:sz w:val="24"/>
                      <w:szCs w:val="24"/>
                      <w:highlight w:val="none"/>
                      <w:u w:val="single"/>
                      <w:lang w:val="en-US" w:eastAsia="zh-CN" w:bidi="ar-SA"/>
                    </w:rPr>
                    <w:t xml:space="preserve">品进行增容功能等。工作站 </w:t>
                  </w:r>
                  <w:r>
                    <w:rPr>
                      <w:rFonts w:hint="eastAsia" w:ascii="宋体" w:hAnsi="宋体" w:eastAsia="宋体" w:cs="宋体"/>
                      <w:i/>
                      <w:iCs/>
                      <w:color w:val="auto"/>
                      <w:spacing w:val="-2"/>
                      <w:sz w:val="24"/>
                      <w:szCs w:val="24"/>
                      <w:highlight w:val="none"/>
                      <w:u w:val="single"/>
                      <w:lang w:val="en-US" w:eastAsia="zh-CN" w:bidi="ar-SA"/>
                    </w:rPr>
                    <w:t xml:space="preserve">I/O</w:t>
                  </w:r>
                  <w:r>
                    <w:rPr>
                      <w:rFonts w:hint="eastAsia" w:ascii="宋体" w:hAnsi="宋体" w:eastAsia="宋体" w:cs="宋体"/>
                      <w:i/>
                      <w:iCs/>
                      <w:color w:val="auto"/>
                      <w:spacing w:val="-12"/>
                      <w:sz w:val="24"/>
                      <w:szCs w:val="24"/>
                      <w:highlight w:val="none"/>
                      <w:u w:val="single"/>
                      <w:lang w:val="en-US" w:eastAsia="zh-CN" w:bidi="ar-SA"/>
                    </w:rPr>
                    <w:t xml:space="preserve"> 接口应</w:t>
                  </w:r>
                  <w:r>
                    <w:rPr>
                      <w:rFonts w:hint="eastAsia" w:ascii="宋体" w:hAnsi="宋体" w:eastAsia="宋体" w:cs="宋体"/>
                      <w:i/>
                      <w:iCs/>
                      <w:color w:val="auto"/>
                      <w:spacing w:val="-10"/>
                      <w:sz w:val="24"/>
                      <w:szCs w:val="24"/>
                      <w:highlight w:val="none"/>
                      <w:u w:val="single"/>
                      <w:lang w:val="en-US" w:eastAsia="zh-CN" w:bidi="ar-SA"/>
                    </w:rPr>
                    <w:t xml:space="preserve">具备外接标准 </w:t>
                  </w:r>
                  <w:r>
                    <w:rPr>
                      <w:rFonts w:hint="eastAsia" w:ascii="宋体" w:hAnsi="宋体" w:eastAsia="宋体" w:cs="宋体"/>
                      <w:i/>
                      <w:iCs/>
                      <w:color w:val="auto"/>
                      <w:spacing w:val="-4"/>
                      <w:sz w:val="24"/>
                      <w:szCs w:val="24"/>
                      <w:highlight w:val="none"/>
                      <w:u w:val="single"/>
                      <w:lang w:val="en-US" w:eastAsia="zh-CN" w:bidi="ar-SA"/>
                    </w:rPr>
                    <w:t xml:space="preserve">USB</w:t>
                  </w:r>
                  <w:r>
                    <w:rPr>
                      <w:rFonts w:hint="eastAsia" w:ascii="宋体" w:hAnsi="宋体" w:eastAsia="宋体" w:cs="宋体"/>
                      <w:i/>
                      <w:iCs/>
                      <w:color w:val="auto"/>
                      <w:spacing w:val="-11"/>
                      <w:sz w:val="24"/>
                      <w:szCs w:val="24"/>
                      <w:highlight w:val="none"/>
                      <w:u w:val="single"/>
                      <w:lang w:val="en-US" w:eastAsia="zh-CN" w:bidi="ar-SA"/>
                    </w:rPr>
                    <w:t xml:space="preserve"> 设备、显示器、音频</w:t>
                  </w:r>
                  <w:r>
                    <w:rPr>
                      <w:rFonts w:hint="eastAsia" w:ascii="宋体" w:hAnsi="宋体" w:eastAsia="宋体" w:cs="宋体"/>
                      <w:i/>
                      <w:iCs/>
                      <w:color w:val="auto"/>
                      <w:spacing w:val="-2"/>
                      <w:sz w:val="24"/>
                      <w:szCs w:val="24"/>
                      <w:highlight w:val="none"/>
                      <w:u w:val="single"/>
                      <w:lang w:val="en-US" w:eastAsia="zh-CN" w:bidi="ar-SA"/>
                    </w:rPr>
                    <w:t xml:space="preserve">设备等内外部设备能力</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显卡外接显示接</w:t>
                  </w:r>
                  <w:r>
                    <w:rPr>
                      <w:rFonts w:hint="eastAsia" w:ascii="宋体" w:hAnsi="宋体" w:eastAsia="宋体" w:cs="宋体"/>
                      <w:i w:val="0"/>
                      <w:iCs w:val="0"/>
                      <w:color w:val="auto"/>
                      <w:spacing w:val="-10"/>
                      <w:sz w:val="24"/>
                      <w:szCs w:val="24"/>
                      <w:highlight w:val="none"/>
                      <w:u w:val="none"/>
                      <w:lang w:val="en-US" w:eastAsia="zh-CN" w:bidi="ar-SA"/>
                    </w:rPr>
                    <w:t xml:space="preserve">口</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显卡至少支持 VGA、HDMI、DVI、DP、 Type-C</w:t>
                  </w:r>
                  <w:r>
                    <w:rPr>
                      <w:rFonts w:hint="eastAsia" w:ascii="宋体" w:hAnsi="宋体" w:eastAsia="宋体" w:cs="宋体"/>
                      <w:i/>
                      <w:iCs/>
                      <w:color w:val="auto"/>
                      <w:spacing w:val="-6"/>
                      <w:sz w:val="24"/>
                      <w:szCs w:val="24"/>
                      <w:highlight w:val="none"/>
                      <w:u w:val="single"/>
                      <w:lang w:val="en-US" w:eastAsia="zh-CN" w:bidi="ar-SA"/>
                    </w:rPr>
                    <w:t xml:space="preserve"> 中 </w:t>
                  </w: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5"/>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种显示接口，并与显示器</w:t>
                  </w:r>
                  <w:r>
                    <w:rPr>
                      <w:rFonts w:hint="eastAsia" w:ascii="宋体" w:hAnsi="宋体" w:eastAsia="宋体" w:cs="宋体"/>
                      <w:i/>
                      <w:iCs/>
                      <w:color w:val="auto"/>
                      <w:spacing w:val="-2"/>
                      <w:sz w:val="24"/>
                      <w:szCs w:val="24"/>
                      <w:highlight w:val="none"/>
                      <w:u w:val="single"/>
                      <w:lang w:val="en-US" w:eastAsia="zh-CN" w:bidi="ar-SA"/>
                    </w:rPr>
                    <w:t xml:space="preserve">接口相匹配</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独立显卡</w:t>
                  </w:r>
                  <w:r>
                    <w:rPr>
                      <w:rFonts w:hint="eastAsia" w:ascii="宋体" w:hAnsi="宋体" w:eastAsia="宋体" w:cs="宋体"/>
                      <w:i w:val="0"/>
                      <w:iCs w:val="0"/>
                      <w:color w:val="auto"/>
                      <w:spacing w:val="-6"/>
                      <w:sz w:val="24"/>
                      <w:szCs w:val="24"/>
                      <w:highlight w:val="none"/>
                      <w:u w:val="none"/>
                      <w:lang w:val="en-US" w:eastAsia="zh-CN" w:bidi="ar-SA"/>
                    </w:rPr>
                    <w:t xml:space="preserve">数量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w:t>
                  </w:r>
                  <w:r>
                    <w:rPr>
                      <w:rFonts w:hint="eastAsia" w:ascii="宋体" w:hAnsi="宋体" w:cs="宋体"/>
                      <w:i/>
                      <w:iCs/>
                      <w:color w:val="auto"/>
                      <w:spacing w:val="-5"/>
                      <w:sz w:val="24"/>
                      <w:szCs w:val="24"/>
                      <w:highlight w:val="none"/>
                      <w:u w:val="single"/>
                      <w:lang w:val="en-US" w:eastAsia="zh-CN" w:bidi="ar-SA"/>
                    </w:rPr>
                    <w:t xml:space="preserve">1</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显示器</w:t>
                  </w:r>
                  <w:r>
                    <w:rPr>
                      <w:rFonts w:hint="eastAsia" w:ascii="宋体" w:hAnsi="宋体" w:eastAsia="宋体" w:cs="宋体"/>
                      <w:i w:val="0"/>
                      <w:iCs w:val="0"/>
                      <w:color w:val="auto"/>
                      <w:spacing w:val="-6"/>
                      <w:sz w:val="24"/>
                      <w:szCs w:val="24"/>
                      <w:highlight w:val="none"/>
                      <w:u w:val="none"/>
                      <w:lang w:val="en-US" w:eastAsia="zh-CN" w:bidi="ar-SA"/>
                    </w:rPr>
                    <w:t xml:space="preserve">接口</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显示器应与显卡外接显示接口匹配</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109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显示器</w:t>
                  </w:r>
                  <w:r>
                    <w:rPr>
                      <w:rFonts w:hint="eastAsia" w:ascii="宋体" w:hAnsi="宋体" w:eastAsia="宋体" w:cs="宋体"/>
                      <w:i w:val="0"/>
                      <w:iCs w:val="0"/>
                      <w:color w:val="auto"/>
                      <w:spacing w:val="-6"/>
                      <w:sz w:val="24"/>
                      <w:szCs w:val="24"/>
                      <w:highlight w:val="none"/>
                      <w:u w:val="none"/>
                      <w:lang w:val="en-US" w:eastAsia="zh-CN" w:bidi="ar-SA"/>
                    </w:rPr>
                    <w:t xml:space="preserve">支架</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显示器应提供显示器支架，宜支持屏幕</w:t>
                  </w:r>
                  <w:r>
                    <w:rPr>
                      <w:rFonts w:hint="eastAsia" w:ascii="宋体" w:hAnsi="宋体" w:eastAsia="宋体" w:cs="宋体"/>
                      <w:i/>
                      <w:iCs/>
                      <w:color w:val="auto"/>
                      <w:spacing w:val="-2"/>
                      <w:sz w:val="24"/>
                      <w:szCs w:val="24"/>
                      <w:highlight w:val="none"/>
                      <w:u w:val="single"/>
                      <w:lang w:val="en-US" w:eastAsia="zh-CN" w:bidi="ar-SA"/>
                    </w:rPr>
                    <w:t xml:space="preserve">旋转、支架可升降等</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显示器</w:t>
                  </w:r>
                  <w:r>
                    <w:rPr>
                      <w:rFonts w:hint="eastAsia" w:ascii="宋体" w:hAnsi="宋体" w:eastAsia="宋体" w:cs="宋体"/>
                      <w:i w:val="0"/>
                      <w:iCs w:val="0"/>
                      <w:color w:val="auto"/>
                      <w:spacing w:val="-3"/>
                      <w:sz w:val="24"/>
                      <w:szCs w:val="24"/>
                      <w:highlight w:val="none"/>
                      <w:u w:val="none"/>
                      <w:lang w:val="en-US" w:eastAsia="zh-CN" w:bidi="ar-SA"/>
                    </w:rPr>
                    <w:t xml:space="preserve">参数调节</w:t>
                  </w:r>
                  <w:r/>
                </w:p>
              </w:tc>
              <w:tc>
                <w:tcPr>
                  <w:tcW w:w="3214" w:type="dxa"/>
                  <w:vAlign w:val="center"/>
                  <w:textDirection w:val="lrTb"/>
                  <w:noWrap w:val="false"/>
                </w:tcPr>
                <w:p>
                  <w:pPr>
                    <w:numPr>
                      <w:ilvl w:val="0"/>
                      <w:numId w:val="6"/>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7"/>
                      <w:sz w:val="24"/>
                      <w:szCs w:val="24"/>
                      <w:highlight w:val="none"/>
                      <w:u w:val="single"/>
                      <w:lang w:val="en-US" w:eastAsia="zh-CN" w:bidi="ar-SA"/>
                    </w:rPr>
                    <w:t xml:space="preserve">提供 </w:t>
                  </w:r>
                  <w:r>
                    <w:rPr>
                      <w:rFonts w:hint="eastAsia" w:ascii="宋体" w:hAnsi="宋体" w:eastAsia="宋体" w:cs="宋体"/>
                      <w:i/>
                      <w:iCs/>
                      <w:color w:val="auto"/>
                      <w:spacing w:val="-2"/>
                      <w:sz w:val="24"/>
                      <w:szCs w:val="24"/>
                      <w:highlight w:val="none"/>
                      <w:u w:val="single"/>
                      <w:lang w:val="en-US" w:eastAsia="zh-CN" w:bidi="ar-SA"/>
                    </w:rPr>
                    <w:t xml:space="preserve">OSD</w:t>
                  </w:r>
                  <w:r>
                    <w:rPr>
                      <w:rFonts w:hint="eastAsia" w:ascii="宋体" w:hAnsi="宋体" w:eastAsia="宋体" w:cs="宋体"/>
                      <w:i/>
                      <w:iCs/>
                      <w:color w:val="auto"/>
                      <w:spacing w:val="-9"/>
                      <w:sz w:val="24"/>
                      <w:szCs w:val="24"/>
                      <w:highlight w:val="none"/>
                      <w:u w:val="single"/>
                      <w:lang w:val="en-US" w:eastAsia="zh-CN" w:bidi="ar-SA"/>
                    </w:rPr>
                    <w:t xml:space="preserve"> 选单按钮用于调节色彩、</w:t>
                  </w:r>
                  <w:r>
                    <w:rPr>
                      <w:rFonts w:hint="eastAsia" w:ascii="宋体" w:hAnsi="宋体" w:eastAsia="宋体" w:cs="宋体"/>
                      <w:i/>
                      <w:iCs/>
                      <w:color w:val="auto"/>
                      <w:spacing w:val="-4"/>
                      <w:sz w:val="24"/>
                      <w:szCs w:val="24"/>
                      <w:highlight w:val="none"/>
                      <w:u w:val="single"/>
                      <w:lang w:val="en-US" w:eastAsia="zh-CN" w:bidi="ar-SA"/>
                    </w:rPr>
                    <w:t xml:space="preserve">模式等；</w:t>
                  </w:r>
                  <w:r/>
                </w:p>
                <w:p>
                  <w:pPr>
                    <w:numPr>
                      <w:ilvl w:val="0"/>
                      <w:numId w:val="6"/>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支持色温、亮度、对比度调节</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外设</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摄像头物理隐私保护开关</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支持物理隐私保护开关</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传声器降</w:t>
                  </w:r>
                  <w:r>
                    <w:rPr>
                      <w:rFonts w:hint="eastAsia" w:ascii="宋体" w:hAnsi="宋体" w:eastAsia="宋体" w:cs="宋体"/>
                      <w:i w:val="0"/>
                      <w:iCs w:val="0"/>
                      <w:color w:val="auto"/>
                      <w:spacing w:val="-10"/>
                      <w:sz w:val="24"/>
                      <w:szCs w:val="24"/>
                      <w:highlight w:val="none"/>
                      <w:u w:val="none"/>
                      <w:lang w:val="en-US" w:eastAsia="zh-CN" w:bidi="ar-SA"/>
                    </w:rPr>
                    <w:t xml:space="preserve">噪</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支持降噪功能</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键盘背光</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支持键盘背光</w:t>
                  </w:r>
                  <w:r/>
                </w:p>
              </w:tc>
            </w:tr>
            <w:tr>
              <w:trPr>
                <w:trHeight w:val="21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光驱功能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支持只读、刻录等类型；最大读取速度 </w:t>
                  </w:r>
                  <w:r>
                    <w:rPr>
                      <w:rFonts w:hint="eastAsia" w:ascii="宋体" w:hAnsi="宋体" w:eastAsia="宋体" w:cs="宋体"/>
                      <w:i/>
                      <w:iCs/>
                      <w:color w:val="auto"/>
                      <w:sz w:val="24"/>
                      <w:szCs w:val="24"/>
                      <w:highlight w:val="none"/>
                      <w:u w:val="single"/>
                      <w:lang w:val="en-US" w:eastAsia="zh-CN" w:bidi="ar-SA"/>
                    </w:rPr>
                    <w:t xml:space="preserve">CD</w:t>
                  </w:r>
                  <w:r>
                    <w:rPr>
                      <w:rFonts w:hint="eastAsia" w:ascii="宋体" w:hAnsi="宋体" w:eastAsia="宋体" w:cs="宋体"/>
                      <w:i/>
                      <w:iCs/>
                      <w:color w:val="auto"/>
                      <w:spacing w:val="-10"/>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 xml:space="preserve">24×150KB/s；</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最大读取速度 </w:t>
                  </w:r>
                  <w:r>
                    <w:rPr>
                      <w:rFonts w:hint="eastAsia" w:ascii="宋体" w:hAnsi="宋体" w:eastAsia="宋体" w:cs="宋体"/>
                      <w:i/>
                      <w:iCs/>
                      <w:color w:val="auto"/>
                      <w:spacing w:val="-2"/>
                      <w:sz w:val="24"/>
                      <w:szCs w:val="24"/>
                      <w:highlight w:val="none"/>
                      <w:u w:val="single"/>
                      <w:lang w:val="en-US" w:eastAsia="zh-CN" w:bidi="ar-SA"/>
                    </w:rPr>
                    <w:t xml:space="preserve">DVD</w:t>
                  </w:r>
                  <w:r>
                    <w:rPr>
                      <w:rFonts w:hint="eastAsia" w:ascii="宋体" w:hAnsi="宋体" w:eastAsia="宋体" w:cs="宋体"/>
                      <w:i/>
                      <w:iCs/>
                      <w:color w:val="auto"/>
                      <w:spacing w:val="-20"/>
                      <w:sz w:val="24"/>
                      <w:szCs w:val="24"/>
                      <w:highlight w:val="none"/>
                      <w:u w:val="single"/>
                      <w:lang w:val="en-US" w:eastAsia="zh-CN" w:bidi="ar-SA"/>
                    </w:rPr>
                    <w:t xml:space="preserve"> 不低于 </w:t>
                  </w:r>
                  <w:r>
                    <w:rPr>
                      <w:rFonts w:hint="eastAsia" w:ascii="宋体" w:hAnsi="宋体" w:eastAsia="宋体" w:cs="宋体"/>
                      <w:i/>
                      <w:iCs/>
                      <w:color w:val="auto"/>
                      <w:spacing w:val="-2"/>
                      <w:sz w:val="24"/>
                      <w:szCs w:val="24"/>
                      <w:highlight w:val="none"/>
                      <w:u w:val="single"/>
                      <w:lang w:val="en-US" w:eastAsia="zh-CN" w:bidi="ar-SA"/>
                    </w:rPr>
                    <w:t xml:space="preserve">8× 1358KB/s；</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最大刻录速度</w:t>
                  </w:r>
                  <w:r>
                    <w:rPr>
                      <w:rFonts w:hint="eastAsia" w:ascii="宋体" w:hAnsi="宋体" w:eastAsia="宋体" w:cs="宋体"/>
                      <w:i/>
                      <w:iCs/>
                      <w:color w:val="auto"/>
                      <w:sz w:val="24"/>
                      <w:szCs w:val="24"/>
                      <w:highlight w:val="none"/>
                      <w:u w:val="single"/>
                      <w:lang w:val="en-US" w:eastAsia="zh-CN" w:bidi="ar-SA"/>
                    </w:rPr>
                    <w:t xml:space="preserve">CD</w:t>
                  </w:r>
                  <w:r>
                    <w:rPr>
                      <w:rFonts w:hint="eastAsia" w:ascii="宋体" w:hAnsi="宋体" w:eastAsia="宋体" w:cs="宋体"/>
                      <w:i/>
                      <w:iCs/>
                      <w:color w:val="auto"/>
                      <w:spacing w:val="-22"/>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 xml:space="preserve">24×150KB/s；</w:t>
                  </w:r>
                  <w:r>
                    <w:rPr>
                      <w:rFonts w:hint="eastAsia" w:ascii="宋体" w:hAnsi="宋体" w:eastAsia="宋体" w:cs="宋体"/>
                      <w:i/>
                      <w:iCs/>
                      <w:color w:val="auto"/>
                      <w:spacing w:val="-2"/>
                      <w:sz w:val="24"/>
                      <w:szCs w:val="24"/>
                      <w:highlight w:val="none"/>
                      <w:u w:val="single"/>
                      <w:lang w:val="en-US" w:eastAsia="zh-CN" w:bidi="ar-SA"/>
                    </w:rPr>
                    <w:t xml:space="preserve">最大刻录速度 </w:t>
                  </w:r>
                  <w:r>
                    <w:rPr>
                      <w:rFonts w:hint="eastAsia" w:ascii="宋体" w:hAnsi="宋体" w:eastAsia="宋体" w:cs="宋体"/>
                      <w:i/>
                      <w:iCs/>
                      <w:color w:val="auto"/>
                      <w:sz w:val="24"/>
                      <w:szCs w:val="24"/>
                      <w:highlight w:val="none"/>
                      <w:u w:val="single"/>
                      <w:lang w:val="en-US" w:eastAsia="zh-CN" w:bidi="ar-SA"/>
                    </w:rPr>
                    <w:t xml:space="preserve">DVD</w:t>
                  </w:r>
                  <w:r>
                    <w:rPr>
                      <w:rFonts w:hint="eastAsia" w:ascii="宋体" w:hAnsi="宋体" w:eastAsia="宋体" w:cs="宋体"/>
                      <w:i/>
                      <w:iCs/>
                      <w:color w:val="auto"/>
                      <w:spacing w:val="-6"/>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 xml:space="preserve">6× </w:t>
                  </w:r>
                  <w:r>
                    <w:rPr>
                      <w:rFonts w:hint="eastAsia" w:ascii="宋体" w:hAnsi="宋体" w:eastAsia="宋体" w:cs="宋体"/>
                      <w:i/>
                      <w:iCs/>
                      <w:color w:val="auto"/>
                      <w:spacing w:val="-2"/>
                      <w:sz w:val="24"/>
                      <w:szCs w:val="24"/>
                      <w:highlight w:val="none"/>
                      <w:u w:val="single"/>
                      <w:lang w:val="en-US" w:eastAsia="zh-CN" w:bidi="ar-SA"/>
                    </w:rPr>
                    <w:t xml:space="preserve">1358KB/s；</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兼容光盘类型包含只读光盘、可读写光</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盘、可擦写光盘等</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存储功</w:t>
                  </w:r>
                  <w:r>
                    <w:rPr>
                      <w:rFonts w:hint="eastAsia" w:ascii="宋体" w:hAnsi="宋体" w:eastAsia="宋体" w:cs="宋体"/>
                      <w:i w:val="0"/>
                      <w:iCs w:val="0"/>
                      <w:color w:val="auto"/>
                      <w:spacing w:val="-10"/>
                      <w:sz w:val="24"/>
                      <w:szCs w:val="24"/>
                      <w:highlight w:val="none"/>
                      <w:u w:val="none"/>
                      <w:lang w:val="en-US" w:eastAsia="zh-CN" w:bidi="ar-SA"/>
                    </w:rPr>
                    <w:t xml:space="preserve">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通过 </w:t>
                  </w:r>
                  <w:r>
                    <w:rPr>
                      <w:rFonts w:hint="eastAsia" w:ascii="宋体" w:hAnsi="宋体" w:eastAsia="宋体" w:cs="宋体"/>
                      <w:i/>
                      <w:iCs/>
                      <w:color w:val="auto"/>
                      <w:spacing w:val="-2"/>
                      <w:sz w:val="24"/>
                      <w:szCs w:val="24"/>
                      <w:highlight w:val="none"/>
                      <w:u w:val="single"/>
                      <w:lang w:val="en-US" w:eastAsia="zh-CN" w:bidi="ar-SA"/>
                    </w:rPr>
                    <w:t xml:space="preserve">SATA</w:t>
                  </w:r>
                  <w:r>
                    <w:rPr>
                      <w:rFonts w:hint="eastAsia" w:ascii="宋体" w:hAnsi="宋体" w:eastAsia="宋体" w:cs="宋体"/>
                      <w:i/>
                      <w:iCs/>
                      <w:color w:val="auto"/>
                      <w:spacing w:val="-10"/>
                      <w:sz w:val="24"/>
                      <w:szCs w:val="24"/>
                      <w:highlight w:val="none"/>
                      <w:u w:val="single"/>
                      <w:lang w:val="en-US" w:eastAsia="zh-CN" w:bidi="ar-SA"/>
                    </w:rPr>
                    <w:t xml:space="preserve"> 固态存储</w:t>
                  </w:r>
                  <w:r>
                    <w:rPr>
                      <w:rFonts w:hint="eastAsia" w:ascii="宋体" w:hAnsi="宋体" w:eastAsia="宋体" w:cs="宋体"/>
                      <w:i/>
                      <w:iCs/>
                      <w:color w:val="auto"/>
                      <w:spacing w:val="-2"/>
                      <w:sz w:val="24"/>
                      <w:szCs w:val="24"/>
                      <w:highlight w:val="none"/>
                      <w:u w:val="single"/>
                      <w:lang w:val="en-US" w:eastAsia="zh-CN" w:bidi="ar-SA"/>
                    </w:rPr>
                    <w:t xml:space="preserve">/PCIe</w:t>
                  </w:r>
                  <w:r>
                    <w:rPr>
                      <w:rFonts w:hint="eastAsia" w:ascii="宋体" w:hAnsi="宋体" w:eastAsia="宋体" w:cs="宋体"/>
                      <w:i/>
                      <w:iCs/>
                      <w:color w:val="auto"/>
                      <w:spacing w:val="-10"/>
                      <w:sz w:val="24"/>
                      <w:szCs w:val="24"/>
                      <w:highlight w:val="none"/>
                      <w:u w:val="single"/>
                      <w:lang w:val="en-US" w:eastAsia="zh-CN" w:bidi="ar-SA"/>
                    </w:rPr>
                    <w:t xml:space="preserve"> 固态存储</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/UFS</w:t>
                  </w:r>
                  <w:r>
                    <w:rPr>
                      <w:rFonts w:hint="eastAsia" w:ascii="宋体" w:hAnsi="宋体" w:eastAsia="宋体" w:cs="宋体"/>
                      <w:i/>
                      <w:iCs/>
                      <w:color w:val="auto"/>
                      <w:spacing w:val="-12"/>
                      <w:sz w:val="24"/>
                      <w:szCs w:val="24"/>
                      <w:highlight w:val="none"/>
                      <w:u w:val="single"/>
                      <w:lang w:val="en-US" w:eastAsia="zh-CN" w:bidi="ar-SA"/>
                    </w:rPr>
                    <w:t xml:space="preserve"> 固态存储</w:t>
                  </w:r>
                  <w:r>
                    <w:rPr>
                      <w:rFonts w:hint="eastAsia" w:ascii="宋体" w:hAnsi="宋体" w:eastAsia="宋体" w:cs="宋体"/>
                      <w:i/>
                      <w:iCs/>
                      <w:color w:val="auto"/>
                      <w:spacing w:val="-2"/>
                      <w:sz w:val="24"/>
                      <w:szCs w:val="24"/>
                      <w:highlight w:val="none"/>
                      <w:u w:val="single"/>
                      <w:lang w:val="en-US" w:eastAsia="zh-CN" w:bidi="ar-SA"/>
                    </w:rPr>
                    <w:t xml:space="preserve">/SATA</w:t>
                  </w:r>
                  <w:r>
                    <w:rPr>
                      <w:rFonts w:hint="eastAsia" w:ascii="宋体" w:hAnsi="宋体" w:eastAsia="宋体" w:cs="宋体"/>
                      <w:i/>
                      <w:iCs/>
                      <w:color w:val="auto"/>
                      <w:spacing w:val="-9"/>
                      <w:sz w:val="24"/>
                      <w:szCs w:val="24"/>
                      <w:highlight w:val="none"/>
                      <w:u w:val="single"/>
                      <w:lang w:val="en-US" w:eastAsia="zh-CN" w:bidi="ar-SA"/>
                    </w:rPr>
                    <w:t xml:space="preserve"> 硬磁盘等存储部</w:t>
                  </w:r>
                  <w:r>
                    <w:rPr>
                      <w:rFonts w:hint="eastAsia" w:ascii="宋体" w:hAnsi="宋体" w:eastAsia="宋体" w:cs="宋体"/>
                      <w:i/>
                      <w:iCs/>
                      <w:color w:val="auto"/>
                      <w:spacing w:val="-2"/>
                      <w:sz w:val="24"/>
                      <w:szCs w:val="24"/>
                      <w:highlight w:val="none"/>
                      <w:u w:val="single"/>
                      <w:lang w:val="en-US" w:eastAsia="zh-CN" w:bidi="ar-SA"/>
                    </w:rPr>
                    <w:t xml:space="preserve">件提供存储功能</w:t>
                  </w:r>
                  <w:r/>
                </w:p>
              </w:tc>
            </w:tr>
            <w:tr>
              <w:trPr>
                <w:trHeight w:val="2335"/>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内置控制器固态存储加密</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固态存储宜通过内置控制器硬件支持</w:t>
                  </w:r>
                  <w:r>
                    <w:rPr>
                      <w:rFonts w:hint="eastAsia" w:ascii="宋体" w:hAnsi="宋体" w:eastAsia="宋体" w:cs="宋体"/>
                      <w:i/>
                      <w:iCs/>
                      <w:color w:val="auto"/>
                      <w:spacing w:val="40"/>
                      <w:sz w:val="24"/>
                      <w:szCs w:val="24"/>
                      <w:highlight w:val="none"/>
                      <w:u w:val="single"/>
                      <w:lang w:val="en-US" w:eastAsia="zh-CN" w:bidi="ar-SA"/>
                    </w:rPr>
                    <w:t xml:space="preserve"> </w:t>
                  </w:r>
                  <w:r>
                    <w:rPr>
                      <w:rFonts w:hint="eastAsia" w:ascii="宋体" w:hAnsi="宋体" w:eastAsia="宋体" w:cs="宋体"/>
                      <w:i/>
                      <w:iCs/>
                      <w:color w:val="auto"/>
                      <w:spacing w:val="-15"/>
                      <w:sz w:val="24"/>
                      <w:szCs w:val="24"/>
                      <w:highlight w:val="none"/>
                      <w:u w:val="single"/>
                      <w:lang w:val="en-US" w:eastAsia="zh-CN" w:bidi="ar-SA"/>
                    </w:rPr>
                    <w:t xml:space="preserve">加密，不依赖处理器，保障数据安全性，</w:t>
                  </w:r>
                  <w:r>
                    <w:rPr>
                      <w:rFonts w:hint="eastAsia" w:ascii="宋体" w:hAnsi="宋体" w:eastAsia="宋体" w:cs="宋体"/>
                      <w:i/>
                      <w:iCs/>
                      <w:color w:val="auto"/>
                      <w:spacing w:val="-3"/>
                      <w:sz w:val="24"/>
                      <w:szCs w:val="24"/>
                      <w:highlight w:val="none"/>
                      <w:u w:val="single"/>
                      <w:lang w:val="en-US" w:eastAsia="zh-CN" w:bidi="ar-SA"/>
                    </w:rPr>
                    <w:t xml:space="preserve">但不得影响存储性能。符合如下要求：</w:t>
                  </w:r>
                  <w:r/>
                </w:p>
                <w:p>
                  <w:pPr>
                    <w:numPr>
                      <w:ilvl w:val="0"/>
                      <w:numId w:val="7"/>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支持加密功能，且加密功能开启不</w:t>
                  </w:r>
                  <w:r>
                    <w:rPr>
                      <w:rFonts w:hint="eastAsia" w:ascii="宋体" w:hAnsi="宋体" w:eastAsia="宋体" w:cs="宋体"/>
                      <w:i/>
                      <w:iCs/>
                      <w:color w:val="auto"/>
                      <w:spacing w:val="-7"/>
                      <w:sz w:val="24"/>
                      <w:szCs w:val="24"/>
                      <w:highlight w:val="none"/>
                      <w:u w:val="single"/>
                      <w:lang w:val="en-US" w:eastAsia="zh-CN" w:bidi="ar-SA"/>
                    </w:rPr>
                    <w:t xml:space="preserve">影响 </w:t>
                  </w:r>
                  <w:r>
                    <w:rPr>
                      <w:rFonts w:hint="eastAsia" w:ascii="宋体" w:hAnsi="宋体" w:eastAsia="宋体" w:cs="宋体"/>
                      <w:i/>
                      <w:iCs/>
                      <w:color w:val="auto"/>
                      <w:sz w:val="24"/>
                      <w:szCs w:val="24"/>
                      <w:highlight w:val="none"/>
                      <w:u w:val="single"/>
                      <w:lang w:val="en-US" w:eastAsia="zh-CN" w:bidi="ar-SA"/>
                    </w:rPr>
                    <w:t xml:space="preserve">SSD</w:t>
                  </w:r>
                  <w:r>
                    <w:rPr>
                      <w:rFonts w:hint="eastAsia" w:ascii="宋体" w:hAnsi="宋体" w:eastAsia="宋体" w:cs="宋体"/>
                      <w:i/>
                      <w:iCs/>
                      <w:color w:val="auto"/>
                      <w:spacing w:val="-5"/>
                      <w:sz w:val="24"/>
                      <w:szCs w:val="24"/>
                      <w:highlight w:val="none"/>
                      <w:u w:val="single"/>
                      <w:lang w:val="en-US" w:eastAsia="zh-CN" w:bidi="ar-SA"/>
                    </w:rPr>
                    <w:t xml:space="preserve"> 读写性能；</w:t>
                  </w:r>
                  <w:r/>
                </w:p>
                <w:p>
                  <w:pPr>
                    <w:numPr>
                      <w:ilvl w:val="0"/>
                      <w:numId w:val="7"/>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支持固件加密、安全启动和安全升</w:t>
                  </w:r>
                  <w:r>
                    <w:rPr>
                      <w:rFonts w:hint="eastAsia" w:ascii="宋体" w:hAnsi="宋体" w:eastAsia="宋体" w:cs="宋体"/>
                      <w:i/>
                      <w:iCs/>
                      <w:color w:val="auto"/>
                      <w:spacing w:val="-6"/>
                      <w:sz w:val="24"/>
                      <w:szCs w:val="24"/>
                      <w:highlight w:val="none"/>
                      <w:u w:val="single"/>
                      <w:lang w:val="en-US" w:eastAsia="zh-CN" w:bidi="ar-SA"/>
                    </w:rPr>
                    <w:t xml:space="preserve">级；</w:t>
                  </w:r>
                  <w:r/>
                </w:p>
                <w:p>
                  <w:pPr>
                    <w:numPr>
                      <w:ilvl w:val="0"/>
                      <w:numId w:val="7"/>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支持数据的安全擦除；</w:t>
                  </w:r>
                  <w:r/>
                </w:p>
                <w:p>
                  <w:pPr>
                    <w:numPr>
                      <w:ilvl w:val="0"/>
                      <w:numId w:val="7"/>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宜具有存储状态指示灯，并可通过不同显示方式给出数据读写状态</w:t>
                  </w:r>
                  <w:r/>
                </w:p>
              </w:tc>
            </w:tr>
            <w:tr>
              <w:trPr>
                <w:trHeight w:val="61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网络</w:t>
                  </w:r>
                  <w:r>
                    <w:rPr>
                      <w:rFonts w:hint="eastAsia" w:ascii="宋体" w:hAnsi="宋体" w:eastAsia="宋体" w:cs="宋体"/>
                      <w:i w:val="0"/>
                      <w:iCs w:val="0"/>
                      <w:color w:val="auto"/>
                      <w:spacing w:val="-6"/>
                      <w:sz w:val="24"/>
                      <w:szCs w:val="24"/>
                      <w:highlight w:val="none"/>
                      <w:u w:val="none"/>
                      <w:lang w:val="en-US" w:eastAsia="zh-CN" w:bidi="ar-SA"/>
                    </w:rPr>
                    <w:t xml:space="preserve">设备</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网络功</w:t>
                  </w:r>
                  <w:r>
                    <w:rPr>
                      <w:rFonts w:hint="eastAsia" w:ascii="宋体" w:hAnsi="宋体" w:eastAsia="宋体" w:cs="宋体"/>
                      <w:i w:val="0"/>
                      <w:iCs w:val="0"/>
                      <w:color w:val="auto"/>
                      <w:spacing w:val="-10"/>
                      <w:sz w:val="24"/>
                      <w:szCs w:val="24"/>
                      <w:highlight w:val="none"/>
                      <w:u w:val="none"/>
                      <w:lang w:val="en-US" w:eastAsia="zh-CN" w:bidi="ar-SA"/>
                    </w:rPr>
                    <w:t xml:space="preserve">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a</w:t>
                  </w:r>
                  <w:r>
                    <w:rPr>
                      <w:rFonts w:hint="eastAsia" w:ascii="宋体" w:hAnsi="宋体" w:eastAsia="宋体" w:cs="宋体"/>
                      <w:i/>
                      <w:iCs/>
                      <w:color w:val="auto"/>
                      <w:spacing w:val="-10"/>
                      <w:sz w:val="24"/>
                      <w:szCs w:val="24"/>
                      <w:highlight w:val="none"/>
                      <w:u w:val="single"/>
                      <w:lang w:val="en-US" w:eastAsia="zh-CN" w:bidi="ar-SA"/>
                    </w:rPr>
                    <w:t xml:space="preserve">)支持网络连接、网络开启/关闭功能；</w:t>
                  </w:r>
                  <w:r>
                    <w:rPr>
                      <w:rFonts w:hint="eastAsia" w:ascii="宋体" w:hAnsi="宋体" w:eastAsia="宋体" w:cs="宋体"/>
                      <w:i/>
                      <w:iCs/>
                      <w:color w:val="auto"/>
                      <w:spacing w:val="-2"/>
                      <w:sz w:val="24"/>
                      <w:szCs w:val="24"/>
                      <w:highlight w:val="none"/>
                      <w:u w:val="single"/>
                      <w:lang w:val="en-US" w:eastAsia="zh-CN" w:bidi="ar-SA"/>
                    </w:rPr>
                    <w:t xml:space="preserve"> b)支持访问网络和数据交换功能</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无线网卡</w:t>
                  </w:r>
                  <w:r>
                    <w:rPr>
                      <w:rFonts w:hint="eastAsia" w:ascii="宋体" w:hAnsi="宋体" w:eastAsia="宋体" w:cs="宋体"/>
                      <w:i w:val="0"/>
                      <w:iCs w:val="0"/>
                      <w:color w:val="auto"/>
                      <w:spacing w:val="-6"/>
                      <w:sz w:val="24"/>
                      <w:szCs w:val="24"/>
                      <w:highlight w:val="none"/>
                      <w:u w:val="none"/>
                      <w:lang w:val="en-US" w:eastAsia="zh-CN" w:bidi="ar-SA"/>
                    </w:rPr>
                    <w:t xml:space="preserve">频段</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支持双频段</w:t>
                  </w:r>
                  <w:r/>
                </w:p>
              </w:tc>
            </w:tr>
            <w:tr>
              <w:trPr>
                <w:trHeight w:val="565"/>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119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物理开关</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支持网络设备物理开关</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数据传</w:t>
                  </w:r>
                  <w:r>
                    <w:rPr>
                      <w:rFonts w:hint="eastAsia" w:ascii="宋体" w:hAnsi="宋体" w:eastAsia="宋体" w:cs="宋体"/>
                      <w:i w:val="0"/>
                      <w:iCs w:val="0"/>
                      <w:color w:val="auto"/>
                      <w:spacing w:val="-10"/>
                      <w:sz w:val="24"/>
                      <w:szCs w:val="24"/>
                      <w:highlight w:val="none"/>
                      <w:u w:val="none"/>
                      <w:lang w:val="en-US" w:eastAsia="zh-CN" w:bidi="ar-SA"/>
                    </w:rPr>
                    <w:t xml:space="preserve">输</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支持数据传输能力，并提供数据流量和</w:t>
                  </w:r>
                  <w:r>
                    <w:rPr>
                      <w:rFonts w:hint="eastAsia" w:ascii="宋体" w:hAnsi="宋体" w:eastAsia="宋体" w:cs="宋体"/>
                      <w:i/>
                      <w:iCs/>
                      <w:color w:val="auto"/>
                      <w:spacing w:val="-2"/>
                      <w:sz w:val="24"/>
                      <w:szCs w:val="24"/>
                      <w:highlight w:val="none"/>
                      <w:u w:val="single"/>
                      <w:lang w:val="en-US" w:eastAsia="zh-CN" w:bidi="ar-SA"/>
                    </w:rPr>
                    <w:t xml:space="preserve">异常日志记录功能</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蓝牙协议</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支持蓝牙模块，蓝牙协议不低于 </w:t>
                  </w:r>
                  <w:r>
                    <w:rPr>
                      <w:rFonts w:hint="eastAsia" w:ascii="宋体" w:hAnsi="宋体" w:eastAsia="宋体" w:cs="宋体"/>
                      <w:i/>
                      <w:iCs/>
                      <w:color w:val="auto"/>
                      <w:spacing w:val="-2"/>
                      <w:sz w:val="24"/>
                      <w:szCs w:val="24"/>
                      <w:highlight w:val="none"/>
                      <w:u w:val="single"/>
                      <w:lang w:val="en-US" w:eastAsia="zh-CN" w:bidi="ar-SA"/>
                    </w:rPr>
                    <w:t xml:space="preserve">5.0</w:t>
                  </w:r>
                  <w:r>
                    <w:rPr>
                      <w:rFonts w:hint="eastAsia" w:ascii="宋体" w:hAnsi="宋体" w:eastAsia="宋体" w:cs="宋体"/>
                      <w:i/>
                      <w:iCs/>
                      <w:color w:val="auto"/>
                      <w:spacing w:val="-23"/>
                      <w:sz w:val="24"/>
                      <w:szCs w:val="24"/>
                      <w:highlight w:val="none"/>
                      <w:u w:val="single"/>
                      <w:lang w:val="en-US" w:eastAsia="zh-CN" w:bidi="ar-SA"/>
                    </w:rPr>
                    <w:t xml:space="preserve"> 版</w:t>
                  </w:r>
                  <w:r>
                    <w:rPr>
                      <w:rFonts w:hint="eastAsia" w:ascii="宋体" w:hAnsi="宋体" w:eastAsia="宋体" w:cs="宋体"/>
                      <w:i/>
                      <w:iCs/>
                      <w:color w:val="auto"/>
                      <w:spacing w:val="-10"/>
                      <w:sz w:val="24"/>
                      <w:szCs w:val="24"/>
                      <w:highlight w:val="none"/>
                      <w:u w:val="single"/>
                      <w:lang w:val="en-US" w:eastAsia="zh-CN" w:bidi="ar-SA"/>
                    </w:rPr>
                    <w:t xml:space="preserve">本</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有线网卡接口类</w:t>
                  </w:r>
                  <w:r>
                    <w:rPr>
                      <w:rFonts w:hint="eastAsia" w:ascii="宋体" w:hAnsi="宋体" w:eastAsia="宋体" w:cs="宋体"/>
                      <w:i w:val="0"/>
                      <w:iCs w:val="0"/>
                      <w:color w:val="auto"/>
                      <w:spacing w:val="-10"/>
                      <w:sz w:val="24"/>
                      <w:szCs w:val="24"/>
                      <w:highlight w:val="none"/>
                      <w:u w:val="none"/>
                      <w:lang w:val="en-US" w:eastAsia="zh-CN" w:bidi="ar-SA"/>
                    </w:rPr>
                    <w:t xml:space="preserve">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RJ45</w:t>
                  </w:r>
                  <w:r>
                    <w:rPr>
                      <w:rFonts w:hint="eastAsia" w:ascii="宋体" w:hAnsi="宋体" w:eastAsia="宋体" w:cs="宋体"/>
                      <w:i/>
                      <w:iCs/>
                      <w:color w:val="auto"/>
                      <w:spacing w:val="-18"/>
                      <w:sz w:val="24"/>
                      <w:szCs w:val="24"/>
                      <w:highlight w:val="none"/>
                      <w:u w:val="single"/>
                      <w:lang w:val="en-US" w:eastAsia="zh-CN" w:bidi="ar-SA"/>
                    </w:rPr>
                    <w:t xml:space="preserve"> 接口</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无线网卡</w:t>
                  </w:r>
                  <w:r>
                    <w:rPr>
                      <w:rFonts w:hint="eastAsia" w:ascii="宋体" w:hAnsi="宋体" w:eastAsia="宋体" w:cs="宋体"/>
                      <w:i w:val="0"/>
                      <w:iCs w:val="0"/>
                      <w:color w:val="auto"/>
                      <w:spacing w:val="-6"/>
                      <w:sz w:val="24"/>
                      <w:szCs w:val="24"/>
                      <w:highlight w:val="none"/>
                      <w:u w:val="none"/>
                      <w:lang w:val="en-US" w:eastAsia="zh-CN" w:bidi="ar-SA"/>
                    </w:rPr>
                    <w:t xml:space="preserve">标准</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若配备无线网卡应符合 </w:t>
                  </w:r>
                  <w:r>
                    <w:rPr>
                      <w:rFonts w:hint="eastAsia" w:ascii="宋体" w:hAnsi="宋体" w:eastAsia="宋体" w:cs="宋体"/>
                      <w:i/>
                      <w:iCs/>
                      <w:color w:val="auto"/>
                      <w:sz w:val="24"/>
                      <w:szCs w:val="24"/>
                      <w:highlight w:val="none"/>
                      <w:u w:val="single"/>
                      <w:lang w:val="en-US" w:eastAsia="zh-CN" w:bidi="ar-SA"/>
                    </w:rPr>
                    <w:t xml:space="preserve">GB</w:t>
                  </w:r>
                  <w:r>
                    <w:rPr>
                      <w:rFonts w:hint="eastAsia" w:ascii="宋体" w:hAnsi="宋体" w:eastAsia="宋体" w:cs="宋体"/>
                      <w:i/>
                      <w:iCs/>
                      <w:color w:val="auto"/>
                      <w:spacing w:val="-2"/>
                      <w:sz w:val="24"/>
                      <w:szCs w:val="24"/>
                      <w:highlight w:val="none"/>
                      <w:u w:val="single"/>
                      <w:lang w:val="en-US" w:eastAsia="zh-CN" w:bidi="ar-SA"/>
                    </w:rPr>
                    <w:t xml:space="preserve"> 15629.11</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（所有部分</w:t>
                  </w:r>
                  <w:r>
                    <w:rPr>
                      <w:rFonts w:hint="eastAsia" w:ascii="宋体" w:hAnsi="宋体" w:eastAsia="宋体" w:cs="宋体"/>
                      <w:i/>
                      <w:iCs/>
                      <w:color w:val="auto"/>
                      <w:spacing w:val="-10"/>
                      <w:sz w:val="24"/>
                      <w:szCs w:val="24"/>
                      <w:highlight w:val="none"/>
                      <w:u w:val="single"/>
                      <w:lang w:val="en-US" w:eastAsia="zh-CN" w:bidi="ar-SA"/>
                    </w:rPr>
                    <w:t xml:space="preserve">）</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网络设备拆装</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若配备的网络设备应支持物理拆装，包</w:t>
                  </w:r>
                  <w:r>
                    <w:rPr>
                      <w:rFonts w:hint="eastAsia" w:ascii="宋体" w:hAnsi="宋体" w:eastAsia="宋体" w:cs="宋体"/>
                      <w:i/>
                      <w:iCs/>
                      <w:color w:val="auto"/>
                      <w:spacing w:val="-2"/>
                      <w:sz w:val="24"/>
                      <w:szCs w:val="24"/>
                      <w:highlight w:val="none"/>
                      <w:u w:val="single"/>
                      <w:lang w:val="en-US" w:eastAsia="zh-CN" w:bidi="ar-SA"/>
                    </w:rPr>
                    <w:t xml:space="preserve">括无线网卡和蓝牙模块等</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外部</w:t>
                  </w:r>
                  <w:r>
                    <w:rPr>
                      <w:rFonts w:hint="eastAsia" w:ascii="宋体" w:hAnsi="宋体" w:eastAsia="宋体" w:cs="宋体"/>
                      <w:i w:val="0"/>
                      <w:iCs w:val="0"/>
                      <w:color w:val="auto"/>
                      <w:spacing w:val="-6"/>
                      <w:sz w:val="24"/>
                      <w:szCs w:val="24"/>
                      <w:highlight w:val="none"/>
                      <w:u w:val="none"/>
                      <w:lang w:val="en-US" w:eastAsia="zh-CN" w:bidi="ar-SA"/>
                    </w:rPr>
                    <w:t xml:space="preserve">接口</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音频接口类型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3.5mm</w:t>
                  </w:r>
                  <w:r>
                    <w:rPr>
                      <w:rFonts w:hint="eastAsia" w:ascii="宋体" w:hAnsi="宋体" w:eastAsia="宋体" w:cs="宋体"/>
                      <w:i/>
                      <w:iCs/>
                      <w:color w:val="auto"/>
                      <w:spacing w:val="-22"/>
                      <w:sz w:val="24"/>
                      <w:szCs w:val="24"/>
                      <w:highlight w:val="none"/>
                      <w:u w:val="single"/>
                      <w:lang w:val="en-US" w:eastAsia="zh-CN" w:bidi="ar-SA"/>
                    </w:rPr>
                    <w:t xml:space="preserve"> 孔径 </w:t>
                  </w:r>
                  <w:r>
                    <w:rPr>
                      <w:rFonts w:hint="eastAsia" w:ascii="宋体" w:hAnsi="宋体" w:eastAsia="宋体" w:cs="宋体"/>
                      <w:i/>
                      <w:iCs/>
                      <w:color w:val="auto"/>
                      <w:spacing w:val="-2"/>
                      <w:sz w:val="24"/>
                      <w:szCs w:val="24"/>
                      <w:highlight w:val="none"/>
                      <w:u w:val="single"/>
                      <w:lang w:val="en-US" w:eastAsia="zh-CN" w:bidi="ar-SA"/>
                    </w:rPr>
                    <w:t xml:space="preserve">3</w:t>
                  </w:r>
                  <w:r>
                    <w:rPr>
                      <w:rFonts w:hint="eastAsia" w:ascii="宋体" w:hAnsi="宋体" w:eastAsia="宋体" w:cs="宋体"/>
                      <w:i/>
                      <w:iCs/>
                      <w:color w:val="auto"/>
                      <w:spacing w:val="-19"/>
                      <w:sz w:val="24"/>
                      <w:szCs w:val="24"/>
                      <w:highlight w:val="none"/>
                      <w:u w:val="single"/>
                      <w:lang w:val="en-US" w:eastAsia="zh-CN" w:bidi="ar-SA"/>
                    </w:rPr>
                    <w:t xml:space="preserve"> 段式或 </w:t>
                  </w:r>
                  <w:r>
                    <w:rPr>
                      <w:rFonts w:hint="eastAsia" w:ascii="宋体" w:hAnsi="宋体" w:eastAsia="宋体" w:cs="宋体"/>
                      <w:i/>
                      <w:iCs/>
                      <w:color w:val="auto"/>
                      <w:spacing w:val="-2"/>
                      <w:sz w:val="24"/>
                      <w:szCs w:val="24"/>
                      <w:highlight w:val="none"/>
                      <w:u w:val="single"/>
                      <w:lang w:val="en-US" w:eastAsia="zh-CN" w:bidi="ar-SA"/>
                    </w:rPr>
                    <w:t xml:space="preserve">4</w:t>
                  </w:r>
                  <w:r>
                    <w:rPr>
                      <w:rFonts w:hint="eastAsia" w:ascii="宋体" w:hAnsi="宋体" w:eastAsia="宋体" w:cs="宋体"/>
                      <w:i/>
                      <w:iCs/>
                      <w:color w:val="auto"/>
                      <w:spacing w:val="-13"/>
                      <w:sz w:val="24"/>
                      <w:szCs w:val="24"/>
                      <w:highlight w:val="none"/>
                      <w:u w:val="single"/>
                      <w:lang w:val="en-US" w:eastAsia="zh-CN" w:bidi="ar-SA"/>
                    </w:rPr>
                    <w:t xml:space="preserve"> 段式接口</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视频接口类型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至少支持 </w:t>
                  </w:r>
                  <w:r>
                    <w:rPr>
                      <w:rFonts w:hint="eastAsia" w:ascii="宋体" w:hAnsi="宋体" w:eastAsia="宋体" w:cs="宋体"/>
                      <w:i/>
                      <w:iCs/>
                      <w:color w:val="auto"/>
                      <w:spacing w:val="-6"/>
                      <w:sz w:val="24"/>
                      <w:szCs w:val="24"/>
                      <w:highlight w:val="none"/>
                      <w:u w:val="single"/>
                      <w:lang w:val="en-US" w:eastAsia="zh-CN" w:bidi="ar-SA"/>
                    </w:rPr>
                    <w:t xml:space="preserve">VGA、HDMI、DVI、DP、Type-C</w:t>
                  </w:r>
                  <w:r>
                    <w:rPr>
                      <w:rFonts w:hint="eastAsia" w:ascii="宋体" w:hAnsi="宋体" w:eastAsia="宋体" w:cs="宋体"/>
                      <w:i/>
                      <w:iCs/>
                      <w:color w:val="auto"/>
                      <w:spacing w:val="-11"/>
                      <w:sz w:val="24"/>
                      <w:szCs w:val="24"/>
                      <w:highlight w:val="none"/>
                      <w:u w:val="single"/>
                      <w:lang w:val="en-US" w:eastAsia="zh-CN" w:bidi="ar-SA"/>
                    </w:rPr>
                    <w:t xml:space="preserve">中 </w:t>
                  </w: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pacing w:val="-5"/>
                      <w:sz w:val="24"/>
                      <w:szCs w:val="24"/>
                      <w:highlight w:val="none"/>
                      <w:u w:val="single"/>
                      <w:lang w:val="en-US" w:eastAsia="zh-CN" w:bidi="ar-SA"/>
                    </w:rPr>
                    <w:t xml:space="preserve"> 种显示接口</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HDMI、</w:t>
                  </w:r>
                  <w:r>
                    <w:rPr>
                      <w:rFonts w:hint="eastAsia" w:ascii="宋体" w:hAnsi="宋体" w:eastAsia="宋体" w:cs="宋体"/>
                      <w:i w:val="0"/>
                      <w:iCs w:val="0"/>
                      <w:color w:val="auto"/>
                      <w:spacing w:val="-4"/>
                      <w:sz w:val="24"/>
                      <w:szCs w:val="24"/>
                      <w:highlight w:val="none"/>
                      <w:u w:val="none"/>
                      <w:lang w:val="en-US" w:eastAsia="zh-CN" w:bidi="ar-SA"/>
                    </w:rPr>
                    <w:t xml:space="preserve">DP、</w:t>
                  </w:r>
                  <w:r>
                    <w:rPr>
                      <w:rFonts w:hint="eastAsia" w:ascii="宋体" w:hAnsi="宋体" w:eastAsia="宋体" w:cs="宋体"/>
                      <w:i w:val="0"/>
                      <w:iCs w:val="0"/>
                      <w:color w:val="auto"/>
                      <w:spacing w:val="-2"/>
                      <w:sz w:val="24"/>
                      <w:szCs w:val="24"/>
                      <w:highlight w:val="none"/>
                      <w:u w:val="none"/>
                      <w:lang w:val="en-US" w:eastAsia="zh-CN" w:bidi="ar-SA"/>
                    </w:rPr>
                    <w:t xml:space="preserve">Type-C </w:t>
                  </w:r>
                  <w:r>
                    <w:rPr>
                      <w:rFonts w:hint="eastAsia" w:ascii="宋体" w:hAnsi="宋体" w:eastAsia="宋体" w:cs="宋体"/>
                      <w:i w:val="0"/>
                      <w:iCs w:val="0"/>
                      <w:color w:val="auto"/>
                      <w:spacing w:val="-4"/>
                      <w:sz w:val="24"/>
                      <w:szCs w:val="24"/>
                      <w:highlight w:val="none"/>
                      <w:u w:val="none"/>
                      <w:lang w:val="en-US" w:eastAsia="zh-CN" w:bidi="ar-SA"/>
                    </w:rPr>
                    <w:t xml:space="preserve">显示接口</w:t>
                  </w:r>
                  <w:r>
                    <w:rPr>
                      <w:rFonts w:hint="eastAsia" w:ascii="宋体" w:hAnsi="宋体" w:eastAsia="宋体" w:cs="宋体"/>
                      <w:i w:val="0"/>
                      <w:iCs w:val="0"/>
                      <w:color w:val="auto"/>
                      <w:spacing w:val="-6"/>
                      <w:sz w:val="24"/>
                      <w:szCs w:val="24"/>
                      <w:highlight w:val="none"/>
                      <w:u w:val="none"/>
                      <w:lang w:val="en-US" w:eastAsia="zh-CN" w:bidi="ar-SA"/>
                    </w:rPr>
                    <w:t xml:space="preserve">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若提供 </w:t>
                  </w:r>
                  <w:r>
                    <w:rPr>
                      <w:rFonts w:hint="eastAsia" w:ascii="宋体" w:hAnsi="宋体" w:eastAsia="宋体" w:cs="宋体"/>
                      <w:i/>
                      <w:iCs/>
                      <w:color w:val="auto"/>
                      <w:spacing w:val="-2"/>
                      <w:sz w:val="24"/>
                      <w:szCs w:val="24"/>
                      <w:highlight w:val="none"/>
                      <w:u w:val="single"/>
                      <w:lang w:val="en-US" w:eastAsia="zh-CN" w:bidi="ar-SA"/>
                    </w:rPr>
                    <w:t xml:space="preserve">HDMI</w:t>
                  </w:r>
                  <w:r>
                    <w:rPr>
                      <w:rFonts w:hint="eastAsia" w:ascii="宋体" w:hAnsi="宋体" w:eastAsia="宋体" w:cs="宋体"/>
                      <w:i/>
                      <w:iCs/>
                      <w:color w:val="auto"/>
                      <w:spacing w:val="-31"/>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 xml:space="preserve">DP</w:t>
                  </w:r>
                  <w:r>
                    <w:rPr>
                      <w:rFonts w:hint="eastAsia" w:ascii="宋体" w:hAnsi="宋体" w:eastAsia="宋体" w:cs="宋体"/>
                      <w:i/>
                      <w:iCs/>
                      <w:color w:val="auto"/>
                      <w:spacing w:val="-31"/>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 xml:space="preserve">Type-C</w:t>
                  </w:r>
                  <w:r>
                    <w:rPr>
                      <w:rFonts w:hint="eastAsia" w:ascii="宋体" w:hAnsi="宋体" w:eastAsia="宋体" w:cs="宋体"/>
                      <w:i/>
                      <w:iCs/>
                      <w:color w:val="auto"/>
                      <w:spacing w:val="-12"/>
                      <w:sz w:val="24"/>
                      <w:szCs w:val="24"/>
                      <w:highlight w:val="none"/>
                      <w:u w:val="single"/>
                      <w:lang w:val="en-US" w:eastAsia="zh-CN" w:bidi="ar-SA"/>
                    </w:rPr>
                    <w:t xml:space="preserve"> 作为显示</w:t>
                  </w:r>
                  <w:r>
                    <w:rPr>
                      <w:rFonts w:hint="eastAsia" w:ascii="宋体" w:hAnsi="宋体" w:eastAsia="宋体" w:cs="宋体"/>
                      <w:i/>
                      <w:iCs/>
                      <w:color w:val="auto"/>
                      <w:spacing w:val="-2"/>
                      <w:sz w:val="24"/>
                      <w:szCs w:val="24"/>
                      <w:highlight w:val="none"/>
                      <w:u w:val="single"/>
                      <w:lang w:val="en-US" w:eastAsia="zh-CN" w:bidi="ar-SA"/>
                    </w:rPr>
                    <w:t xml:space="preserve">接口，应支持音频和视频同步输出</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其他接口</w:t>
                  </w:r>
                  <w:r/>
                </w:p>
              </w:tc>
              <w:tc>
                <w:tcPr>
                  <w:tcW w:w="3214" w:type="dxa"/>
                  <w:vAlign w:val="center"/>
                  <w:textDirection w:val="lrTb"/>
                  <w:noWrap w:val="false"/>
                </w:tcPr>
                <w:p>
                  <w:pPr>
                    <w:numPr>
                      <w:ilvl w:val="0"/>
                      <w:numId w:val="8"/>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产品支持串行接口，可实现 </w:t>
                  </w:r>
                  <w:r>
                    <w:rPr>
                      <w:rFonts w:hint="eastAsia" w:ascii="宋体" w:hAnsi="宋体" w:eastAsia="宋体" w:cs="宋体"/>
                      <w:i/>
                      <w:iCs/>
                      <w:color w:val="auto"/>
                      <w:spacing w:val="-2"/>
                      <w:sz w:val="24"/>
                      <w:szCs w:val="24"/>
                      <w:highlight w:val="none"/>
                      <w:u w:val="single"/>
                      <w:lang w:val="en-US" w:eastAsia="zh-CN" w:bidi="ar-SA"/>
                    </w:rPr>
                    <w:t xml:space="preserve">GB/T </w:t>
                  </w:r>
                  <w:r>
                    <w:rPr>
                      <w:rFonts w:hint="eastAsia" w:ascii="宋体" w:hAnsi="宋体" w:eastAsia="宋体" w:cs="宋体"/>
                      <w:i/>
                      <w:iCs/>
                      <w:color w:val="auto"/>
                      <w:sz w:val="24"/>
                      <w:szCs w:val="24"/>
                      <w:highlight w:val="none"/>
                      <w:u w:val="single"/>
                      <w:lang w:val="en-US" w:eastAsia="zh-CN" w:bidi="ar-SA"/>
                    </w:rPr>
                    <w:t xml:space="preserve">6107</w:t>
                  </w:r>
                  <w:r>
                    <w:rPr>
                      <w:rFonts w:hint="eastAsia" w:ascii="宋体" w:hAnsi="宋体" w:eastAsia="宋体" w:cs="宋体"/>
                      <w:i/>
                      <w:iCs/>
                      <w:color w:val="auto"/>
                      <w:spacing w:val="-9"/>
                      <w:sz w:val="24"/>
                      <w:szCs w:val="24"/>
                      <w:highlight w:val="none"/>
                      <w:u w:val="single"/>
                      <w:lang w:val="en-US" w:eastAsia="zh-CN" w:bidi="ar-SA"/>
                    </w:rPr>
                    <w:t xml:space="preserve"> 的功能；</w:t>
                  </w:r>
                  <w:r/>
                </w:p>
                <w:p>
                  <w:pPr>
                    <w:numPr>
                      <w:ilvl w:val="0"/>
                      <w:numId w:val="8"/>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产品支持并行接口，可实现 GB/T</w:t>
                  </w:r>
                  <w:r>
                    <w:rPr>
                      <w:rFonts w:hint="eastAsia" w:ascii="宋体" w:hAnsi="宋体" w:cs="宋体"/>
                      <w:i/>
                      <w:iCs/>
                      <w:color w:val="auto"/>
                      <w:spacing w:val="-4"/>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18235.1</w:t>
                  </w:r>
                  <w:r>
                    <w:rPr>
                      <w:rFonts w:hint="eastAsia" w:ascii="宋体" w:hAnsi="宋体" w:eastAsia="宋体" w:cs="宋体"/>
                      <w:i/>
                      <w:iCs/>
                      <w:color w:val="auto"/>
                      <w:spacing w:val="-13"/>
                      <w:sz w:val="24"/>
                      <w:szCs w:val="24"/>
                      <w:highlight w:val="none"/>
                      <w:u w:val="single"/>
                      <w:lang w:val="en-US" w:eastAsia="zh-CN" w:bidi="ar-SA"/>
                    </w:rPr>
                    <w:t xml:space="preserve"> 的功能</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129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存储卡接口类型</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SD、TF</w:t>
                  </w:r>
                  <w:r>
                    <w:rPr>
                      <w:rFonts w:hint="eastAsia" w:ascii="宋体" w:hAnsi="宋体" w:eastAsia="宋体" w:cs="宋体"/>
                      <w:i/>
                      <w:iCs/>
                      <w:color w:val="auto"/>
                      <w:spacing w:val="-10"/>
                      <w:sz w:val="24"/>
                      <w:szCs w:val="24"/>
                      <w:highlight w:val="none"/>
                      <w:u w:val="single"/>
                      <w:lang w:val="en-US" w:eastAsia="zh-CN" w:bidi="ar-SA"/>
                    </w:rPr>
                    <w:t xml:space="preserve"> 等存储卡接口</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电源</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电源线</w:t>
                  </w:r>
                  <w:r>
                    <w:rPr>
                      <w:rFonts w:hint="eastAsia" w:ascii="宋体" w:hAnsi="宋体" w:eastAsia="宋体" w:cs="宋体"/>
                      <w:i w:val="0"/>
                      <w:iCs w:val="0"/>
                      <w:color w:val="auto"/>
                      <w:spacing w:val="-3"/>
                      <w:sz w:val="24"/>
                      <w:szCs w:val="24"/>
                      <w:highlight w:val="none"/>
                      <w:u w:val="none"/>
                      <w:lang w:val="en-US" w:eastAsia="zh-CN" w:bidi="ar-SA"/>
                    </w:rPr>
                    <w:t xml:space="preserve">适配能力</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电源适配器电线组件应符合 </w:t>
                  </w:r>
                  <w:r>
                    <w:rPr>
                      <w:rFonts w:hint="eastAsia" w:ascii="宋体" w:hAnsi="宋体" w:eastAsia="宋体" w:cs="宋体"/>
                      <w:i/>
                      <w:iCs/>
                      <w:color w:val="auto"/>
                      <w:sz w:val="24"/>
                      <w:szCs w:val="24"/>
                      <w:highlight w:val="none"/>
                      <w:u w:val="single"/>
                      <w:lang w:val="en-US" w:eastAsia="zh-CN" w:bidi="ar-SA"/>
                    </w:rPr>
                    <w:t xml:space="preserve">GB/T </w:t>
                  </w:r>
                  <w:r>
                    <w:rPr>
                      <w:rFonts w:hint="eastAsia" w:ascii="宋体" w:hAnsi="宋体" w:eastAsia="宋体" w:cs="宋体"/>
                      <w:i/>
                      <w:iCs/>
                      <w:color w:val="auto"/>
                      <w:spacing w:val="-2"/>
                      <w:sz w:val="24"/>
                      <w:szCs w:val="24"/>
                      <w:highlight w:val="none"/>
                      <w:u w:val="single"/>
                      <w:lang w:val="en-US" w:eastAsia="zh-CN" w:bidi="ar-SA"/>
                    </w:rPr>
                    <w:t xml:space="preserve">15934</w:t>
                  </w:r>
                  <w:r>
                    <w:rPr>
                      <w:rFonts w:hint="eastAsia" w:ascii="宋体" w:hAnsi="宋体" w:eastAsia="宋体" w:cs="宋体"/>
                      <w:i/>
                      <w:iCs/>
                      <w:color w:val="auto"/>
                      <w:spacing w:val="-9"/>
                      <w:sz w:val="24"/>
                      <w:szCs w:val="24"/>
                      <w:highlight w:val="none"/>
                      <w:u w:val="single"/>
                      <w:lang w:val="en-US" w:eastAsia="zh-CN" w:bidi="ar-SA"/>
                    </w:rPr>
                    <w:t xml:space="preserve"> 的要求，可拆线的插头和连接器</w:t>
                  </w:r>
                  <w:r>
                    <w:rPr>
                      <w:rFonts w:hint="eastAsia" w:ascii="宋体" w:hAnsi="宋体" w:eastAsia="宋体" w:cs="宋体"/>
                      <w:i/>
                      <w:iCs/>
                      <w:color w:val="auto"/>
                      <w:spacing w:val="-2"/>
                      <w:sz w:val="24"/>
                      <w:szCs w:val="24"/>
                      <w:highlight w:val="none"/>
                      <w:u w:val="single"/>
                      <w:lang w:val="en-US" w:eastAsia="zh-CN" w:bidi="ar-SA"/>
                    </w:rPr>
                    <w:t xml:space="preserve">可以不做要求</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操作</w:t>
                  </w:r>
                  <w:r>
                    <w:rPr>
                      <w:rFonts w:hint="eastAsia" w:ascii="宋体" w:hAnsi="宋体" w:eastAsia="宋体" w:cs="宋体"/>
                      <w:i w:val="0"/>
                      <w:iCs w:val="0"/>
                      <w:color w:val="auto"/>
                      <w:spacing w:val="-6"/>
                      <w:sz w:val="24"/>
                      <w:szCs w:val="24"/>
                      <w:highlight w:val="none"/>
                      <w:u w:val="none"/>
                      <w:lang w:val="en-US" w:eastAsia="zh-CN" w:bidi="ar-SA"/>
                    </w:rPr>
                    <w:t xml:space="preserve">系统及软件功</w:t>
                  </w:r>
                  <w:r>
                    <w:rPr>
                      <w:rFonts w:hint="eastAsia" w:ascii="宋体" w:hAnsi="宋体" w:eastAsia="宋体" w:cs="宋体"/>
                      <w:i w:val="0"/>
                      <w:iCs w:val="0"/>
                      <w:color w:val="auto"/>
                      <w:spacing w:val="-10"/>
                      <w:sz w:val="24"/>
                      <w:szCs w:val="24"/>
                      <w:highlight w:val="none"/>
                      <w:u w:val="none"/>
                      <w:lang w:val="en-US" w:eastAsia="zh-CN" w:bidi="ar-SA"/>
                    </w:rPr>
                    <w:t xml:space="preserve">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中文信息处理要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18030</w:t>
                  </w:r>
                  <w:r>
                    <w:rPr>
                      <w:rFonts w:hint="eastAsia" w:ascii="宋体" w:hAnsi="宋体" w:eastAsia="宋体" w:cs="宋体"/>
                      <w:i/>
                      <w:iCs/>
                      <w:color w:val="auto"/>
                      <w:spacing w:val="-10"/>
                      <w:sz w:val="24"/>
                      <w:szCs w:val="24"/>
                      <w:highlight w:val="none"/>
                      <w:u w:val="single"/>
                      <w:lang w:val="en-US" w:eastAsia="zh-CN" w:bidi="ar-SA"/>
                    </w:rPr>
                    <w:t xml:space="preserve"> 的相关规定</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操作系统备份及</w:t>
                  </w:r>
                  <w:r>
                    <w:rPr>
                      <w:rFonts w:hint="eastAsia" w:ascii="宋体" w:hAnsi="宋体" w:eastAsia="宋体" w:cs="宋体"/>
                      <w:i w:val="0"/>
                      <w:iCs w:val="0"/>
                      <w:color w:val="auto"/>
                      <w:spacing w:val="-3"/>
                      <w:sz w:val="24"/>
                      <w:szCs w:val="24"/>
                      <w:highlight w:val="none"/>
                      <w:u w:val="none"/>
                      <w:lang w:val="en-US" w:eastAsia="zh-CN" w:bidi="ar-SA"/>
                    </w:rPr>
                    <w:t xml:space="preserve">还原功能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支持操作系统备份及还原功能</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固件备份还原能</w:t>
                  </w:r>
                  <w:r>
                    <w:rPr>
                      <w:rFonts w:hint="eastAsia" w:ascii="宋体" w:hAnsi="宋体" w:eastAsia="宋体" w:cs="宋体"/>
                      <w:i w:val="0"/>
                      <w:iCs w:val="0"/>
                      <w:color w:val="auto"/>
                      <w:spacing w:val="-10"/>
                      <w:sz w:val="24"/>
                      <w:szCs w:val="24"/>
                      <w:highlight w:val="none"/>
                      <w:u w:val="none"/>
                      <w:lang w:val="en-US" w:eastAsia="zh-CN" w:bidi="ar-SA"/>
                    </w:rPr>
                    <w:t xml:space="preserve">力</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支持备份及还原固件的功能</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操作系统及驱动</w:t>
                  </w:r>
                  <w:r>
                    <w:rPr>
                      <w:rFonts w:hint="eastAsia" w:ascii="宋体" w:hAnsi="宋体" w:eastAsia="宋体" w:cs="宋体"/>
                      <w:i w:val="0"/>
                      <w:iCs w:val="0"/>
                      <w:color w:val="auto"/>
                      <w:spacing w:val="-6"/>
                      <w:sz w:val="24"/>
                      <w:szCs w:val="24"/>
                      <w:highlight w:val="none"/>
                      <w:u w:val="none"/>
                      <w:lang w:val="en-US" w:eastAsia="zh-CN" w:bidi="ar-SA"/>
                    </w:rPr>
                    <w:t xml:space="preserve">升级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 xml:space="preserve">支持通过网络、闪存盘等方式对操作系</w:t>
                  </w:r>
                  <w:r>
                    <w:rPr>
                      <w:rFonts w:hint="eastAsia" w:ascii="宋体" w:hAnsi="宋体" w:eastAsia="宋体" w:cs="宋体"/>
                      <w:i/>
                      <w:iCs/>
                      <w:color w:val="auto"/>
                      <w:spacing w:val="-2"/>
                      <w:sz w:val="24"/>
                      <w:szCs w:val="24"/>
                      <w:highlight w:val="none"/>
                      <w:u w:val="single"/>
                      <w:lang w:val="en-US" w:eastAsia="zh-CN" w:bidi="ar-SA"/>
                    </w:rPr>
                    <w:t xml:space="preserve">统、驱动进行升级</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固件升级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 xml:space="preserve">支持通过网络、闪存盘等方式对固件进</w:t>
                  </w:r>
                  <w:r>
                    <w:rPr>
                      <w:rFonts w:hint="eastAsia" w:ascii="宋体" w:hAnsi="宋体" w:eastAsia="宋体" w:cs="宋体"/>
                      <w:i/>
                      <w:iCs/>
                      <w:color w:val="auto"/>
                      <w:spacing w:val="-4"/>
                      <w:sz w:val="24"/>
                      <w:szCs w:val="24"/>
                      <w:highlight w:val="none"/>
                      <w:u w:val="single"/>
                      <w:lang w:val="en-US" w:eastAsia="zh-CN" w:bidi="ar-SA"/>
                    </w:rPr>
                    <w:t xml:space="preserve">行升级</w:t>
                  </w:r>
                  <w:r/>
                </w:p>
              </w:tc>
            </w:tr>
            <w:tr>
              <w:trPr>
                <w:trHeight w:val="71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BIOS</w:t>
                  </w:r>
                  <w:r>
                    <w:rPr>
                      <w:rFonts w:hint="eastAsia" w:ascii="宋体" w:hAnsi="宋体" w:eastAsia="宋体" w:cs="宋体"/>
                      <w:i w:val="0"/>
                      <w:iCs w:val="0"/>
                      <w:color w:val="auto"/>
                      <w:spacing w:val="-12"/>
                      <w:sz w:val="24"/>
                      <w:szCs w:val="24"/>
                      <w:highlight w:val="none"/>
                      <w:u w:val="none"/>
                      <w:lang w:val="en-US" w:eastAsia="zh-CN" w:bidi="ar-SA"/>
                    </w:rPr>
                    <w:t xml:space="preserve"> 支</w:t>
                  </w:r>
                  <w:r>
                    <w:rPr>
                      <w:rFonts w:hint="eastAsia" w:ascii="宋体" w:hAnsi="宋体" w:eastAsia="宋体" w:cs="宋体"/>
                      <w:i w:val="0"/>
                      <w:iCs w:val="0"/>
                      <w:color w:val="auto"/>
                      <w:spacing w:val="-4"/>
                      <w:sz w:val="24"/>
                      <w:szCs w:val="24"/>
                      <w:highlight w:val="none"/>
                      <w:u w:val="none"/>
                      <w:lang w:val="en-US" w:eastAsia="zh-CN" w:bidi="ar-SA"/>
                    </w:rPr>
                    <w:t xml:space="preserve">持关闭通讯接口</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BIOS</w:t>
                  </w:r>
                  <w:r>
                    <w:rPr>
                      <w:rFonts w:hint="eastAsia" w:ascii="宋体" w:hAnsi="宋体" w:eastAsia="宋体" w:cs="宋体"/>
                      <w:i/>
                      <w:iCs/>
                      <w:color w:val="auto"/>
                      <w:spacing w:val="-12"/>
                      <w:sz w:val="24"/>
                      <w:szCs w:val="24"/>
                      <w:highlight w:val="none"/>
                      <w:u w:val="single"/>
                      <w:lang w:val="en-US" w:eastAsia="zh-CN" w:bidi="ar-SA"/>
                    </w:rPr>
                    <w:t xml:space="preserve"> 关闭以太网及 </w:t>
                  </w:r>
                  <w:r>
                    <w:rPr>
                      <w:rFonts w:hint="eastAsia" w:ascii="宋体" w:hAnsi="宋体" w:eastAsia="宋体" w:cs="宋体"/>
                      <w:i/>
                      <w:iCs/>
                      <w:color w:val="auto"/>
                      <w:spacing w:val="-2"/>
                      <w:sz w:val="24"/>
                      <w:szCs w:val="24"/>
                      <w:highlight w:val="none"/>
                      <w:u w:val="single"/>
                      <w:lang w:val="en-US" w:eastAsia="zh-CN" w:bidi="ar-SA"/>
                    </w:rPr>
                    <w:t xml:space="preserve">USB</w:t>
                  </w:r>
                  <w:r>
                    <w:rPr>
                      <w:rFonts w:hint="eastAsia" w:ascii="宋体" w:hAnsi="宋体" w:eastAsia="宋体" w:cs="宋体"/>
                      <w:i/>
                      <w:iCs/>
                      <w:color w:val="auto"/>
                      <w:spacing w:val="-11"/>
                      <w:sz w:val="24"/>
                      <w:szCs w:val="24"/>
                      <w:highlight w:val="none"/>
                      <w:u w:val="single"/>
                      <w:lang w:val="en-US" w:eastAsia="zh-CN" w:bidi="ar-SA"/>
                    </w:rPr>
                    <w:t xml:space="preserve"> 接口功能</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固件查看信息</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支持查看固件版本、内存信息、主板信</w:t>
                  </w:r>
                  <w:r>
                    <w:rPr>
                      <w:rFonts w:hint="eastAsia" w:ascii="宋体" w:hAnsi="宋体" w:eastAsia="宋体" w:cs="宋体"/>
                      <w:i/>
                      <w:iCs/>
                      <w:color w:val="auto"/>
                      <w:spacing w:val="-10"/>
                      <w:sz w:val="24"/>
                      <w:szCs w:val="24"/>
                      <w:highlight w:val="none"/>
                      <w:u w:val="single"/>
                      <w:lang w:val="en-US" w:eastAsia="zh-CN" w:bidi="ar-SA"/>
                    </w:rPr>
                    <w:t xml:space="preserve">息、处理器信息和系统时间信息等功能</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固件设置启动顺</w:t>
                  </w:r>
                  <w:r>
                    <w:rPr>
                      <w:rFonts w:hint="eastAsia" w:ascii="宋体" w:hAnsi="宋体" w:eastAsia="宋体" w:cs="宋体"/>
                      <w:i w:val="0"/>
                      <w:iCs w:val="0"/>
                      <w:color w:val="auto"/>
                      <w:spacing w:val="-10"/>
                      <w:sz w:val="24"/>
                      <w:szCs w:val="24"/>
                      <w:highlight w:val="none"/>
                      <w:u w:val="none"/>
                      <w:lang w:val="en-US" w:eastAsia="zh-CN" w:bidi="ar-SA"/>
                    </w:rPr>
                    <w:t xml:space="preserve">序</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支持设置启动顺序功能，并按照设置的</w:t>
                  </w:r>
                  <w:r>
                    <w:rPr>
                      <w:rFonts w:hint="eastAsia" w:ascii="宋体" w:hAnsi="宋体" w:eastAsia="宋体" w:cs="宋体"/>
                      <w:i/>
                      <w:iCs/>
                      <w:color w:val="auto"/>
                      <w:spacing w:val="-2"/>
                      <w:sz w:val="24"/>
                      <w:szCs w:val="24"/>
                      <w:highlight w:val="none"/>
                      <w:u w:val="single"/>
                      <w:lang w:val="en-US" w:eastAsia="zh-CN" w:bidi="ar-SA"/>
                    </w:rPr>
                    <w:t xml:space="preserve">启动顺序启动</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139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固件设置口令</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支持设置口令、修改口令、验证口令功</w:t>
                  </w:r>
                  <w:r>
                    <w:rPr>
                      <w:rFonts w:hint="eastAsia" w:ascii="宋体" w:hAnsi="宋体" w:eastAsia="宋体" w:cs="宋体"/>
                      <w:i/>
                      <w:iCs/>
                      <w:color w:val="auto"/>
                      <w:spacing w:val="-10"/>
                      <w:sz w:val="24"/>
                      <w:szCs w:val="24"/>
                      <w:highlight w:val="none"/>
                      <w:u w:val="single"/>
                      <w:lang w:val="en-US" w:eastAsia="zh-CN" w:bidi="ar-SA"/>
                    </w:rPr>
                    <w:t xml:space="preserve">能</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固件设置网络引</w:t>
                  </w:r>
                  <w:r>
                    <w:rPr>
                      <w:rFonts w:hint="eastAsia" w:ascii="宋体" w:hAnsi="宋体" w:eastAsia="宋体" w:cs="宋体"/>
                      <w:i w:val="0"/>
                      <w:iCs w:val="0"/>
                      <w:color w:val="auto"/>
                      <w:spacing w:val="-10"/>
                      <w:sz w:val="24"/>
                      <w:szCs w:val="24"/>
                      <w:highlight w:val="none"/>
                      <w:u w:val="none"/>
                      <w:lang w:val="en-US" w:eastAsia="zh-CN" w:bidi="ar-SA"/>
                    </w:rPr>
                    <w:t xml:space="preserve">导</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支持网络引导启动和关闭功能</w:t>
                  </w:r>
                  <w:r/>
                </w:p>
              </w:tc>
            </w:tr>
            <w:tr>
              <w:trPr>
                <w:trHeight w:val="934"/>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生物识别</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指纹识别</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指纹识别功能符合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37742</w:t>
                  </w:r>
                  <w:r>
                    <w:rPr>
                      <w:rFonts w:hint="eastAsia" w:ascii="宋体" w:hAnsi="宋体" w:eastAsia="宋体" w:cs="宋体"/>
                      <w:i/>
                      <w:iCs/>
                      <w:color w:val="auto"/>
                      <w:spacing w:val="-12"/>
                      <w:sz w:val="24"/>
                      <w:szCs w:val="24"/>
                      <w:highlight w:val="none"/>
                      <w:u w:val="single"/>
                      <w:lang w:val="en-US" w:eastAsia="zh-CN" w:bidi="ar-SA"/>
                    </w:rPr>
                    <w:t xml:space="preserve"> 的相关</w:t>
                  </w:r>
                  <w:r>
                    <w:rPr>
                      <w:rFonts w:hint="eastAsia" w:ascii="宋体" w:hAnsi="宋体" w:eastAsia="宋体" w:cs="宋体"/>
                      <w:i/>
                      <w:iCs/>
                      <w:color w:val="auto"/>
                      <w:spacing w:val="-6"/>
                      <w:sz w:val="24"/>
                      <w:szCs w:val="24"/>
                      <w:highlight w:val="none"/>
                      <w:u w:val="single"/>
                      <w:lang w:val="en-US" w:eastAsia="zh-CN" w:bidi="ar-SA"/>
                    </w:rPr>
                    <w:t xml:space="preserve">规定</w:t>
                  </w:r>
                  <w:r/>
                </w:p>
              </w:tc>
            </w:tr>
            <w:tr>
              <w:trPr>
                <w:trHeight w:val="933"/>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人脸识别</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人脸识别功能符合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37036.3</w:t>
                  </w:r>
                  <w:r>
                    <w:rPr>
                      <w:rFonts w:hint="eastAsia" w:ascii="宋体" w:hAnsi="宋体" w:eastAsia="宋体" w:cs="宋体"/>
                      <w:i/>
                      <w:iCs/>
                      <w:color w:val="auto"/>
                      <w:spacing w:val="-15"/>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 xml:space="preserve">关规定</w:t>
                  </w:r>
                  <w:r/>
                </w:p>
              </w:tc>
            </w:tr>
            <w:tr>
              <w:trPr>
                <w:trHeight w:val="933"/>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 xml:space="preserve">静脉识别</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指静脉识别功能符合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33135</w:t>
                  </w:r>
                  <w:r>
                    <w:rPr>
                      <w:rFonts w:hint="eastAsia" w:ascii="宋体" w:hAnsi="宋体" w:eastAsia="宋体" w:cs="宋体"/>
                      <w:i/>
                      <w:iCs/>
                      <w:color w:val="auto"/>
                      <w:spacing w:val="-15"/>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 xml:space="preserve">关规定</w:t>
                  </w:r>
                  <w:r/>
                </w:p>
              </w:tc>
            </w:tr>
            <w:tr>
              <w:trPr>
                <w:trHeight w:val="701"/>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硬件加速</w:t>
                  </w:r>
                  <w:r>
                    <w:rPr>
                      <w:rFonts w:hint="eastAsia" w:ascii="宋体" w:hAnsi="宋体" w:eastAsia="宋体" w:cs="宋体"/>
                      <w:i w:val="0"/>
                      <w:iCs w:val="0"/>
                      <w:color w:val="auto"/>
                      <w:spacing w:val="-5"/>
                      <w:sz w:val="24"/>
                      <w:szCs w:val="24"/>
                      <w:highlight w:val="none"/>
                      <w:u w:val="none"/>
                      <w:lang w:val="en-US" w:eastAsia="zh-CN" w:bidi="ar-SA"/>
                    </w:rPr>
                    <w:t xml:space="preserve">功能</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NPU/GPU</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5"/>
                      <w:sz w:val="24"/>
                      <w:szCs w:val="24"/>
                      <w:highlight w:val="none"/>
                      <w:u w:val="none"/>
                      <w:lang w:val="en-US" w:eastAsia="zh-CN" w:bidi="ar-SA"/>
                    </w:rPr>
                    <w:t xml:space="preserve">等</w:t>
                  </w:r>
                  <w:r>
                    <w:rPr>
                      <w:rFonts w:hint="eastAsia" w:ascii="宋体" w:hAnsi="宋体" w:eastAsia="宋体" w:cs="宋体"/>
                      <w:i w:val="0"/>
                      <w:iCs w:val="0"/>
                      <w:color w:val="auto"/>
                      <w:sz w:val="24"/>
                      <w:szCs w:val="24"/>
                      <w:highlight w:val="none"/>
                      <w:u w:val="none"/>
                      <w:lang w:val="en-US" w:eastAsia="zh-CN" w:bidi="ar-SA"/>
                    </w:rPr>
                    <w:t xml:space="preserve">AI</w:t>
                  </w:r>
                  <w:r>
                    <w:rPr>
                      <w:rFonts w:hint="eastAsia" w:ascii="宋体" w:hAnsi="宋体" w:eastAsia="宋体" w:cs="宋体"/>
                      <w:i w:val="0"/>
                      <w:iCs w:val="0"/>
                      <w:color w:val="auto"/>
                      <w:spacing w:val="-22"/>
                      <w:sz w:val="24"/>
                      <w:szCs w:val="24"/>
                      <w:highlight w:val="none"/>
                      <w:u w:val="none"/>
                      <w:lang w:val="en-US" w:eastAsia="zh-CN" w:bidi="ar-SA"/>
                    </w:rPr>
                    <w:t xml:space="preserve"> 加</w:t>
                  </w:r>
                  <w:r>
                    <w:rPr>
                      <w:rFonts w:hint="eastAsia" w:ascii="宋体" w:hAnsi="宋体" w:eastAsia="宋体" w:cs="宋体"/>
                      <w:i w:val="0"/>
                      <w:iCs w:val="0"/>
                      <w:color w:val="auto"/>
                      <w:spacing w:val="-4"/>
                      <w:sz w:val="24"/>
                      <w:szCs w:val="24"/>
                      <w:highlight w:val="none"/>
                      <w:u w:val="none"/>
                      <w:lang w:val="en-US" w:eastAsia="zh-CN" w:bidi="ar-SA"/>
                    </w:rPr>
                    <w:t xml:space="preserve">速模块</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NPU/GPU</w:t>
                  </w:r>
                  <w:r>
                    <w:rPr>
                      <w:rFonts w:hint="eastAsia" w:ascii="宋体" w:hAnsi="宋体" w:eastAsia="宋体" w:cs="宋体"/>
                      <w:i/>
                      <w:iCs/>
                      <w:color w:val="auto"/>
                      <w:spacing w:val="-27"/>
                      <w:sz w:val="24"/>
                      <w:szCs w:val="24"/>
                      <w:highlight w:val="none"/>
                      <w:u w:val="single"/>
                      <w:lang w:val="en-US" w:eastAsia="zh-CN" w:bidi="ar-SA"/>
                    </w:rPr>
                    <w:t xml:space="preserve"> 等 </w:t>
                  </w:r>
                  <w:r>
                    <w:rPr>
                      <w:rFonts w:hint="eastAsia" w:ascii="宋体" w:hAnsi="宋体" w:eastAsia="宋体" w:cs="宋体"/>
                      <w:i/>
                      <w:iCs/>
                      <w:color w:val="auto"/>
                      <w:spacing w:val="-2"/>
                      <w:sz w:val="24"/>
                      <w:szCs w:val="24"/>
                      <w:highlight w:val="none"/>
                      <w:u w:val="single"/>
                      <w:lang w:val="en-US" w:eastAsia="zh-CN" w:bidi="ar-SA"/>
                    </w:rPr>
                    <w:t xml:space="preserve">AI</w:t>
                  </w:r>
                  <w:r>
                    <w:rPr>
                      <w:rFonts w:hint="eastAsia" w:ascii="宋体" w:hAnsi="宋体" w:eastAsia="宋体" w:cs="宋体"/>
                      <w:i/>
                      <w:iCs/>
                      <w:color w:val="auto"/>
                      <w:spacing w:val="-12"/>
                      <w:sz w:val="24"/>
                      <w:szCs w:val="24"/>
                      <w:highlight w:val="none"/>
                      <w:u w:val="single"/>
                      <w:lang w:val="en-US" w:eastAsia="zh-CN" w:bidi="ar-SA"/>
                    </w:rPr>
                    <w:t xml:space="preserve"> 加速模块</w:t>
                  </w:r>
                  <w:r/>
                </w:p>
              </w:tc>
            </w:tr>
            <w:tr>
              <w:trPr>
                <w:trHeight w:val="932"/>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视频编解码加速模</w:t>
                  </w:r>
                  <w:r>
                    <w:rPr>
                      <w:rFonts w:hint="eastAsia" w:ascii="宋体" w:hAnsi="宋体" w:eastAsia="宋体" w:cs="宋体"/>
                      <w:i w:val="0"/>
                      <w:iCs w:val="0"/>
                      <w:color w:val="auto"/>
                      <w:spacing w:val="-10"/>
                      <w:sz w:val="24"/>
                      <w:szCs w:val="24"/>
                      <w:highlight w:val="none"/>
                      <w:u w:val="none"/>
                      <w:lang w:val="en-US" w:eastAsia="zh-CN" w:bidi="ar-SA"/>
                    </w:rPr>
                    <w:t xml:space="preserve">块</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支持视频编解码加速模块</w:t>
                  </w:r>
                  <w:r/>
                </w:p>
              </w:tc>
            </w:tr>
            <w:tr>
              <w:trPr>
                <w:trHeight w:val="701"/>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功能</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影像处理</w:t>
                  </w:r>
                  <w:r>
                    <w:rPr>
                      <w:rFonts w:hint="eastAsia" w:ascii="宋体" w:hAnsi="宋体" w:eastAsia="宋体" w:cs="宋体"/>
                      <w:i w:val="0"/>
                      <w:iCs w:val="0"/>
                      <w:color w:val="auto"/>
                      <w:spacing w:val="-3"/>
                      <w:sz w:val="24"/>
                      <w:szCs w:val="24"/>
                      <w:highlight w:val="none"/>
                      <w:u w:val="none"/>
                      <w:lang w:val="en-US" w:eastAsia="zh-CN" w:bidi="ar-SA"/>
                    </w:rPr>
                    <w:t xml:space="preserve">加速模块</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支持影像处理加速模块</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可靠</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存储</w:t>
                  </w:r>
                  <w:r>
                    <w:rPr>
                      <w:rFonts w:hint="eastAsia" w:ascii="宋体" w:hAnsi="宋体" w:eastAsia="宋体" w:cs="宋体"/>
                      <w:i w:val="0"/>
                      <w:iCs w:val="0"/>
                      <w:color w:val="auto"/>
                      <w:spacing w:val="-6"/>
                      <w:sz w:val="24"/>
                      <w:szCs w:val="24"/>
                      <w:highlight w:val="none"/>
                      <w:u w:val="none"/>
                      <w:lang w:val="en-US" w:eastAsia="zh-CN" w:bidi="ar-SA"/>
                    </w:rPr>
                    <w:t xml:space="preserve">设备可靠</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固态存储寿命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TBW</w:t>
                  </w:r>
                  <w:r>
                    <w:rPr>
                      <w:rFonts w:hint="eastAsia" w:ascii="宋体" w:hAnsi="宋体" w:eastAsia="宋体" w:cs="宋体"/>
                      <w:i/>
                      <w:iCs/>
                      <w:color w:val="auto"/>
                      <w:spacing w:val="-10"/>
                      <w:sz w:val="24"/>
                      <w:szCs w:val="24"/>
                      <w:highlight w:val="none"/>
                      <w:u w:val="single"/>
                      <w:lang w:val="en-US" w:eastAsia="zh-CN" w:bidi="ar-SA"/>
                    </w:rPr>
                    <w:t xml:space="preserve"> ≥ </w:t>
                  </w:r>
                  <w:r>
                    <w:rPr>
                      <w:rFonts w:hint="eastAsia" w:ascii="宋体" w:hAnsi="宋体" w:eastAsia="宋体" w:cs="宋体"/>
                      <w:i/>
                      <w:iCs/>
                      <w:color w:val="auto"/>
                      <w:sz w:val="24"/>
                      <w:szCs w:val="24"/>
                      <w:highlight w:val="none"/>
                      <w:u w:val="single"/>
                      <w:lang w:val="en-US" w:eastAsia="zh-CN" w:bidi="ar-SA"/>
                    </w:rPr>
                    <w:t xml:space="preserve">80TB（条件：240GB</w:t>
                  </w:r>
                  <w:r>
                    <w:rPr>
                      <w:rFonts w:hint="eastAsia" w:ascii="宋体" w:hAnsi="宋体" w:eastAsia="宋体" w:cs="宋体"/>
                      <w:i/>
                      <w:iCs/>
                      <w:color w:val="auto"/>
                      <w:spacing w:val="-10"/>
                      <w:sz w:val="24"/>
                      <w:szCs w:val="24"/>
                      <w:highlight w:val="none"/>
                      <w:u w:val="single"/>
                      <w:lang w:val="en-US" w:eastAsia="zh-CN" w:bidi="ar-SA"/>
                    </w:rPr>
                    <w:t xml:space="preserve"> 硬盘容量）</w:t>
                  </w:r>
                  <w:r/>
                </w:p>
              </w:tc>
            </w:tr>
            <w:tr>
              <w:trPr>
                <w:trHeight w:val="7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可靠</w:t>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机械硬盘寿命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通电时间≥5</w:t>
                  </w:r>
                  <w:r>
                    <w:rPr>
                      <w:rFonts w:hint="eastAsia" w:ascii="宋体" w:hAnsi="宋体" w:eastAsia="宋体" w:cs="宋体"/>
                      <w:i/>
                      <w:iCs/>
                      <w:color w:val="auto"/>
                      <w:spacing w:val="-15"/>
                      <w:sz w:val="24"/>
                      <w:szCs w:val="24"/>
                      <w:highlight w:val="none"/>
                      <w:u w:val="single"/>
                      <w:lang w:val="en-US" w:eastAsia="zh-CN" w:bidi="ar-SA"/>
                    </w:rPr>
                    <w:t xml:space="preserve"> 万小时</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149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w:t>
                  </w:r>
                  <w:r>
                    <w:rPr>
                      <w:rFonts w:hint="eastAsia" w:ascii="宋体" w:hAnsi="宋体" w:eastAsia="宋体" w:cs="宋体"/>
                      <w:i w:val="0"/>
                      <w:iCs w:val="0"/>
                      <w:color w:val="auto"/>
                      <w:spacing w:val="-6"/>
                      <w:sz w:val="24"/>
                      <w:szCs w:val="24"/>
                      <w:highlight w:val="none"/>
                      <w:u w:val="none"/>
                      <w:lang w:val="en-US" w:eastAsia="zh-CN" w:bidi="ar-SA"/>
                    </w:rPr>
                    <w:t xml:space="preserve">设备可靠</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显示屏屏幕失效</w:t>
                  </w:r>
                  <w:r>
                    <w:rPr>
                      <w:rFonts w:hint="eastAsia" w:ascii="宋体" w:hAnsi="宋体" w:eastAsia="宋体" w:cs="宋体"/>
                      <w:i w:val="0"/>
                      <w:iCs w:val="0"/>
                      <w:color w:val="auto"/>
                      <w:spacing w:val="-10"/>
                      <w:sz w:val="24"/>
                      <w:szCs w:val="24"/>
                      <w:highlight w:val="none"/>
                      <w:u w:val="none"/>
                      <w:lang w:val="en-US" w:eastAsia="zh-CN" w:bidi="ar-SA"/>
                    </w:rPr>
                    <w:t xml:space="preserve">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9813.2</w:t>
                  </w:r>
                  <w:r>
                    <w:rPr>
                      <w:rFonts w:hint="eastAsia" w:ascii="宋体" w:hAnsi="宋体" w:eastAsia="宋体" w:cs="宋体"/>
                      <w:i/>
                      <w:iCs/>
                      <w:color w:val="auto"/>
                      <w:spacing w:val="-14"/>
                      <w:sz w:val="24"/>
                      <w:szCs w:val="24"/>
                      <w:highlight w:val="none"/>
                      <w:u w:val="single"/>
                      <w:lang w:val="en-US" w:eastAsia="zh-CN" w:bidi="ar-SA"/>
                    </w:rPr>
                    <w:t xml:space="preserve"> 的要求</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外设</w:t>
                  </w:r>
                  <w:r>
                    <w:rPr>
                      <w:rFonts w:hint="eastAsia" w:ascii="宋体" w:hAnsi="宋体" w:eastAsia="宋体" w:cs="宋体"/>
                      <w:i w:val="0"/>
                      <w:iCs w:val="0"/>
                      <w:color w:val="auto"/>
                      <w:spacing w:val="-6"/>
                      <w:sz w:val="24"/>
                      <w:szCs w:val="24"/>
                      <w:highlight w:val="none"/>
                      <w:u w:val="none"/>
                      <w:lang w:val="en-US" w:eastAsia="zh-CN" w:bidi="ar-SA"/>
                    </w:rPr>
                    <w:t xml:space="preserve">可靠</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键盘按键寿命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≥1000</w:t>
                  </w:r>
                  <w:r>
                    <w:rPr>
                      <w:rFonts w:hint="eastAsia" w:ascii="宋体" w:hAnsi="宋体" w:eastAsia="宋体" w:cs="宋体"/>
                      <w:i/>
                      <w:iCs/>
                      <w:color w:val="auto"/>
                      <w:spacing w:val="-16"/>
                      <w:sz w:val="24"/>
                      <w:szCs w:val="24"/>
                      <w:highlight w:val="none"/>
                      <w:u w:val="single"/>
                      <w:lang w:val="en-US" w:eastAsia="zh-CN" w:bidi="ar-SA"/>
                    </w:rPr>
                    <w:t xml:space="preserve"> 万次</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鼠标按键寿命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≥500</w:t>
                  </w:r>
                  <w:r>
                    <w:rPr>
                      <w:rFonts w:hint="eastAsia" w:ascii="宋体" w:hAnsi="宋体" w:eastAsia="宋体" w:cs="宋体"/>
                      <w:i/>
                      <w:iCs/>
                      <w:color w:val="auto"/>
                      <w:spacing w:val="-17"/>
                      <w:sz w:val="24"/>
                      <w:szCs w:val="24"/>
                      <w:highlight w:val="none"/>
                      <w:u w:val="single"/>
                      <w:lang w:val="en-US" w:eastAsia="zh-CN" w:bidi="ar-SA"/>
                    </w:rPr>
                    <w:t xml:space="preserve"> 万次</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键盘鼠标线材寿</w:t>
                  </w:r>
                  <w:r>
                    <w:rPr>
                      <w:rFonts w:hint="eastAsia" w:ascii="宋体" w:hAnsi="宋体" w:eastAsia="宋体" w:cs="宋体"/>
                      <w:i w:val="0"/>
                      <w:iCs w:val="0"/>
                      <w:color w:val="auto"/>
                      <w:spacing w:val="-10"/>
                      <w:sz w:val="24"/>
                      <w:szCs w:val="24"/>
                      <w:highlight w:val="none"/>
                      <w:u w:val="none"/>
                      <w:lang w:val="en-US" w:eastAsia="zh-CN" w:bidi="ar-SA"/>
                    </w:rPr>
                    <w:t xml:space="preserve">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键盘鼠标所用线材经±60°弯折不低</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 xml:space="preserve">3000</w:t>
                  </w:r>
                  <w:r>
                    <w:rPr>
                      <w:rFonts w:hint="eastAsia" w:ascii="宋体" w:hAnsi="宋体" w:eastAsia="宋体" w:cs="宋体"/>
                      <w:i/>
                      <w:iCs/>
                      <w:color w:val="auto"/>
                      <w:spacing w:val="-5"/>
                      <w:sz w:val="24"/>
                      <w:szCs w:val="24"/>
                      <w:highlight w:val="none"/>
                      <w:u w:val="single"/>
                      <w:lang w:val="en-US" w:eastAsia="zh-CN" w:bidi="ar-SA"/>
                    </w:rPr>
                    <w:t xml:space="preserve"> 次，功能、外观完好</w:t>
                  </w:r>
                  <w:r/>
                </w:p>
              </w:tc>
            </w:tr>
            <w:tr>
              <w:trPr>
                <w:trHeight w:val="71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风扇寿</w:t>
                  </w:r>
                  <w:r>
                    <w:rPr>
                      <w:rFonts w:hint="eastAsia" w:ascii="宋体" w:hAnsi="宋体" w:eastAsia="宋体" w:cs="宋体"/>
                      <w:i w:val="0"/>
                      <w:iCs w:val="0"/>
                      <w:color w:val="auto"/>
                      <w:spacing w:val="-10"/>
                      <w:sz w:val="24"/>
                      <w:szCs w:val="24"/>
                      <w:highlight w:val="none"/>
                      <w:u w:val="none"/>
                      <w:lang w:val="en-US" w:eastAsia="zh-CN" w:bidi="ar-SA"/>
                    </w:rPr>
                    <w:t xml:space="preserve">命</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≥4</w:t>
                  </w:r>
                  <w:r>
                    <w:rPr>
                      <w:rFonts w:hint="eastAsia" w:ascii="宋体" w:hAnsi="宋体" w:eastAsia="宋体" w:cs="宋体"/>
                      <w:i/>
                      <w:iCs/>
                      <w:color w:val="auto"/>
                      <w:spacing w:val="-15"/>
                      <w:sz w:val="24"/>
                      <w:szCs w:val="24"/>
                      <w:highlight w:val="none"/>
                      <w:u w:val="single"/>
                      <w:lang w:val="en-US" w:eastAsia="zh-CN" w:bidi="ar-SA"/>
                    </w:rPr>
                    <w:t xml:space="preserve"> 万小时</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w:t>
                  </w: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电磁兼容性要求</w:t>
                  </w:r>
                  <w:r>
                    <w:rPr>
                      <w:rFonts w:hint="eastAsia" w:ascii="宋体" w:hAnsi="宋体" w:eastAsia="宋体" w:cs="宋体"/>
                      <w:i w:val="0"/>
                      <w:iCs w:val="0"/>
                      <w:color w:val="auto"/>
                      <w:spacing w:val="-3"/>
                      <w:sz w:val="24"/>
                      <w:szCs w:val="24"/>
                      <w:highlight w:val="none"/>
                      <w:u w:val="none"/>
                      <w:lang w:val="en-US" w:eastAsia="zh-CN" w:bidi="ar-SA"/>
                    </w:rPr>
                    <w:t xml:space="preserve">的抗扰度</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9254.2</w:t>
                  </w:r>
                  <w:r>
                    <w:rPr>
                      <w:rFonts w:hint="eastAsia" w:ascii="宋体" w:hAnsi="宋体" w:eastAsia="宋体" w:cs="宋体"/>
                      <w:i/>
                      <w:iCs/>
                      <w:color w:val="auto"/>
                      <w:spacing w:val="-14"/>
                      <w:sz w:val="24"/>
                      <w:szCs w:val="24"/>
                      <w:highlight w:val="none"/>
                      <w:u w:val="single"/>
                      <w:lang w:val="en-US" w:eastAsia="zh-CN" w:bidi="ar-SA"/>
                    </w:rPr>
                    <w:t xml:space="preserve"> 的规定</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环境条件要求的气候环境适应性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环境条件要求的振动适应</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环境条件要求的冲击适应</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环境条件要求的碰撞适应</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159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环境条件要求的运输包装件跌落适</w:t>
                  </w:r>
                  <w:r>
                    <w:rPr>
                      <w:rFonts w:hint="eastAsia" w:ascii="宋体" w:hAnsi="宋体" w:eastAsia="宋体" w:cs="宋体"/>
                      <w:i w:val="0"/>
                      <w:iCs w:val="0"/>
                      <w:color w:val="auto"/>
                      <w:spacing w:val="-6"/>
                      <w:sz w:val="24"/>
                      <w:szCs w:val="24"/>
                      <w:highlight w:val="none"/>
                      <w:u w:val="none"/>
                      <w:lang w:val="en-US" w:eastAsia="zh-CN" w:bidi="ar-SA"/>
                    </w:rPr>
                    <w:t xml:space="preserve">应性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可靠性要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MTBF</w:t>
                  </w:r>
                  <w:r>
                    <w:rPr>
                      <w:rFonts w:hint="eastAsia" w:ascii="宋体" w:hAnsi="宋体" w:eastAsia="宋体" w:cs="宋体"/>
                      <w:i w:val="0"/>
                      <w:iCs w:val="0"/>
                      <w:color w:val="auto"/>
                      <w:spacing w:val="-24"/>
                      <w:sz w:val="24"/>
                      <w:szCs w:val="24"/>
                      <w:highlight w:val="none"/>
                      <w:u w:val="none"/>
                      <w:lang w:val="en-US" w:eastAsia="zh-CN" w:bidi="ar-SA"/>
                    </w:rPr>
                    <w:t xml:space="preserve"> 测</w:t>
                  </w:r>
                  <w:r>
                    <w:rPr>
                      <w:rFonts w:hint="eastAsia" w:ascii="宋体" w:hAnsi="宋体" w:eastAsia="宋体" w:cs="宋体"/>
                      <w:i w:val="0"/>
                      <w:iCs w:val="0"/>
                      <w:color w:val="auto"/>
                      <w:spacing w:val="-10"/>
                      <w:sz w:val="24"/>
                      <w:szCs w:val="24"/>
                      <w:highlight w:val="none"/>
                      <w:u w:val="none"/>
                      <w:lang w:val="en-US" w:eastAsia="zh-CN" w:bidi="ar-SA"/>
                    </w:rPr>
                    <w:t xml:space="preserve">试</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MTBF(m1)≥3</w:t>
                  </w:r>
                  <w:r>
                    <w:rPr>
                      <w:rFonts w:hint="eastAsia" w:ascii="宋体" w:hAnsi="宋体" w:eastAsia="宋体" w:cs="宋体"/>
                      <w:i/>
                      <w:iCs/>
                      <w:color w:val="auto"/>
                      <w:spacing w:val="-11"/>
                      <w:sz w:val="24"/>
                      <w:szCs w:val="24"/>
                      <w:highlight w:val="none"/>
                      <w:u w:val="single"/>
                      <w:lang w:val="en-US" w:eastAsia="zh-CN" w:bidi="ar-SA"/>
                    </w:rPr>
                    <w:t xml:space="preserve"> 万小时</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兼容</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兼容</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常用软件兼容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应支持流式软件、版式软件、浏览器、邮件客户端、解压软件、多媒体、图形图像处理等常用软件</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兼容</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数据库</w:t>
                  </w:r>
                  <w:r>
                    <w:rPr>
                      <w:rFonts w:hint="eastAsia" w:ascii="宋体" w:hAnsi="宋体" w:eastAsia="宋体" w:cs="宋体"/>
                      <w:i w:val="0"/>
                      <w:iCs w:val="0"/>
                      <w:color w:val="auto"/>
                      <w:spacing w:val="-6"/>
                      <w:sz w:val="24"/>
                      <w:szCs w:val="24"/>
                      <w:highlight w:val="none"/>
                      <w:u w:val="none"/>
                      <w:lang w:val="en-US" w:eastAsia="zh-CN" w:bidi="ar-SA"/>
                    </w:rPr>
                    <w:t xml:space="preserve">兼容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兼容 </w:t>
                  </w:r>
                  <w:r>
                    <w:rPr>
                      <w:rFonts w:hint="eastAsia" w:ascii="宋体" w:hAnsi="宋体" w:eastAsia="宋体" w:cs="宋体"/>
                      <w:i/>
                      <w:iCs/>
                      <w:color w:val="auto"/>
                      <w:sz w:val="24"/>
                      <w:szCs w:val="24"/>
                      <w:highlight w:val="none"/>
                      <w:u w:val="single"/>
                      <w:lang w:val="en-US" w:eastAsia="zh-CN" w:bidi="ar-SA"/>
                    </w:rPr>
                    <w:t xml:space="preserve">3</w:t>
                  </w:r>
                  <w:r>
                    <w:rPr>
                      <w:rFonts w:hint="eastAsia" w:ascii="宋体" w:hAnsi="宋体" w:eastAsia="宋体" w:cs="宋体"/>
                      <w:i/>
                      <w:iCs/>
                      <w:color w:val="auto"/>
                      <w:spacing w:val="-8"/>
                      <w:sz w:val="24"/>
                      <w:szCs w:val="24"/>
                      <w:highlight w:val="none"/>
                      <w:u w:val="single"/>
                      <w:lang w:val="en-US" w:eastAsia="zh-CN" w:bidi="ar-SA"/>
                    </w:rPr>
                    <w:t xml:space="preserve"> 个及以上厂商的数据库产品</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兼容</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中间件</w:t>
                  </w:r>
                  <w:r>
                    <w:rPr>
                      <w:rFonts w:hint="eastAsia" w:ascii="宋体" w:hAnsi="宋体" w:eastAsia="宋体" w:cs="宋体"/>
                      <w:i w:val="0"/>
                      <w:iCs w:val="0"/>
                      <w:color w:val="auto"/>
                      <w:spacing w:val="-6"/>
                      <w:sz w:val="24"/>
                      <w:szCs w:val="24"/>
                      <w:highlight w:val="none"/>
                      <w:u w:val="none"/>
                      <w:lang w:val="en-US" w:eastAsia="zh-CN" w:bidi="ar-SA"/>
                    </w:rPr>
                    <w:t xml:space="preserve">兼容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兼容 </w:t>
                  </w:r>
                  <w:r>
                    <w:rPr>
                      <w:rFonts w:hint="eastAsia" w:ascii="宋体" w:hAnsi="宋体" w:eastAsia="宋体" w:cs="宋体"/>
                      <w:i/>
                      <w:iCs/>
                      <w:color w:val="auto"/>
                      <w:sz w:val="24"/>
                      <w:szCs w:val="24"/>
                      <w:highlight w:val="none"/>
                      <w:u w:val="single"/>
                      <w:lang w:val="en-US" w:eastAsia="zh-CN" w:bidi="ar-SA"/>
                    </w:rPr>
                    <w:t xml:space="preserve">3</w:t>
                  </w:r>
                  <w:r>
                    <w:rPr>
                      <w:rFonts w:hint="eastAsia" w:ascii="宋体" w:hAnsi="宋体" w:eastAsia="宋体" w:cs="宋体"/>
                      <w:i/>
                      <w:iCs/>
                      <w:color w:val="auto"/>
                      <w:spacing w:val="-8"/>
                      <w:sz w:val="24"/>
                      <w:szCs w:val="24"/>
                      <w:highlight w:val="none"/>
                      <w:u w:val="single"/>
                      <w:lang w:val="en-US" w:eastAsia="zh-CN" w:bidi="ar-SA"/>
                    </w:rPr>
                    <w:t xml:space="preserve"> 个及以上厂商中间件产品</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兼容</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平台软件兼容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7"/>
                      <w:sz w:val="24"/>
                      <w:szCs w:val="24"/>
                      <w:highlight w:val="none"/>
                      <w:u w:val="single"/>
                      <w:lang w:val="en-US" w:eastAsia="zh-CN" w:bidi="ar-SA"/>
                    </w:rPr>
                    <w:t xml:space="preserve">兼容 </w:t>
                  </w:r>
                  <w:r>
                    <w:rPr>
                      <w:rFonts w:hint="eastAsia" w:ascii="宋体" w:hAnsi="宋体" w:eastAsia="宋体" w:cs="宋体"/>
                      <w:i/>
                      <w:iCs/>
                      <w:color w:val="auto"/>
                      <w:spacing w:val="-2"/>
                      <w:sz w:val="24"/>
                      <w:szCs w:val="24"/>
                      <w:highlight w:val="none"/>
                      <w:u w:val="single"/>
                      <w:lang w:val="en-US" w:eastAsia="zh-CN" w:bidi="ar-SA"/>
                    </w:rPr>
                    <w:t xml:space="preserve">3</w:t>
                  </w:r>
                  <w:r>
                    <w:rPr>
                      <w:rFonts w:hint="eastAsia" w:ascii="宋体" w:hAnsi="宋体" w:eastAsia="宋体" w:cs="宋体"/>
                      <w:i/>
                      <w:iCs/>
                      <w:color w:val="auto"/>
                      <w:spacing w:val="-9"/>
                      <w:sz w:val="24"/>
                      <w:szCs w:val="24"/>
                      <w:highlight w:val="none"/>
                      <w:u w:val="single"/>
                      <w:lang w:val="en-US" w:eastAsia="zh-CN" w:bidi="ar-SA"/>
                    </w:rPr>
                    <w:t xml:space="preserve"> 个及以上厂商云计算及大数据</w:t>
                  </w:r>
                  <w:r>
                    <w:rPr>
                      <w:rFonts w:hint="eastAsia" w:ascii="宋体" w:hAnsi="宋体" w:eastAsia="宋体" w:cs="宋体"/>
                      <w:i/>
                      <w:iCs/>
                      <w:color w:val="auto"/>
                      <w:spacing w:val="-6"/>
                      <w:sz w:val="24"/>
                      <w:szCs w:val="24"/>
                      <w:highlight w:val="none"/>
                      <w:u w:val="single"/>
                      <w:lang w:val="en-US" w:eastAsia="zh-CN" w:bidi="ar-SA"/>
                    </w:rPr>
                    <w:t xml:space="preserve">平台</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包装及运输要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包装</w:t>
                  </w:r>
                  <w:r>
                    <w:rPr>
                      <w:rFonts w:hint="eastAsia" w:ascii="宋体" w:hAnsi="宋体" w:eastAsia="宋体" w:cs="宋体"/>
                      <w:i w:val="0"/>
                      <w:iCs w:val="0"/>
                      <w:color w:val="auto"/>
                      <w:spacing w:val="-6"/>
                      <w:sz w:val="24"/>
                      <w:szCs w:val="24"/>
                      <w:highlight w:val="none"/>
                      <w:u w:val="none"/>
                      <w:lang w:val="en-US" w:eastAsia="zh-CN" w:bidi="ar-SA"/>
                    </w:rPr>
                    <w:t xml:space="preserve">及运输要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1"/>
                      <w:sz w:val="24"/>
                      <w:szCs w:val="24"/>
                      <w:highlight w:val="none"/>
                      <w:u w:val="none"/>
                      <w:lang w:val="en-US" w:eastAsia="zh-CN" w:bidi="ar-SA"/>
                    </w:rPr>
                    <w:t xml:space="preserve">标志、包</w:t>
                  </w:r>
                  <w:r>
                    <w:rPr>
                      <w:rFonts w:hint="eastAsia" w:ascii="宋体" w:hAnsi="宋体" w:eastAsia="宋体" w:cs="宋体"/>
                      <w:i w:val="0"/>
                      <w:iCs w:val="0"/>
                      <w:color w:val="auto"/>
                      <w:spacing w:val="-4"/>
                      <w:sz w:val="24"/>
                      <w:szCs w:val="24"/>
                      <w:highlight w:val="none"/>
                      <w:u w:val="none"/>
                      <w:lang w:val="en-US" w:eastAsia="zh-CN" w:bidi="ar-SA"/>
                    </w:rPr>
                    <w:t xml:space="preserve">装、运输和贮存</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符合</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44"/>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9813.1</w:t>
                  </w:r>
                  <w:r>
                    <w:rPr>
                      <w:rFonts w:hint="eastAsia" w:ascii="宋体" w:hAnsi="宋体" w:eastAsia="宋体" w:cs="宋体"/>
                      <w:i/>
                      <w:iCs/>
                      <w:color w:val="auto"/>
                      <w:spacing w:val="-8"/>
                      <w:sz w:val="24"/>
                      <w:szCs w:val="24"/>
                      <w:highlight w:val="none"/>
                      <w:u w:val="single"/>
                      <w:lang w:val="en-US" w:eastAsia="zh-CN" w:bidi="ar-SA"/>
                    </w:rPr>
                    <w:t xml:space="preserve"> 和商品包装政府采购</w:t>
                  </w:r>
                  <w:r>
                    <w:rPr>
                      <w:rFonts w:hint="eastAsia" w:ascii="宋体" w:hAnsi="宋体" w:eastAsia="宋体" w:cs="宋体"/>
                      <w:i/>
                      <w:iCs/>
                      <w:color w:val="auto"/>
                      <w:spacing w:val="-2"/>
                      <w:sz w:val="24"/>
                      <w:szCs w:val="24"/>
                      <w:highlight w:val="none"/>
                      <w:u w:val="single"/>
                      <w:lang w:val="en-US" w:eastAsia="zh-CN" w:bidi="ar-SA"/>
                    </w:rPr>
                    <w:t xml:space="preserve">需求标准的相关规定</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配置检查工具</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供应商提供经自检测试工具</w:t>
                  </w:r>
                  <w:r/>
                </w:p>
              </w:tc>
            </w:tr>
            <w:tr>
              <w:trPr>
                <w:trHeight w:val="120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服务响</w:t>
                  </w:r>
                  <w:r>
                    <w:rPr>
                      <w:rFonts w:hint="eastAsia" w:ascii="宋体" w:hAnsi="宋体" w:eastAsia="宋体" w:cs="宋体"/>
                      <w:i w:val="0"/>
                      <w:iCs w:val="0"/>
                      <w:color w:val="auto"/>
                      <w:spacing w:val="-10"/>
                      <w:sz w:val="24"/>
                      <w:szCs w:val="24"/>
                      <w:highlight w:val="none"/>
                      <w:u w:val="none"/>
                      <w:lang w:val="en-US" w:eastAsia="zh-CN" w:bidi="ar-SA"/>
                    </w:rPr>
                    <w:t xml:space="preserve">应</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a）</w:t>
                  </w:r>
                  <w:r>
                    <w:rPr>
                      <w:rFonts w:hint="eastAsia" w:ascii="宋体" w:hAnsi="宋体" w:eastAsia="宋体" w:cs="宋体"/>
                      <w:i/>
                      <w:iCs/>
                      <w:color w:val="auto"/>
                      <w:spacing w:val="-8"/>
                      <w:sz w:val="24"/>
                      <w:szCs w:val="24"/>
                      <w:highlight w:val="none"/>
                      <w:u w:val="single"/>
                      <w:lang w:val="en-US" w:eastAsia="zh-CN" w:bidi="ar-SA"/>
                    </w:rPr>
                    <w:t xml:space="preserve">提供产品 </w:t>
                  </w:r>
                  <w:r>
                    <w:rPr>
                      <w:rFonts w:hint="eastAsia" w:ascii="宋体" w:hAnsi="宋体" w:eastAsia="宋体" w:cs="宋体"/>
                      <w:i/>
                      <w:iCs/>
                      <w:color w:val="auto"/>
                      <w:spacing w:val="-2"/>
                      <w:sz w:val="24"/>
                      <w:szCs w:val="24"/>
                      <w:highlight w:val="none"/>
                      <w:u w:val="single"/>
                      <w:lang w:val="en-US" w:eastAsia="zh-CN" w:bidi="ar-SA"/>
                    </w:rPr>
                    <w:t xml:space="preserve">3</w:t>
                  </w:r>
                  <w:r>
                    <w:rPr>
                      <w:rFonts w:hint="eastAsia" w:ascii="宋体" w:hAnsi="宋体" w:eastAsia="宋体" w:cs="宋体"/>
                      <w:i/>
                      <w:iCs/>
                      <w:color w:val="auto"/>
                      <w:spacing w:val="-8"/>
                      <w:sz w:val="24"/>
                      <w:szCs w:val="24"/>
                      <w:highlight w:val="none"/>
                      <w:u w:val="single"/>
                      <w:lang w:val="en-US" w:eastAsia="zh-CN" w:bidi="ar-SA"/>
                    </w:rPr>
                    <w:t xml:space="preserve"> 年维保及上门服务</w:t>
                  </w:r>
                  <w:r>
                    <w:rPr>
                      <w:rFonts w:hint="eastAsia" w:ascii="宋体" w:hAnsi="宋体" w:eastAsia="宋体" w:cs="宋体"/>
                      <w:i/>
                      <w:iCs/>
                      <w:color w:val="auto"/>
                      <w:spacing w:val="-2"/>
                      <w:sz w:val="24"/>
                      <w:szCs w:val="24"/>
                      <w:highlight w:val="none"/>
                      <w:u w:val="single"/>
                      <w:lang w:val="en-US" w:eastAsia="zh-CN" w:bidi="ar-SA"/>
                    </w:rPr>
                    <w:t xml:space="preserve">（</w:t>
                  </w:r>
                  <w:r>
                    <w:rPr>
                      <w:rFonts w:hint="eastAsia" w:ascii="宋体" w:hAnsi="宋体" w:eastAsia="宋体" w:cs="宋体"/>
                      <w:i/>
                      <w:iCs/>
                      <w:color w:val="auto"/>
                      <w:spacing w:val="-10"/>
                      <w:sz w:val="24"/>
                      <w:szCs w:val="24"/>
                      <w:highlight w:val="none"/>
                      <w:u w:val="single"/>
                      <w:lang w:val="en-US" w:eastAsia="zh-CN" w:bidi="ar-SA"/>
                    </w:rPr>
                    <w:t xml:space="preserve">满</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足同城</w:t>
                  </w:r>
                  <w:r>
                    <w:rPr>
                      <w:rFonts w:hint="eastAsia" w:ascii="宋体" w:hAnsi="宋体" w:eastAsia="宋体" w:cs="宋体"/>
                      <w:i/>
                      <w:iCs/>
                      <w:color w:val="auto"/>
                      <w:sz w:val="24"/>
                      <w:szCs w:val="24"/>
                      <w:highlight w:val="none"/>
                      <w:u w:val="single"/>
                      <w:lang w:val="en-US" w:eastAsia="zh-CN" w:bidi="ar-SA"/>
                    </w:rPr>
                    <w:t xml:space="preserve">4</w:t>
                  </w:r>
                  <w:r>
                    <w:rPr>
                      <w:rFonts w:hint="eastAsia" w:ascii="宋体" w:hAnsi="宋体" w:eastAsia="宋体" w:cs="宋体"/>
                      <w:i/>
                      <w:iCs/>
                      <w:color w:val="auto"/>
                      <w:spacing w:val="-22"/>
                      <w:sz w:val="24"/>
                      <w:szCs w:val="24"/>
                      <w:highlight w:val="none"/>
                      <w:u w:val="single"/>
                      <w:lang w:val="en-US" w:eastAsia="zh-CN" w:bidi="ar-SA"/>
                    </w:rPr>
                    <w:t xml:space="preserve"> 小时、异地</w:t>
                  </w:r>
                  <w:r>
                    <w:rPr>
                      <w:rFonts w:hint="eastAsia" w:ascii="宋体" w:hAnsi="宋体" w:eastAsia="宋体" w:cs="宋体"/>
                      <w:i/>
                      <w:iCs/>
                      <w:color w:val="auto"/>
                      <w:sz w:val="24"/>
                      <w:szCs w:val="24"/>
                      <w:highlight w:val="none"/>
                      <w:u w:val="single"/>
                      <w:lang w:val="en-US" w:eastAsia="zh-CN" w:bidi="ar-SA"/>
                    </w:rPr>
                    <w:t xml:space="preserve">12</w:t>
                  </w:r>
                  <w:r>
                    <w:rPr>
                      <w:rFonts w:hint="eastAsia" w:ascii="宋体" w:hAnsi="宋体" w:eastAsia="宋体" w:cs="宋体"/>
                      <w:i/>
                      <w:iCs/>
                      <w:color w:val="auto"/>
                      <w:spacing w:val="-9"/>
                      <w:sz w:val="24"/>
                      <w:szCs w:val="24"/>
                      <w:highlight w:val="none"/>
                      <w:u w:val="single"/>
                      <w:lang w:val="en-US" w:eastAsia="zh-CN" w:bidi="ar-SA"/>
                    </w:rPr>
                    <w:t xml:space="preserve"> 小时响应要求</w:t>
                  </w:r>
                  <w:r>
                    <w:rPr>
                      <w:rFonts w:hint="eastAsia" w:ascii="宋体" w:hAnsi="宋体" w:eastAsia="宋体" w:cs="宋体"/>
                      <w:i/>
                      <w:iCs/>
                      <w:color w:val="auto"/>
                      <w:spacing w:val="-53"/>
                      <w:sz w:val="24"/>
                      <w:szCs w:val="24"/>
                      <w:highlight w:val="none"/>
                      <w:u w:val="single"/>
                      <w:lang w:val="en-US" w:eastAsia="zh-CN" w:bidi="ar-SA"/>
                    </w:rPr>
                    <w:t xml:space="preserve">）；</w:t>
                  </w:r>
                  <w:r>
                    <w:rPr>
                      <w:rFonts w:hint="eastAsia" w:ascii="宋体" w:hAnsi="宋体" w:eastAsia="宋体" w:cs="宋体"/>
                      <w:i/>
                      <w:iCs/>
                      <w:color w:val="auto"/>
                      <w:sz w:val="24"/>
                      <w:szCs w:val="24"/>
                      <w:highlight w:val="none"/>
                      <w:u w:val="single"/>
                      <w:lang w:val="en-US" w:eastAsia="zh-CN" w:bidi="ar-SA"/>
                    </w:rPr>
                    <w:t xml:space="preserve"> b）</w:t>
                  </w:r>
                  <w:r>
                    <w:rPr>
                      <w:rFonts w:hint="eastAsia" w:ascii="宋体" w:hAnsi="宋体" w:eastAsia="宋体" w:cs="宋体"/>
                      <w:i/>
                      <w:iCs/>
                      <w:color w:val="auto"/>
                      <w:spacing w:val="-3"/>
                      <w:sz w:val="24"/>
                      <w:szCs w:val="24"/>
                      <w:highlight w:val="none"/>
                      <w:u w:val="single"/>
                      <w:lang w:val="en-US" w:eastAsia="zh-CN" w:bidi="ar-SA"/>
                    </w:rPr>
                    <w:t xml:space="preserve">提供政企专线 </w:t>
                  </w:r>
                  <w:r>
                    <w:rPr>
                      <w:rFonts w:hint="eastAsia" w:ascii="宋体" w:hAnsi="宋体" w:eastAsia="宋体" w:cs="宋体"/>
                      <w:i/>
                      <w:iCs/>
                      <w:color w:val="auto"/>
                      <w:sz w:val="24"/>
                      <w:szCs w:val="24"/>
                      <w:highlight w:val="none"/>
                      <w:u w:val="single"/>
                      <w:lang w:val="en-US" w:eastAsia="zh-CN" w:bidi="ar-SA"/>
                    </w:rPr>
                    <w:t xml:space="preserve">7*24</w:t>
                  </w:r>
                  <w:r>
                    <w:rPr>
                      <w:rFonts w:hint="eastAsia" w:ascii="宋体" w:hAnsi="宋体" w:eastAsia="宋体" w:cs="宋体"/>
                      <w:i/>
                      <w:iCs/>
                      <w:color w:val="auto"/>
                      <w:spacing w:val="-5"/>
                      <w:sz w:val="24"/>
                      <w:szCs w:val="24"/>
                      <w:highlight w:val="none"/>
                      <w:u w:val="single"/>
                      <w:lang w:val="en-US" w:eastAsia="zh-CN" w:bidi="ar-SA"/>
                    </w:rPr>
                    <w:t xml:space="preserve"> 在线服务；</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c）</w:t>
                  </w:r>
                  <w:r>
                    <w:rPr>
                      <w:rFonts w:hint="eastAsia" w:ascii="宋体" w:hAnsi="宋体" w:eastAsia="宋体" w:cs="宋体"/>
                      <w:i/>
                      <w:iCs/>
                      <w:color w:val="auto"/>
                      <w:spacing w:val="-3"/>
                      <w:sz w:val="24"/>
                      <w:szCs w:val="24"/>
                      <w:highlight w:val="none"/>
                      <w:u w:val="single"/>
                      <w:lang w:val="en-US" w:eastAsia="zh-CN" w:bidi="ar-SA"/>
                    </w:rPr>
                    <w:t xml:space="preserve">现场保障技术服务团队员，国内上</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门服务地级市覆盖率达 </w:t>
                  </w:r>
                  <w:r>
                    <w:rPr>
                      <w:rFonts w:hint="eastAsia" w:ascii="宋体" w:hAnsi="宋体" w:eastAsia="宋体" w:cs="宋体"/>
                      <w:i/>
                      <w:iCs/>
                      <w:color w:val="auto"/>
                      <w:spacing w:val="-4"/>
                      <w:sz w:val="24"/>
                      <w:szCs w:val="24"/>
                      <w:highlight w:val="none"/>
                      <w:u w:val="single"/>
                      <w:lang w:val="en-US" w:eastAsia="zh-CN" w:bidi="ar-SA"/>
                    </w:rPr>
                    <w:t xml:space="preserve">100%</w:t>
                  </w:r>
                  <w:r/>
                </w:p>
              </w:tc>
            </w:tr>
            <w:tr>
              <w:trPr>
                <w:trHeight w:val="71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服务周</w:t>
                  </w:r>
                  <w:r>
                    <w:rPr>
                      <w:rFonts w:hint="eastAsia" w:ascii="宋体" w:hAnsi="宋体" w:eastAsia="宋体" w:cs="宋体"/>
                      <w:i w:val="0"/>
                      <w:iCs w:val="0"/>
                      <w:color w:val="auto"/>
                      <w:spacing w:val="-10"/>
                      <w:sz w:val="24"/>
                      <w:szCs w:val="24"/>
                      <w:highlight w:val="none"/>
                      <w:u w:val="none"/>
                      <w:lang w:val="en-US" w:eastAsia="zh-CN" w:bidi="ar-SA"/>
                    </w:rPr>
                    <w:t xml:space="preserve">期</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支持产品延保≥3</w:t>
                  </w:r>
                  <w:r>
                    <w:rPr>
                      <w:rFonts w:hint="eastAsia" w:ascii="宋体" w:hAnsi="宋体" w:eastAsia="宋体" w:cs="宋体"/>
                      <w:i/>
                      <w:iCs/>
                      <w:color w:val="auto"/>
                      <w:spacing w:val="-22"/>
                      <w:sz w:val="24"/>
                      <w:szCs w:val="24"/>
                      <w:highlight w:val="none"/>
                      <w:u w:val="single"/>
                      <w:lang w:val="en-US" w:eastAsia="zh-CN" w:bidi="ar-SA"/>
                    </w:rPr>
                    <w:t xml:space="preserve"> 年</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 xml:space="preserve">提供每年延保服务报价</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提供备件服务能力≥6</w:t>
                  </w:r>
                  <w:r>
                    <w:rPr>
                      <w:rFonts w:hint="eastAsia" w:ascii="宋体" w:hAnsi="宋体" w:eastAsia="宋体" w:cs="宋体"/>
                      <w:i/>
                      <w:iCs/>
                      <w:color w:val="auto"/>
                      <w:spacing w:val="-17"/>
                      <w:sz w:val="24"/>
                      <w:szCs w:val="24"/>
                      <w:highlight w:val="none"/>
                      <w:u w:val="single"/>
                      <w:lang w:val="en-US" w:eastAsia="zh-CN" w:bidi="ar-SA"/>
                    </w:rPr>
                    <w:t xml:space="preserve"> 年</w:t>
                  </w:r>
                  <w:r>
                    <w:rPr>
                      <w:rFonts w:hint="eastAsia" w:ascii="宋体" w:hAnsi="宋体" w:eastAsia="宋体" w:cs="宋体"/>
                      <w:i/>
                      <w:iCs/>
                      <w:color w:val="auto"/>
                      <w:spacing w:val="-2"/>
                      <w:sz w:val="24"/>
                      <w:szCs w:val="24"/>
                      <w:highlight w:val="none"/>
                      <w:u w:val="single"/>
                      <w:lang w:val="en-US" w:eastAsia="zh-CN" w:bidi="ar-SA"/>
                    </w:rPr>
                    <w:t xml:space="preserve">（</w:t>
                  </w:r>
                  <w:r>
                    <w:rPr>
                      <w:rFonts w:hint="eastAsia" w:ascii="宋体" w:hAnsi="宋体" w:eastAsia="宋体" w:cs="宋体"/>
                      <w:i/>
                      <w:iCs/>
                      <w:color w:val="auto"/>
                      <w:spacing w:val="-4"/>
                      <w:sz w:val="24"/>
                      <w:szCs w:val="24"/>
                      <w:highlight w:val="none"/>
                      <w:u w:val="single"/>
                      <w:lang w:val="en-US" w:eastAsia="zh-CN" w:bidi="ar-SA"/>
                    </w:rPr>
                    <w:t xml:space="preserve">自购买之日</w:t>
                  </w:r>
                  <w:r>
                    <w:rPr>
                      <w:rFonts w:hint="eastAsia" w:ascii="宋体" w:hAnsi="宋体" w:eastAsia="宋体" w:cs="宋体"/>
                      <w:i/>
                      <w:iCs/>
                      <w:color w:val="auto"/>
                      <w:sz w:val="24"/>
                      <w:szCs w:val="24"/>
                      <w:highlight w:val="none"/>
                      <w:u w:val="single"/>
                      <w:lang w:val="en-US" w:eastAsia="zh-CN" w:bidi="ar-SA"/>
                    </w:rPr>
                    <w:t xml:space="preserve">起</w:t>
                  </w:r>
                  <w:r>
                    <w:rPr>
                      <w:rFonts w:hint="eastAsia" w:ascii="宋体" w:hAnsi="宋体" w:eastAsia="宋体" w:cs="宋体"/>
                      <w:i/>
                      <w:iCs/>
                      <w:color w:val="auto"/>
                      <w:spacing w:val="-10"/>
                      <w:sz w:val="24"/>
                      <w:szCs w:val="24"/>
                      <w:highlight w:val="none"/>
                      <w:u w:val="single"/>
                      <w:lang w:val="en-US" w:eastAsia="zh-CN" w:bidi="ar-SA"/>
                    </w:rPr>
                    <w:t xml:space="preserve">）</w:t>
                  </w:r>
                  <w:r/>
                </w:p>
              </w:tc>
            </w:tr>
            <w:tr>
              <w:trPr>
                <w:trHeight w:val="144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169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预装操作系统</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预装符合桌面操作系统政府采购需求标准的正版操作系统</w:t>
                  </w:r>
                  <w:r/>
                </w:p>
              </w:tc>
            </w:tr>
            <w:tr>
              <w:trPr>
                <w:trHeight w:val="566"/>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培训服</w:t>
                  </w:r>
                  <w:r>
                    <w:rPr>
                      <w:rFonts w:hint="eastAsia" w:ascii="宋体" w:hAnsi="宋体" w:eastAsia="宋体" w:cs="宋体"/>
                      <w:i w:val="0"/>
                      <w:iCs w:val="0"/>
                      <w:color w:val="auto"/>
                      <w:spacing w:val="-10"/>
                      <w:sz w:val="24"/>
                      <w:szCs w:val="24"/>
                      <w:highlight w:val="none"/>
                      <w:u w:val="none"/>
                      <w:lang w:val="en-US" w:eastAsia="zh-CN" w:bidi="ar-SA"/>
                    </w:rPr>
                    <w:t xml:space="preserve">务</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供应商提供培训材料、产品手册、培训</w:t>
                  </w:r>
                  <w:r>
                    <w:rPr>
                      <w:rFonts w:hint="eastAsia" w:ascii="宋体" w:hAnsi="宋体" w:eastAsia="宋体" w:cs="宋体"/>
                      <w:i/>
                      <w:iCs/>
                      <w:color w:val="auto"/>
                      <w:spacing w:val="-2"/>
                      <w:sz w:val="24"/>
                      <w:szCs w:val="24"/>
                      <w:highlight w:val="none"/>
                      <w:u w:val="single"/>
                      <w:lang w:val="en-US" w:eastAsia="zh-CN" w:bidi="ar-SA"/>
                    </w:rPr>
                    <w:t xml:space="preserve">视频等培训相关内容</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典型问题解决手</w:t>
                  </w:r>
                  <w:r>
                    <w:rPr>
                      <w:rFonts w:hint="eastAsia" w:ascii="宋体" w:hAnsi="宋体" w:eastAsia="宋体" w:cs="宋体"/>
                      <w:i w:val="0"/>
                      <w:iCs w:val="0"/>
                      <w:color w:val="auto"/>
                      <w:spacing w:val="-10"/>
                      <w:sz w:val="24"/>
                      <w:szCs w:val="24"/>
                      <w:highlight w:val="none"/>
                      <w:u w:val="none"/>
                      <w:lang w:val="en-US" w:eastAsia="zh-CN" w:bidi="ar-SA"/>
                    </w:rPr>
                    <w:t xml:space="preserve">册</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供应商提供典型问题解决说明文档或</w:t>
                  </w:r>
                  <w:r>
                    <w:rPr>
                      <w:rFonts w:hint="eastAsia" w:ascii="宋体" w:hAnsi="宋体" w:eastAsia="宋体" w:cs="宋体"/>
                      <w:i/>
                      <w:iCs/>
                      <w:color w:val="auto"/>
                      <w:spacing w:val="-6"/>
                      <w:sz w:val="24"/>
                      <w:szCs w:val="24"/>
                      <w:highlight w:val="none"/>
                      <w:u w:val="single"/>
                      <w:lang w:val="en-US" w:eastAsia="zh-CN" w:bidi="ar-SA"/>
                    </w:rPr>
                    <w:t xml:space="preserve">视频</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厂家升级软件与</w:t>
                  </w:r>
                  <w:r>
                    <w:rPr>
                      <w:rFonts w:hint="eastAsia" w:ascii="宋体" w:hAnsi="宋体" w:eastAsia="宋体" w:cs="宋体"/>
                      <w:i w:val="0"/>
                      <w:iCs w:val="0"/>
                      <w:color w:val="auto"/>
                      <w:spacing w:val="-3"/>
                      <w:sz w:val="24"/>
                      <w:szCs w:val="24"/>
                      <w:highlight w:val="none"/>
                      <w:u w:val="none"/>
                      <w:lang w:val="en-US" w:eastAsia="zh-CN" w:bidi="ar-SA"/>
                    </w:rPr>
                    <w:t xml:space="preserve">扩容服务</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供应商提供上门升级部件/软件的增值</w:t>
                  </w:r>
                  <w:r>
                    <w:rPr>
                      <w:rFonts w:hint="eastAsia" w:ascii="宋体" w:hAnsi="宋体" w:eastAsia="宋体" w:cs="宋体"/>
                      <w:i/>
                      <w:iCs/>
                      <w:color w:val="auto"/>
                      <w:spacing w:val="-6"/>
                      <w:sz w:val="24"/>
                      <w:szCs w:val="24"/>
                      <w:highlight w:val="none"/>
                      <w:u w:val="single"/>
                      <w:lang w:val="en-US" w:eastAsia="zh-CN" w:bidi="ar-SA"/>
                    </w:rPr>
                    <w:t xml:space="preserve">服务</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整机质量服务要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免费服务周期（含换件和维修）应不小</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 xml:space="preserve">3</w:t>
                  </w:r>
                  <w:r>
                    <w:rPr>
                      <w:rFonts w:hint="eastAsia" w:ascii="宋体" w:hAnsi="宋体" w:eastAsia="宋体" w:cs="宋体"/>
                      <w:i/>
                      <w:iCs/>
                      <w:color w:val="auto"/>
                      <w:spacing w:val="-11"/>
                      <w:sz w:val="24"/>
                      <w:szCs w:val="24"/>
                      <w:highlight w:val="none"/>
                      <w:u w:val="single"/>
                      <w:lang w:val="en-US" w:eastAsia="zh-CN" w:bidi="ar-SA"/>
                    </w:rPr>
                    <w:t xml:space="preserve"> 年</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合格证书要求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供应商提供产品合格证</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开箱组装/使用</w:t>
                  </w:r>
                  <w:r>
                    <w:rPr>
                      <w:rFonts w:hint="eastAsia" w:ascii="宋体" w:hAnsi="宋体" w:eastAsia="宋体" w:cs="宋体"/>
                      <w:i w:val="0"/>
                      <w:iCs w:val="0"/>
                      <w:color w:val="auto"/>
                      <w:spacing w:val="-3"/>
                      <w:sz w:val="24"/>
                      <w:szCs w:val="24"/>
                      <w:highlight w:val="none"/>
                      <w:u w:val="none"/>
                      <w:lang w:val="en-US" w:eastAsia="zh-CN" w:bidi="ar-SA"/>
                    </w:rPr>
                    <w:t xml:space="preserve">指导要求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 xml:space="preserve">供应商提供开箱组装/使用指导</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176</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驱动下载服务要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供应商提供驱动光盘或下载方式</w:t>
                  </w:r>
                  <w:r/>
                </w:p>
              </w:tc>
            </w:tr>
            <w:tr>
              <w:trPr>
                <w:trHeight w:val="96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兼容适配软件下载服务要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供应商提供兼容适配软件下载渠道</w:t>
                  </w:r>
                  <w:r>
                    <w:rPr>
                      <w:rFonts w:hint="eastAsia" w:ascii="宋体" w:hAnsi="宋体" w:eastAsia="宋体" w:cs="宋体"/>
                      <w:i/>
                      <w:iCs/>
                      <w:color w:val="auto"/>
                      <w:spacing w:val="-2"/>
                      <w:sz w:val="24"/>
                      <w:szCs w:val="24"/>
                      <w:highlight w:val="none"/>
                      <w:u w:val="single"/>
                      <w:lang w:val="en-US" w:eastAsia="zh-CN" w:bidi="ar-SA"/>
                    </w:rPr>
                    <w:t xml:space="preserve">（光盘、网站）</w:t>
                  </w:r>
                  <w:r/>
                </w:p>
              </w:tc>
            </w:tr>
            <w:tr>
              <w:trPr>
                <w:trHeight w:val="71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服务</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跨架构平台应用兼</w:t>
                  </w:r>
                  <w:r>
                    <w:rPr>
                      <w:rFonts w:hint="eastAsia" w:ascii="宋体" w:hAnsi="宋体" w:eastAsia="宋体" w:cs="宋体"/>
                      <w:i w:val="0"/>
                      <w:iCs w:val="0"/>
                      <w:color w:val="auto"/>
                      <w:spacing w:val="-10"/>
                      <w:sz w:val="24"/>
                      <w:szCs w:val="24"/>
                      <w:highlight w:val="none"/>
                      <w:u w:val="none"/>
                      <w:lang w:val="en-US" w:eastAsia="zh-CN" w:bidi="ar-SA"/>
                    </w:rPr>
                    <w:t xml:space="preserve">容</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供应商提供跨架构平台应用兼容工具，支持一种或者一种以上不同架构平台 </w:t>
                  </w:r>
                  <w:r>
                    <w:rPr>
                      <w:rFonts w:hint="eastAsia" w:ascii="宋体" w:hAnsi="宋体" w:eastAsia="宋体" w:cs="宋体"/>
                      <w:i/>
                      <w:iCs/>
                      <w:color w:val="auto"/>
                      <w:spacing w:val="-4"/>
                      <w:sz w:val="24"/>
                      <w:szCs w:val="24"/>
                      <w:highlight w:val="none"/>
                      <w:u w:val="single"/>
                      <w:lang w:val="en-US" w:eastAsia="zh-CN" w:bidi="ar-SA"/>
                    </w:rPr>
                    <w:t xml:space="preserve">的应用</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179</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供应保障</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供应</w:t>
                  </w:r>
                  <w:r>
                    <w:rPr>
                      <w:rFonts w:hint="eastAsia" w:ascii="宋体" w:hAnsi="宋体" w:eastAsia="宋体" w:cs="宋体"/>
                      <w:i w:val="0"/>
                      <w:iCs w:val="0"/>
                      <w:color w:val="auto"/>
                      <w:spacing w:val="-6"/>
                      <w:sz w:val="24"/>
                      <w:szCs w:val="24"/>
                      <w:highlight w:val="none"/>
                      <w:u w:val="none"/>
                      <w:lang w:val="en-US" w:eastAsia="zh-CN" w:bidi="ar-SA"/>
                    </w:rPr>
                    <w:t xml:space="preserve">链合</w:t>
                  </w:r>
                  <w:r>
                    <w:rPr>
                      <w:rFonts w:hint="eastAsia" w:ascii="宋体" w:hAnsi="宋体" w:eastAsia="宋体" w:cs="宋体"/>
                      <w:i w:val="0"/>
                      <w:iCs w:val="0"/>
                      <w:color w:val="auto"/>
                      <w:spacing w:val="-5"/>
                      <w:sz w:val="24"/>
                      <w:szCs w:val="24"/>
                      <w:highlight w:val="none"/>
                      <w:u w:val="none"/>
                      <w:lang w:val="en-US" w:eastAsia="zh-CN" w:bidi="ar-SA"/>
                    </w:rPr>
                    <w:t xml:space="preserve">规性</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产品部件保障</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保障产品主要部件提供 </w:t>
                  </w:r>
                  <w:r>
                    <w:rPr>
                      <w:rFonts w:hint="eastAsia" w:ascii="宋体" w:hAnsi="宋体" w:eastAsia="宋体" w:cs="宋体"/>
                      <w:i/>
                      <w:iCs/>
                      <w:color w:val="auto"/>
                      <w:sz w:val="24"/>
                      <w:szCs w:val="24"/>
                      <w:highlight w:val="none"/>
                      <w:u w:val="single"/>
                      <w:lang w:val="en-US" w:eastAsia="zh-CN" w:bidi="ar-SA"/>
                    </w:rPr>
                    <w:t xml:space="preserve">6</w:t>
                  </w:r>
                  <w:r>
                    <w:rPr>
                      <w:rFonts w:hint="eastAsia" w:ascii="宋体" w:hAnsi="宋体" w:eastAsia="宋体" w:cs="宋体"/>
                      <w:i/>
                      <w:iCs/>
                      <w:color w:val="auto"/>
                      <w:spacing w:val="-5"/>
                      <w:sz w:val="24"/>
                      <w:szCs w:val="24"/>
                      <w:highlight w:val="none"/>
                      <w:u w:val="single"/>
                      <w:lang w:val="en-US" w:eastAsia="zh-CN" w:bidi="ar-SA"/>
                    </w:rPr>
                    <w:t xml:space="preserve"> 年的备件服</w:t>
                  </w:r>
                  <w:r>
                    <w:rPr>
                      <w:rFonts w:hint="eastAsia" w:ascii="宋体" w:hAnsi="宋体" w:eastAsia="宋体" w:cs="宋体"/>
                      <w:i/>
                      <w:iCs/>
                      <w:color w:val="auto"/>
                      <w:spacing w:val="-4"/>
                      <w:sz w:val="24"/>
                      <w:szCs w:val="24"/>
                      <w:highlight w:val="none"/>
                      <w:u w:val="single"/>
                      <w:lang w:val="en-US" w:eastAsia="zh-CN" w:bidi="ar-SA"/>
                    </w:rPr>
                    <w:t xml:space="preserve">务能力(自购买之日起)，或提供可兼容</w:t>
                  </w:r>
                  <w:r>
                    <w:rPr>
                      <w:rFonts w:hint="eastAsia" w:ascii="宋体" w:hAnsi="宋体" w:eastAsia="宋体" w:cs="宋体"/>
                      <w:i/>
                      <w:iCs/>
                      <w:color w:val="auto"/>
                      <w:spacing w:val="-2"/>
                      <w:sz w:val="24"/>
                      <w:szCs w:val="24"/>
                      <w:highlight w:val="none"/>
                      <w:u w:val="single"/>
                      <w:lang w:val="en-US" w:eastAsia="zh-CN" w:bidi="ar-SA"/>
                    </w:rPr>
                    <w:t xml:space="preserve">原设备的升级换代产品</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180</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供应保障</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供应链质量</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抗干扰</w:t>
                  </w:r>
                  <w:r>
                    <w:rPr>
                      <w:rFonts w:hint="eastAsia" w:ascii="宋体" w:hAnsi="宋体" w:eastAsia="宋体" w:cs="宋体"/>
                      <w:i w:val="0"/>
                      <w:iCs w:val="0"/>
                      <w:color w:val="auto"/>
                      <w:spacing w:val="-10"/>
                      <w:sz w:val="24"/>
                      <w:szCs w:val="24"/>
                      <w:highlight w:val="none"/>
                      <w:u w:val="none"/>
                      <w:lang w:val="en-US" w:eastAsia="zh-CN" w:bidi="ar-SA"/>
                    </w:rPr>
                    <w:t xml:space="preserve">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当产品部件出现供应风险时，供应商应</w:t>
                  </w:r>
                  <w:r>
                    <w:rPr>
                      <w:rFonts w:hint="eastAsia" w:ascii="宋体" w:hAnsi="宋体" w:eastAsia="宋体" w:cs="宋体"/>
                      <w:i/>
                      <w:iCs/>
                      <w:color w:val="auto"/>
                      <w:spacing w:val="-2"/>
                      <w:sz w:val="24"/>
                      <w:szCs w:val="24"/>
                      <w:highlight w:val="none"/>
                      <w:u w:val="single"/>
                      <w:lang w:val="en-US" w:eastAsia="zh-CN" w:bidi="ar-SA"/>
                    </w:rPr>
                    <w:t xml:space="preserve">通知采购人并提供风险应对方案确保产品的服务保障</w:t>
                  </w:r>
                  <w:r/>
                </w:p>
              </w:tc>
            </w:tr>
            <w:tr>
              <w:trPr>
                <w:trHeight w:val="72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181</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供应保障</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Borders>
                    <w:top w:val="none" w:color="000000" w:sz="4" w:space="0"/>
                  </w:tcBorders>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供应能力证明</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供应商提供供应链稳定承诺书，确保产</w:t>
                  </w:r>
                  <w:r>
                    <w:rPr>
                      <w:rFonts w:hint="eastAsia" w:ascii="宋体" w:hAnsi="宋体" w:eastAsia="宋体" w:cs="宋体"/>
                      <w:i/>
                      <w:iCs/>
                      <w:color w:val="auto"/>
                      <w:spacing w:val="-2"/>
                      <w:sz w:val="24"/>
                      <w:szCs w:val="24"/>
                      <w:highlight w:val="none"/>
                      <w:u w:val="single"/>
                      <w:lang w:val="en-US" w:eastAsia="zh-CN" w:bidi="ar-SA"/>
                    </w:rPr>
                    <w:t xml:space="preserve">品的部件在产品服务周期内稳定供货</w:t>
                  </w:r>
                  <w:r/>
                </w:p>
              </w:tc>
            </w:tr>
            <w:tr>
              <w:trPr>
                <w:trHeight w:val="1440"/>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182</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关键</w:t>
                  </w:r>
                  <w:r>
                    <w:rPr>
                      <w:rFonts w:hint="eastAsia" w:ascii="宋体" w:hAnsi="宋体" w:eastAsia="宋体" w:cs="宋体"/>
                      <w:i w:val="0"/>
                      <w:iCs w:val="0"/>
                      <w:color w:val="auto"/>
                      <w:spacing w:val="-6"/>
                      <w:sz w:val="24"/>
                      <w:szCs w:val="24"/>
                      <w:highlight w:val="none"/>
                      <w:u w:val="none"/>
                      <w:lang w:val="en-US" w:eastAsia="zh-CN" w:bidi="ar-SA"/>
                    </w:rPr>
                    <w:t xml:space="preserve">部件安全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关键部件安全要</w:t>
                  </w:r>
                  <w:r>
                    <w:rPr>
                      <w:rFonts w:hint="eastAsia" w:ascii="宋体" w:hAnsi="宋体" w:cs="宋体"/>
                      <w:i w:val="0"/>
                      <w:iCs w:val="0"/>
                      <w:color w:val="auto"/>
                      <w:spacing w:val="-4"/>
                      <w:sz w:val="24"/>
                      <w:szCs w:val="24"/>
                      <w:highlight w:val="none"/>
                      <w:u w:val="none"/>
                      <w:lang w:val="en-US" w:eastAsia="zh-CN" w:bidi="ar-SA"/>
                    </w:rPr>
                    <w:t xml:space="preserve">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CPU</w:t>
                  </w:r>
                  <w:r>
                    <w:rPr>
                      <w:rFonts w:hint="eastAsia" w:ascii="宋体" w:hAnsi="宋体" w:eastAsia="宋体" w:cs="宋体"/>
                      <w:i/>
                      <w:iCs/>
                      <w:color w:val="auto"/>
                      <w:spacing w:val="-10"/>
                      <w:sz w:val="24"/>
                      <w:szCs w:val="24"/>
                      <w:highlight w:val="none"/>
                      <w:u w:val="single"/>
                      <w:lang w:val="en-US" w:eastAsia="zh-CN" w:bidi="ar-SA"/>
                    </w:rPr>
                    <w:t xml:space="preserve"> 和操作系统等关键部件应当符合安</w:t>
                  </w:r>
                  <w:r>
                    <w:rPr>
                      <w:rFonts w:hint="eastAsia" w:ascii="宋体" w:hAnsi="宋体" w:eastAsia="宋体" w:cs="宋体"/>
                      <w:i/>
                      <w:iCs/>
                      <w:color w:val="auto"/>
                      <w:spacing w:val="-2"/>
                      <w:sz w:val="24"/>
                      <w:szCs w:val="24"/>
                      <w:highlight w:val="none"/>
                      <w:u w:val="single"/>
                      <w:lang w:val="en-US" w:eastAsia="zh-CN" w:bidi="ar-SA"/>
                    </w:rPr>
                    <w:t xml:space="preserve">全可靠测评要求</w:t>
                  </w:r>
                  <w:r/>
                </w:p>
              </w:tc>
            </w:tr>
            <w:tr>
              <w:trPr>
                <w:trHeight w:val="565"/>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183</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restart"/>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整机</w:t>
                  </w:r>
                  <w:r>
                    <w:rPr>
                      <w:rFonts w:hint="eastAsia" w:ascii="宋体" w:hAnsi="宋体" w:eastAsia="宋体" w:cs="宋体"/>
                      <w:i w:val="0"/>
                      <w:iCs w:val="0"/>
                      <w:color w:val="auto"/>
                      <w:spacing w:val="-5"/>
                      <w:sz w:val="24"/>
                      <w:szCs w:val="24"/>
                      <w:highlight w:val="none"/>
                      <w:u w:val="none"/>
                      <w:lang w:val="en-US" w:eastAsia="zh-CN" w:bidi="ar-SA"/>
                    </w:rPr>
                    <w:t xml:space="preserve">安全</w:t>
                  </w:r>
                  <w:r>
                    <w:rPr>
                      <w:rFonts w:hint="eastAsia" w:ascii="宋体" w:hAnsi="宋体" w:eastAsia="宋体" w:cs="宋体"/>
                      <w:i w:val="0"/>
                      <w:iCs w:val="0"/>
                      <w:color w:val="auto"/>
                      <w:spacing w:val="-6"/>
                      <w:sz w:val="24"/>
                      <w:szCs w:val="24"/>
                      <w:highlight w:val="none"/>
                      <w:u w:val="none"/>
                      <w:lang w:val="en-US" w:eastAsia="zh-CN" w:bidi="ar-SA"/>
                    </w:rPr>
                    <w:t xml:space="preserve">性要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密码算法实现</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CPU</w:t>
                  </w:r>
                  <w:r>
                    <w:rPr>
                      <w:rFonts w:hint="eastAsia" w:ascii="宋体" w:hAnsi="宋体" w:eastAsia="宋体" w:cs="宋体"/>
                      <w:i/>
                      <w:iCs/>
                      <w:color w:val="auto"/>
                      <w:spacing w:val="-10"/>
                      <w:sz w:val="24"/>
                      <w:szCs w:val="24"/>
                      <w:highlight w:val="none"/>
                      <w:u w:val="single"/>
                      <w:lang w:val="en-US" w:eastAsia="zh-CN" w:bidi="ar-SA"/>
                    </w:rPr>
                    <w:t xml:space="preserve"> 芯片应符合</w:t>
                  </w:r>
                  <w:r>
                    <w:rPr>
                      <w:rFonts w:hint="eastAsia" w:ascii="宋体" w:hAnsi="宋体" w:eastAsia="宋体" w:cs="宋体"/>
                      <w:i/>
                      <w:iCs/>
                      <w:color w:val="auto"/>
                      <w:sz w:val="24"/>
                      <w:szCs w:val="24"/>
                      <w:highlight w:val="none"/>
                      <w:u w:val="single"/>
                      <w:lang w:val="en-US" w:eastAsia="zh-CN" w:bidi="ar-SA"/>
                    </w:rPr>
                    <w:t xml:space="preserve">GM/T</w:t>
                  </w:r>
                  <w:r>
                    <w:rPr>
                      <w:rFonts w:hint="eastAsia" w:ascii="宋体" w:hAnsi="宋体" w:eastAsia="宋体" w:cs="宋体"/>
                      <w:i/>
                      <w:iCs/>
                      <w:color w:val="auto"/>
                      <w:spacing w:val="-44"/>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0008</w:t>
                  </w:r>
                  <w:r>
                    <w:rPr>
                      <w:rFonts w:hint="eastAsia" w:ascii="宋体" w:hAnsi="宋体" w:eastAsia="宋体" w:cs="宋体"/>
                      <w:i/>
                      <w:iCs/>
                      <w:color w:val="auto"/>
                      <w:spacing w:val="-12"/>
                      <w:sz w:val="24"/>
                      <w:szCs w:val="24"/>
                      <w:highlight w:val="none"/>
                      <w:u w:val="single"/>
                      <w:lang w:val="en-US" w:eastAsia="zh-CN" w:bidi="ar-SA"/>
                    </w:rPr>
                    <w:t xml:space="preserve"> 的相关规定，</w:t>
                  </w:r>
                  <w:r>
                    <w:rPr>
                      <w:rFonts w:hint="eastAsia" w:ascii="宋体" w:hAnsi="宋体" w:eastAsia="宋体" w:cs="宋体"/>
                      <w:i/>
                      <w:iCs/>
                      <w:color w:val="auto"/>
                      <w:spacing w:val="-3"/>
                      <w:sz w:val="24"/>
                      <w:szCs w:val="24"/>
                      <w:highlight w:val="none"/>
                      <w:u w:val="single"/>
                      <w:lang w:val="en-US" w:eastAsia="zh-CN" w:bidi="ar-SA"/>
                    </w:rPr>
                    <w:t xml:space="preserve">或芯片密码模块应符合 </w:t>
                  </w:r>
                  <w:r>
                    <w:rPr>
                      <w:rFonts w:hint="eastAsia" w:ascii="宋体" w:hAnsi="宋体" w:eastAsia="宋体" w:cs="宋体"/>
                      <w:i/>
                      <w:iCs/>
                      <w:color w:val="auto"/>
                      <w:sz w:val="24"/>
                      <w:szCs w:val="24"/>
                      <w:highlight w:val="none"/>
                      <w:u w:val="single"/>
                      <w:lang w:val="en-US" w:eastAsia="zh-CN" w:bidi="ar-SA"/>
                    </w:rPr>
                    <w:t xml:space="preserve">GB/T 37092</w:t>
                  </w:r>
                  <w:r>
                    <w:rPr>
                      <w:rFonts w:hint="eastAsia" w:ascii="宋体" w:hAnsi="宋体" w:eastAsia="宋体" w:cs="宋体"/>
                      <w:i/>
                      <w:iCs/>
                      <w:color w:val="auto"/>
                      <w:spacing w:val="-13"/>
                      <w:sz w:val="24"/>
                      <w:szCs w:val="24"/>
                      <w:highlight w:val="none"/>
                      <w:u w:val="single"/>
                      <w:lang w:val="en-US" w:eastAsia="zh-CN" w:bidi="ar-SA"/>
                    </w:rPr>
                    <w:t xml:space="preserve"> 或</w:t>
                  </w:r>
                  <w:r>
                    <w:rPr>
                      <w:rFonts w:hint="eastAsia" w:ascii="宋体" w:hAnsi="宋体" w:eastAsia="宋体" w:cs="宋体"/>
                      <w:i/>
                      <w:iCs/>
                      <w:color w:val="auto"/>
                      <w:sz w:val="24"/>
                      <w:szCs w:val="24"/>
                      <w:highlight w:val="none"/>
                      <w:u w:val="single"/>
                      <w:lang w:val="en-US" w:eastAsia="zh-CN" w:bidi="ar-SA"/>
                    </w:rPr>
                    <w:t xml:space="preserve">GM/T</w:t>
                  </w:r>
                  <w:r>
                    <w:rPr>
                      <w:rFonts w:hint="eastAsia" w:ascii="宋体" w:hAnsi="宋体" w:eastAsia="宋体" w:cs="宋体"/>
                      <w:i/>
                      <w:iCs/>
                      <w:color w:val="auto"/>
                      <w:spacing w:val="-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0028</w:t>
                  </w:r>
                  <w:r>
                    <w:rPr>
                      <w:rFonts w:hint="eastAsia" w:ascii="宋体" w:hAnsi="宋体" w:eastAsia="宋体" w:cs="宋体"/>
                      <w:i/>
                      <w:iCs/>
                      <w:color w:val="auto"/>
                      <w:spacing w:val="-10"/>
                      <w:sz w:val="24"/>
                      <w:szCs w:val="24"/>
                      <w:highlight w:val="none"/>
                      <w:u w:val="single"/>
                      <w:lang w:val="en-US" w:eastAsia="zh-CN" w:bidi="ar-SA"/>
                    </w:rPr>
                    <w:t xml:space="preserve"> 的相关规定</w:t>
                  </w:r>
                  <w:r/>
                </w:p>
              </w:tc>
            </w:tr>
            <w:tr>
              <w:trPr>
                <w:trHeight w:val="960"/>
              </w:trPr>
              <w:tc>
                <w:tcPr>
                  <w:tcW w:w="600"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184</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 xml:space="preserve">USB</w:t>
                  </w:r>
                  <w:r>
                    <w:rPr>
                      <w:rFonts w:hint="eastAsia" w:ascii="宋体" w:hAnsi="宋体" w:eastAsia="宋体" w:cs="宋体"/>
                      <w:i w:val="0"/>
                      <w:iCs w:val="0"/>
                      <w:color w:val="auto"/>
                      <w:spacing w:val="-17"/>
                      <w:sz w:val="24"/>
                      <w:szCs w:val="24"/>
                      <w:highlight w:val="none"/>
                      <w:u w:val="none"/>
                      <w:lang w:val="en-US" w:eastAsia="zh-CN" w:bidi="ar-SA"/>
                    </w:rPr>
                    <w:t xml:space="preserve"> 端口</w:t>
                  </w:r>
                  <w:r>
                    <w:rPr>
                      <w:rFonts w:hint="eastAsia" w:ascii="宋体" w:hAnsi="宋体" w:eastAsia="宋体" w:cs="宋体"/>
                      <w:i w:val="0"/>
                      <w:iCs w:val="0"/>
                      <w:color w:val="auto"/>
                      <w:spacing w:val="-6"/>
                      <w:sz w:val="24"/>
                      <w:szCs w:val="24"/>
                      <w:highlight w:val="none"/>
                      <w:u w:val="none"/>
                      <w:lang w:val="en-US" w:eastAsia="zh-CN" w:bidi="ar-SA"/>
                    </w:rPr>
                    <w:t xml:space="preserve">管控</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 xml:space="preserve">USB</w:t>
                  </w:r>
                  <w:r>
                    <w:rPr>
                      <w:rFonts w:hint="eastAsia" w:ascii="宋体" w:hAnsi="宋体" w:eastAsia="宋体" w:cs="宋体"/>
                      <w:i/>
                      <w:iCs/>
                      <w:color w:val="auto"/>
                      <w:spacing w:val="-11"/>
                      <w:sz w:val="24"/>
                      <w:szCs w:val="24"/>
                      <w:highlight w:val="none"/>
                      <w:u w:val="single"/>
                      <w:lang w:val="en-US" w:eastAsia="zh-CN" w:bidi="ar-SA"/>
                    </w:rPr>
                    <w:t xml:space="preserve"> 端口管控</w:t>
                  </w:r>
                  <w:r/>
                </w:p>
              </w:tc>
            </w:tr>
            <w:tr>
              <w:trPr>
                <w:trHeight w:val="566"/>
              </w:trPr>
              <w:tc>
                <w:tcPr>
                  <w:tcW w:w="600"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185</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安全物理</w:t>
                  </w:r>
                  <w:r>
                    <w:rPr>
                      <w:rFonts w:hint="eastAsia" w:ascii="宋体" w:hAnsi="宋体" w:eastAsia="宋体" w:cs="宋体"/>
                      <w:i w:val="0"/>
                      <w:iCs w:val="0"/>
                      <w:color w:val="auto"/>
                      <w:spacing w:val="-10"/>
                      <w:sz w:val="24"/>
                      <w:szCs w:val="24"/>
                      <w:highlight w:val="none"/>
                      <w:u w:val="none"/>
                      <w:lang w:val="en-US" w:eastAsia="zh-CN" w:bidi="ar-SA"/>
                    </w:rPr>
                    <w:t xml:space="preserve">锁</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支持安全物理锁</w:t>
                  </w:r>
                  <w:r/>
                </w:p>
              </w:tc>
            </w:tr>
            <w:tr>
              <w:trPr>
                <w:trHeight w:val="1440"/>
              </w:trPr>
              <w:tc>
                <w:tcPr>
                  <w:tcW w:w="600"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186</w:t>
                  </w:r>
                  <w:r/>
                </w:p>
              </w:tc>
              <w:tc>
                <w:tcPr>
                  <w:tcW w:w="737"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信息安全基本要</w:t>
                  </w:r>
                  <w:r>
                    <w:rPr>
                      <w:rFonts w:hint="eastAsia" w:ascii="宋体" w:hAnsi="宋体" w:eastAsia="宋体" w:cs="宋体"/>
                      <w:i w:val="0"/>
                      <w:iCs w:val="0"/>
                      <w:color w:val="auto"/>
                      <w:spacing w:val="-10"/>
                      <w:sz w:val="24"/>
                      <w:szCs w:val="24"/>
                      <w:highlight w:val="none"/>
                      <w:u w:val="none"/>
                      <w:lang w:val="en-US" w:eastAsia="zh-CN" w:bidi="ar-SA"/>
                    </w:rPr>
                    <w:t xml:space="preserve">求</w:t>
                  </w:r>
                  <w:r/>
                </w:p>
              </w:tc>
              <w:tc>
                <w:tcPr>
                  <w:tcW w:w="3214" w:type="dxa"/>
                  <w:vAlign w:val="center"/>
                  <w:textDirection w:val="lrTb"/>
                  <w:noWrap w:val="false"/>
                </w:tcPr>
                <w:p>
                  <w:pPr>
                    <w:numPr>
                      <w:ilvl w:val="0"/>
                      <w:numId w:val="9"/>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2"/>
                      <w:sz w:val="24"/>
                      <w:szCs w:val="24"/>
                      <w:highlight w:val="none"/>
                      <w:u w:val="single"/>
                      <w:lang w:val="en-US" w:eastAsia="zh-CN" w:bidi="ar-SA"/>
                    </w:rPr>
                    <w:t xml:space="preserve">应符合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10"/>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39276</w:t>
                  </w:r>
                  <w:r>
                    <w:rPr>
                      <w:rFonts w:hint="eastAsia" w:ascii="宋体" w:hAnsi="宋体" w:eastAsia="宋体" w:cs="宋体"/>
                      <w:i/>
                      <w:iCs/>
                      <w:color w:val="auto"/>
                      <w:spacing w:val="-30"/>
                      <w:sz w:val="24"/>
                      <w:szCs w:val="24"/>
                      <w:highlight w:val="none"/>
                      <w:u w:val="single"/>
                      <w:lang w:val="en-US" w:eastAsia="zh-CN" w:bidi="ar-SA"/>
                    </w:rPr>
                    <w:t xml:space="preserve"> 的 </w:t>
                  </w:r>
                  <w:r>
                    <w:rPr>
                      <w:rFonts w:hint="eastAsia" w:ascii="宋体" w:hAnsi="宋体" w:eastAsia="宋体" w:cs="宋体"/>
                      <w:i/>
                      <w:iCs/>
                      <w:color w:val="auto"/>
                      <w:sz w:val="24"/>
                      <w:szCs w:val="24"/>
                      <w:highlight w:val="none"/>
                      <w:u w:val="single"/>
                      <w:lang w:val="en-US" w:eastAsia="zh-CN" w:bidi="ar-SA"/>
                    </w:rPr>
                    <w:t xml:space="preserve">5.2</w:t>
                  </w:r>
                  <w:r>
                    <w:rPr>
                      <w:rFonts w:hint="eastAsia" w:ascii="宋体" w:hAnsi="宋体" w:eastAsia="宋体" w:cs="宋体"/>
                      <w:i/>
                      <w:iCs/>
                      <w:color w:val="auto"/>
                      <w:spacing w:val="-12"/>
                      <w:sz w:val="24"/>
                      <w:szCs w:val="24"/>
                      <w:highlight w:val="none"/>
                      <w:u w:val="single"/>
                      <w:lang w:val="en-US" w:eastAsia="zh-CN" w:bidi="ar-SA"/>
                    </w:rPr>
                    <w:t xml:space="preserve"> 的规定；</w:t>
                  </w:r>
                  <w:r/>
                </w:p>
                <w:p>
                  <w:pPr>
                    <w:numPr>
                      <w:ilvl w:val="0"/>
                      <w:numId w:val="9"/>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生产厂商应建立漏洞跟踪表，保证产品版本涉及到的漏洞(如驱动程序 等)可查看；</w:t>
                  </w:r>
                  <w:r/>
                </w:p>
                <w:p>
                  <w:pPr>
                    <w:numPr>
                      <w:ilvl w:val="0"/>
                      <w:numId w:val="9"/>
                    </w:numPr>
                    <w:ind w:left="0" w:right="0" w:firstLine="0"/>
                    <w:jc w:val="both"/>
                    <w:keepLines w:val="0"/>
                    <w:keepNext w:val="0"/>
                    <w:pageBreakBefore w:val="0"/>
                    <w:spacing w:before="0" w:line="480" w:lineRule="exact"/>
                    <w:widowControl w:val="off"/>
                    <w:tabs>
                      <w:tab w:val="left" w:pos="377" w:leader="none"/>
                    </w:tabs>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产品不得包含已知的恶意代码或漏</w:t>
                  </w:r>
                  <w:r/>
                </w:p>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洞，不存在未声明的指令、功能、接口</w:t>
                  </w:r>
                  <w:r/>
                </w:p>
              </w:tc>
            </w:tr>
            <w:tr>
              <w:trPr>
                <w:trHeight w:val="567"/>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187</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固件安全启动</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支持固件安全启动功能，固件启动过程</w:t>
                  </w:r>
                  <w:r>
                    <w:rPr>
                      <w:rFonts w:hint="eastAsia" w:ascii="宋体" w:hAnsi="宋体" w:eastAsia="宋体" w:cs="宋体"/>
                      <w:i/>
                      <w:iCs/>
                      <w:color w:val="auto"/>
                      <w:spacing w:val="-2"/>
                      <w:sz w:val="24"/>
                      <w:szCs w:val="24"/>
                      <w:highlight w:val="none"/>
                      <w:u w:val="single"/>
                      <w:lang w:val="en-US" w:eastAsia="zh-CN" w:bidi="ar-SA"/>
                    </w:rPr>
                    <w:t xml:space="preserve">中只有通过启动校验才能正常启动</w:t>
                  </w:r>
                  <w:r/>
                </w:p>
              </w:tc>
            </w:tr>
            <w:tr>
              <w:trPr>
                <w:trHeight w:val="719"/>
              </w:trPr>
              <w:tc>
                <w:tcPr>
                  <w:tcW w:w="600"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 xml:space="preserve">188</w:t>
                  </w:r>
                  <w:r/>
                </w:p>
              </w:tc>
              <w:tc>
                <w:tcPr>
                  <w:tcW w:w="737"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 xml:space="preserve">安全</w:t>
                  </w:r>
                  <w:r>
                    <w:rPr>
                      <w:rFonts w:hint="eastAsia" w:ascii="宋体" w:hAnsi="宋体" w:eastAsia="宋体" w:cs="宋体"/>
                      <w:i w:val="0"/>
                      <w:iCs w:val="0"/>
                      <w:color w:val="auto"/>
                      <w:spacing w:val="-5"/>
                      <w:sz w:val="24"/>
                      <w:szCs w:val="24"/>
                      <w:highlight w:val="none"/>
                      <w:u w:val="none"/>
                      <w:lang w:val="en-US" w:eastAsia="zh-CN" w:bidi="ar-SA"/>
                    </w:rPr>
                    <w:t xml:space="preserve">要求</w:t>
                  </w:r>
                  <w:r/>
                </w:p>
              </w:tc>
              <w:tc>
                <w:tcPr>
                  <w:tcW w:w="885" w:type="dxa"/>
                  <w:vAlign w:val="center"/>
                  <w:vMerge w:val="continue"/>
                  <w:textDirection w:val="lrTb"/>
                  <w:noWrap w:val="false"/>
                </w:tcPr>
                <w:p>
                  <w:pPr>
                    <w:ind w:left="0" w:right="0" w:firstLine="0"/>
                    <w:jc w:val="center"/>
                    <w:keepLines w:val="0"/>
                    <w:keepNext w:val="0"/>
                    <w:pageBreakBefore w:val="0"/>
                    <w:spacing w:line="48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58" w:type="dxa"/>
                  <w:vAlign w:val="center"/>
                  <w:textDirection w:val="lrTb"/>
                  <w:noWrap w:val="false"/>
                </w:tcPr>
                <w:p>
                  <w:pPr>
                    <w:ind w:left="0" w:right="0" w:firstLine="0"/>
                    <w:jc w:val="center"/>
                    <w:keepLines w:val="0"/>
                    <w:keepNext w:val="0"/>
                    <w:pageBreakBefore w:val="0"/>
                    <w:spacing w:before="0" w:line="480" w:lineRule="exact"/>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限用物质的限量</w:t>
                  </w:r>
                  <w:r>
                    <w:rPr>
                      <w:rFonts w:hint="eastAsia" w:ascii="宋体" w:hAnsi="宋体" w:eastAsia="宋体" w:cs="宋体"/>
                      <w:i w:val="0"/>
                      <w:iCs w:val="0"/>
                      <w:color w:val="auto"/>
                      <w:spacing w:val="-6"/>
                      <w:sz w:val="24"/>
                      <w:szCs w:val="24"/>
                      <w:highlight w:val="none"/>
                      <w:u w:val="none"/>
                      <w:lang w:val="en-US" w:eastAsia="zh-CN" w:bidi="ar-SA"/>
                    </w:rPr>
                    <w:t xml:space="preserve">要求</w:t>
                  </w:r>
                  <w:r/>
                </w:p>
              </w:tc>
              <w:tc>
                <w:tcPr>
                  <w:tcW w:w="3214" w:type="dxa"/>
                  <w:vAlign w:val="center"/>
                  <w:textDirection w:val="lrTb"/>
                  <w:noWrap w:val="false"/>
                </w:tcPr>
                <w:p>
                  <w:pPr>
                    <w:ind w:left="0" w:right="0" w:firstLine="0"/>
                    <w:jc w:val="both"/>
                    <w:keepLines w:val="0"/>
                    <w:keepNext w:val="0"/>
                    <w:pageBreakBefore w:val="0"/>
                    <w:spacing w:before="0" w:line="48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 xml:space="preserve">GB/T</w:t>
                  </w:r>
                  <w:r>
                    <w:rPr>
                      <w:rFonts w:hint="eastAsia" w:ascii="宋体" w:hAnsi="宋体" w:eastAsia="宋体" w:cs="宋体"/>
                      <w:i/>
                      <w:iCs/>
                      <w:color w:val="auto"/>
                      <w:spacing w:val="-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26572</w:t>
                  </w:r>
                  <w:r>
                    <w:rPr>
                      <w:rFonts w:hint="eastAsia" w:ascii="宋体" w:hAnsi="宋体" w:eastAsia="宋体" w:cs="宋体"/>
                      <w:i/>
                      <w:iCs/>
                      <w:color w:val="auto"/>
                      <w:spacing w:val="-14"/>
                      <w:sz w:val="24"/>
                      <w:szCs w:val="24"/>
                      <w:highlight w:val="none"/>
                      <w:u w:val="single"/>
                      <w:lang w:val="en-US" w:eastAsia="zh-CN" w:bidi="ar-SA"/>
                    </w:rPr>
                    <w:t xml:space="preserve"> 中规定</w:t>
                  </w:r>
                  <w:r/>
                </w:p>
              </w:tc>
            </w:tr>
          </w:tbl>
          <w:p>
            <w:pPr>
              <w:spacing w:line="44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tc>
          <w:tcPr>
            <w:tcW w:w="936" w:type="dxa"/>
            <w:vAlign w:val="center"/>
            <w:vMerge w:val="restart"/>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p>
        </w:tc>
        <w:tc>
          <w:tcPr>
            <w:tcW w:w="360" w:type="dxa"/>
            <w:vAlign w:val="center"/>
            <w:vMerge w:val="restart"/>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基础设施实施要求</w:t>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lang w:val="zh-CN"/>
              </w:rPr>
            </w:pPr>
            <w:r>
              <w:rPr>
                <w:rFonts w:hint="eastAsia" w:ascii="Times New Roman" w:hAnsi="Times New Roman" w:eastAsia="宋体" w:cs="Times New Roman"/>
                <w:iCs/>
                <w:color w:val="auto"/>
                <w:sz w:val="24"/>
                <w:szCs w:val="24"/>
                <w:highlight w:val="none"/>
                <w:lang w:val="en-US" w:eastAsia="zh-Hans" w:bidi="ar-SA"/>
              </w:rPr>
              <w:t xml:space="preserve">5.1 管道敷设要求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5.1.1 </w:t>
            </w:r>
            <w:r>
              <w:rPr>
                <w:rFonts w:ascii="Times New Roman" w:hAnsi="Times New Roman" w:eastAsia="宋体" w:cs="Times New Roman"/>
                <w:color w:val="auto"/>
                <w:sz w:val="24"/>
                <w:szCs w:val="24"/>
                <w:highlight w:val="none"/>
                <w:lang w:val="en-US" w:eastAsia="zh-CN" w:bidi="ar-SA"/>
              </w:rPr>
              <w:t xml:space="preserve">供电线缆敷设要求</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1、一般要求：运到现场的电缆及材料均应核对其型号、规格符合设计要求，并有合格证。检查电缆及材料外观无损伤和缺陷。卸货和搬运作业时，均不得使设备或外来物体接触到电缆表面。在任何情况下，均不得将电缆盘从所载运的车辆上推到地面上。经切割的电缆两端应立即密封，以避免潮气侵入。</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2、电缆导管敷设：管口切割以后，内边缘必须锉平。导线管必须冷弯，弯曲半径符合规范要求。在地面上敷设的导管要适当地固定在附近的结构或支架上，接线盒的安装要避免雨水进入。镀锌管锌层剥落处应涂以防腐漆。</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3、电缆敷设：</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（1）电缆敷设前准备。根据电缆到货长度，敷设长度编制电缆分配表，分列各编号电缆的起点、终点、长度及分配盘号。</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（2）根据现场电缆分布情况和电缆分配表，安排电缆敷设顺序，宜先远后近，先集中后分散。</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（3）电缆敷设前需对每盘电缆进行导通性和绝缘性检查，合格电缆方可敷设，绝缘检查低压电缆用500VM表测试。</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（4）电缆型号、规格等应符合设计要求，外观良好，保护层无破损。</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（5）电缆槽/托盘安装完，直埋电缆区域无土方开挖，电缆保护管预埋工作已完成，导管中穿好铁丝。</w:t>
            </w:r>
            <w:r/>
          </w:p>
          <w:p>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 xml:space="preserve">（6）设计一个合适的表格，记录每个电缆盘每次提取的电缆数量和剩余的电缆数量。</w:t>
            </w:r>
            <w:r/>
          </w:p>
          <w:p>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iCs/>
                <w:color w:val="auto"/>
                <w:sz w:val="24"/>
                <w:szCs w:val="24"/>
                <w:highlight w:val="none"/>
                <w:lang w:val="en-US" w:eastAsia="zh-CN" w:bidi="ar-SA"/>
              </w:rPr>
              <w:t xml:space="preserve">4、管内穿线：对穿管敷设的绝缘导线，其额定电压不低于 500V。不同回路、不同电压等级的导线，不穿在同一根管内。同类供电的几个回路可穿入同一根管内，但管内导线总数不多于 8 根。同一交流回路的导线穿于同一钢管内。导线在管内无接头和扭结，接头设在接线盒（箱）内。管内导线包括绝缘层在内的总截面积不大于管子内空截面积的 40％。</w:t>
            </w:r>
            <w:r/>
          </w:p>
          <w:p>
            <w:pPr>
              <w:jc w:val="left"/>
              <w:spacing w:line="440" w:lineRule="exact"/>
              <w:widowControl/>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iCs/>
                <w:color w:val="auto"/>
                <w:sz w:val="24"/>
                <w:highlight w:val="none"/>
              </w:rPr>
              <w:t xml:space="preserve">5、接头连接和终端连接：电力电缆终端头的制作，必须按制造厂提供的详图由熟悉制作工艺的人员进行。低压电缆终端头采用绝缘胶带包扎密封。电缆在最终连接前，进行导通性和绝缘性测试，中压电缆按 MLD-01-F-60-001 规定做直流耐压试验。</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5.1.2 通信线缆敷设要求</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1、光缆将按实际长度铺设，铺设时不超过光缆厂家规定的牵引张力和弯曲半径的要求。在铺设光缆之前，每个管道要用合适的方法清理。</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2、光缆在人孔外十分清洁的环境中接续。光缆接续采用熔接法，光缆接头应配有单独的接头护套。</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3、备有备用光缆并装在光缆接头盒的托盘上，放在托盘上的光纤不应产生微弯曲损耗。每根光缆在1310nm波长的接头损耗不超过0.ldB。</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4、在所有光缆需要分歧或分配出与单独终端单元相连的光纤接头应使用接头盒保护；接头盒的设计应易于安装。</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5、接头盒应为光缆接头提供一个密闭的、防潮的环境。接头盒应能重新进入，以便维修和满足其它工作要求。接头牢固地安装在每个人孔中。接头应安装在尽可能高处，以免浸水。</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6、每根光缆端接在光缆终端和接线板上，光缆应在每个站端接。接线板的容量足以端接所有室外光纤。进局光缆有标志，以区别其它电缆。</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7、设备侧的光缆长度应作适当预留，一股为10~20m，可存在光端机室或进线室。进局光缆的弯曲半径不应太小，以免产生微弯曲损耗。</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8、光缆接续及测试：采用通信光缆接续工艺流程。在接续过程中通过 OTDR 监测，以确保光纤持续质量。中继段测试采用 OTDR 和介入法两种方法测试。</w:t>
            </w:r>
            <w:r/>
          </w:p>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9、操作要求：清理场地、塔置防尘帐篷，准备好工具、材料；切断光缆缆芯，但不得用钢锯，必须用电缆剪刀；光缆余留及切割尺寸，弯曲半径等应符合规定；光纤接续操作时，操作人员应穿作业服、戴作业帽、工作手套；将待接续光纤被覆层擦干净</w:t>
            </w:r>
            <w:r>
              <w:rPr>
                <w:rFonts w:hint="default" w:ascii="Times New Roman" w:hAnsi="Times New Roman" w:eastAsia="宋体" w:cs="Times New Roman"/>
                <w:color w:val="auto"/>
                <w:sz w:val="24"/>
                <w:highlight w:val="none"/>
              </w:rPr>
              <w:t xml:space="preserve">，以免弄脏加强保护热熔管和熔接机后面。接续过程中应特别注意清洁，尤其是环境条件及操作人员的双手；用剥除器剥除光纤被覆，用丙酮将裸光纤擦净，用光纤切割器切出端面，端面不合格时需重新切割；监视光纤熔接测定值及仔细观察接续图像有无缺陷情况，如不合格则重新制备光纤端面，再次接续，直到合格为止；接续好的光线从容阶级取出时，注意动作要慢，移动加强保护热熔管位置应适中，收缩后两端应包住光纤的被覆层不小于10mm；光纤收容时注意弯曲半径应不小于40mm；接头盒内壁、密封条、槽等应用酒精擦拭干净，组装时应严格按操作规程进行。</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5.2 各类机箱安装要求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◆1、机箱内部各种线缆应固定可靠。</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◆2、抗外界干扰功能：要求采用防强电磁干扰机箱，并按照相应标准采取密封措施，在24小时全天候的工作时间，能防雨、防尘、防雷、防震和抗电磁干扰，以防止系统因此造成故障。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◆3、地面安装的落地箱柜基础应高出地面(200mm)，以免积水。</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◆4、进入箱柜内的各类保护管应高出基础底面(100mm)。</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◆5、配电箱与设备箱分开设置，尺寸高度与路口信号箱保持一致。</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5.3 立杆安装要求</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◆1、独立立杆式样应充分考虑美观及与周边环境的协调，立杆横臂长度根据安装点位所要实现的功能而定，须符合道路或场所的整体视觉效果，具体式样及颜色须经采购方确认。</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◆2、立杆净高度不低于6米，立杆横臂根据实际需要确定,立杆应满足如下要求：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底座：采用不低于A3型20mm的钢板。</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◆3、立杆采用A3材料，表面涂塑处理，镀层厚度≥60μm，防锈处理为杆件整体热镀锌，后涂塑，达到双重防腐的目的；颜色须经采购单位确认；</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◆4、立杆、横臂焊接必须满焊、牢固，不得虚焊，横臂与立杆连接角度应保证91°正负0.5°，务必保证法兰孔尺寸准确，以便于互换。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◆5、横臂安装与道路纵向垂直，固定牢靠。</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◆6、灯具安装纵向中心线和地面垂直，横向中心线和地面平行，而且两组信号灯中心线在一条直线上，间隔分布合理。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◆7、立柱安装与地面垂直，固定牢靠，立柱根部均应做基础结面。</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◆8、金属灯杆均有接地保护措施，接地端子固定牢靠，接地电阻达到技术要求。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◆9、所有紧固件必须镀锌，安装时紧固牢靠，避免意外事故发生。</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◆10、立杆要求抗风等级达到12级</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5.4 外场设备通信</w:t>
            </w:r>
            <w:r/>
          </w:p>
        </w:tc>
      </w:tr>
      <w:tr>
        <w:trPr/>
        <w:tc>
          <w:tcPr>
            <w:tcW w:w="936"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60" w:type="dxa"/>
            <w:vAlign w:val="center"/>
            <w:vMerge w:val="continue"/>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◆1、通信系统的功能主要是为外场设备和控制中心之间提供实时、准确、可靠、安全、灵活的信息沟通通道。</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本项目中，需要接入控制中心的信息主要有：交通信号控制子系统的控制和交通参数信息，视频监控子系统的视频图像信息，流量采集系统的交通参数信息，电子警察抓拍子系统、超级卡口系统、交通诱导发布系统、交通智能广播系统的参数信息，以及实时交通信息发布、设备控制信息、设备状态自检信息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◆3、本项目中在每一个地面交叉口均单独设置了一个交警专用设备箱。综合考虑，本项目中地面道路交叉口和高架道路采用节点汇集+点对点接入的通信方式：</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（1）在每个外场交警专用设备内配置1台工业级千兆以太网交换机，外场各子系统设备均汇集至千兆以太网交换机。</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（2）设备与以太网交换机间距离超过100m的，需要增加网络连接器或采用光缆传输。</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（3）采用基于TCP/IP通信协议的支持，在上层按照应用要求建立多通道的直接通信。</w:t>
            </w:r>
            <w:r/>
          </w:p>
          <w:p>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u w:val="none"/>
                <w:lang w:val="en-US" w:eastAsia="zh-CN" w:bidi="ar-SA"/>
              </w:rPr>
              <w:t xml:space="preserve">4、远程通信光缆：根据接入方案，地面通信汇集点需要4~8芯光纤，上行速率要求为千兆。经调研，这部分光纤在本项目采用租赁方式。</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◆5、其它说明</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与供电照明专业工作界面：箱变断路器下（出线）桩头至路口交警专用配电箱和用电设备的电缆配线由本项目施工方实施。施工方需将交通智能化的管道与箱变的管道沟通，此部分工作由本项目施工方完成。</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本项目中利用路灯杆安装的所有设备，布线及安装所需要的所有附件由本项目施工方完成；</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（2）与原存储系统工作界面：本项目存储系统为系统扩容，本项目施工方需负责存储设备的安装及调试，并要求将新增存储设备接入到原存储系统中。</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与主体单位工作界面：主体单位已对交通智能化的监控立杆和门架立杆基础进行预埋，本项目施工方需提供安装立杆和门架所需的所有附件。主体单位已将过路管和路侧主要管道进行预埋，智能化施工单位在进场施工前需对主体单位预埋的管道进行检查，如发现管道不通或未实施等问题，需向建设单位提出，并协商处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与交安专业工作界面：在高架道路与交安专业门架和标志牌杆件合设的监控和微波设备，杆件由交安专业实施，本项目施工方需提供安装监控和微波所需要的所有附件。要求在6级风力的情况下，摄像机在最大放大倍数的情况下所监视的画面无明显晃动。</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（5）本项目所选用的视频检测高清电子警察设备必须通过公安部《闯红灯自动记录系统通用技术条件》GA/T496-2014标准的检测。</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6</w:t>
            </w:r>
            <w:r>
              <w:rPr>
                <w:rFonts w:ascii="Times New Roman" w:hAnsi="Times New Roman" w:eastAsia="宋体" w:cs="Times New Roman"/>
                <w:color w:val="auto"/>
                <w:sz w:val="24"/>
                <w:szCs w:val="24"/>
                <w:highlight w:val="none"/>
                <w:lang w:val="en-US" w:eastAsia="zh-CN" w:bidi="ar-SA"/>
              </w:rPr>
              <w:t xml:space="preserve">）本项目采用的监控系统平台、摄像机等软硬件必须符合《公共安全视频监控联网系统信息传输、交换、控制技术要求》GB/T28181-2016，并能提供相应SDK开发包。</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）视频监控系统及利用这些系统（或其他方式）采集到的视频、图片进行文字标注的内容和方法必须符合《视频图像文字标注规范》GA/T751-2008的要求。</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）设备应进行工作接地、所有配套的外露金属设施构件都应按照IEC 的有关规定进行综合接地处理，接地电阻必须小于设备规定的工作接地和安全接地电阻，综合接地电阻≤4Ω。</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）所有内外场设备时钟均需与张家港公安局时钟校时服务器同步。</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0</w:t>
            </w:r>
            <w:r>
              <w:rPr>
                <w:rFonts w:ascii="Times New Roman" w:hAnsi="Times New Roman" w:eastAsia="宋体" w:cs="Times New Roman"/>
                <w:color w:val="auto"/>
                <w:sz w:val="24"/>
                <w:szCs w:val="24"/>
                <w:highlight w:val="none"/>
                <w:lang w:val="en-US" w:eastAsia="zh-CN" w:bidi="ar-SA"/>
              </w:rPr>
              <w:t xml:space="preserve">）提供现场使用、应用培训；提供中文操作手册、维修手册。</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）单独申请供电：不低于15KW，含电源计控箱及基础，开关，管道及线缆，开挖及修复，手井、计量表等一切配套设施，按实结算。</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）原设备移位：原设备及杆件拆除、基础重做、设备重新安装调试等。</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实施要求</w:t>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1、完成配套通信设施、供配电设施、安装支架、立杆等附属设施的建设。</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2、完成张家港市公安局交通警察大队控制中心内硬件设备的扩容，及应用软件接口模块的开发、编制等内容。</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3、利用本项目租赁的通信设施，将各类摄像机采集的交通参数、视频、违法数据、设备工作状态等信息接入控制中心。</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4、通信链路：采用租赁方式，本项目施工方仅负责从出租人处获取相应的通信资源，并实现各点位的通信接入。本项目施工方与通信出租人之间的界面为通信节点工业以太网交换机，工业以太网交换机上行端口及以上为通信出租人实施，工业以太网交换机及其下行端口和以太网配置及管理均由本项目施工方实施。项目竣工时，施工方需提供相应路口网络租赁点的租赁证明材料。</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5、供配电：本项目地面交叉口均配置了1个交警专用配电箱，上桩头电源由就近的箱变引入，外场监控设备的电源均引自此配电箱，其中快速路上设备的电源由地面专用设备箱经地面和上下匝道护栏内管路传输至高架上设备安装点的分配箱；该配电箱的上桩头供电由就近的箱变引入；箱变断路器下（出线）桩头至路口交警专用配电箱的电缆配线由本项目实施。</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6、供电及通信线缆铺设：本项目施工方所负责通信及供配电线路铺设不得损伤线缆外皮，管道中不允许有接头。</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7、接地：本项目所有外场设施的防雷、接地由本项目施工方负责，确保设备正常使用。</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8、设备防护：本项目施工方负责所有安装在露天的电气和电子设备的防护，其防护等级至少要达到IP65（另有规定除外）。如设备本身不能满足前述的防护要求，则施工方应无条件提供不低于前述防护要求的补充防护手段。</w:t>
            </w:r>
            <w:r/>
          </w:p>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9、设备防撬、防盗：本项目施工方负责所有设备的防撬、防盗工作，系统终验移交建设单位前，任何设备被盗及被破坏所造成的损失由施工方负责。</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维护与升级</w:t>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pacing w:val="7"/>
                <w:sz w:val="24"/>
                <w:szCs w:val="24"/>
                <w:highlight w:val="none"/>
                <w:lang w:val="en-US" w:eastAsia="zh-CN" w:bidi="ar-SA"/>
              </w:rPr>
              <w:t xml:space="preserve">中标人提供的维护保障服务并对以下服务的实施方式做出详细阐述，服务项目包括但不限于：故障修复服务(含远程技术支持、现场技术支持)、版本管理和软件补丁服务、系统巡检服务、重要事件保障服务、应急恢复方案设计与预演服务、辅助故障定位服务等。</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企业要求</w:t>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1、投标人要派专人负责与采购人联系协调。</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2、投标人承诺</w:t>
            </w:r>
            <w:r>
              <w:rPr>
                <w:rFonts w:hint="eastAsia" w:ascii="Times New Roman" w:hAnsi="Times New Roman" w:eastAsia="宋体" w:cs="Times New Roman"/>
                <w:bCs/>
                <w:color w:val="auto"/>
                <w:sz w:val="24"/>
                <w:highlight w:val="none"/>
                <w:lang w:val="en-US" w:eastAsia="zh-CN"/>
              </w:rPr>
              <w:t xml:space="preserve">在质保期内派驻场服务，</w:t>
            </w:r>
            <w:r>
              <w:rPr>
                <w:rFonts w:hint="default" w:ascii="Times New Roman" w:hAnsi="Times New Roman" w:eastAsia="宋体" w:cs="Times New Roman"/>
                <w:bCs/>
                <w:color w:val="auto"/>
                <w:sz w:val="24"/>
                <w:highlight w:val="none"/>
              </w:rPr>
              <w:t xml:space="preserve">实行全年24小时值班制并设置设施报修专用电话。交通设施遇到故障或损坏时，应派设施维修人员应立即赶赴现场进行抢修。</w:t>
            </w:r>
            <w:r>
              <w:rPr>
                <w:rFonts w:hint="default" w:ascii="Times New Roman" w:hAnsi="Times New Roman" w:eastAsia="宋体" w:cs="Times New Roman"/>
                <w:iCs/>
                <w:color w:val="auto"/>
                <w:spacing w:val="7"/>
                <w:sz w:val="24"/>
                <w:szCs w:val="24"/>
                <w:highlight w:val="none"/>
              </w:rPr>
              <w:t xml:space="preserve">按照招标文件要求响应维护。维护服务商应在10分钟内响应，1小时内赶到故障现场进行维护服务（包括维修配件到达服务现场），</w:t>
            </w:r>
            <w:r>
              <w:rPr>
                <w:rFonts w:hint="default" w:ascii="Times New Roman" w:hAnsi="Times New Roman" w:eastAsia="宋体" w:cs="Times New Roman"/>
                <w:color w:val="auto"/>
                <w:sz w:val="24"/>
                <w:szCs w:val="24"/>
                <w:highlight w:val="none"/>
              </w:rPr>
              <w:t xml:space="preserve">交通信号设施应在12小时内修复完成，其余的应在24小时内修复完成</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iCs/>
                <w:color w:val="auto"/>
                <w:spacing w:val="7"/>
                <w:sz w:val="24"/>
                <w:szCs w:val="24"/>
                <w:highlight w:val="none"/>
              </w:rPr>
              <w:t xml:space="preserve">特殊故障的具体解决时间与甲方商定。如设备损坏严重无法修复，应在甲方同意后先采用相关产品替代完成，保障交通正常运行。</w:t>
            </w:r>
            <w:r/>
          </w:p>
          <w:p>
            <w:pPr>
              <w:spacing w:line="440" w:lineRule="exact"/>
              <w:widowControl/>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3、</w:t>
            </w:r>
            <w:r>
              <w:rPr>
                <w:rFonts w:hint="default" w:ascii="Times New Roman" w:hAnsi="Times New Roman" w:eastAsia="宋体" w:cs="Times New Roman"/>
                <w:b w:val="0"/>
                <w:bCs/>
                <w:i/>
                <w:iCs/>
                <w:color w:val="auto"/>
                <w:sz w:val="24"/>
                <w:highlight w:val="none"/>
                <w:u w:val="single"/>
              </w:rPr>
              <w:t xml:space="preserve">投标人需成立专门的</w:t>
            </w:r>
            <w:r>
              <w:rPr>
                <w:rFonts w:hint="eastAsia" w:ascii="Times New Roman" w:hAnsi="Times New Roman" w:eastAsia="宋体" w:cs="Times New Roman"/>
                <w:b w:val="0"/>
                <w:bCs/>
                <w:i/>
                <w:iCs/>
                <w:color w:val="auto"/>
                <w:sz w:val="24"/>
                <w:highlight w:val="none"/>
                <w:u w:val="single"/>
                <w:lang w:val="en-US" w:eastAsia="zh-CN"/>
              </w:rPr>
              <w:t xml:space="preserve">项目小组</w:t>
            </w:r>
            <w:r>
              <w:rPr>
                <w:rFonts w:hint="eastAsia" w:ascii="Times New Roman" w:hAnsi="Times New Roman" w:eastAsia="宋体" w:cs="Times New Roman"/>
                <w:b w:val="0"/>
                <w:bCs/>
                <w:i/>
                <w:iCs/>
                <w:color w:val="auto"/>
                <w:sz w:val="24"/>
                <w:highlight w:val="none"/>
                <w:u w:val="single"/>
              </w:rPr>
              <w:t xml:space="preserve">5</w:t>
            </w:r>
            <w:r>
              <w:rPr>
                <w:rFonts w:hint="default" w:ascii="Times New Roman" w:hAnsi="Times New Roman" w:eastAsia="宋体" w:cs="Times New Roman"/>
                <w:b w:val="0"/>
                <w:bCs/>
                <w:i/>
                <w:iCs/>
                <w:color w:val="auto"/>
                <w:sz w:val="24"/>
                <w:highlight w:val="none"/>
                <w:u w:val="single"/>
              </w:rPr>
              <w:t xml:space="preserve">人以上（其中项目负责人1名</w:t>
            </w:r>
            <w:r>
              <w:rPr>
                <w:rFonts w:hint="eastAsia" w:ascii="Times New Roman" w:hAnsi="Times New Roman" w:eastAsia="宋体" w:cs="Times New Roman"/>
                <w:b w:val="0"/>
                <w:bCs/>
                <w:i/>
                <w:iCs/>
                <w:color w:val="auto"/>
                <w:sz w:val="24"/>
                <w:highlight w:val="none"/>
                <w:u w:val="single"/>
                <w:lang w:eastAsia="zh-CN"/>
              </w:rPr>
              <w:t xml:space="preserve">、</w:t>
            </w:r>
            <w:r>
              <w:rPr>
                <w:rFonts w:hint="eastAsia" w:ascii="Times New Roman" w:hAnsi="Times New Roman" w:eastAsia="宋体" w:cs="Times New Roman"/>
                <w:b w:val="0"/>
                <w:bCs/>
                <w:i/>
                <w:iCs/>
                <w:color w:val="auto"/>
                <w:sz w:val="24"/>
                <w:highlight w:val="none"/>
                <w:u w:val="single"/>
                <w:lang w:val="en-US" w:eastAsia="zh-CN"/>
              </w:rPr>
              <w:t xml:space="preserve">信息安全负责人1名，项目组成员3名</w:t>
            </w:r>
            <w:r>
              <w:rPr>
                <w:rFonts w:hint="default" w:ascii="Times New Roman" w:hAnsi="Times New Roman" w:eastAsia="宋体" w:cs="Times New Roman"/>
                <w:b w:val="0"/>
                <w:bCs/>
                <w:i/>
                <w:iCs/>
                <w:color w:val="auto"/>
                <w:sz w:val="24"/>
                <w:highlight w:val="none"/>
                <w:u w:val="single"/>
              </w:rPr>
              <w:t xml:space="preserve">）。</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4、投标人要有较强的责任意识，服务意识，质量意识。能根据采购人的智能交通设施维修要求全面做好智能交通设施维修工作，按时保质保量完成任务。</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5、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6、具有足够的专业技术人员，熟悉系统工作原理和熟练操作各类设备。</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7、具有相关设施的充足备品配件，保证设施发生故障及时更换修复。维修更换的设备必选保证与原设备品牌、型号一致。若该备品或备件已不生产或严重短缺，则可提供技术指标更优的替代品。替代品必须由采购人确认。</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8、具有满足维护要求的、足够的升降车辆、其它车辆及维修仪器。</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9、具有严格的现场维护施工安全管理制度与措施，为现场维护施工人员购买意外保险，配备必要的道路作业安全装备（警示灯、桩、反光背心、护栏板等）。</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Cs/>
                <w:color w:val="auto"/>
                <w:sz w:val="24"/>
                <w:highlight w:val="none"/>
              </w:rPr>
              <w:t xml:space="preserve">10、所有交通信号设施需接入交通指挥中心的信号控制系统平台，并实现信号配时等功能。对还未接入信号控制系统的设施应配合交警大队按规定接入信号控制系统。</w:t>
            </w:r>
            <w:r/>
          </w:p>
          <w:p>
            <w:pPr>
              <w:spacing w:line="440" w:lineRule="exac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ascii="Times New Roman" w:hAnsi="Times New Roman" w:eastAsia="宋体" w:cs="Times New Roman"/>
                <w:bCs/>
                <w:color w:val="auto"/>
                <w:sz w:val="24"/>
                <w:szCs w:val="24"/>
                <w:highlight w:val="none"/>
                <w:lang w:val="en-US" w:eastAsia="zh-CN" w:bidi="ar-SA"/>
              </w:rPr>
              <w:t xml:space="preserve">11、所有交通监控设施需接入交通指挥中心的监控系统平台，并实现视频抓</w:t>
            </w:r>
            <w:r>
              <w:rPr>
                <w:rFonts w:ascii="Times New Roman" w:hAnsi="Times New Roman" w:eastAsia="宋体" w:cs="Times New Roman"/>
                <w:color w:val="auto"/>
                <w:sz w:val="24"/>
                <w:szCs w:val="24"/>
                <w:highlight w:val="none"/>
                <w:lang w:val="en-US" w:eastAsia="zh-CN" w:bidi="ar-SA"/>
              </w:rPr>
              <w:t xml:space="preserve">拍及录像调取等功能。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◆12、具备建设维护交通信号设施的专业知识，及相应的信号配时、绿波控制、路口渠化等专业知识。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◆13、具备建设维护交通监控系统的专业知识，及相应的网络通讯、视频矩阵控制、监控操控权限划分等专业知识。</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保密要求</w:t>
            </w:r>
            <w:r/>
          </w:p>
        </w:tc>
        <w:tc>
          <w:tcPr>
            <w:tcMar>
              <w:left w:w="108" w:type="dxa"/>
              <w:top w:w="100" w:type="dxa"/>
              <w:right w:w="108" w:type="dxa"/>
              <w:bottom w:w="100" w:type="dxa"/>
            </w:tcMar>
            <w:tcW w:w="8275" w:type="dxa"/>
            <w:vAlign w:val="center"/>
            <w:textDirection w:val="lrTb"/>
            <w:noWrap w:val="false"/>
          </w:tcPr>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1、中标方必须严格按照投标名单进行维护，不得随意调换。</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2、中标人进入涉密机构的技术、维保人员都应当签订保密协议，相关协议在《保密协议》中体现。</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3、保密管理相关规定</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（1）人员在维修保养中，不得擅自记录、复制、拍摄、摘抄、收藏警务工作秘密和他人隐私。维护公司人员携带的电脑、U盘、手机等设备应按采购人管理规定使用。</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（2）不在私人交往和公开场所泄露在工作中涉及到的案件信息或案件进展情况。</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（3）不在私人交往和公开场所泄露公安机关的监控系统布局、监控范围及时段等信息。</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（4）对于在维护保养中拆换的监控设备及零件全部交由采购人保管，并做好登记。</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（5）不得浏览与工作无关的公安计算机网络网页。</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（6）自觉服从单位管理，经常性参加本部门开展的保密教育活动。</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（7）故意违反保密规定或过失违反保密规定，情节严重构成犯罪的，将依法承担刑事责任。</w:t>
            </w:r>
            <w:r/>
          </w:p>
          <w:p>
            <w:pPr>
              <w:jc w:val="left"/>
              <w:spacing w:line="440" w:lineRule="exact"/>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i/>
                <w:iCs/>
                <w:color w:val="auto"/>
                <w:sz w:val="24"/>
                <w:highlight w:val="none"/>
                <w:u w:val="single"/>
              </w:rPr>
              <w:t xml:space="preserve">（8）每名技术、维护人员都要本着对公安工作、家庭及自己负责的态度，坚决执行保密规定，凡违反保密规定的，按照相关规定进行处理。</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其他要求</w:t>
            </w:r>
            <w:r/>
          </w:p>
        </w:tc>
        <w:tc>
          <w:tcPr>
            <w:tcMar>
              <w:left w:w="108" w:type="dxa"/>
              <w:top w:w="100" w:type="dxa"/>
              <w:right w:w="108" w:type="dxa"/>
              <w:bottom w:w="100" w:type="dxa"/>
            </w:tcMar>
            <w:tcW w:w="8275" w:type="dxa"/>
            <w:vAlign w:val="center"/>
            <w:textDirection w:val="lrTb"/>
            <w:noWrap w:val="false"/>
          </w:tcPr>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1、中标人应具有有效详细的运维管理办法，保障监控基本功能正常运行，并负责故障的全程处理。</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质保期内</w:t>
            </w:r>
            <w:r>
              <w:rPr>
                <w:rFonts w:ascii="Times New Roman" w:hAnsi="Times New Roman" w:eastAsia="宋体" w:cs="Times New Roman"/>
                <w:color w:val="auto"/>
                <w:sz w:val="24"/>
                <w:szCs w:val="24"/>
                <w:highlight w:val="none"/>
                <w:lang w:val="en-US" w:eastAsia="zh-CN" w:bidi="ar-SA"/>
              </w:rPr>
              <w:t xml:space="preserve">中标人需建立专门运维管理系统平台，能够自动通过该系统平台发现故障并及时排除故障。</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◆3、中标人应确保整个系统设备完好率不低于97%，镜面清洁率达到98%，无遮挡率达到98%。</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◆4、中标人应确保整个系统数据库具有积极有效的备份和恢复机制，每周至少进行一次数据库备份。</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◆5、系统升级要求：在</w:t>
            </w:r>
            <w:r>
              <w:rPr>
                <w:rFonts w:hint="eastAsia" w:ascii="Times New Roman" w:hAnsi="Times New Roman" w:eastAsia="宋体" w:cs="Times New Roman"/>
                <w:color w:val="auto"/>
                <w:sz w:val="24"/>
                <w:szCs w:val="24"/>
                <w:highlight w:val="none"/>
                <w:lang w:val="en-US" w:eastAsia="zh-CN" w:bidi="ar-SA"/>
              </w:rPr>
              <w:t xml:space="preserve">质保期</w:t>
            </w:r>
            <w:r>
              <w:rPr>
                <w:rFonts w:ascii="Times New Roman" w:hAnsi="Times New Roman" w:eastAsia="宋体" w:cs="Times New Roman"/>
                <w:color w:val="auto"/>
                <w:sz w:val="24"/>
                <w:szCs w:val="24"/>
                <w:highlight w:val="none"/>
                <w:lang w:val="en-US" w:eastAsia="zh-CN" w:bidi="ar-SA"/>
              </w:rPr>
              <w:t xml:space="preserve">，系统内各类软、硬件因生产厂家停产、升级导致的无法使用原有型号设备进行维修或更换的，经采购人确认后，中标人可以使用不低于原有型号设备性能的替代产品或使用升级后的产品进行替换，由此引起的原有系统平台以及服务需要更新升级的，采购人不再承担任何费用。中标人在产品升级前应做好充分准备，并以书面的形式提前告知采购人，征得同意后，进行产品升级，同时做好事件记录，每次升级中断服务不得超过2小时。</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◆6、如采购人要求该系统接入其他平台，中标人应配合完成。</w:t>
            </w:r>
            <w:bookmarkStart w:id="284" w:name="_GoBack"/>
            <w:r/>
            <w:bookmarkEnd w:id="284"/>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◆7、采购人有权要求中标人在不改变系统（或子系统）架构的前提下，在系统服务期内，使用更新的前端监控产品和后端接入平台、算法、软件等，采购人不再承担变更费用。</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◆8、中标人针对本项目应配备能满足服务需求的维修车辆，货车需办理限行区域特别通行证。</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9、定期进行镜面清洁，及时进行遮挡树枝的修理，并有相关记录。如遇重大活动和重要保障任务时，接采购人通知时应立即进行巡检和清洁，对系统存在的潜在安全或故障隐患进行分析并提出相应的解决方案加以排除。</w:t>
            </w:r>
            <w:r/>
          </w:p>
          <w:p>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10、如出现需移机、移位、换杆、线路改造等情况，中标人应在7个工作日内完成安装和调试，并移交使用，同时纳入考核。由于改造、迁移、被盗和其他建设等原因需要调整的情况，应根据采购人要求进行调整。</w:t>
            </w:r>
            <w:r/>
          </w:p>
          <w:p>
            <w:pPr>
              <w:spacing w:line="440" w:lineRule="exact"/>
              <w:tabs>
                <w:tab w:val="left" w:pos="567"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11、针对本项目中的所有前端设备，中标人需在备件库中有高于或等同于本项目设备型号或系列的备品备件，对无法及时修复的设备先行更换。</w:t>
            </w:r>
            <w:r/>
          </w:p>
          <w:p>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12、建立健全运维建设与管理制度。</w:t>
            </w:r>
            <w:r/>
          </w:p>
        </w:tc>
      </w:tr>
      <w:tr>
        <w:trPr/>
        <w:tc>
          <w:tcPr>
            <w:tcW w:w="936"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w:t>
            </w:r>
            <w:r/>
          </w:p>
        </w:tc>
        <w:tc>
          <w:tcPr>
            <w:tcW w:w="360"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验收要求</w:t>
            </w:r>
            <w:r/>
          </w:p>
        </w:tc>
        <w:tc>
          <w:tcPr>
            <w:tcMar>
              <w:left w:w="108" w:type="dxa"/>
              <w:top w:w="100" w:type="dxa"/>
              <w:right w:w="108" w:type="dxa"/>
              <w:bottom w:w="100" w:type="dxa"/>
            </w:tcMar>
            <w:tcW w:w="8275" w:type="dxa"/>
            <w:vAlign w:val="center"/>
            <w:textDirection w:val="lrTb"/>
            <w:noWrap w:val="false"/>
          </w:tcPr>
          <w:p>
            <w:pPr>
              <w:jc w:val="left"/>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1、本项目根据实际情况成立验收小组，验收小组制定方案，对照采购文件、合同、考核细则、乙方提供的</w:t>
            </w:r>
            <w:r>
              <w:rPr>
                <w:rFonts w:hint="eastAsia" w:ascii="Times New Roman" w:hAnsi="Times New Roman" w:eastAsia="宋体" w:cs="Times New Roman"/>
                <w:color w:val="auto"/>
                <w:sz w:val="24"/>
                <w:highlight w:val="none"/>
                <w:lang w:val="en-US" w:eastAsia="zh-CN"/>
              </w:rPr>
              <w:t xml:space="preserve">相关</w:t>
            </w:r>
            <w:r>
              <w:rPr>
                <w:rFonts w:hint="default" w:ascii="Times New Roman" w:hAnsi="Times New Roman" w:eastAsia="宋体" w:cs="Times New Roman"/>
                <w:color w:val="auto"/>
                <w:sz w:val="24"/>
                <w:highlight w:val="none"/>
              </w:rPr>
              <w:t xml:space="preserve">资料、考核结果进行验收。</w:t>
            </w:r>
            <w:r/>
          </w:p>
          <w:p>
            <w:pPr>
              <w:jc w:val="left"/>
              <w:spacing w:line="440" w:lineRule="exact"/>
              <w:widowControl/>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4"/>
                <w:highlight w:val="none"/>
              </w:rPr>
              <w:t xml:space="preserve">2、采购人将依据《关于印发&lt;江苏省政府采购履约验收管理办法&gt;的通知》苏财规【2024】7号文件的相关要求组织验收。</w:t>
            </w:r>
            <w:bookmarkEnd w:id="171"/>
            <w:r/>
            <w:r/>
          </w:p>
        </w:tc>
      </w:tr>
    </w:tbl>
    <w:p>
      <w:pPr>
        <w:rPr>
          <w:rFonts w:hint="default" w:eastAsia="宋体" w:cs="Times New Roman"/>
        </w:rPr>
      </w:pPr>
      <w:r>
        <w:rPr>
          <w:rFonts w:hint="default" w:eastAsia="宋体" w:cs="Times New Roman"/>
        </w:rPr>
      </w:r>
      <w:r/>
    </w:p>
    <w:p>
      <w:pPr>
        <w:ind w:firstLine="480"/>
        <w:jc w:val="left"/>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120" w:after="120" w:line="440" w:lineRule="exact"/>
        <w:rPr>
          <w:rFonts w:hint="default" w:ascii="Times New Roman" w:hAnsi="Times New Roman" w:eastAsia="宋体" w:cs="Times New Roman"/>
          <w:b/>
          <w:sz w:val="28"/>
          <w:szCs w:val="28"/>
          <w:highlight w:val="none"/>
        </w:rPr>
      </w:pPr>
      <w:r/>
      <w:bookmarkStart w:id="175" w:name="EBb0ab975038a04efd86af0f0eaa5a524b"/>
      <w:r/>
      <w:bookmarkEnd w:id="175"/>
      <w:r>
        <w:rPr>
          <w:rFonts w:hint="default" w:ascii="Times New Roman" w:hAnsi="Times New Roman" w:eastAsia="宋体" w:cs="Times New Roman"/>
          <w:b/>
          <w:sz w:val="28"/>
          <w:szCs w:val="28"/>
          <w:highlight w:val="none"/>
        </w:rPr>
        <w:t xml:space="preserve">三、商务条款</w:t>
      </w:r>
      <w:r/>
    </w:p>
    <w:p>
      <w:pPr>
        <w:ind w:firstLine="500"/>
        <w:spacing w:line="440" w:lineRule="exact"/>
        <w:rPr>
          <w:rFonts w:hint="eastAsia"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 xml:space="preserve">1 </w:t>
      </w:r>
      <w:r>
        <w:rPr>
          <w:rFonts w:hint="eastAsia" w:ascii="Times New Roman" w:hAnsi="Times New Roman" w:eastAsia="宋体" w:cs="Times New Roman"/>
          <w:b/>
          <w:spacing w:val="7"/>
          <w:sz w:val="24"/>
          <w:szCs w:val="24"/>
          <w:highlight w:val="none"/>
          <w:lang w:val="en-US" w:eastAsia="zh-CN" w:bidi="ar-SA"/>
        </w:rPr>
        <w:t xml:space="preserve">质保期（含运维）</w:t>
      </w:r>
      <w:r/>
    </w:p>
    <w:p>
      <w:pPr>
        <w:ind w:firstLine="500"/>
        <w:spacing w:line="440" w:lineRule="exact"/>
        <w:rPr>
          <w:rFonts w:hint="eastAsia" w:ascii="Times New Roman" w:hAnsi="Times New Roman" w:eastAsia="宋体" w:cs="Times New Roman"/>
          <w:i/>
          <w:iCs/>
          <w:sz w:val="24"/>
          <w:szCs w:val="24"/>
          <w:highlight w:val="none"/>
          <w:u w:val="single"/>
          <w:lang w:val="en-US" w:eastAsia="zh-CN" w:bidi="ar-SA"/>
        </w:rPr>
      </w:pPr>
      <w:r>
        <w:rPr>
          <w:rFonts w:hint="eastAsia" w:ascii="Times New Roman" w:hAnsi="Times New Roman" w:eastAsia="宋体" w:cs="Times New Roman"/>
          <w:i/>
          <w:iCs/>
          <w:sz w:val="24"/>
          <w:szCs w:val="24"/>
          <w:highlight w:val="none"/>
          <w:u w:val="single"/>
          <w:lang w:val="en-US" w:eastAsia="zh-CN" w:bidi="ar-SA"/>
        </w:rPr>
        <w:t xml:space="preserve">质保期自物品验收合格（以双方在验收告报签订日期为准），提供5年免费质保服务。终身维修，软件免费升级；使用期内每年免费保养，并确保备品备件的正常供应。免费质保期内，除人为损坏和不可抗拒因素外，供应方对物品进行免费维修或更换。</w:t>
      </w:r>
      <w:r/>
    </w:p>
    <w:p>
      <w:pPr>
        <w:ind w:firstLine="500"/>
        <w:spacing w:line="440" w:lineRule="exact"/>
        <w:rPr>
          <w:rFonts w:hint="eastAsia" w:ascii="宋体" w:hAnsi="宋体" w:cs="Times New Roman"/>
          <w:b/>
          <w:color w:val="auto"/>
          <w:spacing w:val="7"/>
          <w:sz w:val="24"/>
          <w:szCs w:val="24"/>
          <w:highlight w:val="none"/>
          <w:lang w:val="en-US" w:eastAsia="zh-CN"/>
        </w:rPr>
      </w:pPr>
      <w:r>
        <w:rPr>
          <w:rFonts w:hint="eastAsia" w:ascii="宋体" w:hAnsi="宋体" w:cs="Times New Roman"/>
          <w:b/>
          <w:color w:val="auto"/>
          <w:spacing w:val="7"/>
          <w:sz w:val="24"/>
          <w:szCs w:val="24"/>
          <w:highlight w:val="none"/>
          <w:lang w:val="en-US" w:eastAsia="zh-CN"/>
        </w:rPr>
        <w:t xml:space="preserve">2运维期</w:t>
      </w:r>
      <w:r/>
    </w:p>
    <w:p>
      <w:pPr>
        <w:ind w:firstLine="500"/>
        <w:spacing w:line="440" w:lineRule="exact"/>
        <w:rPr>
          <w:rFonts w:hint="eastAsia" w:ascii="Times New Roman" w:hAnsi="Times New Roman" w:eastAsia="宋体" w:cs="Times New Roman"/>
          <w:i/>
          <w:iCs/>
          <w:sz w:val="24"/>
          <w:szCs w:val="24"/>
          <w:highlight w:val="none"/>
          <w:u w:val="single"/>
          <w:lang w:val="en-US" w:eastAsia="zh-CN" w:bidi="ar-SA"/>
        </w:rPr>
      </w:pPr>
      <w:r>
        <w:rPr>
          <w:rFonts w:hint="eastAsia" w:ascii="Times New Roman" w:hAnsi="Times New Roman" w:cs="Times New Roman"/>
          <w:i/>
          <w:iCs/>
          <w:sz w:val="24"/>
          <w:szCs w:val="24"/>
          <w:highlight w:val="none"/>
          <w:u w:val="single"/>
          <w:lang w:val="en-US" w:eastAsia="zh-CN" w:bidi="ar-SA"/>
        </w:rPr>
        <w:t xml:space="preserve">运维期自物品验收合格（</w:t>
      </w:r>
      <w:r>
        <w:rPr>
          <w:rFonts w:hint="eastAsia" w:ascii="Times New Roman" w:hAnsi="Times New Roman" w:eastAsia="宋体" w:cs="Times New Roman"/>
          <w:i/>
          <w:iCs/>
          <w:sz w:val="24"/>
          <w:szCs w:val="24"/>
          <w:highlight w:val="none"/>
          <w:u w:val="single"/>
          <w:lang w:val="en-US" w:eastAsia="zh-CN" w:bidi="ar-SA"/>
        </w:rPr>
        <w:t xml:space="preserve">以双方在验收告报签订日期为准）</w:t>
      </w:r>
      <w:r>
        <w:rPr>
          <w:rFonts w:hint="eastAsia" w:ascii="Times New Roman" w:hAnsi="Times New Roman" w:cs="Times New Roman"/>
          <w:i/>
          <w:iCs/>
          <w:sz w:val="24"/>
          <w:szCs w:val="24"/>
          <w:highlight w:val="none"/>
          <w:u w:val="single"/>
          <w:lang w:val="en-US" w:eastAsia="zh-CN" w:bidi="ar-SA"/>
        </w:rPr>
        <w:t xml:space="preserve">，提供5年运维服务，</w:t>
      </w:r>
      <w:r>
        <w:rPr>
          <w:rFonts w:hint="eastAsia" w:ascii="Times New Roman" w:hAnsi="Times New Roman" w:eastAsia="宋体" w:cs="Times New Roman"/>
          <w:i/>
          <w:iCs/>
          <w:sz w:val="24"/>
          <w:szCs w:val="24"/>
          <w:highlight w:val="none"/>
          <w:u w:val="single"/>
          <w:lang w:val="en-US" w:eastAsia="zh-CN" w:bidi="ar-SA"/>
        </w:rPr>
        <w:t xml:space="preserve">运维期内需定期对物品进行巡检，确保各系统正常运行。</w:t>
      </w:r>
      <w:r/>
    </w:p>
    <w:p>
      <w:pPr>
        <w:ind w:firstLine="500"/>
        <w:spacing w:line="440" w:lineRule="exact"/>
        <w:rPr>
          <w:rFonts w:hint="default" w:ascii="宋体" w:hAnsi="宋体" w:eastAsia="宋体" w:cs="Times New Roman"/>
          <w:b/>
          <w:color w:val="auto"/>
          <w:spacing w:val="7"/>
          <w:sz w:val="24"/>
          <w:szCs w:val="24"/>
          <w:highlight w:val="none"/>
        </w:rPr>
      </w:pPr>
      <w:r>
        <w:rPr>
          <w:rFonts w:hint="eastAsia" w:ascii="宋体" w:hAnsi="宋体" w:cs="Times New Roman"/>
          <w:b/>
          <w:color w:val="auto"/>
          <w:spacing w:val="7"/>
          <w:sz w:val="24"/>
          <w:szCs w:val="24"/>
          <w:highlight w:val="none"/>
          <w:lang w:val="en-US" w:eastAsia="zh-CN"/>
        </w:rPr>
        <w:t xml:space="preserve">3</w:t>
      </w:r>
      <w:r>
        <w:rPr>
          <w:rFonts w:hint="default" w:ascii="宋体" w:hAnsi="宋体" w:eastAsia="宋体" w:cs="Times New Roman"/>
          <w:b/>
          <w:color w:val="auto"/>
          <w:spacing w:val="7"/>
          <w:sz w:val="24"/>
          <w:szCs w:val="24"/>
          <w:highlight w:val="none"/>
        </w:rPr>
        <w:t xml:space="preserve"> 交货期、交货方式及交货地点</w:t>
      </w:r>
      <w:r/>
    </w:p>
    <w:p>
      <w:pPr>
        <w:ind w:firstLine="500"/>
        <w:spacing w:line="440" w:lineRule="exact"/>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 xml:space="preserve">3</w:t>
      </w:r>
      <w:r>
        <w:rPr>
          <w:rFonts w:hint="default" w:ascii="宋体" w:hAnsi="宋体" w:eastAsia="宋体" w:cs="宋体"/>
          <w:i/>
          <w:color w:val="auto"/>
          <w:spacing w:val="7"/>
          <w:sz w:val="24"/>
          <w:szCs w:val="24"/>
          <w:highlight w:val="none"/>
          <w:u w:val="single"/>
        </w:rPr>
        <w:t xml:space="preserve">.1、交货期</w:t>
      </w:r>
      <w:r/>
    </w:p>
    <w:p>
      <w:pPr>
        <w:ind w:firstLine="500"/>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合同签订生效后</w:t>
      </w:r>
      <w:r>
        <w:rPr>
          <w:rFonts w:hint="eastAsia" w:ascii="宋体" w:hAnsi="宋体" w:cs="宋体"/>
          <w:i/>
          <w:color w:val="auto"/>
          <w:spacing w:val="7"/>
          <w:sz w:val="24"/>
          <w:szCs w:val="24"/>
          <w:highlight w:val="none"/>
          <w:u w:val="single"/>
          <w:lang w:val="en-US" w:eastAsia="zh-CN"/>
        </w:rPr>
        <w:t xml:space="preserve">90</w:t>
      </w:r>
      <w:r>
        <w:rPr>
          <w:rFonts w:hint="eastAsia" w:ascii="宋体" w:hAnsi="宋体" w:eastAsia="宋体" w:cs="宋体"/>
          <w:i/>
          <w:color w:val="auto"/>
          <w:spacing w:val="7"/>
          <w:sz w:val="24"/>
          <w:szCs w:val="24"/>
          <w:highlight w:val="none"/>
          <w:u w:val="single"/>
        </w:rPr>
        <w:t xml:space="preserve">日内供货安装调试结束。遇不可抗力原因需延迟交货的，经采购人同意后可适当延期</w:t>
      </w:r>
      <w:r>
        <w:rPr>
          <w:rFonts w:hint="default" w:ascii="宋体" w:hAnsi="宋体" w:eastAsia="宋体" w:cs="宋体"/>
          <w:i/>
          <w:color w:val="auto"/>
          <w:spacing w:val="7"/>
          <w:sz w:val="24"/>
          <w:szCs w:val="24"/>
          <w:highlight w:val="none"/>
          <w:u w:val="single"/>
        </w:rPr>
        <w:t xml:space="preserve">。</w:t>
      </w:r>
      <w:r/>
    </w:p>
    <w:p>
      <w:pPr>
        <w:ind w:firstLine="500"/>
        <w:spacing w:line="440" w:lineRule="exact"/>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 xml:space="preserve">3</w:t>
      </w:r>
      <w:r>
        <w:rPr>
          <w:rFonts w:hint="default" w:ascii="宋体" w:hAnsi="宋体" w:eastAsia="宋体" w:cs="宋体"/>
          <w:i/>
          <w:color w:val="auto"/>
          <w:spacing w:val="7"/>
          <w:sz w:val="24"/>
          <w:szCs w:val="24"/>
          <w:highlight w:val="none"/>
          <w:u w:val="single"/>
        </w:rPr>
        <w:t xml:space="preserve">.2、交货方式</w:t>
      </w:r>
      <w:r/>
    </w:p>
    <w:p>
      <w:pPr>
        <w:ind w:firstLine="500"/>
        <w:spacing w:line="440" w:lineRule="exact"/>
        <w:rPr>
          <w:rFonts w:hint="default" w:ascii="宋体" w:hAnsi="宋体" w:eastAsia="宋体" w:cs="宋体"/>
          <w:i/>
          <w:color w:val="auto"/>
          <w:spacing w:val="7"/>
          <w:sz w:val="24"/>
          <w:szCs w:val="24"/>
          <w:highlight w:val="none"/>
          <w:u w:val="single"/>
        </w:rPr>
      </w:pPr>
      <w:r>
        <w:rPr>
          <w:rFonts w:hint="default" w:ascii="宋体" w:hAnsi="宋体" w:eastAsia="宋体" w:cs="宋体"/>
          <w:i/>
          <w:color w:val="auto"/>
          <w:spacing w:val="7"/>
          <w:sz w:val="24"/>
          <w:szCs w:val="24"/>
          <w:highlight w:val="none"/>
          <w:u w:val="single"/>
        </w:rPr>
        <w:t xml:space="preserve">原厂原包装现场交货</w:t>
      </w:r>
      <w:r/>
    </w:p>
    <w:p>
      <w:pPr>
        <w:ind w:firstLine="500"/>
        <w:spacing w:line="440" w:lineRule="exact"/>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 xml:space="preserve">3</w:t>
      </w:r>
      <w:r>
        <w:rPr>
          <w:rFonts w:hint="default" w:ascii="宋体" w:hAnsi="宋体" w:eastAsia="宋体" w:cs="宋体"/>
          <w:i/>
          <w:color w:val="auto"/>
          <w:spacing w:val="7"/>
          <w:sz w:val="24"/>
          <w:szCs w:val="24"/>
          <w:highlight w:val="none"/>
          <w:u w:val="single"/>
        </w:rPr>
        <w:t xml:space="preserve">.3、交货地点</w:t>
      </w:r>
      <w:r/>
    </w:p>
    <w:p>
      <w:pPr>
        <w:ind w:firstLine="500"/>
        <w:spacing w:line="440" w:lineRule="exact"/>
        <w:rPr>
          <w:rFonts w:ascii="Times New Roman" w:hAnsi="Times New Roman" w:eastAsia="宋体" w:cs="Times New Roman"/>
          <w:b/>
          <w:color w:val="auto"/>
          <w:spacing w:val="7"/>
          <w:sz w:val="24"/>
          <w:szCs w:val="24"/>
          <w:highlight w:val="none"/>
          <w:lang w:val="en-US" w:eastAsia="zh-CN" w:bidi="ar-SA"/>
        </w:rPr>
      </w:pPr>
      <w:r>
        <w:rPr>
          <w:rFonts w:hint="default" w:ascii="宋体" w:hAnsi="宋体" w:eastAsia="宋体" w:cs="宋体"/>
          <w:i/>
          <w:color w:val="auto"/>
          <w:spacing w:val="7"/>
          <w:sz w:val="24"/>
          <w:szCs w:val="24"/>
          <w:highlight w:val="none"/>
          <w:u w:val="single"/>
        </w:rPr>
        <w:t xml:space="preserve">采购人指定地点</w:t>
      </w:r>
      <w:r/>
    </w:p>
    <w:p>
      <w:pPr>
        <w:ind w:firstLine="500"/>
        <w:spacing w:line="440" w:lineRule="exact"/>
        <w:rPr>
          <w:rFonts w:ascii="Times New Roman" w:hAnsi="Times New Roman" w:eastAsia="宋体" w:cs="Times New Roman"/>
          <w:b/>
          <w:spacing w:val="7"/>
          <w:sz w:val="24"/>
          <w:szCs w:val="24"/>
          <w:highlight w:val="none"/>
          <w:lang w:val="en-US" w:eastAsia="zh-CN" w:bidi="ar-SA"/>
        </w:rPr>
      </w:pPr>
      <w:r>
        <w:rPr>
          <w:rFonts w:hint="eastAsia" w:ascii="Times New Roman" w:hAnsi="Times New Roman" w:cs="Times New Roman"/>
          <w:b/>
          <w:spacing w:val="7"/>
          <w:sz w:val="24"/>
          <w:szCs w:val="24"/>
          <w:highlight w:val="none"/>
          <w:lang w:val="en-US" w:eastAsia="zh-CN" w:bidi="ar-SA"/>
        </w:rPr>
        <w:t xml:space="preserve">4</w:t>
      </w:r>
      <w:r>
        <w:rPr>
          <w:rFonts w:ascii="Times New Roman" w:hAnsi="Times New Roman" w:eastAsia="宋体" w:cs="Times New Roman"/>
          <w:b/>
          <w:spacing w:val="7"/>
          <w:sz w:val="24"/>
          <w:szCs w:val="24"/>
          <w:highlight w:val="none"/>
          <w:lang w:val="en-US" w:eastAsia="zh-CN" w:bidi="ar-SA"/>
        </w:rPr>
        <w:t xml:space="preserve"> 货款支付</w:t>
      </w:r>
      <w:r/>
    </w:p>
    <w:p>
      <w:pPr>
        <w:ind w:firstLine="500"/>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4</w:t>
      </w:r>
      <w:r>
        <w:rPr>
          <w:rFonts w:ascii="Times New Roman" w:hAnsi="Times New Roman" w:eastAsia="宋体" w:cs="Times New Roman"/>
          <w:i/>
          <w:spacing w:val="7"/>
          <w:sz w:val="24"/>
          <w:szCs w:val="24"/>
          <w:highlight w:val="none"/>
          <w:u w:val="single"/>
          <w:lang w:val="en-US" w:eastAsia="zh-CN" w:bidi="ar-SA"/>
        </w:rPr>
        <w:t xml:space="preserve">.1、结付程序</w:t>
      </w:r>
      <w:r/>
    </w:p>
    <w:p>
      <w:pPr>
        <w:ind w:firstLine="508"/>
        <w:spacing w:line="440" w:lineRule="exact"/>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 xml:space="preserve">供方按本合同内容合格地履行服务义务后，凭验收报告、销售发票到采购单位办理结算手续。</w:t>
      </w:r>
      <w:r/>
    </w:p>
    <w:p>
      <w:pPr>
        <w:ind w:firstLine="500"/>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4</w:t>
      </w:r>
      <w:r>
        <w:rPr>
          <w:rFonts w:ascii="Times New Roman" w:hAnsi="Times New Roman" w:eastAsia="宋体" w:cs="Times New Roman"/>
          <w:i/>
          <w:spacing w:val="7"/>
          <w:sz w:val="24"/>
          <w:szCs w:val="24"/>
          <w:highlight w:val="none"/>
          <w:u w:val="single"/>
          <w:lang w:val="en-US" w:eastAsia="zh-CN" w:bidi="ar-SA"/>
        </w:rPr>
        <w:t xml:space="preserve">.2、结付期限</w:t>
      </w:r>
      <w:r/>
    </w:p>
    <w:p>
      <w:pPr>
        <w:ind w:firstLine="482"/>
        <w:spacing w:line="440" w:lineRule="exact"/>
        <w:rPr>
          <w:rFonts w:hint="eastAsia" w:ascii="Times New Roman" w:hAnsi="Times New Roman" w:eastAsia="宋体" w:cs="Times New Roman"/>
          <w:i/>
          <w:color w:val="auto"/>
          <w:sz w:val="24"/>
          <w:szCs w:val="24"/>
          <w:highlight w:val="none"/>
          <w:u w:val="single"/>
          <w:lang w:eastAsia="zh-CN"/>
        </w:rPr>
      </w:pPr>
      <w:r/>
      <w:bookmarkStart w:id="176" w:name="_Hlk204853731"/>
      <w:r/>
      <w:bookmarkStart w:id="177" w:name="OLE_LINK4"/>
      <w:r>
        <w:rPr>
          <w:rFonts w:hint="default" w:ascii="Cambria Math" w:hAnsi="Cambria Math" w:eastAsia="宋体" w:cs="Cambria Math"/>
          <w:i/>
          <w:color w:val="auto"/>
          <w:sz w:val="24"/>
          <w:szCs w:val="24"/>
          <w:highlight w:val="none"/>
          <w:u w:val="single"/>
        </w:rPr>
        <w:t xml:space="preserve">①</w:t>
      </w:r>
      <w:r>
        <w:rPr>
          <w:rFonts w:hint="default" w:ascii="Times New Roman" w:hAnsi="Times New Roman" w:eastAsia="宋体" w:cs="Times New Roman"/>
          <w:i/>
          <w:color w:val="auto"/>
          <w:sz w:val="24"/>
          <w:szCs w:val="24"/>
          <w:highlight w:val="none"/>
          <w:u w:val="single"/>
        </w:rPr>
        <w:t xml:space="preserve">合同签订生效后，采购</w:t>
      </w:r>
      <w:r>
        <w:rPr>
          <w:rFonts w:hint="eastAsia" w:ascii="Times New Roman" w:hAnsi="Times New Roman" w:eastAsia="宋体" w:cs="Times New Roman"/>
          <w:i/>
          <w:color w:val="auto"/>
          <w:sz w:val="24"/>
          <w:szCs w:val="24"/>
          <w:highlight w:val="none"/>
          <w:u w:val="single"/>
        </w:rPr>
        <w:t xml:space="preserve">人收到中标人开具的发票后1</w:t>
      </w:r>
      <w:r>
        <w:rPr>
          <w:rFonts w:hint="eastAsia" w:ascii="Times New Roman" w:hAnsi="Times New Roman" w:cs="Times New Roman"/>
          <w:i/>
          <w:color w:val="auto"/>
          <w:sz w:val="24"/>
          <w:szCs w:val="24"/>
          <w:highlight w:val="none"/>
          <w:u w:val="single"/>
          <w:lang w:val="en-US" w:eastAsia="zh-CN"/>
        </w:rPr>
        <w:t xml:space="preserve">0个工作日</w:t>
      </w:r>
      <w:r>
        <w:rPr>
          <w:rFonts w:hint="default" w:ascii="Times New Roman" w:hAnsi="Times New Roman" w:eastAsia="宋体" w:cs="Times New Roman"/>
          <w:i/>
          <w:color w:val="auto"/>
          <w:sz w:val="24"/>
          <w:szCs w:val="24"/>
          <w:highlight w:val="none"/>
          <w:u w:val="single"/>
        </w:rPr>
        <w:t xml:space="preserve">内支付</w:t>
      </w:r>
      <w:r>
        <w:rPr>
          <w:rFonts w:hint="eastAsia" w:ascii="Times New Roman" w:hAnsi="Times New Roman" w:cs="Times New Roman"/>
          <w:i/>
          <w:color w:val="auto"/>
          <w:sz w:val="24"/>
          <w:szCs w:val="24"/>
          <w:highlight w:val="none"/>
          <w:u w:val="single"/>
          <w:lang w:eastAsia="zh-CN"/>
        </w:rPr>
        <w:t xml:space="preserve">合同金额</w:t>
      </w:r>
      <w:r>
        <w:rPr>
          <w:rFonts w:hint="eastAsia" w:ascii="Times New Roman" w:hAnsi="Times New Roman" w:eastAsia="宋体" w:cs="Times New Roman"/>
          <w:i/>
          <w:color w:val="auto"/>
          <w:sz w:val="24"/>
          <w:szCs w:val="24"/>
          <w:highlight w:val="none"/>
          <w:u w:val="single"/>
          <w:lang w:val="en-US" w:eastAsia="zh-CN"/>
        </w:rPr>
        <w:t xml:space="preserve">30</w:t>
      </w:r>
      <w:r>
        <w:rPr>
          <w:rFonts w:hint="default" w:ascii="Times New Roman" w:hAnsi="Times New Roman" w:eastAsia="宋体" w:cs="Times New Roman"/>
          <w:i/>
          <w:color w:val="auto"/>
          <w:sz w:val="24"/>
          <w:szCs w:val="24"/>
          <w:highlight w:val="none"/>
          <w:u w:val="single"/>
        </w:rPr>
        <w:t xml:space="preserve">%的预付款。</w:t>
      </w:r>
      <w:bookmarkEnd w:id="176"/>
      <w:r>
        <w:rPr>
          <w:rFonts w:hint="eastAsia" w:ascii="Times New Roman" w:hAnsi="Times New Roman" w:eastAsia="宋体" w:cs="Times New Roman"/>
          <w:i/>
          <w:color w:val="auto"/>
          <w:sz w:val="24"/>
          <w:szCs w:val="24"/>
          <w:highlight w:val="none"/>
          <w:u w:val="single"/>
        </w:rPr>
        <w:t xml:space="preserve">余下经项目完成、验收等工序完成，出具验收报告后30日内支付</w:t>
      </w:r>
      <w:r>
        <w:rPr>
          <w:rFonts w:hint="eastAsia" w:ascii="Times New Roman" w:hAnsi="Times New Roman" w:cs="Times New Roman"/>
          <w:i/>
          <w:color w:val="auto"/>
          <w:sz w:val="24"/>
          <w:szCs w:val="24"/>
          <w:highlight w:val="none"/>
          <w:u w:val="single"/>
          <w:lang w:eastAsia="zh-CN"/>
        </w:rPr>
        <w:t xml:space="preserve">至合同金额的</w:t>
      </w:r>
      <w:r>
        <w:rPr>
          <w:rFonts w:hint="eastAsia" w:ascii="Times New Roman" w:hAnsi="Times New Roman" w:cs="Times New Roman"/>
          <w:i/>
          <w:color w:val="auto"/>
          <w:sz w:val="24"/>
          <w:szCs w:val="24"/>
          <w:highlight w:val="none"/>
          <w:u w:val="single"/>
          <w:lang w:val="en-US" w:eastAsia="zh-CN"/>
        </w:rPr>
        <w:t xml:space="preserve">78%。</w:t>
      </w:r>
      <w:r>
        <w:rPr>
          <w:rFonts w:hint="eastAsia" w:ascii="Times New Roman" w:hAnsi="Times New Roman" w:cs="Times New Roman"/>
          <w:i/>
          <w:color w:val="auto"/>
          <w:sz w:val="24"/>
          <w:szCs w:val="24"/>
          <w:highlight w:val="none"/>
          <w:u w:val="single"/>
          <w:lang w:eastAsia="zh-CN"/>
        </w:rPr>
        <w:t xml:space="preserve">第一</w:t>
      </w:r>
      <w:r>
        <w:rPr>
          <w:rFonts w:hint="eastAsia" w:ascii="Times New Roman" w:hAnsi="Times New Roman" w:eastAsia="宋体" w:cs="Times New Roman"/>
          <w:i/>
          <w:color w:val="auto"/>
          <w:sz w:val="24"/>
          <w:szCs w:val="24"/>
          <w:highlight w:val="none"/>
          <w:u w:val="single"/>
          <w:lang w:eastAsia="zh-CN"/>
        </w:rPr>
        <w:t xml:space="preserve">年度</w:t>
      </w:r>
      <w:r>
        <w:rPr>
          <w:rFonts w:hint="eastAsia" w:ascii="Times New Roman" w:hAnsi="Times New Roman" w:eastAsia="宋体" w:cs="Times New Roman"/>
          <w:i/>
          <w:color w:val="auto"/>
          <w:sz w:val="24"/>
          <w:szCs w:val="24"/>
          <w:highlight w:val="none"/>
          <w:u w:val="single"/>
          <w:lang w:val="en-US" w:eastAsia="zh-CN"/>
        </w:rPr>
        <w:t xml:space="preserve">运维服务完成后支付</w:t>
      </w:r>
      <w:r>
        <w:rPr>
          <w:rFonts w:hint="eastAsia" w:ascii="Times New Roman" w:hAnsi="Times New Roman" w:cs="Times New Roman"/>
          <w:i/>
          <w:color w:val="auto"/>
          <w:sz w:val="24"/>
          <w:szCs w:val="24"/>
          <w:highlight w:val="none"/>
          <w:u w:val="single"/>
          <w:lang w:eastAsia="zh-CN"/>
        </w:rPr>
        <w:t xml:space="preserve">合同金额</w:t>
      </w:r>
      <w:r>
        <w:rPr>
          <w:rFonts w:hint="eastAsia" w:ascii="Times New Roman" w:hAnsi="Times New Roman" w:cs="Times New Roman"/>
          <w:i/>
          <w:color w:val="auto"/>
          <w:sz w:val="24"/>
          <w:szCs w:val="24"/>
          <w:highlight w:val="none"/>
          <w:u w:val="single"/>
          <w:lang w:val="en-US" w:eastAsia="zh-CN"/>
        </w:rPr>
        <w:t xml:space="preserve">的6</w:t>
      </w:r>
      <w:r>
        <w:rPr>
          <w:rFonts w:hint="eastAsia" w:ascii="Times New Roman" w:hAnsi="Times New Roman" w:eastAsia="宋体" w:cs="Times New Roman"/>
          <w:i/>
          <w:color w:val="auto"/>
          <w:sz w:val="24"/>
          <w:szCs w:val="24"/>
          <w:highlight w:val="none"/>
          <w:u w:val="single"/>
          <w:lang w:val="en-US" w:eastAsia="zh-CN"/>
        </w:rPr>
        <w:t xml:space="preserve">%，</w:t>
      </w:r>
      <w:r>
        <w:rPr>
          <w:rFonts w:hint="eastAsia" w:ascii="Times New Roman" w:hAnsi="Times New Roman" w:cs="Times New Roman"/>
          <w:i/>
          <w:color w:val="auto"/>
          <w:sz w:val="24"/>
          <w:szCs w:val="24"/>
          <w:highlight w:val="none"/>
          <w:u w:val="single"/>
          <w:lang w:eastAsia="zh-CN"/>
        </w:rPr>
        <w:t xml:space="preserve">第二</w:t>
      </w:r>
      <w:r>
        <w:rPr>
          <w:rFonts w:hint="eastAsia" w:ascii="Times New Roman" w:hAnsi="Times New Roman" w:eastAsia="宋体" w:cs="Times New Roman"/>
          <w:i/>
          <w:color w:val="auto"/>
          <w:sz w:val="24"/>
          <w:szCs w:val="24"/>
          <w:highlight w:val="none"/>
          <w:u w:val="single"/>
          <w:lang w:eastAsia="zh-CN"/>
        </w:rPr>
        <w:t xml:space="preserve">年度</w:t>
      </w:r>
      <w:r>
        <w:rPr>
          <w:rFonts w:hint="eastAsia" w:ascii="Times New Roman" w:hAnsi="Times New Roman" w:eastAsia="宋体" w:cs="Times New Roman"/>
          <w:i/>
          <w:color w:val="auto"/>
          <w:sz w:val="24"/>
          <w:szCs w:val="24"/>
          <w:highlight w:val="none"/>
          <w:u w:val="single"/>
          <w:lang w:val="en-US" w:eastAsia="zh-CN"/>
        </w:rPr>
        <w:t xml:space="preserve">运维服务完成后支付</w:t>
      </w:r>
      <w:r>
        <w:rPr>
          <w:rFonts w:hint="eastAsia" w:ascii="Times New Roman" w:hAnsi="Times New Roman" w:cs="Times New Roman"/>
          <w:i/>
          <w:color w:val="auto"/>
          <w:sz w:val="24"/>
          <w:szCs w:val="24"/>
          <w:highlight w:val="none"/>
          <w:u w:val="single"/>
          <w:lang w:eastAsia="zh-CN"/>
        </w:rPr>
        <w:t xml:space="preserve">合同金额</w:t>
      </w:r>
      <w:r>
        <w:rPr>
          <w:rFonts w:hint="eastAsia" w:ascii="Times New Roman" w:hAnsi="Times New Roman" w:cs="Times New Roman"/>
          <w:i/>
          <w:color w:val="auto"/>
          <w:sz w:val="24"/>
          <w:szCs w:val="24"/>
          <w:highlight w:val="none"/>
          <w:u w:val="single"/>
          <w:lang w:val="en-US" w:eastAsia="zh-CN"/>
        </w:rPr>
        <w:t xml:space="preserve">的8</w:t>
      </w:r>
      <w:r>
        <w:rPr>
          <w:rFonts w:hint="eastAsia" w:ascii="Times New Roman" w:hAnsi="Times New Roman" w:eastAsia="宋体" w:cs="Times New Roman"/>
          <w:i/>
          <w:color w:val="auto"/>
          <w:sz w:val="24"/>
          <w:szCs w:val="24"/>
          <w:highlight w:val="none"/>
          <w:u w:val="single"/>
          <w:lang w:val="en-US" w:eastAsia="zh-CN"/>
        </w:rPr>
        <w:t xml:space="preserve">%</w:t>
      </w:r>
      <w:r>
        <w:rPr>
          <w:rFonts w:hint="eastAsia" w:ascii="Times New Roman" w:hAnsi="Times New Roman" w:cs="Times New Roman"/>
          <w:i/>
          <w:color w:val="auto"/>
          <w:sz w:val="24"/>
          <w:szCs w:val="24"/>
          <w:highlight w:val="none"/>
          <w:u w:val="single"/>
          <w:lang w:val="en-US" w:eastAsia="zh-CN"/>
        </w:rPr>
        <w:t xml:space="preserve">，第三年度运维服务完成</w:t>
      </w:r>
      <w:r>
        <w:rPr>
          <w:rFonts w:hint="eastAsia" w:ascii="Times New Roman" w:hAnsi="Times New Roman" w:eastAsia="宋体" w:cs="Times New Roman"/>
          <w:i/>
          <w:color w:val="auto"/>
          <w:sz w:val="24"/>
          <w:szCs w:val="24"/>
          <w:highlight w:val="none"/>
          <w:u w:val="single"/>
          <w:lang w:val="en-US" w:eastAsia="zh-CN"/>
        </w:rPr>
        <w:t xml:space="preserve">后</w:t>
      </w:r>
      <w:r>
        <w:rPr>
          <w:rFonts w:hint="eastAsia" w:ascii="Times New Roman" w:hAnsi="Times New Roman" w:cs="Times New Roman"/>
          <w:i/>
          <w:color w:val="auto"/>
          <w:sz w:val="24"/>
          <w:szCs w:val="24"/>
          <w:highlight w:val="none"/>
          <w:u w:val="single"/>
          <w:lang w:val="en-US" w:eastAsia="zh-CN"/>
        </w:rPr>
        <w:t xml:space="preserve">付清余款并</w:t>
      </w:r>
      <w:r>
        <w:rPr>
          <w:rFonts w:hint="eastAsia" w:ascii="Times New Roman" w:hAnsi="Times New Roman" w:eastAsia="宋体" w:cs="Times New Roman"/>
          <w:i/>
          <w:color w:val="auto"/>
          <w:sz w:val="24"/>
          <w:szCs w:val="24"/>
          <w:highlight w:val="none"/>
          <w:u w:val="single"/>
        </w:rPr>
        <w:t xml:space="preserve">退还履约保证金</w:t>
      </w:r>
      <w:r>
        <w:rPr>
          <w:rFonts w:hint="eastAsia" w:ascii="Times New Roman" w:hAnsi="Times New Roman" w:eastAsia="宋体" w:cs="Times New Roman"/>
          <w:i/>
          <w:color w:val="auto"/>
          <w:sz w:val="24"/>
          <w:szCs w:val="24"/>
          <w:highlight w:val="none"/>
          <w:u w:val="single"/>
          <w:lang w:eastAsia="zh-CN"/>
        </w:rPr>
        <w:t xml:space="preserve">。</w:t>
      </w:r>
      <w:bookmarkEnd w:id="177"/>
      <w:r/>
      <w:r/>
    </w:p>
    <w:p>
      <w:pPr>
        <w:ind w:firstLine="500"/>
        <w:spacing w:line="440" w:lineRule="exact"/>
        <w:rPr>
          <w:rFonts w:ascii="Times New Roman" w:hAnsi="Times New Roman" w:eastAsia="宋体" w:cs="Times New Roman"/>
          <w:b/>
          <w:color w:val="auto"/>
          <w:spacing w:val="7"/>
          <w:sz w:val="24"/>
          <w:szCs w:val="24"/>
          <w:highlight w:val="none"/>
          <w:lang w:val="en-US" w:eastAsia="zh-CN" w:bidi="ar-SA"/>
        </w:rPr>
      </w:pPr>
      <w:r>
        <w:rPr>
          <w:rFonts w:hint="eastAsia" w:ascii="Times New Roman" w:hAnsi="Times New Roman" w:cs="Times New Roman"/>
          <w:b/>
          <w:color w:val="auto"/>
          <w:spacing w:val="7"/>
          <w:sz w:val="24"/>
          <w:szCs w:val="24"/>
          <w:highlight w:val="none"/>
          <w:lang w:val="en-US" w:eastAsia="zh-CN" w:bidi="ar-SA"/>
        </w:rPr>
        <w:t xml:space="preserve">5</w:t>
      </w:r>
      <w:r>
        <w:rPr>
          <w:rFonts w:ascii="Times New Roman" w:hAnsi="Times New Roman" w:eastAsia="宋体" w:cs="Times New Roman"/>
          <w:b/>
          <w:color w:val="auto"/>
          <w:spacing w:val="7"/>
          <w:sz w:val="24"/>
          <w:szCs w:val="24"/>
          <w:highlight w:val="none"/>
          <w:lang w:val="en-US" w:eastAsia="zh-CN" w:bidi="ar-SA"/>
        </w:rPr>
        <w:t xml:space="preserve"> 投标货币</w:t>
      </w:r>
      <w:r/>
    </w:p>
    <w:p>
      <w:pPr>
        <w:ind w:firstLine="500"/>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5</w:t>
      </w:r>
      <w:r>
        <w:rPr>
          <w:rFonts w:ascii="Times New Roman" w:hAnsi="Times New Roman" w:eastAsia="宋体" w:cs="Times New Roman"/>
          <w:i/>
          <w:spacing w:val="7"/>
          <w:sz w:val="24"/>
          <w:szCs w:val="24"/>
          <w:highlight w:val="none"/>
          <w:u w:val="single"/>
          <w:lang w:val="en-US" w:eastAsia="zh-CN" w:bidi="ar-SA"/>
        </w:rPr>
        <w:t xml:space="preserve">.1、投标货币</w:t>
      </w:r>
      <w:r/>
    </w:p>
    <w:p>
      <w:pPr>
        <w:ind w:firstLine="500"/>
        <w:spacing w:line="440" w:lineRule="exact"/>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 xml:space="preserve">人民币。</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bookmarkStart w:id="178" w:name="_Hlk204590348"/>
      <w:r>
        <w:rPr>
          <w:rFonts w:hint="eastAsia" w:ascii="Times New Roman" w:hAnsi="Times New Roman" w:cs="Times New Roman"/>
          <w:b/>
          <w:spacing w:val="7"/>
          <w:sz w:val="24"/>
          <w:szCs w:val="24"/>
          <w:highlight w:val="none"/>
          <w:lang w:val="en-US" w:eastAsia="zh-CN" w:bidi="ar-SA"/>
        </w:rPr>
        <w:t xml:space="preserve">6</w:t>
      </w:r>
      <w:r>
        <w:rPr>
          <w:rFonts w:ascii="Times New Roman" w:hAnsi="Times New Roman" w:eastAsia="宋体" w:cs="Times New Roman"/>
          <w:b/>
          <w:spacing w:val="7"/>
          <w:sz w:val="24"/>
          <w:szCs w:val="24"/>
          <w:highlight w:val="none"/>
          <w:lang w:val="en-US" w:eastAsia="zh-CN" w:bidi="ar-SA"/>
        </w:rPr>
        <w:t xml:space="preserve"> 备品备件及耗材等要求</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6</w:t>
      </w:r>
      <w:r>
        <w:rPr>
          <w:rFonts w:ascii="Times New Roman" w:hAnsi="Times New Roman" w:eastAsia="宋体" w:cs="Times New Roman"/>
          <w:i/>
          <w:spacing w:val="7"/>
          <w:sz w:val="24"/>
          <w:szCs w:val="24"/>
          <w:highlight w:val="none"/>
          <w:u w:val="single"/>
          <w:lang w:val="en-US" w:eastAsia="zh-CN" w:bidi="ar-SA"/>
        </w:rPr>
        <w:t xml:space="preserve">.1、备品备件及耗材等要求</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 xml:space="preserve">服务期内须备齐所需备品备件及耗材。</w:t>
      </w:r>
      <w:bookmarkEnd w:id="178"/>
      <w:r/>
      <w:r/>
    </w:p>
    <w:p>
      <w:pPr>
        <w:spacing w:before="120" w:after="120" w:line="440" w:lineRule="exact"/>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四、其他要求</w:t>
      </w:r>
      <w:r/>
    </w:p>
    <w:p>
      <w:pPr>
        <w:ind w:firstLine="482"/>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1、投标方案</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（1）投标人根据本项目实际需求，制定实施方案（</w:t>
      </w:r>
      <w:r>
        <w:rPr>
          <w:rFonts w:ascii="Cambria Math" w:hAnsi="Cambria Math" w:eastAsia="宋体" w:cs="Cambria Math"/>
          <w:spacing w:val="7"/>
          <w:sz w:val="24"/>
          <w:szCs w:val="24"/>
          <w:highlight w:val="none"/>
          <w:lang w:val="en-US" w:eastAsia="zh-CN" w:bidi="ar-SA"/>
        </w:rPr>
        <w:t xml:space="preserve">①</w:t>
      </w:r>
      <w:r>
        <w:rPr>
          <w:rFonts w:ascii="Times New Roman" w:hAnsi="Times New Roman" w:eastAsia="宋体" w:cs="Times New Roman"/>
          <w:spacing w:val="7"/>
          <w:sz w:val="24"/>
          <w:szCs w:val="24"/>
          <w:highlight w:val="none"/>
          <w:lang w:val="en-US" w:eastAsia="zh-CN" w:bidi="ar-SA"/>
        </w:rPr>
        <w:t xml:space="preserve">实施整体方案、</w:t>
      </w:r>
      <w:r>
        <w:rPr>
          <w:rFonts w:ascii="Cambria Math" w:hAnsi="Cambria Math" w:eastAsia="宋体" w:cs="Cambria Math"/>
          <w:spacing w:val="7"/>
          <w:sz w:val="24"/>
          <w:szCs w:val="24"/>
          <w:highlight w:val="none"/>
          <w:lang w:val="en-US" w:eastAsia="zh-CN" w:bidi="ar-SA"/>
        </w:rPr>
        <w:t xml:space="preserve">②</w:t>
      </w:r>
      <w:r>
        <w:rPr>
          <w:rFonts w:ascii="Times New Roman" w:hAnsi="Times New Roman" w:eastAsia="宋体" w:cs="Times New Roman"/>
          <w:spacing w:val="7"/>
          <w:sz w:val="24"/>
          <w:szCs w:val="24"/>
          <w:highlight w:val="none"/>
          <w:lang w:val="en-US" w:eastAsia="zh-CN" w:bidi="ar-SA"/>
        </w:rPr>
        <w:t xml:space="preserve">供货计划、</w:t>
      </w:r>
      <w:r>
        <w:rPr>
          <w:rFonts w:ascii="Cambria Math" w:hAnsi="Cambria Math" w:eastAsia="宋体" w:cs="Cambria Math"/>
          <w:spacing w:val="7"/>
          <w:sz w:val="24"/>
          <w:szCs w:val="24"/>
          <w:highlight w:val="none"/>
          <w:lang w:val="en-US" w:eastAsia="zh-CN" w:bidi="ar-SA"/>
        </w:rPr>
        <w:t xml:space="preserve">③</w:t>
      </w:r>
      <w:r>
        <w:rPr>
          <w:rFonts w:ascii="Times New Roman" w:hAnsi="Times New Roman" w:eastAsia="宋体" w:cs="Times New Roman"/>
          <w:spacing w:val="7"/>
          <w:sz w:val="24"/>
          <w:szCs w:val="24"/>
          <w:highlight w:val="none"/>
          <w:lang w:val="en-US" w:eastAsia="zh-CN" w:bidi="ar-SA"/>
        </w:rPr>
        <w:t xml:space="preserve">进度控制方案、</w:t>
      </w:r>
      <w:r>
        <w:rPr>
          <w:rFonts w:ascii="Cambria Math" w:hAnsi="Cambria Math" w:eastAsia="宋体" w:cs="Cambria Math"/>
          <w:spacing w:val="7"/>
          <w:sz w:val="24"/>
          <w:szCs w:val="24"/>
          <w:highlight w:val="none"/>
          <w:lang w:val="en-US" w:eastAsia="zh-CN" w:bidi="ar-SA"/>
        </w:rPr>
        <w:t xml:space="preserve">④</w:t>
      </w:r>
      <w:r>
        <w:rPr>
          <w:rFonts w:ascii="Times New Roman" w:hAnsi="Times New Roman" w:eastAsia="宋体" w:cs="Times New Roman"/>
          <w:spacing w:val="7"/>
          <w:sz w:val="24"/>
          <w:szCs w:val="24"/>
          <w:highlight w:val="none"/>
          <w:lang w:val="en-US" w:eastAsia="zh-CN" w:bidi="ar-SA"/>
        </w:rPr>
        <w:t xml:space="preserve">质量保障方案、</w:t>
      </w:r>
      <w:r>
        <w:rPr>
          <w:rFonts w:ascii="Cambria Math" w:hAnsi="Cambria Math" w:eastAsia="宋体" w:cs="Cambria Math"/>
          <w:spacing w:val="7"/>
          <w:sz w:val="24"/>
          <w:szCs w:val="24"/>
          <w:highlight w:val="none"/>
          <w:lang w:val="en-US" w:eastAsia="zh-CN" w:bidi="ar-SA"/>
        </w:rPr>
        <w:t xml:space="preserve">⑤</w:t>
      </w:r>
      <w:r>
        <w:rPr>
          <w:rFonts w:ascii="Times New Roman" w:hAnsi="Times New Roman" w:eastAsia="宋体" w:cs="Times New Roman"/>
          <w:spacing w:val="7"/>
          <w:sz w:val="24"/>
          <w:szCs w:val="24"/>
          <w:highlight w:val="none"/>
          <w:lang w:val="en-US" w:eastAsia="zh-CN" w:bidi="ar-SA"/>
        </w:rPr>
        <w:t xml:space="preserve">安全管理方案），请在投标文件中提供相关方案内容（如有）。</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（2）投标人根据本项目实际需求，制定安装调试方案（</w:t>
      </w:r>
      <w:r>
        <w:rPr>
          <w:rFonts w:ascii="Cambria Math" w:hAnsi="Cambria Math" w:eastAsia="宋体" w:cs="Cambria Math"/>
          <w:spacing w:val="7"/>
          <w:sz w:val="24"/>
          <w:szCs w:val="24"/>
          <w:highlight w:val="none"/>
          <w:lang w:val="en-US" w:eastAsia="zh-CN" w:bidi="ar-SA"/>
        </w:rPr>
        <w:t xml:space="preserve">①</w:t>
      </w:r>
      <w:r>
        <w:rPr>
          <w:rFonts w:ascii="Times New Roman" w:hAnsi="Times New Roman" w:eastAsia="宋体" w:cs="Times New Roman"/>
          <w:spacing w:val="7"/>
          <w:sz w:val="24"/>
          <w:szCs w:val="24"/>
          <w:highlight w:val="none"/>
          <w:lang w:val="en-US" w:eastAsia="zh-CN" w:bidi="ar-SA"/>
        </w:rPr>
        <w:t xml:space="preserve">各子系统的技术路线、</w:t>
      </w:r>
      <w:r>
        <w:rPr>
          <w:rFonts w:ascii="Cambria Math" w:hAnsi="Cambria Math" w:eastAsia="宋体" w:cs="Cambria Math"/>
          <w:spacing w:val="7"/>
          <w:sz w:val="24"/>
          <w:szCs w:val="24"/>
          <w:highlight w:val="none"/>
          <w:lang w:val="en-US" w:eastAsia="zh-CN" w:bidi="ar-SA"/>
        </w:rPr>
        <w:t xml:space="preserve">②</w:t>
      </w:r>
      <w:r>
        <w:rPr>
          <w:rFonts w:ascii="Times New Roman" w:hAnsi="Times New Roman" w:eastAsia="宋体" w:cs="Times New Roman"/>
          <w:spacing w:val="7"/>
          <w:sz w:val="24"/>
          <w:szCs w:val="24"/>
          <w:highlight w:val="none"/>
          <w:lang w:val="en-US" w:eastAsia="zh-CN" w:bidi="ar-SA"/>
        </w:rPr>
        <w:t xml:space="preserve">安装步骤、</w:t>
      </w:r>
      <w:r>
        <w:rPr>
          <w:rFonts w:ascii="Cambria Math" w:hAnsi="Cambria Math" w:eastAsia="宋体" w:cs="Cambria Math"/>
          <w:spacing w:val="7"/>
          <w:sz w:val="24"/>
          <w:szCs w:val="24"/>
          <w:highlight w:val="none"/>
          <w:lang w:val="en-US" w:eastAsia="zh-CN" w:bidi="ar-SA"/>
        </w:rPr>
        <w:t xml:space="preserve">③</w:t>
      </w:r>
      <w:r>
        <w:rPr>
          <w:rFonts w:ascii="Times New Roman" w:hAnsi="Times New Roman" w:eastAsia="宋体" w:cs="Times New Roman"/>
          <w:spacing w:val="7"/>
          <w:sz w:val="24"/>
          <w:szCs w:val="24"/>
          <w:highlight w:val="none"/>
          <w:lang w:val="en-US" w:eastAsia="zh-CN" w:bidi="ar-SA"/>
        </w:rPr>
        <w:t xml:space="preserve">注意事项、</w:t>
      </w:r>
      <w:r>
        <w:rPr>
          <w:rFonts w:ascii="Cambria Math" w:hAnsi="Cambria Math" w:eastAsia="宋体" w:cs="Cambria Math"/>
          <w:spacing w:val="7"/>
          <w:sz w:val="24"/>
          <w:szCs w:val="24"/>
          <w:highlight w:val="none"/>
          <w:lang w:val="en-US" w:eastAsia="zh-CN" w:bidi="ar-SA"/>
        </w:rPr>
        <w:t xml:space="preserve">④</w:t>
      </w:r>
      <w:r>
        <w:rPr>
          <w:rFonts w:ascii="Times New Roman" w:hAnsi="Times New Roman" w:eastAsia="宋体" w:cs="Times New Roman"/>
          <w:spacing w:val="7"/>
          <w:sz w:val="24"/>
          <w:szCs w:val="24"/>
          <w:highlight w:val="none"/>
          <w:lang w:val="en-US" w:eastAsia="zh-CN" w:bidi="ar-SA"/>
        </w:rPr>
        <w:t xml:space="preserve">调试内容、</w:t>
      </w:r>
      <w:r>
        <w:rPr>
          <w:rFonts w:ascii="Cambria Math" w:hAnsi="Cambria Math" w:eastAsia="宋体" w:cs="Cambria Math"/>
          <w:spacing w:val="7"/>
          <w:sz w:val="24"/>
          <w:szCs w:val="24"/>
          <w:highlight w:val="none"/>
          <w:lang w:val="en-US" w:eastAsia="zh-CN" w:bidi="ar-SA"/>
        </w:rPr>
        <w:t xml:space="preserve">⑤</w:t>
      </w:r>
      <w:r>
        <w:rPr>
          <w:rFonts w:ascii="Times New Roman" w:hAnsi="Times New Roman" w:eastAsia="宋体" w:cs="Times New Roman"/>
          <w:spacing w:val="7"/>
          <w:sz w:val="24"/>
          <w:szCs w:val="24"/>
          <w:highlight w:val="none"/>
          <w:lang w:val="en-US" w:eastAsia="zh-CN" w:bidi="ar-SA"/>
        </w:rPr>
        <w:t xml:space="preserve">保障措施），请在投标文件中提供相关方案内容（如有）。</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（3）投标人根据本项目实际需求，制定运维方案（</w:t>
      </w:r>
      <w:r>
        <w:rPr>
          <w:rFonts w:ascii="Cambria Math" w:hAnsi="Cambria Math" w:eastAsia="宋体" w:cs="Cambria Math"/>
          <w:spacing w:val="7"/>
          <w:sz w:val="24"/>
          <w:szCs w:val="24"/>
          <w:highlight w:val="none"/>
          <w:lang w:val="en-US" w:eastAsia="zh-CN" w:bidi="ar-SA"/>
        </w:rPr>
        <w:t xml:space="preserve">①</w:t>
      </w:r>
      <w:r>
        <w:rPr>
          <w:rFonts w:ascii="Times New Roman" w:hAnsi="Times New Roman" w:eastAsia="宋体" w:cs="Times New Roman"/>
          <w:spacing w:val="7"/>
          <w:sz w:val="24"/>
          <w:szCs w:val="24"/>
          <w:highlight w:val="none"/>
          <w:lang w:val="en-US" w:eastAsia="zh-CN" w:bidi="ar-SA"/>
        </w:rPr>
        <w:t xml:space="preserve">系统运维保障方案、</w:t>
      </w:r>
      <w:r>
        <w:rPr>
          <w:rFonts w:ascii="Cambria Math" w:hAnsi="Cambria Math" w:eastAsia="宋体" w:cs="Cambria Math"/>
          <w:spacing w:val="7"/>
          <w:sz w:val="24"/>
          <w:szCs w:val="24"/>
          <w:highlight w:val="none"/>
          <w:lang w:val="en-US" w:eastAsia="zh-CN" w:bidi="ar-SA"/>
        </w:rPr>
        <w:t xml:space="preserve">②</w:t>
      </w:r>
      <w:r>
        <w:rPr>
          <w:rFonts w:ascii="Times New Roman" w:hAnsi="Times New Roman" w:eastAsia="宋体" w:cs="Times New Roman"/>
          <w:spacing w:val="7"/>
          <w:sz w:val="24"/>
          <w:szCs w:val="24"/>
          <w:highlight w:val="none"/>
          <w:lang w:val="en-US" w:eastAsia="zh-CN" w:bidi="ar-SA"/>
        </w:rPr>
        <w:t xml:space="preserve">各硬件设备的运维管理方案、</w:t>
      </w:r>
      <w:r>
        <w:rPr>
          <w:rFonts w:ascii="Cambria Math" w:hAnsi="Cambria Math" w:eastAsia="宋体" w:cs="Cambria Math"/>
          <w:spacing w:val="7"/>
          <w:sz w:val="24"/>
          <w:szCs w:val="24"/>
          <w:highlight w:val="none"/>
          <w:lang w:val="en-US" w:eastAsia="zh-CN" w:bidi="ar-SA"/>
        </w:rPr>
        <w:t xml:space="preserve">③</w:t>
      </w:r>
      <w:r>
        <w:rPr>
          <w:rFonts w:ascii="Times New Roman" w:hAnsi="Times New Roman" w:eastAsia="宋体" w:cs="Times New Roman"/>
          <w:spacing w:val="7"/>
          <w:sz w:val="24"/>
          <w:szCs w:val="24"/>
          <w:highlight w:val="none"/>
          <w:lang w:val="en-US" w:eastAsia="zh-CN" w:bidi="ar-SA"/>
        </w:rPr>
        <w:t xml:space="preserve">运营服务保障措施、</w:t>
      </w:r>
      <w:r>
        <w:rPr>
          <w:rFonts w:ascii="Cambria Math" w:hAnsi="Cambria Math" w:eastAsia="宋体" w:cs="Cambria Math"/>
          <w:spacing w:val="7"/>
          <w:sz w:val="24"/>
          <w:szCs w:val="24"/>
          <w:highlight w:val="none"/>
          <w:lang w:val="en-US" w:eastAsia="zh-CN" w:bidi="ar-SA"/>
        </w:rPr>
        <w:t xml:space="preserve">④</w:t>
      </w:r>
      <w:r>
        <w:rPr>
          <w:rFonts w:ascii="Times New Roman" w:hAnsi="Times New Roman" w:eastAsia="宋体" w:cs="Times New Roman"/>
          <w:spacing w:val="7"/>
          <w:sz w:val="24"/>
          <w:szCs w:val="24"/>
          <w:highlight w:val="none"/>
          <w:lang w:val="en-US" w:eastAsia="zh-CN" w:bidi="ar-SA"/>
        </w:rPr>
        <w:t xml:space="preserve">运维建设与管理制度），请在投标文件中提供相关方案内容（如有）。</w:t>
      </w:r>
      <w:r/>
    </w:p>
    <w:p>
      <w:pPr>
        <w:ind w:firstLine="500"/>
        <w:spacing w:line="440" w:lineRule="exact"/>
        <w:rPr>
          <w:rFonts w:hint="default"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 xml:space="preserve">（4）投标人根据本项目实际需求，制定停车泊位建设方案（</w:t>
      </w:r>
      <w:r>
        <w:rPr>
          <w:rFonts w:ascii="Cambria Math" w:hAnsi="Cambria Math" w:eastAsia="宋体" w:cs="Cambria Math"/>
          <w:spacing w:val="7"/>
          <w:sz w:val="24"/>
          <w:szCs w:val="24"/>
          <w:highlight w:val="none"/>
          <w:lang w:val="en-US" w:eastAsia="zh-CN" w:bidi="ar-SA"/>
        </w:rPr>
        <w:t xml:space="preserve">①</w:t>
      </w:r>
      <w:r>
        <w:rPr>
          <w:rFonts w:hint="eastAsia" w:ascii="Cambria Math" w:hAnsi="Cambria Math" w:eastAsia="宋体" w:cs="Cambria Math"/>
          <w:spacing w:val="7"/>
          <w:sz w:val="24"/>
          <w:szCs w:val="24"/>
          <w:highlight w:val="none"/>
          <w:lang w:val="en-US" w:eastAsia="zh-CN" w:bidi="ar-SA"/>
        </w:rPr>
        <w:t xml:space="preserve">停车泊位道路现状调研分析、</w:t>
      </w:r>
      <w:r>
        <w:rPr>
          <w:rFonts w:ascii="Cambria Math" w:hAnsi="Cambria Math" w:eastAsia="宋体" w:cs="Cambria Math"/>
          <w:spacing w:val="7"/>
          <w:sz w:val="24"/>
          <w:szCs w:val="24"/>
          <w:highlight w:val="none"/>
          <w:lang w:val="en-US" w:eastAsia="zh-CN" w:bidi="ar-SA"/>
        </w:rPr>
        <w:t xml:space="preserve">②</w:t>
      </w:r>
      <w:r>
        <w:rPr>
          <w:rFonts w:hint="eastAsia" w:ascii="Cambria Math" w:hAnsi="Cambria Math" w:eastAsia="宋体" w:cs="Cambria Math"/>
          <w:spacing w:val="7"/>
          <w:sz w:val="24"/>
          <w:szCs w:val="24"/>
          <w:highlight w:val="none"/>
          <w:lang w:val="en-US" w:eastAsia="zh-CN" w:bidi="ar-SA"/>
        </w:rPr>
        <w:t xml:space="preserve">智能停车收费前端设备、配套系统建设技术方案、</w:t>
      </w:r>
      <w:r>
        <w:rPr>
          <w:rFonts w:ascii="Cambria Math" w:hAnsi="Cambria Math" w:eastAsia="宋体" w:cs="Cambria Math"/>
          <w:spacing w:val="7"/>
          <w:sz w:val="24"/>
          <w:szCs w:val="24"/>
          <w:highlight w:val="none"/>
          <w:lang w:val="en-US" w:eastAsia="zh-CN" w:bidi="ar-SA"/>
        </w:rPr>
        <w:t xml:space="preserve">③</w:t>
      </w:r>
      <w:r>
        <w:rPr>
          <w:rFonts w:hint="eastAsia" w:ascii="Cambria Math" w:hAnsi="Cambria Math" w:eastAsia="宋体" w:cs="Cambria Math"/>
          <w:spacing w:val="7"/>
          <w:sz w:val="24"/>
          <w:szCs w:val="24"/>
          <w:highlight w:val="none"/>
          <w:lang w:val="en-US" w:eastAsia="zh-CN" w:bidi="ar-SA"/>
        </w:rPr>
        <w:t xml:space="preserve">停车收费整体运营思路、商业模式设计、</w:t>
      </w:r>
      <w:r>
        <w:rPr>
          <w:rFonts w:ascii="Cambria Math" w:hAnsi="Cambria Math" w:eastAsia="宋体" w:cs="Cambria Math"/>
          <w:spacing w:val="7"/>
          <w:sz w:val="24"/>
          <w:szCs w:val="24"/>
          <w:highlight w:val="none"/>
          <w:lang w:val="en-US" w:eastAsia="zh-CN" w:bidi="ar-SA"/>
        </w:rPr>
        <w:t xml:space="preserve">④</w:t>
      </w:r>
      <w:r>
        <w:rPr>
          <w:rFonts w:hint="eastAsia" w:ascii="Cambria Math" w:hAnsi="Cambria Math" w:eastAsia="宋体" w:cs="Cambria Math"/>
          <w:spacing w:val="7"/>
          <w:sz w:val="24"/>
          <w:szCs w:val="24"/>
          <w:highlight w:val="none"/>
          <w:lang w:val="en-US" w:eastAsia="zh-CN" w:bidi="ar-SA"/>
        </w:rPr>
        <w:t xml:space="preserve">收益成本分析及运营周期规划、</w:t>
      </w:r>
      <w:r>
        <w:rPr>
          <w:rFonts w:ascii="Cambria Math" w:hAnsi="Cambria Math" w:eastAsia="宋体" w:cs="Cambria Math"/>
          <w:spacing w:val="7"/>
          <w:sz w:val="24"/>
          <w:szCs w:val="24"/>
          <w:highlight w:val="none"/>
          <w:lang w:val="en-US" w:eastAsia="zh-CN" w:bidi="ar-SA"/>
        </w:rPr>
        <w:t xml:space="preserve">⑤</w:t>
      </w:r>
      <w:r>
        <w:rPr>
          <w:rFonts w:hint="eastAsia" w:ascii="Cambria Math" w:hAnsi="Cambria Math" w:eastAsia="宋体" w:cs="Cambria Math"/>
          <w:spacing w:val="7"/>
          <w:sz w:val="24"/>
          <w:szCs w:val="24"/>
          <w:highlight w:val="none"/>
          <w:lang w:val="en-US" w:eastAsia="zh-CN" w:bidi="ar-SA"/>
        </w:rPr>
        <w:t xml:space="preserve">可持续运营保障措施等</w:t>
      </w:r>
      <w:r>
        <w:rPr>
          <w:rFonts w:hint="eastAsia" w:ascii="Times New Roman" w:hAnsi="Times New Roman" w:eastAsia="宋体" w:cs="Times New Roman"/>
          <w:spacing w:val="7"/>
          <w:sz w:val="24"/>
          <w:szCs w:val="24"/>
          <w:highlight w:val="none"/>
          <w:lang w:val="en-US" w:eastAsia="zh-CN" w:bidi="ar-SA"/>
        </w:rPr>
        <w:t xml:space="preserve">）</w:t>
      </w:r>
      <w:r/>
    </w:p>
    <w:p>
      <w:pPr>
        <w:ind w:firstLine="482"/>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2、履约能力</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（1）投标人承接过自2021年以来（以合同签订时间为准）与本项目类似业绩（如有）。</w:t>
      </w:r>
      <w:r/>
    </w:p>
    <w:p>
      <w:pPr>
        <w:ind w:firstLine="500"/>
        <w:spacing w:line="440" w:lineRule="exact"/>
        <w:rPr>
          <w:rFonts w:ascii="Times New Roman" w:hAnsi="Times New Roman" w:eastAsia="宋体" w:cs="Times New Roman"/>
          <w:b/>
          <w:bCs/>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（2）项目负责人</w:t>
      </w:r>
      <w:r>
        <w:rPr>
          <w:rFonts w:hint="eastAsia" w:ascii="Cambria Math" w:hAnsi="Cambria Math" w:eastAsia="宋体" w:cs="Cambria Math"/>
          <w:spacing w:val="7"/>
          <w:sz w:val="24"/>
          <w:szCs w:val="24"/>
          <w:highlight w:val="none"/>
          <w:lang w:val="en-US" w:eastAsia="zh-CN" w:bidi="ar-SA"/>
        </w:rPr>
        <w:t xml:space="preserve">具有信息系统项目管理师证书（高级）</w:t>
      </w:r>
      <w:r>
        <w:rPr>
          <w:rFonts w:ascii="Times New Roman" w:hAnsi="Times New Roman" w:eastAsia="宋体" w:cs="Times New Roman"/>
          <w:color w:val="000000"/>
          <w:spacing w:val="7"/>
          <w:sz w:val="24"/>
          <w:szCs w:val="24"/>
          <w:highlight w:val="none"/>
          <w:lang w:val="en-US" w:eastAsia="zh-CN" w:bidi="ar-SA"/>
        </w:rPr>
        <w:t xml:space="preserve">（如有）。</w:t>
      </w:r>
      <w:r/>
    </w:p>
    <w:p>
      <w:pPr>
        <w:ind w:firstLine="500"/>
        <w:spacing w:line="440" w:lineRule="exact"/>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（3）</w:t>
      </w:r>
      <w:r>
        <w:rPr>
          <w:rFonts w:hint="eastAsia" w:ascii="Cambria Math" w:hAnsi="Cambria Math" w:eastAsia="宋体" w:cs="Cambria Math"/>
          <w:spacing w:val="7"/>
          <w:sz w:val="24"/>
          <w:szCs w:val="24"/>
          <w:highlight w:val="none"/>
          <w:lang w:val="en-US" w:eastAsia="zh-CN" w:bidi="ar-SA"/>
        </w:rPr>
        <w:t xml:space="preserve">信息安全负责人具有注册信息安全工程师(CISE)证书或CISAW信息安全保障人员(安全运维专业)认证证书</w:t>
      </w:r>
      <w:r>
        <w:rPr>
          <w:rFonts w:ascii="Times New Roman" w:hAnsi="Times New Roman" w:eastAsia="宋体" w:cs="Times New Roman"/>
          <w:color w:val="000000"/>
          <w:spacing w:val="7"/>
          <w:sz w:val="24"/>
          <w:szCs w:val="24"/>
          <w:highlight w:val="none"/>
          <w:lang w:val="en-US" w:eastAsia="zh-CN" w:bidi="ar-SA"/>
        </w:rPr>
        <w:t xml:space="preserve">（如有）。</w:t>
      </w:r>
      <w:r/>
    </w:p>
    <w:p>
      <w:pPr>
        <w:ind w:firstLine="508"/>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（4）项目组配备除项目负责人、信息安全负责人外，应配备不低于</w:t>
      </w:r>
      <w:r>
        <w:rPr>
          <w:rFonts w:hint="eastAsia" w:ascii="Times New Roman" w:hAnsi="Times New Roman" w:eastAsia="宋体" w:cs="Times New Roman"/>
          <w:color w:val="000000"/>
          <w:spacing w:val="7"/>
          <w:sz w:val="24"/>
          <w:szCs w:val="24"/>
          <w:highlight w:val="none"/>
          <w:lang w:val="en-US" w:eastAsia="zh-CN" w:bidi="ar-SA"/>
        </w:rPr>
        <w:t xml:space="preserve">3</w:t>
      </w:r>
      <w:r>
        <w:rPr>
          <w:rFonts w:ascii="Times New Roman" w:hAnsi="Times New Roman" w:eastAsia="宋体" w:cs="Times New Roman"/>
          <w:color w:val="000000"/>
          <w:spacing w:val="7"/>
          <w:sz w:val="24"/>
          <w:szCs w:val="24"/>
          <w:highlight w:val="none"/>
          <w:lang w:val="en-US" w:eastAsia="zh-CN" w:bidi="ar-SA"/>
        </w:rPr>
        <w:t xml:space="preserve">人的项目组成员，项目组成员应</w:t>
      </w:r>
      <w:r>
        <w:rPr>
          <w:rFonts w:hint="eastAsia" w:ascii="Cambria Math" w:hAnsi="Cambria Math" w:eastAsia="宋体" w:cs="Cambria Math"/>
          <w:spacing w:val="7"/>
          <w:sz w:val="24"/>
          <w:szCs w:val="24"/>
          <w:highlight w:val="none"/>
          <w:lang w:val="en-US" w:eastAsia="zh-CN" w:bidi="ar-SA"/>
        </w:rPr>
        <w:t xml:space="preserve">由具有IT服务项目经理（ITSS）证书、网络工程师证书（高级）等人员组成</w:t>
      </w:r>
      <w:r>
        <w:rPr>
          <w:rFonts w:ascii="Times New Roman" w:hAnsi="Times New Roman" w:eastAsia="宋体" w:cs="Times New Roman"/>
          <w:color w:val="000000"/>
          <w:spacing w:val="7"/>
          <w:sz w:val="24"/>
          <w:szCs w:val="24"/>
          <w:highlight w:val="none"/>
          <w:lang w:val="en-US" w:eastAsia="zh-CN" w:bidi="ar-SA"/>
        </w:rPr>
        <w:t xml:space="preserve">（如有）。</w:t>
      </w:r>
      <w:r/>
    </w:p>
    <w:p>
      <w:pPr>
        <w:ind w:firstLine="508"/>
        <w:spacing w:line="440" w:lineRule="exact"/>
        <w:rPr>
          <w:rFonts w:hint="default" w:ascii="Times New Roman" w:hAnsi="Times New Roman" w:eastAsia="宋体" w:cs="Times New Roman"/>
          <w:b/>
          <w:bCs/>
          <w:spacing w:val="7"/>
          <w:sz w:val="24"/>
          <w:szCs w:val="24"/>
          <w:highlight w:val="none"/>
        </w:rPr>
      </w:pPr>
      <w:r>
        <w:rPr>
          <w:rFonts w:hint="default" w:ascii="Times New Roman" w:hAnsi="Times New Roman" w:eastAsia="宋体" w:cs="Times New Roman"/>
          <w:b/>
          <w:bCs/>
          <w:spacing w:val="7"/>
          <w:sz w:val="24"/>
          <w:szCs w:val="24"/>
          <w:highlight w:val="none"/>
        </w:rPr>
        <w:t xml:space="preserve">3、考核要求</w:t>
      </w:r>
      <w:r/>
    </w:p>
    <w:p>
      <w:pPr>
        <w:ind w:firstLine="480"/>
        <w:jc w:val="left"/>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rPr>
        <w:t xml:space="preserve">）中标人接到采购人发出的维修通知后，交通信号设施应在12小时内修复完成，其余的应在24小时内修复完成，规定时间内未修复，</w:t>
      </w:r>
      <w:r>
        <w:rPr>
          <w:rFonts w:hint="eastAsia" w:ascii="Times New Roman" w:hAnsi="Times New Roman" w:eastAsia="宋体" w:cs="Times New Roman"/>
          <w:sz w:val="24"/>
          <w:szCs w:val="24"/>
          <w:highlight w:val="none"/>
          <w:lang w:val="en-US" w:eastAsia="zh-CN"/>
        </w:rPr>
        <w:t xml:space="preserve">单次扣除故障设备的费用</w:t>
      </w:r>
      <w:r>
        <w:rPr>
          <w:rFonts w:hint="default" w:ascii="Times New Roman" w:hAnsi="Times New Roman" w:eastAsia="宋体" w:cs="Times New Roman"/>
          <w:sz w:val="24"/>
          <w:szCs w:val="24"/>
          <w:highlight w:val="none"/>
        </w:rPr>
        <w:t xml:space="preserve">。</w:t>
      </w:r>
      <w:r/>
    </w:p>
    <w:p>
      <w:pPr>
        <w:ind w:firstLine="480"/>
        <w:jc w:val="left"/>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）因停电、道路改造、建设施工、交通事故等特殊原因及不可抗力的因素造成相应设施、系统故障的，经采购人确认后，不属于故障范围，不纳入考核。</w:t>
      </w:r>
      <w:r/>
    </w:p>
    <w:p>
      <w:pPr>
        <w:ind w:firstLine="480"/>
        <w:jc w:val="left"/>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在智能交通设施更新类中，更换下的废旧设施设备，须按照采购人要求免费运输、存放至指定地点，并由采购人现场书面核准并签收。如发现中标人发生不符合更换条件及弄虚作假的情况，按合同违约责任条款处理。</w:t>
      </w:r>
      <w:r/>
    </w:p>
    <w:p>
      <w:pPr>
        <w:ind w:firstLine="482"/>
        <w:spacing w:line="440" w:lineRule="exact"/>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采购人有权在服务期内根据实际情况提出修改考核细则，并经与中标人协商确认</w:t>
      </w:r>
      <w:r>
        <w:rPr>
          <w:rFonts w:ascii="Times New Roman" w:hAnsi="Times New Roman" w:eastAsia="宋体" w:cs="Times New Roman"/>
          <w:b/>
          <w:bCs/>
          <w:color w:val="auto"/>
          <w:sz w:val="24"/>
          <w:szCs w:val="24"/>
          <w:highlight w:val="none"/>
          <w:lang w:val="en-US" w:eastAsia="zh-CN" w:bidi="ar-SA"/>
        </w:rPr>
        <w:t xml:space="preserve">后，按新的考核细则执行考核。</w:t>
      </w:r>
      <w:r/>
    </w:p>
    <w:p>
      <w:pPr>
        <w:ind w:firstLine="508"/>
        <w:spacing w:line="440" w:lineRule="exact"/>
        <w:rPr>
          <w:rFonts w:hint="eastAsia" w:ascii="Times New Roman" w:hAnsi="Times New Roman" w:eastAsia="宋体" w:cs="Times New Roman"/>
          <w:b/>
          <w:bCs/>
          <w:color w:val="auto"/>
          <w:spacing w:val="7"/>
          <w:sz w:val="24"/>
          <w:szCs w:val="24"/>
          <w:highlight w:val="none"/>
          <w:lang w:val="en-US" w:eastAsia="zh-CN"/>
        </w:rPr>
      </w:pPr>
      <w:r>
        <w:rPr>
          <w:rFonts w:hint="eastAsia" w:ascii="Times New Roman" w:hAnsi="Times New Roman" w:eastAsia="宋体" w:cs="Times New Roman"/>
          <w:b/>
          <w:bCs/>
          <w:color w:val="auto"/>
          <w:spacing w:val="7"/>
          <w:sz w:val="24"/>
          <w:szCs w:val="24"/>
          <w:highlight w:val="none"/>
          <w:lang w:val="en-US" w:eastAsia="zh-CN"/>
        </w:rPr>
        <w:t xml:space="preserve">4、</w:t>
      </w:r>
      <w:r>
        <w:rPr>
          <w:rFonts w:hint="eastAsia" w:ascii="Times New Roman" w:hAnsi="Times New Roman" w:cs="Times New Roman"/>
          <w:b/>
          <w:bCs/>
          <w:color w:val="auto"/>
          <w:spacing w:val="7"/>
          <w:sz w:val="24"/>
          <w:szCs w:val="24"/>
          <w:highlight w:val="none"/>
          <w:lang w:val="en-US" w:eastAsia="zh-CN"/>
        </w:rPr>
        <w:t xml:space="preserve">本次采购项目其他涉及与第三方系统平台对接的要求明细详见附件。</w:t>
      </w:r>
      <w:r/>
    </w:p>
    <w:p>
      <w:pPr>
        <w:pStyle w:val="762"/>
        <w:rPr>
          <w:rFonts w:hint="eastAsia"/>
          <w:color w:val="auto"/>
          <w:highlight w:val="none"/>
          <w:lang w:val="en-US" w:eastAsia="zh-CN"/>
        </w:rPr>
      </w:pPr>
      <w:r>
        <w:rPr>
          <w:rFonts w:hint="eastAsia"/>
          <w:color w:val="auto"/>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7" o:title=""/>
          </v:shape>
          <o:OLEObject DrawAspect="Icon" r:id="rId18" ObjectID="_1525042" ProgID="Package" ShapeID="_x0000_i2" Type="Embed"/>
        </w:object>
      </w:r>
      <w:r/>
    </w:p>
    <w:p>
      <w:pPr>
        <w:pStyle w:val="955"/>
        <w:jc w:val="center"/>
        <w:pageBreakBefore/>
        <w:spacing w:line="360" w:lineRule="auto"/>
        <w:rPr>
          <w:rFonts w:hint="eastAsia" w:ascii="宋体" w:hAnsi="宋体" w:eastAsia="宋体"/>
          <w:color w:val="auto"/>
          <w:highlight w:val="none"/>
        </w:rPr>
      </w:pPr>
      <w:r/>
      <w:bookmarkStart w:id="179" w:name="_Toc17224"/>
      <w:r>
        <w:rPr>
          <w:rFonts w:hint="eastAsia" w:ascii="宋体" w:hAnsi="宋体" w:eastAsia="宋体"/>
          <w:color w:val="auto"/>
          <w:highlight w:val="none"/>
        </w:rPr>
        <w:t xml:space="preserve">第五章 评标方法与评标标准</w:t>
      </w:r>
      <w:bookmarkEnd w:id="179"/>
      <w:r/>
      <w:r/>
    </w:p>
    <w:p>
      <w:pPr>
        <w:pStyle w:val="978"/>
        <w:ind w:firstLine="450"/>
        <w:spacing w:line="440" w:lineRule="exact"/>
        <w:rPr>
          <w:rStyle w:val="948"/>
          <w:rFonts w:hint="eastAsia"/>
          <w:b/>
          <w:bCs/>
          <w:color w:val="auto"/>
          <w:spacing w:val="7"/>
          <w:sz w:val="24"/>
          <w:szCs w:val="24"/>
          <w:highlight w:val="none"/>
        </w:rPr>
        <w:outlineLvl w:val="1"/>
      </w:pPr>
      <w:r>
        <w:rPr>
          <w:rStyle w:val="948"/>
          <w:rFonts w:hint="eastAsia"/>
          <w:b/>
          <w:bCs/>
          <w:color w:val="auto"/>
          <w:spacing w:val="7"/>
          <w:sz w:val="24"/>
          <w:szCs w:val="24"/>
          <w:highlight w:val="none"/>
        </w:rPr>
        <w:t xml:space="preserve">一、评标方法与定标原则</w:t>
      </w:r>
      <w:r/>
    </w:p>
    <w:p>
      <w:pPr>
        <w:pStyle w:val="979"/>
        <w:ind w:firstLine="508"/>
        <w:spacing w:line="440" w:lineRule="exact"/>
        <w:rPr>
          <w:rStyle w:val="948"/>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w:t>
      </w:r>
      <w:bookmarkStart w:id="180" w:name="EB62ffe30267be4d9da459adf3124e9fe5"/>
      <w:r/>
      <w:bookmarkEnd w:id="180"/>
      <w:r/>
      <w:bookmarkStart w:id="181" w:name="EB7fb355fa72914ecb929ae586b8e28d83"/>
      <w:r/>
      <w:bookmarkEnd w:id="181"/>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2" w:name="EB5665b3cc3ef142c8a0c8bc5d3e5d286b"/>
      <w:r/>
      <w:bookmarkEnd w:id="182"/>
      <w:r/>
      <w:r/>
    </w:p>
    <w:p>
      <w:pPr>
        <w:pStyle w:val="979"/>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w:t>
      </w:r>
      <w:r>
        <w:rPr>
          <w:rFonts w:hint="eastAsia" w:ascii="宋体" w:hAnsi="宋体" w:eastAsia="宋体" w:cs="宋体"/>
          <w:b/>
          <w:bCs/>
          <w:color w:val="auto"/>
          <w:spacing w:val="7"/>
          <w:sz w:val="24"/>
          <w:szCs w:val="24"/>
          <w:highlight w:val="none"/>
        </w:rPr>
        <w:t xml:space="preserve">、针对中小型企业的评审：</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yellow"/>
        </w:rPr>
        <w:t xml:space="preserve">②大中型企业与小微型企业（残疾人福利单位、监狱企业）组成联合体，联合协议中约定小微型企业（残疾人福利单位、监狱企业）的合同份额占到合同总金额30%以上的，给予联合体6%的价格扣除，用扣除后的价格参与评审。③联合体各方均为小型、微型企业（残疾人福利单位、监狱企业）的，联合体享受20%价格扣除，用扣除后的价格参与评审。</w:t>
      </w:r>
      <w:r>
        <w:rPr>
          <w:rFonts w:hint="eastAsia" w:ascii="宋体" w:hAnsi="宋体" w:eastAsia="宋体" w:cs="宋体"/>
          <w:color w:val="auto"/>
          <w:spacing w:val="7"/>
          <w:sz w:val="24"/>
          <w:szCs w:val="24"/>
          <w:highlight w:val="none"/>
        </w:rPr>
        <w:t xml:space="preserve">④以上规定未尽事项，按《政府采购促进中小企业发展管理办法》等有关制度规定执行。</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7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979"/>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979"/>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7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97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2"/>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82"/>
        <w:keepLines/>
        <w:keepNext/>
        <w:spacing w:line="440" w:lineRule="exact"/>
        <w:rPr>
          <w:rFonts w:ascii="宋体" w:hAnsi="宋体"/>
          <w:b/>
          <w:color w:val="auto"/>
          <w:sz w:val="24"/>
          <w:szCs w:val="24"/>
          <w:highlight w:val="none"/>
        </w:rPr>
      </w:pPr>
      <w:r>
        <w:rPr>
          <w:rStyle w:val="948"/>
          <w:rFonts w:hint="eastAsia"/>
          <w:b/>
          <w:bCs/>
          <w:color w:val="auto"/>
          <w:spacing w:val="7"/>
          <w:sz w:val="24"/>
          <w:szCs w:val="24"/>
          <w:highlight w:val="none"/>
        </w:rPr>
        <w:t xml:space="preserve">二、评标标准</w:t>
      </w:r>
      <w:r/>
    </w:p>
    <w:p>
      <w:pPr>
        <w:ind w:firstLine="500"/>
        <w:spacing w:line="440" w:lineRule="exact"/>
        <w:rPr>
          <w:rFonts w:ascii="Times New Roman" w:hAnsi="Times New Roman" w:eastAsia="宋体" w:cs="Times New Roman"/>
          <w:b/>
          <w:spacing w:val="7"/>
          <w:sz w:val="24"/>
          <w:szCs w:val="24"/>
          <w:highlight w:val="none"/>
          <w:lang w:val="en-US" w:eastAsia="zh-CN" w:bidi="ar-SA"/>
        </w:rPr>
      </w:pPr>
      <w:r/>
      <w:bookmarkStart w:id="183" w:name="_Toc822"/>
      <w:r>
        <w:rPr>
          <w:rFonts w:ascii="Times New Roman" w:hAnsi="Times New Roman" w:eastAsia="宋体" w:cs="Times New Roman"/>
          <w:b/>
          <w:spacing w:val="7"/>
          <w:sz w:val="24"/>
          <w:szCs w:val="24"/>
          <w:highlight w:val="none"/>
          <w:lang w:val="en-US" w:eastAsia="zh-CN" w:bidi="ar-SA"/>
        </w:rPr>
        <w:t xml:space="preserve">1 价格分</w:t>
      </w:r>
      <w:r>
        <w:rPr>
          <w:rFonts w:hint="eastAsia" w:ascii="Times New Roman" w:hAnsi="Times New Roman" w:eastAsia="宋体" w:cs="Times New Roman"/>
          <w:b/>
          <w:spacing w:val="7"/>
          <w:sz w:val="24"/>
          <w:szCs w:val="24"/>
          <w:highlight w:val="none"/>
          <w:lang w:val="en-US" w:eastAsia="zh-CN" w:bidi="ar-SA"/>
        </w:rPr>
        <w:t xml:space="preserve">40</w:t>
      </w:r>
      <w:r>
        <w:rPr>
          <w:rFonts w:ascii="Times New Roman" w:hAnsi="Times New Roman" w:eastAsia="宋体" w:cs="Times New Roman"/>
          <w:b/>
          <w:spacing w:val="7"/>
          <w:sz w:val="24"/>
          <w:szCs w:val="24"/>
          <w:highlight w:val="none"/>
          <w:lang w:val="en-US" w:eastAsia="zh-CN" w:bidi="ar-SA"/>
        </w:rPr>
        <w:t xml:space="preserve">.0 分</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采用低价优先法计算，即满足招标文件要求且投标价格最低的投标价为评标基准价，其价格分为满分</w:t>
      </w:r>
      <w:r>
        <w:rPr>
          <w:rFonts w:hint="eastAsia" w:ascii="Times New Roman" w:hAnsi="Times New Roman" w:eastAsia="宋体" w:cs="Times New Roman"/>
          <w:spacing w:val="7"/>
          <w:sz w:val="24"/>
          <w:szCs w:val="24"/>
          <w:highlight w:val="none"/>
          <w:lang w:val="en-US" w:eastAsia="zh-CN" w:bidi="ar-SA"/>
        </w:rPr>
        <w:t xml:space="preserve">40</w:t>
      </w:r>
      <w:r>
        <w:rPr>
          <w:rFonts w:ascii="Times New Roman" w:hAnsi="Times New Roman" w:eastAsia="宋体" w:cs="Times New Roman"/>
          <w:spacing w:val="7"/>
          <w:sz w:val="24"/>
          <w:szCs w:val="24"/>
          <w:highlight w:val="none"/>
          <w:lang w:val="en-US" w:eastAsia="zh-CN" w:bidi="ar-SA"/>
        </w:rPr>
        <w:t xml:space="preserve">.0分。其他投标人的价格分统一按照下列公式计算：</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投标报价得分=（评标基准价/投标报价）* </w:t>
      </w:r>
      <w:r>
        <w:rPr>
          <w:rFonts w:hint="eastAsia" w:ascii="Times New Roman" w:hAnsi="Times New Roman" w:eastAsia="宋体" w:cs="Times New Roman"/>
          <w:spacing w:val="7"/>
          <w:sz w:val="24"/>
          <w:szCs w:val="24"/>
          <w:highlight w:val="none"/>
          <w:lang w:val="en-US" w:eastAsia="zh-CN" w:bidi="ar-SA"/>
        </w:rPr>
        <w:t xml:space="preserve">40</w:t>
      </w:r>
      <w:r>
        <w:rPr>
          <w:rFonts w:ascii="Times New Roman" w:hAnsi="Times New Roman" w:eastAsia="宋体" w:cs="Times New Roman"/>
          <w:spacing w:val="7"/>
          <w:sz w:val="24"/>
          <w:szCs w:val="24"/>
          <w:highlight w:val="none"/>
          <w:lang w:val="en-US" w:eastAsia="zh-CN" w:bidi="ar-SA"/>
        </w:rPr>
        <w:t xml:space="preserve">.0% * 100（保留二位小数）。</w:t>
      </w:r>
      <w:r/>
    </w:p>
    <w:p>
      <w:pPr>
        <w:ind w:firstLine="500"/>
        <w:spacing w:line="440" w:lineRule="exact"/>
        <w:rPr>
          <w:rFonts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 xml:space="preserve">2 性能质量和技术指标30.0 分</w:t>
      </w:r>
      <w:r/>
    </w:p>
    <w:p>
      <w:pPr>
        <w:ind w:firstLine="500"/>
        <w:spacing w:line="440" w:lineRule="exact"/>
        <w:rPr>
          <w:rFonts w:ascii="Times New Roman" w:hAnsi="Times New Roman" w:eastAsia="宋体" w:cs="Times New Roman"/>
          <w:spacing w:val="7"/>
          <w:sz w:val="24"/>
          <w:szCs w:val="24"/>
          <w:highlight w:val="none"/>
          <w:lang w:val="en-US" w:eastAsia="zh-CN" w:bidi="ar-SA"/>
        </w:rPr>
      </w:pPr>
      <w:r/>
      <w:bookmarkStart w:id="184" w:name="_Hlk196555824"/>
      <w:r/>
      <w:bookmarkStart w:id="185" w:name="_Hlk166419597"/>
      <w:r>
        <w:rPr>
          <w:rFonts w:ascii="Times New Roman" w:hAnsi="Times New Roman" w:eastAsia="宋体" w:cs="Times New Roman"/>
          <w:spacing w:val="7"/>
          <w:sz w:val="24"/>
          <w:szCs w:val="24"/>
          <w:highlight w:val="none"/>
          <w:lang w:val="en-US" w:eastAsia="zh-CN" w:bidi="ar-SA"/>
        </w:rPr>
        <w:t xml:space="preserve">2.1 性能质量和技术指标</w:t>
      </w:r>
      <w:r/>
    </w:p>
    <w:p>
      <w:pPr>
        <w:ind w:firstLine="500"/>
        <w:spacing w:line="440" w:lineRule="exact"/>
        <w:rPr>
          <w:rFonts w:ascii="Times New Roman" w:hAnsi="Times New Roman" w:eastAsia="宋体" w:cs="Times New Roman"/>
          <w:color w:val="auto"/>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根据投标人提供的产品（见招标文件第四章项目需求/二、技术要求/4</w:t>
      </w:r>
      <w:r>
        <w:rPr>
          <w:rFonts w:ascii="Times New Roman" w:hAnsi="Times New Roman" w:eastAsia="宋体" w:cs="Times New Roman"/>
          <w:sz w:val="24"/>
          <w:szCs w:val="24"/>
          <w:highlight w:val="none"/>
          <w:lang w:val="en-US" w:eastAsia="zh-CN" w:bidi="ar-SA"/>
        </w:rPr>
        <w:t xml:space="preserve">主要系统及设备技术参数要求及施工要求</w:t>
      </w:r>
      <w:r>
        <w:rPr>
          <w:rFonts w:ascii="Times New Roman" w:hAnsi="Times New Roman" w:eastAsia="宋体" w:cs="Times New Roman"/>
          <w:spacing w:val="7"/>
          <w:sz w:val="24"/>
          <w:szCs w:val="24"/>
          <w:highlight w:val="none"/>
          <w:lang w:val="en-US" w:eastAsia="zh-CN" w:bidi="ar-SA"/>
        </w:rPr>
        <w:t xml:space="preserve">）性能质量、技术指标和系统功能要求进行评定，完全响应</w:t>
      </w:r>
      <w:r>
        <w:rPr>
          <w:rFonts w:ascii="Times New Roman" w:hAnsi="Times New Roman" w:eastAsia="宋体" w:cs="Times New Roman"/>
          <w:color w:val="auto"/>
          <w:spacing w:val="7"/>
          <w:sz w:val="24"/>
          <w:szCs w:val="24"/>
          <w:highlight w:val="none"/>
          <w:lang w:val="en-US" w:eastAsia="zh-CN" w:bidi="ar-SA"/>
        </w:rPr>
        <w:t xml:space="preserve">招标文件中要求(即完全响应“</w:t>
      </w:r>
      <w:bookmarkStart w:id="186" w:name="OLE_LINK2"/>
      <w:r>
        <w:rPr>
          <w:rFonts w:ascii="Times New Roman" w:hAnsi="Times New Roman" w:eastAsia="宋体" w:cs="Times New Roman"/>
          <w:color w:val="auto"/>
          <w:spacing w:val="7"/>
          <w:sz w:val="24"/>
          <w:szCs w:val="24"/>
          <w:highlight w:val="none"/>
          <w:lang w:val="en-US" w:eastAsia="zh-CN" w:bidi="ar-SA"/>
        </w:rPr>
        <w:t xml:space="preserve">▲</w:t>
      </w:r>
      <w:bookmarkEnd w:id="186"/>
      <w:r>
        <w:rPr>
          <w:rFonts w:ascii="Times New Roman" w:hAnsi="Times New Roman" w:eastAsia="宋体" w:cs="Times New Roman"/>
          <w:color w:val="auto"/>
          <w:spacing w:val="7"/>
          <w:sz w:val="24"/>
          <w:szCs w:val="24"/>
          <w:highlight w:val="none"/>
          <w:lang w:val="en-US" w:eastAsia="zh-CN" w:bidi="ar-SA"/>
        </w:rPr>
        <w:t xml:space="preserve">”、“</w:t>
      </w: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pacing w:val="7"/>
          <w:sz w:val="24"/>
          <w:szCs w:val="24"/>
          <w:highlight w:val="none"/>
          <w:lang w:val="en-US" w:eastAsia="zh-CN" w:bidi="ar-SA"/>
        </w:rPr>
        <w:t xml:space="preserve">”参数项的，得30分；其中“</w:t>
      </w: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pacing w:val="7"/>
          <w:sz w:val="24"/>
          <w:szCs w:val="24"/>
          <w:highlight w:val="none"/>
          <w:lang w:val="en-US" w:eastAsia="zh-CN" w:bidi="ar-SA"/>
        </w:rPr>
        <w:t xml:space="preserve">”参数项有负偏离的，有一项扣</w:t>
      </w:r>
      <w:r>
        <w:rPr>
          <w:rFonts w:hint="eastAsia" w:ascii="Times New Roman" w:hAnsi="Times New Roman" w:eastAsia="宋体" w:cs="Times New Roman"/>
          <w:color w:val="auto"/>
          <w:spacing w:val="7"/>
          <w:sz w:val="24"/>
          <w:szCs w:val="24"/>
          <w:highlight w:val="none"/>
          <w:lang w:val="en-US" w:eastAsia="zh-CN" w:bidi="ar-SA"/>
        </w:rPr>
        <w:t xml:space="preserve">0.02</w:t>
      </w:r>
      <w:r>
        <w:rPr>
          <w:rFonts w:ascii="Times New Roman" w:hAnsi="Times New Roman" w:eastAsia="宋体" w:cs="Times New Roman"/>
          <w:color w:val="auto"/>
          <w:spacing w:val="7"/>
          <w:sz w:val="24"/>
          <w:szCs w:val="24"/>
          <w:highlight w:val="none"/>
          <w:lang w:val="en-US" w:eastAsia="zh-CN" w:bidi="ar-SA"/>
        </w:rPr>
        <w:t xml:space="preserve">分；“▲”参数项有负偏离的，有一项扣</w:t>
      </w:r>
      <w:r>
        <w:rPr>
          <w:rFonts w:hint="eastAsia" w:ascii="Times New Roman" w:hAnsi="Times New Roman" w:eastAsia="宋体" w:cs="Times New Roman"/>
          <w:color w:val="auto"/>
          <w:spacing w:val="7"/>
          <w:sz w:val="24"/>
          <w:szCs w:val="24"/>
          <w:highlight w:val="none"/>
          <w:lang w:val="en-US" w:eastAsia="zh-CN" w:bidi="ar-SA"/>
        </w:rPr>
        <w:t xml:space="preserve">2</w:t>
      </w:r>
      <w:r>
        <w:rPr>
          <w:rFonts w:ascii="Times New Roman" w:hAnsi="Times New Roman" w:eastAsia="宋体" w:cs="Times New Roman"/>
          <w:color w:val="auto"/>
          <w:spacing w:val="7"/>
          <w:sz w:val="24"/>
          <w:szCs w:val="24"/>
          <w:highlight w:val="none"/>
          <w:lang w:val="en-US" w:eastAsia="zh-CN" w:bidi="ar-SA"/>
        </w:rPr>
        <w:t xml:space="preserve">分，扣完为止。</w:t>
      </w:r>
      <w:r>
        <w:rPr>
          <w:rFonts w:hint="eastAsia" w:ascii="Times New Roman" w:hAnsi="Times New Roman" w:eastAsia="宋体" w:cs="Times New Roman"/>
          <w:b/>
          <w:bCs/>
          <w:color w:val="auto"/>
          <w:spacing w:val="7"/>
          <w:sz w:val="24"/>
          <w:szCs w:val="24"/>
          <w:highlight w:val="none"/>
          <w:lang w:val="en-US" w:eastAsia="zh-CN" w:bidi="ar-SA"/>
        </w:rPr>
        <w:t xml:space="preserve">（标注“▲”为重要指标项，须按项目需求中技术参数对应要求提供相关证明材料作为佐证，不提供则视为负偏离。)</w:t>
      </w:r>
      <w:r>
        <w:rPr>
          <w:rFonts w:ascii="Times New Roman" w:hAnsi="Times New Roman" w:eastAsia="宋体" w:cs="Times New Roman"/>
          <w:color w:val="auto"/>
          <w:spacing w:val="7"/>
          <w:sz w:val="24"/>
          <w:szCs w:val="24"/>
          <w:highlight w:val="none"/>
          <w:lang w:val="en-US" w:eastAsia="zh-CN" w:bidi="ar-SA"/>
        </w:rPr>
        <w:t xml:space="preserve">【0-30】</w:t>
      </w:r>
      <w:r/>
    </w:p>
    <w:p>
      <w:pPr>
        <w:ind w:firstLine="500"/>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常规性指标（除带“</w:t>
      </w:r>
      <w:r>
        <w:rPr>
          <w:rFonts w:ascii="Cambria Math" w:hAnsi="Cambria Math" w:eastAsia="宋体" w:cs="Cambria Math"/>
          <w:color w:val="auto"/>
          <w:sz w:val="24"/>
          <w:szCs w:val="24"/>
          <w:highlight w:val="non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”和“▲”条款外）作为产品描述，不作评分项。</w:t>
      </w:r>
      <w:bookmarkEnd w:id="184"/>
      <w:r/>
      <w:r/>
    </w:p>
    <w:p>
      <w:pPr>
        <w:ind w:firstLine="500"/>
        <w:spacing w:line="440" w:lineRule="exact"/>
        <w:rPr>
          <w:rFonts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 xml:space="preserve">3 服务方案</w:t>
      </w:r>
      <w:r>
        <w:rPr>
          <w:rFonts w:hint="eastAsia" w:ascii="Times New Roman" w:hAnsi="Times New Roman" w:eastAsia="宋体" w:cs="Times New Roman"/>
          <w:b/>
          <w:spacing w:val="7"/>
          <w:sz w:val="24"/>
          <w:szCs w:val="24"/>
          <w:highlight w:val="none"/>
          <w:lang w:val="en-US" w:eastAsia="zh-CN" w:bidi="ar-SA"/>
        </w:rPr>
        <w:t xml:space="preserve">19.5</w:t>
      </w:r>
      <w:r>
        <w:rPr>
          <w:rFonts w:ascii="Times New Roman" w:hAnsi="Times New Roman" w:eastAsia="宋体" w:cs="Times New Roman"/>
          <w:b/>
          <w:spacing w:val="7"/>
          <w:sz w:val="24"/>
          <w:szCs w:val="24"/>
          <w:highlight w:val="none"/>
          <w:lang w:val="en-US" w:eastAsia="zh-CN" w:bidi="ar-SA"/>
        </w:rPr>
        <w:t xml:space="preserve">分</w:t>
      </w:r>
      <w:r/>
    </w:p>
    <w:p>
      <w:pPr>
        <w:ind w:firstLine="500"/>
        <w:spacing w:line="440" w:lineRule="exact"/>
        <w:rPr>
          <w:rFonts w:ascii="Times New Roman" w:hAnsi="Times New Roman" w:eastAsia="宋体" w:cs="Times New Roman"/>
          <w:spacing w:val="7"/>
          <w:sz w:val="24"/>
          <w:szCs w:val="24"/>
          <w:highlight w:val="none"/>
          <w:lang w:val="en-US" w:eastAsia="zh-CN" w:bidi="ar-SA"/>
        </w:rPr>
      </w:pPr>
      <w:r/>
      <w:bookmarkStart w:id="187" w:name="_Hlk196556068"/>
      <w:r>
        <w:rPr>
          <w:rFonts w:ascii="Times New Roman" w:hAnsi="Times New Roman" w:eastAsia="宋体" w:cs="Times New Roman"/>
          <w:spacing w:val="7"/>
          <w:sz w:val="24"/>
          <w:szCs w:val="24"/>
          <w:highlight w:val="none"/>
          <w:lang w:val="en-US" w:eastAsia="zh-CN" w:bidi="ar-SA"/>
        </w:rPr>
        <w:t xml:space="preserve">3.1 实施方案</w:t>
      </w:r>
      <w:r/>
    </w:p>
    <w:p>
      <w:pPr>
        <w:ind w:left="21" w:right="12" w:firstLine="498"/>
        <w:jc w:val="left"/>
        <w:spacing w:before="198" w:line="360" w:lineRule="auto"/>
        <w:widowControl/>
        <w:rPr>
          <w:rFonts w:hint="eastAsia" w:eastAsia="宋体" w:cs="Times New Roman"/>
          <w:spacing w:val="7"/>
          <w:sz w:val="24"/>
          <w:szCs w:val="28"/>
          <w:highlight w:val="none"/>
        </w:rPr>
      </w:pPr>
      <w:r>
        <w:rPr>
          <w:rFonts w:hint="default" w:eastAsia="宋体" w:cs="Times New Roman"/>
          <w:spacing w:val="7"/>
          <w:sz w:val="24"/>
          <w:szCs w:val="28"/>
          <w:highlight w:val="none"/>
        </w:rPr>
        <w:t xml:space="preserve">根据投标人的实施方案进行综合评定，实施方案应包含：</w:t>
      </w:r>
      <w:r>
        <w:rPr>
          <w:rFonts w:hint="default" w:ascii="Cambria Math" w:hAnsi="Cambria Math" w:eastAsia="宋体" w:cs="Cambria Math"/>
          <w:spacing w:val="7"/>
          <w:sz w:val="24"/>
          <w:szCs w:val="28"/>
          <w:highlight w:val="none"/>
        </w:rPr>
        <w:t xml:space="preserve">①</w:t>
      </w:r>
      <w:r>
        <w:rPr>
          <w:rFonts w:hint="default" w:eastAsia="宋体" w:cs="Times New Roman"/>
          <w:spacing w:val="7"/>
          <w:sz w:val="24"/>
          <w:szCs w:val="28"/>
          <w:highlight w:val="none"/>
        </w:rPr>
        <w:t xml:space="preserve">实施整体方案、</w:t>
      </w:r>
      <w:r>
        <w:rPr>
          <w:rFonts w:hint="default" w:ascii="Cambria Math" w:hAnsi="Cambria Math" w:eastAsia="宋体" w:cs="Cambria Math"/>
          <w:spacing w:val="7"/>
          <w:sz w:val="24"/>
          <w:szCs w:val="28"/>
          <w:highlight w:val="none"/>
        </w:rPr>
        <w:t xml:space="preserve">②</w:t>
      </w:r>
      <w:r>
        <w:rPr>
          <w:rFonts w:hint="default" w:eastAsia="宋体" w:cs="Times New Roman"/>
          <w:spacing w:val="7"/>
          <w:sz w:val="24"/>
          <w:szCs w:val="28"/>
          <w:highlight w:val="none"/>
        </w:rPr>
        <w:t xml:space="preserve">供货计划、</w:t>
      </w:r>
      <w:r>
        <w:rPr>
          <w:rFonts w:hint="default" w:ascii="Cambria Math" w:hAnsi="Cambria Math" w:eastAsia="宋体" w:cs="Cambria Math"/>
          <w:spacing w:val="7"/>
          <w:sz w:val="24"/>
          <w:szCs w:val="28"/>
          <w:highlight w:val="none"/>
        </w:rPr>
        <w:t xml:space="preserve">③</w:t>
      </w:r>
      <w:r>
        <w:rPr>
          <w:rFonts w:hint="default" w:eastAsia="宋体" w:cs="Times New Roman"/>
          <w:spacing w:val="7"/>
          <w:sz w:val="24"/>
          <w:szCs w:val="28"/>
          <w:highlight w:val="none"/>
        </w:rPr>
        <w:t xml:space="preserve">进度控制方案、</w:t>
      </w:r>
      <w:r>
        <w:rPr>
          <w:rFonts w:hint="default" w:ascii="Cambria Math" w:hAnsi="Cambria Math" w:eastAsia="宋体" w:cs="Cambria Math"/>
          <w:spacing w:val="7"/>
          <w:sz w:val="24"/>
          <w:szCs w:val="28"/>
          <w:highlight w:val="none"/>
        </w:rPr>
        <w:t xml:space="preserve">④</w:t>
      </w:r>
      <w:r>
        <w:rPr>
          <w:rFonts w:hint="default" w:eastAsia="宋体" w:cs="Times New Roman"/>
          <w:spacing w:val="7"/>
          <w:sz w:val="24"/>
          <w:szCs w:val="28"/>
          <w:highlight w:val="none"/>
        </w:rPr>
        <w:t xml:space="preserve">质量保障方案、</w:t>
      </w:r>
      <w:r>
        <w:rPr>
          <w:rFonts w:hint="default" w:ascii="Cambria Math" w:hAnsi="Cambria Math" w:eastAsia="宋体" w:cs="Cambria Math"/>
          <w:spacing w:val="7"/>
          <w:sz w:val="24"/>
          <w:szCs w:val="28"/>
          <w:highlight w:val="none"/>
        </w:rPr>
        <w:t xml:space="preserve">⑤</w:t>
      </w:r>
      <w:r>
        <w:rPr>
          <w:rFonts w:hint="default" w:eastAsia="宋体" w:cs="Times New Roman"/>
          <w:spacing w:val="7"/>
          <w:sz w:val="24"/>
          <w:szCs w:val="28"/>
          <w:highlight w:val="none"/>
        </w:rPr>
        <w:t xml:space="preserve">安全管理方案。</w:t>
      </w:r>
      <w:r>
        <w:rPr>
          <w:rFonts w:hint="eastAsia" w:eastAsia="宋体" w:cs="Times New Roman"/>
          <w:spacing w:val="7"/>
          <w:sz w:val="24"/>
          <w:szCs w:val="28"/>
          <w:highlight w:val="none"/>
        </w:rPr>
        <w:t xml:space="preserve">方案完全包含上述内容且内容有实质性意义的得</w:t>
      </w:r>
      <w:r>
        <w:rPr>
          <w:rFonts w:hint="eastAsia" w:eastAsia="宋体" w:cs="Times New Roman"/>
          <w:spacing w:val="7"/>
          <w:sz w:val="24"/>
          <w:szCs w:val="28"/>
          <w:highlight w:val="none"/>
          <w:lang w:val="en-US" w:eastAsia="zh-CN"/>
        </w:rPr>
        <w:t xml:space="preserve">5</w:t>
      </w:r>
      <w:r>
        <w:rPr>
          <w:rFonts w:hint="eastAsia" w:eastAsia="宋体" w:cs="Times New Roman"/>
          <w:spacing w:val="7"/>
          <w:sz w:val="24"/>
          <w:szCs w:val="28"/>
          <w:highlight w:val="none"/>
        </w:rPr>
        <w:t xml:space="preserve">分；方案内有部分缺少或部分内容无实质性意义，但缺少量不满2项上述内容的，得</w:t>
      </w:r>
      <w:r>
        <w:rPr>
          <w:rFonts w:hint="eastAsia" w:eastAsia="宋体" w:cs="Times New Roman"/>
          <w:spacing w:val="7"/>
          <w:sz w:val="24"/>
          <w:szCs w:val="28"/>
          <w:highlight w:val="none"/>
          <w:lang w:val="en-US" w:eastAsia="zh-CN"/>
        </w:rPr>
        <w:t xml:space="preserve">3</w:t>
      </w:r>
      <w:r>
        <w:rPr>
          <w:rFonts w:hint="eastAsia" w:eastAsia="宋体" w:cs="Times New Roman"/>
          <w:spacing w:val="7"/>
          <w:sz w:val="24"/>
          <w:szCs w:val="28"/>
          <w:highlight w:val="none"/>
        </w:rPr>
        <w:t xml:space="preserve">分；方案内有缺少或部分内容无实质性意义，缺少量大于等于</w:t>
      </w:r>
      <w:r>
        <w:rPr>
          <w:rFonts w:hint="eastAsia" w:eastAsia="宋体" w:cs="Times New Roman"/>
          <w:spacing w:val="7"/>
          <w:sz w:val="24"/>
          <w:szCs w:val="28"/>
          <w:highlight w:val="none"/>
          <w:lang w:val="en-US" w:eastAsia="zh-CN"/>
        </w:rPr>
        <w:t xml:space="preserve">2</w:t>
      </w:r>
      <w:r>
        <w:rPr>
          <w:rFonts w:hint="eastAsia" w:eastAsia="宋体" w:cs="Times New Roman"/>
          <w:spacing w:val="7"/>
          <w:sz w:val="24"/>
          <w:szCs w:val="28"/>
          <w:highlight w:val="none"/>
        </w:rPr>
        <w:t xml:space="preserve">项上述内容的，只能满足基本要求的，得</w:t>
      </w:r>
      <w:r>
        <w:rPr>
          <w:rFonts w:hint="eastAsia" w:eastAsia="宋体" w:cs="Times New Roman"/>
          <w:spacing w:val="7"/>
          <w:sz w:val="24"/>
          <w:szCs w:val="28"/>
          <w:highlight w:val="none"/>
          <w:lang w:val="en-US" w:eastAsia="zh-CN"/>
        </w:rPr>
        <w:t xml:space="preserve">1</w:t>
      </w:r>
      <w:r>
        <w:rPr>
          <w:rFonts w:hint="eastAsia" w:eastAsia="宋体" w:cs="Times New Roman"/>
          <w:spacing w:val="7"/>
          <w:sz w:val="24"/>
          <w:szCs w:val="28"/>
          <w:highlight w:val="none"/>
        </w:rPr>
        <w:t xml:space="preserve">分；方案内容无实质性意义或未提供方案说明的，不得分</w:t>
      </w:r>
      <w:r>
        <w:rPr>
          <w:rFonts w:hint="default" w:eastAsia="宋体" w:cs="Times New Roman"/>
          <w:spacing w:val="7"/>
          <w:sz w:val="24"/>
          <w:szCs w:val="28"/>
          <w:highlight w:val="none"/>
        </w:rPr>
        <w:t xml:space="preserve">。</w:t>
      </w:r>
      <w:r>
        <w:rPr>
          <w:rFonts w:hint="eastAsia" w:eastAsia="宋体" w:cs="Times New Roman"/>
          <w:spacing w:val="7"/>
          <w:sz w:val="24"/>
          <w:szCs w:val="28"/>
          <w:highlight w:val="none"/>
        </w:rPr>
        <w:t xml:space="preserve">【0-5】</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3.2 安装调试方案</w:t>
      </w:r>
      <w:r/>
    </w:p>
    <w:p>
      <w:pPr>
        <w:ind w:left="21" w:right="12" w:firstLine="498"/>
        <w:jc w:val="left"/>
        <w:spacing w:before="198" w:line="360" w:lineRule="auto"/>
        <w:widowControl/>
        <w:rPr>
          <w:rFonts w:hint="eastAsia" w:ascii="宋体" w:hAnsi="宋体" w:eastAsia="宋体" w:cs="Times New Roman"/>
          <w:iCs/>
          <w:spacing w:val="7"/>
          <w:sz w:val="24"/>
          <w:szCs w:val="24"/>
        </w:rPr>
      </w:pPr>
      <w:r>
        <w:rPr>
          <w:rFonts w:hint="default" w:eastAsia="宋体" w:cs="Times New Roman"/>
          <w:spacing w:val="7"/>
          <w:sz w:val="24"/>
          <w:szCs w:val="24"/>
          <w:highlight w:val="none"/>
        </w:rPr>
        <w:t xml:space="preserve">投标人应根据招标文件的要求提供具体详实的安装调试方案。包括</w:t>
      </w:r>
      <w:r>
        <w:rPr>
          <w:rFonts w:hint="default" w:ascii="Cambria Math" w:hAnsi="Cambria Math" w:eastAsia="宋体" w:cs="Cambria Math"/>
          <w:spacing w:val="7"/>
          <w:sz w:val="24"/>
          <w:szCs w:val="24"/>
          <w:highlight w:val="none"/>
        </w:rPr>
        <w:t xml:space="preserve">①</w:t>
      </w:r>
      <w:r>
        <w:rPr>
          <w:rFonts w:hint="default" w:eastAsia="宋体" w:cs="Times New Roman"/>
          <w:spacing w:val="7"/>
          <w:sz w:val="24"/>
          <w:szCs w:val="24"/>
          <w:highlight w:val="none"/>
        </w:rPr>
        <w:t xml:space="preserve">各子系统的技术路线、</w:t>
      </w:r>
      <w:r>
        <w:rPr>
          <w:rFonts w:hint="default" w:ascii="Cambria Math" w:hAnsi="Cambria Math" w:eastAsia="宋体" w:cs="Cambria Math"/>
          <w:spacing w:val="7"/>
          <w:sz w:val="24"/>
          <w:szCs w:val="24"/>
          <w:highlight w:val="none"/>
        </w:rPr>
        <w:t xml:space="preserve">②</w:t>
      </w:r>
      <w:r>
        <w:rPr>
          <w:rFonts w:hint="default" w:eastAsia="宋体" w:cs="Times New Roman"/>
          <w:spacing w:val="7"/>
          <w:sz w:val="24"/>
          <w:szCs w:val="24"/>
          <w:highlight w:val="none"/>
        </w:rPr>
        <w:t xml:space="preserve">安装步骤、</w:t>
      </w:r>
      <w:r>
        <w:rPr>
          <w:rFonts w:hint="default" w:ascii="Cambria Math" w:hAnsi="Cambria Math" w:eastAsia="宋体" w:cs="Cambria Math"/>
          <w:spacing w:val="7"/>
          <w:sz w:val="24"/>
          <w:szCs w:val="24"/>
          <w:highlight w:val="none"/>
        </w:rPr>
        <w:t xml:space="preserve">③</w:t>
      </w:r>
      <w:r>
        <w:rPr>
          <w:rFonts w:hint="default" w:eastAsia="宋体" w:cs="Times New Roman"/>
          <w:spacing w:val="7"/>
          <w:sz w:val="24"/>
          <w:szCs w:val="24"/>
          <w:highlight w:val="none"/>
        </w:rPr>
        <w:t xml:space="preserve">注意事项、</w:t>
      </w:r>
      <w:r>
        <w:rPr>
          <w:rFonts w:hint="default" w:ascii="Cambria Math" w:hAnsi="Cambria Math" w:eastAsia="宋体" w:cs="Cambria Math"/>
          <w:spacing w:val="7"/>
          <w:sz w:val="24"/>
          <w:szCs w:val="24"/>
          <w:highlight w:val="none"/>
        </w:rPr>
        <w:t xml:space="preserve">④</w:t>
      </w:r>
      <w:r>
        <w:rPr>
          <w:rFonts w:hint="default" w:eastAsia="宋体" w:cs="Times New Roman"/>
          <w:spacing w:val="7"/>
          <w:sz w:val="24"/>
          <w:szCs w:val="24"/>
          <w:highlight w:val="none"/>
        </w:rPr>
        <w:t xml:space="preserve">调试内容、</w:t>
      </w:r>
      <w:r>
        <w:rPr>
          <w:rFonts w:hint="default" w:ascii="Cambria Math" w:hAnsi="Cambria Math" w:eastAsia="宋体" w:cs="Cambria Math"/>
          <w:spacing w:val="7"/>
          <w:sz w:val="24"/>
          <w:szCs w:val="24"/>
          <w:highlight w:val="none"/>
        </w:rPr>
        <w:t xml:space="preserve">⑤</w:t>
      </w:r>
      <w:r>
        <w:rPr>
          <w:rFonts w:hint="default" w:eastAsia="宋体" w:cs="Times New Roman"/>
          <w:spacing w:val="7"/>
          <w:sz w:val="24"/>
          <w:szCs w:val="24"/>
          <w:highlight w:val="none"/>
        </w:rPr>
        <w:t xml:space="preserve">保</w:t>
      </w:r>
      <w:r>
        <w:rPr>
          <w:rFonts w:hint="eastAsia" w:ascii="Cambria Math" w:hAnsi="Cambria Math" w:eastAsia="宋体" w:cs="Cambria Math"/>
          <w:spacing w:val="7"/>
          <w:sz w:val="24"/>
          <w:szCs w:val="24"/>
          <w:highlight w:val="none"/>
          <w:lang w:val="en-US" w:eastAsia="zh-CN"/>
        </w:rPr>
        <w:t xml:space="preserve">障措施。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0-5】</w:t>
      </w:r>
      <w:r/>
    </w:p>
    <w:p>
      <w:pPr>
        <w:ind w:firstLine="508"/>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3.3 运维方案</w:t>
      </w:r>
      <w:r/>
    </w:p>
    <w:p>
      <w:pPr>
        <w:ind w:left="21" w:right="12" w:firstLine="498"/>
        <w:jc w:val="left"/>
        <w:spacing w:before="198" w:line="360" w:lineRule="auto"/>
        <w:widowControl/>
        <w:rPr>
          <w:rFonts w:hint="default" w:eastAsia="宋体" w:cs="Times New Roman"/>
          <w:color w:val="0000ff"/>
          <w:spacing w:val="7"/>
          <w:sz w:val="24"/>
          <w:szCs w:val="28"/>
          <w:highlight w:val="none"/>
        </w:rPr>
      </w:pPr>
      <w:r>
        <w:rPr>
          <w:rFonts w:hint="default" w:eastAsia="宋体" w:cs="Times New Roman"/>
          <w:spacing w:val="7"/>
          <w:sz w:val="24"/>
          <w:szCs w:val="28"/>
          <w:highlight w:val="none"/>
        </w:rPr>
        <w:t xml:space="preserve">根据本项目对运维的具体要求，投标人制定的运维方案内容包含但不限于</w:t>
      </w:r>
      <w:r>
        <w:rPr>
          <w:rFonts w:hint="default" w:ascii="Cambria Math" w:hAnsi="Cambria Math" w:eastAsia="宋体" w:cs="Cambria Math"/>
          <w:spacing w:val="7"/>
          <w:sz w:val="24"/>
          <w:szCs w:val="28"/>
          <w:highlight w:val="none"/>
        </w:rPr>
        <w:t xml:space="preserve">①</w:t>
      </w:r>
      <w:r>
        <w:rPr>
          <w:rFonts w:hint="default" w:eastAsia="宋体" w:cs="Times New Roman"/>
          <w:spacing w:val="7"/>
          <w:sz w:val="24"/>
          <w:szCs w:val="28"/>
          <w:highlight w:val="none"/>
        </w:rPr>
        <w:t xml:space="preserve">系统运维保障方案、</w:t>
      </w:r>
      <w:r>
        <w:rPr>
          <w:rFonts w:hint="default" w:ascii="Cambria Math" w:hAnsi="Cambria Math" w:eastAsia="宋体" w:cs="Cambria Math"/>
          <w:spacing w:val="7"/>
          <w:sz w:val="24"/>
          <w:szCs w:val="28"/>
          <w:highlight w:val="none"/>
        </w:rPr>
        <w:t xml:space="preserve">②</w:t>
      </w:r>
      <w:r>
        <w:rPr>
          <w:rFonts w:hint="default" w:eastAsia="宋体" w:cs="Times New Roman"/>
          <w:spacing w:val="7"/>
          <w:sz w:val="24"/>
          <w:szCs w:val="28"/>
          <w:highlight w:val="none"/>
        </w:rPr>
        <w:t xml:space="preserve">各硬件设备的运维</w:t>
      </w:r>
      <w:r>
        <w:rPr>
          <w:rFonts w:hint="eastAsia" w:ascii="Cambria Math" w:hAnsi="Cambria Math" w:eastAsia="宋体" w:cs="Cambria Math"/>
          <w:spacing w:val="7"/>
          <w:sz w:val="24"/>
          <w:szCs w:val="28"/>
          <w:highlight w:val="none"/>
          <w:lang w:val="en-US" w:eastAsia="zh-CN"/>
        </w:rPr>
        <w:t xml:space="preserve">管理方案、③软件系统运维管理方案、④运营服务保障措施、⑤运维建设与管理制度等。</w:t>
      </w:r>
      <w:bookmarkEnd w:id="185"/>
      <w:r/>
      <w:bookmarkEnd w:id="187"/>
      <w:r>
        <w:rPr>
          <w:rFonts w:hint="eastAsia" w:ascii="Cambria Math" w:hAnsi="Cambria Math" w:eastAsia="宋体" w:cs="Cambria Math"/>
          <w:spacing w:val="7"/>
          <w:sz w:val="24"/>
          <w:szCs w:val="28"/>
          <w:highlight w:val="none"/>
          <w:lang w:val="en-US" w:eastAsia="zh-CN"/>
        </w:rPr>
        <w:t xml:space="preserve">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0-5】</w:t>
      </w:r>
      <w:r/>
    </w:p>
    <w:p>
      <w:pPr>
        <w:ind w:firstLine="508"/>
        <w:spacing w:line="440" w:lineRule="exact"/>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 xml:space="preserve">3.4 停车泊位建设规划方案</w:t>
      </w:r>
      <w:r/>
    </w:p>
    <w:p>
      <w:pPr>
        <w:ind w:left="21" w:right="12" w:firstLine="498"/>
        <w:jc w:val="left"/>
        <w:spacing w:before="198" w:line="360" w:lineRule="auto"/>
        <w:widowControl/>
        <w:rPr>
          <w:rFonts w:ascii="Times New Roman" w:hAnsi="Times New Roman" w:eastAsia="宋体" w:cs="Times New Roman"/>
          <w:spacing w:val="7"/>
          <w:sz w:val="24"/>
          <w:szCs w:val="24"/>
          <w:highlight w:val="none"/>
          <w:lang w:val="en-US" w:eastAsia="zh-CN" w:bidi="ar-SA"/>
        </w:rPr>
      </w:pPr>
      <w:r>
        <w:rPr>
          <w:rFonts w:hint="eastAsia" w:eastAsia="宋体" w:cs="Times New Roman"/>
          <w:spacing w:val="7"/>
          <w:sz w:val="24"/>
          <w:szCs w:val="28"/>
          <w:highlight w:val="none"/>
          <w:lang w:val="en-US" w:eastAsia="zh-CN"/>
        </w:rPr>
        <w:t xml:space="preserve">投标人根据本项目实际需求，制定停车泊位建设方案（</w:t>
      </w:r>
      <w:r>
        <w:rPr>
          <w:rFonts w:hint="default" w:ascii="Cambria Math" w:hAnsi="Cambria Math" w:eastAsia="宋体" w:cs="Cambria Math"/>
          <w:spacing w:val="7"/>
          <w:sz w:val="24"/>
          <w:szCs w:val="28"/>
          <w:highlight w:val="none"/>
        </w:rPr>
        <w:t xml:space="preserve">①</w:t>
      </w:r>
      <w:r>
        <w:rPr>
          <w:rFonts w:hint="eastAsia" w:ascii="Cambria Math" w:hAnsi="Cambria Math" w:eastAsia="宋体" w:cs="Cambria Math"/>
          <w:spacing w:val="7"/>
          <w:sz w:val="24"/>
          <w:szCs w:val="28"/>
          <w:highlight w:val="none"/>
          <w:lang w:val="en-US" w:eastAsia="zh-CN"/>
        </w:rPr>
        <w:t xml:space="preserve">停车泊位道路现状调研分析</w:t>
      </w:r>
      <w:r>
        <w:rPr>
          <w:rFonts w:hint="default" w:ascii="Cambria Math" w:hAnsi="Cambria Math" w:eastAsia="宋体" w:cs="Cambria Math"/>
          <w:spacing w:val="7"/>
          <w:sz w:val="24"/>
          <w:szCs w:val="28"/>
          <w:highlight w:val="none"/>
        </w:rPr>
        <w:t xml:space="preserve">②</w:t>
      </w:r>
      <w:r>
        <w:rPr>
          <w:rFonts w:hint="eastAsia" w:ascii="Cambria Math" w:hAnsi="Cambria Math" w:eastAsia="宋体" w:cs="Cambria Math"/>
          <w:spacing w:val="7"/>
          <w:sz w:val="24"/>
          <w:szCs w:val="28"/>
          <w:highlight w:val="none"/>
          <w:lang w:val="en-US" w:eastAsia="zh-CN"/>
        </w:rPr>
        <w:t xml:space="preserve">智能停车收费前端设备、配套系统建设技术方案、</w:t>
      </w:r>
      <w:r>
        <w:rPr>
          <w:rFonts w:hint="default" w:ascii="Cambria Math" w:hAnsi="Cambria Math" w:eastAsia="宋体" w:cs="Cambria Math"/>
          <w:spacing w:val="7"/>
          <w:sz w:val="24"/>
          <w:szCs w:val="28"/>
          <w:highlight w:val="none"/>
        </w:rPr>
        <w:t xml:space="preserve">③</w:t>
      </w:r>
      <w:r>
        <w:rPr>
          <w:rFonts w:hint="eastAsia" w:ascii="Cambria Math" w:hAnsi="Cambria Math" w:eastAsia="宋体" w:cs="Cambria Math"/>
          <w:spacing w:val="7"/>
          <w:sz w:val="24"/>
          <w:szCs w:val="28"/>
          <w:highlight w:val="none"/>
          <w:lang w:val="en-US" w:eastAsia="zh-CN"/>
        </w:rPr>
        <w:t xml:space="preserve">停车收费整体运营思路、商业模式设计、</w:t>
      </w:r>
      <w:r>
        <w:rPr>
          <w:rFonts w:hint="default" w:ascii="Cambria Math" w:hAnsi="Cambria Math" w:eastAsia="宋体" w:cs="Cambria Math"/>
          <w:spacing w:val="7"/>
          <w:sz w:val="24"/>
          <w:szCs w:val="28"/>
          <w:highlight w:val="none"/>
        </w:rPr>
        <w:t xml:space="preserve">④</w:t>
      </w:r>
      <w:r>
        <w:rPr>
          <w:rFonts w:hint="eastAsia" w:ascii="Cambria Math" w:hAnsi="Cambria Math" w:eastAsia="宋体" w:cs="Cambria Math"/>
          <w:spacing w:val="7"/>
          <w:sz w:val="24"/>
          <w:szCs w:val="28"/>
          <w:highlight w:val="none"/>
          <w:lang w:val="en-US" w:eastAsia="zh-CN"/>
        </w:rPr>
        <w:t xml:space="preserve">收益成本分析及运营周期规划、</w:t>
      </w:r>
      <w:r>
        <w:rPr>
          <w:rFonts w:hint="default" w:ascii="Cambria Math" w:hAnsi="Cambria Math" w:eastAsia="宋体" w:cs="Cambria Math"/>
          <w:spacing w:val="7"/>
          <w:sz w:val="24"/>
          <w:szCs w:val="28"/>
          <w:highlight w:val="none"/>
        </w:rPr>
        <w:t xml:space="preserve">⑤</w:t>
      </w:r>
      <w:r>
        <w:rPr>
          <w:rFonts w:hint="eastAsia" w:ascii="Cambria Math" w:hAnsi="Cambria Math" w:eastAsia="宋体" w:cs="Cambria Math"/>
          <w:spacing w:val="7"/>
          <w:sz w:val="24"/>
          <w:szCs w:val="28"/>
          <w:highlight w:val="none"/>
          <w:lang w:val="en-US" w:eastAsia="zh-CN"/>
        </w:rPr>
        <w:t xml:space="preserve">可持续运营保障措施等</w:t>
      </w:r>
      <w:r>
        <w:rPr>
          <w:rFonts w:hint="eastAsia" w:eastAsia="宋体" w:cs="Times New Roman"/>
          <w:spacing w:val="7"/>
          <w:sz w:val="24"/>
          <w:szCs w:val="28"/>
          <w:highlight w:val="none"/>
          <w:lang w:val="en-US" w:eastAsia="zh-CN"/>
        </w:rPr>
        <w:t xml:space="preserve">）。方案完全包含上述内容且内容有实质性意义的得</w:t>
      </w:r>
      <w:r>
        <w:rPr>
          <w:rFonts w:hint="eastAsia" w:cs="Times New Roman"/>
          <w:spacing w:val="7"/>
          <w:sz w:val="24"/>
          <w:szCs w:val="28"/>
          <w:highlight w:val="none"/>
          <w:lang w:val="en-US" w:eastAsia="zh-CN"/>
        </w:rPr>
        <w:t xml:space="preserve">5.5</w:t>
      </w:r>
      <w:r>
        <w:rPr>
          <w:rFonts w:hint="eastAsia" w:eastAsia="宋体" w:cs="Times New Roman"/>
          <w:spacing w:val="7"/>
          <w:sz w:val="24"/>
          <w:szCs w:val="28"/>
          <w:highlight w:val="none"/>
          <w:lang w:val="en-US" w:eastAsia="zh-CN"/>
        </w:rPr>
        <w:t xml:space="preserve">分；方案内有部分缺少或部分内容无实质性意义，但缺少量不满2项上述内容的，得</w:t>
      </w:r>
      <w:r>
        <w:rPr>
          <w:rFonts w:hint="eastAsia" w:cs="Times New Roman"/>
          <w:spacing w:val="7"/>
          <w:sz w:val="24"/>
          <w:szCs w:val="28"/>
          <w:highlight w:val="none"/>
          <w:lang w:val="en-US" w:eastAsia="zh-CN"/>
        </w:rPr>
        <w:t xml:space="preserve">4</w:t>
      </w:r>
      <w:r>
        <w:rPr>
          <w:rFonts w:hint="eastAsia" w:eastAsia="宋体" w:cs="Times New Roman"/>
          <w:spacing w:val="7"/>
          <w:sz w:val="24"/>
          <w:szCs w:val="28"/>
          <w:highlight w:val="none"/>
          <w:lang w:val="en-US" w:eastAsia="zh-CN"/>
        </w:rPr>
        <w:t xml:space="preserve">分；方案内有缺少或部分内容无实质性意义，缺少量大于等于2项上述内容的，只能满足基本要求的，得</w:t>
      </w:r>
      <w:r>
        <w:rPr>
          <w:rFonts w:hint="eastAsia" w:cs="Times New Roman"/>
          <w:spacing w:val="7"/>
          <w:sz w:val="24"/>
          <w:szCs w:val="28"/>
          <w:highlight w:val="none"/>
          <w:lang w:val="en-US" w:eastAsia="zh-CN"/>
        </w:rPr>
        <w:t xml:space="preserve">2</w:t>
      </w:r>
      <w:r>
        <w:rPr>
          <w:rFonts w:hint="eastAsia" w:eastAsia="宋体" w:cs="Times New Roman"/>
          <w:spacing w:val="7"/>
          <w:sz w:val="24"/>
          <w:szCs w:val="28"/>
          <w:highlight w:val="none"/>
          <w:lang w:val="en-US" w:eastAsia="zh-CN"/>
        </w:rPr>
        <w:t xml:space="preserve">分；方案内容无实质性意义或未提供方案说明的，不得分。【0-</w:t>
      </w:r>
      <w:r>
        <w:rPr>
          <w:rFonts w:hint="eastAsia" w:cs="Times New Roman"/>
          <w:spacing w:val="7"/>
          <w:sz w:val="24"/>
          <w:szCs w:val="28"/>
          <w:highlight w:val="none"/>
          <w:lang w:val="en-US" w:eastAsia="zh-CN"/>
        </w:rPr>
        <w:t xml:space="preserve">5</w:t>
      </w:r>
      <w:r>
        <w:rPr>
          <w:rFonts w:hint="eastAsia" w:eastAsia="宋体" w:cs="Times New Roman"/>
          <w:spacing w:val="7"/>
          <w:sz w:val="24"/>
          <w:szCs w:val="28"/>
          <w:highlight w:val="none"/>
          <w:lang w:val="en-US" w:eastAsia="zh-CN"/>
        </w:rPr>
        <w:t xml:space="preserve">.5】</w:t>
      </w:r>
      <w:r/>
    </w:p>
    <w:p>
      <w:pPr>
        <w:ind w:firstLine="500"/>
        <w:spacing w:line="440" w:lineRule="exact"/>
        <w:rPr>
          <w:rFonts w:ascii="Times New Roman" w:hAnsi="Times New Roman" w:eastAsia="宋体" w:cs="Times New Roman"/>
          <w:b/>
          <w:color w:val="000000"/>
          <w:spacing w:val="7"/>
          <w:sz w:val="24"/>
          <w:szCs w:val="24"/>
          <w:highlight w:val="none"/>
          <w:lang w:val="en-US" w:eastAsia="zh-CN" w:bidi="ar-SA"/>
        </w:rPr>
      </w:pPr>
      <w:r>
        <w:rPr>
          <w:rFonts w:ascii="Times New Roman" w:hAnsi="Times New Roman" w:eastAsia="宋体" w:cs="Times New Roman"/>
          <w:b/>
          <w:color w:val="000000"/>
          <w:spacing w:val="7"/>
          <w:sz w:val="24"/>
          <w:szCs w:val="24"/>
          <w:highlight w:val="none"/>
          <w:lang w:val="en-US" w:eastAsia="zh-CN" w:bidi="ar-SA"/>
        </w:rPr>
        <w:t xml:space="preserve">4 履约能力 </w:t>
      </w:r>
      <w:r>
        <w:rPr>
          <w:rFonts w:hint="eastAsia" w:ascii="Times New Roman" w:hAnsi="Times New Roman" w:eastAsia="宋体" w:cs="Times New Roman"/>
          <w:b/>
          <w:color w:val="000000"/>
          <w:spacing w:val="7"/>
          <w:sz w:val="24"/>
          <w:szCs w:val="24"/>
          <w:highlight w:val="none"/>
          <w:lang w:val="en-US" w:eastAsia="zh-CN" w:bidi="ar-SA"/>
        </w:rPr>
        <w:t xml:space="preserve">7</w:t>
      </w:r>
      <w:r>
        <w:rPr>
          <w:rFonts w:ascii="Times New Roman" w:hAnsi="Times New Roman" w:eastAsia="宋体" w:cs="Times New Roman"/>
          <w:b/>
          <w:color w:val="000000"/>
          <w:spacing w:val="7"/>
          <w:sz w:val="24"/>
          <w:szCs w:val="24"/>
          <w:highlight w:val="none"/>
          <w:lang w:val="en-US" w:eastAsia="zh-CN" w:bidi="ar-SA"/>
        </w:rPr>
        <w:t xml:space="preserve">.0 分</w:t>
      </w:r>
      <w:r/>
    </w:p>
    <w:p>
      <w:pPr>
        <w:ind w:firstLine="500"/>
        <w:spacing w:line="440" w:lineRule="exact"/>
        <w:rPr>
          <w:rFonts w:hint="eastAsia" w:ascii="Times New Roman" w:hAnsi="Times New Roman" w:eastAsia="宋体" w:cs="Times New Roman"/>
          <w:b/>
          <w:color w:val="000000"/>
          <w:spacing w:val="7"/>
          <w:sz w:val="24"/>
          <w:szCs w:val="24"/>
          <w:highlight w:val="none"/>
          <w:lang w:val="en-US" w:eastAsia="zh-CN" w:bidi="ar-SA"/>
        </w:rPr>
      </w:pPr>
      <w:r>
        <w:rPr>
          <w:rFonts w:hint="eastAsia" w:ascii="Times New Roman" w:hAnsi="Times New Roman" w:eastAsia="宋体" w:cs="Times New Roman"/>
          <w:b/>
          <w:color w:val="000000"/>
          <w:spacing w:val="7"/>
          <w:sz w:val="24"/>
          <w:szCs w:val="24"/>
          <w:highlight w:val="none"/>
          <w:lang w:val="en-US" w:eastAsia="zh-CN" w:bidi="ar-SA"/>
        </w:rPr>
        <w:t xml:space="preserve">4.1 项目负责人</w:t>
      </w:r>
      <w:r/>
    </w:p>
    <w:p>
      <w:pPr>
        <w:ind w:firstLine="500"/>
        <w:spacing w:line="440" w:lineRule="exact"/>
        <w:rPr>
          <w:rFonts w:ascii="Times New Roman" w:hAnsi="Times New Roman" w:eastAsia="宋体" w:cs="Times New Roman"/>
          <w:b/>
          <w:bCs/>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项目负责人</w:t>
      </w:r>
      <w:r>
        <w:rPr>
          <w:rFonts w:hint="eastAsia" w:ascii="Cambria Math" w:hAnsi="Cambria Math" w:eastAsia="宋体" w:cs="Cambria Math"/>
          <w:spacing w:val="7"/>
          <w:sz w:val="24"/>
          <w:szCs w:val="24"/>
          <w:highlight w:val="none"/>
          <w:lang w:val="en-US" w:eastAsia="zh-CN" w:bidi="ar-SA"/>
        </w:rPr>
        <w:t xml:space="preserve">具有信息系统项目管理师证书（高级）的</w:t>
      </w:r>
      <w:r>
        <w:rPr>
          <w:rFonts w:ascii="Times New Roman" w:hAnsi="Times New Roman" w:eastAsia="宋体" w:cs="Times New Roman"/>
          <w:color w:val="000000"/>
          <w:spacing w:val="7"/>
          <w:sz w:val="24"/>
          <w:szCs w:val="24"/>
          <w:highlight w:val="none"/>
          <w:lang w:val="en-US" w:eastAsia="zh-CN" w:bidi="ar-SA"/>
        </w:rPr>
        <w:t xml:space="preserve">，</w:t>
      </w:r>
      <w:r>
        <w:rPr>
          <w:rFonts w:hint="eastAsia" w:ascii="Times New Roman" w:hAnsi="Times New Roman" w:eastAsia="宋体" w:cs="Times New Roman"/>
          <w:color w:val="000000"/>
          <w:spacing w:val="7"/>
          <w:sz w:val="24"/>
          <w:szCs w:val="24"/>
          <w:highlight w:val="none"/>
          <w:lang w:val="en-US" w:eastAsia="zh-CN" w:bidi="ar-SA"/>
        </w:rPr>
        <w:t xml:space="preserve">得2</w:t>
      </w:r>
      <w:r>
        <w:rPr>
          <w:rFonts w:ascii="Times New Roman" w:hAnsi="Times New Roman" w:eastAsia="宋体" w:cs="Times New Roman"/>
          <w:color w:val="000000"/>
          <w:spacing w:val="7"/>
          <w:sz w:val="24"/>
          <w:szCs w:val="24"/>
          <w:highlight w:val="none"/>
          <w:lang w:val="en-US" w:eastAsia="zh-CN" w:bidi="ar-SA"/>
        </w:rPr>
        <w:t xml:space="preserve">分，最高得</w:t>
      </w:r>
      <w:r>
        <w:rPr>
          <w:rFonts w:hint="eastAsia" w:ascii="Times New Roman" w:hAnsi="Times New Roman" w:eastAsia="宋体" w:cs="Times New Roman"/>
          <w:color w:val="000000"/>
          <w:spacing w:val="7"/>
          <w:sz w:val="24"/>
          <w:szCs w:val="24"/>
          <w:highlight w:val="none"/>
          <w:lang w:val="en-US" w:eastAsia="zh-CN" w:bidi="ar-SA"/>
        </w:rPr>
        <w:t xml:space="preserve">2</w:t>
      </w:r>
      <w:r>
        <w:rPr>
          <w:rFonts w:ascii="Times New Roman" w:hAnsi="Times New Roman" w:eastAsia="宋体" w:cs="Times New Roman"/>
          <w:color w:val="000000"/>
          <w:spacing w:val="7"/>
          <w:sz w:val="24"/>
          <w:szCs w:val="24"/>
          <w:highlight w:val="none"/>
          <w:lang w:val="en-US" w:eastAsia="zh-CN" w:bidi="ar-SA"/>
        </w:rPr>
        <w:t xml:space="preserve">分。</w:t>
      </w:r>
      <w:r>
        <w:rPr>
          <w:rFonts w:ascii="Times New Roman" w:hAnsi="Times New Roman" w:eastAsia="宋体" w:cs="Times New Roman"/>
          <w:b/>
          <w:bCs/>
          <w:color w:val="000000"/>
          <w:spacing w:val="7"/>
          <w:sz w:val="24"/>
          <w:szCs w:val="24"/>
          <w:highlight w:val="none"/>
          <w:lang w:val="en-US" w:eastAsia="zh-CN" w:bidi="ar-SA"/>
        </w:rPr>
        <w:t xml:space="preserve">(人员不得兼任，</w:t>
      </w:r>
      <w:r>
        <w:rPr>
          <w:rFonts w:hint="eastAsia" w:ascii="Times New Roman" w:hAnsi="Times New Roman" w:eastAsia="宋体" w:cs="Times New Roman"/>
          <w:b/>
          <w:bCs/>
          <w:color w:val="000000"/>
          <w:spacing w:val="7"/>
          <w:sz w:val="24"/>
          <w:szCs w:val="24"/>
          <w:highlight w:val="none"/>
          <w:lang w:val="en-US" w:eastAsia="zh-CN" w:bidi="ar-SA"/>
        </w:rPr>
        <w:t xml:space="preserve">一人多证按一证计算。</w:t>
      </w:r>
      <w:r>
        <w:rPr>
          <w:rFonts w:ascii="Times New Roman" w:hAnsi="Times New Roman" w:eastAsia="宋体" w:cs="Times New Roman"/>
          <w:b/>
          <w:bCs/>
          <w:color w:val="000000"/>
          <w:spacing w:val="7"/>
          <w:sz w:val="24"/>
          <w:szCs w:val="24"/>
          <w:highlight w:val="none"/>
          <w:lang w:val="en-US" w:eastAsia="zh-CN" w:bidi="ar-SA"/>
        </w:rPr>
        <w:t xml:space="preserve">投标文件中需提供相关证书，并附该员工的社保缴费证明材料，不提供或提供不全的不得分)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 xml:space="preserve">【0</w:t>
      </w:r>
      <w:r>
        <w:rPr>
          <w:rFonts w:hint="eastAsia" w:ascii="Times New Roman" w:hAnsi="Times New Roman" w:eastAsia="宋体" w:cs="Times New Roman"/>
          <w:spacing w:val="7"/>
          <w:sz w:val="24"/>
          <w:szCs w:val="24"/>
          <w:highlight w:val="none"/>
          <w:lang w:val="en-US" w:eastAsia="zh-CN" w:bidi="ar-SA"/>
        </w:rPr>
        <w:t xml:space="preserve">-2</w:t>
      </w:r>
      <w:r>
        <w:rPr>
          <w:rFonts w:ascii="Times New Roman" w:hAnsi="Times New Roman" w:eastAsia="宋体" w:cs="Times New Roman"/>
          <w:spacing w:val="7"/>
          <w:sz w:val="24"/>
          <w:szCs w:val="24"/>
          <w:highlight w:val="none"/>
          <w:lang w:val="en-US" w:eastAsia="zh-CN" w:bidi="ar-SA"/>
        </w:rPr>
        <w:t xml:space="preserve">】</w:t>
      </w:r>
      <w:r/>
    </w:p>
    <w:p>
      <w:pPr>
        <w:ind w:firstLine="500"/>
        <w:spacing w:line="440" w:lineRule="exact"/>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4.</w:t>
      </w:r>
      <w:r>
        <w:rPr>
          <w:rFonts w:hint="eastAsia" w:ascii="Times New Roman" w:hAnsi="Times New Roman" w:eastAsia="宋体" w:cs="Times New Roman"/>
          <w:color w:val="000000"/>
          <w:spacing w:val="7"/>
          <w:sz w:val="24"/>
          <w:szCs w:val="24"/>
          <w:highlight w:val="none"/>
          <w:lang w:val="en-US" w:eastAsia="zh-CN" w:bidi="ar-SA"/>
        </w:rPr>
        <w:t xml:space="preserve">2 </w:t>
      </w:r>
      <w:r>
        <w:rPr>
          <w:rFonts w:ascii="Times New Roman" w:hAnsi="Times New Roman" w:eastAsia="宋体" w:cs="Times New Roman"/>
          <w:color w:val="000000"/>
          <w:spacing w:val="7"/>
          <w:sz w:val="24"/>
          <w:szCs w:val="24"/>
          <w:highlight w:val="none"/>
          <w:lang w:val="en-US" w:eastAsia="zh-CN" w:bidi="ar-SA"/>
        </w:rPr>
        <w:t xml:space="preserve">信息安全负责人</w:t>
      </w:r>
      <w:r/>
    </w:p>
    <w:p>
      <w:pPr>
        <w:ind w:firstLine="500"/>
        <w:spacing w:line="440" w:lineRule="exact"/>
        <w:rPr>
          <w:rFonts w:ascii="Times New Roman" w:hAnsi="Times New Roman" w:eastAsia="宋体" w:cs="Times New Roman"/>
          <w:color w:val="000000"/>
          <w:spacing w:val="7"/>
          <w:sz w:val="24"/>
          <w:szCs w:val="24"/>
          <w:highlight w:val="none"/>
          <w:lang w:val="en-US" w:eastAsia="zh-CN" w:bidi="ar-SA"/>
        </w:rPr>
      </w:pPr>
      <w:r>
        <w:rPr>
          <w:rFonts w:hint="eastAsia" w:ascii="Cambria Math" w:hAnsi="Cambria Math" w:eastAsia="宋体" w:cs="Cambria Math"/>
          <w:spacing w:val="7"/>
          <w:sz w:val="24"/>
          <w:szCs w:val="24"/>
          <w:highlight w:val="none"/>
          <w:lang w:val="en-US" w:eastAsia="zh-CN" w:bidi="ar-SA"/>
        </w:rPr>
        <w:t xml:space="preserve">信息安全负责人具有注册信息安全工程师(CISE)证书或CISAW信息安全保障人员(安全运维专业)认证证书，得2分，</w:t>
      </w:r>
      <w:r>
        <w:rPr>
          <w:rFonts w:ascii="Times New Roman" w:hAnsi="Times New Roman" w:eastAsia="宋体" w:cs="Times New Roman"/>
          <w:color w:val="000000"/>
          <w:spacing w:val="7"/>
          <w:sz w:val="24"/>
          <w:szCs w:val="24"/>
          <w:highlight w:val="none"/>
          <w:lang w:val="en-US" w:eastAsia="zh-CN" w:bidi="ar-SA"/>
        </w:rPr>
        <w:t xml:space="preserve">最高得</w:t>
      </w:r>
      <w:r>
        <w:rPr>
          <w:rFonts w:hint="eastAsia" w:ascii="Times New Roman" w:hAnsi="Times New Roman" w:eastAsia="宋体" w:cs="Times New Roman"/>
          <w:color w:val="000000"/>
          <w:spacing w:val="7"/>
          <w:sz w:val="24"/>
          <w:szCs w:val="24"/>
          <w:highlight w:val="none"/>
          <w:lang w:val="en-US" w:eastAsia="zh-CN" w:bidi="ar-SA"/>
        </w:rPr>
        <w:t xml:space="preserve">2</w:t>
      </w:r>
      <w:r>
        <w:rPr>
          <w:rFonts w:ascii="Times New Roman" w:hAnsi="Times New Roman" w:eastAsia="宋体" w:cs="Times New Roman"/>
          <w:color w:val="000000"/>
          <w:spacing w:val="7"/>
          <w:sz w:val="24"/>
          <w:szCs w:val="24"/>
          <w:highlight w:val="none"/>
          <w:lang w:val="en-US" w:eastAsia="zh-CN" w:bidi="ar-SA"/>
        </w:rPr>
        <w:t xml:space="preserve">分</w:t>
      </w:r>
      <w:r>
        <w:rPr>
          <w:rFonts w:hint="eastAsia" w:ascii="Times New Roman" w:hAnsi="Times New Roman" w:eastAsia="宋体" w:cs="Times New Roman"/>
          <w:color w:val="000000"/>
          <w:spacing w:val="7"/>
          <w:sz w:val="24"/>
          <w:szCs w:val="24"/>
          <w:highlight w:val="none"/>
          <w:lang w:val="en-US" w:eastAsia="zh-CN" w:bidi="ar-SA"/>
        </w:rPr>
        <w:t xml:space="preserve">。</w:t>
      </w:r>
      <w:r>
        <w:rPr>
          <w:rFonts w:ascii="Times New Roman" w:hAnsi="Times New Roman" w:eastAsia="宋体" w:cs="Times New Roman"/>
          <w:b/>
          <w:bCs/>
          <w:color w:val="000000"/>
          <w:spacing w:val="7"/>
          <w:sz w:val="24"/>
          <w:szCs w:val="24"/>
          <w:highlight w:val="none"/>
          <w:lang w:val="en-US" w:eastAsia="zh-CN" w:bidi="ar-SA"/>
        </w:rPr>
        <w:t xml:space="preserve">(人员不得兼任，</w:t>
      </w:r>
      <w:r>
        <w:rPr>
          <w:rFonts w:hint="eastAsia" w:ascii="Times New Roman" w:hAnsi="Times New Roman" w:eastAsia="宋体" w:cs="Times New Roman"/>
          <w:b/>
          <w:bCs/>
          <w:color w:val="000000"/>
          <w:spacing w:val="7"/>
          <w:sz w:val="24"/>
          <w:szCs w:val="24"/>
          <w:highlight w:val="none"/>
          <w:lang w:val="en-US" w:eastAsia="zh-CN" w:bidi="ar-SA"/>
        </w:rPr>
        <w:t xml:space="preserve">一人多证按一证计算。</w:t>
      </w:r>
      <w:r>
        <w:rPr>
          <w:rFonts w:ascii="Times New Roman" w:hAnsi="Times New Roman" w:eastAsia="宋体" w:cs="Times New Roman"/>
          <w:b/>
          <w:bCs/>
          <w:color w:val="000000"/>
          <w:spacing w:val="7"/>
          <w:sz w:val="24"/>
          <w:szCs w:val="24"/>
          <w:highlight w:val="none"/>
          <w:lang w:val="en-US" w:eastAsia="zh-CN" w:bidi="ar-SA"/>
        </w:rPr>
        <w:t xml:space="preserve">请在投标文件中提供相关证书，并附该员工的社保缴费证明材料，不提供或提供不全的不得分)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 xml:space="preserve">【0-</w:t>
      </w:r>
      <w:r>
        <w:rPr>
          <w:rFonts w:hint="eastAsia" w:ascii="Times New Roman" w:hAnsi="Times New Roman" w:eastAsia="宋体" w:cs="Times New Roman"/>
          <w:spacing w:val="7"/>
          <w:sz w:val="24"/>
          <w:szCs w:val="24"/>
          <w:highlight w:val="none"/>
          <w:lang w:val="en-US" w:eastAsia="zh-CN" w:bidi="ar-SA"/>
        </w:rPr>
        <w:t xml:space="preserve">2</w:t>
      </w:r>
      <w:r>
        <w:rPr>
          <w:rFonts w:ascii="Times New Roman" w:hAnsi="Times New Roman" w:eastAsia="宋体" w:cs="Times New Roman"/>
          <w:spacing w:val="7"/>
          <w:sz w:val="24"/>
          <w:szCs w:val="24"/>
          <w:highlight w:val="none"/>
          <w:lang w:val="en-US" w:eastAsia="zh-CN" w:bidi="ar-SA"/>
        </w:rPr>
        <w:t xml:space="preserve">】</w:t>
      </w:r>
      <w:r/>
    </w:p>
    <w:p>
      <w:pPr>
        <w:ind w:firstLine="500"/>
        <w:spacing w:line="440" w:lineRule="exact"/>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4.</w:t>
      </w:r>
      <w:r>
        <w:rPr>
          <w:rFonts w:hint="eastAsia" w:ascii="Times New Roman" w:hAnsi="Times New Roman" w:eastAsia="宋体" w:cs="Times New Roman"/>
          <w:color w:val="000000"/>
          <w:spacing w:val="7"/>
          <w:sz w:val="24"/>
          <w:szCs w:val="24"/>
          <w:highlight w:val="none"/>
          <w:lang w:val="en-US" w:eastAsia="zh-CN" w:bidi="ar-SA"/>
        </w:rPr>
        <w:t xml:space="preserve">3</w:t>
      </w:r>
      <w:r>
        <w:rPr>
          <w:rFonts w:ascii="Times New Roman" w:hAnsi="Times New Roman" w:eastAsia="宋体" w:cs="Times New Roman"/>
          <w:color w:val="000000"/>
          <w:spacing w:val="7"/>
          <w:sz w:val="24"/>
          <w:szCs w:val="24"/>
          <w:highlight w:val="none"/>
          <w:lang w:val="en-US" w:eastAsia="zh-CN" w:bidi="ar-SA"/>
        </w:rPr>
        <w:t xml:space="preserve"> 项目人员</w:t>
      </w:r>
      <w:r/>
    </w:p>
    <w:p>
      <w:pPr>
        <w:ind w:firstLine="500"/>
        <w:spacing w:line="440" w:lineRule="exact"/>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拟投入本项目的项目组配备除项目负责人、信息安全负责人外，应配备不低于</w:t>
      </w:r>
      <w:r>
        <w:rPr>
          <w:rFonts w:hint="eastAsia" w:ascii="Times New Roman" w:hAnsi="Times New Roman" w:eastAsia="宋体" w:cs="Times New Roman"/>
          <w:color w:val="000000"/>
          <w:spacing w:val="7"/>
          <w:sz w:val="24"/>
          <w:szCs w:val="24"/>
          <w:highlight w:val="none"/>
          <w:lang w:val="en-US" w:eastAsia="zh-CN" w:bidi="ar-SA"/>
        </w:rPr>
        <w:t xml:space="preserve">3</w:t>
      </w:r>
      <w:r>
        <w:rPr>
          <w:rFonts w:ascii="Times New Roman" w:hAnsi="Times New Roman" w:eastAsia="宋体" w:cs="Times New Roman"/>
          <w:color w:val="000000"/>
          <w:spacing w:val="7"/>
          <w:sz w:val="24"/>
          <w:szCs w:val="24"/>
          <w:highlight w:val="none"/>
          <w:lang w:val="en-US" w:eastAsia="zh-CN" w:bidi="ar-SA"/>
        </w:rPr>
        <w:t xml:space="preserve">人的项目组成员，项目组成员应</w:t>
      </w:r>
      <w:r>
        <w:rPr>
          <w:rFonts w:hint="eastAsia" w:ascii="Cambria Math" w:hAnsi="Cambria Math" w:eastAsia="宋体" w:cs="Cambria Math"/>
          <w:spacing w:val="7"/>
          <w:sz w:val="24"/>
          <w:szCs w:val="24"/>
          <w:highlight w:val="none"/>
          <w:lang w:val="en-US" w:eastAsia="zh-CN" w:bidi="ar-SA"/>
        </w:rPr>
        <w:t xml:space="preserve">由具有IT服务项目经理（ITSS）证书、</w:t>
      </w:r>
      <w:r>
        <w:rPr>
          <w:rFonts w:hint="eastAsia" w:ascii="Cambria Math" w:hAnsi="Cambria Math" w:eastAsia="宋体" w:cs="Cambria Math"/>
          <w:color w:val="auto"/>
          <w:spacing w:val="7"/>
          <w:sz w:val="24"/>
          <w:szCs w:val="24"/>
          <w:highlight w:val="none"/>
          <w:lang w:val="en-US" w:eastAsia="zh-CN" w:bidi="ar-SA"/>
        </w:rPr>
        <w:t xml:space="preserve">网络工程师证书（高级）等人员组成，以上人员</w:t>
      </w:r>
      <w:r>
        <w:rPr>
          <w:rFonts w:hint="eastAsia" w:ascii="Cambria Math" w:hAnsi="Cambria Math" w:cs="Cambria Math"/>
          <w:color w:val="auto"/>
          <w:spacing w:val="7"/>
          <w:sz w:val="24"/>
          <w:szCs w:val="24"/>
          <w:highlight w:val="none"/>
          <w:lang w:val="en-US" w:eastAsia="zh-CN" w:bidi="ar-SA"/>
        </w:rPr>
        <w:t xml:space="preserve">每提供一份证书得1分</w:t>
      </w:r>
      <w:r>
        <w:rPr>
          <w:rFonts w:hint="eastAsia" w:ascii="Cambria Math" w:hAnsi="Cambria Math" w:eastAsia="宋体" w:cs="Cambria Math"/>
          <w:color w:val="auto"/>
          <w:spacing w:val="7"/>
          <w:sz w:val="24"/>
          <w:szCs w:val="24"/>
          <w:highlight w:val="none"/>
          <w:lang w:val="en-US" w:eastAsia="zh-CN" w:bidi="ar-SA"/>
        </w:rPr>
        <w:t xml:space="preserve">，</w:t>
      </w:r>
      <w:r>
        <w:rPr>
          <w:rFonts w:hint="eastAsia" w:ascii="Cambria Math" w:hAnsi="Cambria Math" w:cs="Cambria Math"/>
          <w:color w:val="auto"/>
          <w:spacing w:val="7"/>
          <w:sz w:val="24"/>
          <w:szCs w:val="24"/>
          <w:highlight w:val="none"/>
          <w:lang w:val="en-US" w:eastAsia="zh-CN" w:bidi="ar-SA"/>
        </w:rPr>
        <w:t xml:space="preserve">最高得2分</w:t>
      </w:r>
      <w:r>
        <w:rPr>
          <w:rFonts w:ascii="Times New Roman" w:hAnsi="Times New Roman" w:eastAsia="宋体" w:cs="Times New Roman"/>
          <w:color w:val="000000"/>
          <w:spacing w:val="7"/>
          <w:sz w:val="24"/>
          <w:szCs w:val="24"/>
          <w:highlight w:val="none"/>
          <w:lang w:val="en-US" w:eastAsia="zh-CN" w:bidi="ar-SA"/>
        </w:rPr>
        <w:t xml:space="preserve">。</w:t>
      </w:r>
      <w:r>
        <w:rPr>
          <w:rFonts w:hint="eastAsia" w:ascii="Cambria Math" w:hAnsi="Cambria Math" w:eastAsia="宋体" w:cs="Cambria Math"/>
          <w:color w:val="auto"/>
          <w:spacing w:val="7"/>
          <w:sz w:val="24"/>
          <w:szCs w:val="24"/>
          <w:highlight w:val="none"/>
          <w:lang w:val="en-US" w:eastAsia="zh-CN" w:bidi="ar-SA"/>
        </w:rPr>
        <w:t xml:space="preserve">一人多证</w:t>
      </w:r>
      <w:r>
        <w:rPr>
          <w:rFonts w:hint="eastAsia" w:ascii="Cambria Math" w:hAnsi="Cambria Math" w:cs="Cambria Math"/>
          <w:color w:val="auto"/>
          <w:spacing w:val="7"/>
          <w:sz w:val="24"/>
          <w:szCs w:val="24"/>
          <w:highlight w:val="none"/>
          <w:lang w:val="en-US" w:eastAsia="zh-CN" w:bidi="ar-SA"/>
        </w:rPr>
        <w:t xml:space="preserve">或提供相同证书</w:t>
      </w:r>
      <w:r>
        <w:rPr>
          <w:rFonts w:hint="eastAsia" w:ascii="Cambria Math" w:hAnsi="Cambria Math" w:eastAsia="宋体" w:cs="Cambria Math"/>
          <w:color w:val="auto"/>
          <w:spacing w:val="7"/>
          <w:sz w:val="24"/>
          <w:szCs w:val="24"/>
          <w:highlight w:val="none"/>
          <w:lang w:val="en-US" w:eastAsia="zh-CN" w:bidi="ar-SA"/>
        </w:rPr>
        <w:t xml:space="preserve">按一证计算。</w:t>
      </w:r>
      <w:r>
        <w:rPr>
          <w:rFonts w:ascii="Times New Roman" w:hAnsi="Times New Roman" w:eastAsia="宋体" w:cs="Times New Roman"/>
          <w:b/>
          <w:bCs/>
          <w:color w:val="000000"/>
          <w:spacing w:val="7"/>
          <w:sz w:val="24"/>
          <w:szCs w:val="24"/>
          <w:highlight w:val="none"/>
          <w:lang w:val="en-US" w:eastAsia="zh-CN" w:bidi="ar-SA"/>
        </w:rPr>
        <w:t xml:space="preserve">（请在投标文件中提供相关证书，并附该员工的社保缴费证明材料，不提供或提供不全的不得分）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 xml:space="preserve">【0-</w:t>
      </w:r>
      <w:r>
        <w:rPr>
          <w:rFonts w:hint="eastAsia" w:ascii="Times New Roman" w:hAnsi="Times New Roman" w:cs="Times New Roman"/>
          <w:spacing w:val="7"/>
          <w:sz w:val="24"/>
          <w:szCs w:val="24"/>
          <w:highlight w:val="none"/>
          <w:lang w:val="en-US" w:eastAsia="zh-CN" w:bidi="ar-SA"/>
        </w:rPr>
        <w:t xml:space="preserve">2</w:t>
      </w:r>
      <w:r>
        <w:rPr>
          <w:rFonts w:ascii="Times New Roman" w:hAnsi="Times New Roman" w:eastAsia="宋体" w:cs="Times New Roman"/>
          <w:spacing w:val="7"/>
          <w:sz w:val="24"/>
          <w:szCs w:val="24"/>
          <w:highlight w:val="none"/>
          <w:lang w:val="en-US" w:eastAsia="zh-CN" w:bidi="ar-SA"/>
        </w:rPr>
        <w:t xml:space="preserve">】</w:t>
      </w:r>
      <w:r/>
    </w:p>
    <w:p>
      <w:pPr>
        <w:ind w:left="21" w:firstLine="501"/>
        <w:jc w:val="left"/>
        <w:spacing w:before="201" w:line="480" w:lineRule="exact"/>
        <w:widowControl/>
        <w:rPr>
          <w:rFonts w:hint="default" w:ascii="宋体" w:hAnsi="宋体" w:eastAsia="宋体" w:cs="Times New Roman"/>
          <w:spacing w:val="13"/>
          <w:sz w:val="24"/>
          <w:szCs w:val="24"/>
        </w:rPr>
      </w:pPr>
      <w:r>
        <w:rPr>
          <w:rFonts w:hint="eastAsia" w:ascii="宋体" w:hAnsi="宋体" w:eastAsia="宋体" w:cs="Times New Roman"/>
          <w:b/>
          <w:spacing w:val="4"/>
          <w:sz w:val="24"/>
          <w:szCs w:val="24"/>
        </w:rPr>
        <w:t xml:space="preserve">5其他分3.</w:t>
      </w:r>
      <w:r>
        <w:rPr>
          <w:rFonts w:hint="eastAsia" w:ascii="宋体" w:hAnsi="宋体" w:cs="Times New Roman"/>
          <w:b/>
          <w:spacing w:val="4"/>
          <w:sz w:val="24"/>
          <w:szCs w:val="24"/>
          <w:lang w:val="en-US" w:eastAsia="zh-CN"/>
        </w:rPr>
        <w:t xml:space="preserve">5</w:t>
      </w:r>
      <w:r>
        <w:rPr>
          <w:rFonts w:hint="eastAsia" w:ascii="宋体" w:hAnsi="宋体" w:eastAsia="宋体" w:cs="Times New Roman"/>
          <w:b/>
          <w:spacing w:val="4"/>
          <w:sz w:val="24"/>
          <w:szCs w:val="24"/>
        </w:rPr>
        <w:t xml:space="preserve">分</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5.1</w:t>
      </w:r>
      <w:r>
        <w:rPr>
          <w:rFonts w:hint="default" w:ascii="宋体" w:hAnsi="宋体" w:eastAsia="宋体" w:cs="Times New Roman"/>
          <w:spacing w:val="13"/>
          <w:sz w:val="24"/>
          <w:szCs w:val="24"/>
        </w:rPr>
        <w:t xml:space="preserve">环境标志产品</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评委根据其投报产品是否属于环境标志产品政府采购品目清单进行评分，有一个得</w:t>
      </w:r>
      <w:r>
        <w:rPr>
          <w:rFonts w:hint="eastAsia" w:ascii="宋体" w:hAnsi="宋体" w:eastAsia="宋体" w:cs="Times New Roman"/>
          <w:spacing w:val="13"/>
          <w:sz w:val="24"/>
          <w:szCs w:val="24"/>
          <w:lang w:val="en-US" w:eastAsia="zh-CN"/>
        </w:rPr>
        <w:t xml:space="preserve">0.5</w:t>
      </w:r>
      <w:r>
        <w:rPr>
          <w:rFonts w:hint="eastAsia" w:ascii="宋体" w:hAnsi="宋体" w:eastAsia="宋体" w:cs="Times New Roman"/>
          <w:spacing w:val="13"/>
          <w:sz w:val="24"/>
          <w:szCs w:val="24"/>
        </w:rPr>
        <w:t xml:space="preserve">分，最多得</w:t>
      </w:r>
      <w:r>
        <w:rPr>
          <w:rFonts w:hint="eastAsia" w:ascii="宋体" w:hAnsi="宋体" w:eastAsia="宋体" w:cs="Times New Roman"/>
          <w:spacing w:val="13"/>
          <w:sz w:val="24"/>
          <w:szCs w:val="24"/>
          <w:lang w:val="en-US" w:eastAsia="zh-CN"/>
        </w:rPr>
        <w:t xml:space="preserve">3.5</w:t>
      </w:r>
      <w:r>
        <w:rPr>
          <w:rFonts w:hint="eastAsia" w:ascii="宋体" w:hAnsi="宋体" w:eastAsia="宋体" w:cs="Times New Roman"/>
          <w:spacing w:val="13"/>
          <w:sz w:val="24"/>
          <w:szCs w:val="24"/>
        </w:rPr>
        <w:t xml:space="preserve">分（请在投标文件中提供国家确定的认证机构出具的、处于有效期之内的环境标志产品认证证书（若证书有附件（附录）的，附件（附录）须随证书一起提供），不提供的不得分）。</w:t>
      </w:r>
      <w:r>
        <w:rPr>
          <w:rFonts w:hint="default" w:ascii="Times New Roman" w:hAnsi="Times New Roman" w:eastAsia="宋体" w:cs="Times New Roman"/>
          <w:spacing w:val="7"/>
          <w:sz w:val="24"/>
          <w:szCs w:val="24"/>
          <w:highlight w:val="none"/>
          <w:lang w:val="en-US" w:eastAsia="zh-CN" w:bidi="ar-SA"/>
        </w:rPr>
        <w:t xml:space="preserve">【0-</w:t>
      </w:r>
      <w:r>
        <w:rPr>
          <w:rFonts w:hint="eastAsia" w:ascii="Times New Roman" w:hAnsi="Times New Roman" w:eastAsia="宋体" w:cs="Times New Roman"/>
          <w:spacing w:val="7"/>
          <w:sz w:val="24"/>
          <w:szCs w:val="24"/>
          <w:highlight w:val="none"/>
          <w:lang w:val="en-US" w:eastAsia="zh-CN" w:bidi="ar-SA"/>
        </w:rPr>
        <w:t xml:space="preserve">3.5</w:t>
      </w:r>
      <w:r>
        <w:rPr>
          <w:rFonts w:hint="default" w:ascii="Times New Roman" w:hAnsi="Times New Roman" w:eastAsia="宋体" w:cs="Times New Roman"/>
          <w:spacing w:val="7"/>
          <w:sz w:val="24"/>
          <w:szCs w:val="24"/>
          <w:highlight w:val="none"/>
          <w:lang w:val="en-US" w:eastAsia="zh-CN" w:bidi="ar-SA"/>
        </w:rPr>
        <w:t xml:space="preserve">】</w:t>
      </w:r>
      <w:r/>
    </w:p>
    <w:p>
      <w:pPr>
        <w:ind w:firstLine="482"/>
        <w:spacing w:line="440" w:lineRule="atLeast"/>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注:</w:t>
      </w:r>
      <w:r/>
    </w:p>
    <w:p>
      <w:pPr>
        <w:ind w:firstLine="482"/>
        <w:spacing w:line="440" w:lineRule="atLeast"/>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 xml:space="preserve">以上证明材料，不提供不得分。</w:t>
      </w:r>
      <w:bookmarkStart w:id="188" w:name="EBeb5e011c94484d45bc78085f792444b0"/>
      <w:r/>
      <w:bookmarkEnd w:id="188"/>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default" w:ascii="宋体" w:hAnsi="宋体" w:eastAsia="宋体" w:cs="宋体"/>
          <w:spacing w:val="7"/>
          <w:sz w:val="24"/>
          <w:szCs w:val="24"/>
        </w:rPr>
      </w:r>
      <w:r/>
    </w:p>
    <w:p>
      <w:pPr>
        <w:pStyle w:val="95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83"/>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82"/>
        <w:jc w:val="center"/>
        <w:spacing w:after="400"/>
        <w:rPr>
          <w:rStyle w:val="948"/>
          <w:rFonts w:ascii="宋体" w:hAnsi="宋体"/>
          <w:color w:val="auto"/>
          <w:sz w:val="40"/>
          <w:szCs w:val="40"/>
          <w:highlight w:val="none"/>
        </w:rPr>
        <w:outlineLvl w:val="0"/>
      </w:pPr>
      <w:r/>
      <w:bookmarkStart w:id="189" w:name="_Toc290"/>
      <w:r/>
      <w:bookmarkStart w:id="190" w:name="_Toc18049"/>
      <w:r/>
      <w:bookmarkStart w:id="191" w:name="_Toc29010"/>
      <w:r/>
      <w:bookmarkStart w:id="192" w:name="_Toc653"/>
      <w:r>
        <w:rPr>
          <w:rStyle w:val="948"/>
          <w:rFonts w:ascii="宋体" w:hAnsi="宋体"/>
          <w:color w:val="auto"/>
          <w:sz w:val="40"/>
          <w:szCs w:val="40"/>
          <w:highlight w:val="none"/>
        </w:rPr>
        <w:t xml:space="preserve">投标主要文件目录</w:t>
      </w:r>
      <w:bookmarkEnd w:id="189"/>
      <w:r/>
      <w:bookmarkEnd w:id="190"/>
      <w:r/>
      <w:bookmarkEnd w:id="191"/>
      <w:r/>
      <w:bookmarkEnd w:id="192"/>
      <w:r/>
      <w:r/>
    </w:p>
    <w:p>
      <w:pPr>
        <w:pStyle w:val="982"/>
        <w:spacing w:before="240" w:after="240" w:line="200" w:lineRule="atLeast"/>
        <w:rPr>
          <w:rStyle w:val="948"/>
          <w:rFonts w:ascii="宋体" w:hAnsi="宋体"/>
          <w:color w:val="auto"/>
          <w:sz w:val="24"/>
          <w:szCs w:val="24"/>
          <w:highlight w:val="none"/>
        </w:rPr>
        <w:outlineLvl w:val="0"/>
      </w:pPr>
      <w:r/>
      <w:bookmarkStart w:id="193" w:name="_Toc14924"/>
      <w:r/>
      <w:bookmarkStart w:id="194" w:name="_Toc8210"/>
      <w:r/>
      <w:bookmarkStart w:id="195" w:name="_Toc15242"/>
      <w:r>
        <w:rPr>
          <w:rStyle w:val="948"/>
          <w:rFonts w:ascii="宋体" w:hAnsi="宋体"/>
          <w:color w:val="auto"/>
          <w:sz w:val="24"/>
          <w:szCs w:val="24"/>
          <w:highlight w:val="none"/>
        </w:rPr>
        <w:t xml:space="preserve">一、封面</w:t>
      </w:r>
      <w:bookmarkEnd w:id="193"/>
      <w:r/>
      <w:bookmarkEnd w:id="194"/>
      <w:r/>
      <w:bookmarkEnd w:id="195"/>
      <w:r/>
      <w:r/>
    </w:p>
    <w:p>
      <w:pPr>
        <w:pStyle w:val="982"/>
        <w:spacing w:before="240" w:after="240" w:line="200" w:lineRule="atLeast"/>
        <w:rPr>
          <w:rStyle w:val="948"/>
          <w:rFonts w:ascii="宋体" w:hAnsi="宋体"/>
          <w:color w:val="auto"/>
          <w:sz w:val="24"/>
          <w:szCs w:val="24"/>
          <w:highlight w:val="none"/>
        </w:rPr>
        <w:outlineLvl w:val="0"/>
      </w:pPr>
      <w:r/>
      <w:bookmarkStart w:id="196" w:name="_Toc9750"/>
      <w:r/>
      <w:bookmarkStart w:id="197" w:name="_Toc10768"/>
      <w:r/>
      <w:bookmarkStart w:id="198" w:name="_Toc8337"/>
      <w:r>
        <w:rPr>
          <w:rStyle w:val="948"/>
          <w:rFonts w:ascii="宋体" w:hAnsi="宋体"/>
          <w:color w:val="auto"/>
          <w:sz w:val="24"/>
          <w:szCs w:val="24"/>
          <w:highlight w:val="none"/>
        </w:rPr>
        <w:t xml:space="preserve">二、投标函</w:t>
      </w:r>
      <w:bookmarkEnd w:id="196"/>
      <w:r/>
      <w:bookmarkEnd w:id="197"/>
      <w:r/>
      <w:bookmarkEnd w:id="198"/>
      <w:r/>
      <w:r/>
    </w:p>
    <w:p>
      <w:pPr>
        <w:pStyle w:val="982"/>
        <w:spacing w:before="240" w:after="240" w:line="200" w:lineRule="atLeast"/>
        <w:rPr>
          <w:rStyle w:val="948"/>
          <w:rFonts w:ascii="宋体" w:hAnsi="宋体"/>
          <w:color w:val="auto"/>
          <w:sz w:val="24"/>
          <w:szCs w:val="24"/>
          <w:highlight w:val="none"/>
        </w:rPr>
        <w:outlineLvl w:val="0"/>
      </w:pPr>
      <w:r/>
      <w:bookmarkStart w:id="199" w:name="_Toc1247"/>
      <w:r/>
      <w:bookmarkStart w:id="200" w:name="_Toc31912"/>
      <w:r/>
      <w:bookmarkStart w:id="201" w:name="_Toc5193"/>
      <w:r>
        <w:rPr>
          <w:rStyle w:val="948"/>
          <w:rFonts w:ascii="宋体" w:hAnsi="宋体"/>
          <w:color w:val="auto"/>
          <w:sz w:val="24"/>
          <w:szCs w:val="24"/>
          <w:highlight w:val="none"/>
        </w:rPr>
        <w:t xml:space="preserve">三、开标一览表</w:t>
      </w:r>
      <w:bookmarkEnd w:id="199"/>
      <w:r/>
      <w:bookmarkEnd w:id="200"/>
      <w:r/>
      <w:bookmarkEnd w:id="201"/>
      <w:r/>
      <w:r/>
    </w:p>
    <w:p>
      <w:pPr>
        <w:pStyle w:val="982"/>
        <w:spacing w:before="240" w:after="240" w:line="200" w:lineRule="atLeast"/>
        <w:rPr>
          <w:rStyle w:val="948"/>
          <w:rFonts w:ascii="宋体" w:hAnsi="宋体"/>
          <w:color w:val="auto"/>
          <w:sz w:val="24"/>
          <w:szCs w:val="24"/>
          <w:highlight w:val="none"/>
        </w:rPr>
        <w:outlineLvl w:val="0"/>
      </w:pPr>
      <w:r/>
      <w:bookmarkStart w:id="202" w:name="_Toc25567"/>
      <w:r/>
      <w:bookmarkStart w:id="203" w:name="_Toc26828"/>
      <w:r/>
      <w:bookmarkStart w:id="204" w:name="_Toc12064"/>
      <w:r>
        <w:rPr>
          <w:rStyle w:val="948"/>
          <w:rFonts w:ascii="宋体" w:hAnsi="宋体"/>
          <w:color w:val="auto"/>
          <w:sz w:val="24"/>
          <w:szCs w:val="24"/>
          <w:highlight w:val="none"/>
        </w:rPr>
        <w:t xml:space="preserve">四、资格证明文件</w:t>
      </w:r>
      <w:bookmarkEnd w:id="202"/>
      <w:r/>
      <w:bookmarkEnd w:id="203"/>
      <w:r/>
      <w:bookmarkEnd w:id="204"/>
      <w:r/>
      <w:r/>
    </w:p>
    <w:p>
      <w:pPr>
        <w:pStyle w:val="983"/>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48"/>
          <w:rFonts w:ascii="宋体" w:hAnsi="宋体"/>
          <w:color w:val="auto"/>
          <w:sz w:val="24"/>
          <w:szCs w:val="24"/>
          <w:highlight w:val="none"/>
        </w:rPr>
        <w:t xml:space="preserve">第四章项目需求中实质性要求响应对照表</w:t>
      </w:r>
      <w:r/>
    </w:p>
    <w:p>
      <w:pPr>
        <w:pStyle w:val="982"/>
        <w:spacing w:before="240" w:after="240" w:line="200" w:lineRule="atLeast"/>
        <w:rPr>
          <w:rStyle w:val="948"/>
          <w:rFonts w:hint="eastAsia" w:ascii="宋体" w:hAnsi="宋体"/>
          <w:color w:val="auto"/>
          <w:sz w:val="24"/>
          <w:szCs w:val="24"/>
          <w:highlight w:val="none"/>
        </w:rPr>
        <w:outlineLvl w:val="0"/>
      </w:pPr>
      <w:r/>
      <w:bookmarkStart w:id="205" w:name="_Toc10544"/>
      <w:r/>
      <w:bookmarkStart w:id="206" w:name="_Toc1004"/>
      <w:r>
        <w:rPr>
          <w:rStyle w:val="948"/>
          <w:rFonts w:hint="eastAsia" w:ascii="宋体" w:hAnsi="宋体"/>
          <w:color w:val="auto"/>
          <w:sz w:val="24"/>
          <w:szCs w:val="24"/>
          <w:highlight w:val="none"/>
        </w:rPr>
        <w:t xml:space="preserve">六、投标配置及分项报价表</w:t>
      </w:r>
      <w:bookmarkEnd w:id="205"/>
      <w:r/>
      <w:bookmarkEnd w:id="206"/>
      <w:r/>
      <w:r/>
    </w:p>
    <w:p>
      <w:pPr>
        <w:pStyle w:val="982"/>
        <w:spacing w:before="240" w:after="240" w:line="200" w:lineRule="atLeast"/>
        <w:rPr>
          <w:rStyle w:val="948"/>
          <w:rFonts w:hint="eastAsia" w:ascii="宋体" w:hAnsi="宋体"/>
          <w:color w:val="auto"/>
          <w:sz w:val="24"/>
          <w:szCs w:val="24"/>
          <w:highlight w:val="none"/>
        </w:rPr>
        <w:outlineLvl w:val="0"/>
      </w:pPr>
      <w:r/>
      <w:bookmarkStart w:id="207" w:name="_Toc5514"/>
      <w:r/>
      <w:bookmarkStart w:id="208" w:name="_Toc12806"/>
      <w:r>
        <w:rPr>
          <w:rStyle w:val="948"/>
          <w:rFonts w:hint="eastAsia" w:ascii="宋体" w:hAnsi="宋体"/>
          <w:color w:val="auto"/>
          <w:sz w:val="24"/>
          <w:szCs w:val="24"/>
          <w:highlight w:val="none"/>
        </w:rPr>
        <w:t xml:space="preserve">七、常用零件及耗材报价表</w:t>
      </w:r>
      <w:bookmarkEnd w:id="207"/>
      <w:r/>
      <w:bookmarkEnd w:id="208"/>
      <w:r/>
      <w:r/>
    </w:p>
    <w:p>
      <w:pPr>
        <w:pStyle w:val="982"/>
        <w:spacing w:before="240" w:after="240" w:line="200" w:lineRule="atLeast"/>
        <w:rPr>
          <w:rStyle w:val="948"/>
          <w:rFonts w:hint="eastAsia" w:ascii="宋体" w:hAnsi="宋体" w:eastAsia="宋体"/>
          <w:color w:val="auto"/>
          <w:sz w:val="24"/>
          <w:szCs w:val="24"/>
          <w:highlight w:val="none"/>
        </w:rPr>
        <w:outlineLvl w:val="0"/>
      </w:pPr>
      <w:r/>
      <w:bookmarkStart w:id="209" w:name="_Toc25418"/>
      <w:r/>
      <w:bookmarkStart w:id="210" w:name="_Toc5199"/>
      <w:r>
        <w:rPr>
          <w:rStyle w:val="948"/>
          <w:rFonts w:hint="eastAsia" w:ascii="宋体" w:hAnsi="宋体" w:eastAsia="宋体"/>
          <w:color w:val="auto"/>
          <w:sz w:val="24"/>
          <w:szCs w:val="24"/>
          <w:highlight w:val="none"/>
        </w:rPr>
        <w:t xml:space="preserve">八、技术参数响应及偏离表</w:t>
      </w:r>
      <w:bookmarkEnd w:id="209"/>
      <w:r/>
      <w:bookmarkEnd w:id="210"/>
      <w:r/>
      <w:r/>
    </w:p>
    <w:p>
      <w:pPr>
        <w:pStyle w:val="982"/>
        <w:spacing w:before="240" w:after="240" w:line="200" w:lineRule="atLeast"/>
        <w:rPr>
          <w:rStyle w:val="948"/>
          <w:rFonts w:hint="eastAsia" w:ascii="宋体" w:hAnsi="宋体"/>
          <w:color w:val="auto"/>
          <w:sz w:val="24"/>
          <w:szCs w:val="24"/>
          <w:highlight w:val="none"/>
        </w:rPr>
        <w:outlineLvl w:val="0"/>
      </w:pPr>
      <w:r/>
      <w:bookmarkStart w:id="211" w:name="_Toc27270"/>
      <w:r/>
      <w:bookmarkStart w:id="212" w:name="_Toc3301"/>
      <w:r>
        <w:rPr>
          <w:rStyle w:val="948"/>
          <w:rFonts w:hint="eastAsia" w:ascii="宋体" w:hAnsi="宋体"/>
          <w:color w:val="auto"/>
          <w:sz w:val="24"/>
          <w:szCs w:val="24"/>
          <w:highlight w:val="none"/>
        </w:rPr>
        <w:t xml:space="preserve">九、服务方案</w:t>
      </w:r>
      <w:bookmarkEnd w:id="211"/>
      <w:r/>
      <w:bookmarkEnd w:id="212"/>
      <w:r/>
      <w:r/>
    </w:p>
    <w:p>
      <w:pPr>
        <w:pStyle w:val="982"/>
        <w:spacing w:before="240" w:after="240" w:line="200" w:lineRule="atLeast"/>
        <w:rPr>
          <w:rStyle w:val="948"/>
          <w:rFonts w:hint="eastAsia" w:ascii="宋体" w:hAnsi="宋体"/>
          <w:color w:val="auto"/>
          <w:sz w:val="24"/>
          <w:szCs w:val="24"/>
          <w:highlight w:val="none"/>
        </w:rPr>
        <w:outlineLvl w:val="0"/>
      </w:pPr>
      <w:r/>
      <w:bookmarkStart w:id="213" w:name="_Toc14133"/>
      <w:r/>
      <w:bookmarkStart w:id="214" w:name="_Toc12514"/>
      <w:r>
        <w:rPr>
          <w:rStyle w:val="948"/>
          <w:rFonts w:hint="eastAsia" w:ascii="宋体" w:hAnsi="宋体"/>
          <w:color w:val="auto"/>
          <w:sz w:val="24"/>
          <w:szCs w:val="24"/>
          <w:highlight w:val="none"/>
        </w:rPr>
        <w:t xml:space="preserve">十、投标人情况介绍</w:t>
      </w:r>
      <w:bookmarkEnd w:id="213"/>
      <w:r/>
      <w:bookmarkEnd w:id="214"/>
      <w:r/>
      <w:r/>
    </w:p>
    <w:p>
      <w:pPr>
        <w:pStyle w:val="982"/>
        <w:spacing w:before="240" w:after="240" w:line="200" w:lineRule="atLeast"/>
        <w:rPr>
          <w:rStyle w:val="948"/>
          <w:rFonts w:hint="eastAsia" w:ascii="宋体" w:hAnsi="宋体"/>
          <w:color w:val="auto"/>
          <w:sz w:val="24"/>
          <w:szCs w:val="24"/>
          <w:highlight w:val="none"/>
        </w:rPr>
        <w:outlineLvl w:val="0"/>
      </w:pPr>
      <w:r/>
      <w:bookmarkStart w:id="215" w:name="_Toc113"/>
      <w:r/>
      <w:bookmarkStart w:id="216" w:name="_Toc11742"/>
      <w:r>
        <w:rPr>
          <w:rStyle w:val="948"/>
          <w:rFonts w:hint="eastAsia" w:ascii="宋体" w:hAnsi="宋体"/>
          <w:color w:val="auto"/>
          <w:sz w:val="24"/>
          <w:szCs w:val="24"/>
          <w:highlight w:val="none"/>
        </w:rPr>
        <w:t xml:space="preserve">十一、中小企业声明函等</w:t>
      </w:r>
      <w:bookmarkEnd w:id="215"/>
      <w:r/>
      <w:bookmarkEnd w:id="216"/>
      <w:r/>
      <w:r/>
    </w:p>
    <w:p>
      <w:pPr>
        <w:pStyle w:val="982"/>
        <w:spacing w:before="240" w:after="240" w:line="200" w:lineRule="atLeast"/>
        <w:rPr>
          <w:rStyle w:val="948"/>
          <w:rFonts w:hint="eastAsia" w:ascii="宋体" w:hAnsi="宋体"/>
          <w:sz w:val="24"/>
          <w:szCs w:val="24"/>
        </w:rPr>
        <w:outlineLvl w:val="0"/>
      </w:pPr>
      <w:r>
        <w:rPr>
          <w:rStyle w:val="948"/>
          <w:rFonts w:hint="eastAsia" w:ascii="宋体" w:hAnsi="宋体"/>
          <w:sz w:val="24"/>
          <w:szCs w:val="24"/>
        </w:rPr>
        <w:t xml:space="preserve">十二、关于符合本国产品标准的声明函</w:t>
      </w:r>
      <w:r/>
    </w:p>
    <w:p>
      <w:pPr>
        <w:pStyle w:val="982"/>
        <w:spacing w:before="240" w:after="240" w:line="200" w:lineRule="atLeast"/>
        <w:rPr>
          <w:rStyle w:val="948"/>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84"/>
        <w:rPr>
          <w:rStyle w:val="948"/>
          <w:color w:val="auto"/>
          <w:highlight w:val="none"/>
        </w:rPr>
        <w:outlineLvl w:val="0"/>
      </w:pPr>
      <w:r>
        <w:rPr>
          <w:rStyle w:val="948"/>
          <w:color w:val="auto"/>
          <w:highlight w:val="none"/>
        </w:rPr>
        <w:br w:type="page" w:clear="all"/>
      </w:r>
      <w:bookmarkStart w:id="217" w:name="_Toc21398"/>
      <w:r/>
      <w:bookmarkStart w:id="218" w:name="_Toc11328"/>
      <w:r/>
      <w:bookmarkStart w:id="219" w:name="_Toc795"/>
      <w:r/>
      <w:bookmarkStart w:id="220" w:name="_Toc1406"/>
      <w:r/>
      <w:bookmarkStart w:id="221" w:name="_Toc28279"/>
      <w:r>
        <w:rPr>
          <w:rStyle w:val="948"/>
          <w:rFonts w:ascii="宋体" w:hAnsi="宋体"/>
          <w:b/>
          <w:color w:val="auto"/>
          <w:sz w:val="32"/>
          <w:highlight w:val="none"/>
        </w:rPr>
        <w:t xml:space="preserve">一、封面</w:t>
      </w:r>
      <w:bookmarkEnd w:id="217"/>
      <w:r/>
      <w:bookmarkEnd w:id="218"/>
      <w:r/>
      <w:bookmarkEnd w:id="219"/>
      <w:r/>
      <w:bookmarkEnd w:id="220"/>
      <w:r/>
      <w:bookmarkEnd w:id="221"/>
      <w:r/>
      <w:r/>
    </w:p>
    <w:p>
      <w:pPr>
        <w:pStyle w:val="985"/>
        <w:spacing w:line="440" w:lineRule="exact"/>
        <w:rPr>
          <w:rStyle w:val="948"/>
          <w:rFonts w:ascii="宋体" w:hAnsi="宋体"/>
          <w:color w:val="auto"/>
          <w:highlight w:val="none"/>
        </w:rPr>
      </w:pPr>
      <w:r>
        <w:rPr>
          <w:rStyle w:val="948"/>
          <w:rFonts w:ascii="宋体" w:hAnsi="宋体"/>
          <w:color w:val="auto"/>
          <w:highlight w:val="none"/>
        </w:rPr>
        <w:t xml:space="preserve">﻿ </w:t>
      </w:r>
      <w:r/>
    </w:p>
    <w:p>
      <w:pPr>
        <w:pStyle w:val="985"/>
        <w:jc w:val="center"/>
        <w:spacing w:before="540" w:after="540"/>
        <w:rPr>
          <w:rStyle w:val="948"/>
          <w:rFonts w:ascii="宋体" w:hAnsi="宋体"/>
          <w:color w:val="auto"/>
          <w:sz w:val="54"/>
          <w:szCs w:val="54"/>
          <w:highlight w:val="none"/>
        </w:rPr>
        <w:outlineLvl w:val="1"/>
      </w:pPr>
      <w:r/>
      <w:bookmarkStart w:id="222" w:name="_Toc5639"/>
      <w:r>
        <w:rPr>
          <w:rStyle w:val="948"/>
          <w:rFonts w:ascii="宋体" w:hAnsi="宋体"/>
          <w:color w:val="auto"/>
          <w:sz w:val="54"/>
          <w:szCs w:val="54"/>
          <w:highlight w:val="none"/>
        </w:rPr>
        <w:t xml:space="preserve">投 标 文 件</w:t>
      </w:r>
      <w:bookmarkEnd w:id="222"/>
      <w:r/>
      <w:r/>
    </w:p>
    <w:p>
      <w:pPr>
        <w:pStyle w:val="985"/>
        <w:spacing w:before="240" w:after="240"/>
        <w:rPr>
          <w:rStyle w:val="948"/>
          <w:rFonts w:ascii="宋体" w:hAnsi="宋体"/>
          <w:color w:val="auto"/>
          <w:highlight w:val="none"/>
        </w:rPr>
      </w:pPr>
      <w:r>
        <w:rPr>
          <w:rStyle w:val="948"/>
          <w:rFonts w:ascii="宋体" w:hAnsi="宋体"/>
          <w:color w:val="auto"/>
          <w:highlight w:val="none"/>
        </w:rPr>
        <w:t xml:space="preserve"> </w:t>
      </w:r>
      <w:r/>
    </w:p>
    <w:p>
      <w:pPr>
        <w:pStyle w:val="985"/>
        <w:jc w:val="center"/>
        <w:spacing w:before="400" w:after="400"/>
        <w:rPr>
          <w:rStyle w:val="948"/>
          <w:rFonts w:ascii="宋体" w:hAnsi="宋体"/>
          <w:color w:val="auto"/>
          <w:sz w:val="40"/>
          <w:szCs w:val="40"/>
          <w:highlight w:val="none"/>
        </w:rPr>
      </w:pPr>
      <w:r>
        <w:rPr>
          <w:rStyle w:val="948"/>
          <w:rFonts w:ascii="宋体" w:hAnsi="宋体"/>
          <w:color w:val="auto"/>
          <w:sz w:val="40"/>
          <w:szCs w:val="40"/>
          <w:highlight w:val="none"/>
        </w:rPr>
        <w:t xml:space="preserve"> </w:t>
      </w:r>
      <w:r/>
    </w:p>
    <w:p>
      <w:pPr>
        <w:pStyle w:val="985"/>
        <w:spacing w:before="240" w:after="240"/>
        <w:rPr>
          <w:rStyle w:val="948"/>
          <w:rFonts w:ascii="宋体" w:hAnsi="宋体"/>
          <w:color w:val="auto"/>
          <w:highlight w:val="none"/>
        </w:rPr>
      </w:pPr>
      <w:r>
        <w:rPr>
          <w:rStyle w:val="948"/>
          <w:rFonts w:ascii="宋体" w:hAnsi="宋体"/>
          <w:color w:val="auto"/>
          <w:highlight w:val="none"/>
        </w:rPr>
        <w:t xml:space="preserve"> </w:t>
      </w:r>
      <w:r/>
    </w:p>
    <w:p>
      <w:pPr>
        <w:pStyle w:val="985"/>
        <w:jc w:val="center"/>
        <w:spacing w:before="360" w:after="360"/>
        <w:rPr>
          <w:rStyle w:val="948"/>
          <w:rFonts w:ascii="宋体" w:hAnsi="宋体"/>
          <w:color w:val="auto"/>
          <w:sz w:val="36"/>
          <w:szCs w:val="36"/>
          <w:highlight w:val="none"/>
        </w:rPr>
        <w:outlineLvl w:val="1"/>
      </w:pPr>
      <w:r/>
      <w:bookmarkStart w:id="223" w:name="_Toc26027"/>
      <w:r>
        <w:rPr>
          <w:rStyle w:val="948"/>
          <w:rFonts w:ascii="宋体" w:hAnsi="宋体"/>
          <w:color w:val="auto"/>
          <w:sz w:val="36"/>
          <w:szCs w:val="36"/>
          <w:highlight w:val="none"/>
        </w:rPr>
        <w:t xml:space="preserve">项目名称：   </w:t>
      </w:r>
      <w:bookmarkEnd w:id="223"/>
      <w:r/>
      <w:r/>
    </w:p>
    <w:p>
      <w:pPr>
        <w:pStyle w:val="985"/>
        <w:jc w:val="center"/>
        <w:spacing w:before="360" w:after="360"/>
        <w:rPr>
          <w:rStyle w:val="948"/>
          <w:rFonts w:ascii="宋体" w:hAnsi="宋体"/>
          <w:color w:val="auto"/>
          <w:sz w:val="36"/>
          <w:szCs w:val="36"/>
          <w:highlight w:val="none"/>
        </w:rPr>
        <w:outlineLvl w:val="1"/>
      </w:pPr>
      <w:r/>
      <w:bookmarkStart w:id="224" w:name="_Toc5574"/>
      <w:r>
        <w:rPr>
          <w:rStyle w:val="948"/>
          <w:rFonts w:ascii="宋体" w:hAnsi="宋体"/>
          <w:color w:val="auto"/>
          <w:sz w:val="36"/>
          <w:szCs w:val="36"/>
          <w:highlight w:val="none"/>
        </w:rPr>
        <w:t xml:space="preserve">招标编号：   </w:t>
      </w:r>
      <w:bookmarkEnd w:id="224"/>
      <w:r/>
      <w:r/>
    </w:p>
    <w:p>
      <w:pPr>
        <w:pStyle w:val="985"/>
        <w:jc w:val="center"/>
        <w:spacing w:before="360" w:after="360"/>
        <w:rPr>
          <w:rStyle w:val="948"/>
          <w:rFonts w:ascii="宋体" w:hAnsi="宋体"/>
          <w:color w:val="auto"/>
          <w:sz w:val="36"/>
          <w:szCs w:val="36"/>
          <w:highlight w:val="none"/>
        </w:rPr>
      </w:pPr>
      <w:r>
        <w:rPr>
          <w:rStyle w:val="948"/>
          <w:rFonts w:ascii="宋体" w:hAnsi="宋体"/>
          <w:color w:val="auto"/>
          <w:sz w:val="36"/>
          <w:szCs w:val="36"/>
          <w:highlight w:val="none"/>
        </w:rPr>
        <w:t xml:space="preserve"> </w:t>
      </w:r>
      <w:r/>
    </w:p>
    <w:p>
      <w:pPr>
        <w:pStyle w:val="985"/>
        <w:jc w:val="center"/>
        <w:spacing w:before="360" w:after="360"/>
        <w:rPr>
          <w:rStyle w:val="948"/>
          <w:rFonts w:ascii="宋体" w:hAnsi="宋体"/>
          <w:color w:val="auto"/>
          <w:sz w:val="36"/>
          <w:szCs w:val="36"/>
          <w:highlight w:val="none"/>
        </w:rPr>
      </w:pPr>
      <w:r>
        <w:rPr>
          <w:rStyle w:val="948"/>
          <w:rFonts w:ascii="宋体" w:hAnsi="宋体"/>
          <w:color w:val="auto"/>
          <w:sz w:val="36"/>
          <w:szCs w:val="36"/>
          <w:highlight w:val="none"/>
        </w:rPr>
        <w:t xml:space="preserve"> </w:t>
      </w:r>
      <w:r/>
    </w:p>
    <w:p>
      <w:pPr>
        <w:pStyle w:val="985"/>
        <w:jc w:val="center"/>
        <w:spacing w:before="360" w:after="360"/>
        <w:rPr>
          <w:rStyle w:val="948"/>
          <w:rFonts w:ascii="宋体" w:hAnsi="宋体"/>
          <w:color w:val="auto"/>
          <w:sz w:val="36"/>
          <w:szCs w:val="36"/>
          <w:highlight w:val="none"/>
        </w:rPr>
        <w:outlineLvl w:val="1"/>
      </w:pPr>
      <w:r/>
      <w:bookmarkStart w:id="225" w:name="_Toc5779"/>
      <w:r>
        <w:rPr>
          <w:rStyle w:val="948"/>
          <w:rFonts w:ascii="宋体" w:hAnsi="宋体"/>
          <w:color w:val="auto"/>
          <w:sz w:val="36"/>
          <w:szCs w:val="36"/>
          <w:highlight w:val="none"/>
        </w:rPr>
        <w:t xml:space="preserve">投标人名称：   </w:t>
      </w:r>
      <w:bookmarkEnd w:id="225"/>
      <w:r/>
      <w:r/>
    </w:p>
    <w:p>
      <w:pPr>
        <w:pStyle w:val="985"/>
        <w:jc w:val="center"/>
        <w:spacing w:before="360" w:after="360"/>
        <w:rPr>
          <w:rStyle w:val="948"/>
          <w:rFonts w:ascii="宋体" w:hAnsi="宋体"/>
          <w:color w:val="auto"/>
          <w:sz w:val="36"/>
          <w:szCs w:val="36"/>
          <w:highlight w:val="none"/>
        </w:rPr>
        <w:outlineLvl w:val="1"/>
      </w:pPr>
      <w:r/>
      <w:bookmarkStart w:id="226" w:name="_Toc22080"/>
      <w:r>
        <w:rPr>
          <w:rStyle w:val="948"/>
          <w:rFonts w:ascii="宋体" w:hAnsi="宋体"/>
          <w:color w:val="auto"/>
          <w:sz w:val="36"/>
          <w:szCs w:val="36"/>
          <w:highlight w:val="none"/>
        </w:rPr>
        <w:t xml:space="preserve">日期：   </w:t>
      </w:r>
      <w:bookmarkEnd w:id="226"/>
      <w:r/>
      <w:r/>
    </w:p>
    <w:p>
      <w:pPr>
        <w:pStyle w:val="985"/>
        <w:jc w:val="center"/>
        <w:spacing w:before="360" w:after="360"/>
        <w:rPr>
          <w:rStyle w:val="948"/>
          <w:rFonts w:ascii="宋体" w:hAnsi="宋体"/>
          <w:color w:val="auto"/>
          <w:sz w:val="36"/>
          <w:szCs w:val="36"/>
          <w:highlight w:val="none"/>
        </w:rPr>
      </w:pPr>
      <w:r>
        <w:rPr>
          <w:rStyle w:val="948"/>
          <w:rFonts w:ascii="宋体" w:hAnsi="宋体"/>
          <w:color w:val="auto"/>
          <w:sz w:val="36"/>
          <w:szCs w:val="36"/>
          <w:highlight w:val="none"/>
        </w:rPr>
        <w:t xml:space="preserve"> </w:t>
      </w:r>
      <w:r/>
    </w:p>
    <w:p>
      <w:pPr>
        <w:pStyle w:val="985"/>
        <w:spacing w:before="240" w:after="240"/>
        <w:rPr>
          <w:rStyle w:val="948"/>
          <w:rFonts w:ascii="宋体" w:hAnsi="宋体"/>
          <w:color w:val="auto"/>
          <w:highlight w:val="none"/>
        </w:rPr>
      </w:pPr>
      <w:r>
        <w:rPr>
          <w:rStyle w:val="948"/>
          <w:rFonts w:ascii="宋体" w:hAnsi="宋体"/>
          <w:color w:val="auto"/>
          <w:highlight w:val="none"/>
        </w:rPr>
        <w:t xml:space="preserve"> </w:t>
      </w:r>
      <w:r/>
    </w:p>
    <w:p>
      <w:pPr>
        <w:pStyle w:val="986"/>
        <w:rPr>
          <w:rStyle w:val="948"/>
          <w:color w:val="auto"/>
          <w:highlight w:val="none"/>
        </w:rPr>
        <w:outlineLvl w:val="0"/>
      </w:pPr>
      <w:r>
        <w:rPr>
          <w:rStyle w:val="948"/>
          <w:color w:val="auto"/>
          <w:highlight w:val="none"/>
        </w:rPr>
        <w:br w:type="page" w:clear="all"/>
      </w:r>
      <w:bookmarkStart w:id="227" w:name="_Toc13967"/>
      <w:r/>
      <w:bookmarkStart w:id="228" w:name="_Toc22409"/>
      <w:r/>
      <w:bookmarkStart w:id="229" w:name="_Toc12462"/>
      <w:r/>
      <w:bookmarkStart w:id="230" w:name="_Toc24046"/>
      <w:r/>
      <w:bookmarkStart w:id="231" w:name="_Toc15138"/>
      <w:r>
        <w:rPr>
          <w:rStyle w:val="948"/>
          <w:rFonts w:ascii="宋体" w:hAnsi="宋体"/>
          <w:b/>
          <w:color w:val="auto"/>
          <w:sz w:val="32"/>
          <w:highlight w:val="none"/>
        </w:rPr>
        <w:t xml:space="preserve">二、投标函格式</w:t>
      </w:r>
      <w:bookmarkEnd w:id="227"/>
      <w:r/>
      <w:bookmarkEnd w:id="228"/>
      <w:r/>
      <w:bookmarkEnd w:id="229"/>
      <w:r/>
      <w:bookmarkEnd w:id="230"/>
      <w:r/>
      <w:bookmarkEnd w:id="231"/>
      <w:r/>
      <w:r/>
    </w:p>
    <w:p>
      <w:pPr>
        <w:pStyle w:val="987"/>
        <w:spacing w:line="440" w:lineRule="exact"/>
        <w:rPr>
          <w:rStyle w:val="948"/>
          <w:rFonts w:ascii="宋体" w:hAnsi="宋体"/>
          <w:color w:val="auto"/>
          <w:highlight w:val="none"/>
        </w:rPr>
      </w:pPr>
      <w:r>
        <w:rPr>
          <w:rStyle w:val="948"/>
          <w:rFonts w:ascii="宋体" w:hAnsi="宋体"/>
          <w:color w:val="auto"/>
          <w:highlight w:val="none"/>
        </w:rPr>
        <w:t xml:space="preserve">﻿ </w:t>
      </w:r>
      <w:r/>
    </w:p>
    <w:p>
      <w:pPr>
        <w:pStyle w:val="987"/>
        <w:ind w:firstLine="420"/>
        <w:jc w:val="center"/>
        <w:spacing w:before="320" w:after="320"/>
        <w:rPr>
          <w:rStyle w:val="948"/>
          <w:rFonts w:ascii="宋体" w:hAnsi="宋体"/>
          <w:b/>
          <w:bCs/>
          <w:color w:val="auto"/>
          <w:sz w:val="32"/>
          <w:szCs w:val="32"/>
          <w:highlight w:val="none"/>
        </w:rPr>
      </w:pPr>
      <w:r>
        <w:rPr>
          <w:rStyle w:val="948"/>
          <w:rFonts w:ascii="宋体" w:hAnsi="宋体"/>
          <w:b/>
          <w:bCs/>
          <w:color w:val="auto"/>
          <w:sz w:val="32"/>
          <w:szCs w:val="32"/>
          <w:highlight w:val="none"/>
        </w:rPr>
        <w:t xml:space="preserve">投标函</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致</w:t>
      </w:r>
      <w:r>
        <w:rPr>
          <w:rStyle w:val="948"/>
          <w:rFonts w:ascii="宋体" w:hAnsi="宋体"/>
          <w:color w:val="auto"/>
          <w:sz w:val="24"/>
          <w:szCs w:val="24"/>
          <w:highlight w:val="none"/>
          <w:u w:val="single"/>
        </w:rPr>
        <w:t xml:space="preserve">：   </w:t>
      </w:r>
      <w:r>
        <w:rPr>
          <w:rStyle w:val="948"/>
          <w:rFonts w:ascii="宋体" w:hAnsi="宋体"/>
          <w:color w:val="auto"/>
          <w:sz w:val="24"/>
          <w:szCs w:val="24"/>
          <w:highlight w:val="none"/>
        </w:rPr>
        <w:t xml:space="preserve">：</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根据贵方的</w:t>
      </w:r>
      <w:r>
        <w:rPr>
          <w:rStyle w:val="948"/>
          <w:rFonts w:ascii="宋体" w:hAnsi="宋体"/>
          <w:color w:val="auto"/>
          <w:sz w:val="24"/>
          <w:szCs w:val="24"/>
          <w:highlight w:val="none"/>
          <w:u w:val="single"/>
        </w:rPr>
        <w:t xml:space="preserve">   </w:t>
      </w:r>
      <w:r>
        <w:rPr>
          <w:rStyle w:val="948"/>
          <w:rFonts w:ascii="宋体" w:hAnsi="宋体"/>
          <w:color w:val="auto"/>
          <w:sz w:val="24"/>
          <w:szCs w:val="24"/>
          <w:highlight w:val="none"/>
        </w:rPr>
        <w:t xml:space="preserve">号招标文件，正式授权下述签字人</w:t>
      </w:r>
      <w:r>
        <w:rPr>
          <w:rStyle w:val="948"/>
          <w:rFonts w:ascii="宋体" w:hAnsi="宋体"/>
          <w:color w:val="auto"/>
          <w:sz w:val="24"/>
          <w:szCs w:val="24"/>
          <w:highlight w:val="none"/>
          <w:u w:val="single"/>
        </w:rPr>
        <w:t xml:space="preserve">     </w:t>
      </w:r>
      <w:r>
        <w:rPr>
          <w:rStyle w:val="948"/>
          <w:rFonts w:ascii="宋体" w:hAnsi="宋体"/>
          <w:color w:val="auto"/>
          <w:sz w:val="24"/>
          <w:szCs w:val="24"/>
          <w:highlight w:val="none"/>
        </w:rPr>
        <w:t xml:space="preserve"> (姓名和职务)代表我方</w:t>
      </w:r>
      <w:r>
        <w:rPr>
          <w:rStyle w:val="948"/>
          <w:rFonts w:ascii="宋体" w:hAnsi="宋体"/>
          <w:color w:val="auto"/>
          <w:sz w:val="24"/>
          <w:szCs w:val="24"/>
          <w:highlight w:val="none"/>
          <w:u w:val="single"/>
        </w:rPr>
        <w:t xml:space="preserve">   </w:t>
      </w:r>
      <w:r>
        <w:rPr>
          <w:rStyle w:val="948"/>
          <w:rFonts w:ascii="宋体" w:hAnsi="宋体"/>
          <w:color w:val="auto"/>
          <w:sz w:val="24"/>
          <w:szCs w:val="24"/>
          <w:highlight w:val="none"/>
        </w:rPr>
        <w:t xml:space="preserve">（投标人的名称），全权处理本次项目投标的有关事宜。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据此函，签字人兹宣布同意如下：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1、同意向贵方提供贵方可能另外要求的与投标有关的任何证据或资料；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2、我们完全理解贵方不一定将合同授予最低报价的投标人；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5、与本投标有关的正式通讯地址为：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地址：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邮编：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电话：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传真：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投标单位代表姓名：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投标单位名称：    </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公章：</w:t>
      </w:r>
      <w:r/>
    </w:p>
    <w:p>
      <w:pPr>
        <w:pStyle w:val="987"/>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日期：   </w:t>
      </w:r>
      <w:r/>
    </w:p>
    <w:p>
      <w:pPr>
        <w:spacing w:before="156" w:after="156" w:line="360" w:lineRule="auto"/>
        <w:rPr>
          <w:rFonts w:hint="default" w:ascii="宋体" w:hAnsi="宋体" w:eastAsia="宋体" w:cs="宋体"/>
          <w:sz w:val="24"/>
          <w:szCs w:val="24"/>
          <w:highlight w:val="yellow"/>
        </w:rPr>
      </w:pPr>
      <w:r>
        <w:rPr>
          <w:rFonts w:hint="eastAsia" w:ascii="宋体" w:hAnsi="宋体" w:eastAsia="宋体" w:cs="宋体"/>
          <w:sz w:val="24"/>
          <w:szCs w:val="24"/>
          <w:highlight w:val="yellow"/>
        </w:rPr>
        <w:t xml:space="preserve">采用联合体方式投标的，由联合体牵头方提供。</w:t>
      </w:r>
      <w:r/>
    </w:p>
    <w:p>
      <w:pPr>
        <w:pStyle w:val="987"/>
        <w:spacing w:before="240" w:after="240"/>
        <w:rPr>
          <w:rStyle w:val="948"/>
          <w:rFonts w:ascii="宋体" w:hAnsi="宋体"/>
          <w:color w:val="auto"/>
          <w:highlight w:val="none"/>
        </w:rPr>
      </w:pPr>
      <w:r>
        <w:rPr>
          <w:rFonts w:ascii="宋体" w:hAnsi="宋体"/>
          <w:color w:val="auto"/>
          <w:highlight w:val="none"/>
        </w:rPr>
      </w:r>
      <w:r/>
    </w:p>
    <w:p>
      <w:pPr>
        <w:pStyle w:val="988"/>
        <w:rPr>
          <w:rStyle w:val="948"/>
          <w:color w:val="auto"/>
          <w:highlight w:val="none"/>
        </w:rPr>
        <w:outlineLvl w:val="0"/>
      </w:pPr>
      <w:r>
        <w:rPr>
          <w:rStyle w:val="948"/>
          <w:color w:val="auto"/>
          <w:highlight w:val="none"/>
        </w:rPr>
        <w:br w:type="page" w:clear="all"/>
      </w:r>
      <w:bookmarkStart w:id="232" w:name="_Toc689"/>
      <w:r/>
      <w:bookmarkStart w:id="233" w:name="_Toc20603"/>
      <w:r/>
      <w:bookmarkStart w:id="234" w:name="_Toc24631"/>
      <w:r/>
      <w:bookmarkStart w:id="235" w:name="_Toc30137"/>
      <w:r/>
      <w:bookmarkStart w:id="236" w:name="_Toc30201"/>
      <w:r>
        <w:rPr>
          <w:rStyle w:val="948"/>
          <w:rFonts w:ascii="宋体" w:hAnsi="宋体"/>
          <w:b/>
          <w:color w:val="auto"/>
          <w:sz w:val="32"/>
          <w:highlight w:val="none"/>
        </w:rPr>
        <w:t xml:space="preserve">三、开标一览表</w:t>
      </w:r>
      <w:bookmarkEnd w:id="232"/>
      <w:r/>
      <w:bookmarkEnd w:id="233"/>
      <w:r/>
      <w:bookmarkEnd w:id="234"/>
      <w:r/>
      <w:bookmarkEnd w:id="235"/>
      <w:r/>
      <w:bookmarkEnd w:id="236"/>
      <w:r/>
      <w:r/>
    </w:p>
    <w:p>
      <w:pPr>
        <w:pStyle w:val="989"/>
        <w:jc w:val="center"/>
        <w:spacing w:line="440" w:lineRule="exact"/>
        <w:rPr>
          <w:rStyle w:val="948"/>
          <w:rFonts w:ascii="宋体" w:hAnsi="宋体"/>
          <w:color w:val="auto"/>
          <w:sz w:val="24"/>
          <w:szCs w:val="24"/>
          <w:highlight w:val="none"/>
        </w:rPr>
      </w:pPr>
      <w:r>
        <w:rPr>
          <w:rStyle w:val="948"/>
          <w:rFonts w:ascii="宋体" w:hAnsi="宋体"/>
          <w:color w:val="auto"/>
          <w:sz w:val="24"/>
          <w:szCs w:val="24"/>
          <w:highlight w:val="none"/>
        </w:rPr>
        <w:t xml:space="preserve">﻿ </w:t>
      </w:r>
      <w:r>
        <w:rPr>
          <w:rStyle w:val="948"/>
          <w:rFonts w:hint="eastAsia" w:ascii="宋体" w:hAnsi="宋体"/>
          <w:color w:val="auto"/>
          <w:sz w:val="24"/>
          <w:szCs w:val="24"/>
          <w:highlight w:val="none"/>
        </w:rPr>
        <w:t xml:space="preserve">开标一览表（总报价）</w:t>
      </w:r>
      <w:r/>
    </w:p>
    <w:p>
      <w:pPr>
        <w:pStyle w:val="989"/>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投标</w:t>
      </w:r>
      <w:r>
        <w:rPr>
          <w:rStyle w:val="948"/>
          <w:rFonts w:hint="eastAsia" w:ascii="宋体" w:hAnsi="宋体"/>
          <w:color w:val="auto"/>
          <w:sz w:val="24"/>
          <w:szCs w:val="24"/>
          <w:highlight w:val="none"/>
        </w:rPr>
        <w:t xml:space="preserve">人</w:t>
      </w:r>
      <w:r>
        <w:rPr>
          <w:rStyle w:val="948"/>
          <w:rFonts w:ascii="宋体" w:hAnsi="宋体"/>
          <w:color w:val="auto"/>
          <w:sz w:val="24"/>
          <w:szCs w:val="24"/>
          <w:highlight w:val="none"/>
        </w:rPr>
        <w:t xml:space="preserve">全称（加盖公章）：</w:t>
      </w:r>
      <w:r/>
    </w:p>
    <w:p>
      <w:pPr>
        <w:pStyle w:val="989"/>
        <w:spacing w:before="240" w:after="240"/>
        <w:rPr>
          <w:rStyle w:val="948"/>
          <w:rFonts w:hint="eastAsia" w:ascii="宋体" w:hAnsi="宋体"/>
          <w:color w:val="auto"/>
          <w:sz w:val="24"/>
          <w:szCs w:val="24"/>
          <w:highlight w:val="none"/>
        </w:rPr>
      </w:pPr>
      <w:r>
        <w:rPr>
          <w:rStyle w:val="948"/>
          <w:rFonts w:hint="eastAsia" w:ascii="宋体" w:hAnsi="宋体"/>
          <w:color w:val="auto"/>
          <w:sz w:val="24"/>
          <w:szCs w:val="24"/>
          <w:highlight w:val="none"/>
        </w:rPr>
        <w:t xml:space="preserve">项目编号：</w:t>
      </w:r>
      <w:r>
        <w:rPr>
          <w:rStyle w:val="948"/>
          <w:rFonts w:ascii="宋体" w:hAnsi="宋体"/>
          <w:color w:val="auto"/>
          <w:sz w:val="24"/>
          <w:szCs w:val="24"/>
          <w:highlight w:val="none"/>
        </w:rPr>
        <w:t xml:space="preserve">    </w:t>
      </w:r>
      <w:r/>
    </w:p>
    <w:p>
      <w:pPr>
        <w:pStyle w:val="989"/>
        <w:spacing w:before="240" w:after="240"/>
        <w:rPr>
          <w:rStyle w:val="948"/>
          <w:rFonts w:hint="eastAsia" w:ascii="宋体" w:hAnsi="宋体"/>
          <w:color w:val="auto"/>
          <w:sz w:val="24"/>
          <w:szCs w:val="24"/>
          <w:highlight w:val="none"/>
        </w:rPr>
      </w:pPr>
      <w:r>
        <w:rPr>
          <w:rStyle w:val="948"/>
          <w:rFonts w:hint="eastAsia" w:ascii="宋体" w:hAnsi="宋体"/>
          <w:color w:val="auto"/>
          <w:sz w:val="24"/>
          <w:szCs w:val="24"/>
          <w:highlight w:val="none"/>
        </w:rPr>
        <w:t xml:space="preserve">分包号：</w:t>
      </w:r>
      <w:r/>
    </w:p>
    <w:tbl>
      <w:tblPr>
        <w:tblStyle w:val="761"/>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9"/>
              <w:jc w:val="both"/>
              <w:rPr>
                <w:rStyle w:val="948"/>
                <w:rFonts w:ascii="宋体" w:hAnsi="宋体"/>
                <w:color w:val="auto"/>
                <w:sz w:val="24"/>
                <w:szCs w:val="24"/>
                <w:highlight w:val="none"/>
              </w:rPr>
            </w:pPr>
            <w:r>
              <w:rPr>
                <w:rStyle w:val="948"/>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9"/>
              <w:jc w:val="both"/>
              <w:rPr>
                <w:rStyle w:val="948"/>
                <w:rFonts w:hint="eastAsia" w:ascii="宋体" w:hAnsi="宋体"/>
                <w:color w:val="auto"/>
                <w:sz w:val="24"/>
                <w:szCs w:val="24"/>
                <w:highlight w:val="none"/>
              </w:rPr>
            </w:pPr>
            <w:r>
              <w:rPr>
                <w:rStyle w:val="948"/>
                <w:rFonts w:hint="eastAsia" w:ascii="宋体" w:hAnsi="宋体"/>
                <w:color w:val="auto"/>
                <w:sz w:val="24"/>
                <w:szCs w:val="24"/>
                <w:highlight w:val="none"/>
              </w:rPr>
              <w:t xml:space="preserve">投标总报价</w:t>
            </w:r>
            <w:r>
              <w:rPr>
                <w:rStyle w:val="948"/>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9"/>
              <w:jc w:val="both"/>
              <w:rPr>
                <w:rStyle w:val="948"/>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9"/>
              <w:rPr>
                <w:rStyle w:val="948"/>
                <w:rFonts w:ascii="宋体" w:hAnsi="宋体"/>
                <w:color w:val="auto"/>
                <w:sz w:val="24"/>
                <w:szCs w:val="24"/>
                <w:highlight w:val="none"/>
              </w:rPr>
            </w:pPr>
            <w:r>
              <w:rPr>
                <w:rStyle w:val="948"/>
                <w:rFonts w:ascii="宋体" w:hAnsi="宋体"/>
                <w:color w:val="auto"/>
                <w:sz w:val="24"/>
                <w:szCs w:val="24"/>
                <w:highlight w:val="none"/>
              </w:rPr>
              <w:t xml:space="preserve">  </w:t>
            </w:r>
            <w:r/>
          </w:p>
          <w:p>
            <w:pPr>
              <w:pStyle w:val="989"/>
              <w:rPr>
                <w:rStyle w:val="948"/>
                <w:rFonts w:hint="eastAsia" w:ascii="宋体" w:hAnsi="宋体"/>
                <w:color w:val="auto"/>
                <w:sz w:val="24"/>
                <w:szCs w:val="24"/>
                <w:highlight w:val="none"/>
              </w:rPr>
            </w:pPr>
            <w:r>
              <w:rPr>
                <w:rStyle w:val="948"/>
                <w:rFonts w:hint="eastAsia" w:ascii="宋体" w:hAnsi="宋体"/>
                <w:color w:val="auto"/>
                <w:sz w:val="24"/>
                <w:szCs w:val="24"/>
                <w:highlight w:val="none"/>
              </w:rPr>
              <w:t xml:space="preserve">小写：      （元人民币）</w:t>
            </w:r>
            <w:r/>
          </w:p>
          <w:p>
            <w:pPr>
              <w:pStyle w:val="989"/>
              <w:rPr>
                <w:rStyle w:val="948"/>
                <w:rFonts w:ascii="宋体" w:hAnsi="宋体"/>
                <w:color w:val="auto"/>
                <w:sz w:val="24"/>
                <w:szCs w:val="24"/>
                <w:highlight w:val="none"/>
              </w:rPr>
            </w:pPr>
            <w:r>
              <w:rPr>
                <w:rStyle w:val="948"/>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9"/>
              <w:rPr>
                <w:rStyle w:val="948"/>
                <w:rFonts w:ascii="宋体" w:hAnsi="宋体"/>
                <w:color w:val="auto"/>
                <w:sz w:val="24"/>
                <w:szCs w:val="24"/>
                <w:highlight w:val="none"/>
              </w:rPr>
            </w:pPr>
            <w:r>
              <w:rPr>
                <w:rStyle w:val="948"/>
                <w:rFonts w:ascii="宋体" w:hAnsi="宋体"/>
                <w:color w:val="auto"/>
                <w:sz w:val="24"/>
                <w:szCs w:val="24"/>
                <w:highlight w:val="none"/>
              </w:rPr>
              <w:t xml:space="preserve">投标</w:t>
            </w:r>
            <w:r>
              <w:rPr>
                <w:rStyle w:val="948"/>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9"/>
              <w:rPr>
                <w:rStyle w:val="948"/>
                <w:rFonts w:ascii="宋体" w:hAnsi="宋体"/>
                <w:color w:val="auto"/>
                <w:sz w:val="24"/>
                <w:szCs w:val="24"/>
                <w:highlight w:val="none"/>
              </w:rPr>
            </w:pPr>
            <w:r>
              <w:rPr>
                <w:rStyle w:val="948"/>
                <w:rFonts w:ascii="宋体" w:hAnsi="宋体"/>
                <w:color w:val="auto"/>
                <w:sz w:val="24"/>
                <w:szCs w:val="24"/>
                <w:highlight w:val="none"/>
              </w:rPr>
              <w:t xml:space="preserve">  </w:t>
            </w:r>
            <w:r>
              <w:rPr>
                <w:rStyle w:val="948"/>
                <w:rFonts w:hint="eastAsia" w:ascii="宋体" w:hAnsi="宋体"/>
                <w:color w:val="auto"/>
                <w:sz w:val="24"/>
                <w:szCs w:val="24"/>
                <w:highlight w:val="none"/>
              </w:rPr>
              <w:t xml:space="preserve">金额大写</w:t>
            </w:r>
            <w:r>
              <w:rPr>
                <w:rStyle w:val="948"/>
                <w:rFonts w:ascii="宋体" w:hAnsi="宋体"/>
                <w:color w:val="auto"/>
                <w:sz w:val="24"/>
                <w:szCs w:val="24"/>
                <w:highlight w:val="none"/>
              </w:rPr>
              <w:t xml:space="preserve">  </w:t>
            </w:r>
            <w:r/>
          </w:p>
        </w:tc>
      </w:tr>
    </w:tbl>
    <w:p>
      <w:pPr>
        <w:pStyle w:val="989"/>
        <w:spacing w:before="240" w:after="240"/>
        <w:rPr>
          <w:rStyle w:val="948"/>
          <w:rFonts w:ascii="宋体" w:hAnsi="宋体"/>
          <w:color w:val="auto"/>
          <w:sz w:val="24"/>
          <w:szCs w:val="24"/>
          <w:highlight w:val="none"/>
        </w:rPr>
      </w:pPr>
      <w:r>
        <w:rPr>
          <w:rStyle w:val="948"/>
          <w:rFonts w:ascii="宋体" w:hAnsi="宋体"/>
          <w:color w:val="auto"/>
          <w:sz w:val="24"/>
          <w:szCs w:val="24"/>
          <w:highlight w:val="none"/>
        </w:rPr>
        <w:t xml:space="preserve"> </w:t>
      </w:r>
      <w:r>
        <w:rPr>
          <w:rStyle w:val="948"/>
          <w:rFonts w:hint="eastAsia" w:ascii="宋体" w:hAnsi="宋体"/>
          <w:color w:val="auto"/>
          <w:sz w:val="24"/>
          <w:szCs w:val="24"/>
          <w:highlight w:val="none"/>
        </w:rPr>
        <w:t xml:space="preserve">                                           日期：  年   月   日</w:t>
      </w:r>
      <w:r/>
    </w:p>
    <w:p>
      <w:pPr>
        <w:pStyle w:val="990"/>
        <w:rPr>
          <w:rStyle w:val="948"/>
          <w:rFonts w:hint="eastAsia"/>
          <w:color w:val="auto"/>
          <w:sz w:val="24"/>
          <w:szCs w:val="28"/>
          <w:highlight w:val="none"/>
        </w:rPr>
        <w:outlineLvl w:val="0"/>
      </w:pPr>
      <w:r/>
      <w:bookmarkStart w:id="237" w:name="_Toc1415"/>
      <w:r/>
      <w:bookmarkStart w:id="238" w:name="_Toc15499"/>
      <w:r/>
      <w:bookmarkStart w:id="239" w:name="_Toc30336"/>
      <w:r>
        <w:rPr>
          <w:rStyle w:val="948"/>
          <w:rFonts w:hint="eastAsia"/>
          <w:color w:val="auto"/>
          <w:sz w:val="24"/>
          <w:szCs w:val="28"/>
          <w:highlight w:val="none"/>
        </w:rPr>
        <w:t xml:space="preserve">填写说明：</w:t>
      </w:r>
      <w:bookmarkEnd w:id="237"/>
      <w:r/>
      <w:bookmarkEnd w:id="238"/>
      <w:r/>
      <w:bookmarkEnd w:id="239"/>
      <w:r/>
      <w:r/>
    </w:p>
    <w:p>
      <w:pPr>
        <w:pStyle w:val="990"/>
        <w:numPr>
          <w:ilvl w:val="0"/>
          <w:numId w:val="10"/>
        </w:numPr>
        <w:keepLines w:val="0"/>
        <w:keepNext w:val="0"/>
        <w:pageBreakBefore w:val="0"/>
        <w:spacing w:line="440" w:lineRule="exact"/>
        <w:widowControl/>
        <w:rPr>
          <w:rStyle w:val="948"/>
          <w:rFonts w:hint="eastAsia"/>
          <w:i/>
          <w:iCs/>
          <w:color w:val="auto"/>
          <w:sz w:val="24"/>
          <w:szCs w:val="28"/>
          <w:highlight w:val="none"/>
          <w:u w:val="single"/>
        </w:rPr>
        <w:outlineLvl w:val="0"/>
      </w:pPr>
      <w:r/>
      <w:bookmarkStart w:id="240" w:name="_Toc18256"/>
      <w:r/>
      <w:bookmarkStart w:id="241" w:name="_Toc24830"/>
      <w:r/>
      <w:bookmarkStart w:id="242" w:name="_Toc5584"/>
      <w:r>
        <w:rPr>
          <w:rStyle w:val="948"/>
          <w:rFonts w:hint="eastAsia"/>
          <w:i/>
          <w:iCs/>
          <w:color w:val="auto"/>
          <w:sz w:val="24"/>
          <w:szCs w:val="28"/>
          <w:highlight w:val="none"/>
          <w:u w:val="single"/>
        </w:rPr>
        <w:t xml:space="preserve">开标一览表必须加盖投标人公章（复印件无效）。</w:t>
      </w:r>
      <w:bookmarkEnd w:id="240"/>
      <w:r/>
      <w:bookmarkEnd w:id="241"/>
      <w:r/>
      <w:bookmarkEnd w:id="242"/>
      <w:r/>
      <w:r/>
    </w:p>
    <w:p>
      <w:pPr>
        <w:pStyle w:val="990"/>
        <w:numPr>
          <w:ilvl w:val="0"/>
          <w:numId w:val="10"/>
        </w:numPr>
        <w:keepLines w:val="0"/>
        <w:keepNext w:val="0"/>
        <w:pageBreakBefore w:val="0"/>
        <w:spacing w:line="440" w:lineRule="exact"/>
        <w:widowControl/>
        <w:rPr>
          <w:rStyle w:val="948"/>
          <w:rFonts w:hint="eastAsia"/>
          <w:i/>
          <w:iCs/>
          <w:color w:val="auto"/>
          <w:sz w:val="24"/>
          <w:szCs w:val="28"/>
          <w:highlight w:val="none"/>
          <w:u w:val="single"/>
        </w:rPr>
        <w:outlineLvl w:val="0"/>
      </w:pPr>
      <w:r/>
      <w:bookmarkStart w:id="243" w:name="_Toc30690"/>
      <w:r/>
      <w:bookmarkStart w:id="244" w:name="_Toc30436"/>
      <w:r/>
      <w:bookmarkStart w:id="245" w:name="_Toc1241"/>
      <w:r>
        <w:rPr>
          <w:rStyle w:val="948"/>
          <w:rFonts w:hint="eastAsia"/>
          <w:i/>
          <w:iCs/>
          <w:color w:val="auto"/>
          <w:sz w:val="24"/>
          <w:szCs w:val="28"/>
          <w:highlight w:val="none"/>
          <w:u w:val="single"/>
        </w:rPr>
        <w:t xml:space="preserve">如有分包，投标人投任何一个包的标的，都需单独填写开标一览表。</w:t>
      </w:r>
      <w:bookmarkEnd w:id="243"/>
      <w:r/>
      <w:bookmarkEnd w:id="244"/>
      <w:r/>
      <w:bookmarkEnd w:id="245"/>
      <w:r/>
      <w:r/>
    </w:p>
    <w:p>
      <w:pPr>
        <w:pStyle w:val="990"/>
        <w:numPr>
          <w:ilvl w:val="0"/>
          <w:numId w:val="10"/>
        </w:numPr>
        <w:keepLines w:val="0"/>
        <w:keepNext w:val="0"/>
        <w:pageBreakBefore w:val="0"/>
        <w:spacing w:line="440" w:lineRule="exact"/>
        <w:widowControl/>
        <w:rPr>
          <w:rStyle w:val="948"/>
          <w:rFonts w:hint="eastAsia" w:cs="Times New Roman"/>
          <w:i/>
          <w:iCs/>
          <w:color w:val="auto"/>
          <w:sz w:val="24"/>
          <w:szCs w:val="28"/>
          <w:highlight w:val="yellow"/>
          <w:u w:val="single"/>
        </w:rPr>
        <w:outlineLvl w:val="0"/>
      </w:pPr>
      <w:r>
        <w:rPr>
          <w:rStyle w:val="948"/>
          <w:rFonts w:hint="eastAsia" w:cs="Times New Roman"/>
          <w:i/>
          <w:iCs/>
          <w:color w:val="auto"/>
          <w:sz w:val="24"/>
          <w:szCs w:val="28"/>
          <w:highlight w:val="yellow"/>
          <w:u w:val="single"/>
        </w:rPr>
        <w:t xml:space="preserve">若为联合体，则投标</w:t>
      </w:r>
      <w:r>
        <w:rPr>
          <w:rStyle w:val="948"/>
          <w:rFonts w:hint="eastAsia" w:cs="Times New Roman"/>
          <w:i/>
          <w:iCs/>
          <w:color w:val="auto"/>
          <w:sz w:val="24"/>
          <w:szCs w:val="28"/>
          <w:highlight w:val="yellow"/>
          <w:u w:val="single"/>
          <w:lang w:eastAsia="zh-CN"/>
        </w:rPr>
        <w:t xml:space="preserve">人全称</w:t>
      </w:r>
      <w:r>
        <w:rPr>
          <w:rStyle w:val="948"/>
          <w:rFonts w:hint="eastAsia" w:cs="Times New Roman"/>
          <w:i/>
          <w:iCs/>
          <w:color w:val="auto"/>
          <w:sz w:val="24"/>
          <w:szCs w:val="28"/>
          <w:highlight w:val="yellow"/>
          <w:u w:val="single"/>
        </w:rPr>
        <w:t xml:space="preserve">处须加盖联合体牵头方公章。</w:t>
      </w:r>
      <w:r/>
    </w:p>
    <w:p>
      <w:pPr>
        <w:pStyle w:val="990"/>
        <w:rPr>
          <w:rStyle w:val="948"/>
          <w:color w:val="auto"/>
          <w:highlight w:val="none"/>
        </w:rPr>
        <w:outlineLvl w:val="0"/>
      </w:pPr>
      <w:r>
        <w:rPr>
          <w:rStyle w:val="948"/>
          <w:color w:val="auto"/>
          <w:highlight w:val="none"/>
        </w:rPr>
        <w:br w:type="page" w:clear="all"/>
      </w:r>
      <w:bookmarkStart w:id="246" w:name="_Toc25301"/>
      <w:r/>
      <w:bookmarkStart w:id="247" w:name="_Toc10307"/>
      <w:r/>
      <w:bookmarkStart w:id="248" w:name="_Toc4776"/>
      <w:r/>
      <w:bookmarkStart w:id="249" w:name="_Toc13295"/>
      <w:r/>
      <w:bookmarkStart w:id="250" w:name="_Toc32613"/>
      <w:r>
        <w:rPr>
          <w:rStyle w:val="948"/>
          <w:rFonts w:ascii="宋体" w:hAnsi="宋体"/>
          <w:b/>
          <w:color w:val="auto"/>
          <w:sz w:val="32"/>
          <w:highlight w:val="none"/>
        </w:rPr>
        <w:t xml:space="preserve">四、资格证明文件</w:t>
      </w:r>
      <w:bookmarkEnd w:id="246"/>
      <w:r/>
      <w:bookmarkEnd w:id="247"/>
      <w:r/>
      <w:bookmarkEnd w:id="248"/>
      <w:r/>
      <w:bookmarkEnd w:id="249"/>
      <w:r/>
      <w:bookmarkEnd w:id="250"/>
      <w:r/>
      <w:r/>
    </w:p>
    <w:p>
      <w:pPr>
        <w:pStyle w:val="991"/>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 xml:space="preserve">；</w:t>
      </w:r>
      <w:r>
        <w:rPr>
          <w:rFonts w:hint="eastAsia"/>
          <w:bCs/>
          <w:i/>
          <w:color w:val="auto"/>
          <w:sz w:val="24"/>
          <w:szCs w:val="24"/>
          <w:highlight w:val="yellow"/>
          <w:u w:val="single"/>
          <w:lang w:eastAsia="zh-CN"/>
        </w:rPr>
        <w:t xml:space="preserve">如为联合体，则联合体成员均须提供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rPr>
          <w:rFonts w:hint="eastAsia"/>
          <w:bCs/>
          <w:i/>
          <w:color w:val="auto"/>
          <w:sz w:val="24"/>
          <w:szCs w:val="24"/>
          <w:highlight w:val="none"/>
          <w:u w:val="single"/>
          <w:lang w:eastAsia="zh-CN"/>
        </w:rPr>
        <w:t xml:space="preserve">；</w:t>
      </w:r>
      <w:r>
        <w:rPr>
          <w:rFonts w:hint="eastAsia"/>
          <w:bCs/>
          <w:i/>
          <w:color w:val="auto"/>
          <w:sz w:val="24"/>
          <w:szCs w:val="24"/>
          <w:highlight w:val="yellow"/>
          <w:u w:val="single"/>
          <w:lang w:eastAsia="zh-CN"/>
        </w:rPr>
        <w:t xml:space="preserve">如为联合体，则联合体成员均须提供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rPr>
          <w:rFonts w:hint="eastAsia"/>
          <w:bCs/>
          <w:i/>
          <w:color w:val="auto"/>
          <w:sz w:val="24"/>
          <w:szCs w:val="24"/>
          <w:highlight w:val="none"/>
          <w:u w:val="single"/>
          <w:lang w:eastAsia="zh-CN"/>
        </w:rPr>
        <w:t xml:space="preserve">；</w:t>
      </w:r>
      <w:r>
        <w:rPr>
          <w:rFonts w:hint="eastAsia"/>
          <w:i/>
          <w:iCs/>
          <w:sz w:val="24"/>
          <w:szCs w:val="24"/>
          <w:highlight w:val="yellow"/>
          <w:u w:val="single"/>
        </w:rPr>
        <w:t xml:space="preserve">如为联合体，则联合体成员均须提供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rPr>
          <w:rFonts w:hint="eastAsia"/>
          <w:bCs/>
          <w:i/>
          <w:color w:val="auto"/>
          <w:sz w:val="24"/>
          <w:szCs w:val="24"/>
          <w:highlight w:val="yellow"/>
          <w:u w:val="single"/>
        </w:rPr>
        <w:t xml:space="preserve">（如为联合体，则联合体成员均须提供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rPr>
          <w:rFonts w:hint="eastAsia"/>
          <w:bCs/>
          <w:i/>
          <w:color w:val="auto"/>
          <w:sz w:val="24"/>
          <w:szCs w:val="24"/>
          <w:highlight w:val="yellow"/>
          <w:u w:val="single"/>
        </w:rPr>
        <w:t xml:space="preserve">如为联合体，则联合体成员均须提供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格式见后）（</w:t>
      </w:r>
      <w:r>
        <w:rPr>
          <w:rFonts w:hint="eastAsia"/>
          <w:bCs/>
          <w:i/>
          <w:color w:val="auto"/>
          <w:sz w:val="24"/>
          <w:szCs w:val="24"/>
          <w:highlight w:val="yellow"/>
          <w:u w:val="single"/>
        </w:rPr>
        <w:t xml:space="preserve">如为联合体，则联合体牵头方须提供</w:t>
      </w:r>
      <w:r>
        <w:rPr>
          <w:rFonts w:hint="eastAsia"/>
          <w:bCs/>
          <w:i/>
          <w:color w:val="auto"/>
          <w:sz w:val="24"/>
          <w:szCs w:val="24"/>
          <w:highlight w:val="none"/>
          <w:u w:val="single"/>
        </w:rPr>
        <w:t xml:space="preserve">）；</w:t>
      </w:r>
      <w:r/>
    </w:p>
    <w:p>
      <w:pPr>
        <w:pStyle w:val="991"/>
        <w:numPr>
          <w:ilvl w:val="0"/>
          <w:numId w:val="0"/>
        </w:numPr>
        <w:ind w:left="105" w:firstLine="48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yellow"/>
          <w:u w:val="single"/>
        </w:rPr>
        <w:t xml:space="preserve">如为联合体，则联合体成员均须提供</w:t>
      </w:r>
      <w:r>
        <w:rPr>
          <w:rFonts w:hint="eastAsia"/>
          <w:bCs/>
          <w:i/>
          <w:color w:val="auto"/>
          <w:sz w:val="24"/>
          <w:szCs w:val="24"/>
          <w:highlight w:val="none"/>
          <w:u w:val="single"/>
        </w:rPr>
        <w:t xml:space="preserve">）</w:t>
      </w:r>
      <w:r>
        <w:rPr>
          <w:rFonts w:hint="eastAsia"/>
          <w:bCs/>
          <w:i/>
          <w:color w:val="auto"/>
          <w:sz w:val="24"/>
          <w:szCs w:val="24"/>
          <w:highlight w:val="none"/>
          <w:u w:val="single"/>
          <w:lang w:eastAsia="zh-CN"/>
        </w:rPr>
        <w:t xml:space="preserve">；</w:t>
      </w:r>
      <w:r/>
    </w:p>
    <w:p>
      <w:pPr>
        <w:pStyle w:val="991"/>
        <w:numPr>
          <w:ilvl w:val="0"/>
          <w:numId w:val="0"/>
        </w:numPr>
        <w:ind w:left="105" w:firstLine="480"/>
        <w:spacing w:line="440" w:lineRule="exact"/>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w:t>
      </w:r>
      <w:r>
        <w:rPr>
          <w:rFonts w:hint="eastAsia"/>
          <w:bCs/>
          <w:i/>
          <w:color w:val="auto"/>
          <w:sz w:val="24"/>
          <w:szCs w:val="24"/>
          <w:highlight w:val="yellow"/>
          <w:u w:val="single"/>
          <w:lang w:val="en-US" w:eastAsia="zh-CN"/>
        </w:rPr>
        <w:t xml:space="preserve">如为联合体，还须提供联合体协议书及联合体授权委托书（格式见后）</w:t>
      </w:r>
      <w:r>
        <w:rPr>
          <w:rFonts w:hint="eastAsia"/>
          <w:bCs/>
          <w:i/>
          <w:color w:val="auto"/>
          <w:sz w:val="24"/>
          <w:szCs w:val="24"/>
          <w:highlight w:val="none"/>
          <w:u w:val="single"/>
          <w:lang w:val="en-US" w:eastAsia="zh-CN"/>
        </w:rPr>
        <w:t xml:space="preserve">。</w:t>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spacing w:line="440" w:lineRule="exact"/>
        <w:rPr>
          <w:rFonts w:ascii="Times New Roman" w:hAnsi="Times New Roman" w:eastAsia="Times New Roman" w:cs="Times New Roman"/>
          <w:color w:val="auto"/>
          <w:spacing w:val="7"/>
          <w:sz w:val="24"/>
          <w:szCs w:val="24"/>
          <w:highlight w:val="yellow"/>
          <w:lang w:val="en-US" w:eastAsia="zh-CN" w:bidi="ar-SA"/>
        </w:rPr>
      </w:pP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highlight w:val="yellow"/>
          <w:lang w:val="en-US" w:eastAsia="zh-CN" w:bidi="ar-SA"/>
        </w:rPr>
        <w:t xml:space="preserve">（如为联合体，则联合体成员均须提供）</w:t>
      </w:r>
      <w:r/>
    </w:p>
    <w:p>
      <w:pPr>
        <w:pStyle w:val="992"/>
        <w:spacing w:before="240" w:after="240" w:line="360" w:lineRule="auto"/>
        <w:rPr>
          <w:rStyle w:val="948"/>
          <w:rFonts w:ascii="宋体" w:hAnsi="宋体"/>
          <w:b/>
          <w:color w:val="auto"/>
          <w:sz w:val="28"/>
          <w:highlight w:val="none"/>
        </w:rPr>
      </w:pPr>
      <w:r>
        <w:rPr>
          <w:rFonts w:ascii="宋体" w:hAnsi="宋体"/>
          <w:b/>
          <w:color w:val="auto"/>
          <w:sz w:val="28"/>
          <w:highlight w:val="none"/>
        </w:rPr>
      </w:r>
      <w:r/>
    </w:p>
    <w:p>
      <w:pPr>
        <w:pStyle w:val="993"/>
        <w:spacing w:line="440" w:lineRule="exact"/>
        <w:rPr>
          <w:rStyle w:val="948"/>
          <w:color w:val="auto"/>
          <w:highlight w:val="none"/>
        </w:rPr>
      </w:pPr>
      <w:r>
        <w:rPr>
          <w:rStyle w:val="948"/>
          <w:color w:val="auto"/>
          <w:highlight w:val="none"/>
        </w:rPr>
        <w:t xml:space="preserve">﻿ </w:t>
      </w:r>
      <w:r/>
    </w:p>
    <w:p>
      <w:pPr>
        <w:pStyle w:val="994"/>
        <w:ind w:firstLine="420"/>
        <w:jc w:val="center"/>
        <w:spacing w:before="320" w:after="320"/>
        <w:rPr>
          <w:rStyle w:val="948"/>
          <w:rFonts w:ascii="宋体" w:hAnsi="宋体"/>
          <w:b/>
          <w:bCs/>
          <w:color w:val="auto"/>
          <w:sz w:val="32"/>
          <w:szCs w:val="32"/>
          <w:highlight w:val="none"/>
        </w:rPr>
        <w:outlineLvl w:val="1"/>
      </w:pPr>
      <w:r/>
      <w:bookmarkStart w:id="251" w:name="_Toc27904"/>
      <w:r/>
      <w:bookmarkStart w:id="252" w:name="OLE_LINK5"/>
      <w:r/>
      <w:bookmarkStart w:id="253" w:name="OLE_LINK9"/>
      <w:r>
        <w:rPr>
          <w:rStyle w:val="948"/>
          <w:rFonts w:ascii="宋体" w:hAnsi="宋体"/>
          <w:b/>
          <w:bCs/>
          <w:color w:val="auto"/>
          <w:sz w:val="32"/>
          <w:szCs w:val="32"/>
          <w:highlight w:val="none"/>
        </w:rPr>
        <w:t xml:space="preserve">具备履行合同所必需的设备和专业技术能力的书面声明</w:t>
      </w:r>
      <w:bookmarkEnd w:id="251"/>
      <w:r/>
      <w:r/>
    </w:p>
    <w:p>
      <w:pPr>
        <w:pStyle w:val="994"/>
        <w:ind w:firstLine="420"/>
        <w:spacing w:before="240" w:after="240"/>
        <w:rPr>
          <w:rStyle w:val="948"/>
          <w:rFonts w:ascii="宋体" w:hAnsi="宋体"/>
          <w:color w:val="auto"/>
          <w:highlight w:val="none"/>
        </w:rPr>
      </w:pPr>
      <w:r>
        <w:rPr>
          <w:rStyle w:val="948"/>
          <w:rFonts w:ascii="宋体" w:hAnsi="宋体"/>
          <w:color w:val="auto"/>
          <w:highlight w:val="none"/>
        </w:rPr>
        <w:t xml:space="preserve"> </w:t>
      </w:r>
      <w:r/>
    </w:p>
    <w:p>
      <w:pPr>
        <w:pStyle w:val="994"/>
        <w:ind w:firstLine="420"/>
        <w:spacing w:before="320" w:after="320"/>
        <w:rPr>
          <w:rStyle w:val="948"/>
          <w:rFonts w:ascii="宋体" w:hAnsi="宋体"/>
          <w:color w:val="auto"/>
          <w:sz w:val="24"/>
          <w:szCs w:val="24"/>
          <w:highlight w:val="none"/>
        </w:rPr>
      </w:pPr>
      <w:r>
        <w:rPr>
          <w:rStyle w:val="948"/>
          <w:rFonts w:ascii="宋体" w:hAnsi="宋体"/>
          <w:color w:val="auto"/>
          <w:sz w:val="24"/>
          <w:szCs w:val="24"/>
          <w:highlight w:val="none"/>
        </w:rPr>
        <w:t xml:space="preserve">我单位郑重声明： </w:t>
      </w:r>
      <w:r/>
    </w:p>
    <w:p>
      <w:pPr>
        <w:pStyle w:val="994"/>
        <w:ind w:firstLine="420"/>
        <w:spacing w:before="320" w:after="320"/>
        <w:rPr>
          <w:rStyle w:val="948"/>
          <w:rFonts w:ascii="宋体" w:hAnsi="宋体"/>
          <w:color w:val="auto"/>
          <w:sz w:val="24"/>
          <w:szCs w:val="24"/>
          <w:highlight w:val="none"/>
        </w:rPr>
      </w:pPr>
      <w:r>
        <w:rPr>
          <w:rStyle w:val="948"/>
          <w:rFonts w:ascii="宋体" w:hAnsi="宋体"/>
          <w:color w:val="auto"/>
          <w:sz w:val="24"/>
          <w:szCs w:val="24"/>
          <w:highlight w:val="none"/>
        </w:rPr>
        <w:t xml:space="preserve">我单位具备履行本项采购合同所必需的设备和专业技术能力。 </w:t>
      </w:r>
      <w:r/>
    </w:p>
    <w:p>
      <w:pPr>
        <w:pStyle w:val="994"/>
        <w:ind w:firstLine="420"/>
        <w:spacing w:before="360" w:after="360"/>
        <w:rPr>
          <w:rStyle w:val="948"/>
          <w:rFonts w:ascii="宋体" w:hAnsi="宋体"/>
          <w:color w:val="auto"/>
          <w:highlight w:val="none"/>
        </w:rPr>
      </w:pPr>
      <w:r>
        <w:rPr>
          <w:rStyle w:val="948"/>
          <w:rFonts w:ascii="宋体" w:hAnsi="宋体"/>
          <w:color w:val="auto"/>
          <w:highlight w:val="none"/>
        </w:rPr>
        <w:t xml:space="preserve"> </w:t>
      </w:r>
      <w:r/>
    </w:p>
    <w:p>
      <w:pPr>
        <w:pStyle w:val="994"/>
        <w:ind w:firstLine="420"/>
        <w:jc w:val="center"/>
        <w:spacing w:before="360" w:after="360"/>
        <w:rPr>
          <w:rStyle w:val="948"/>
          <w:rFonts w:ascii="宋体" w:hAnsi="宋体"/>
          <w:color w:val="auto"/>
          <w:sz w:val="36"/>
          <w:szCs w:val="36"/>
          <w:highlight w:val="none"/>
        </w:rPr>
        <w:outlineLvl w:val="1"/>
      </w:pPr>
      <w:r/>
      <w:bookmarkStart w:id="254" w:name="_Toc419"/>
      <w:r>
        <w:rPr>
          <w:rStyle w:val="948"/>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54"/>
      <w:r/>
      <w:bookmarkEnd w:id="252"/>
      <w:r/>
      <w:r/>
    </w:p>
    <w:p>
      <w:pPr>
        <w:pStyle w:val="995"/>
        <w:rPr>
          <w:rStyle w:val="948"/>
          <w:rFonts w:ascii="宋体" w:hAnsi="宋体"/>
          <w:color w:val="auto"/>
          <w:sz w:val="36"/>
          <w:szCs w:val="36"/>
          <w:highlight w:val="none"/>
        </w:rPr>
      </w:pPr>
      <w:r>
        <w:rPr>
          <w:rStyle w:val="948"/>
          <w:rFonts w:ascii="宋体" w:hAnsi="宋体"/>
          <w:color w:val="auto"/>
          <w:sz w:val="36"/>
          <w:szCs w:val="36"/>
          <w:highlight w:val="none"/>
        </w:rPr>
        <w:t xml:space="preserve"> </w:t>
      </w:r>
      <w:bookmarkEnd w:id="253"/>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pStyle w:val="995"/>
        <w:rPr>
          <w:rStyle w:val="948"/>
          <w:rFonts w:ascii="宋体" w:hAnsi="宋体"/>
          <w:color w:val="auto"/>
          <w:sz w:val="36"/>
          <w:szCs w:val="36"/>
          <w:highlight w:val="none"/>
        </w:rPr>
      </w:pPr>
      <w:r>
        <w:rPr>
          <w:rFonts w:ascii="宋体" w:hAnsi="宋体"/>
          <w:color w:val="auto"/>
          <w:sz w:val="36"/>
          <w:szCs w:val="36"/>
          <w:highlight w:val="none"/>
        </w:rPr>
      </w:r>
      <w:r/>
    </w:p>
    <w:p>
      <w:pPr>
        <w:spacing w:line="440" w:lineRule="exact"/>
        <w:rPr>
          <w:rFonts w:ascii="Times New Roman" w:hAnsi="Times New Roman" w:eastAsia="Times New Roman" w:cs="Times New Roman"/>
          <w:color w:val="auto"/>
          <w:spacing w:val="7"/>
          <w:sz w:val="24"/>
          <w:szCs w:val="24"/>
          <w:highlight w:val="yellow"/>
          <w:lang w:val="en-US" w:eastAsia="zh-CN" w:bidi="ar-SA"/>
        </w:rPr>
      </w:pP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highlight w:val="yellow"/>
          <w:lang w:val="en-US" w:eastAsia="zh-CN" w:bidi="ar-SA"/>
        </w:rPr>
        <w:t xml:space="preserve">（如为联合体，则联合体成员均须提供）</w:t>
      </w:r>
      <w:r/>
    </w:p>
    <w:p>
      <w:pPr>
        <w:pStyle w:val="996"/>
        <w:spacing w:line="440" w:lineRule="exact"/>
        <w:rPr>
          <w:rStyle w:val="948"/>
          <w:rFonts w:ascii="宋体" w:hAnsi="宋体"/>
          <w:color w:val="auto"/>
          <w:highlight w:val="none"/>
        </w:rPr>
      </w:pPr>
      <w:r>
        <w:rPr>
          <w:rFonts w:ascii="宋体" w:hAnsi="宋体"/>
          <w:color w:val="auto"/>
          <w:highlight w:val="none"/>
        </w:rPr>
      </w:r>
      <w:r/>
    </w:p>
    <w:p>
      <w:pPr>
        <w:ind w:firstLine="480"/>
        <w:jc w:val="center"/>
        <w:spacing w:line="560" w:lineRule="exact"/>
        <w:rPr>
          <w:rFonts w:hint="eastAsia" w:ascii="宋体" w:hAnsi="宋体"/>
          <w:b/>
          <w:color w:val="auto"/>
          <w:sz w:val="32"/>
          <w:szCs w:val="32"/>
          <w:highlight w:val="none"/>
        </w:rPr>
        <w:outlineLvl w:val="1"/>
      </w:pPr>
      <w:r/>
      <w:bookmarkStart w:id="255" w:name="_Toc18420"/>
      <w:r/>
      <w:bookmarkStart w:id="256" w:name="OLE_LINK10"/>
      <w:r/>
      <w:bookmarkStart w:id="257" w:name="OLE_LINK29"/>
      <w:r>
        <w:rPr>
          <w:rFonts w:hint="eastAsia" w:ascii="宋体" w:hAnsi="宋体"/>
          <w:b/>
          <w:color w:val="auto"/>
          <w:sz w:val="32"/>
          <w:szCs w:val="32"/>
          <w:highlight w:val="none"/>
        </w:rPr>
        <w:t xml:space="preserve">参加政府采购活动前3年内在经营活动中没有重大违法记录的书面声明</w:t>
      </w:r>
      <w:bookmarkEnd w:id="255"/>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6"/>
      <w:r/>
      <w:r/>
    </w:p>
    <w:p>
      <w:pPr>
        <w:pStyle w:val="996"/>
        <w:spacing w:before="240" w:after="240"/>
        <w:rPr>
          <w:rStyle w:val="948"/>
          <w:rFonts w:ascii="宋体" w:hAnsi="宋体"/>
          <w:color w:val="auto"/>
          <w:highlight w:val="none"/>
        </w:rPr>
      </w:pPr>
      <w:r>
        <w:rPr>
          <w:rStyle w:val="948"/>
          <w:rFonts w:ascii="宋体" w:hAnsi="宋体"/>
          <w:color w:val="auto"/>
          <w:highlight w:val="none"/>
        </w:rPr>
        <w:t xml:space="preserve"> </w:t>
      </w:r>
      <w:bookmarkEnd w:id="257"/>
      <w:r/>
      <w:r/>
    </w:p>
    <w:p>
      <w:pPr>
        <w:ind w:firstLine="420"/>
        <w:jc w:val="center"/>
        <w:spacing w:line="360" w:lineRule="auto"/>
        <w:rPr>
          <w:rStyle w:val="948"/>
          <w:rFonts w:ascii="Times New Roman" w:hAnsi="Times New Roman" w:eastAsia="Times New Roman"/>
          <w:color w:val="auto"/>
          <w:highlight w:val="none"/>
        </w:rPr>
      </w:pPr>
      <w:r>
        <w:rPr>
          <w:rStyle w:val="948"/>
          <w:rFonts w:ascii="Times New Roman" w:hAnsi="Times New Roman" w:eastAsia="Times New Roman"/>
          <w:color w:val="auto"/>
          <w:highlight w:val="none"/>
        </w:rPr>
        <w:br w:type="page" w:clear="all"/>
      </w:r>
      <w:r/>
    </w:p>
    <w:p>
      <w:pPr>
        <w:pStyle w:val="993"/>
        <w:spacing w:line="440" w:lineRule="exact"/>
        <w:rPr>
          <w:rStyle w:val="948"/>
          <w:color w:val="auto"/>
          <w:spacing w:val="7"/>
          <w:sz w:val="24"/>
          <w:szCs w:val="28"/>
          <w:highlight w:val="yellow"/>
        </w:rPr>
      </w:pPr>
      <w:r/>
      <w:bookmarkStart w:id="258" w:name="OLE_LINK7"/>
      <w:r>
        <w:rPr>
          <w:rStyle w:val="948"/>
          <w:color w:val="auto"/>
          <w:sz w:val="24"/>
          <w:szCs w:val="28"/>
        </w:rPr>
        <w:t xml:space="preserve">﻿</w:t>
      </w:r>
      <w:r>
        <w:rPr>
          <w:rStyle w:val="948"/>
          <w:rFonts w:hint="eastAsia"/>
          <w:color w:val="auto"/>
          <w:sz w:val="24"/>
          <w:szCs w:val="28"/>
          <w:highlight w:val="yellow"/>
        </w:rPr>
        <w:t xml:space="preserve">（如为联合体，则联合体成员均须提供）</w:t>
      </w:r>
      <w:r/>
    </w:p>
    <w:p>
      <w:pPr>
        <w:ind w:firstLine="420"/>
        <w:jc w:val="center"/>
        <w:spacing w:line="360" w:lineRule="auto"/>
        <w:rPr>
          <w:rStyle w:val="948"/>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420"/>
        <w:jc w:val="center"/>
        <w:spacing w:line="360" w:lineRule="auto"/>
        <w:rPr>
          <w:rStyle w:val="948"/>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Style w:val="948"/>
          <w:rFonts w:ascii="宋体" w:hAnsi="宋体"/>
          <w:b/>
          <w:color w:val="auto"/>
          <w:sz w:val="28"/>
          <w:highlight w:val="none"/>
        </w:rPr>
        <w:outlineLvl w:val="1"/>
      </w:pPr>
      <w:r/>
      <w:bookmarkStart w:id="259" w:name="OLE_LINK6"/>
      <w:r/>
      <w:bookmarkStart w:id="260" w:name="OLE_LINK11"/>
      <w:r>
        <w:rPr>
          <w:rStyle w:val="948"/>
          <w:rFonts w:ascii="宋体" w:hAnsi="宋体"/>
          <w:b/>
          <w:color w:val="auto"/>
          <w:sz w:val="28"/>
          <w:highlight w:val="none"/>
        </w:rPr>
        <w:t xml:space="preserve">  </w:t>
      </w:r>
      <w:bookmarkStart w:id="261"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61"/>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97"/>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62" w:name="_Toc5040"/>
      <w:r>
        <w:rPr>
          <w:rFonts w:hint="eastAsia" w:ascii="宋体" w:hAnsi="宋体"/>
          <w:color w:val="auto"/>
          <w:sz w:val="24"/>
          <w:highlight w:val="none"/>
        </w:rPr>
        <w:t xml:space="preserve">供应商名称（加盖公章）：</w:t>
      </w:r>
      <w:bookmarkEnd w:id="262"/>
      <w:r/>
      <w:bookmarkEnd w:id="258"/>
      <w:r/>
      <w:bookmarkEnd w:id="259"/>
      <w:r/>
      <w:r/>
    </w:p>
    <w:p>
      <w:pPr>
        <w:pStyle w:val="998"/>
        <w:rPr>
          <w:rStyle w:val="948"/>
          <w:rFonts w:ascii="宋体" w:hAnsi="宋体"/>
          <w:b/>
          <w:color w:val="auto"/>
          <w:sz w:val="28"/>
          <w:highlight w:val="none"/>
        </w:rPr>
      </w:pPr>
      <w:r>
        <w:rPr>
          <w:rFonts w:ascii="宋体" w:hAnsi="宋体"/>
          <w:b/>
          <w:color w:val="auto"/>
          <w:sz w:val="28"/>
          <w:highlight w:val="none"/>
        </w:rPr>
      </w:r>
      <w:bookmarkEnd w:id="260"/>
      <w:r/>
      <w:r/>
    </w:p>
    <w:p>
      <w:pPr>
        <w:rPr>
          <w:rFonts w:hint="eastAsia" w:ascii="Times New Roman" w:hAnsi="Times New Roman" w:eastAsia="Times New Roman"/>
          <w:bCs/>
          <w:i/>
          <w:color w:val="auto"/>
          <w:sz w:val="24"/>
          <w:szCs w:val="24"/>
          <w:highlight w:val="none"/>
          <w:u w:val="single"/>
        </w:rPr>
      </w:pPr>
      <w:r>
        <w:rPr>
          <w:rStyle w:val="948"/>
          <w:rFonts w:ascii="宋体" w:hAnsi="宋体"/>
          <w:b/>
          <w:color w:val="auto"/>
          <w:sz w:val="28"/>
          <w:highlight w:val="none"/>
        </w:rPr>
        <w:br w:type="page" w:clear="all"/>
      </w:r>
      <w:bookmarkStart w:id="263" w:name="OLE_LINK12"/>
      <w:r/>
      <w:r/>
    </w:p>
    <w:p>
      <w:pPr>
        <w:jc w:val="left"/>
        <w:spacing w:before="320" w:after="320"/>
        <w:rPr>
          <w:rFonts w:hint="eastAsia" w:ascii="Times New Roman" w:hAnsi="Times New Roman" w:eastAsia="宋体" w:cs="Times New Roman"/>
          <w:b/>
          <w:bCs/>
          <w:sz w:val="32"/>
          <w:szCs w:val="32"/>
          <w:highlight w:val="yellow"/>
          <w:lang w:val="en-US" w:eastAsia="zh-CN" w:bidi="ar-SA"/>
        </w:rPr>
        <w:outlineLvl w:val="1"/>
      </w:pPr>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rPr>
          <w:rFonts w:hint="eastAsia" w:ascii="Times New Roman" w:hAnsi="Times New Roman" w:eastAsia="Times New Roman" w:cs="Times New Roman"/>
          <w:bCs/>
          <w:i/>
          <w:sz w:val="24"/>
          <w:szCs w:val="24"/>
          <w:highlight w:val="yellow"/>
          <w:u w:val="single"/>
          <w:lang w:val="en-US" w:eastAsia="zh-CN" w:bidi="ar-SA"/>
        </w:rPr>
        <w:t xml:space="preserve">（如为联合体，则联合体牵头方须提供）</w:t>
      </w:r>
      <w:r/>
    </w:p>
    <w:p>
      <w:pPr>
        <w:jc w:val="left"/>
        <w:spacing w:before="320" w:after="320"/>
        <w:rPr>
          <w:rFonts w:hint="eastAsia" w:ascii="Times New Roman" w:hAnsi="Times New Roman" w:eastAsia="Times New Roman"/>
          <w:bCs/>
          <w:i/>
          <w:color w:val="auto"/>
          <w:sz w:val="24"/>
          <w:szCs w:val="24"/>
          <w:highlight w:val="none"/>
          <w:u w:val="single"/>
        </w:rPr>
        <w:outlineLvl w:val="1"/>
      </w:pPr>
      <w:r>
        <w:rPr>
          <w:rFonts w:hint="eastAsia" w:ascii="Times New Roman" w:hAnsi="Times New Roman" w:eastAsia="Times New Roman"/>
          <w:bCs/>
          <w:i/>
          <w:color w:val="auto"/>
          <w:sz w:val="24"/>
          <w:szCs w:val="24"/>
          <w:highlight w:val="none"/>
          <w:u w:val="singl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64" w:name="sys_STR"/>
      <w:r/>
      <w:bookmarkEnd w:id="264"/>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63"/>
      <w:r/>
      <w:r/>
    </w:p>
    <w:p>
      <w:pPr>
        <w:rPr>
          <w:rStyle w:val="948"/>
          <w:rFonts w:ascii="宋体" w:hAnsi="宋体"/>
          <w:b/>
          <w:color w:val="auto"/>
          <w:sz w:val="28"/>
          <w:highlight w:val="none"/>
        </w:rPr>
      </w:pPr>
      <w:r>
        <w:rPr>
          <w:rFonts w:ascii="宋体" w:hAnsi="宋体"/>
          <w:b/>
          <w:color w:val="auto"/>
          <w:sz w:val="28"/>
          <w:highlight w:val="none"/>
        </w:rPr>
      </w:r>
      <w:r/>
    </w:p>
    <w:p>
      <w:pPr>
        <w:jc w:val="center"/>
        <w:pageBreakBefore w:val="0"/>
        <w:spacing w:line="400" w:lineRule="exact"/>
        <w:widowControl w:val="off"/>
        <w:rPr>
          <w:rFonts w:ascii="宋体" w:hAnsi="宋体" w:eastAsia="宋体"/>
          <w:b/>
          <w:bCs/>
          <w:sz w:val="32"/>
          <w:szCs w:val="32"/>
        </w:rPr>
      </w:pPr>
      <w:r>
        <w:rPr>
          <w:rFonts w:hint="eastAsia" w:ascii="宋体" w:hAnsi="宋体" w:eastAsia="宋体"/>
          <w:b/>
          <w:bCs/>
          <w:sz w:val="32"/>
          <w:szCs w:val="32"/>
        </w:rPr>
        <w:t xml:space="preserve">联合体协议书及联合体授权委托书</w:t>
      </w:r>
      <w:r>
        <w:rPr>
          <w:rFonts w:hint="eastAsia" w:ascii="宋体" w:hAnsi="宋体" w:eastAsia="宋体"/>
          <w:b/>
          <w:bCs/>
          <w:sz w:val="32"/>
          <w:szCs w:val="32"/>
          <w:highlight w:val="yellow"/>
        </w:rPr>
        <w:t xml:space="preserve">（如为联合体，才须提供）</w:t>
      </w:r>
      <w:r/>
    </w:p>
    <w:p>
      <w:pPr>
        <w:ind w:firstLine="643"/>
        <w:jc w:val="center"/>
        <w:keepLines/>
        <w:keepNext/>
        <w:pageBreakBefore w:val="0"/>
        <w:spacing w:line="400" w:lineRule="exact"/>
        <w:widowControl w:val="off"/>
        <w:rPr>
          <w:rFonts w:ascii="Times New Roman" w:hAnsi="Times New Roman" w:eastAsia="宋体"/>
          <w:b/>
          <w:bCs/>
          <w:sz w:val="32"/>
          <w:szCs w:val="32"/>
        </w:rPr>
        <w:outlineLvl w:val="3"/>
      </w:pPr>
      <w:r>
        <w:rPr>
          <w:rFonts w:ascii="Times New Roman" w:hAnsi="Times New Roman" w:eastAsia="宋体"/>
          <w:b/>
          <w:bCs/>
          <w:sz w:val="32"/>
          <w:szCs w:val="32"/>
        </w:rPr>
        <w:t xml:space="preserve">联合</w:t>
      </w:r>
      <w:r>
        <w:rPr>
          <w:rFonts w:hint="eastAsia" w:ascii="Times New Roman" w:hAnsi="Times New Roman" w:eastAsia="宋体"/>
          <w:b/>
          <w:bCs/>
          <w:sz w:val="32"/>
          <w:szCs w:val="32"/>
        </w:rPr>
        <w:t xml:space="preserve">体</w:t>
      </w:r>
      <w:r>
        <w:rPr>
          <w:rFonts w:ascii="Times New Roman" w:hAnsi="Times New Roman" w:eastAsia="宋体"/>
          <w:b/>
          <w:bCs/>
          <w:sz w:val="32"/>
          <w:szCs w:val="32"/>
        </w:rPr>
        <w:t xml:space="preserve">协议书</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甲方：</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乙方：</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各方经协商，就响应</w:t>
      </w:r>
      <w:r>
        <w:rPr>
          <w:rFonts w:hint="eastAsia" w:ascii="宋体" w:hAnsi="宋体" w:eastAsia="宋体" w:cs="宋体"/>
          <w:b/>
          <w:bCs/>
          <w:sz w:val="24"/>
          <w:szCs w:val="24"/>
          <w:u w:val="single"/>
          <w:lang w:val="en-US" w:eastAsia="zh-CN" w:bidi="ar-SA"/>
        </w:rPr>
        <w:t xml:space="preserve">西环快速路数智交通智能化设施</w:t>
      </w:r>
      <w:r>
        <w:rPr>
          <w:rFonts w:ascii="Times New Roman" w:hAnsi="Times New Roman" w:eastAsia="宋体"/>
          <w:sz w:val="24"/>
          <w:szCs w:val="24"/>
        </w:rPr>
        <w:t xml:space="preserve">招标活动联合进行投标之事宜，达成如下协议：</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一、各方一致决定，以</w:t>
      </w:r>
      <w:r>
        <w:rPr>
          <w:rFonts w:ascii="Times New Roman" w:hAnsi="Times New Roman" w:eastAsia="宋体"/>
          <w:sz w:val="24"/>
          <w:szCs w:val="24"/>
          <w:u w:val="single"/>
        </w:rPr>
        <w:t xml:space="preserve">                        </w:t>
      </w:r>
      <w:r>
        <w:rPr>
          <w:rFonts w:ascii="Times New Roman" w:hAnsi="Times New Roman" w:eastAsia="宋体"/>
          <w:sz w:val="24"/>
          <w:szCs w:val="24"/>
        </w:rPr>
        <w:t xml:space="preserve">为</w:t>
      </w:r>
      <w:r>
        <w:rPr>
          <w:rFonts w:hint="eastAsia" w:ascii="Times New Roman" w:hAnsi="Times New Roman" w:eastAsia="宋体"/>
          <w:sz w:val="24"/>
          <w:szCs w:val="24"/>
        </w:rPr>
        <w:t xml:space="preserve">牵头</w:t>
      </w:r>
      <w:r>
        <w:rPr>
          <w:rFonts w:ascii="Times New Roman" w:hAnsi="Times New Roman" w:eastAsia="宋体"/>
          <w:sz w:val="24"/>
          <w:szCs w:val="24"/>
        </w:rPr>
        <w:t xml:space="preserve">方（即联合体投标人代表）进行投标，并按照招标文件的规定提交资格文件。</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二、在本次投标过程中，</w:t>
      </w:r>
      <w:r>
        <w:rPr>
          <w:rFonts w:hint="eastAsia" w:ascii="Times New Roman" w:hAnsi="Times New Roman" w:eastAsia="宋体"/>
          <w:sz w:val="24"/>
          <w:szCs w:val="24"/>
        </w:rPr>
        <w:t xml:space="preserve">牵头</w:t>
      </w:r>
      <w:r>
        <w:rPr>
          <w:rFonts w:ascii="Times New Roman" w:hAnsi="Times New Roman" w:eastAsia="宋体"/>
          <w:sz w:val="24"/>
          <w:szCs w:val="24"/>
        </w:rPr>
        <w:t xml:space="preserve">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三、联合投标其余各方保证对牵头方为响应本次招标而提供的产品和服务提供全部质量保证及售后服务支持。</w:t>
      </w:r>
      <w:r/>
    </w:p>
    <w:p>
      <w:pPr>
        <w:ind w:firstLine="480"/>
        <w:pageBreakBefore w:val="0"/>
        <w:spacing w:line="400" w:lineRule="exact"/>
        <w:widowControl w:val="off"/>
        <w:rPr>
          <w:rFonts w:hint="eastAsia" w:ascii="Times New Roman" w:hAnsi="Times New Roman" w:eastAsia="宋体"/>
          <w:b w:val="0"/>
          <w:bCs w:val="0"/>
          <w:sz w:val="24"/>
          <w:szCs w:val="24"/>
          <w:lang w:eastAsia="zh-CN"/>
        </w:rPr>
      </w:pPr>
      <w:r>
        <w:rPr>
          <w:rFonts w:ascii="Times New Roman" w:hAnsi="Times New Roman" w:eastAsia="宋体"/>
          <w:sz w:val="24"/>
          <w:szCs w:val="24"/>
          <w:highlight w:val="yellow"/>
        </w:rPr>
        <w:t xml:space="preserve">四、本次联合投标中</w:t>
      </w:r>
      <w:r>
        <w:rPr>
          <w:rFonts w:hint="eastAsia" w:ascii="Times New Roman" w:hAnsi="Times New Roman" w:eastAsia="宋体"/>
          <w:sz w:val="24"/>
          <w:szCs w:val="24"/>
          <w:highlight w:val="yellow"/>
          <w:lang w:eastAsia="zh-CN"/>
        </w:rPr>
        <w:t xml:space="preserve">（</w:t>
      </w:r>
      <w:r>
        <w:rPr>
          <w:rFonts w:hint="eastAsia" w:ascii="Times New Roman" w:hAnsi="Times New Roman" w:eastAsia="宋体"/>
          <w:b w:val="0"/>
          <w:bCs w:val="0"/>
          <w:sz w:val="24"/>
          <w:szCs w:val="24"/>
          <w:highlight w:val="yellow"/>
          <w:u w:val="none"/>
          <w:lang w:eastAsia="zh-CN"/>
        </w:rPr>
        <w:t xml:space="preserve">工作内容包括：</w:t>
      </w:r>
      <w:r>
        <w:rPr>
          <w:rFonts w:hint="eastAsia" w:ascii="宋体" w:hAnsi="宋体" w:eastAsia="Times New Roman" w:cs="宋体"/>
          <w:b w:val="0"/>
          <w:bCs w:val="0"/>
          <w:iCs/>
          <w:sz w:val="24"/>
          <w:szCs w:val="24"/>
          <w:highlight w:val="yellow"/>
        </w:rPr>
        <w:t xml:space="preserve">智能交通设施建设，系统接入，设备运维</w:t>
      </w:r>
      <w:r>
        <w:rPr>
          <w:rFonts w:hint="eastAsia" w:ascii="宋体" w:hAnsi="宋体" w:eastAsia="宋体" w:cs="宋体"/>
          <w:b w:val="0"/>
          <w:bCs w:val="0"/>
          <w:iCs/>
          <w:sz w:val="24"/>
          <w:szCs w:val="24"/>
          <w:highlight w:val="yellow"/>
          <w:lang w:eastAsia="zh-CN"/>
        </w:rPr>
        <w:t xml:space="preserve">）</w:t>
      </w:r>
      <w:r/>
    </w:p>
    <w:p>
      <w:pPr>
        <w:ind w:firstLine="482"/>
        <w:pageBreakBefore w:val="0"/>
        <w:spacing w:line="400" w:lineRule="exact"/>
        <w:widowControl w:val="off"/>
        <w:rPr>
          <w:rFonts w:ascii="Times New Roman" w:hAnsi="Times New Roman" w:eastAsia="宋体"/>
          <w:b/>
          <w:bCs/>
          <w:sz w:val="24"/>
          <w:szCs w:val="24"/>
        </w:rPr>
      </w:pPr>
      <w:r>
        <w:rPr>
          <w:rFonts w:ascii="Times New Roman" w:hAnsi="Times New Roman" w:eastAsia="宋体"/>
          <w:b/>
          <w:bCs/>
          <w:sz w:val="24"/>
          <w:szCs w:val="24"/>
        </w:rPr>
        <w:t xml:space="preserve">甲方承担的工作和义务为：</w:t>
      </w:r>
      <w:r>
        <w:rPr>
          <w:rFonts w:ascii="Times New Roman" w:hAnsi="Times New Roman" w:eastAsia="宋体"/>
          <w:b w:val="0"/>
          <w:bCs w:val="0"/>
          <w:sz w:val="24"/>
          <w:szCs w:val="24"/>
          <w:u w:val="single"/>
        </w:rPr>
        <w:t xml:space="preserve">                                                </w:t>
      </w:r>
      <w:r>
        <w:rPr>
          <w:rFonts w:ascii="Times New Roman" w:hAnsi="Times New Roman" w:eastAsia="宋体"/>
          <w:b w:val="0"/>
          <w:bCs w:val="0"/>
          <w:sz w:val="24"/>
          <w:szCs w:val="24"/>
        </w:rPr>
        <w:t xml:space="preserve"> </w:t>
      </w:r>
      <w:r/>
    </w:p>
    <w:p>
      <w:pPr>
        <w:ind w:firstLine="482"/>
        <w:pageBreakBefore w:val="0"/>
        <w:spacing w:line="400" w:lineRule="exact"/>
        <w:widowControl w:val="off"/>
        <w:rPr>
          <w:rFonts w:ascii="Times New Roman" w:hAnsi="Times New Roman" w:eastAsia="宋体"/>
          <w:b/>
          <w:bCs/>
          <w:sz w:val="24"/>
          <w:szCs w:val="24"/>
        </w:rPr>
      </w:pPr>
      <w:r>
        <w:rPr>
          <w:rFonts w:ascii="Times New Roman" w:hAnsi="Times New Roman" w:eastAsia="宋体"/>
          <w:b/>
          <w:bCs/>
          <w:sz w:val="24"/>
          <w:szCs w:val="24"/>
        </w:rPr>
        <w:t xml:space="preserve">乙方承担的工作和义务为：</w:t>
      </w:r>
      <w:r>
        <w:rPr>
          <w:rFonts w:ascii="Times New Roman" w:hAnsi="Times New Roman" w:eastAsia="宋体"/>
          <w:b w:val="0"/>
          <w:bCs w:val="0"/>
          <w:sz w:val="24"/>
          <w:szCs w:val="24"/>
          <w:u w:val="single"/>
        </w:rPr>
        <w:t xml:space="preserve">                                               </w:t>
      </w:r>
      <w:r>
        <w:rPr>
          <w:rFonts w:ascii="Times New Roman" w:hAnsi="Times New Roman" w:eastAsia="宋体"/>
          <w:b/>
          <w:bCs/>
          <w:sz w:val="24"/>
          <w:szCs w:val="24"/>
        </w:rPr>
        <w:t xml:space="preserve">  </w:t>
      </w:r>
      <w:r/>
    </w:p>
    <w:p>
      <w:pPr>
        <w:ind w:firstLine="482"/>
        <w:pageBreakBefore w:val="0"/>
        <w:spacing w:line="400" w:lineRule="exact"/>
        <w:widowControl w:val="off"/>
        <w:rPr>
          <w:rFonts w:hint="default" w:ascii="Times New Roman" w:hAnsi="Times New Roman" w:eastAsia="宋体"/>
          <w:b/>
          <w:bCs/>
          <w:sz w:val="24"/>
          <w:szCs w:val="24"/>
          <w:lang w:val="en-US" w:eastAsia="zh-CN"/>
        </w:rPr>
      </w:pPr>
      <w:r>
        <w:rPr>
          <w:rFonts w:hint="eastAsia" w:ascii="Times New Roman" w:hAnsi="Times New Roman" w:eastAsia="宋体"/>
          <w:b/>
          <w:bCs/>
          <w:sz w:val="24"/>
          <w:szCs w:val="24"/>
        </w:rPr>
        <w:t xml:space="preserve">小微型企业（残疾人福利单位、监狱企业）的合同份额占到合同总金额</w:t>
      </w:r>
      <w:r>
        <w:rPr>
          <w:rFonts w:hint="eastAsia" w:ascii="Times New Roman" w:hAnsi="Times New Roman" w:eastAsia="宋体"/>
          <w:b/>
          <w:bCs/>
          <w:sz w:val="24"/>
          <w:szCs w:val="24"/>
          <w:lang w:val="en-US" w:eastAsia="zh-CN"/>
        </w:rPr>
        <w:t xml:space="preserve"> </w:t>
      </w:r>
      <w:r>
        <w:rPr>
          <w:rFonts w:hint="eastAsia" w:ascii="Times New Roman" w:hAnsi="Times New Roman" w:eastAsia="宋体"/>
          <w:b w:val="0"/>
          <w:bCs w:val="0"/>
          <w:sz w:val="24"/>
          <w:szCs w:val="24"/>
          <w:u w:val="single"/>
          <w:lang w:val="en-US" w:eastAsia="zh-CN"/>
        </w:rPr>
        <w:t xml:space="preserve">       </w:t>
      </w:r>
      <w:r>
        <w:rPr>
          <w:rFonts w:hint="eastAsia" w:ascii="Times New Roman" w:hAnsi="Times New Roman" w:eastAsia="宋体"/>
          <w:b/>
          <w:bCs/>
          <w:sz w:val="24"/>
          <w:szCs w:val="24"/>
          <w:lang w:val="en-US" w:eastAsia="zh-CN"/>
        </w:rPr>
        <w:t xml:space="preserve">  </w:t>
      </w:r>
      <w:r/>
    </w:p>
    <w:p>
      <w:pPr>
        <w:ind w:firstLine="480"/>
        <w:pageBreakBefore w:val="0"/>
        <w:spacing w:line="400" w:lineRule="exact"/>
        <w:widowControl w:val="off"/>
        <w:rPr>
          <w:rFonts w:ascii="Times New Roman" w:hAnsi="Times New Roman" w:eastAsia="宋体"/>
          <w:sz w:val="24"/>
          <w:szCs w:val="24"/>
          <w:u w:val="single"/>
        </w:rPr>
      </w:pPr>
      <w:r>
        <w:rPr>
          <w:rFonts w:ascii="Times New Roman" w:hAnsi="Times New Roman" w:eastAsia="宋体"/>
          <w:sz w:val="24"/>
          <w:szCs w:val="24"/>
        </w:rPr>
        <w:t xml:space="preserve">五、有关本次联合投标的其他事宜：</w:t>
      </w:r>
      <w:r>
        <w:rPr>
          <w:rFonts w:ascii="Times New Roman" w:hAnsi="Times New Roman" w:eastAsia="宋体"/>
          <w:sz w:val="24"/>
          <w:szCs w:val="24"/>
          <w:u w:val="single"/>
        </w:rPr>
        <w:t xml:space="preserve">                                         </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六、本协议提交招标方后，联合投标各方不得以任何形式对上述实质内容进行修改或撤销。</w:t>
      </w:r>
      <w:r/>
    </w:p>
    <w:p>
      <w:pPr>
        <w:ind w:firstLine="480"/>
        <w:pageBreakBefore w:val="0"/>
        <w:spacing w:line="400" w:lineRule="exact"/>
        <w:widowControl w:val="off"/>
        <w:rPr>
          <w:rFonts w:ascii="Times New Roman" w:hAnsi="Times New Roman" w:eastAsia="宋体"/>
          <w:sz w:val="24"/>
          <w:szCs w:val="24"/>
          <w:highlight w:val="none"/>
        </w:rPr>
      </w:pPr>
      <w:r>
        <w:rPr>
          <w:rFonts w:ascii="Times New Roman" w:hAnsi="Times New Roman" w:eastAsia="宋体"/>
          <w:sz w:val="24"/>
          <w:szCs w:val="24"/>
          <w:highlight w:val="none"/>
        </w:rPr>
        <w:t xml:space="preserve">七、本协议一式</w:t>
      </w:r>
      <w:r>
        <w:rPr>
          <w:rFonts w:ascii="Times New Roman" w:hAnsi="Times New Roman" w:eastAsia="宋体"/>
          <w:sz w:val="24"/>
          <w:szCs w:val="24"/>
          <w:highlight w:val="none"/>
          <w:u w:val="single"/>
        </w:rPr>
        <w:t xml:space="preserve">   </w:t>
      </w:r>
      <w:r>
        <w:rPr>
          <w:rFonts w:ascii="Times New Roman" w:hAnsi="Times New Roman" w:eastAsia="宋体"/>
          <w:sz w:val="24"/>
          <w:szCs w:val="24"/>
          <w:highlight w:val="none"/>
        </w:rPr>
        <w:t xml:space="preserve">份，签约各方各持一份，</w:t>
      </w:r>
      <w:r>
        <w:rPr>
          <w:rFonts w:hint="eastAsia" w:ascii="Times New Roman" w:hAnsi="Times New Roman"/>
          <w:sz w:val="24"/>
          <w:szCs w:val="24"/>
          <w:highlight w:val="none"/>
          <w:lang w:eastAsia="zh-CN"/>
        </w:rPr>
        <w:t xml:space="preserve">中标后</w:t>
      </w:r>
      <w:r>
        <w:rPr>
          <w:rFonts w:ascii="Times New Roman" w:hAnsi="Times New Roman" w:eastAsia="宋体"/>
          <w:sz w:val="24"/>
          <w:szCs w:val="24"/>
          <w:highlight w:val="none"/>
        </w:rPr>
        <w:t xml:space="preserve">交采购人一份</w:t>
      </w:r>
      <w:r>
        <w:rPr>
          <w:rFonts w:hint="eastAsia" w:ascii="Times New Roman" w:hAnsi="Times New Roman"/>
          <w:sz w:val="24"/>
          <w:szCs w:val="24"/>
          <w:highlight w:val="none"/>
          <w:lang w:eastAsia="zh-CN"/>
        </w:rPr>
        <w:t xml:space="preserve">备案</w:t>
      </w:r>
      <w:r>
        <w:rPr>
          <w:rFonts w:ascii="Times New Roman" w:hAnsi="Times New Roman" w:eastAsia="宋体"/>
          <w:sz w:val="24"/>
          <w:szCs w:val="24"/>
          <w:highlight w:val="none"/>
        </w:rPr>
        <w:t xml:space="preserve">。</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甲方单位：   （公章）</w:t>
      </w:r>
      <w:r>
        <w:rPr>
          <w:rFonts w:hint="eastAsia" w:ascii="Times New Roman" w:hAnsi="Times New Roman" w:eastAsia="宋体"/>
          <w:sz w:val="24"/>
          <w:szCs w:val="24"/>
        </w:rPr>
        <w:t xml:space="preserve">                    </w:t>
      </w:r>
      <w:r>
        <w:rPr>
          <w:rFonts w:ascii="Times New Roman" w:hAnsi="Times New Roman" w:eastAsia="宋体"/>
          <w:sz w:val="24"/>
          <w:szCs w:val="24"/>
        </w:rPr>
        <w:t xml:space="preserve">乙方单位：   （公章）</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rPr>
        <w:t xml:space="preserve">法定代表人（负责人）：（签章）</w:t>
      </w:r>
      <w:r>
        <w:rPr>
          <w:rFonts w:hint="eastAsia" w:ascii="Times New Roman" w:hAnsi="Times New Roman" w:eastAsia="宋体"/>
          <w:sz w:val="24"/>
          <w:szCs w:val="24"/>
        </w:rPr>
        <w:t xml:space="preserve">           </w:t>
      </w:r>
      <w:r>
        <w:rPr>
          <w:rFonts w:ascii="Times New Roman" w:hAnsi="Times New Roman" w:eastAsia="宋体"/>
          <w:sz w:val="24"/>
          <w:szCs w:val="24"/>
        </w:rPr>
        <w:t xml:space="preserve">法定代表人（负责人）：（签章）</w:t>
      </w:r>
      <w:r/>
    </w:p>
    <w:p>
      <w:pPr>
        <w:ind w:firstLine="480"/>
        <w:pageBreakBefore w:val="0"/>
        <w:spacing w:line="400" w:lineRule="exact"/>
        <w:widowControl w:val="off"/>
        <w:rPr>
          <w:rFonts w:ascii="Times New Roman" w:hAnsi="Times New Roman" w:eastAsia="宋体"/>
          <w:sz w:val="24"/>
          <w:szCs w:val="24"/>
        </w:rPr>
      </w:pPr>
      <w:r>
        <w:rPr>
          <w:rFonts w:ascii="Times New Roman" w:hAnsi="Times New Roman" w:eastAsia="宋体"/>
          <w:sz w:val="24"/>
          <w:szCs w:val="24"/>
          <w:u w:val="single"/>
        </w:rPr>
        <w:t xml:space="preserve">     </w:t>
      </w:r>
      <w:r>
        <w:rPr>
          <w:rFonts w:ascii="Times New Roman" w:hAnsi="Times New Roman" w:eastAsia="宋体"/>
          <w:sz w:val="24"/>
          <w:szCs w:val="24"/>
        </w:rPr>
        <w:t xml:space="preserve">年</w:t>
      </w:r>
      <w:r>
        <w:rPr>
          <w:rFonts w:ascii="Times New Roman" w:hAnsi="Times New Roman" w:eastAsia="宋体"/>
          <w:sz w:val="24"/>
          <w:szCs w:val="24"/>
          <w:u w:val="single"/>
        </w:rPr>
        <w:t xml:space="preserve">    </w:t>
      </w:r>
      <w:r>
        <w:rPr>
          <w:rFonts w:ascii="Times New Roman" w:hAnsi="Times New Roman" w:eastAsia="宋体"/>
          <w:sz w:val="24"/>
          <w:szCs w:val="24"/>
        </w:rPr>
        <w:t xml:space="preserve">月</w:t>
      </w:r>
      <w:r>
        <w:rPr>
          <w:rFonts w:ascii="Times New Roman" w:hAnsi="Times New Roman" w:eastAsia="宋体"/>
          <w:sz w:val="24"/>
          <w:szCs w:val="24"/>
          <w:u w:val="single"/>
        </w:rPr>
        <w:t xml:space="preserve">    </w:t>
      </w:r>
      <w:r>
        <w:rPr>
          <w:rFonts w:ascii="Times New Roman" w:hAnsi="Times New Roman" w:eastAsia="宋体"/>
          <w:sz w:val="24"/>
          <w:szCs w:val="24"/>
        </w:rPr>
        <w:t xml:space="preserve">日</w:t>
      </w:r>
      <w:r>
        <w:rPr>
          <w:rFonts w:hint="eastAsia" w:ascii="Times New Roman" w:hAnsi="Times New Roman" w:eastAsia="宋体"/>
          <w:sz w:val="24"/>
          <w:szCs w:val="24"/>
        </w:rPr>
        <w:t xml:space="preserve">                            </w:t>
      </w:r>
      <w:r>
        <w:rPr>
          <w:rFonts w:ascii="Times New Roman" w:hAnsi="Times New Roman" w:eastAsia="宋体"/>
          <w:sz w:val="24"/>
          <w:szCs w:val="24"/>
          <w:u w:val="single"/>
        </w:rPr>
        <w:t xml:space="preserve">     </w:t>
      </w:r>
      <w:r>
        <w:rPr>
          <w:rFonts w:ascii="Times New Roman" w:hAnsi="Times New Roman" w:eastAsia="宋体"/>
          <w:sz w:val="24"/>
          <w:szCs w:val="24"/>
        </w:rPr>
        <w:t xml:space="preserve">年</w:t>
      </w:r>
      <w:r>
        <w:rPr>
          <w:rFonts w:ascii="Times New Roman" w:hAnsi="Times New Roman" w:eastAsia="宋体"/>
          <w:sz w:val="24"/>
          <w:szCs w:val="24"/>
          <w:u w:val="single"/>
        </w:rPr>
        <w:t xml:space="preserve">    </w:t>
      </w:r>
      <w:r>
        <w:rPr>
          <w:rFonts w:ascii="Times New Roman" w:hAnsi="Times New Roman" w:eastAsia="宋体"/>
          <w:sz w:val="24"/>
          <w:szCs w:val="24"/>
        </w:rPr>
        <w:t xml:space="preserve">月</w:t>
      </w:r>
      <w:r>
        <w:rPr>
          <w:rFonts w:ascii="Times New Roman" w:hAnsi="Times New Roman" w:eastAsia="宋体"/>
          <w:sz w:val="24"/>
          <w:szCs w:val="24"/>
          <w:u w:val="single"/>
        </w:rPr>
        <w:t xml:space="preserve">    </w:t>
      </w:r>
      <w:r>
        <w:rPr>
          <w:rFonts w:ascii="Times New Roman" w:hAnsi="Times New Roman" w:eastAsia="宋体"/>
          <w:sz w:val="24"/>
          <w:szCs w:val="24"/>
        </w:rPr>
        <w:t xml:space="preserve">日</w:t>
      </w:r>
      <w:r/>
    </w:p>
    <w:p>
      <w:pPr>
        <w:ind w:firstLine="480"/>
        <w:pageBreakBefore w:val="0"/>
        <w:spacing w:line="400" w:lineRule="exact"/>
        <w:widowControl w:val="off"/>
        <w:tabs>
          <w:tab w:val="left" w:pos="4643" w:leader="none"/>
        </w:tabs>
        <w:rPr>
          <w:rFonts w:ascii="Times New Roman" w:hAnsi="Times New Roman" w:eastAsia="宋体"/>
          <w:sz w:val="24"/>
          <w:szCs w:val="24"/>
        </w:rPr>
      </w:pPr>
      <w:r>
        <w:rPr>
          <w:rFonts w:ascii="Times New Roman" w:hAnsi="Times New Roman" w:eastAsia="宋体"/>
          <w:sz w:val="24"/>
          <w:szCs w:val="24"/>
        </w:rPr>
        <w:tab/>
      </w:r>
      <w:r>
        <w:rPr>
          <w:rFonts w:ascii="Times New Roman" w:hAnsi="Times New Roman" w:eastAsia="宋体"/>
          <w:sz w:val="24"/>
          <w:szCs w:val="24"/>
        </w:rPr>
        <w:t xml:space="preserve">       </w:t>
      </w:r>
      <w:r/>
    </w:p>
    <w:p>
      <w:pPr>
        <w:ind w:firstLine="482"/>
        <w:pageBreakBefore w:val="0"/>
        <w:spacing w:line="400" w:lineRule="exact"/>
        <w:widowControl w:val="off"/>
        <w:rPr>
          <w:rFonts w:ascii="Times New Roman" w:hAnsi="Times New Roman" w:eastAsia="宋体"/>
          <w:b/>
          <w:bCs/>
          <w:sz w:val="24"/>
          <w:szCs w:val="24"/>
          <w:highlight w:val="yellow"/>
        </w:rPr>
      </w:pPr>
      <w:r>
        <w:rPr>
          <w:rFonts w:ascii="Times New Roman" w:hAnsi="Times New Roman" w:eastAsia="宋体"/>
          <w:b/>
          <w:bCs/>
          <w:sz w:val="24"/>
          <w:szCs w:val="24"/>
          <w:highlight w:val="yellow"/>
        </w:rPr>
        <w:t xml:space="preserve">注：联合体协议书须由联合体各方法定代表人签字或盖章，并加盖联合体各方公章，否则按无效投标处理。</w:t>
      </w:r>
      <w:r/>
    </w:p>
    <w:p>
      <w:pPr>
        <w:rPr>
          <w:rFonts w:ascii="Times New Roman" w:hAnsi="Times New Roman" w:eastAsia="宋体"/>
          <w:b/>
          <w:bCs/>
          <w:sz w:val="24"/>
          <w:szCs w:val="24"/>
          <w:highlight w:val="yellow"/>
        </w:rPr>
      </w:pPr>
      <w:r>
        <w:rPr>
          <w:rFonts w:ascii="Times New Roman" w:hAnsi="Times New Roman" w:eastAsia="宋体"/>
          <w:b/>
          <w:bCs/>
          <w:sz w:val="24"/>
          <w:szCs w:val="24"/>
          <w:highlight w:val="yellow"/>
        </w:rPr>
        <w:br w:type="page" w:clear="all"/>
      </w:r>
      <w:r/>
    </w:p>
    <w:p>
      <w:pPr>
        <w:jc w:val="center"/>
        <w:keepLines/>
        <w:keepNext/>
        <w:spacing w:before="156" w:after="156"/>
        <w:rPr>
          <w:rFonts w:ascii="Times New Roman" w:hAnsi="Times New Roman" w:eastAsia="宋体"/>
          <w:b/>
          <w:bCs/>
          <w:sz w:val="32"/>
          <w:szCs w:val="32"/>
        </w:rPr>
        <w:outlineLvl w:val="3"/>
      </w:pPr>
      <w:r>
        <w:rPr>
          <w:rFonts w:ascii="Times New Roman" w:hAnsi="Times New Roman" w:eastAsia="宋体"/>
          <w:b/>
          <w:bCs/>
          <w:sz w:val="32"/>
          <w:szCs w:val="32"/>
        </w:rPr>
        <w:t xml:space="preserve">联合</w:t>
      </w:r>
      <w:r>
        <w:rPr>
          <w:rFonts w:hint="eastAsia" w:ascii="Times New Roman" w:hAnsi="Times New Roman" w:eastAsia="宋体"/>
          <w:b/>
          <w:bCs/>
          <w:sz w:val="32"/>
          <w:szCs w:val="32"/>
        </w:rPr>
        <w:t xml:space="preserve">体</w:t>
      </w:r>
      <w:r>
        <w:rPr>
          <w:rFonts w:ascii="Times New Roman" w:hAnsi="Times New Roman" w:eastAsia="宋体"/>
          <w:b/>
          <w:bCs/>
          <w:sz w:val="32"/>
          <w:szCs w:val="32"/>
        </w:rPr>
        <w:t xml:space="preserve">授权委托书</w:t>
      </w:r>
      <w:r/>
    </w:p>
    <w:p>
      <w:pPr>
        <w:ind w:firstLine="460"/>
        <w:spacing w:line="360" w:lineRule="auto"/>
        <w:rPr>
          <w:rFonts w:ascii="Times New Roman" w:hAnsi="Times New Roman" w:eastAsia="宋体"/>
          <w:sz w:val="24"/>
          <w:szCs w:val="24"/>
        </w:rPr>
      </w:pPr>
      <w:r>
        <w:rPr>
          <w:rFonts w:ascii="Times New Roman" w:hAnsi="Times New Roman" w:eastAsia="宋体"/>
          <w:sz w:val="24"/>
          <w:szCs w:val="24"/>
        </w:rPr>
      </w:r>
      <w:r/>
    </w:p>
    <w:p>
      <w:pPr>
        <w:pStyle w:val="951"/>
        <w:jc w:val="both"/>
        <w:rPr>
          <w:rFonts w:ascii="宋体" w:hAnsi="宋体" w:eastAsia="宋体" w:cs="宋体"/>
          <w:sz w:val="24"/>
          <w:szCs w:val="24"/>
        </w:rPr>
      </w:pPr>
      <w:r>
        <w:rPr>
          <w:rFonts w:hint="eastAsia" w:ascii="宋体" w:hAnsi="宋体" w:eastAsia="宋体" w:cs="宋体"/>
          <w:sz w:val="24"/>
          <w:szCs w:val="24"/>
        </w:rPr>
        <w:t xml:space="preserve">鉴于我们已决定作为一家联合体的成员参加</w:t>
      </w:r>
      <w:r>
        <w:rPr>
          <w:rFonts w:hint="eastAsia" w:ascii="宋体" w:hAnsi="宋体" w:eastAsia="宋体" w:cs="宋体"/>
          <w:b/>
          <w:bCs/>
          <w:sz w:val="24"/>
          <w:szCs w:val="24"/>
          <w:u w:val="single"/>
          <w:lang w:val="en-US" w:eastAsia="zh-CN" w:bidi="ar-SA"/>
        </w:rPr>
        <w:t xml:space="preserve">西环快速路数智交通智能化设施</w:t>
      </w:r>
      <w:r>
        <w:rPr>
          <w:rFonts w:hint="eastAsia" w:ascii="宋体" w:hAnsi="宋体" w:eastAsia="宋体" w:cs="宋体"/>
          <w:sz w:val="24"/>
          <w:szCs w:val="24"/>
        </w:rPr>
        <w:t xml:space="preserve">（以下简称“项目”）的投标，我</w:t>
      </w:r>
      <w:r>
        <w:rPr>
          <w:rFonts w:hint="eastAsia" w:ascii="宋体" w:hAnsi="宋体" w:eastAsia="宋体" w:cs="宋体"/>
          <w:sz w:val="24"/>
          <w:szCs w:val="24"/>
          <w:u w:val="single"/>
        </w:rPr>
        <w:t xml:space="preserve">[授权公司名称]</w:t>
      </w:r>
      <w:r>
        <w:rPr>
          <w:rFonts w:hint="eastAsia" w:ascii="宋体" w:hAnsi="宋体" w:eastAsia="宋体" w:cs="宋体"/>
          <w:sz w:val="24"/>
          <w:szCs w:val="24"/>
        </w:rPr>
        <w:t xml:space="preserve">，一家根据中国法律设立的公司，其法定地址为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特此正式授权</w:t>
      </w:r>
      <w:r>
        <w:rPr>
          <w:rFonts w:hint="eastAsia" w:ascii="宋体" w:hAnsi="宋体" w:eastAsia="宋体" w:cs="宋体"/>
          <w:sz w:val="24"/>
          <w:szCs w:val="24"/>
          <w:u w:val="single"/>
        </w:rPr>
        <w:t xml:space="preserve">[被授权公司名称]</w:t>
      </w:r>
      <w:r>
        <w:rPr>
          <w:rFonts w:hint="eastAsia" w:ascii="宋体" w:hAnsi="宋体" w:eastAsia="宋体" w:cs="宋体"/>
          <w:sz w:val="24"/>
          <w:szCs w:val="24"/>
        </w:rPr>
        <w:t xml:space="preserve">，一家根据中国法律设立的公司，其法定地址在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，作为联合体的牵头方，合法代表我们签署任何文件，进行有关条款、条件的澄清与谈判，签署项目合同，接受指示和代表我们完成与项目有关的所有其他必要事宜。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我们与联合体的其他成员向贵方确认，联合体各方共同与采购人签订合同，就采购合同约定的事项对采购人承担连带责任。</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由：公章[授权公司]</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签字或盖章：[授权公司法定代表人]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及</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由：公章[被授权公司]</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签字或盖章：[被授权公司法定代表人]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时间：</w:t>
      </w:r>
      <w:r/>
    </w:p>
    <w:p>
      <w:pPr>
        <w:spacing w:before="156" w:line="360" w:lineRule="auto"/>
        <w:rPr>
          <w:rFonts w:ascii="宋体" w:hAnsi="宋体" w:eastAsia="宋体" w:cs="宋体"/>
          <w:sz w:val="24"/>
          <w:szCs w:val="24"/>
        </w:rPr>
      </w:pPr>
      <w:r>
        <w:rPr>
          <w:rFonts w:ascii="宋体" w:hAnsi="宋体" w:eastAsia="宋体" w:cs="宋体"/>
          <w:sz w:val="24"/>
          <w:szCs w:val="24"/>
        </w:rPr>
      </w:r>
      <w:r/>
    </w:p>
    <w:p>
      <w:pPr>
        <w:spacing w:before="156" w:line="360" w:lineRule="auto"/>
        <w:rPr>
          <w:rFonts w:ascii="宋体" w:hAnsi="宋体" w:eastAsia="宋体" w:cs="宋体"/>
          <w:b/>
          <w:iCs/>
          <w:sz w:val="24"/>
          <w:szCs w:val="24"/>
          <w:highlight w:val="yellow"/>
        </w:rPr>
      </w:pPr>
      <w:r>
        <w:rPr>
          <w:rFonts w:hint="eastAsia" w:ascii="宋体" w:hAnsi="宋体" w:eastAsia="宋体" w:cs="宋体"/>
          <w:b/>
          <w:iCs/>
          <w:sz w:val="24"/>
          <w:szCs w:val="24"/>
          <w:highlight w:val="yellow"/>
        </w:rPr>
        <w:t xml:space="preserve">注：1、联合体授权委托书须由法定代表人签字或盖章，并加盖公章，且供应商须按上述要求及格式提供联合体授权委托书，否则，按无效投标处理。</w:t>
      </w:r>
      <w:r/>
    </w:p>
    <w:p>
      <w:pPr>
        <w:rPr>
          <w:rFonts w:eastAsia="宋体"/>
          <w:highlight w:val="none"/>
        </w:rPr>
      </w:pPr>
      <w:r>
        <w:rPr>
          <w:rFonts w:eastAsia="宋体"/>
          <w:highlight w:val="none"/>
        </w:rPr>
      </w:r>
      <w:r/>
    </w:p>
    <w:p>
      <w:pPr>
        <w:rPr>
          <w:rStyle w:val="948"/>
          <w:rFonts w:ascii="宋体"/>
          <w:b/>
          <w:color w:val="auto"/>
          <w:sz w:val="28"/>
          <w:highlight w:val="none"/>
        </w:rPr>
      </w:pPr>
      <w:r>
        <w:rPr>
          <w:rStyle w:val="948"/>
          <w:rFonts w:ascii="宋体"/>
          <w:b/>
          <w:color w:val="auto"/>
          <w:sz w:val="28"/>
          <w:highlight w:val="none"/>
        </w:rPr>
        <w:br w:type="page" w:clear="all"/>
      </w:r>
      <w:r/>
    </w:p>
    <w:p>
      <w:pPr>
        <w:pStyle w:val="1026"/>
        <w:rPr>
          <w:rStyle w:val="948"/>
          <w:rFonts w:ascii="宋体"/>
          <w:b/>
          <w:color w:val="auto"/>
          <w:sz w:val="28"/>
          <w:highlight w:val="none"/>
        </w:rPr>
      </w:pPr>
      <w:r>
        <w:rPr>
          <w:rFonts w:ascii="宋体"/>
          <w:b/>
          <w:color w:val="auto"/>
          <w:sz w:val="28"/>
          <w:highlight w:val="none"/>
        </w:rPr>
      </w:r>
      <w:r/>
    </w:p>
    <w:p>
      <w:pPr>
        <w:pStyle w:val="998"/>
        <w:rPr>
          <w:rStyle w:val="948"/>
          <w:rFonts w:ascii="宋体" w:hAnsi="宋体"/>
          <w:b/>
          <w:color w:val="auto"/>
          <w:sz w:val="28"/>
          <w:highlight w:val="none"/>
        </w:rPr>
        <w:outlineLvl w:val="0"/>
      </w:pPr>
      <w:r>
        <w:rPr>
          <w:rFonts w:ascii="宋体" w:hAnsi="宋体"/>
          <w:b/>
          <w:color w:val="auto"/>
          <w:sz w:val="28"/>
          <w:highlight w:val="none"/>
        </w:rPr>
      </w:r>
      <w:r/>
    </w:p>
    <w:p>
      <w:pPr>
        <w:pStyle w:val="998"/>
        <w:rPr>
          <w:rStyle w:val="948"/>
          <w:rFonts w:ascii="宋体" w:hAnsi="宋体"/>
          <w:b/>
          <w:color w:val="auto"/>
          <w:sz w:val="32"/>
          <w:highlight w:val="none"/>
        </w:rPr>
        <w:outlineLvl w:val="0"/>
      </w:pPr>
      <w:r/>
      <w:bookmarkStart w:id="265" w:name="_Toc13868"/>
      <w:r/>
      <w:bookmarkStart w:id="266" w:name="_Toc15093"/>
      <w:r>
        <w:rPr>
          <w:rStyle w:val="948"/>
          <w:rFonts w:ascii="宋体" w:hAnsi="宋体"/>
          <w:b/>
          <w:color w:val="auto"/>
          <w:sz w:val="32"/>
          <w:highlight w:val="none"/>
        </w:rPr>
        <w:t xml:space="preserve">五、第四章项目需求中实质性要求响应对照表</w:t>
      </w:r>
      <w:bookmarkEnd w:id="265"/>
      <w:r/>
      <w:bookmarkEnd w:id="266"/>
      <w:r/>
      <w:r/>
    </w:p>
    <w:p>
      <w:pPr>
        <w:pStyle w:val="1006"/>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7"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61"/>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1006"/>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77"/>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77"/>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77"/>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7"/>
      <w:r/>
      <w:r/>
    </w:p>
    <w:p>
      <w:pPr>
        <w:pStyle w:val="1006"/>
        <w:rPr>
          <w:rFonts w:ascii="宋体" w:hAnsi="宋体" w:eastAsia="宋体"/>
          <w:color w:val="auto"/>
          <w:highlight w:val="none"/>
        </w:rPr>
      </w:pPr>
      <w:r>
        <w:rPr>
          <w:rFonts w:ascii="宋体" w:hAnsi="宋体" w:eastAsia="宋体"/>
          <w:color w:val="auto"/>
          <w:highlight w:val="none"/>
        </w:rPr>
      </w:r>
      <w:r/>
    </w:p>
    <w:p>
      <w:pPr>
        <w:pStyle w:val="1006"/>
        <w:ind w:firstLine="482"/>
        <w:rPr>
          <w:rFonts w:ascii="宋体" w:hAnsi="宋体" w:eastAsia="宋体"/>
          <w:b/>
          <w:bCs/>
          <w:color w:val="auto"/>
          <w:highlight w:val="none"/>
        </w:rPr>
      </w:pPr>
      <w:r>
        <w:rPr>
          <w:rFonts w:ascii="宋体" w:hAnsi="宋体" w:eastAsia="宋体"/>
          <w:b/>
          <w:bCs/>
          <w:color w:val="auto"/>
          <w:highlight w:val="none"/>
        </w:rPr>
      </w:r>
      <w:r/>
    </w:p>
    <w:p>
      <w:pPr>
        <w:pStyle w:val="1006"/>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8" w:name="OLE_LINK8"/>
      <w:r/>
      <w:bookmarkStart w:id="269" w:name="OLE_LINK14"/>
      <w:r>
        <w:rPr>
          <w:rFonts w:hint="eastAsia" w:ascii="宋体" w:hAnsi="宋体" w:eastAsia="宋体"/>
          <w:b/>
          <w:bCs/>
          <w:color w:val="auto"/>
          <w:highlight w:val="none"/>
        </w:rPr>
        <w:t xml:space="preserve">技术要求的实质性格式</w:t>
      </w:r>
      <w:r/>
    </w:p>
    <w:tbl>
      <w:tblPr>
        <w:tblStyle w:val="761"/>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1006"/>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1006"/>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1006"/>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1006"/>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1006"/>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8"/>
      <w:r/>
      <w:r/>
    </w:p>
    <w:p>
      <w:pPr>
        <w:spacing w:line="400" w:lineRule="exact"/>
        <w:rPr>
          <w:rStyle w:val="948"/>
          <w:rFonts w:ascii="Times New Roman" w:hAnsi="Times New Roman" w:eastAsia="Times New Roman"/>
          <w:color w:val="auto"/>
          <w:highlight w:val="none"/>
        </w:rPr>
      </w:pPr>
      <w:r>
        <w:rPr>
          <w:rFonts w:ascii="Times New Roman" w:hAnsi="Times New Roman" w:eastAsia="Times New Roman"/>
          <w:color w:val="auto"/>
          <w:highlight w:val="none"/>
        </w:rPr>
      </w:r>
      <w:bookmarkEnd w:id="269"/>
      <w:r/>
      <w:r/>
    </w:p>
    <w:p>
      <w:pPr>
        <w:pStyle w:val="1007"/>
        <w:rPr>
          <w:rStyle w:val="948"/>
          <w:color w:val="auto"/>
          <w:highlight w:val="none"/>
        </w:rPr>
      </w:pPr>
      <w:r>
        <w:rPr>
          <w:rStyle w:val="948"/>
          <w:color w:val="auto"/>
          <w:highlight w:val="none"/>
        </w:rPr>
        <w:br w:type="page" w:clear="all"/>
      </w:r>
      <w:bookmarkStart w:id="270" w:name="_Toc256000018"/>
      <w:r/>
      <w:bookmarkEnd w:id="270"/>
      <w:r/>
      <w:r/>
    </w:p>
    <w:p>
      <w:pPr>
        <w:pStyle w:val="998"/>
        <w:rPr>
          <w:rStyle w:val="948"/>
          <w:rFonts w:hint="eastAsia" w:ascii="宋体" w:hAnsi="宋体"/>
          <w:b/>
          <w:color w:val="auto"/>
          <w:sz w:val="32"/>
          <w:highlight w:val="none"/>
        </w:rPr>
        <w:outlineLvl w:val="1"/>
      </w:pPr>
      <w:r/>
      <w:bookmarkStart w:id="271" w:name="_Toc23281"/>
      <w:r/>
      <w:bookmarkStart w:id="272" w:name="_Toc31328"/>
      <w:r>
        <w:rPr>
          <w:rStyle w:val="948"/>
          <w:rFonts w:hint="eastAsia" w:ascii="宋体" w:hAnsi="宋体"/>
          <w:b/>
          <w:color w:val="auto"/>
          <w:sz w:val="32"/>
          <w:highlight w:val="none"/>
        </w:rPr>
        <w:t xml:space="preserve">六、</w:t>
      </w:r>
      <w:bookmarkEnd w:id="271"/>
      <w:r/>
      <w:bookmarkEnd w:id="272"/>
      <w:r>
        <w:rPr>
          <w:rFonts w:ascii="宋体" w:hAnsi="宋体" w:eastAsia="宋体"/>
          <w:b/>
          <w:color w:val="auto"/>
          <w:sz w:val="32"/>
          <w:highlight w:val="none"/>
        </w:rPr>
        <w:t xml:space="preserve">投标配置及分项报价表</w:t>
      </w:r>
      <w:r/>
    </w:p>
    <w:p>
      <w:pPr>
        <w:pStyle w:val="1006"/>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6"/>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1006"/>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61"/>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6"/>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6"/>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6"/>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006"/>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006"/>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6"/>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1006"/>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6"/>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6"/>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6"/>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1006"/>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7"/>
        <w:rPr>
          <w:rFonts w:ascii="宋体" w:hAnsi="宋体" w:eastAsia="宋体"/>
          <w:b/>
          <w:color w:val="auto"/>
          <w:sz w:val="32"/>
          <w:highlight w:val="none"/>
        </w:rPr>
      </w:pPr>
      <w:r>
        <w:rPr>
          <w:rFonts w:ascii="宋体" w:hAnsi="宋体" w:eastAsia="宋体"/>
          <w:b/>
          <w:color w:val="auto"/>
          <w:sz w:val="32"/>
          <w:highlight w:val="none"/>
        </w:rPr>
      </w:r>
      <w:r/>
    </w:p>
    <w:p>
      <w:pPr>
        <w:pStyle w:val="1007"/>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1008"/>
        <w:spacing w:line="440" w:lineRule="exact"/>
        <w:rPr>
          <w:rFonts w:ascii="宋体" w:hAnsi="宋体" w:eastAsia="宋体"/>
        </w:rPr>
      </w:pPr>
      <w:r>
        <w:rPr>
          <w:rFonts w:ascii="宋体" w:hAnsi="宋体" w:eastAsia="宋体"/>
        </w:rPr>
        <w:t xml:space="preserve">﻿ </w:t>
      </w:r>
      <w:r/>
    </w:p>
    <w:p>
      <w:pPr>
        <w:pStyle w:val="1006"/>
        <w:ind w:firstLine="420"/>
        <w:jc w:val="center"/>
        <w:spacing w:before="400" w:after="400" w:line="300" w:lineRule="auto"/>
        <w:rPr>
          <w:rFonts w:hint="eastAsia" w:ascii="黑体" w:hAnsi="黑体" w:eastAsia="黑体"/>
          <w:b/>
          <w:bCs/>
          <w:sz w:val="40"/>
          <w:szCs w:val="40"/>
        </w:rPr>
      </w:pPr>
      <w:r/>
      <w:bookmarkStart w:id="273" w:name="OLE_LINK23"/>
      <w:r>
        <w:rPr>
          <w:rFonts w:hint="eastAsia" w:ascii="黑体" w:hAnsi="黑体" w:eastAsia="黑体"/>
          <w:b/>
          <w:bCs/>
          <w:sz w:val="40"/>
          <w:szCs w:val="40"/>
        </w:rPr>
        <w:t xml:space="preserve">常用零配件及耗材报价表</w:t>
      </w:r>
      <w:r/>
    </w:p>
    <w:p>
      <w:pPr>
        <w:pStyle w:val="1008"/>
        <w:spacing w:before="240" w:after="240"/>
        <w:rPr>
          <w:rFonts w:ascii="宋体" w:hAnsi="宋体" w:eastAsia="宋体"/>
        </w:rPr>
      </w:pPr>
      <w:r>
        <w:rPr>
          <w:rFonts w:ascii="宋体" w:hAnsi="宋体" w:eastAsia="宋体"/>
        </w:rPr>
        <w:t xml:space="preserve"> </w:t>
      </w:r>
      <w:r/>
    </w:p>
    <w:tbl>
      <w:tblPr>
        <w:tblStyle w:val="761"/>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008"/>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008"/>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008"/>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008"/>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008"/>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008"/>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008"/>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00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00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0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0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008"/>
              <w:jc w:val="center"/>
              <w:rPr>
                <w:rFonts w:ascii="宋体" w:hAnsi="宋体" w:eastAsia="宋体"/>
              </w:rPr>
            </w:pPr>
            <w:r>
              <w:rPr>
                <w:rFonts w:ascii="宋体" w:hAnsi="宋体" w:eastAsia="宋体"/>
              </w:rPr>
              <w:t xml:space="preserve">    </w:t>
            </w:r>
            <w:r/>
          </w:p>
        </w:tc>
      </w:tr>
    </w:tbl>
    <w:p>
      <w:pPr>
        <w:pStyle w:val="1008"/>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73"/>
      <w:r/>
      <w:r/>
    </w:p>
    <w:p>
      <w:pPr>
        <w:rPr>
          <w:rStyle w:val="948"/>
          <w:rFonts w:ascii="宋体" w:hAnsi="宋体"/>
          <w:b/>
          <w:sz w:val="32"/>
        </w:rPr>
      </w:pPr>
      <w:r>
        <w:rPr>
          <w:rStyle w:val="948"/>
          <w:rFonts w:hint="eastAsia" w:ascii="宋体" w:hAnsi="宋体"/>
          <w:b/>
          <w:sz w:val="32"/>
        </w:rPr>
        <w:br w:type="page" w:clear="all"/>
      </w:r>
      <w:r/>
    </w:p>
    <w:p>
      <w:pPr>
        <w:pStyle w:val="762"/>
      </w:pPr>
      <w:r/>
      <w:r/>
    </w:p>
    <w:p>
      <w:pPr>
        <w:pStyle w:val="1009"/>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48"/>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37"/>
        <w:jc w:val="center"/>
        <w:spacing w:before="320" w:after="320" w:line="300" w:lineRule="auto"/>
        <w:rPr>
          <w:rFonts w:hint="eastAsia" w:ascii="黑体" w:hAnsi="黑体" w:eastAsia="黑体" w:cs="黑体"/>
          <w:b/>
          <w:bCs/>
          <w:sz w:val="32"/>
          <w:szCs w:val="32"/>
        </w:rPr>
      </w:pPr>
      <w:r/>
      <w:bookmarkStart w:id="274" w:name="OLE_LINK21"/>
      <w:r/>
      <w:bookmarkStart w:id="275"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74"/>
      <w:r/>
      <w:r/>
    </w:p>
    <w:p>
      <w:pPr>
        <w:rPr>
          <w:rStyle w:val="948"/>
          <w:rFonts w:ascii="宋体" w:hAnsi="宋体"/>
          <w:b/>
          <w:sz w:val="32"/>
        </w:rPr>
      </w:pPr>
      <w:r>
        <w:rPr>
          <w:rFonts w:ascii="宋体" w:hAnsi="宋体"/>
          <w:b/>
          <w:sz w:val="32"/>
        </w:rPr>
      </w:r>
      <w:bookmarkEnd w:id="275"/>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pPr>
        <w:pStyle w:val="762"/>
        <w:rPr>
          <w:rStyle w:val="948"/>
          <w:rFonts w:ascii="宋体" w:hAnsi="宋体"/>
          <w:b/>
          <w:sz w:val="32"/>
        </w:rPr>
      </w:pPr>
      <w:r>
        <w:rPr>
          <w:rFonts w:ascii="宋体" w:hAnsi="宋体"/>
          <w:b/>
          <w:sz w:val="32"/>
        </w:rPr>
      </w:r>
      <w:r/>
    </w:p>
    <w:p>
      <w:pPr>
        <w:rPr>
          <w:rStyle w:val="948"/>
          <w:rFonts w:ascii="宋体" w:hAnsi="宋体"/>
          <w:b/>
          <w:sz w:val="32"/>
        </w:rPr>
      </w:pPr>
      <w:r>
        <w:rPr>
          <w:rFonts w:ascii="宋体" w:hAnsi="宋体"/>
          <w:b/>
          <w:sz w:val="32"/>
        </w:rPr>
      </w:r>
      <w:r/>
    </w:p>
    <w:p>
      <w:r/>
      <w:r/>
    </w:p>
    <w:p>
      <w:pPr>
        <w:pStyle w:val="1009"/>
        <w:rPr>
          <w:rStyle w:val="948"/>
          <w:rFonts w:hint="default"/>
        </w:rPr>
      </w:pPr>
      <w:r>
        <w:rPr>
          <w:rStyle w:val="948"/>
          <w:rFonts w:hint="eastAsia" w:ascii="宋体" w:hAnsi="宋体" w:cs="宋体"/>
          <w:b/>
          <w:sz w:val="32"/>
        </w:rPr>
        <w:t xml:space="preserve">九、</w:t>
      </w:r>
      <w:r>
        <w:rPr>
          <w:rStyle w:val="948"/>
          <w:rFonts w:hint="default" w:ascii="宋体" w:hAnsi="宋体" w:cs="宋体"/>
          <w:b/>
          <w:sz w:val="32"/>
        </w:rPr>
        <w:t xml:space="preserve">服务方案</w:t>
      </w:r>
      <w:r/>
    </w:p>
    <w:p>
      <w:pPr>
        <w:jc w:val="center"/>
        <w:keepLines/>
        <w:keepNext/>
        <w:spacing w:before="260" w:after="260" w:line="415" w:lineRule="auto"/>
        <w:widowControl w:val="off"/>
        <w:rPr>
          <w:rStyle w:val="948"/>
          <w:rFonts w:hint="eastAsia" w:ascii="宋体" w:hAnsi="宋体" w:eastAsia="宋体" w:cs="Times New Roman"/>
          <w:b/>
          <w:bCs/>
          <w:sz w:val="28"/>
          <w:szCs w:val="28"/>
          <w:lang w:val="en-US" w:eastAsia="zh-CN" w:bidi="ar-SA"/>
        </w:rPr>
        <w:outlineLvl w:val="1"/>
      </w:pPr>
      <w:r>
        <w:rPr>
          <w:rStyle w:val="948"/>
          <w:rFonts w:hint="eastAsia" w:ascii="宋体" w:hAnsi="宋体"/>
          <w:b/>
          <w:bCs/>
          <w:sz w:val="28"/>
          <w:szCs w:val="28"/>
        </w:rPr>
        <w:t xml:space="preserve">服务方案</w:t>
      </w:r>
      <w:r/>
    </w:p>
    <w:p>
      <w:pPr>
        <w:jc w:val="left"/>
        <w:spacing w:line="360" w:lineRule="auto"/>
        <w:widowControl w:val="off"/>
        <w:rPr>
          <w:rStyle w:val="948"/>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48"/>
          <w:rFonts w:hint="eastAsia" w:ascii="宋体" w:hAnsi="宋体" w:eastAsia="宋体" w:cs="Arial"/>
          <w:sz w:val="24"/>
          <w:szCs w:val="21"/>
          <w:lang w:val="en-US" w:eastAsia="zh-CN" w:bidi="ar-SA"/>
        </w:rPr>
        <w:outlineLvl w:val="1"/>
      </w:pPr>
      <w:r>
        <w:rPr>
          <w:rStyle w:val="948"/>
          <w:rFonts w:hint="eastAsia" w:ascii="宋体" w:hAnsi="宋体" w:cs="Arial"/>
          <w:sz w:val="24"/>
          <w:szCs w:val="21"/>
        </w:rPr>
        <w:t xml:space="preserve">（服务方案的内容编排等由投标人自定）</w:t>
      </w:r>
      <w:r/>
    </w:p>
    <w:p>
      <w:pPr>
        <w:pStyle w:val="1010"/>
        <w:rPr>
          <w:rFonts w:hint="eastAsia" w:ascii="宋体" w:hAnsi="宋体" w:eastAsia="宋体" w:cs="宋体"/>
          <w:sz w:val="24"/>
          <w:szCs w:val="24"/>
          <w:lang w:bidi="ar"/>
        </w:rPr>
        <w:outlineLvl w:val="0"/>
      </w:pPr>
      <w:r>
        <w:rPr>
          <w:rStyle w:val="948"/>
          <w:rFonts w:hint="default"/>
        </w:rPr>
        <w:br w:type="page" w:clear="all"/>
      </w:r>
      <w:bookmarkStart w:id="276" w:name="_Toc17468"/>
      <w:r/>
      <w:bookmarkStart w:id="277" w:name="_Toc16991"/>
      <w:r/>
      <w:bookmarkStart w:id="278" w:name="_Toc11335"/>
      <w:r>
        <w:rPr>
          <w:rStyle w:val="948"/>
          <w:rFonts w:hint="eastAsia" w:ascii="宋体" w:hAnsi="宋体" w:cs="宋体"/>
          <w:b/>
          <w:sz w:val="32"/>
        </w:rPr>
        <w:t xml:space="preserve">十</w:t>
      </w:r>
      <w:r>
        <w:rPr>
          <w:rStyle w:val="948"/>
          <w:rFonts w:hint="default" w:ascii="宋体" w:hAnsi="宋体" w:cs="宋体"/>
          <w:b/>
          <w:sz w:val="32"/>
        </w:rPr>
        <w:t xml:space="preserve">、投标人情况介绍</w:t>
      </w:r>
      <w:r>
        <w:rPr>
          <w:rStyle w:val="948"/>
          <w:rFonts w:hint="eastAsia" w:ascii="宋体" w:hAnsi="宋体" w:cs="Arial"/>
          <w:sz w:val="24"/>
          <w:szCs w:val="24"/>
        </w:rPr>
        <w:t xml:space="preserve">（内容自定，可参考如下）</w:t>
      </w:r>
      <w:bookmarkEnd w:id="276"/>
      <w:r/>
      <w:bookmarkEnd w:id="277"/>
      <w:r/>
      <w:bookmarkEnd w:id="278"/>
      <w:r/>
      <w:r/>
    </w:p>
    <w:p>
      <w:pPr>
        <w:spacing w:line="440" w:lineRule="exact"/>
        <w:widowControl/>
        <w:rPr>
          <w:rFonts w:hint="eastAsia" w:ascii="宋体" w:hAnsi="宋体" w:cs="宋体"/>
          <w:color w:val="000000"/>
          <w:sz w:val="24"/>
          <w:szCs w:val="24"/>
          <w:lang w:bidi="ar"/>
        </w:rPr>
      </w:pPr>
      <w:r/>
      <w:bookmarkStart w:id="279"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b/>
          <w:sz w:val="32"/>
        </w:rPr>
        <w:outlineLvl w:val="0"/>
      </w:pPr>
      <w:r>
        <w:rPr>
          <w:rFonts w:hint="eastAsia" w:ascii="宋体" w:hAnsi="宋体" w:eastAsia="宋体" w:cs="宋体"/>
          <w:b/>
          <w:sz w:val="32"/>
        </w:rPr>
      </w:r>
      <w:r/>
    </w:p>
    <w:p>
      <w:pPr>
        <w:pStyle w:val="1011"/>
        <w:rPr>
          <w:rFonts w:hint="eastAsia" w:ascii="宋体" w:hAnsi="宋体" w:eastAsia="宋体" w:cs="宋体"/>
        </w:rPr>
        <w:outlineLvl w:val="0"/>
      </w:pPr>
      <w:r/>
      <w:bookmarkStart w:id="280" w:name="_Toc11441"/>
      <w:r/>
      <w:bookmarkStart w:id="281" w:name="_Toc20966"/>
      <w:r>
        <w:rPr>
          <w:rFonts w:hint="eastAsia" w:ascii="宋体" w:hAnsi="宋体" w:eastAsia="宋体" w:cs="宋体"/>
          <w:b/>
          <w:sz w:val="32"/>
        </w:rPr>
        <w:t xml:space="preserve">十</w:t>
      </w:r>
      <w:r>
        <w:rPr>
          <w:rFonts w:hint="eastAsia" w:ascii="宋体" w:hAnsi="宋体" w:eastAsia="宋体" w:cs="宋体"/>
          <w:b/>
          <w:sz w:val="32"/>
          <w:lang w:eastAsia="zh-CN"/>
        </w:rPr>
        <w:t xml:space="preserve">一</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9"/>
      <w:r/>
      <w:bookmarkEnd w:id="280"/>
      <w:r/>
      <w:bookmarkEnd w:id="281"/>
      <w:r/>
      <w:r/>
    </w:p>
    <w:p>
      <w:pPr>
        <w:pStyle w:val="999"/>
        <w:jc w:val="center"/>
        <w:spacing w:before="320" w:after="320"/>
        <w:rPr>
          <w:rFonts w:hint="eastAsia" w:ascii="宋体" w:hAnsi="宋体" w:eastAsia="宋体" w:cs="宋体"/>
          <w:sz w:val="32"/>
          <w:szCs w:val="32"/>
        </w:rPr>
      </w:pPr>
      <w:r/>
      <w:bookmarkStart w:id="282"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99"/>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1000"/>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000"/>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99"/>
        <w:spacing w:before="240" w:after="240"/>
        <w:rPr>
          <w:rFonts w:hint="eastAsia" w:ascii="宋体" w:hAnsi="宋体" w:eastAsia="宋体" w:cs="宋体"/>
        </w:rPr>
      </w:pPr>
      <w:r>
        <w:rPr>
          <w:rFonts w:hint="eastAsia" w:ascii="宋体" w:hAnsi="宋体" w:eastAsia="宋体" w:cs="宋体"/>
        </w:rPr>
        <w:t xml:space="preserve">3.</w:t>
      </w:r>
      <w:r/>
    </w:p>
    <w:p>
      <w:pPr>
        <w:pStyle w:val="999"/>
        <w:spacing w:before="240" w:after="240"/>
        <w:rPr>
          <w:rFonts w:hint="eastAsia" w:ascii="宋体" w:hAnsi="宋体" w:eastAsia="宋体" w:cs="宋体"/>
        </w:rPr>
      </w:pPr>
      <w:r>
        <w:rPr>
          <w:rFonts w:hint="eastAsia" w:ascii="宋体" w:hAnsi="宋体" w:eastAsia="宋体" w:cs="宋体"/>
        </w:rPr>
        <w:t xml:space="preserve">4.</w:t>
      </w:r>
      <w:r/>
    </w:p>
    <w:p>
      <w:pPr>
        <w:pStyle w:val="999"/>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99"/>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99"/>
        <w:spacing w:before="240" w:after="240"/>
        <w:rPr>
          <w:rFonts w:hint="eastAsia" w:ascii="宋体" w:hAnsi="宋体" w:eastAsia="宋体" w:cs="宋体"/>
        </w:rPr>
      </w:pPr>
      <w:r>
        <w:rPr>
          <w:rFonts w:hint="default" w:ascii="宋体" w:hAnsi="宋体" w:eastAsia="宋体" w:cs="宋体"/>
        </w:rPr>
        <w:t xml:space="preserve">企业名称（盖章）：   </w:t>
      </w:r>
      <w:r/>
    </w:p>
    <w:p>
      <w:pPr>
        <w:pStyle w:val="999"/>
        <w:spacing w:before="240" w:after="240"/>
        <w:rPr>
          <w:rFonts w:hint="eastAsia" w:ascii="宋体" w:hAnsi="宋体" w:eastAsia="宋体" w:cs="宋体"/>
        </w:rPr>
      </w:pPr>
      <w:r>
        <w:rPr>
          <w:rFonts w:hint="default" w:ascii="宋体" w:hAnsi="宋体" w:eastAsia="宋体" w:cs="宋体"/>
        </w:rPr>
        <w:t xml:space="preserve">日期：   </w:t>
      </w:r>
      <w:r/>
    </w:p>
    <w:p>
      <w:pPr>
        <w:pStyle w:val="999"/>
        <w:spacing w:before="240" w:after="240"/>
        <w:rPr>
          <w:rFonts w:hint="eastAsia" w:ascii="宋体" w:hAnsi="宋体" w:eastAsia="宋体" w:cs="宋体"/>
        </w:rPr>
      </w:pPr>
      <w:r>
        <w:rPr>
          <w:rFonts w:hint="eastAsia" w:ascii="宋体" w:hAnsi="宋体" w:eastAsia="宋体" w:cs="宋体"/>
        </w:rPr>
      </w:r>
      <w:r/>
    </w:p>
    <w:p>
      <w:pPr>
        <w:pStyle w:val="999"/>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99"/>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99"/>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99"/>
        <w:spacing w:before="240" w:after="240"/>
        <w:rPr>
          <w:rStyle w:val="948"/>
          <w:rFonts w:hint="eastAsia" w:ascii="宋体" w:hAnsi="宋体" w:cs="宋体"/>
          <w:b/>
          <w:bCs/>
          <w:color w:val="000000"/>
          <w:sz w:val="24"/>
          <w:szCs w:val="24"/>
        </w:rPr>
      </w:pPr>
      <w:r>
        <w:rPr>
          <w:rStyle w:val="948"/>
          <w:rFonts w:hint="eastAsia" w:ascii="宋体" w:hAnsi="宋体" w:cs="宋体"/>
          <w:color w:val="000000"/>
          <w:sz w:val="24"/>
          <w:szCs w:val="24"/>
        </w:rPr>
        <w:t xml:space="preserve">3.</w:t>
      </w:r>
      <w:r>
        <w:rPr>
          <w:rStyle w:val="948"/>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48"/>
          <w:rFonts w:hint="default" w:ascii="宋体" w:hAnsi="宋体" w:cs="宋体"/>
          <w:b/>
          <w:bCs/>
          <w:color w:val="000000"/>
          <w:sz w:val="24"/>
          <w:szCs w:val="24"/>
        </w:rPr>
        <w:t xml:space="preserve">服务类项目中供应商若使用退休人员，将不享受相应扶持政策。</w:t>
      </w:r>
      <w:r/>
    </w:p>
    <w:p>
      <w:pPr>
        <w:pStyle w:val="999"/>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99"/>
        <w:spacing w:before="240" w:after="240"/>
        <w:rPr>
          <w:rFonts w:hint="eastAsia" w:ascii="宋体" w:hAnsi="宋体" w:eastAsia="宋体" w:cs="宋体"/>
        </w:rPr>
      </w:pPr>
      <w:r>
        <w:rPr>
          <w:rFonts w:hint="eastAsia" w:ascii="宋体" w:hAnsi="宋体" w:eastAsia="宋体" w:cs="宋体"/>
        </w:rPr>
      </w:r>
      <w:r/>
    </w:p>
    <w:p>
      <w:pPr>
        <w:pStyle w:val="999"/>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99"/>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99"/>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9"/>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001"/>
        <w:spacing w:before="240" w:after="240"/>
        <w:rPr>
          <w:rFonts w:hint="eastAsia" w:ascii="宋体" w:hAnsi="宋体" w:eastAsia="宋体" w:cs="宋体"/>
        </w:rPr>
      </w:pPr>
      <w:r>
        <w:rPr>
          <w:rFonts w:hint="eastAsia" w:ascii="宋体" w:hAnsi="宋体" w:eastAsia="宋体" w:cs="宋体"/>
        </w:rPr>
      </w:r>
      <w:r/>
    </w:p>
    <w:p>
      <w:pPr>
        <w:pStyle w:val="1001"/>
        <w:spacing w:before="240" w:after="240"/>
        <w:rPr>
          <w:rFonts w:hint="eastAsia" w:ascii="宋体" w:hAnsi="宋体" w:eastAsia="宋体" w:cs="宋体"/>
        </w:rPr>
      </w:pPr>
      <w:r>
        <w:rPr>
          <w:rFonts w:hint="eastAsia" w:ascii="宋体" w:hAnsi="宋体" w:eastAsia="宋体" w:cs="宋体"/>
        </w:rPr>
      </w:r>
      <w:r/>
    </w:p>
    <w:p>
      <w:pPr>
        <w:pStyle w:val="1001"/>
        <w:spacing w:before="240" w:after="240"/>
        <w:rPr>
          <w:rFonts w:hint="eastAsia" w:ascii="宋体" w:hAnsi="宋体" w:eastAsia="宋体" w:cs="宋体"/>
        </w:rPr>
      </w:pPr>
      <w:r>
        <w:rPr>
          <w:rFonts w:hint="eastAsia" w:ascii="宋体" w:hAnsi="宋体" w:eastAsia="宋体" w:cs="宋体"/>
        </w:rPr>
      </w:r>
      <w:r/>
    </w:p>
    <w:p>
      <w:pPr>
        <w:pStyle w:val="1001"/>
        <w:spacing w:before="240" w:after="240"/>
        <w:rPr>
          <w:rFonts w:hint="eastAsia" w:ascii="宋体" w:hAnsi="宋体" w:eastAsia="宋体" w:cs="宋体"/>
        </w:rPr>
      </w:pPr>
      <w:r>
        <w:rPr>
          <w:rFonts w:hint="default" w:ascii="宋体" w:hAnsi="宋体" w:eastAsia="宋体" w:cs="宋体"/>
        </w:rPr>
        <w:t xml:space="preserve"> </w:t>
      </w:r>
      <w:r/>
    </w:p>
    <w:p>
      <w:pPr>
        <w:pStyle w:val="1001"/>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1001"/>
        <w:spacing w:before="240" w:after="240"/>
        <w:rPr>
          <w:rFonts w:hint="eastAsia" w:ascii="宋体" w:hAnsi="宋体" w:eastAsia="宋体" w:cs="宋体"/>
        </w:rPr>
      </w:pPr>
      <w:r>
        <w:rPr>
          <w:rFonts w:hint="default" w:ascii="宋体" w:hAnsi="宋体" w:eastAsia="宋体" w:cs="宋体"/>
        </w:rPr>
        <w:t xml:space="preserve"> </w:t>
      </w:r>
      <w:r/>
    </w:p>
    <w:p>
      <w:pPr>
        <w:pStyle w:val="1001"/>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001"/>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1001"/>
        <w:jc w:val="center"/>
        <w:spacing w:before="240" w:after="240"/>
        <w:rPr>
          <w:rFonts w:hint="eastAsia" w:ascii="宋体" w:hAnsi="宋体" w:eastAsia="宋体" w:cs="宋体"/>
        </w:rPr>
      </w:pPr>
      <w:r>
        <w:rPr>
          <w:rFonts w:hint="default" w:ascii="宋体" w:hAnsi="宋体" w:eastAsia="宋体" w:cs="宋体"/>
        </w:rPr>
        <w:t xml:space="preserve"> </w:t>
      </w:r>
      <w:r/>
    </w:p>
    <w:p>
      <w:pPr>
        <w:pStyle w:val="1001"/>
        <w:jc w:val="center"/>
        <w:spacing w:before="240" w:after="240"/>
        <w:rPr>
          <w:rFonts w:hint="eastAsia" w:ascii="宋体" w:hAnsi="宋体" w:eastAsia="宋体" w:cs="宋体"/>
        </w:rPr>
      </w:pPr>
      <w:r>
        <w:rPr>
          <w:rFonts w:hint="default" w:ascii="宋体" w:hAnsi="宋体" w:eastAsia="宋体" w:cs="宋体"/>
        </w:rPr>
        <w:t xml:space="preserve"> </w:t>
      </w:r>
      <w:r/>
    </w:p>
    <w:p>
      <w:pPr>
        <w:pStyle w:val="1001"/>
        <w:jc w:val="center"/>
        <w:spacing w:before="240" w:after="240"/>
        <w:rPr>
          <w:rFonts w:hint="eastAsia" w:ascii="宋体" w:hAnsi="宋体" w:eastAsia="宋体" w:cs="宋体"/>
        </w:rPr>
      </w:pPr>
      <w:r>
        <w:rPr>
          <w:rFonts w:hint="default" w:ascii="宋体" w:hAnsi="宋体" w:eastAsia="宋体" w:cs="宋体"/>
        </w:rPr>
        <w:t xml:space="preserve"> </w:t>
      </w:r>
      <w:r/>
    </w:p>
    <w:p>
      <w:pPr>
        <w:pStyle w:val="1001"/>
        <w:spacing w:before="240" w:after="240"/>
        <w:rPr>
          <w:rFonts w:hint="eastAsia" w:ascii="宋体" w:hAnsi="宋体" w:eastAsia="宋体" w:cs="宋体"/>
        </w:rPr>
      </w:pPr>
      <w:r>
        <w:rPr>
          <w:rFonts w:hint="default" w:ascii="宋体" w:hAnsi="宋体" w:eastAsia="宋体" w:cs="宋体"/>
        </w:rPr>
        <w:t xml:space="preserve">单位名称（盖章）：   </w:t>
      </w:r>
      <w:r/>
    </w:p>
    <w:p>
      <w:pPr>
        <w:pStyle w:val="1001"/>
        <w:spacing w:before="240" w:after="240"/>
        <w:rPr>
          <w:rFonts w:hint="eastAsia" w:ascii="宋体" w:hAnsi="宋体" w:eastAsia="宋体" w:cs="宋体"/>
        </w:rPr>
      </w:pPr>
      <w:r>
        <w:rPr>
          <w:rFonts w:hint="default" w:ascii="宋体" w:hAnsi="宋体" w:eastAsia="宋体" w:cs="宋体"/>
        </w:rPr>
        <w:t xml:space="preserve">日期：   </w:t>
      </w:r>
      <w:r/>
    </w:p>
    <w:p>
      <w:pPr>
        <w:pStyle w:val="1001"/>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01"/>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1001"/>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001"/>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002"/>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82"/>
      <w:r/>
      <w:r/>
    </w:p>
    <w:p>
      <w:pPr>
        <w:pStyle w:val="1008"/>
        <w:rPr>
          <w:rStyle w:val="948"/>
          <w:rFonts w:hint="default"/>
        </w:rPr>
      </w:pPr>
      <w:r>
        <w:rPr>
          <w:rFonts w:hint="default"/>
        </w:rPr>
      </w:r>
      <w:r/>
    </w:p>
    <w:p>
      <w:pPr>
        <w:pStyle w:val="1038"/>
        <w:jc w:val="center"/>
        <w:spacing w:before="240" w:after="240"/>
        <w:rPr>
          <w:rStyle w:val="948"/>
          <w:rFonts w:hint="default"/>
        </w:rPr>
      </w:pPr>
      <w:r>
        <w:rPr>
          <w:rStyle w:val="948"/>
          <w:rFonts w:hint="default" w:ascii="宋体" w:hAnsi="宋体" w:cs="宋体"/>
          <w:b/>
          <w:sz w:val="28"/>
        </w:rPr>
        <w:t xml:space="preserve"> </w:t>
      </w:r>
      <w:r/>
    </w:p>
    <w:p>
      <w:pPr>
        <w:pStyle w:val="1039"/>
        <w:spacing w:before="240" w:after="240"/>
        <w:rPr>
          <w:rStyle w:val="948"/>
          <w:rFonts w:hint="default"/>
        </w:rPr>
      </w:pPr>
      <w:r>
        <w:rPr>
          <w:rStyle w:val="948"/>
          <w:rFonts w:hint="default"/>
        </w:rPr>
        <w:t xml:space="preserve"> </w:t>
      </w:r>
      <w:r/>
    </w:p>
    <w:p>
      <w:pPr>
        <w:pStyle w:val="1037"/>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1011"/>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1011"/>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011"/>
        <w:numPr>
          <w:ilvl w:val="0"/>
          <w:numId w:val="0"/>
        </w:numPr>
        <w:ind w:firstLine="1920"/>
        <w:rPr>
          <w:rFonts w:hint="eastAsia" w:ascii="宋体" w:hAnsi="宋体" w:eastAsia="宋体" w:cs="宋体"/>
          <w:b w:val="0"/>
          <w:bCs/>
          <w:sz w:val="32"/>
        </w:rPr>
        <w:outlineLvl w:val="0"/>
      </w:pPr>
      <w:r/>
      <w:bookmarkStart w:id="283"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84"/>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84"/>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84"/>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84"/>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84"/>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83"/>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1009"/>
        <w:rPr>
          <w:rFonts w:ascii="宋体" w:hAnsi="宋体"/>
          <w:b/>
          <w:bCs/>
          <w:sz w:val="20"/>
          <w:szCs w:val="32"/>
          <w:highlight w:val="white"/>
        </w:rPr>
      </w:pPr>
      <w:r>
        <w:rPr>
          <w:rFonts w:ascii="宋体" w:hAnsi="宋体"/>
          <w:b/>
          <w:bCs/>
          <w:sz w:val="20"/>
          <w:szCs w:val="32"/>
          <w:highlight w:val="white"/>
        </w:rPr>
      </w:r>
      <w:r/>
    </w:p>
    <w:p>
      <w:pPr>
        <w:pStyle w:val="762"/>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ymbol">
    <w:panose1 w:val="05050102010706020507"/>
  </w:font>
  <w:font w:name="Wingdings">
    <w:panose1 w:val="05000000000000000000"/>
  </w:font>
  <w:font w:name="等线">
    <w:panose1 w:val="02010600030101010101"/>
  </w:font>
  <w:font w:name="Courier New">
    <w:panose1 w:val="02070309020205020404"/>
  </w:font>
  <w:font w:name="书宋-简">
    <w:panose1 w:val="020B0503020202020204"/>
  </w:font>
  <w:font w:name="Cambria">
    <w:panose1 w:val="02040503050406030204"/>
  </w:font>
  <w:font w:name="华文中宋">
    <w:panose1 w:val="02010600040101010101"/>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framePr w:wrap="around" w:vAnchor="text" w:hAnchor="margin" w:xAlign="center" w:y="1"/>
    </w:pPr>
    <w:r>
      <w:fldChar w:fldCharType="begin"/>
    </w:r>
    <w:r>
      <w:rPr>
        <w:rStyle w:val="1014"/>
        <w:sz w:val="21"/>
        <w:szCs w:val="22"/>
        <w:highlight w:val="white"/>
      </w:rPr>
      <w:instrText xml:space="preserve">PAGE  </w:instrText>
    </w:r>
    <w:r>
      <w:fldChar w:fldCharType="separate"/>
    </w:r>
    <w:r>
      <w:rPr>
        <w:rStyle w:val="1014"/>
        <w:sz w:val="21"/>
        <w:szCs w:val="22"/>
        <w:highlight w:val="white"/>
      </w:rPr>
      <w:t xml:space="preserve">1</w:t>
    </w:r>
    <w:r>
      <w:fldChar w:fldCharType="end"/>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framePr w:wrap="around" w:vAnchor="text" w:hAnchor="margin" w:xAlign="center" w:y="1"/>
    </w:pPr>
    <w:r>
      <w:fldChar w:fldCharType="begin"/>
    </w:r>
    <w:r>
      <w:rPr>
        <w:rStyle w:val="1014"/>
        <w:sz w:val="21"/>
        <w:szCs w:val="22"/>
        <w:highlight w:val="white"/>
      </w:rPr>
      <w:instrText xml:space="preserve">PAGE  </w:instrTex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1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abstractNum w:abstractNumId="4">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abstractNum w:abstractNumId="5">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abstractNum w:abstractNumId="6">
    <w:multiLevelType w:val="hybridMultilevel"/>
    <w:lvl w:ilvl="0">
      <w:start w:val="1"/>
      <w:numFmt w:val="lowerLetter"/>
      <w:isLgl w:val="false"/>
      <w:suff w:val="tab"/>
      <w:lvlText w:val="%1)"/>
      <w:lvlJc w:val="left"/>
      <w:pPr>
        <w:ind w:left="376"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662" w:hanging="269"/>
      </w:pPr>
      <w:rPr>
        <w:rFonts w:hint="default"/>
      </w:rPr>
    </w:lvl>
    <w:lvl w:ilvl="2">
      <w:start w:val="0"/>
      <w:numFmt w:val="bullet"/>
      <w:isLgl w:val="false"/>
      <w:suff w:val="tab"/>
      <w:lvlText w:val="•"/>
      <w:lvlJc w:val="left"/>
      <w:pPr>
        <w:ind w:left="944" w:hanging="269"/>
      </w:pPr>
      <w:rPr>
        <w:rFonts w:hint="default"/>
      </w:rPr>
    </w:lvl>
    <w:lvl w:ilvl="3">
      <w:start w:val="0"/>
      <w:numFmt w:val="bullet"/>
      <w:isLgl w:val="false"/>
      <w:suff w:val="tab"/>
      <w:lvlText w:val="•"/>
      <w:lvlJc w:val="left"/>
      <w:pPr>
        <w:ind w:left="1227" w:hanging="269"/>
      </w:pPr>
      <w:rPr>
        <w:rFonts w:hint="default"/>
      </w:rPr>
    </w:lvl>
    <w:lvl w:ilvl="4">
      <w:start w:val="0"/>
      <w:numFmt w:val="bullet"/>
      <w:isLgl w:val="false"/>
      <w:suff w:val="tab"/>
      <w:lvlText w:val="•"/>
      <w:lvlJc w:val="left"/>
      <w:pPr>
        <w:ind w:left="1509" w:hanging="269"/>
      </w:pPr>
      <w:rPr>
        <w:rFonts w:hint="default"/>
      </w:rPr>
    </w:lvl>
    <w:lvl w:ilvl="5">
      <w:start w:val="0"/>
      <w:numFmt w:val="bullet"/>
      <w:isLgl w:val="false"/>
      <w:suff w:val="tab"/>
      <w:lvlText w:val="•"/>
      <w:lvlJc w:val="left"/>
      <w:pPr>
        <w:ind w:left="1792" w:hanging="269"/>
      </w:pPr>
      <w:rPr>
        <w:rFonts w:hint="default"/>
      </w:rPr>
    </w:lvl>
    <w:lvl w:ilvl="6">
      <w:start w:val="0"/>
      <w:numFmt w:val="bullet"/>
      <w:isLgl w:val="false"/>
      <w:suff w:val="tab"/>
      <w:lvlText w:val="•"/>
      <w:lvlJc w:val="left"/>
      <w:pPr>
        <w:ind w:left="2074" w:hanging="269"/>
      </w:pPr>
      <w:rPr>
        <w:rFonts w:hint="default"/>
      </w:rPr>
    </w:lvl>
    <w:lvl w:ilvl="7">
      <w:start w:val="0"/>
      <w:numFmt w:val="bullet"/>
      <w:isLgl w:val="false"/>
      <w:suff w:val="tab"/>
      <w:lvlText w:val="•"/>
      <w:lvlJc w:val="left"/>
      <w:pPr>
        <w:ind w:left="2356" w:hanging="269"/>
      </w:pPr>
      <w:rPr>
        <w:rFonts w:hint="default"/>
      </w:rPr>
    </w:lvl>
    <w:lvl w:ilvl="8">
      <w:start w:val="0"/>
      <w:numFmt w:val="bullet"/>
      <w:isLgl w:val="false"/>
      <w:suff w:val="tab"/>
      <w:lvlText w:val="•"/>
      <w:lvlJc w:val="left"/>
      <w:pPr>
        <w:ind w:left="2639" w:hanging="269"/>
      </w:pPr>
      <w:rPr>
        <w:rFonts w:hint="default"/>
      </w:rPr>
    </w:lvl>
  </w:abstractNum>
  <w:abstractNum w:abstractNumId="7">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abstractNum w:abstractNumId="8">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abstractNum w:abstractNumId="9">
    <w:multiLevelType w:val="hybridMultilevel"/>
    <w:lvl w:ilvl="0">
      <w:start w:val="1"/>
      <w:numFmt w:val="lowerLetter"/>
      <w:isLgl w:val="false"/>
      <w:suff w:val="tab"/>
      <w:lvlText w:val="%1)"/>
      <w:lvlJc w:val="left"/>
      <w:pPr>
        <w:ind w:left="108" w:hanging="269"/>
        <w:jc w:val="left"/>
      </w:pPr>
      <w:rPr>
        <w:rFonts w:hint="default" w:ascii="黑体" w:hAnsi="黑体" w:eastAsia="黑体" w:cs="黑体"/>
        <w:b w:val="0"/>
        <w:bCs w:val="0"/>
        <w:i w:val="0"/>
        <w:iCs w:val="0"/>
        <w:spacing w:val="-2"/>
        <w:sz w:val="18"/>
        <w:szCs w:val="18"/>
      </w:rPr>
    </w:lvl>
    <w:lvl w:ilvl="1">
      <w:start w:val="0"/>
      <w:numFmt w:val="bullet"/>
      <w:isLgl w:val="false"/>
      <w:suff w:val="tab"/>
      <w:lvlText w:val="•"/>
      <w:lvlJc w:val="left"/>
      <w:pPr>
        <w:ind w:left="410" w:hanging="269"/>
      </w:pPr>
      <w:rPr>
        <w:rFonts w:hint="default"/>
      </w:rPr>
    </w:lvl>
    <w:lvl w:ilvl="2">
      <w:start w:val="0"/>
      <w:numFmt w:val="bullet"/>
      <w:isLgl w:val="false"/>
      <w:suff w:val="tab"/>
      <w:lvlText w:val="•"/>
      <w:lvlJc w:val="left"/>
      <w:pPr>
        <w:ind w:left="720" w:hanging="269"/>
      </w:pPr>
      <w:rPr>
        <w:rFonts w:hint="default"/>
      </w:rPr>
    </w:lvl>
    <w:lvl w:ilvl="3">
      <w:start w:val="0"/>
      <w:numFmt w:val="bullet"/>
      <w:isLgl w:val="false"/>
      <w:suff w:val="tab"/>
      <w:lvlText w:val="•"/>
      <w:lvlJc w:val="left"/>
      <w:pPr>
        <w:ind w:left="1031" w:hanging="269"/>
      </w:pPr>
      <w:rPr>
        <w:rFonts w:hint="default"/>
      </w:rPr>
    </w:lvl>
    <w:lvl w:ilvl="4">
      <w:start w:val="0"/>
      <w:numFmt w:val="bullet"/>
      <w:isLgl w:val="false"/>
      <w:suff w:val="tab"/>
      <w:lvlText w:val="•"/>
      <w:lvlJc w:val="left"/>
      <w:pPr>
        <w:ind w:left="1341" w:hanging="269"/>
      </w:pPr>
      <w:rPr>
        <w:rFonts w:hint="default"/>
      </w:rPr>
    </w:lvl>
    <w:lvl w:ilvl="5">
      <w:start w:val="0"/>
      <w:numFmt w:val="bullet"/>
      <w:isLgl w:val="false"/>
      <w:suff w:val="tab"/>
      <w:lvlText w:val="•"/>
      <w:lvlJc w:val="left"/>
      <w:pPr>
        <w:ind w:left="1652" w:hanging="269"/>
      </w:pPr>
      <w:rPr>
        <w:rFonts w:hint="default"/>
      </w:rPr>
    </w:lvl>
    <w:lvl w:ilvl="6">
      <w:start w:val="0"/>
      <w:numFmt w:val="bullet"/>
      <w:isLgl w:val="false"/>
      <w:suff w:val="tab"/>
      <w:lvlText w:val="•"/>
      <w:lvlJc w:val="left"/>
      <w:pPr>
        <w:ind w:left="1962" w:hanging="269"/>
      </w:pPr>
      <w:rPr>
        <w:rFonts w:hint="default"/>
      </w:rPr>
    </w:lvl>
    <w:lvl w:ilvl="7">
      <w:start w:val="0"/>
      <w:numFmt w:val="bullet"/>
      <w:isLgl w:val="false"/>
      <w:suff w:val="tab"/>
      <w:lvlText w:val="•"/>
      <w:lvlJc w:val="left"/>
      <w:pPr>
        <w:ind w:left="2272" w:hanging="269"/>
      </w:pPr>
      <w:rPr>
        <w:rFonts w:hint="default"/>
      </w:rPr>
    </w:lvl>
    <w:lvl w:ilvl="8">
      <w:start w:val="0"/>
      <w:numFmt w:val="bullet"/>
      <w:isLgl w:val="false"/>
      <w:suff w:val="tab"/>
      <w:lvlText w:val="•"/>
      <w:lvlJc w:val="left"/>
      <w:pPr>
        <w:ind w:left="2583" w:hanging="269"/>
      </w:pPr>
      <w:rPr>
        <w:rFonts w:hint="default"/>
      </w:rPr>
    </w:lvl>
  </w:abstractNum>
  <w:num w:numId="1">
    <w:abstractNumId w:val="2"/>
  </w:num>
  <w:num w:numId="2">
    <w:abstractNumId w:val="1"/>
  </w:num>
  <w:num w:numId="3">
    <w:abstractNumId w:val="3"/>
  </w:num>
  <w:num w:numId="4">
    <w:abstractNumId w:val="7"/>
  </w:num>
  <w:num w:numId="5">
    <w:abstractNumId w:val="5"/>
  </w:num>
  <w:num w:numId="6">
    <w:abstractNumId w:val="4"/>
  </w:num>
  <w:num w:numId="7">
    <w:abstractNumId w:val="8"/>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028"/>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0"/>
    <w:semiHidden/>
    <w:qFormat/>
  </w:style>
  <w:style w:type="table" w:styleId="761" w:default="1">
    <w:name w:val="Normal Table"/>
    <w:uiPriority w:val="0"/>
    <w:semiHidden/>
    <w:qFormat/>
    <w:tblPr>
      <w:tblCellMar>
        <w:left w:w="108" w:type="dxa"/>
        <w:top w:w="0" w:type="dxa"/>
        <w:right w:w="108" w:type="dxa"/>
        <w:bottom w:w="0" w:type="dxa"/>
      </w:tblCellMar>
    </w:tblPr>
  </w:style>
  <w:style w:type="paragraph" w:styleId="762" w:customStyle="1">
    <w:name w:val="首行缩进"/>
    <w:next w:val="750"/>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uiPriority w:val="0"/>
    <w:qFormat/>
    <w:pPr>
      <w:jc w:val="left"/>
    </w:pPr>
  </w:style>
  <w:style w:type="paragraph" w:styleId="766">
    <w:name w:val="toc 5"/>
    <w:basedOn w:val="750"/>
    <w:next w:val="750"/>
    <w:uiPriority w:val="39"/>
    <w:unhideWhenUsed/>
    <w:qFormat/>
    <w:pPr>
      <w:ind w:left="1134" w:right="0" w:firstLine="0"/>
      <w:spacing w:after="57"/>
    </w:pPr>
  </w:style>
  <w:style w:type="paragraph" w:styleId="767">
    <w:name w:val="toc 3"/>
    <w:basedOn w:val="750"/>
    <w:next w:val="750"/>
    <w:uiPriority w:val="39"/>
    <w:unhideWhenUsed/>
    <w:qFormat/>
    <w:pPr>
      <w:ind w:left="567" w:right="0" w:firstLine="0"/>
      <w:spacing w:after="57"/>
    </w:pPr>
  </w:style>
  <w:style w:type="paragraph" w:styleId="768">
    <w:name w:val="toc 8"/>
    <w:basedOn w:val="750"/>
    <w:next w:val="750"/>
    <w:uiPriority w:val="39"/>
    <w:unhideWhenUsed/>
    <w:qFormat/>
    <w:pPr>
      <w:ind w:left="1984" w:right="0" w:firstLine="0"/>
      <w:spacing w:after="57"/>
    </w:pPr>
  </w:style>
  <w:style w:type="paragraph" w:styleId="769">
    <w:name w:val="endnote text"/>
    <w:basedOn w:val="750"/>
    <w:link w:val="933"/>
    <w:uiPriority w:val="99"/>
    <w:semiHidden/>
    <w:unhideWhenUsed/>
    <w:qFormat/>
    <w:pPr>
      <w:spacing w:after="0" w:line="240" w:lineRule="auto"/>
    </w:pPr>
    <w:rPr>
      <w:sz w:val="20"/>
    </w:rPr>
  </w:style>
  <w:style w:type="paragraph" w:styleId="770">
    <w:name w:val="Footer"/>
    <w:basedOn w:val="750"/>
    <w:uiPriority w:val="99"/>
    <w:unhideWhenUsed/>
    <w:qFormat/>
    <w:pPr>
      <w:tabs>
        <w:tab w:val="center" w:pos="7143" w:leader="none"/>
        <w:tab w:val="right" w:pos="14287" w:leader="none"/>
      </w:tabs>
    </w:pPr>
  </w:style>
  <w:style w:type="paragraph" w:styleId="771">
    <w:name w:val="Header"/>
    <w:basedOn w:val="750"/>
    <w:uiPriority w:val="99"/>
    <w:unhideWhenUsed/>
    <w:qFormat/>
    <w:pPr>
      <w:tabs>
        <w:tab w:val="center" w:pos="7143" w:leader="none"/>
        <w:tab w:val="right" w:pos="14287" w:leader="none"/>
      </w:tabs>
    </w:pPr>
  </w:style>
  <w:style w:type="paragraph" w:styleId="772">
    <w:name w:val="toc 1"/>
    <w:basedOn w:val="750"/>
    <w:next w:val="750"/>
    <w:uiPriority w:val="0"/>
    <w:qFormat/>
  </w:style>
  <w:style w:type="paragraph" w:styleId="773">
    <w:name w:val="toc 4"/>
    <w:basedOn w:val="750"/>
    <w:next w:val="750"/>
    <w:uiPriority w:val="39"/>
    <w:unhideWhenUsed/>
    <w:qFormat/>
    <w:pPr>
      <w:ind w:left="850" w:right="0" w:firstLine="0"/>
      <w:spacing w:after="57"/>
    </w:pPr>
  </w:style>
  <w:style w:type="paragraph" w:styleId="774">
    <w:name w:val="Subtitle"/>
    <w:basedOn w:val="750"/>
    <w:next w:val="750"/>
    <w:link w:val="799"/>
    <w:uiPriority w:val="11"/>
    <w:qFormat/>
    <w:pPr>
      <w:spacing w:before="200" w:after="200"/>
    </w:pPr>
    <w:rPr>
      <w:sz w:val="24"/>
      <w:szCs w:val="24"/>
    </w:rPr>
  </w:style>
  <w:style w:type="paragraph" w:styleId="775">
    <w:name w:val="footnote text"/>
    <w:basedOn w:val="750"/>
    <w:link w:val="932"/>
    <w:uiPriority w:val="99"/>
    <w:semiHidden/>
    <w:unhideWhenUsed/>
    <w:qFormat/>
    <w:pPr>
      <w:spacing w:after="40" w:line="240" w:lineRule="auto"/>
    </w:pPr>
    <w:rPr>
      <w:sz w:val="18"/>
    </w:rPr>
  </w:style>
  <w:style w:type="paragraph" w:styleId="776">
    <w:name w:val="toc 6"/>
    <w:basedOn w:val="750"/>
    <w:next w:val="750"/>
    <w:uiPriority w:val="39"/>
    <w:unhideWhenUsed/>
    <w:qFormat/>
    <w:pPr>
      <w:ind w:left="1417" w:right="0" w:firstLine="0"/>
      <w:spacing w:after="57"/>
    </w:pPr>
  </w:style>
  <w:style w:type="paragraph" w:styleId="777">
    <w:name w:val="table of figures"/>
    <w:basedOn w:val="750"/>
    <w:next w:val="750"/>
    <w:uiPriority w:val="99"/>
    <w:unhideWhenUsed/>
    <w:qFormat/>
    <w:pPr>
      <w:spacing w:after="0" w:afterAutospacing="0"/>
    </w:pPr>
  </w:style>
  <w:style w:type="paragraph" w:styleId="778">
    <w:name w:val="toc 2"/>
    <w:basedOn w:val="750"/>
    <w:next w:val="750"/>
    <w:uiPriority w:val="39"/>
    <w:unhideWhenUsed/>
    <w:qFormat/>
    <w:pPr>
      <w:ind w:left="283" w:right="0" w:firstLine="0"/>
      <w:spacing w:after="57"/>
    </w:pPr>
  </w:style>
  <w:style w:type="paragraph" w:styleId="779">
    <w:name w:val="toc 9"/>
    <w:basedOn w:val="750"/>
    <w:next w:val="750"/>
    <w:uiPriority w:val="39"/>
    <w:unhideWhenUsed/>
    <w:qFormat/>
    <w:pPr>
      <w:ind w:left="2268" w:right="0" w:firstLine="0"/>
      <w:spacing w:after="57"/>
    </w:pPr>
  </w:style>
  <w:style w:type="paragraph" w:styleId="780">
    <w:name w:val="Normal (Web)"/>
    <w:basedOn w:val="750"/>
    <w:uiPriority w:val="99"/>
    <w:qFormat/>
    <w:pPr>
      <w:jc w:val="left"/>
      <w:spacing w:before="100" w:beforeAutospacing="1" w:after="100" w:afterAutospacing="1"/>
      <w:widowControl/>
    </w:pPr>
    <w:rPr>
      <w:rFonts w:ascii="宋体" w:hAnsi="宋体" w:eastAsia="宋体" w:cs="宋体"/>
      <w:sz w:val="24"/>
      <w:szCs w:val="24"/>
    </w:rPr>
  </w:style>
  <w:style w:type="paragraph" w:styleId="781">
    <w:name w:val="Title"/>
    <w:basedOn w:val="750"/>
    <w:next w:val="750"/>
    <w:link w:val="798"/>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basedOn w:val="760"/>
    <w:uiPriority w:val="99"/>
    <w:semiHidden/>
    <w:unhideWhenUsed/>
    <w:qFormat/>
    <w:rPr>
      <w:vertAlign w:val="superscript"/>
    </w:rPr>
  </w:style>
  <w:style w:type="character" w:styleId="784">
    <w:name w:val="Emphasis"/>
    <w:uiPriority w:val="0"/>
    <w:qFormat/>
    <w:rPr>
      <w:i/>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basedOn w:val="760"/>
    <w:uiPriority w:val="99"/>
    <w:unhideWhenUsed/>
    <w:qFormat/>
    <w:rPr>
      <w:vertAlign w:val="superscript"/>
    </w:rPr>
  </w:style>
  <w:style w:type="character" w:styleId="787" w:customStyle="1">
    <w:name w:val="Heading 1 Char"/>
    <w:basedOn w:val="760"/>
    <w:link w:val="751"/>
    <w:uiPriority w:val="9"/>
    <w:qFormat/>
    <w:rPr>
      <w:rFonts w:ascii="Arial" w:hAnsi="Arial" w:eastAsia="Arial" w:cs="Arial"/>
      <w:sz w:val="40"/>
      <w:szCs w:val="40"/>
    </w:rPr>
  </w:style>
  <w:style w:type="character" w:styleId="788" w:customStyle="1">
    <w:name w:val="Heading 2 Char"/>
    <w:basedOn w:val="760"/>
    <w:link w:val="752"/>
    <w:uiPriority w:val="9"/>
    <w:qFormat/>
    <w:rPr>
      <w:rFonts w:ascii="Arial" w:hAnsi="Arial" w:eastAsia="Arial" w:cs="Arial"/>
      <w:sz w:val="34"/>
    </w:rPr>
  </w:style>
  <w:style w:type="character" w:styleId="789" w:customStyle="1">
    <w:name w:val="Heading 3 Char"/>
    <w:basedOn w:val="760"/>
    <w:link w:val="753"/>
    <w:uiPriority w:val="9"/>
    <w:qFormat/>
    <w:rPr>
      <w:rFonts w:ascii="Arial" w:hAnsi="Arial" w:eastAsia="Arial" w:cs="Arial"/>
      <w:sz w:val="30"/>
      <w:szCs w:val="30"/>
    </w:rPr>
  </w:style>
  <w:style w:type="character" w:styleId="790" w:customStyle="1">
    <w:name w:val="Heading 4 Char"/>
    <w:basedOn w:val="760"/>
    <w:link w:val="754"/>
    <w:uiPriority w:val="9"/>
    <w:qFormat/>
    <w:rPr>
      <w:rFonts w:ascii="Arial" w:hAnsi="Arial" w:eastAsia="Arial" w:cs="Arial"/>
      <w:b/>
      <w:bCs/>
      <w:sz w:val="26"/>
      <w:szCs w:val="26"/>
    </w:rPr>
  </w:style>
  <w:style w:type="character" w:styleId="791" w:customStyle="1">
    <w:name w:val="Heading 5 Char"/>
    <w:basedOn w:val="760"/>
    <w:link w:val="755"/>
    <w:uiPriority w:val="9"/>
    <w:qFormat/>
    <w:rPr>
      <w:rFonts w:ascii="Arial" w:hAnsi="Arial" w:eastAsia="Arial" w:cs="Arial"/>
      <w:b/>
      <w:bCs/>
      <w:sz w:val="24"/>
      <w:szCs w:val="24"/>
    </w:rPr>
  </w:style>
  <w:style w:type="character" w:styleId="792" w:customStyle="1">
    <w:name w:val="Heading 6 Char"/>
    <w:basedOn w:val="760"/>
    <w:link w:val="756"/>
    <w:uiPriority w:val="9"/>
    <w:qFormat/>
    <w:rPr>
      <w:rFonts w:ascii="Arial" w:hAnsi="Arial" w:eastAsia="Arial" w:cs="Arial"/>
      <w:b/>
      <w:bCs/>
      <w:sz w:val="22"/>
      <w:szCs w:val="22"/>
    </w:rPr>
  </w:style>
  <w:style w:type="character" w:styleId="793" w:customStyle="1">
    <w:name w:val="Heading 7 Char"/>
    <w:basedOn w:val="760"/>
    <w:link w:val="757"/>
    <w:uiPriority w:val="9"/>
    <w:qFormat/>
    <w:rPr>
      <w:rFonts w:ascii="Arial" w:hAnsi="Arial" w:eastAsia="Arial" w:cs="Arial"/>
      <w:b/>
      <w:bCs/>
      <w:i/>
      <w:iCs/>
      <w:sz w:val="22"/>
      <w:szCs w:val="22"/>
    </w:rPr>
  </w:style>
  <w:style w:type="character" w:styleId="794" w:customStyle="1">
    <w:name w:val="Heading 8 Char"/>
    <w:basedOn w:val="760"/>
    <w:link w:val="758"/>
    <w:uiPriority w:val="9"/>
    <w:qFormat/>
    <w:rPr>
      <w:rFonts w:ascii="Arial" w:hAnsi="Arial" w:eastAsia="Arial" w:cs="Arial"/>
      <w:i/>
      <w:iCs/>
      <w:sz w:val="22"/>
      <w:szCs w:val="22"/>
    </w:rPr>
  </w:style>
  <w:style w:type="character" w:styleId="795" w:customStyle="1">
    <w:name w:val="Heading 9 Char"/>
    <w:basedOn w:val="760"/>
    <w:link w:val="759"/>
    <w:uiPriority w:val="9"/>
    <w:qFormat/>
    <w:rPr>
      <w:rFonts w:ascii="Arial" w:hAnsi="Arial" w:eastAsia="Arial" w:cs="Arial"/>
      <w:i/>
      <w:iCs/>
      <w:sz w:val="21"/>
      <w:szCs w:val="21"/>
    </w:rPr>
  </w:style>
  <w:style w:type="paragraph" w:styleId="796">
    <w:name w:val="List Paragraph"/>
    <w:basedOn w:val="750"/>
    <w:uiPriority w:val="34"/>
    <w:qFormat/>
    <w:pPr>
      <w:contextualSpacing/>
      <w:ind w:left="720"/>
    </w:p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basedOn w:val="760"/>
    <w:link w:val="781"/>
    <w:uiPriority w:val="10"/>
    <w:qFormat/>
    <w:rPr>
      <w:sz w:val="48"/>
      <w:szCs w:val="48"/>
    </w:rPr>
  </w:style>
  <w:style w:type="character" w:styleId="799" w:customStyle="1">
    <w:name w:val="Subtitle Char"/>
    <w:basedOn w:val="760"/>
    <w:link w:val="774"/>
    <w:uiPriority w:val="11"/>
    <w:qFormat/>
    <w:rPr>
      <w:sz w:val="24"/>
      <w:szCs w:val="24"/>
    </w:rPr>
  </w:style>
  <w:style w:type="paragraph" w:styleId="800">
    <w:name w:val="Quote"/>
    <w:basedOn w:val="750"/>
    <w:next w:val="750"/>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50"/>
    <w:next w:val="75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60"/>
    <w:uiPriority w:val="99"/>
    <w:qFormat/>
  </w:style>
  <w:style w:type="character" w:styleId="805" w:customStyle="1">
    <w:name w:val="Footer Char"/>
    <w:basedOn w:val="760"/>
    <w:uiPriority w:val="99"/>
    <w:qFormat/>
  </w:style>
  <w:style w:type="character" w:styleId="806" w:customStyle="1">
    <w:name w:val="Caption Char"/>
    <w:uiPriority w:val="99"/>
    <w:qFormat/>
  </w:style>
  <w:style w:type="table" w:styleId="807"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5"/>
    <w:uiPriority w:val="99"/>
    <w:qFormat/>
    <w:rPr>
      <w:sz w:val="18"/>
    </w:rPr>
  </w:style>
  <w:style w:type="character" w:styleId="933" w:customStyle="1">
    <w:name w:val="Endnote Text Char"/>
    <w:link w:val="769"/>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36" w:customStyle="1">
    <w:name w:val="标题 212"/>
    <w:basedOn w:val="750"/>
    <w:uiPriority w:val="0"/>
    <w:qFormat/>
    <w:pPr>
      <w:keepLines/>
      <w:keepNext/>
      <w:spacing w:before="360" w:after="200"/>
      <w:outlineLvl w:val="1"/>
    </w:pPr>
    <w:rPr>
      <w:rFonts w:ascii="Arial" w:hAnsi="Arial"/>
      <w:sz w:val="34"/>
      <w:szCs w:val="22"/>
    </w:rPr>
  </w:style>
  <w:style w:type="character" w:styleId="937" w:customStyle="1">
    <w:name w:val="默认段落字体13"/>
    <w:link w:val="750"/>
    <w:uiPriority w:val="0"/>
    <w:semiHidden/>
    <w:qFormat/>
  </w:style>
  <w:style w:type="table" w:styleId="938"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39" w:customStyle="1">
    <w:name w:val="正文缩进11"/>
    <w:basedOn w:val="750"/>
    <w:uiPriority w:val="0"/>
    <w:qFormat/>
    <w:pPr>
      <w:ind w:firstLine="420"/>
      <w:jc w:val="left"/>
    </w:pPr>
    <w:rPr>
      <w:sz w:val="24"/>
      <w:szCs w:val="24"/>
    </w:rPr>
  </w:style>
  <w:style w:type="paragraph" w:styleId="940" w:customStyle="1">
    <w:name w:val="批注文字1"/>
    <w:basedOn w:val="750"/>
    <w:uiPriority w:val="0"/>
    <w:qFormat/>
    <w:pPr>
      <w:jc w:val="left"/>
    </w:pPr>
  </w:style>
  <w:style w:type="paragraph" w:styleId="941" w:customStyle="1">
    <w:name w:val="正文文本缩进11"/>
    <w:basedOn w:val="750"/>
    <w:uiPriority w:val="0"/>
    <w:qFormat/>
    <w:pPr>
      <w:ind w:firstLine="645"/>
      <w:jc w:val="both"/>
      <w:widowControl w:val="off"/>
    </w:pPr>
    <w:rPr>
      <w:rFonts w:ascii="楷体_GB2312" w:hAnsi="宋体" w:eastAsia="楷体_GB2312"/>
      <w:sz w:val="32"/>
      <w:szCs w:val="32"/>
      <w:lang w:val="en-US" w:eastAsia="zh-CN" w:bidi="ar-SA"/>
    </w:rPr>
  </w:style>
  <w:style w:type="paragraph" w:styleId="942"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43" w:customStyle="1">
    <w:name w:val="普通(网站)1"/>
    <w:basedOn w:val="750"/>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44" w:customStyle="1">
    <w:name w:val="正文首行缩进 21"/>
    <w:basedOn w:val="941"/>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45" w:customStyle="1">
    <w:name w:val="网格型11"/>
    <w:uiPriority w:val="0"/>
    <w:qFormat/>
    <w:rPr>
      <w:lang w:val="en-US" w:eastAsia="zh-CN" w:bidi="ar-SA"/>
    </w:rPr>
    <w:tblPr/>
  </w:style>
  <w:style w:type="character" w:styleId="946" w:customStyle="1">
    <w:name w:val="要点1"/>
    <w:link w:val="750"/>
    <w:uiPriority w:val="0"/>
    <w:qFormat/>
    <w:rPr>
      <w:b/>
    </w:rPr>
  </w:style>
  <w:style w:type="character" w:styleId="947" w:customStyle="1">
    <w:name w:val="超链接1"/>
    <w:basedOn w:val="937"/>
    <w:link w:val="750"/>
    <w:uiPriority w:val="0"/>
    <w:qFormat/>
    <w:rPr>
      <w:color w:val="0000ff"/>
      <w:u w:val="single"/>
    </w:rPr>
  </w:style>
  <w:style w:type="character" w:styleId="948" w:customStyle="1">
    <w:name w:val="默认段落字体11"/>
    <w:link w:val="750"/>
    <w:uiPriority w:val="0"/>
    <w:qFormat/>
    <w:rPr>
      <w:rFonts w:ascii="Calibri" w:hAnsi="Calibri" w:eastAsia="宋体"/>
      <w:sz w:val="21"/>
      <w:szCs w:val="22"/>
      <w:lang w:val="en-US" w:eastAsia="zh-CN" w:bidi="ar-SA"/>
    </w:rPr>
  </w:style>
  <w:style w:type="paragraph" w:styleId="949" w:customStyle="1">
    <w:name w:val="标题 211"/>
    <w:basedOn w:val="750"/>
    <w:uiPriority w:val="0"/>
    <w:qFormat/>
    <w:pPr>
      <w:jc w:val="center"/>
      <w:keepLines/>
      <w:keepNext/>
      <w:spacing w:before="260" w:after="260" w:line="416" w:lineRule="auto"/>
      <w:outlineLvl w:val="1"/>
    </w:pPr>
    <w:rPr>
      <w:rFonts w:ascii="幼圆" w:eastAsia="楷体_GB2312"/>
      <w:b/>
      <w:sz w:val="44"/>
      <w:szCs w:val="20"/>
    </w:rPr>
  </w:style>
  <w:style w:type="character" w:styleId="950" w:customStyle="1">
    <w:name w:val="已访问的超链接1"/>
    <w:link w:val="750"/>
    <w:uiPriority w:val="0"/>
    <w:qFormat/>
    <w:rPr>
      <w:color w:val="800080"/>
      <w:u w:val="single"/>
    </w:rPr>
  </w:style>
  <w:style w:type="paragraph" w:styleId="951"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52"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53" w:customStyle="1">
    <w:name w:val="WPSOffice手动目录 1"/>
    <w:uiPriority w:val="0"/>
    <w:qFormat/>
    <w:rPr>
      <w:rFonts w:hint="default" w:ascii="Times New Roman" w:hAnsi="Times New Roman" w:eastAsia="宋体" w:cs="Times New Roman"/>
      <w:lang w:val="en-US" w:eastAsia="zh-CN" w:bidi="ar-SA"/>
    </w:rPr>
  </w:style>
  <w:style w:type="paragraph" w:styleId="95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5"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56"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57" w:customStyle="1">
    <w:name w:val="标题 4 Char"/>
    <w:link w:val="750"/>
    <w:uiPriority w:val="0"/>
    <w:qFormat/>
    <w:rPr>
      <w:rFonts w:ascii="Cambria" w:hAnsi="Cambria" w:eastAsia="宋体"/>
      <w:b/>
      <w:bCs/>
      <w:sz w:val="28"/>
      <w:szCs w:val="28"/>
    </w:rPr>
  </w:style>
  <w:style w:type="paragraph" w:styleId="958" w:customStyle="1">
    <w:name w:val="p0"/>
    <w:uiPriority w:val="0"/>
    <w:qFormat/>
    <w:pPr>
      <w:jc w:val="both"/>
    </w:pPr>
    <w:rPr>
      <w:rFonts w:hint="default" w:ascii="Calibri" w:hAnsi="Calibri" w:eastAsia="宋体" w:cs="Times New Roman"/>
      <w:sz w:val="21"/>
      <w:szCs w:val="21"/>
      <w:lang w:val="en-US" w:eastAsia="zh-CN" w:bidi="ar-SA"/>
    </w:rPr>
  </w:style>
  <w:style w:type="paragraph" w:styleId="95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7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91"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9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9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0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005"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00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10"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12"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013"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14" w:customStyle="1">
    <w:name w:val="页码1"/>
    <w:link w:val="750"/>
    <w:uiPriority w:val="0"/>
    <w:qFormat/>
  </w:style>
  <w:style w:type="character" w:styleId="1015" w:customStyle="1">
    <w:name w:val="标题 4 Char3"/>
    <w:link w:val="750"/>
    <w:uiPriority w:val="0"/>
    <w:qFormat/>
    <w:rPr>
      <w:rFonts w:ascii="Cambria" w:hAnsi="Cambria" w:eastAsia="宋体"/>
      <w:b/>
      <w:bCs/>
      <w:sz w:val="28"/>
      <w:szCs w:val="28"/>
    </w:rPr>
  </w:style>
  <w:style w:type="paragraph" w:styleId="101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9" w:customStyle="1">
    <w:name w:val="默认段落字体12"/>
    <w:link w:val="750"/>
    <w:uiPriority w:val="0"/>
    <w:qFormat/>
  </w:style>
  <w:style w:type="character" w:styleId="1020" w:customStyle="1">
    <w:name w:val="默认段落字体111"/>
    <w:link w:val="750"/>
    <w:uiPriority w:val="0"/>
    <w:qFormat/>
  </w:style>
  <w:style w:type="paragraph" w:styleId="1021" w:customStyle="1">
    <w:name w:val="Plain Text1"/>
    <w:basedOn w:val="750"/>
    <w:uiPriority w:val="0"/>
    <w:qFormat/>
    <w:rPr>
      <w:rFonts w:ascii="宋体" w:hAnsi="Courier New"/>
      <w:szCs w:val="24"/>
    </w:rPr>
  </w:style>
  <w:style w:type="paragraph" w:styleId="1022" w:customStyle="1">
    <w:name w:val="纯文本11"/>
    <w:basedOn w:val="750"/>
    <w:uiPriority w:val="0"/>
    <w:qFormat/>
    <w:pPr>
      <w:jc w:val="left"/>
      <w:widowControl/>
    </w:pPr>
    <w:rPr>
      <w:rFonts w:ascii="宋体" w:hAnsi="Courier New" w:eastAsia="楷体_GB2312"/>
      <w:sz w:val="26"/>
    </w:rPr>
  </w:style>
  <w:style w:type="character" w:styleId="1023" w:customStyle="1">
    <w:name w:val="15"/>
    <w:basedOn w:val="937"/>
    <w:link w:val="750"/>
    <w:uiPriority w:val="0"/>
    <w:qFormat/>
    <w:rPr>
      <w:rFonts w:ascii="Times New Roman" w:hAnsi="Times New Roman"/>
    </w:rPr>
  </w:style>
  <w:style w:type="paragraph" w:styleId="1024" w:customStyle="1">
    <w:name w:val="纯文本1"/>
    <w:basedOn w:val="750"/>
    <w:uiPriority w:val="0"/>
    <w:qFormat/>
    <w:rPr>
      <w:rFonts w:hint="eastAsia" w:ascii="宋体" w:hAnsi="Courier New"/>
      <w:sz w:val="28"/>
      <w:szCs w:val="20"/>
    </w:rPr>
  </w:style>
  <w:style w:type="paragraph" w:styleId="1025" w:customStyle="1">
    <w:name w:val="寄信人地址1"/>
    <w:basedOn w:val="750"/>
    <w:uiPriority w:val="0"/>
    <w:qFormat/>
    <w:rPr>
      <w:rFonts w:ascii="Arial" w:hAnsi="Arial"/>
      <w:sz w:val="21"/>
      <w:szCs w:val="22"/>
    </w:rPr>
  </w:style>
  <w:style w:type="paragraph" w:styleId="1026"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27" w:customStyle="1">
    <w:name w:val="网格型1"/>
    <w:uiPriority w:val="0"/>
    <w:qFormat/>
    <w:rPr>
      <w:lang w:val="en-US" w:eastAsia="zh-CN" w:bidi="ar-SA"/>
    </w:rPr>
    <w:tblPr/>
  </w:style>
  <w:style w:type="character" w:styleId="1028" w:customStyle="1">
    <w:name w:val="默认段落字体1"/>
    <w:link w:val="750"/>
    <w:uiPriority w:val="0"/>
    <w:qFormat/>
  </w:style>
  <w:style w:type="paragraph" w:styleId="1029" w:customStyle="1">
    <w:name w:val="页眉2"/>
    <w:basedOn w:val="750"/>
    <w:link w:val="1030"/>
    <w:uiPriority w:val="0"/>
    <w:qFormat/>
    <w:pPr>
      <w:jc w:val="center"/>
      <w:tabs>
        <w:tab w:val="center" w:pos="4153" w:leader="none"/>
        <w:tab w:val="right" w:pos="8306" w:leader="none"/>
      </w:tabs>
      <w:pBdr>
        <w:bottom w:val="single" w:color="auto" w:sz="6" w:space="1"/>
      </w:pBdr>
    </w:pPr>
    <w:rPr>
      <w:sz w:val="18"/>
      <w:szCs w:val="18"/>
    </w:rPr>
  </w:style>
  <w:style w:type="character" w:styleId="1030" w:customStyle="1">
    <w:name w:val="页眉 Char"/>
    <w:basedOn w:val="937"/>
    <w:link w:val="1029"/>
    <w:uiPriority w:val="0"/>
    <w:qFormat/>
    <w:rPr>
      <w:rFonts w:ascii="Calibri" w:hAnsi="Calibri"/>
      <w:sz w:val="18"/>
      <w:szCs w:val="18"/>
    </w:rPr>
  </w:style>
  <w:style w:type="paragraph" w:styleId="1031" w:customStyle="1">
    <w:name w:val="页脚2"/>
    <w:basedOn w:val="750"/>
    <w:link w:val="1032"/>
    <w:uiPriority w:val="0"/>
    <w:qFormat/>
    <w:pPr>
      <w:jc w:val="left"/>
      <w:tabs>
        <w:tab w:val="center" w:pos="4153" w:leader="none"/>
        <w:tab w:val="right" w:pos="8306" w:leader="none"/>
      </w:tabs>
    </w:pPr>
    <w:rPr>
      <w:sz w:val="18"/>
      <w:szCs w:val="18"/>
    </w:rPr>
  </w:style>
  <w:style w:type="character" w:styleId="1032" w:customStyle="1">
    <w:name w:val="页脚 Char"/>
    <w:basedOn w:val="937"/>
    <w:link w:val="1031"/>
    <w:uiPriority w:val="0"/>
    <w:qFormat/>
    <w:rPr>
      <w:rFonts w:ascii="Calibri" w:hAnsi="Calibri"/>
      <w:sz w:val="18"/>
      <w:szCs w:val="18"/>
    </w:rPr>
  </w:style>
  <w:style w:type="paragraph" w:styleId="1033" w:customStyle="1">
    <w:name w:val="批注框文本1"/>
    <w:basedOn w:val="750"/>
    <w:link w:val="1034"/>
    <w:uiPriority w:val="0"/>
    <w:qFormat/>
    <w:rPr>
      <w:sz w:val="18"/>
      <w:szCs w:val="18"/>
    </w:rPr>
  </w:style>
  <w:style w:type="character" w:styleId="1034" w:customStyle="1">
    <w:name w:val="批注框文本 Char"/>
    <w:basedOn w:val="937"/>
    <w:link w:val="1033"/>
    <w:uiPriority w:val="0"/>
    <w:qFormat/>
    <w:rPr>
      <w:rFonts w:ascii="Calibri" w:hAnsi="Calibri"/>
      <w:sz w:val="18"/>
      <w:szCs w:val="18"/>
    </w:rPr>
  </w:style>
  <w:style w:type="paragraph" w:styleId="1035"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40" w:customStyle="1">
    <w:name w:val="段"/>
    <w:next w:val="750"/>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41" w:customStyle="1">
    <w:name w:val="Normal_1_0_0"/>
    <w:uiPriority w:val="0"/>
    <w:qFormat/>
    <w:rPr>
      <w:rFonts w:hint="default" w:ascii="Times New Roman" w:hAnsi="Times New Roman" w:eastAsia="Times New Roman" w:cs="Times New Roman"/>
      <w:sz w:val="24"/>
      <w:szCs w:val="24"/>
    </w:rPr>
  </w:style>
  <w:style w:type="paragraph" w:styleId="1042" w:customStyle="1">
    <w:name w:val="标题 411"/>
    <w:basedOn w:val="750"/>
    <w:next w:val="750"/>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43" w:customStyle="1">
    <w:name w:val="Table Normal"/>
    <w:uiPriority w:val="0"/>
    <w:semiHidden/>
    <w:unhideWhenUsed/>
    <w:qFormat/>
    <w:tblPr>
      <w:tblCellMar>
        <w:left w:w="0" w:type="dxa"/>
        <w:top w:w="0" w:type="dxa"/>
        <w:right w:w="0" w:type="dxa"/>
        <w:bottom w:w="0" w:type="dxa"/>
      </w:tblCellMar>
    </w:tblPr>
  </w:style>
  <w:style w:type="table" w:styleId="1044"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9</cp:revision>
  <dcterms:created xsi:type="dcterms:W3CDTF">2025-09-16T01:10:00Z</dcterms:created>
  <dcterms:modified xsi:type="dcterms:W3CDTF">2026-07-31T02:12:41Z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299FCFD5A8E14215A139AB1F486A0AC2_13</vt:lpwstr>
  </property>
  <property fmtid="{D5CDD505-2E9C-101B-9397-08002B2CF9AE}" pid="4" name="KSOTemplateDocerSaveRecord">
    <vt:lpwstr>eyJoZGlkIjoiZDQwZjJiNTY1M2FiNGU4OTYwMjIwNjU3MTJjYjYwNzciLCJ1c2VySWQiOiIzMDI5OTY2MzUifQ==</vt:lpwstr>
  </property>
</Properties>
</file>