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49"/>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49"/>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49"/>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49"/>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bookmarkStart w:id="1" w:name="_Hlk227070485"/>
      <w:r>
        <w:rPr>
          <w:rFonts w:hint="eastAsia" w:ascii="Arial" w:hAnsi="Arial"/>
          <w:b/>
          <w:bCs/>
          <w:sz w:val="32"/>
          <w:szCs w:val="24"/>
        </w:rPr>
        <w:t xml:space="preserve"> </w:t>
      </w:r>
      <w:bookmarkEnd w:id="0"/>
      <w:r/>
      <w:bookmarkEnd w:id="1"/>
      <w:r/>
      <w:bookmarkStart w:id="2" w:name="_Hlk227933597"/>
      <w:r>
        <w:rPr>
          <w:rFonts w:hint="eastAsia" w:ascii="宋体" w:hAnsi="宋体"/>
          <w:b/>
          <w:bCs/>
          <w:sz w:val="32"/>
          <w:szCs w:val="24"/>
        </w:rPr>
        <w:t xml:space="preserve">2026年食品安全执法抽检专业技术辅助服务</w:t>
      </w:r>
      <w:bookmarkEnd w:id="2"/>
      <w:r>
        <w:rPr>
          <w:rFonts w:ascii="Arial" w:hAnsi="Arial"/>
          <w:b/>
          <w:bCs/>
          <w:sz w:val="32"/>
          <w:szCs w:val="24"/>
        </w:rPr>
      </w:r>
      <w:r/>
    </w:p>
    <w:p>
      <w:pPr>
        <w:pStyle w:val="749"/>
        <w:ind w:firstLine="321"/>
        <w:spacing w:before="120" w:after="120" w:line="360" w:lineRule="auto"/>
        <w:widowControl w:val="off"/>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JSZC-320000-NJXY-G2026-0024</w:t>
      </w:r>
      <w:r>
        <w:rPr>
          <w:rFonts w:hint="eastAsia" w:ascii="Arial" w:hAnsi="Arial"/>
          <w:b/>
          <w:bCs/>
          <w:sz w:val="32"/>
          <w:szCs w:val="24"/>
        </w:rPr>
      </w:r>
      <w:r/>
    </w:p>
    <w:p>
      <w:pPr>
        <w:pStyle w:val="749"/>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spacing w:after="0" w:line="360" w:lineRule="auto"/>
        <w:widowControl w:val="off"/>
        <w:rPr>
          <w:rFonts w:ascii="宋体" w:hAnsi="Arial"/>
          <w:sz w:val="24"/>
          <w:szCs w:val="24"/>
        </w:rPr>
      </w:pPr>
      <w:r>
        <w:rPr>
          <w:rFonts w:ascii="宋体" w:hAnsi="Arial"/>
          <w:sz w:val="24"/>
          <w:szCs w:val="24"/>
        </w:rPr>
      </w:r>
      <w:r/>
    </w:p>
    <w:p>
      <w:pPr>
        <w:pStyle w:val="749"/>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49"/>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2026年06月</w:t>
      </w:r>
      <w:r>
        <w:rPr>
          <w:rFonts w:ascii="Arial" w:hAnsi="Arial"/>
          <w:b/>
          <w:bCs/>
          <w:sz w:val="32"/>
          <w:szCs w:val="24"/>
        </w:rPr>
      </w:r>
      <w:r/>
    </w:p>
    <w:p>
      <w:pPr>
        <w:pStyle w:val="749"/>
        <w:jc w:val="center"/>
        <w:spacing w:before="120" w:after="120" w:line="360" w:lineRule="auto"/>
        <w:widowControl w:val="off"/>
        <w:rPr>
          <w:rFonts w:ascii="Arial" w:hAnsi="Arial"/>
          <w:b/>
          <w:bCs/>
          <w:sz w:val="32"/>
          <w:szCs w:val="24"/>
        </w:rPr>
      </w:pPr>
      <w:r>
        <w:rPr>
          <w:rFonts w:ascii="Arial" w:hAnsi="Arial"/>
          <w:b/>
          <w:bCs/>
          <w:sz w:val="32"/>
          <w:szCs w:val="24"/>
        </w:rPr>
      </w:r>
      <w:r/>
    </w:p>
    <w:p>
      <w:pPr>
        <w:pStyle w:val="749"/>
        <w:jc w:val="center"/>
        <w:spacing w:after="0" w:line="240" w:lineRule="auto"/>
        <w:widowControl w:val="off"/>
        <w:rPr>
          <w:b/>
          <w:sz w:val="32"/>
          <w:szCs w:val="32"/>
        </w:rPr>
      </w:pPr>
      <w:r/>
      <w:bookmarkStart w:id="3" w:name="_Toc479757206"/>
      <w:r/>
      <w:bookmarkStart w:id="4" w:name="_Toc523127445"/>
      <w:r/>
      <w:bookmarkStart w:id="5" w:name="_Toc513029200"/>
      <w:r/>
      <w:bookmarkStart w:id="6" w:name="_Toc20823272"/>
      <w:r/>
      <w:bookmarkStart w:id="7" w:name="_Toc16938516"/>
      <w:r/>
      <w:bookmarkStart w:id="8" w:name="_Toc120614210"/>
      <w:r/>
      <w:bookmarkStart w:id="9" w:name="_Toc17291076"/>
      <w:r>
        <w:rPr>
          <w:b/>
          <w:sz w:val="32"/>
          <w:szCs w:val="32"/>
        </w:rPr>
        <w:br w:type="page" w:clear="all"/>
      </w:r>
      <w:r>
        <w:rPr>
          <w:rFonts w:hint="eastAsia"/>
          <w:b/>
          <w:sz w:val="32"/>
          <w:szCs w:val="32"/>
        </w:rPr>
        <w:t xml:space="preserve">目  录</w:t>
      </w:r>
      <w:bookmarkEnd w:id="9"/>
      <w:r>
        <w:rPr>
          <w:b/>
          <w:sz w:val="32"/>
          <w:szCs w:val="32"/>
        </w:rPr>
      </w:r>
      <w:r/>
    </w:p>
    <w:p>
      <w:pPr>
        <w:pStyle w:val="811"/>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44"/>
          <w:rFonts w:hint="eastAsia"/>
        </w:rPr>
        <w:fldChar w:fldCharType="begin"/>
      </w:r>
      <w:r>
        <w:rPr>
          <w:rStyle w:val="844"/>
          <w:rFonts w:hint="eastAsia"/>
        </w:rPr>
        <w:instrText xml:space="preserve"> </w:instrText>
      </w:r>
      <w:r>
        <w:rPr>
          <w:rFonts w:hint="eastAsia"/>
        </w:rPr>
        <w:instrText xml:space="preserve">HYPERLINK \l "_Toc192946451"</w:instrText>
      </w:r>
      <w:r>
        <w:rPr>
          <w:rStyle w:val="844"/>
          <w:rFonts w:hint="eastAsia"/>
        </w:rPr>
        <w:instrText xml:space="preserve"> </w:instrText>
      </w:r>
      <w:r>
        <w:rPr>
          <w:rStyle w:val="844"/>
          <w:rFonts w:hint="eastAsia"/>
        </w:rPr>
        <w:fldChar w:fldCharType="separate"/>
      </w:r>
      <w:r>
        <w:rPr>
          <w:rStyle w:val="844"/>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_Toc192946451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844"/>
          <w:rFonts w:hint="eastAsia"/>
        </w:rPr>
        <w:fldChar w:fldCharType="end"/>
      </w:r>
      <w:r>
        <w:rPr>
          <w:rFonts w:hint="eastAsia" w:ascii="等线" w:hAnsi="等线" w:eastAsia="等线"/>
          <w:caps w:val="0"/>
          <w:sz w:val="22"/>
          <w:szCs w:val="24"/>
        </w:rPr>
      </w:r>
      <w:r/>
    </w:p>
    <w:p>
      <w:pPr>
        <w:pStyle w:val="811"/>
        <w:rPr>
          <w:rFonts w:hint="eastAsia" w:ascii="等线" w:hAnsi="等线" w:eastAsia="等线"/>
          <w:caps w:val="0"/>
          <w:sz w:val="22"/>
          <w:szCs w:val="24"/>
        </w:rPr>
      </w:pPr>
      <w:r>
        <w:rPr>
          <w:rStyle w:val="844"/>
          <w:rFonts w:hint="eastAsia"/>
        </w:rPr>
        <w:fldChar w:fldCharType="begin"/>
      </w:r>
      <w:r>
        <w:rPr>
          <w:rStyle w:val="844"/>
          <w:rFonts w:hint="eastAsia"/>
        </w:rPr>
        <w:instrText xml:space="preserve"> </w:instrText>
      </w:r>
      <w:r>
        <w:rPr>
          <w:rFonts w:hint="eastAsia"/>
        </w:rPr>
        <w:instrText xml:space="preserve">HYPER</w:instrText>
      </w:r>
      <w:r>
        <w:rPr>
          <w:rFonts w:hint="eastAsia"/>
        </w:rPr>
        <w:instrText xml:space="preserve">LINK \l "_Toc192946452"</w:instrText>
      </w:r>
      <w:r>
        <w:rPr>
          <w:rStyle w:val="844"/>
          <w:rFonts w:hint="eastAsia"/>
        </w:rPr>
        <w:instrText xml:space="preserve"> </w:instrText>
      </w:r>
      <w:r>
        <w:rPr>
          <w:rStyle w:val="844"/>
          <w:rFonts w:hint="eastAsia"/>
        </w:rPr>
        <w:fldChar w:fldCharType="separate"/>
      </w:r>
      <w:r>
        <w:rPr>
          <w:rStyle w:val="844"/>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_Toc192946452 \h</w:instrText>
      </w:r>
      <w:r>
        <w:rPr>
          <w:rFonts w:hint="eastAsia"/>
        </w:rPr>
        <w:instrText xml:space="preserve"> </w:instrText>
      </w:r>
      <w:r>
        <w:rPr>
          <w:rFonts w:hint="eastAsia"/>
        </w:rPr>
        <w:fldChar w:fldCharType="separate"/>
      </w:r>
      <w:r>
        <w:rPr>
          <w:rFonts w:hint="eastAsia"/>
        </w:rPr>
        <w:t xml:space="preserve">11</w:t>
      </w:r>
      <w:r>
        <w:rPr>
          <w:rFonts w:hint="eastAsia"/>
        </w:rPr>
        <w:fldChar w:fldCharType="end"/>
      </w:r>
      <w:r>
        <w:rPr>
          <w:rStyle w:val="844"/>
          <w:rFonts w:hint="eastAsia"/>
        </w:rPr>
        <w:fldChar w:fldCharType="end"/>
      </w:r>
      <w:r>
        <w:rPr>
          <w:rFonts w:hint="eastAsia" w:ascii="等线" w:hAnsi="等线" w:eastAsia="等线"/>
          <w:caps w:val="0"/>
          <w:sz w:val="22"/>
          <w:szCs w:val="24"/>
        </w:rPr>
      </w:r>
      <w:r/>
    </w:p>
    <w:p>
      <w:pPr>
        <w:pStyle w:val="811"/>
        <w:rPr>
          <w:rFonts w:hint="eastAsia" w:ascii="等线" w:hAnsi="等线" w:eastAsia="等线"/>
          <w:caps w:val="0"/>
          <w:sz w:val="22"/>
          <w:szCs w:val="24"/>
        </w:rPr>
      </w:pPr>
      <w:r>
        <w:rPr>
          <w:rStyle w:val="844"/>
          <w:rFonts w:hint="eastAsia"/>
        </w:rPr>
        <w:fldChar w:fldCharType="begin"/>
      </w:r>
      <w:r>
        <w:rPr>
          <w:rStyle w:val="844"/>
          <w:rFonts w:hint="eastAsia"/>
        </w:rPr>
        <w:instrText xml:space="preserve"> </w:instrText>
      </w:r>
      <w:r>
        <w:rPr>
          <w:rFonts w:hint="eastAsia"/>
        </w:rPr>
        <w:instrText xml:space="preserve">HYPERLINK \l "_Toc192946453"</w:instrText>
      </w:r>
      <w:r>
        <w:rPr>
          <w:rStyle w:val="844"/>
          <w:rFonts w:hint="eastAsia"/>
        </w:rPr>
        <w:instrText xml:space="preserve"> </w:instrText>
      </w:r>
      <w:r>
        <w:rPr>
          <w:rStyle w:val="844"/>
          <w:rFonts w:hint="eastAsia"/>
        </w:rPr>
        <w:fldChar w:fldCharType="separate"/>
      </w:r>
      <w:r>
        <w:rPr>
          <w:rStyle w:val="844"/>
          <w:rFonts w:hint="eastAsia" w:ascii="黑体" w:hAnsi="楷体_GB2312" w:eastAsia="黑体"/>
        </w:rPr>
        <w:t xml:space="preserve">第三章  合同条款及格式</w:t>
      </w:r>
      <w:bookmarkStart w:id="10" w:name="_Hlt227070424"/>
      <w:r/>
      <w:bookmarkStart w:id="11" w:name="_Hlt227070448"/>
      <w:r/>
      <w:bookmarkStart w:id="12" w:name="_Hlt227070423"/>
      <w:r>
        <w:rPr>
          <w:rFonts w:hint="eastAsia"/>
        </w:rPr>
        <w:tab/>
      </w:r>
      <w:bookmarkEnd w:id="10"/>
      <w:r/>
      <w:bookmarkEnd w:id="11"/>
      <w:r/>
      <w:bookmarkEnd w:id="12"/>
      <w:r>
        <w:rPr>
          <w:rFonts w:hint="eastAsia"/>
        </w:rPr>
        <w:fldChar w:fldCharType="begin"/>
      </w:r>
      <w:r>
        <w:rPr>
          <w:rFonts w:hint="eastAsia"/>
        </w:rPr>
        <w:instrText xml:space="preserve"> </w:instrText>
      </w:r>
      <w:r>
        <w:instrText xml:space="preserve">PAGEREF _Toc192946453 \h</w:instrText>
      </w:r>
      <w:r>
        <w:rPr>
          <w:rFonts w:hint="eastAsia"/>
        </w:rPr>
        <w:instrText xml:space="preserve"> </w:instrText>
      </w:r>
      <w:r>
        <w:rPr>
          <w:rFonts w:hint="eastAsia"/>
        </w:rPr>
        <w:fldChar w:fldCharType="separate"/>
      </w:r>
      <w:r>
        <w:rPr>
          <w:rFonts w:hint="eastAsia"/>
        </w:rPr>
        <w:t xml:space="preserve">29</w:t>
      </w:r>
      <w:r>
        <w:rPr>
          <w:rFonts w:hint="eastAsia"/>
        </w:rPr>
        <w:fldChar w:fldCharType="end"/>
      </w:r>
      <w:r>
        <w:rPr>
          <w:rStyle w:val="844"/>
          <w:rFonts w:hint="eastAsia"/>
        </w:rPr>
        <w:fldChar w:fldCharType="end"/>
      </w:r>
      <w:r>
        <w:rPr>
          <w:rFonts w:hint="eastAsia" w:ascii="等线" w:hAnsi="等线" w:eastAsia="等线"/>
          <w:caps w:val="0"/>
          <w:sz w:val="22"/>
          <w:szCs w:val="24"/>
        </w:rPr>
      </w:r>
      <w:r/>
    </w:p>
    <w:p>
      <w:pPr>
        <w:pStyle w:val="811"/>
        <w:rPr>
          <w:rFonts w:hint="eastAsia" w:ascii="等线" w:hAnsi="等线" w:eastAsia="等线"/>
          <w:caps w:val="0"/>
          <w:sz w:val="22"/>
          <w:szCs w:val="24"/>
        </w:rPr>
      </w:pPr>
      <w:r>
        <w:rPr>
          <w:rStyle w:val="844"/>
          <w:rFonts w:hint="eastAsia"/>
        </w:rPr>
        <w:fldChar w:fldCharType="begin"/>
      </w:r>
      <w:r>
        <w:rPr>
          <w:rStyle w:val="844"/>
          <w:rFonts w:hint="eastAsia"/>
        </w:rPr>
        <w:instrText xml:space="preserve"> </w:instrText>
      </w:r>
      <w:r>
        <w:rPr>
          <w:rFonts w:hint="eastAsia"/>
        </w:rPr>
        <w:instrText xml:space="preserve">HYPERLINK \l "_Toc192946454"</w:instrText>
      </w:r>
      <w:r>
        <w:rPr>
          <w:rStyle w:val="844"/>
          <w:rFonts w:hint="eastAsia"/>
        </w:rPr>
        <w:instrText xml:space="preserve"> </w:instrText>
      </w:r>
      <w:r>
        <w:rPr>
          <w:rStyle w:val="844"/>
          <w:rFonts w:hint="eastAsia"/>
        </w:rPr>
        <w:fldChar w:fldCharType="separate"/>
      </w:r>
      <w:r>
        <w:rPr>
          <w:rStyle w:val="844"/>
          <w:rFonts w:hint="eastAsia" w:ascii="黑体" w:hAnsi="楷体_GB2312" w:eastAsia="黑体"/>
        </w:rPr>
        <w:t xml:space="preserve">第四章  项目需求（服务类）</w:t>
      </w:r>
      <w:r>
        <w:rPr>
          <w:rFonts w:hint="eastAsia"/>
        </w:rPr>
        <w:tab/>
      </w:r>
      <w:bookmarkStart w:id="13" w:name="_Hlt225931902"/>
      <w:r/>
      <w:bookmarkStart w:id="14" w:name="_Hlt225931901"/>
      <w:r>
        <w:rPr>
          <w:rFonts w:hint="eastAsia"/>
        </w:rPr>
        <w:fldChar w:fldCharType="begin"/>
      </w:r>
      <w:r>
        <w:rPr>
          <w:rFonts w:hint="eastAsia"/>
        </w:rPr>
        <w:instrText xml:space="preserve"> </w:instrText>
      </w:r>
      <w:r>
        <w:instrText xml:space="preserve">PAGEREF _Toc192946454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bookmarkEnd w:id="13"/>
      <w:r/>
      <w:bookmarkEnd w:id="14"/>
      <w:r>
        <w:rPr>
          <w:rStyle w:val="844"/>
          <w:rFonts w:hint="eastAsia"/>
        </w:rPr>
        <w:fldChar w:fldCharType="end"/>
      </w:r>
      <w:r>
        <w:rPr>
          <w:rFonts w:hint="eastAsia" w:ascii="等线" w:hAnsi="等线" w:eastAsia="等线"/>
          <w:caps w:val="0"/>
          <w:sz w:val="22"/>
          <w:szCs w:val="24"/>
        </w:rPr>
      </w:r>
      <w:r/>
    </w:p>
    <w:p>
      <w:pPr>
        <w:pStyle w:val="811"/>
        <w:rPr>
          <w:rFonts w:hint="eastAsia" w:ascii="等线" w:hAnsi="等线" w:eastAsia="等线"/>
          <w:smallCaps/>
          <w:sz w:val="22"/>
        </w:rPr>
      </w:pPr>
      <w:r>
        <w:rPr>
          <w:rStyle w:val="844"/>
          <w:rFonts w:hint="eastAsia"/>
        </w:rPr>
        <w:fldChar w:fldCharType="begin"/>
      </w:r>
      <w:r>
        <w:rPr>
          <w:rStyle w:val="844"/>
          <w:rFonts w:hint="eastAsia"/>
        </w:rPr>
        <w:instrText xml:space="preserve"> </w:instrText>
      </w:r>
      <w:r>
        <w:rPr>
          <w:rFonts w:hint="eastAsia"/>
        </w:rPr>
        <w:instrText xml:space="preserve">HYPERLINK \l "_Toc192</w:instrText>
      </w:r>
      <w:r>
        <w:rPr>
          <w:rFonts w:hint="eastAsia"/>
        </w:rPr>
        <w:instrText xml:space="preserve">946455"</w:instrText>
      </w:r>
      <w:r>
        <w:rPr>
          <w:rStyle w:val="844"/>
          <w:rFonts w:hint="eastAsia"/>
        </w:rPr>
        <w:instrText xml:space="preserve"> </w:instrText>
      </w:r>
      <w:r>
        <w:rPr>
          <w:rStyle w:val="844"/>
          <w:rFonts w:hint="eastAsia"/>
        </w:rPr>
        <w:fldChar w:fldCharType="separate"/>
      </w:r>
      <w:r>
        <w:rPr>
          <w:rStyle w:val="844"/>
          <w:rFonts w:hint="eastAsia" w:ascii="黑体" w:hAnsi="楷体_GB2312" w:eastAsia="黑体"/>
        </w:rPr>
        <w:t xml:space="preserve">第五章  评标方法与评标标准</w:t>
      </w:r>
      <w:r>
        <w:rPr>
          <w:rFonts w:hint="eastAsia"/>
        </w:rPr>
        <w:tab/>
      </w:r>
      <w:bookmarkStart w:id="15" w:name="_Hlt228139103"/>
      <w:r>
        <w:rPr>
          <w:rFonts w:hint="eastAsia"/>
        </w:rPr>
        <w:fldChar w:fldCharType="begin"/>
      </w:r>
      <w:r>
        <w:rPr>
          <w:rFonts w:hint="eastAsia"/>
        </w:rPr>
        <w:instrText xml:space="preserve"> </w:instrText>
      </w:r>
      <w:r>
        <w:instrText xml:space="preserve">PAGEREF _Toc192946455 \h</w:instrText>
      </w:r>
      <w:r>
        <w:rPr>
          <w:rFonts w:hint="eastAsia"/>
        </w:rPr>
        <w:instrText xml:space="preserve"> </w:instrText>
      </w:r>
      <w:r>
        <w:rPr>
          <w:rFonts w:hint="eastAsia"/>
        </w:rPr>
        <w:fldChar w:fldCharType="separate"/>
      </w:r>
      <w:r>
        <w:rPr>
          <w:rFonts w:hint="eastAsia"/>
        </w:rPr>
        <w:t xml:space="preserve">66</w:t>
      </w:r>
      <w:r>
        <w:rPr>
          <w:rFonts w:hint="eastAsia"/>
        </w:rPr>
        <w:fldChar w:fldCharType="end"/>
      </w:r>
      <w:bookmarkEnd w:id="15"/>
      <w:r>
        <w:rPr>
          <w:rStyle w:val="844"/>
          <w:rFonts w:hint="eastAsia"/>
        </w:rPr>
        <w:fldChar w:fldCharType="end"/>
      </w:r>
      <w:r>
        <w:rPr>
          <w:rFonts w:hint="eastAsia" w:ascii="等线" w:hAnsi="等线" w:eastAsia="等线"/>
          <w:smallCaps/>
          <w:sz w:val="22"/>
        </w:rPr>
      </w:r>
      <w:r/>
    </w:p>
    <w:p>
      <w:pPr>
        <w:pStyle w:val="811"/>
        <w:rPr>
          <w:rFonts w:hint="eastAsia" w:ascii="等线" w:hAnsi="等线" w:eastAsia="等线"/>
          <w:caps w:val="0"/>
          <w:sz w:val="22"/>
          <w:szCs w:val="24"/>
        </w:rPr>
      </w:pPr>
      <w:r>
        <w:rPr>
          <w:rStyle w:val="844"/>
          <w:rFonts w:hint="eastAsia"/>
        </w:rPr>
        <w:fldChar w:fldCharType="begin"/>
      </w:r>
      <w:r>
        <w:rPr>
          <w:rStyle w:val="844"/>
          <w:rFonts w:hint="eastAsia"/>
        </w:rPr>
        <w:instrText xml:space="preserve"> </w:instrText>
      </w:r>
      <w:r>
        <w:rPr>
          <w:rFonts w:hint="eastAsia"/>
        </w:rPr>
        <w:instrText xml:space="preserve">HYPERLINK \l "_Toc192946475"</w:instrText>
      </w:r>
      <w:r>
        <w:rPr>
          <w:rStyle w:val="844"/>
          <w:rFonts w:hint="eastAsia"/>
        </w:rPr>
        <w:instrText xml:space="preserve"> </w:instrText>
      </w:r>
      <w:r>
        <w:rPr>
          <w:rStyle w:val="844"/>
          <w:rFonts w:hint="eastAsia"/>
        </w:rPr>
        <w:fldChar w:fldCharType="separate"/>
      </w:r>
      <w:r>
        <w:rPr>
          <w:rStyle w:val="844"/>
          <w:rFonts w:hint="eastAsia" w:ascii="黑体" w:hAnsi="楷体_GB2312" w:eastAsia="黑体"/>
        </w:rPr>
        <w:t xml:space="preserve">第六章  投标文件格式</w:t>
      </w:r>
      <w:r>
        <w:rPr>
          <w:rFonts w:hint="eastAsia"/>
        </w:rPr>
        <w:tab/>
      </w:r>
      <w:bookmarkStart w:id="16" w:name="_Hlt230084569"/>
      <w:r>
        <w:rPr>
          <w:rFonts w:hint="eastAsia"/>
        </w:rPr>
        <w:fldChar w:fldCharType="begin"/>
      </w:r>
      <w:r>
        <w:rPr>
          <w:rFonts w:hint="eastAsia"/>
        </w:rPr>
        <w:instrText xml:space="preserve"> </w:instrText>
      </w:r>
      <w:r>
        <w:instrText xml:space="preserve">PAGEREF _Toc192946475 \h</w:instrText>
      </w:r>
      <w:r>
        <w:rPr>
          <w:rFonts w:hint="eastAsia"/>
        </w:rPr>
        <w:instrText xml:space="preserve"> </w:instrText>
      </w:r>
      <w:r>
        <w:rPr>
          <w:rFonts w:hint="eastAsia"/>
        </w:rPr>
        <w:fldChar w:fldCharType="separate"/>
      </w:r>
      <w:r>
        <w:rPr>
          <w:rFonts w:hint="eastAsia"/>
        </w:rPr>
        <w:t xml:space="preserve">74</w:t>
      </w:r>
      <w:r>
        <w:rPr>
          <w:rFonts w:hint="eastAsia"/>
        </w:rPr>
        <w:fldChar w:fldCharType="end"/>
      </w:r>
      <w:bookmarkEnd w:id="16"/>
      <w:r>
        <w:rPr>
          <w:rStyle w:val="844"/>
          <w:rFonts w:hint="eastAsia"/>
        </w:rPr>
        <w:fldChar w:fldCharType="end"/>
      </w:r>
      <w:r>
        <w:rPr>
          <w:rFonts w:hint="eastAsia" w:ascii="等线" w:hAnsi="等线" w:eastAsia="等线"/>
          <w:caps w:val="0"/>
          <w:sz w:val="22"/>
          <w:szCs w:val="24"/>
        </w:rPr>
      </w:r>
      <w:r/>
    </w:p>
    <w:p>
      <w:pPr>
        <w:pStyle w:val="749"/>
      </w:pPr>
      <w:r>
        <w:rPr>
          <w:b/>
          <w:bCs/>
          <w:lang w:val="zh-CN"/>
        </w:rPr>
        <w:fldChar w:fldCharType="end"/>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750"/>
        <w:jc w:val="center"/>
        <w:keepLines w:val="0"/>
        <w:spacing w:before="0" w:line="240" w:lineRule="auto"/>
        <w:widowControl w:val="off"/>
        <w:rPr>
          <w:rFonts w:ascii="黑体" w:hAnsi="楷体_GB2312" w:eastAsia="黑体"/>
          <w:b w:val="0"/>
          <w:bCs w:val="0"/>
          <w:color w:val="000000"/>
          <w:sz w:val="44"/>
          <w:szCs w:val="44"/>
        </w:rPr>
      </w:pPr>
      <w:r/>
      <w:bookmarkStart w:id="17" w:name="_Toc17291673"/>
      <w:r/>
      <w:bookmarkStart w:id="18" w:name="_Toc192946451"/>
      <w:r/>
      <w:bookmarkStart w:id="19" w:name="_Toc17291077"/>
      <w:r>
        <w:rPr>
          <w:rFonts w:hint="eastAsia" w:ascii="黑体" w:hAnsi="楷体_GB2312" w:eastAsia="黑体"/>
          <w:b w:val="0"/>
          <w:bCs w:val="0"/>
          <w:color w:val="000000"/>
          <w:sz w:val="44"/>
          <w:szCs w:val="44"/>
        </w:rPr>
        <w:t xml:space="preserve">第一章  </w:t>
      </w:r>
      <w:bookmarkEnd w:id="8"/>
      <w:r>
        <w:rPr>
          <w:rFonts w:hint="eastAsia" w:ascii="黑体" w:hAnsi="楷体_GB2312" w:eastAsia="黑体"/>
          <w:b w:val="0"/>
          <w:bCs w:val="0"/>
          <w:color w:val="000000"/>
          <w:sz w:val="44"/>
          <w:szCs w:val="44"/>
        </w:rPr>
        <w:t xml:space="preserve">投标邀请</w:t>
      </w:r>
      <w:bookmarkEnd w:id="17"/>
      <w:r/>
      <w:bookmarkEnd w:id="18"/>
      <w:r/>
      <w:bookmarkEnd w:id="19"/>
      <w:r>
        <w:rPr>
          <w:rFonts w:ascii="黑体" w:hAnsi="楷体_GB2312" w:eastAsia="黑体"/>
          <w:b w:val="0"/>
          <w:bCs w:val="0"/>
          <w:color w:val="000000"/>
          <w:sz w:val="44"/>
          <w:szCs w:val="44"/>
        </w:rPr>
      </w:r>
      <w:r/>
    </w:p>
    <w:p>
      <w:pPr>
        <w:pStyle w:val="749"/>
        <w:ind w:firstLine="480"/>
        <w:jc w:val="both"/>
        <w:spacing w:after="0" w:line="560" w:lineRule="exact"/>
        <w:widowControl w:val="off"/>
        <w:rPr>
          <w:rFonts w:hint="eastAsia" w:ascii="宋体"/>
          <w:bCs/>
          <w:sz w:val="24"/>
        </w:rPr>
      </w:pPr>
      <w:r/>
      <w:bookmarkStart w:id="20" w:name="_Hlk163568028"/>
      <w:r>
        <w:rPr>
          <w:rFonts w:hint="eastAsia" w:ascii="宋体"/>
          <w:bCs/>
          <w:sz w:val="24"/>
        </w:rPr>
        <w:t xml:space="preserve">项目概况</w:t>
      </w:r>
      <w:r/>
    </w:p>
    <w:p>
      <w:pPr>
        <w:pStyle w:val="749"/>
        <w:ind w:firstLine="480"/>
        <w:jc w:val="both"/>
        <w:spacing w:after="0" w:line="560" w:lineRule="exact"/>
        <w:widowControl w:val="off"/>
        <w:rPr>
          <w:rFonts w:ascii="宋体"/>
          <w:bCs/>
          <w:sz w:val="24"/>
        </w:rPr>
      </w:pPr>
      <w:r>
        <w:rPr>
          <w:rFonts w:hint="eastAsia" w:ascii="宋体"/>
          <w:sz w:val="24"/>
        </w:rPr>
        <w:t xml:space="preserve">2026年食品安全执法抽检专业技术辅助服务</w:t>
      </w:r>
      <w:r>
        <w:rPr>
          <w:rFonts w:hint="eastAsia" w:ascii="宋体"/>
          <w:bCs/>
          <w:sz w:val="24"/>
        </w:rPr>
        <w:t xml:space="preserve">的潜在供应商应在本公司要求的相关渠道获取招标文件，并于 2026年</w:t>
      </w:r>
      <w:r>
        <w:rPr>
          <w:rFonts w:hint="eastAsia" w:ascii="宋体"/>
          <w:bCs/>
          <w:sz w:val="24"/>
        </w:rPr>
        <w:t xml:space="preserve">07</w:t>
      </w:r>
      <w:r>
        <w:rPr>
          <w:rFonts w:hint="eastAsia" w:ascii="宋体"/>
          <w:bCs/>
          <w:sz w:val="24"/>
        </w:rPr>
        <w:t xml:space="preserve">月</w:t>
      </w:r>
      <w:r>
        <w:rPr>
          <w:rFonts w:hint="eastAsia" w:ascii="宋体"/>
          <w:bCs/>
          <w:sz w:val="24"/>
        </w:rPr>
        <w:t xml:space="preserve">08</w:t>
      </w:r>
      <w:r>
        <w:rPr>
          <w:rFonts w:hint="eastAsia" w:ascii="宋体"/>
          <w:bCs/>
          <w:sz w:val="24"/>
        </w:rPr>
        <w:t xml:space="preserve">日</w:t>
      </w:r>
      <w:r>
        <w:rPr>
          <w:rFonts w:hint="eastAsia" w:ascii="宋体"/>
          <w:bCs/>
          <w:sz w:val="24"/>
        </w:rPr>
        <w:t xml:space="preserve">0</w:t>
      </w:r>
      <w:r>
        <w:rPr>
          <w:rFonts w:hint="eastAsia" w:ascii="宋体"/>
          <w:bCs/>
          <w:sz w:val="24"/>
        </w:rPr>
        <w:t xml:space="preserve">9</w:t>
      </w:r>
      <w:r>
        <w:rPr>
          <w:rFonts w:hint="eastAsia" w:ascii="宋体"/>
          <w:bCs/>
          <w:sz w:val="24"/>
        </w:rPr>
        <w:t xml:space="preserve">:</w:t>
      </w:r>
      <w:r>
        <w:rPr>
          <w:rFonts w:hint="eastAsia" w:ascii="宋体"/>
          <w:bCs/>
          <w:sz w:val="24"/>
        </w:rPr>
        <w:t xml:space="preserve">00</w:t>
      </w:r>
      <w:r>
        <w:rPr>
          <w:rFonts w:hint="eastAsia" w:ascii="宋体"/>
          <w:bCs/>
          <w:sz w:val="24"/>
        </w:rPr>
        <w:t xml:space="preserve">（北京时间）前递交投标文件。</w:t>
      </w:r>
      <w:r>
        <w:rPr>
          <w:rFonts w:ascii="宋体"/>
          <w:bCs/>
          <w:sz w:val="24"/>
        </w:rPr>
      </w:r>
      <w:r/>
    </w:p>
    <w:p>
      <w:pPr>
        <w:pStyle w:val="749"/>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2026年食品安全执法抽检专业技术辅助服务项目</w:t>
      </w:r>
      <w:r>
        <w:rPr>
          <w:rFonts w:hint="eastAsia" w:ascii="宋体"/>
          <w:bCs/>
          <w:sz w:val="24"/>
        </w:rPr>
        <w:t xml:space="preserve">进行公开招标采购，现欢迎符合相关条件的合格供应商投标。</w:t>
      </w:r>
      <w:r>
        <w:rPr>
          <w:rFonts w:ascii="宋体"/>
          <w:sz w:val="21"/>
        </w:rPr>
      </w:r>
      <w:r/>
    </w:p>
    <w:p>
      <w:pPr>
        <w:pStyle w:val="749"/>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49"/>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2026年食品安全执法抽检专业技术辅助服务</w:t>
      </w:r>
      <w:r>
        <w:rPr>
          <w:rFonts w:ascii="宋体"/>
          <w:bCs/>
          <w:sz w:val="24"/>
        </w:rPr>
      </w:r>
      <w:r/>
    </w:p>
    <w:p>
      <w:pPr>
        <w:pStyle w:val="749"/>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JSZC-320000-NJXY-G2026-0024</w:t>
      </w:r>
      <w:r>
        <w:rPr>
          <w:rFonts w:hint="eastAsia" w:ascii="宋体"/>
          <w:sz w:val="28"/>
          <w:szCs w:val="28"/>
        </w:rPr>
      </w:r>
      <w:r/>
    </w:p>
    <w:p>
      <w:pPr>
        <w:pStyle w:val="749"/>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49"/>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21" w:name="_Hlk82097478"/>
      <w:r>
        <w:rPr>
          <w:rFonts w:ascii="宋体"/>
          <w:sz w:val="24"/>
        </w:rPr>
      </w:r>
      <w:r/>
    </w:p>
    <w:p>
      <w:pPr>
        <w:pStyle w:val="749"/>
        <w:ind w:firstLine="480"/>
        <w:jc w:val="both"/>
        <w:spacing w:after="0" w:line="560" w:lineRule="exact"/>
        <w:widowControl w:val="off"/>
        <w:tabs>
          <w:tab w:val="left" w:pos="900" w:leader="none"/>
        </w:tabs>
        <w:rPr>
          <w:rFonts w:ascii="宋体"/>
          <w:sz w:val="24"/>
        </w:rPr>
      </w:pPr>
      <w:r/>
      <w:bookmarkEnd w:id="21"/>
      <w:r/>
      <w:bookmarkStart w:id="22" w:name="_Hlk227939024"/>
      <w:r/>
      <w:bookmarkStart w:id="23" w:name="_Hlk85972736"/>
      <w:r/>
      <w:bookmarkStart w:id="24" w:name="_Hlk82764866"/>
      <w:r>
        <w:rPr>
          <w:rFonts w:hint="eastAsia" w:ascii="宋体"/>
          <w:sz w:val="24"/>
        </w:rPr>
        <w:t xml:space="preserve">为确保江苏省食品安全执法抽检工作顺利开展，现通过公开招标方式确定专业检验检测机构，每个采购包遴选一家符合要求的检测机构承担2026年食品安全执法抽检专业技术辅助服务</w:t>
      </w:r>
      <w:bookmarkEnd w:id="22"/>
      <w:r>
        <w:rPr>
          <w:rFonts w:hint="eastAsia" w:ascii="宋体"/>
          <w:sz w:val="24"/>
        </w:rPr>
        <w:t xml:space="preserve">。具体详见采购文件第四章项目需求。</w:t>
      </w:r>
      <w:r>
        <w:rPr>
          <w:rFonts w:ascii="宋体"/>
          <w:sz w:val="24"/>
        </w:rPr>
      </w:r>
      <w:r/>
    </w:p>
    <w:p>
      <w:pPr>
        <w:pStyle w:val="749"/>
        <w:ind w:firstLine="480"/>
        <w:jc w:val="both"/>
        <w:spacing w:after="0" w:line="560" w:lineRule="exact"/>
        <w:widowControl w:val="off"/>
        <w:tabs>
          <w:tab w:val="left" w:pos="900" w:leader="none"/>
        </w:tabs>
        <w:rPr>
          <w:rFonts w:ascii="宋体"/>
          <w:sz w:val="24"/>
        </w:rPr>
      </w:pPr>
      <w:r>
        <w:rPr>
          <w:rFonts w:hint="eastAsia" w:ascii="宋体"/>
          <w:sz w:val="24"/>
        </w:rPr>
        <w:t xml:space="preserve">本招标项目的最小招标单位为采购包，按每个采购包进行投标、评标。</w:t>
      </w:r>
      <w:bookmarkEnd w:id="23"/>
      <w:r>
        <w:rPr>
          <w:rFonts w:hint="eastAsia" w:ascii="宋体"/>
          <w:sz w:val="24"/>
        </w:rPr>
        <w:t xml:space="preserve">本招标文件所有内容未做特别标注或说明即适用所有采购包。</w:t>
      </w:r>
      <w:r>
        <w:rPr>
          <w:rFonts w:ascii="宋体"/>
          <w:sz w:val="24"/>
        </w:rPr>
      </w:r>
      <w:r/>
    </w:p>
    <w:p>
      <w:pPr>
        <w:pStyle w:val="749"/>
        <w:ind w:firstLine="480"/>
        <w:jc w:val="both"/>
        <w:spacing w:after="0" w:line="560" w:lineRule="exact"/>
        <w:widowControl w:val="off"/>
        <w:tabs>
          <w:tab w:val="left" w:pos="900" w:leader="none"/>
        </w:tabs>
        <w:rPr>
          <w:rFonts w:ascii="宋体"/>
          <w:sz w:val="24"/>
        </w:rPr>
      </w:pPr>
      <w:r>
        <w:rPr>
          <w:rFonts w:hint="eastAsia" w:ascii="宋体"/>
          <w:sz w:val="24"/>
        </w:rPr>
        <w:t xml:space="preserve">3.2预算金额</w:t>
      </w:r>
      <w:r>
        <w:rPr>
          <w:rFonts w:ascii="宋体"/>
          <w:sz w:val="24"/>
        </w:rPr>
      </w:r>
      <w:r/>
    </w:p>
    <w:p>
      <w:pPr>
        <w:pStyle w:val="749"/>
        <w:ind w:firstLine="480"/>
        <w:jc w:val="both"/>
        <w:spacing w:after="0" w:line="560" w:lineRule="exact"/>
        <w:widowControl w:val="off"/>
        <w:tabs>
          <w:tab w:val="left" w:pos="900" w:leader="none"/>
        </w:tabs>
        <w:rPr>
          <w:rFonts w:ascii="宋体"/>
          <w:sz w:val="24"/>
        </w:rPr>
      </w:pPr>
      <w:r>
        <w:rPr>
          <w:rFonts w:hint="eastAsia" w:ascii="宋体"/>
          <w:sz w:val="24"/>
        </w:rPr>
        <w:t xml:space="preserve">（1）本项目总预算为人民币120万元，共计分设3个采购包。</w:t>
      </w:r>
      <w:r>
        <w:rPr>
          <w:rFonts w:ascii="宋体"/>
          <w:sz w:val="24"/>
        </w:rPr>
      </w:r>
      <w:r/>
    </w:p>
    <w:p>
      <w:pPr>
        <w:pStyle w:val="749"/>
        <w:ind w:firstLine="480"/>
        <w:jc w:val="both"/>
        <w:spacing w:after="0" w:line="560" w:lineRule="exact"/>
        <w:widowControl w:val="off"/>
        <w:tabs>
          <w:tab w:val="left" w:pos="900" w:leader="none"/>
        </w:tabs>
        <w:rPr>
          <w:rFonts w:ascii="宋体"/>
          <w:bCs/>
          <w:sz w:val="24"/>
        </w:rPr>
      </w:pPr>
      <w:r>
        <w:rPr>
          <w:rFonts w:hint="eastAsia" w:ascii="宋体"/>
          <w:sz w:val="24"/>
        </w:rPr>
        <w:t xml:space="preserve">（2）</w:t>
      </w:r>
      <w:r>
        <w:rPr>
          <w:rFonts w:hint="eastAsia" w:ascii="宋体"/>
          <w:bCs/>
          <w:sz w:val="24"/>
        </w:rPr>
        <w:t xml:space="preserve">项目采购包明细、采购包预算金额</w:t>
      </w:r>
      <w:r>
        <w:rPr>
          <w:rFonts w:ascii="宋体"/>
          <w:bCs/>
          <w:sz w:val="24"/>
        </w:rPr>
      </w:r>
      <w:r/>
    </w:p>
    <w:p>
      <w:pPr>
        <w:pStyle w:val="762"/>
      </w:pPr>
      <w:r/>
      <w:r/>
    </w:p>
    <w:p>
      <w:pPr>
        <w:pStyle w:val="762"/>
      </w:pPr>
      <w:r/>
      <w:r/>
    </w:p>
    <w:p>
      <w:pPr>
        <w:pStyle w:val="762"/>
        <w:rPr>
          <w:rFonts w:hint="eastAsia"/>
        </w:rPr>
      </w:pPr>
      <w:r>
        <w:rPr>
          <w:rFonts w:hint="eastAsia"/>
        </w:rPr>
      </w:r>
      <w:r/>
    </w:p>
    <w:tbl>
      <w:tblPr>
        <w:tblW w:w="8662"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1560"/>
        <w:gridCol w:w="1842"/>
        <w:gridCol w:w="2127"/>
        <w:gridCol w:w="1984"/>
      </w:tblGrid>
      <w:tr>
        <w:trPr>
          <w:trHeight w:val="834"/>
        </w:trPr>
        <w:tc>
          <w:tcPr>
            <w:tcW w:w="1149" w:type="dxa"/>
            <w:vAlign w:val="center"/>
            <w:textDirection w:val="lrTb"/>
            <w:noWrap w:val="false"/>
          </w:tcPr>
          <w:p>
            <w:pPr>
              <w:pStyle w:val="749"/>
              <w:spacing w:after="0" w:line="560" w:lineRule="exact"/>
              <w:rPr>
                <w:rFonts w:hint="eastAsia" w:ascii="宋体"/>
                <w:bCs/>
                <w:sz w:val="24"/>
              </w:rPr>
            </w:pPr>
            <w:r/>
            <w:bookmarkStart w:id="25" w:name="_Hlk227946087"/>
            <w:r>
              <w:rPr>
                <w:rFonts w:hint="eastAsia" w:ascii="宋体"/>
                <w:bCs/>
                <w:sz w:val="24"/>
              </w:rPr>
              <w:t xml:space="preserve">采购包号</w:t>
            </w:r>
            <w:r/>
          </w:p>
        </w:tc>
        <w:tc>
          <w:tcPr>
            <w:tcW w:w="1560" w:type="dxa"/>
            <w:vAlign w:val="center"/>
            <w:textDirection w:val="lrTb"/>
            <w:noWrap w:val="false"/>
          </w:tcPr>
          <w:p>
            <w:pPr>
              <w:pStyle w:val="749"/>
              <w:spacing w:after="0" w:line="560" w:lineRule="exact"/>
              <w:rPr>
                <w:rFonts w:hint="eastAsia" w:ascii="宋体"/>
                <w:bCs/>
                <w:sz w:val="24"/>
              </w:rPr>
            </w:pPr>
            <w:r>
              <w:rPr>
                <w:rFonts w:hint="eastAsia" w:ascii="宋体"/>
                <w:bCs/>
                <w:sz w:val="24"/>
              </w:rPr>
              <w:t xml:space="preserve">抽检地区</w:t>
            </w:r>
            <w:r/>
          </w:p>
        </w:tc>
        <w:tc>
          <w:tcPr>
            <w:tcW w:w="1842" w:type="dxa"/>
            <w:vAlign w:val="center"/>
            <w:textDirection w:val="lrTb"/>
            <w:noWrap w:val="false"/>
          </w:tcPr>
          <w:p>
            <w:pPr>
              <w:pStyle w:val="749"/>
              <w:spacing w:after="0" w:line="560" w:lineRule="exact"/>
              <w:rPr>
                <w:rFonts w:hint="eastAsia" w:ascii="宋体"/>
                <w:bCs/>
                <w:sz w:val="24"/>
              </w:rPr>
            </w:pPr>
            <w:r>
              <w:rPr>
                <w:rFonts w:hint="eastAsia" w:ascii="宋体"/>
                <w:bCs/>
                <w:sz w:val="24"/>
              </w:rPr>
              <w:t xml:space="preserve">各采购包预估批次数（批次）</w:t>
            </w:r>
            <w:r/>
          </w:p>
        </w:tc>
        <w:tc>
          <w:tcPr>
            <w:tcW w:w="2127" w:type="dxa"/>
            <w:vAlign w:val="center"/>
            <w:textDirection w:val="lrTb"/>
            <w:noWrap w:val="false"/>
          </w:tcPr>
          <w:p>
            <w:pPr>
              <w:pStyle w:val="749"/>
              <w:jc w:val="center"/>
              <w:spacing w:after="0" w:line="240" w:lineRule="auto"/>
              <w:rPr>
                <w:rFonts w:hint="eastAsia" w:eastAsia="等线" w:cs="Calibri"/>
                <w:color w:val="000000"/>
                <w:sz w:val="24"/>
                <w:szCs w:val="24"/>
              </w:rPr>
            </w:pPr>
            <w:r>
              <w:rPr>
                <w:rFonts w:hint="eastAsia" w:eastAsia="等线" w:cs="Calibri"/>
                <w:color w:val="000000"/>
                <w:sz w:val="24"/>
                <w:szCs w:val="24"/>
              </w:rPr>
              <w:t xml:space="preserve">抽检类型</w:t>
            </w:r>
            <w:r/>
          </w:p>
        </w:tc>
        <w:tc>
          <w:tcPr>
            <w:tcW w:w="1984" w:type="dxa"/>
            <w:vAlign w:val="center"/>
            <w:textDirection w:val="lrTb"/>
            <w:noWrap w:val="false"/>
          </w:tcPr>
          <w:p>
            <w:pPr>
              <w:pStyle w:val="749"/>
              <w:spacing w:after="0" w:line="560" w:lineRule="exact"/>
              <w:rPr>
                <w:rFonts w:hint="eastAsia" w:ascii="宋体"/>
                <w:bCs/>
                <w:sz w:val="24"/>
              </w:rPr>
            </w:pPr>
            <w:r>
              <w:rPr>
                <w:rFonts w:hint="eastAsia" w:eastAsia="等线" w:cs="Calibri"/>
                <w:color w:val="000000"/>
                <w:sz w:val="24"/>
                <w:szCs w:val="24"/>
              </w:rPr>
              <w:t xml:space="preserve">各采购包预算金额(元，均包</w:t>
            </w:r>
            <w:r>
              <w:rPr>
                <w:rFonts w:hint="eastAsia" w:ascii="宋体" w:hAnsi="宋体" w:cs="Calibri"/>
                <w:color w:val="000000"/>
                <w:sz w:val="24"/>
                <w:szCs w:val="24"/>
              </w:rPr>
              <w:t xml:space="preserve">含样品购置费</w:t>
            </w:r>
            <w:r>
              <w:rPr>
                <w:rFonts w:hint="eastAsia" w:eastAsia="等线" w:cs="Calibri"/>
                <w:color w:val="000000"/>
                <w:sz w:val="24"/>
                <w:szCs w:val="24"/>
              </w:rPr>
              <w:t xml:space="preserve">）</w:t>
            </w:r>
            <w:r>
              <w:rPr>
                <w:rFonts w:hint="eastAsia" w:ascii="宋体"/>
                <w:bCs/>
                <w:sz w:val="24"/>
              </w:rPr>
            </w:r>
            <w:r/>
          </w:p>
        </w:tc>
      </w:tr>
      <w:tr>
        <w:trPr>
          <w:cantSplit/>
          <w:trHeight w:val="1371"/>
        </w:trPr>
        <w:tc>
          <w:tcPr>
            <w:tcW w:w="1149" w:type="dxa"/>
            <w:vAlign w:val="center"/>
            <w:textDirection w:val="lrTb"/>
            <w:noWrap/>
          </w:tcPr>
          <w:p>
            <w:pPr>
              <w:pStyle w:val="749"/>
              <w:jc w:val="center"/>
              <w:spacing w:after="0" w:line="560" w:lineRule="exact"/>
              <w:rPr>
                <w:rFonts w:ascii="宋体"/>
                <w:bCs/>
                <w:sz w:val="24"/>
              </w:rPr>
            </w:pPr>
            <w:r>
              <w:rPr>
                <w:rFonts w:ascii="宋体"/>
                <w:bCs/>
                <w:sz w:val="24"/>
              </w:rPr>
              <w:t xml:space="preserve">1</w:t>
            </w:r>
            <w:r/>
          </w:p>
        </w:tc>
        <w:tc>
          <w:tcPr>
            <w:tcW w:w="1560" w:type="dxa"/>
            <w:vAlign w:val="center"/>
            <w:textDirection w:val="lrTb"/>
            <w:noWrap w:val="false"/>
          </w:tcPr>
          <w:p>
            <w:pPr>
              <w:pStyle w:val="749"/>
              <w:jc w:val="center"/>
              <w:spacing w:after="0" w:line="560" w:lineRule="exact"/>
              <w:rPr>
                <w:rFonts w:hint="eastAsia" w:ascii="宋体"/>
                <w:bCs/>
                <w:sz w:val="24"/>
              </w:rPr>
            </w:pPr>
            <w:r>
              <w:rPr>
                <w:rFonts w:hint="eastAsia" w:ascii="宋体"/>
                <w:bCs/>
                <w:sz w:val="24"/>
              </w:rPr>
              <w:t xml:space="preserve">南京、苏州、无锡、常州地区</w:t>
            </w:r>
            <w:r/>
          </w:p>
        </w:tc>
        <w:tc>
          <w:tcPr>
            <w:tcW w:w="1842" w:type="dxa"/>
            <w:vAlign w:val="center"/>
            <w:textDirection w:val="lrTb"/>
            <w:noWrap/>
          </w:tcPr>
          <w:p>
            <w:pPr>
              <w:pStyle w:val="749"/>
              <w:jc w:val="center"/>
              <w:spacing w:after="0" w:line="560" w:lineRule="exact"/>
              <w:rPr>
                <w:rFonts w:ascii="宋体"/>
                <w:bCs/>
                <w:sz w:val="24"/>
              </w:rPr>
            </w:pPr>
            <w:r>
              <w:rPr>
                <w:rFonts w:ascii="宋体"/>
                <w:bCs/>
                <w:sz w:val="24"/>
              </w:rPr>
              <w:t xml:space="preserve">275</w:t>
            </w:r>
            <w:r/>
          </w:p>
        </w:tc>
        <w:tc>
          <w:tcPr>
            <w:tcW w:w="2127" w:type="dxa"/>
            <w:vAlign w:val="top"/>
            <w:vMerge w:val="restart"/>
            <w:textDirection w:val="lrTb"/>
            <w:noWrap w:val="false"/>
          </w:tcPr>
          <w:p>
            <w:pPr>
              <w:pStyle w:val="749"/>
              <w:spacing w:after="0" w:line="560" w:lineRule="exact"/>
              <w:rPr>
                <w:rFonts w:hint="eastAsia" w:ascii="宋体"/>
                <w:bCs/>
                <w:sz w:val="24"/>
              </w:rPr>
            </w:pPr>
            <w:r/>
            <w:bookmarkStart w:id="26" w:name="OLE_LINK4"/>
            <w:r>
              <w:rPr>
                <w:rFonts w:hint="eastAsia" w:ascii="宋体"/>
                <w:bCs/>
                <w:sz w:val="24"/>
              </w:rPr>
              <w:t xml:space="preserve">包含但不限于以下</w:t>
            </w:r>
            <w:r>
              <w:rPr>
                <w:rFonts w:hint="eastAsia" w:ascii="宋体"/>
                <w:bCs/>
                <w:sz w:val="24"/>
              </w:rPr>
              <w:t xml:space="preserve">食品大类：肉制品，食用油、油脂及其制品，酒类，饮料，糖果制品，豆制品，糕点，饼干，速冻食品，餐饮</w:t>
            </w:r>
            <w:r>
              <w:rPr>
                <w:rFonts w:hint="eastAsia" w:ascii="宋体"/>
                <w:bCs/>
                <w:sz w:val="24"/>
              </w:rPr>
              <w:t xml:space="preserve">食品，食用农产品，果冻、含茶制品和代用茶、饼干、咖啡、水果制品及其他食品（含与上述基质相同的保健食品及片剂、胶囊、软胶囊等剂型）。</w:t>
            </w:r>
            <w:bookmarkEnd w:id="26"/>
            <w:r>
              <w:rPr>
                <w:rFonts w:hint="eastAsia" w:ascii="宋体"/>
                <w:bCs/>
                <w:sz w:val="24"/>
              </w:rPr>
            </w:r>
            <w:r/>
          </w:p>
        </w:tc>
        <w:tc>
          <w:tcPr>
            <w:tcW w:w="1984" w:type="dxa"/>
            <w:vAlign w:val="center"/>
            <w:textDirection w:val="lrTb"/>
            <w:noWrap/>
          </w:tcPr>
          <w:p>
            <w:pPr>
              <w:pStyle w:val="749"/>
              <w:spacing w:after="0" w:line="560" w:lineRule="exact"/>
              <w:rPr>
                <w:rFonts w:hint="eastAsia" w:ascii="宋体"/>
                <w:bCs/>
                <w:sz w:val="24"/>
              </w:rPr>
            </w:pPr>
            <w:r>
              <w:rPr>
                <w:rFonts w:hint="eastAsia" w:ascii="宋体"/>
                <w:bCs/>
                <w:sz w:val="24"/>
              </w:rPr>
              <w:t xml:space="preserve">￥</w:t>
            </w:r>
            <w:r>
              <w:rPr>
                <w:rFonts w:ascii="宋体"/>
                <w:bCs/>
                <w:sz w:val="24"/>
              </w:rPr>
              <w:t xml:space="preserve">44</w:t>
            </w:r>
            <w:r>
              <w:rPr>
                <w:rFonts w:hint="eastAsia" w:ascii="宋体"/>
                <w:bCs/>
                <w:sz w:val="24"/>
              </w:rPr>
              <w:t xml:space="preserve">0000.00</w:t>
            </w:r>
            <w:r/>
          </w:p>
        </w:tc>
      </w:tr>
      <w:tr>
        <w:trPr>
          <w:cantSplit/>
          <w:trHeight w:val="983"/>
        </w:trPr>
        <w:tc>
          <w:tcPr>
            <w:tcW w:w="1149" w:type="dxa"/>
            <w:vAlign w:val="center"/>
            <w:textDirection w:val="lrTb"/>
            <w:noWrap/>
          </w:tcPr>
          <w:p>
            <w:pPr>
              <w:pStyle w:val="749"/>
              <w:jc w:val="center"/>
              <w:spacing w:after="0" w:line="560" w:lineRule="exact"/>
              <w:rPr>
                <w:rFonts w:ascii="宋体"/>
                <w:bCs/>
                <w:sz w:val="24"/>
              </w:rPr>
            </w:pPr>
            <w:r>
              <w:rPr>
                <w:rFonts w:ascii="宋体"/>
                <w:bCs/>
                <w:sz w:val="24"/>
              </w:rPr>
              <w:t xml:space="preserve">2</w:t>
            </w:r>
            <w:r/>
          </w:p>
        </w:tc>
        <w:tc>
          <w:tcPr>
            <w:tcW w:w="1560" w:type="dxa"/>
            <w:vAlign w:val="center"/>
            <w:textDirection w:val="lrTb"/>
            <w:noWrap w:val="false"/>
          </w:tcPr>
          <w:p>
            <w:pPr>
              <w:pStyle w:val="749"/>
              <w:jc w:val="center"/>
              <w:spacing w:after="0" w:line="560" w:lineRule="exact"/>
              <w:rPr>
                <w:rFonts w:hint="eastAsia" w:ascii="宋体"/>
                <w:bCs/>
                <w:sz w:val="24"/>
              </w:rPr>
            </w:pPr>
            <w:r>
              <w:rPr>
                <w:rFonts w:hint="eastAsia" w:ascii="宋体"/>
                <w:bCs/>
                <w:sz w:val="24"/>
              </w:rPr>
              <w:t xml:space="preserve">镇江、扬州、泰州、南通、连云港地区</w:t>
            </w:r>
            <w:r/>
          </w:p>
        </w:tc>
        <w:tc>
          <w:tcPr>
            <w:tcW w:w="1842" w:type="dxa"/>
            <w:vAlign w:val="center"/>
            <w:textDirection w:val="lrTb"/>
            <w:noWrap/>
          </w:tcPr>
          <w:p>
            <w:pPr>
              <w:pStyle w:val="749"/>
              <w:jc w:val="center"/>
              <w:spacing w:after="0" w:line="560" w:lineRule="exact"/>
              <w:rPr>
                <w:rFonts w:ascii="宋体"/>
                <w:bCs/>
                <w:sz w:val="24"/>
              </w:rPr>
            </w:pPr>
            <w:r>
              <w:rPr>
                <w:rFonts w:ascii="宋体"/>
                <w:bCs/>
                <w:sz w:val="24"/>
              </w:rPr>
              <w:t xml:space="preserve">250</w:t>
            </w:r>
            <w:r/>
          </w:p>
        </w:tc>
        <w:tc>
          <w:tcPr>
            <w:tcW w:w="2127" w:type="dxa"/>
            <w:vAlign w:val="top"/>
            <w:vMerge w:val="continue"/>
            <w:textDirection w:val="lrTb"/>
            <w:noWrap w:val="false"/>
          </w:tcPr>
          <w:p>
            <w:pPr>
              <w:pStyle w:val="749"/>
              <w:spacing w:after="0" w:line="560" w:lineRule="exact"/>
              <w:rPr>
                <w:rFonts w:hint="eastAsia" w:ascii="宋体"/>
                <w:bCs/>
                <w:sz w:val="24"/>
              </w:rPr>
            </w:pPr>
            <w:r>
              <w:rPr>
                <w:rFonts w:hint="eastAsia" w:ascii="宋体"/>
                <w:bCs/>
                <w:sz w:val="24"/>
              </w:rPr>
            </w:r>
            <w:r/>
          </w:p>
        </w:tc>
        <w:tc>
          <w:tcPr>
            <w:tcW w:w="1984" w:type="dxa"/>
            <w:vAlign w:val="center"/>
            <w:textDirection w:val="lrTb"/>
            <w:noWrap/>
          </w:tcPr>
          <w:p>
            <w:pPr>
              <w:pStyle w:val="749"/>
              <w:spacing w:after="0" w:line="560" w:lineRule="exact"/>
              <w:rPr>
                <w:rFonts w:hint="eastAsia" w:ascii="宋体"/>
                <w:bCs/>
                <w:sz w:val="24"/>
              </w:rPr>
            </w:pPr>
            <w:r>
              <w:rPr>
                <w:rFonts w:hint="eastAsia" w:ascii="宋体"/>
                <w:bCs/>
                <w:sz w:val="24"/>
              </w:rPr>
              <w:t xml:space="preserve">￥</w:t>
            </w:r>
            <w:r>
              <w:rPr>
                <w:rFonts w:ascii="宋体"/>
                <w:bCs/>
                <w:sz w:val="24"/>
              </w:rPr>
              <w:t xml:space="preserve">40</w:t>
            </w:r>
            <w:r>
              <w:rPr>
                <w:rFonts w:hint="eastAsia" w:ascii="宋体"/>
                <w:bCs/>
                <w:sz w:val="24"/>
              </w:rPr>
              <w:t xml:space="preserve">0000.00</w:t>
            </w:r>
            <w:r/>
          </w:p>
        </w:tc>
      </w:tr>
      <w:tr>
        <w:trPr>
          <w:cantSplit/>
          <w:trHeight w:val="1380"/>
        </w:trPr>
        <w:tc>
          <w:tcPr>
            <w:tcW w:w="1149" w:type="dxa"/>
            <w:vAlign w:val="center"/>
            <w:textDirection w:val="lrTb"/>
            <w:noWrap/>
          </w:tcPr>
          <w:p>
            <w:pPr>
              <w:pStyle w:val="749"/>
              <w:jc w:val="center"/>
              <w:spacing w:after="0" w:line="560" w:lineRule="exact"/>
              <w:rPr>
                <w:rFonts w:ascii="宋体"/>
                <w:bCs/>
                <w:sz w:val="24"/>
              </w:rPr>
            </w:pPr>
            <w:r>
              <w:rPr>
                <w:rFonts w:ascii="宋体"/>
                <w:bCs/>
                <w:sz w:val="24"/>
              </w:rPr>
              <w:t xml:space="preserve">3</w:t>
            </w:r>
            <w:r/>
          </w:p>
        </w:tc>
        <w:tc>
          <w:tcPr>
            <w:tcW w:w="1560" w:type="dxa"/>
            <w:vAlign w:val="center"/>
            <w:textDirection w:val="lrTb"/>
            <w:noWrap w:val="false"/>
          </w:tcPr>
          <w:p>
            <w:pPr>
              <w:pStyle w:val="749"/>
              <w:jc w:val="center"/>
              <w:spacing w:after="0" w:line="560" w:lineRule="exact"/>
              <w:rPr>
                <w:rFonts w:hint="eastAsia" w:ascii="宋体"/>
                <w:bCs/>
                <w:sz w:val="24"/>
              </w:rPr>
            </w:pPr>
            <w:r>
              <w:rPr>
                <w:rFonts w:hint="eastAsia" w:ascii="宋体"/>
                <w:bCs/>
                <w:sz w:val="24"/>
              </w:rPr>
              <w:t xml:space="preserve">淮安、宿迁、徐州、盐城地区</w:t>
            </w:r>
            <w:r/>
          </w:p>
        </w:tc>
        <w:tc>
          <w:tcPr>
            <w:tcW w:w="1842" w:type="dxa"/>
            <w:vAlign w:val="center"/>
            <w:textDirection w:val="lrTb"/>
            <w:noWrap/>
          </w:tcPr>
          <w:p>
            <w:pPr>
              <w:pStyle w:val="749"/>
              <w:jc w:val="center"/>
              <w:spacing w:after="0" w:line="560" w:lineRule="exact"/>
              <w:rPr>
                <w:rFonts w:ascii="宋体"/>
                <w:bCs/>
                <w:sz w:val="24"/>
              </w:rPr>
            </w:pPr>
            <w:r>
              <w:rPr>
                <w:rFonts w:ascii="宋体"/>
                <w:bCs/>
                <w:sz w:val="24"/>
              </w:rPr>
              <w:t xml:space="preserve">225</w:t>
            </w:r>
            <w:r/>
          </w:p>
        </w:tc>
        <w:tc>
          <w:tcPr>
            <w:tcW w:w="2127" w:type="dxa"/>
            <w:vAlign w:val="top"/>
            <w:vMerge w:val="continue"/>
            <w:textDirection w:val="lrTb"/>
            <w:noWrap w:val="false"/>
          </w:tcPr>
          <w:p>
            <w:pPr>
              <w:pStyle w:val="749"/>
              <w:spacing w:after="0" w:line="560" w:lineRule="exact"/>
              <w:rPr>
                <w:rFonts w:hint="eastAsia" w:ascii="宋体"/>
                <w:bCs/>
                <w:sz w:val="24"/>
              </w:rPr>
            </w:pPr>
            <w:r>
              <w:rPr>
                <w:rFonts w:hint="eastAsia" w:ascii="宋体"/>
                <w:bCs/>
                <w:sz w:val="24"/>
              </w:rPr>
            </w:r>
            <w:r/>
          </w:p>
        </w:tc>
        <w:tc>
          <w:tcPr>
            <w:tcW w:w="1984" w:type="dxa"/>
            <w:vAlign w:val="center"/>
            <w:textDirection w:val="lrTb"/>
            <w:noWrap/>
          </w:tcPr>
          <w:p>
            <w:pPr>
              <w:pStyle w:val="749"/>
              <w:spacing w:after="0" w:line="560" w:lineRule="exact"/>
              <w:rPr>
                <w:rFonts w:hint="eastAsia" w:ascii="宋体"/>
                <w:bCs/>
                <w:sz w:val="24"/>
              </w:rPr>
            </w:pPr>
            <w:r>
              <w:rPr>
                <w:rFonts w:hint="eastAsia" w:ascii="宋体"/>
                <w:bCs/>
                <w:sz w:val="24"/>
              </w:rPr>
              <w:t xml:space="preserve">￥</w:t>
            </w:r>
            <w:r>
              <w:rPr>
                <w:rFonts w:ascii="宋体"/>
                <w:bCs/>
                <w:sz w:val="24"/>
              </w:rPr>
              <w:t xml:space="preserve">36</w:t>
            </w:r>
            <w:r>
              <w:rPr>
                <w:rFonts w:hint="eastAsia" w:ascii="宋体"/>
                <w:bCs/>
                <w:sz w:val="24"/>
              </w:rPr>
              <w:t xml:space="preserve">0000.00</w:t>
            </w:r>
            <w:r/>
          </w:p>
        </w:tc>
      </w:tr>
    </w:tbl>
    <w:p>
      <w:pPr>
        <w:pStyle w:val="749"/>
        <w:spacing w:after="0" w:line="560" w:lineRule="exact"/>
        <w:rPr>
          <w:rFonts w:ascii="宋体"/>
          <w:bCs/>
          <w:sz w:val="24"/>
        </w:rPr>
      </w:pPr>
      <w:r/>
      <w:bookmarkEnd w:id="25"/>
      <w:r>
        <w:rPr>
          <w:rFonts w:hint="eastAsia" w:ascii="宋体"/>
          <w:bCs/>
          <w:sz w:val="24"/>
        </w:rPr>
        <w:t xml:space="preserve">注：上述</w:t>
      </w:r>
      <w:bookmarkStart w:id="27" w:name="_Hlk231463813"/>
      <w:r>
        <w:rPr>
          <w:rFonts w:hint="eastAsia" w:ascii="宋体"/>
          <w:bCs/>
          <w:sz w:val="24"/>
        </w:rPr>
        <w:t xml:space="preserve">批次数是采购人根据工作计划初步测算的结果，供应商履约时根据实际需要(如案件查办需要)在向采购人报备后可调整抽检食品品种、检验项目和批次。如因履约过程中出现违规违纪现象，采购人将暂停检测任务。</w:t>
      </w:r>
      <w:bookmarkEnd w:id="27"/>
      <w:r>
        <w:rPr>
          <w:rFonts w:ascii="宋体"/>
          <w:bCs/>
          <w:sz w:val="24"/>
        </w:rPr>
      </w:r>
      <w:r/>
    </w:p>
    <w:p>
      <w:pPr>
        <w:pStyle w:val="762"/>
        <w:ind w:firstLine="480"/>
        <w:rPr>
          <w:rFonts w:hint="eastAsia"/>
          <w:sz w:val="24"/>
          <w:szCs w:val="24"/>
        </w:rPr>
      </w:pPr>
      <w:r>
        <w:rPr>
          <w:rFonts w:hint="eastAsia"/>
          <w:sz w:val="24"/>
          <w:szCs w:val="24"/>
        </w:rPr>
        <w:t xml:space="preserve">（3）</w:t>
      </w:r>
      <w:bookmarkStart w:id="28" w:name="OLE_LINK15"/>
      <w:r>
        <w:rPr>
          <w:rFonts w:hint="eastAsia"/>
          <w:sz w:val="24"/>
          <w:szCs w:val="24"/>
        </w:rPr>
        <w:t xml:space="preserve">各采购包抽检的食品大类及每个大类的单批次最高限价</w:t>
      </w:r>
      <w:bookmarkEnd w:id="28"/>
      <w:r>
        <w:rPr>
          <w:rFonts w:hint="eastAsia"/>
          <w:sz w:val="24"/>
          <w:szCs w:val="24"/>
        </w:rPr>
      </w:r>
      <w:r/>
    </w:p>
    <w:tbl>
      <w:tblPr>
        <w:tblpPr w:horzAnchor="page" w:tblpX="1841" w:vertAnchor="text" w:tblpY="284" w:leftFromText="180" w:topFromText="0" w:rightFromText="180" w:bottomFromText="0"/>
        <w:tblW w:w="8755" w:type="dxa"/>
        <w:tblInd w:w="0" w:type="dxa"/>
        <w:tblLayout w:type="autofit"/>
        <w:tblCellMar>
          <w:left w:w="108" w:type="dxa"/>
          <w:top w:w="0" w:type="dxa"/>
          <w:right w:w="108" w:type="dxa"/>
          <w:bottom w:w="0" w:type="dxa"/>
        </w:tblCellMar>
        <w:tblLook w:val="04A0" w:firstRow="1" w:lastRow="0" w:firstColumn="1" w:lastColumn="0" w:noHBand="0" w:noVBand="1"/>
      </w:tblPr>
      <w:tblGrid>
        <w:gridCol w:w="954"/>
        <w:gridCol w:w="4399"/>
        <w:gridCol w:w="3402"/>
      </w:tblGrid>
      <w:tr>
        <w:trPr>
          <w:trHeight w:val="848"/>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pStyle w:val="749"/>
              <w:jc w:val="center"/>
              <w:spacing w:after="160" w:line="420" w:lineRule="exact"/>
              <w:rPr>
                <w:rFonts w:hint="eastAsia" w:ascii="宋体" w:hAnsi="宋体" w:cs="方正黑体_GBK"/>
                <w:color w:val="000000"/>
                <w:sz w:val="28"/>
                <w:szCs w:val="28"/>
              </w:rPr>
              <w:framePr w:hSpace="180" w:wrap="around" w:vAnchor="text" w:hAnchor="page" w:x="1841" w:y="284"/>
            </w:pPr>
            <w:r/>
            <w:bookmarkStart w:id="29" w:name="_Hlk231907770"/>
            <w:r>
              <w:rPr>
                <w:rFonts w:hint="eastAsia" w:ascii="宋体" w:hAnsi="宋体" w:cs="方正黑体_GBK"/>
                <w:color w:val="000000"/>
                <w:sz w:val="28"/>
                <w:szCs w:val="28"/>
                <w:lang w:bidi="ar"/>
              </w:rPr>
              <w:t xml:space="preserve">序号</w:t>
            </w:r>
            <w:r>
              <w:rPr>
                <w:rFonts w:hint="eastAsia" w:ascii="宋体" w:hAnsi="宋体" w:cs="方正黑体_GBK"/>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tcPr>
          <w:p>
            <w:pPr>
              <w:pStyle w:val="749"/>
              <w:jc w:val="center"/>
              <w:spacing w:after="160" w:line="420" w:lineRule="exact"/>
              <w:rPr>
                <w:rFonts w:hint="eastAsia" w:ascii="宋体" w:hAnsi="宋体" w:cs="方正黑体_GBK"/>
                <w:color w:val="000000"/>
                <w:sz w:val="28"/>
                <w:szCs w:val="28"/>
              </w:rPr>
              <w:framePr w:hSpace="180" w:wrap="around" w:vAnchor="text" w:hAnchor="page" w:x="1841" w:y="284"/>
            </w:pPr>
            <w:r>
              <w:rPr>
                <w:rFonts w:hint="eastAsia" w:ascii="宋体" w:hAnsi="宋体" w:cs="方正黑体_GBK"/>
                <w:color w:val="000000"/>
                <w:sz w:val="28"/>
                <w:szCs w:val="28"/>
                <w:lang w:bidi="ar"/>
              </w:rPr>
              <w:t xml:space="preserve">食品大类</w:t>
            </w:r>
            <w:r>
              <w:rPr>
                <w:rFonts w:hint="eastAsia" w:ascii="宋体" w:hAnsi="宋体" w:cs="方正黑体_GBK"/>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420" w:lineRule="exact"/>
              <w:rPr>
                <w:rFonts w:hint="eastAsia" w:ascii="宋体" w:hAnsi="宋体" w:cs="方正黑体_GBK"/>
                <w:color w:val="000000"/>
                <w:sz w:val="28"/>
                <w:szCs w:val="28"/>
              </w:rPr>
              <w:framePr w:hSpace="180" w:wrap="around" w:vAnchor="text" w:hAnchor="page" w:x="1841" w:y="284"/>
            </w:pPr>
            <w:r>
              <w:rPr>
                <w:rFonts w:hint="eastAsia" w:ascii="宋体" w:hAnsi="宋体" w:cs="方正黑体_GBK"/>
                <w:color w:val="000000"/>
                <w:sz w:val="28"/>
                <w:szCs w:val="28"/>
                <w:lang w:bidi="ar"/>
              </w:rPr>
              <w:t xml:space="preserve">单价最高限价（元/批次，均包含样品购置费）</w:t>
            </w:r>
            <w:r>
              <w:rPr>
                <w:rFonts w:hint="eastAsia" w:ascii="宋体" w:hAnsi="宋体" w:cs="方正黑体_GBK"/>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肉制品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1700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2</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食用油、油脂及其制品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1700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3</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酒类</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4</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饮料</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5</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糖果制品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1700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6</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豆制品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7</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糕点</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8</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饼干</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9</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速冻食品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1400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10</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餐饮食品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1500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11</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食用农产品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133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12</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399" w:type="dxa"/>
            <w:vAlign w:val="center"/>
            <w:textDirection w:val="lrTb"/>
            <w:noWrap w:val="false"/>
          </w:tcPr>
          <w:p>
            <w:pPr>
              <w:pStyle w:val="749"/>
              <w:jc w:val="center"/>
              <w:spacing w:after="160" w:line="440" w:lineRule="exact"/>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果冻、含茶制品和代用茶、</w:t>
            </w:r>
            <w:r>
              <w:rPr>
                <w:rFonts w:ascii="宋体" w:hAnsi="宋体" w:cs="方正仿宋_GBK"/>
                <w:color w:val="000000"/>
                <w:sz w:val="28"/>
                <w:szCs w:val="28"/>
                <w:lang w:bidi="ar"/>
              </w:rPr>
              <w:t xml:space="preserve">饼干、咖啡、水果制品</w:t>
            </w:r>
            <w:r>
              <w:rPr>
                <w:rFonts w:hint="eastAsia" w:ascii="宋体" w:hAnsi="宋体" w:cs="方正仿宋_GBK"/>
                <w:color w:val="000000"/>
                <w:sz w:val="28"/>
                <w:szCs w:val="28"/>
                <w:lang w:bidi="ar"/>
              </w:rPr>
              <w:t xml:space="preserve">及其他</w:t>
            </w:r>
            <w:r>
              <w:rPr>
                <w:rFonts w:ascii="宋体" w:hAnsi="宋体" w:cs="方正仿宋_GBK"/>
                <w:color w:val="000000"/>
                <w:sz w:val="28"/>
                <w:szCs w:val="28"/>
                <w:lang w:bidi="ar"/>
              </w:rPr>
              <w:t xml:space="preserve">食品（含与上述基质相同的保健食品及片剂、胶囊</w:t>
            </w:r>
            <w:r>
              <w:rPr>
                <w:rFonts w:ascii="宋体" w:hAnsi="宋体" w:cs="方正仿宋_GBK"/>
                <w:color w:val="000000"/>
                <w:sz w:val="28"/>
                <w:szCs w:val="28"/>
                <w:lang w:bidi="ar"/>
              </w:rPr>
              <w:t xml:space="preserve">、软胶囊等剂型）</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440" w:lineRule="exact"/>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1336"/>
        </w:trPr>
        <w:tc>
          <w:tcPr>
            <w:gridSpan w:val="2"/>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749"/>
              <w:jc w:val="center"/>
              <w:spacing w:after="160" w:line="440" w:lineRule="exact"/>
              <w:rPr>
                <w:rFonts w:ascii="方正仿宋_GBK" w:hAnsi="方正仿宋_GBK" w:eastAsia="方正仿宋_GBK" w:cs="方正仿宋_GBK"/>
                <w:color w:val="000000"/>
                <w:sz w:val="28"/>
                <w:szCs w:val="28"/>
                <w:lang w:bidi="ar"/>
              </w:rPr>
              <w:framePr w:hSpace="180" w:wrap="around" w:vAnchor="text" w:hAnchor="page" w:x="1841" w:y="284"/>
            </w:pPr>
            <w:r>
              <w:rPr>
                <w:rFonts w:hint="eastAsia"/>
                <w:color w:val="000000"/>
                <w:sz w:val="28"/>
                <w:szCs w:val="28"/>
                <w:lang w:bidi="ar"/>
              </w:rPr>
              <w:t xml:space="preserve">单价合计</w:t>
            </w:r>
            <w:r>
              <w:rPr>
                <w:rFonts w:ascii="方正仿宋_GBK" w:hAnsi="方正仿宋_GBK" w:eastAsia="方正仿宋_GBK" w:cs="方正仿宋_GBK"/>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749"/>
              <w:jc w:val="center"/>
              <w:spacing w:after="160" w:line="440" w:lineRule="exact"/>
              <w:rPr>
                <w:rFonts w:hint="eastAsia"/>
                <w:color w:val="000000"/>
                <w:sz w:val="28"/>
                <w:szCs w:val="28"/>
                <w:lang w:bidi="ar"/>
              </w:rPr>
              <w:framePr w:hSpace="180" w:wrap="around" w:vAnchor="text" w:hAnchor="page" w:x="1841" w:y="284"/>
            </w:pPr>
            <w:r>
              <w:rPr>
                <w:rFonts w:hint="eastAsia"/>
                <w:color w:val="000000"/>
                <w:sz w:val="28"/>
                <w:szCs w:val="28"/>
                <w:lang w:bidi="ar"/>
              </w:rPr>
              <w:t xml:space="preserve">19200</w:t>
            </w:r>
            <w:r/>
          </w:p>
        </w:tc>
      </w:tr>
    </w:tbl>
    <w:p>
      <w:pPr>
        <w:pStyle w:val="762"/>
        <w:rPr>
          <w:rFonts w:hint="eastAsia"/>
        </w:rPr>
      </w:pPr>
      <w:r/>
      <w:bookmarkEnd w:id="29"/>
      <w:r>
        <w:rPr>
          <w:rFonts w:hint="eastAsia"/>
        </w:rPr>
      </w:r>
      <w:r/>
    </w:p>
    <w:p>
      <w:pPr>
        <w:pStyle w:val="749"/>
        <w:ind w:firstLine="480"/>
        <w:jc w:val="both"/>
        <w:spacing w:after="0" w:line="560" w:lineRule="exact"/>
        <w:widowControl w:val="off"/>
        <w:tabs>
          <w:tab w:val="left" w:pos="900" w:leader="none"/>
        </w:tabs>
        <w:rPr>
          <w:rFonts w:hint="eastAsia" w:ascii="宋体"/>
          <w:sz w:val="24"/>
        </w:rPr>
      </w:pPr>
      <w:r>
        <w:rPr>
          <w:rFonts w:hint="eastAsia" w:ascii="宋体" w:hAnsi="宋体"/>
          <w:sz w:val="24"/>
          <w:szCs w:val="24"/>
        </w:rPr>
        <w:t xml:space="preserve">4.</w:t>
      </w:r>
      <w:r>
        <w:rPr>
          <w:rFonts w:hint="eastAsia"/>
          <w:sz w:val="24"/>
          <w:szCs w:val="24"/>
        </w:rPr>
        <w:t xml:space="preserve">投标人按每个食品大类的</w:t>
      </w:r>
      <w:r>
        <w:rPr>
          <w:rFonts w:hint="eastAsia"/>
          <w:b/>
          <w:bCs/>
          <w:sz w:val="24"/>
          <w:szCs w:val="24"/>
        </w:rPr>
        <w:t xml:space="preserve">单价（单批次价格）分别</w:t>
      </w:r>
      <w:r>
        <w:rPr>
          <w:rFonts w:hint="eastAsia"/>
          <w:sz w:val="24"/>
          <w:szCs w:val="24"/>
        </w:rPr>
        <w:t xml:space="preserve">予以报价。供应商可兼投但不可兼中，至多中一个采购包。每个采购包的投标人最终报价超过该采购包单批次最高限价的为无效报价，按照无效响应处理。</w:t>
      </w:r>
      <w:bookmarkStart w:id="30" w:name="_Hlk227950342"/>
      <w:r/>
      <w:bookmarkStart w:id="31" w:name="_Hlk227945978"/>
      <w:r>
        <w:rPr>
          <w:rFonts w:hint="eastAsia" w:ascii="宋体"/>
          <w:sz w:val="24"/>
        </w:rPr>
      </w:r>
      <w:r/>
    </w:p>
    <w:p>
      <w:pPr>
        <w:pStyle w:val="749"/>
        <w:ind w:firstLine="480"/>
        <w:jc w:val="both"/>
        <w:spacing w:after="0" w:line="560" w:lineRule="exact"/>
        <w:widowControl w:val="off"/>
        <w:tabs>
          <w:tab w:val="left" w:pos="900" w:leader="none"/>
        </w:tabs>
        <w:rPr>
          <w:rFonts w:ascii="宋体"/>
          <w:sz w:val="24"/>
        </w:rPr>
      </w:pPr>
      <w:r/>
      <w:bookmarkEnd w:id="30"/>
      <w:r/>
      <w:bookmarkEnd w:id="31"/>
      <w:r>
        <w:rPr>
          <w:rFonts w:hint="eastAsia" w:ascii="宋体"/>
          <w:sz w:val="24"/>
        </w:rPr>
        <w:t xml:space="preserve">5.评审顺序</w:t>
      </w:r>
      <w:r>
        <w:rPr>
          <w:rFonts w:ascii="宋体"/>
          <w:sz w:val="24"/>
        </w:rPr>
      </w:r>
      <w:r/>
    </w:p>
    <w:p>
      <w:pPr>
        <w:pStyle w:val="749"/>
        <w:ind w:firstLine="480"/>
        <w:jc w:val="both"/>
        <w:spacing w:after="0" w:line="560" w:lineRule="exact"/>
        <w:widowControl w:val="off"/>
        <w:tabs>
          <w:tab w:val="left" w:pos="900" w:leader="none"/>
        </w:tabs>
        <w:rPr>
          <w:rFonts w:ascii="宋体"/>
          <w:sz w:val="24"/>
        </w:rPr>
      </w:pPr>
      <w:r/>
      <w:bookmarkStart w:id="32" w:name="_Hlk86587937"/>
      <w:r>
        <w:rPr>
          <w:rFonts w:hint="eastAsia" w:ascii="宋体"/>
          <w:sz w:val="24"/>
        </w:rPr>
        <w:t xml:space="preserve">评审时按照采购包1、采购包2、采购包3的顺序依次评审，供应商投标多个采购包的，一旦供应商确定为采购包1综合得分排名第一的拟中标人，则不得再参加后续所投采购包的评审，以此规则和顺序依次类推。</w:t>
      </w:r>
      <w:bookmarkEnd w:id="32"/>
      <w:r>
        <w:rPr>
          <w:rFonts w:ascii="宋体"/>
          <w:sz w:val="24"/>
        </w:rPr>
      </w:r>
      <w:r/>
    </w:p>
    <w:p>
      <w:pPr>
        <w:pStyle w:val="898"/>
        <w:spacing w:before="0" w:after="0" w:line="560" w:lineRule="exact"/>
        <w:rPr>
          <w:rFonts w:ascii="宋体"/>
        </w:rPr>
      </w:pPr>
      <w:r/>
      <w:bookmarkEnd w:id="24"/>
      <w:r>
        <w:rPr>
          <w:rFonts w:hint="eastAsia" w:ascii="宋体"/>
        </w:rPr>
        <w:t xml:space="preserve">6.合同履行期限：自合同签订之日起至2026年12月31日完成。</w:t>
      </w:r>
      <w:bookmarkStart w:id="33" w:name="_Hlk162425189"/>
      <w:r>
        <w:rPr>
          <w:rFonts w:hint="eastAsia" w:ascii="宋体"/>
          <w:bCs/>
        </w:rPr>
        <w:t xml:space="preserve">合同履行期限内如财政预算发生重大调整则双方可无责终止合同或按政府采购相关规定执行。</w:t>
      </w:r>
      <w:bookmarkEnd w:id="33"/>
      <w:r>
        <w:rPr>
          <w:rFonts w:ascii="宋体"/>
        </w:rPr>
      </w:r>
      <w:r/>
    </w:p>
    <w:p>
      <w:pPr>
        <w:pStyle w:val="749"/>
        <w:ind w:firstLine="480"/>
        <w:jc w:val="both"/>
        <w:spacing w:after="0" w:line="560" w:lineRule="exact"/>
        <w:widowControl w:val="off"/>
        <w:tabs>
          <w:tab w:val="left" w:pos="900" w:leader="none"/>
        </w:tabs>
        <w:rPr>
          <w:rFonts w:ascii="宋体"/>
          <w:sz w:val="24"/>
        </w:rPr>
      </w:pPr>
      <w:r>
        <w:rPr>
          <w:rFonts w:hint="eastAsia" w:ascii="宋体"/>
          <w:sz w:val="24"/>
        </w:rPr>
        <w:t xml:space="preserve">7.本项目所属行业：其他未列明行业。</w:t>
      </w:r>
      <w:r>
        <w:rPr>
          <w:rFonts w:ascii="宋体"/>
          <w:sz w:val="24"/>
        </w:rPr>
      </w:r>
      <w:r/>
    </w:p>
    <w:p>
      <w:pPr>
        <w:pStyle w:val="749"/>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49"/>
        <w:jc w:val="both"/>
        <w:spacing w:after="0" w:line="560" w:lineRule="exact"/>
        <w:widowControl w:val="off"/>
        <w:rPr>
          <w:rFonts w:ascii="仿宋_GB2312" w:hAnsi="仿宋_GB2312" w:cs="Arial"/>
          <w:iCs/>
          <w:sz w:val="24"/>
        </w:rPr>
      </w:pPr>
      <w:r/>
      <w:bookmarkStart w:id="34"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符合《政府采购法》第二十二条、《政府采购法实施条例》第十七条及其他资格性规定并提供以下证明材料：</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1.法人或者其他组织的营业执照（事业单位法人登记证书，社会团体法人登记证书）等证明文件（复印件并加盖CA电子公章）；自然人投标需提供自然人的身份证明（</w:t>
      </w:r>
      <w:r>
        <w:rPr>
          <w:rFonts w:hint="eastAsia" w:ascii="仿宋_GB2312" w:hAnsi="仿宋_GB2312" w:cs="Arial"/>
          <w:iCs/>
          <w:sz w:val="24"/>
        </w:rPr>
        <w:t xml:space="preserve">复印件并加盖</w:t>
      </w:r>
      <w:bookmarkStart w:id="35" w:name="_Hlk227058076"/>
      <w:r>
        <w:rPr>
          <w:rFonts w:hint="eastAsia" w:ascii="仿宋_GB2312" w:hAnsi="仿宋_GB2312" w:cs="Arial"/>
          <w:iCs/>
          <w:sz w:val="24"/>
        </w:rPr>
        <w:t xml:space="preserve">CA电子公章</w:t>
      </w:r>
      <w:bookmarkEnd w:id="35"/>
      <w:r>
        <w:rPr>
          <w:rFonts w:hint="eastAsia" w:ascii="仿宋_GB2312" w:hAnsi="仿宋_GB2312" w:cs="Arial"/>
          <w:iCs/>
          <w:sz w:val="24"/>
        </w:rPr>
        <w:t xml:space="preserve">）；非独立法人独立参加投标需提供法人授权其独立参加投标并承诺承担全部责任</w:t>
      </w:r>
      <w:r>
        <w:rPr>
          <w:rFonts w:hint="eastAsia" w:ascii="仿宋_GB2312" w:hAnsi="仿宋_GB2312" w:cs="Arial"/>
          <w:iCs/>
          <w:sz w:val="24"/>
        </w:rPr>
        <w:t xml:space="preserve">与风险的授权书原件、非独立法人营业执照复印件等证明文件（加盖CA电子公章）。</w:t>
      </w:r>
      <w:r/>
    </w:p>
    <w:p>
      <w:pPr>
        <w:pStyle w:val="749"/>
        <w:ind w:firstLine="480"/>
        <w:jc w:val="both"/>
        <w:spacing w:after="0" w:line="560" w:lineRule="exact"/>
        <w:widowControl w:val="off"/>
        <w:rPr>
          <w:rFonts w:ascii="仿宋_GB2312" w:hAnsi="仿宋_GB2312" w:cs="Arial"/>
          <w:iCs/>
          <w:sz w:val="24"/>
        </w:rPr>
      </w:pPr>
      <w:r>
        <w:rPr>
          <w:rFonts w:hint="eastAsia" w:ascii="仿宋_GB2312" w:hAnsi="仿宋_GB2312" w:cs="Arial"/>
          <w:iCs/>
          <w:sz w:val="24"/>
        </w:rPr>
        <w:t xml:space="preserve">2.2024年或2025年的年度财务状况报告（复印件并加盖CA电子公章，成立不满一年仅需提供提交响应文件截止之日前一个月的会计报表）。</w:t>
      </w:r>
      <w:r>
        <w:rPr>
          <w:rFonts w:ascii="仿宋_GB2312" w:hAnsi="仿宋_GB2312" w:cs="Arial"/>
          <w:iCs/>
          <w:sz w:val="24"/>
        </w:rPr>
      </w:r>
      <w:r/>
    </w:p>
    <w:p>
      <w:pPr>
        <w:pStyle w:val="749"/>
        <w:ind w:firstLine="480"/>
        <w:spacing w:line="560" w:lineRule="exact"/>
        <w:rPr>
          <w:rFonts w:hint="eastAsia" w:ascii="仿宋_GB2312" w:hAnsi="仿宋_GB2312" w:cs="Arial"/>
          <w:iCs/>
          <w:sz w:val="24"/>
        </w:rPr>
      </w:pPr>
      <w:r>
        <w:rPr>
          <w:rFonts w:hint="eastAsia" w:ascii="仿宋_GB2312" w:hAnsi="仿宋_GB2312" w:cs="Arial"/>
          <w:iCs/>
          <w:sz w:val="24"/>
        </w:rPr>
        <w:t xml:space="preserve">3.</w:t>
      </w:r>
      <w:r>
        <w:rPr>
          <w:rFonts w:ascii="仿宋_GB2312" w:hAnsi="仿宋_GB2312" w:cs="Arial"/>
          <w:iCs/>
          <w:sz w:val="24"/>
        </w:rPr>
        <w:t xml:space="preserve">依法缴纳税收的相关材料（距提交响应文件截止之日前的一年内任意一月相关证明材料复印件并加盖</w:t>
      </w:r>
      <w:r>
        <w:rPr>
          <w:rFonts w:hint="eastAsia" w:ascii="仿宋_GB2312" w:hAnsi="仿宋_GB2312" w:cs="Arial"/>
          <w:iCs/>
          <w:sz w:val="24"/>
        </w:rPr>
        <w:t xml:space="preserve">CA电子公章</w:t>
      </w:r>
      <w:r>
        <w:rPr>
          <w:rFonts w:ascii="仿宋_GB2312" w:hAnsi="仿宋_GB2312" w:cs="Arial"/>
          <w:iCs/>
          <w:sz w:val="24"/>
        </w:rPr>
        <w:t xml:space="preserve">）</w:t>
      </w:r>
      <w:r>
        <w:rPr>
          <w:rFonts w:hint="eastAsia" w:ascii="仿宋_GB2312" w:hAnsi="仿宋_GB2312" w:cs="Arial"/>
          <w:iCs/>
          <w:sz w:val="24"/>
        </w:rPr>
        <w:t xml:space="preserve">。</w:t>
      </w:r>
      <w:r/>
    </w:p>
    <w:p>
      <w:pPr>
        <w:pStyle w:val="749"/>
        <w:ind w:firstLine="480"/>
        <w:spacing w:line="560" w:lineRule="exact"/>
        <w:rPr>
          <w:rFonts w:hint="eastAsia" w:ascii="仿宋_GB2312" w:hAnsi="仿宋_GB2312" w:cs="Arial"/>
          <w:iCs/>
          <w:sz w:val="24"/>
        </w:rPr>
      </w:pPr>
      <w:r>
        <w:rPr>
          <w:rFonts w:ascii="仿宋_GB2312" w:hAnsi="仿宋_GB2312" w:cs="Arial"/>
          <w:iCs/>
          <w:sz w:val="24"/>
        </w:rPr>
        <w:t xml:space="preserve">4.依法缴纳社会保障资金的相关材料（距提交响应文件截止之日前的一年内任意一月相关证明材料复印件并加盖</w:t>
      </w:r>
      <w:r>
        <w:rPr>
          <w:rFonts w:hint="eastAsia" w:ascii="仿宋_GB2312" w:hAnsi="仿宋_GB2312" w:cs="Arial"/>
          <w:iCs/>
          <w:sz w:val="24"/>
        </w:rPr>
        <w:t xml:space="preserve">CA电子公章）。</w:t>
      </w:r>
      <w:r/>
    </w:p>
    <w:p>
      <w:pPr>
        <w:pStyle w:val="749"/>
        <w:ind w:firstLine="480"/>
        <w:spacing w:line="560" w:lineRule="exact"/>
        <w:rPr>
          <w:rFonts w:hint="eastAsia" w:ascii="仿宋_GB2312" w:hAnsi="仿宋_GB2312" w:cs="Arial"/>
          <w:iCs/>
          <w:sz w:val="24"/>
        </w:rPr>
      </w:pPr>
      <w:r>
        <w:rPr>
          <w:rFonts w:ascii="仿宋_GB2312" w:hAnsi="仿宋_GB2312" w:cs="Arial"/>
          <w:iCs/>
          <w:sz w:val="24"/>
        </w:rPr>
        <w:t xml:space="preserve">5.具备履行合同所必需的设备和专业技术能力的</w:t>
      </w:r>
      <w:r>
        <w:rPr>
          <w:rFonts w:ascii="仿宋_GB2312" w:hAnsi="仿宋_GB2312" w:cs="Arial"/>
          <w:iCs/>
          <w:sz w:val="24"/>
        </w:rPr>
        <w:t xml:space="preserve">书面声明（原件并加盖</w:t>
      </w:r>
      <w:r>
        <w:rPr>
          <w:rFonts w:hint="eastAsia" w:ascii="仿宋_GB2312" w:hAnsi="仿宋_GB2312" w:cs="Arial"/>
          <w:iCs/>
          <w:sz w:val="24"/>
        </w:rPr>
        <w:t xml:space="preserve">CA电子公章</w:t>
      </w:r>
      <w:r>
        <w:rPr>
          <w:rFonts w:ascii="仿宋_GB2312" w:hAnsi="仿宋_GB2312" w:cs="Arial"/>
          <w:iCs/>
          <w:sz w:val="24"/>
        </w:rPr>
        <w:t xml:space="preserve">）。</w:t>
      </w:r>
      <w:r>
        <w:rPr>
          <w:rFonts w:hint="eastAsia" w:ascii="仿宋_GB2312" w:hAnsi="仿宋_GB2312" w:cs="Arial"/>
          <w:iCs/>
          <w:sz w:val="24"/>
        </w:rPr>
      </w:r>
      <w:r/>
    </w:p>
    <w:p>
      <w:pPr>
        <w:pStyle w:val="749"/>
        <w:ind w:firstLine="480"/>
        <w:spacing w:line="560" w:lineRule="exact"/>
        <w:rPr>
          <w:rFonts w:hint="eastAsia" w:ascii="仿宋_GB2312" w:hAnsi="仿宋_GB2312" w:cs="Arial"/>
          <w:iCs/>
          <w:sz w:val="24"/>
        </w:rPr>
      </w:pPr>
      <w:r>
        <w:rPr>
          <w:rFonts w:ascii="仿宋_GB2312" w:hAnsi="仿宋_GB2312" w:cs="Arial"/>
          <w:iCs/>
          <w:sz w:val="24"/>
        </w:rPr>
        <w:t xml:space="preserve">6.参加政府采购活动</w:t>
      </w:r>
      <w:r>
        <w:rPr>
          <w:rFonts w:hint="eastAsia" w:ascii="仿宋_GB2312" w:hAnsi="仿宋_GB2312" w:cs="Arial"/>
          <w:iCs/>
          <w:sz w:val="24"/>
        </w:rPr>
        <w:t xml:space="preserve">前3</w:t>
      </w:r>
      <w:r>
        <w:rPr>
          <w:rFonts w:ascii="仿宋_GB2312" w:hAnsi="仿宋_GB2312" w:cs="Arial"/>
          <w:iCs/>
          <w:sz w:val="24"/>
        </w:rPr>
        <w:t xml:space="preserve">年内（距提交响应文件截止之日前）在经营活动中没有重大违法记录的书面声明（原件并加盖</w:t>
      </w:r>
      <w:r>
        <w:rPr>
          <w:rFonts w:hint="eastAsia" w:ascii="仿宋_GB2312" w:hAnsi="仿宋_GB2312" w:cs="Arial"/>
          <w:iCs/>
          <w:sz w:val="24"/>
        </w:rPr>
        <w:t xml:space="preserve">CA电子公章）。</w:t>
      </w:r>
      <w:r/>
    </w:p>
    <w:p>
      <w:pPr>
        <w:pStyle w:val="749"/>
        <w:ind w:firstLine="480"/>
        <w:jc w:val="both"/>
        <w:spacing w:after="0" w:line="560" w:lineRule="exact"/>
        <w:widowControl w:val="off"/>
        <w:rPr>
          <w:rFonts w:ascii="宋体" w:hAnsi="宋体" w:cs="Arial"/>
          <w:iCs/>
          <w:sz w:val="24"/>
        </w:rPr>
      </w:pPr>
      <w:r/>
      <w:bookmarkEnd w:id="34"/>
      <w:r>
        <w:rPr>
          <w:rFonts w:ascii="宋体" w:hAnsi="宋体"/>
          <w:iCs/>
          <w:sz w:val="24"/>
          <w:szCs w:val="24"/>
        </w:rPr>
        <w:t xml:space="preserve">（</w:t>
      </w:r>
      <w:r>
        <w:rPr>
          <w:rFonts w:hint="eastAsia" w:ascii="宋体" w:hAnsi="宋体"/>
          <w:iCs/>
          <w:sz w:val="24"/>
          <w:szCs w:val="24"/>
        </w:rPr>
        <w:t xml:space="preserve">二</w:t>
      </w:r>
      <w:r>
        <w:rPr>
          <w:rFonts w:ascii="宋体" w:hAnsi="宋体"/>
          <w:iCs/>
          <w:sz w:val="24"/>
          <w:szCs w:val="24"/>
        </w:rPr>
        <w:t xml:space="preserve">）</w:t>
      </w:r>
      <w:r>
        <w:rPr>
          <w:rFonts w:hint="eastAsia" w:ascii="宋体" w:hAnsi="宋体"/>
          <w:iCs/>
          <w:sz w:val="24"/>
          <w:szCs w:val="24"/>
        </w:rPr>
        <w:t xml:space="preserve">本项目的特定资格要求：</w:t>
      </w:r>
      <w:r>
        <w:rPr>
          <w:rFonts w:ascii="宋体" w:hAnsi="宋体" w:cs="Arial"/>
          <w:iCs/>
          <w:sz w:val="24"/>
        </w:rPr>
      </w:r>
      <w:r/>
    </w:p>
    <w:p>
      <w:pPr>
        <w:pStyle w:val="749"/>
        <w:ind w:firstLine="480"/>
        <w:jc w:val="both"/>
        <w:spacing w:after="0" w:line="560" w:lineRule="exact"/>
        <w:widowControl w:val="off"/>
        <w:rPr>
          <w:rFonts w:ascii="宋体" w:hAnsi="宋体"/>
          <w:iCs/>
          <w:sz w:val="24"/>
          <w:szCs w:val="24"/>
        </w:rPr>
      </w:pPr>
      <w:r/>
      <w:bookmarkStart w:id="36" w:name="_Hlk162875651"/>
      <w:r>
        <w:rPr>
          <w:rFonts w:hint="eastAsia" w:ascii="宋体" w:hAnsi="宋体"/>
          <w:iCs/>
          <w:sz w:val="24"/>
          <w:szCs w:val="24"/>
        </w:rPr>
        <w:t xml:space="preserve">供应商应具备在有效期内的检验检测机构资质认定证书（CMA），CMA 资质附表中的项目</w:t>
      </w:r>
      <w:r>
        <w:rPr>
          <w:rFonts w:hint="eastAsia" w:ascii="宋体" w:hAnsi="宋体"/>
          <w:b/>
          <w:iCs/>
          <w:sz w:val="24"/>
          <w:szCs w:val="24"/>
        </w:rPr>
        <w:t xml:space="preserve">应包含国家市场监督管理总局发布的</w:t>
      </w:r>
      <w:bookmarkStart w:id="37" w:name="_Hlk86518791"/>
      <w:r>
        <w:rPr>
          <w:rFonts w:hint="eastAsia" w:ascii="宋体" w:hAnsi="宋体"/>
          <w:b/>
          <w:iCs/>
          <w:sz w:val="24"/>
          <w:szCs w:val="24"/>
        </w:rPr>
        <w:t xml:space="preserve">《食品安全监督抽检实施细则（2026年版）》</w:t>
      </w:r>
      <w:r>
        <w:rPr>
          <w:rFonts w:hint="eastAsia" w:ascii="宋体" w:hAnsi="宋体"/>
          <w:iCs/>
          <w:sz w:val="24"/>
          <w:szCs w:val="24"/>
        </w:rPr>
        <w:t xml:space="preserve">（提供相关认证证书及附表复印件并加盖CA电子公章）</w:t>
      </w:r>
      <w:bookmarkEnd w:id="37"/>
      <w:r/>
      <w:bookmarkStart w:id="38" w:name="_Hlk226267744"/>
      <w:r>
        <w:rPr>
          <w:rFonts w:hint="eastAsia" w:ascii="宋体" w:hAnsi="宋体"/>
          <w:iCs/>
          <w:sz w:val="24"/>
          <w:szCs w:val="24"/>
        </w:rPr>
        <w:t xml:space="preserve">，全部附表所对应的证书应为同一机构同一证</w:t>
      </w:r>
      <w:r>
        <w:rPr>
          <w:rFonts w:hint="eastAsia" w:ascii="宋体" w:hAnsi="宋体"/>
          <w:iCs/>
          <w:sz w:val="24"/>
          <w:szCs w:val="24"/>
        </w:rPr>
        <w:t xml:space="preserve">书编号</w:t>
      </w:r>
      <w:bookmarkEnd w:id="38"/>
      <w:r>
        <w:rPr>
          <w:rFonts w:hint="eastAsia" w:ascii="宋体" w:hAnsi="宋体"/>
          <w:iCs/>
          <w:sz w:val="24"/>
          <w:szCs w:val="24"/>
        </w:rPr>
        <w:t xml:space="preserve">。</w:t>
      </w:r>
      <w:r>
        <w:rPr>
          <w:rFonts w:ascii="宋体" w:hAnsi="宋体"/>
          <w:iCs/>
          <w:sz w:val="24"/>
          <w:szCs w:val="24"/>
        </w:rPr>
      </w:r>
      <w:r/>
    </w:p>
    <w:p>
      <w:pPr>
        <w:pStyle w:val="749"/>
        <w:ind w:firstLine="482"/>
        <w:jc w:val="both"/>
        <w:spacing w:after="0" w:line="560" w:lineRule="exact"/>
        <w:widowControl w:val="off"/>
        <w:rPr>
          <w:rFonts w:hint="eastAsia" w:ascii="宋体" w:hAnsi="宋体"/>
          <w:b/>
          <w:bCs/>
          <w:iCs/>
          <w:sz w:val="24"/>
          <w:szCs w:val="24"/>
        </w:rPr>
      </w:pPr>
      <w:r>
        <w:rPr>
          <w:rFonts w:hint="eastAsia" w:ascii="宋体" w:hAnsi="宋体"/>
          <w:b/>
          <w:bCs/>
          <w:iCs/>
          <w:sz w:val="24"/>
          <w:szCs w:val="24"/>
        </w:rPr>
        <w:t xml:space="preserve">正值CMA换证期间的，应提供：</w:t>
      </w:r>
      <w:r/>
    </w:p>
    <w:p>
      <w:pPr>
        <w:pStyle w:val="749"/>
        <w:ind w:firstLine="482"/>
        <w:jc w:val="both"/>
        <w:spacing w:after="0" w:line="560" w:lineRule="exact"/>
        <w:widowControl w:val="off"/>
        <w:rPr>
          <w:rFonts w:hint="eastAsia" w:ascii="宋体" w:hAnsi="宋体"/>
          <w:b/>
          <w:bCs/>
          <w:iCs/>
          <w:sz w:val="24"/>
          <w:szCs w:val="24"/>
        </w:rPr>
      </w:pPr>
      <w:r>
        <w:rPr>
          <w:rFonts w:hint="eastAsia" w:ascii="宋体" w:hAnsi="宋体"/>
          <w:b/>
          <w:bCs/>
          <w:iCs/>
          <w:sz w:val="24"/>
          <w:szCs w:val="24"/>
        </w:rPr>
        <w:t xml:space="preserve">①旧证复印件</w:t>
      </w:r>
      <w:r>
        <w:rPr>
          <w:rFonts w:hint="eastAsia" w:ascii="宋体" w:hAnsi="宋体"/>
          <w:b/>
          <w:bCs/>
          <w:iCs/>
          <w:sz w:val="24"/>
          <w:szCs w:val="24"/>
        </w:rPr>
        <w:t xml:space="preserve">和技术机构向发证机关递交的换证申请相关页；</w:t>
      </w:r>
      <w:r/>
    </w:p>
    <w:p>
      <w:pPr>
        <w:pStyle w:val="749"/>
        <w:ind w:firstLine="482"/>
        <w:jc w:val="both"/>
        <w:spacing w:after="0" w:line="560" w:lineRule="exact"/>
        <w:widowControl w:val="off"/>
        <w:rPr>
          <w:rFonts w:hint="eastAsia" w:ascii="宋体" w:hAnsi="宋体"/>
          <w:iCs/>
          <w:sz w:val="24"/>
          <w:szCs w:val="24"/>
        </w:rPr>
      </w:pPr>
      <w:r>
        <w:rPr>
          <w:rFonts w:hint="eastAsia" w:ascii="宋体" w:hAnsi="宋体"/>
          <w:b/>
          <w:bCs/>
          <w:iCs/>
          <w:sz w:val="24"/>
          <w:szCs w:val="24"/>
        </w:rPr>
        <w:t xml:space="preserve">②加盖法人单位公章的承诺书，承诺新证书和检测能力能在旧证有效期届满前下达并持续有效，保证资质能达到本次工作要求。</w:t>
      </w:r>
      <w:bookmarkEnd w:id="36"/>
      <w:r>
        <w:rPr>
          <w:rFonts w:hint="eastAsia" w:ascii="宋体" w:hAnsi="宋体"/>
          <w:iCs/>
          <w:sz w:val="24"/>
          <w:szCs w:val="24"/>
        </w:rPr>
      </w:r>
      <w:r/>
    </w:p>
    <w:p>
      <w:pPr>
        <w:pStyle w:val="749"/>
        <w:ind w:firstLine="480"/>
        <w:jc w:val="both"/>
        <w:spacing w:after="0" w:line="560" w:lineRule="exact"/>
        <w:widowControl w:val="off"/>
        <w:rPr>
          <w:rFonts w:hint="eastAsia" w:ascii="仿宋_GB2312" w:hAnsi="仿宋_GB2312" w:cs="Arial"/>
          <w:iCs/>
          <w:sz w:val="24"/>
        </w:rPr>
      </w:pPr>
      <w:r/>
      <w:bookmarkStart w:id="39" w:name="_Hlk82765034"/>
      <w:r>
        <w:rPr>
          <w:rFonts w:hint="eastAsia" w:ascii="仿宋_GB2312" w:hAnsi="仿宋_GB2312" w:cs="Arial"/>
          <w:iCs/>
          <w:sz w:val="24"/>
        </w:rPr>
        <w:t xml:space="preserve">（三）本项目的其他资格要求：</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未被“信用中国”网站（www.creditchina.gov.cn）、“中国政府采购网”网站（www.ccgp.gov.cn）列入失信被执行人、重大税收违法案件当事人名单、政府采购严重失信行为记录名单（投标人可以不提供证明材料，以代理机构现场查询并截图留存为准）。</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2.本项目</w:t>
      </w:r>
      <w:r>
        <w:rPr>
          <w:rFonts w:hint="eastAsia" w:ascii="仿宋_GB2312" w:hAnsi="仿宋_GB2312" w:cs="Arial"/>
          <w:iCs/>
          <w:sz w:val="24"/>
          <w:u w:val="single"/>
        </w:rPr>
        <w:t xml:space="preserve">不接受</w:t>
      </w:r>
      <w:r>
        <w:rPr>
          <w:rFonts w:hint="eastAsia" w:ascii="仿宋_GB2312" w:hAnsi="仿宋_GB2312" w:cs="Arial"/>
          <w:iCs/>
          <w:sz w:val="24"/>
        </w:rPr>
        <w:t xml:space="preserve">联合体投标。</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3.本项目</w:t>
      </w:r>
      <w:r>
        <w:rPr>
          <w:rFonts w:hint="eastAsia" w:ascii="仿宋_GB2312" w:hAnsi="仿宋_GB2312" w:cs="Arial"/>
          <w:iCs/>
          <w:sz w:val="24"/>
          <w:u w:val="single"/>
        </w:rPr>
        <w:t xml:space="preserve">不接受</w:t>
      </w:r>
      <w:r>
        <w:rPr>
          <w:rFonts w:hint="eastAsia" w:ascii="仿宋_GB2312" w:hAnsi="仿宋_GB2312" w:cs="Arial"/>
          <w:iCs/>
          <w:sz w:val="24"/>
        </w:rPr>
        <w:t xml:space="preserve">进口</w:t>
      </w:r>
      <w:r>
        <w:rPr>
          <w:rFonts w:hint="eastAsia" w:ascii="仿宋_GB2312" w:hAnsi="仿宋_GB2312" w:cs="Arial"/>
          <w:iCs/>
          <w:sz w:val="24"/>
        </w:rPr>
        <w:t xml:space="preserve">产品投标。 </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4.拒绝下述供应商参加本次采购活动：</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①供应商单位负责人为同一人或者存在直接控股、管理关系的不同供应商，不得参加同一合同项下的政府采购活动；</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②凡为采购项目提供整体设计、规范编制或者项目管理、监理、检测等服务的供应商，不得再参加本项目的采购活动。</w:t>
      </w:r>
      <w:r/>
    </w:p>
    <w:p>
      <w:pPr>
        <w:pStyle w:val="749"/>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③公益一类事业单位、使用事业编制且由财政拨款保障的群团组织，不得参加本项目的采购活动。</w:t>
      </w:r>
      <w:r/>
    </w:p>
    <w:p>
      <w:pPr>
        <w:pStyle w:val="749"/>
        <w:jc w:val="both"/>
        <w:spacing w:after="0" w:line="560" w:lineRule="exact"/>
        <w:widowControl w:val="off"/>
        <w:tabs>
          <w:tab w:val="left" w:pos="900" w:leader="none"/>
        </w:tabs>
        <w:rPr>
          <w:rFonts w:ascii="宋体"/>
          <w:b/>
          <w:bCs/>
          <w:sz w:val="24"/>
        </w:rPr>
      </w:pPr>
      <w:r/>
      <w:bookmarkEnd w:id="39"/>
      <w:r>
        <w:rPr>
          <w:rFonts w:hint="eastAsia" w:ascii="宋体"/>
          <w:b/>
          <w:bCs/>
          <w:sz w:val="24"/>
        </w:rPr>
        <w:t xml:space="preserve">三、获取招标文件</w:t>
      </w:r>
      <w:r>
        <w:rPr>
          <w:rFonts w:ascii="宋体"/>
          <w:b/>
          <w:bCs/>
          <w:sz w:val="24"/>
        </w:rPr>
      </w:r>
      <w:r/>
    </w:p>
    <w:p>
      <w:pPr>
        <w:pStyle w:val="749"/>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749"/>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w:t>
      </w:r>
      <w:r>
        <w:rPr>
          <w:rFonts w:hint="eastAsia" w:ascii="宋体"/>
          <w:color w:val="000000"/>
          <w:sz w:val="24"/>
        </w:rPr>
        <w:t xml:space="preserve">地点</w:t>
      </w:r>
      <w:r>
        <w:rPr>
          <w:rFonts w:hint="eastAsia" w:ascii="宋体"/>
          <w:color w:val="000000"/>
          <w:sz w:val="24"/>
        </w:rPr>
        <w:t xml:space="preserve">：</w:t>
      </w:r>
      <w:r>
        <w:rPr>
          <w:rFonts w:hint="eastAsia" w:ascii="宋体"/>
          <w:color w:val="000000"/>
          <w:sz w:val="24"/>
        </w:rPr>
        <w:t xml:space="preserve">江苏政府采购网</w:t>
      </w:r>
      <w:r>
        <w:rPr>
          <w:rFonts w:ascii="宋体"/>
          <w:color w:val="000000"/>
          <w:sz w:val="24"/>
        </w:rPr>
      </w:r>
      <w:r/>
    </w:p>
    <w:p>
      <w:pPr>
        <w:pStyle w:val="749"/>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w:t>
      </w:r>
      <w:r>
        <w:rPr>
          <w:rFonts w:hint="eastAsia" w:ascii="宋体"/>
          <w:color w:val="000000"/>
          <w:sz w:val="24"/>
        </w:rPr>
        <w:t xml:space="preserve">方式：</w:t>
      </w:r>
      <w:r>
        <w:rPr>
          <w:rFonts w:hint="eastAsia" w:ascii="宋体"/>
          <w:color w:val="000000"/>
          <w:sz w:val="24"/>
        </w:rPr>
        <w:t xml:space="preserve">自招标公告发布之日起至2026年06月</w:t>
      </w:r>
      <w:r>
        <w:rPr>
          <w:rFonts w:hint="eastAsia" w:ascii="宋体"/>
          <w:color w:val="000000"/>
          <w:sz w:val="24"/>
        </w:rPr>
        <w:t xml:space="preserve">30</w:t>
      </w:r>
      <w:r>
        <w:rPr>
          <w:rFonts w:hint="eastAsia" w:ascii="宋体"/>
          <w:color w:val="000000"/>
          <w:sz w:val="24"/>
        </w:rPr>
        <w:t xml:space="preserve">日23时59分</w:t>
      </w:r>
      <w:r>
        <w:rPr>
          <w:rFonts w:hint="eastAsia" w:ascii="宋体"/>
          <w:color w:val="000000"/>
          <w:sz w:val="24"/>
        </w:rPr>
        <w:t xml:space="preserve">，</w:t>
      </w:r>
      <w:r>
        <w:rPr>
          <w:rFonts w:hint="eastAsia" w:ascii="宋体"/>
          <w:color w:val="000000"/>
          <w:sz w:val="24"/>
        </w:rPr>
        <w:t xml:space="preserve">在“江苏政府采购网”自行免费下载招标文件。</w:t>
      </w:r>
      <w:r>
        <w:rPr>
          <w:rFonts w:hint="eastAsia" w:ascii="宋体"/>
          <w:color w:val="000000"/>
          <w:sz w:val="24"/>
        </w:rPr>
        <w:t xml:space="preserve">查看公告附件链接的采购文件不代表参与投标，供应商须登陆“江苏政府采购网”→首页点击“苏采云”</w:t>
      </w:r>
      <w:bookmarkStart w:id="40" w:name="_Hlk219329385"/>
      <w:r>
        <w:rPr>
          <w:rFonts w:hint="eastAsia" w:ascii="宋体"/>
          <w:color w:val="000000"/>
          <w:sz w:val="24"/>
        </w:rPr>
        <w:t xml:space="preserve">→</w:t>
      </w:r>
      <w:bookmarkEnd w:id="40"/>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49"/>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49"/>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rPr>
        <w:t xml:space="preserve">07</w:t>
      </w:r>
      <w:r>
        <w:rPr>
          <w:rFonts w:hint="eastAsia" w:ascii="宋体" w:cs="Arial"/>
          <w:sz w:val="24"/>
          <w:szCs w:val="20"/>
        </w:rPr>
        <w:t xml:space="preserve">月</w:t>
      </w:r>
      <w:r>
        <w:rPr>
          <w:rFonts w:hint="eastAsia" w:ascii="宋体" w:cs="Arial"/>
          <w:sz w:val="24"/>
          <w:szCs w:val="20"/>
        </w:rPr>
        <w:t xml:space="preserve">0</w:t>
      </w:r>
      <w:r>
        <w:rPr>
          <w:rFonts w:hint="eastAsia" w:ascii="宋体" w:cs="Arial"/>
          <w:sz w:val="24"/>
          <w:szCs w:val="20"/>
        </w:rPr>
        <w:t xml:space="preserve">8</w:t>
      </w:r>
      <w:r>
        <w:rPr>
          <w:rFonts w:hint="eastAsia" w:ascii="宋体" w:cs="Arial"/>
          <w:sz w:val="24"/>
          <w:szCs w:val="20"/>
        </w:rPr>
        <w:t xml:space="preserve">日0</w:t>
      </w:r>
      <w:r>
        <w:rPr>
          <w:rFonts w:hint="eastAsia" w:ascii="宋体"/>
          <w:bCs/>
          <w:sz w:val="24"/>
        </w:rPr>
        <w:t xml:space="preserve">9:</w:t>
      </w:r>
      <w:r>
        <w:rPr>
          <w:rFonts w:hint="eastAsia" w:ascii="宋体"/>
          <w:bCs/>
          <w:sz w:val="24"/>
        </w:rPr>
        <w:t xml:space="preserve">0</w:t>
      </w:r>
      <w:r>
        <w:rPr>
          <w:rFonts w:hint="eastAsia" w:ascii="宋体"/>
          <w:bCs/>
          <w:sz w:val="24"/>
        </w:rPr>
        <w:t xml:space="preserve">0</w:t>
      </w:r>
      <w:r>
        <w:rPr>
          <w:rFonts w:hint="eastAsia" w:ascii="宋体" w:cs="Arial"/>
          <w:sz w:val="24"/>
          <w:szCs w:val="20"/>
        </w:rPr>
        <w:t xml:space="preserve">（北京时间）</w:t>
      </w:r>
      <w:r>
        <w:rPr>
          <w:rFonts w:ascii="宋体" w:cs="Arial"/>
          <w:sz w:val="24"/>
          <w:szCs w:val="20"/>
        </w:rPr>
      </w:r>
      <w:r/>
    </w:p>
    <w:p>
      <w:pPr>
        <w:pStyle w:val="749"/>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49"/>
        <w:jc w:val="both"/>
        <w:spacing w:after="0" w:line="560" w:lineRule="exact"/>
        <w:widowControl w:val="off"/>
        <w:tabs>
          <w:tab w:val="left" w:pos="900" w:leader="none"/>
        </w:tabs>
        <w:rPr>
          <w:rFonts w:hint="eastAsia" w:ascii="宋体" w:hAnsi="宋体" w:cs="宋体"/>
          <w:b/>
          <w:sz w:val="24"/>
          <w:szCs w:val="24"/>
        </w:rPr>
      </w:pPr>
      <w:r/>
      <w:bookmarkStart w:id="41" w:name="_Toc28359007"/>
      <w:r/>
      <w:bookmarkStart w:id="42" w:name="_Toc28359084"/>
      <w:r/>
      <w:bookmarkStart w:id="43" w:name="_Toc35393625"/>
      <w:r/>
      <w:bookmarkStart w:id="44" w:name="_Toc35393794"/>
      <w:r>
        <w:rPr>
          <w:rFonts w:hint="eastAsia" w:ascii="宋体" w:hAnsi="宋体" w:cs="宋体"/>
          <w:b/>
          <w:sz w:val="24"/>
          <w:szCs w:val="24"/>
        </w:rPr>
        <w:t xml:space="preserve">五、公告期限</w:t>
      </w:r>
      <w:bookmarkEnd w:id="41"/>
      <w:r/>
      <w:bookmarkEnd w:id="42"/>
      <w:r/>
      <w:bookmarkEnd w:id="43"/>
      <w:r/>
      <w:bookmarkEnd w:id="44"/>
      <w:r>
        <w:rPr>
          <w:rFonts w:hint="eastAsia" w:ascii="宋体" w:hAnsi="宋体" w:cs="宋体"/>
          <w:b/>
          <w:sz w:val="24"/>
          <w:szCs w:val="24"/>
        </w:rPr>
      </w:r>
      <w:r/>
    </w:p>
    <w:p>
      <w:pPr>
        <w:pStyle w:val="749"/>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pStyle w:val="749"/>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pStyle w:val="749"/>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pStyle w:val="749"/>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pStyle w:val="749"/>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人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人应承担所有法律责任带来的全部最终不利后果。</w:t>
      </w:r>
      <w:r/>
    </w:p>
    <w:p>
      <w:pPr>
        <w:pStyle w:val="749"/>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p>
    <w:p>
      <w:pPr>
        <w:pStyle w:val="74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4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4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4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pStyle w:val="74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⑤落实政府采购政策需满足的资</w:t>
      </w:r>
      <w:r>
        <w:rPr>
          <w:rFonts w:hint="eastAsia" w:ascii="宋体" w:hAnsi="宋体" w:cs="宋体"/>
          <w:sz w:val="24"/>
          <w:szCs w:val="24"/>
        </w:rPr>
        <w:t xml:space="preserve">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749"/>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w:t>
      </w:r>
      <w:r>
        <w:rPr>
          <w:rFonts w:hint="eastAsia" w:ascii="宋体" w:hAnsi="宋体" w:cs="宋体"/>
          <w:sz w:val="24"/>
          <w:szCs w:val="24"/>
        </w:rPr>
        <w:t xml:space="preserve">简称“操作手册”）进行注册，并制作上传电子投标文件。《操作手册》下载地址：</w:t>
      </w:r>
      <w:r>
        <w:rPr>
          <w:rFonts w:ascii="宋体" w:hAnsi="宋体" w:cs="宋体"/>
          <w:sz w:val="24"/>
          <w:szCs w:val="24"/>
        </w:rPr>
      </w:r>
      <w:r/>
    </w:p>
    <w:p>
      <w:pPr>
        <w:pStyle w:val="749"/>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p>
    <w:p>
      <w:pPr>
        <w:pStyle w:val="749"/>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49"/>
        <w:ind w:firstLine="480"/>
        <w:jc w:val="both"/>
        <w:spacing w:after="0" w:line="560" w:lineRule="exact"/>
        <w:widowControl w:val="off"/>
        <w:rPr>
          <w:rFonts w:ascii="宋体"/>
          <w:sz w:val="24"/>
        </w:rPr>
      </w:pPr>
      <w:r/>
      <w:bookmarkStart w:id="45" w:name="_Hlk47018607"/>
      <w:r>
        <w:rPr>
          <w:rFonts w:hint="eastAsia" w:ascii="宋体"/>
          <w:sz w:val="24"/>
        </w:rPr>
        <w:t xml:space="preserve">1.采购人联系方式</w:t>
      </w:r>
      <w:r>
        <w:rPr>
          <w:rFonts w:ascii="宋体"/>
          <w:sz w:val="24"/>
        </w:rPr>
      </w:r>
      <w:r/>
    </w:p>
    <w:p>
      <w:pPr>
        <w:pStyle w:val="749"/>
        <w:ind w:firstLine="480"/>
        <w:jc w:val="both"/>
        <w:spacing w:after="0" w:line="560" w:lineRule="exact"/>
        <w:widowControl w:val="off"/>
        <w:rPr>
          <w:rFonts w:hint="eastAsia" w:ascii="宋体"/>
          <w:sz w:val="24"/>
        </w:rPr>
      </w:pPr>
      <w:r>
        <w:rPr>
          <w:rFonts w:hint="eastAsia" w:ascii="宋体"/>
          <w:sz w:val="24"/>
        </w:rPr>
        <w:t xml:space="preserve">名称</w:t>
      </w:r>
      <w:r>
        <w:rPr>
          <w:rFonts w:hint="eastAsia" w:ascii="宋体"/>
          <w:sz w:val="24"/>
        </w:rPr>
        <w:t xml:space="preserve">：江苏省市</w:t>
      </w:r>
      <w:r>
        <w:rPr>
          <w:rFonts w:hint="eastAsia" w:ascii="宋体"/>
          <w:sz w:val="24"/>
        </w:rPr>
        <w:t xml:space="preserve">场监督管理局</w:t>
      </w:r>
      <w:r/>
    </w:p>
    <w:p>
      <w:pPr>
        <w:pStyle w:val="749"/>
        <w:ind w:firstLine="480"/>
        <w:jc w:val="both"/>
        <w:spacing w:after="0" w:line="560" w:lineRule="exact"/>
        <w:widowControl w:val="off"/>
        <w:rPr>
          <w:rFonts w:hint="eastAsia" w:ascii="宋体"/>
          <w:sz w:val="24"/>
        </w:rPr>
      </w:pPr>
      <w:r>
        <w:rPr>
          <w:rFonts w:hint="eastAsia" w:ascii="宋体"/>
          <w:sz w:val="24"/>
        </w:rPr>
        <w:t xml:space="preserve">地址：南京市鼓楼区草场门大街107号龙江大厦</w:t>
      </w:r>
      <w:r/>
    </w:p>
    <w:p>
      <w:pPr>
        <w:pStyle w:val="749"/>
        <w:ind w:firstLine="480"/>
        <w:jc w:val="both"/>
        <w:spacing w:after="0" w:line="560" w:lineRule="exact"/>
        <w:widowControl w:val="off"/>
        <w:rPr>
          <w:rFonts w:hint="eastAsia" w:ascii="宋体"/>
          <w:sz w:val="24"/>
        </w:rPr>
      </w:pPr>
      <w:r>
        <w:rPr>
          <w:rFonts w:hint="eastAsia" w:ascii="宋体"/>
          <w:sz w:val="24"/>
        </w:rPr>
        <w:t xml:space="preserve">联系人：吕老师 </w:t>
      </w:r>
      <w:r/>
    </w:p>
    <w:p>
      <w:pPr>
        <w:pStyle w:val="749"/>
        <w:ind w:firstLine="480"/>
        <w:jc w:val="both"/>
        <w:spacing w:after="0" w:line="560" w:lineRule="exact"/>
        <w:widowControl w:val="off"/>
        <w:rPr>
          <w:rFonts w:hint="eastAsia" w:ascii="宋体"/>
          <w:sz w:val="24"/>
        </w:rPr>
      </w:pPr>
      <w:r>
        <w:rPr>
          <w:rFonts w:hint="eastAsia" w:ascii="宋体"/>
          <w:sz w:val="24"/>
        </w:rPr>
        <w:t xml:space="preserve">联系方式：</w:t>
      </w:r>
      <w:r>
        <w:rPr>
          <w:rFonts w:hint="eastAsia"/>
        </w:rPr>
        <w:t xml:space="preserve">025-85012001</w:t>
      </w:r>
      <w:r>
        <w:rPr>
          <w:rFonts w:hint="eastAsia" w:ascii="宋体"/>
          <w:sz w:val="24"/>
        </w:rPr>
      </w:r>
      <w:r/>
    </w:p>
    <w:p>
      <w:pPr>
        <w:pStyle w:val="749"/>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49"/>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49"/>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49"/>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pStyle w:val="749"/>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p>
    <w:p>
      <w:pPr>
        <w:pStyle w:val="749"/>
        <w:ind w:firstLine="480"/>
        <w:jc w:val="both"/>
        <w:spacing w:after="0" w:line="560" w:lineRule="exact"/>
        <w:widowControl w:val="off"/>
        <w:rPr>
          <w:rFonts w:ascii="宋体"/>
          <w:sz w:val="24"/>
        </w:rPr>
      </w:pPr>
      <w:r/>
      <w:bookmarkEnd w:id="45"/>
      <w:r>
        <w:rPr>
          <w:rFonts w:hint="eastAsia" w:ascii="宋体"/>
          <w:sz w:val="24"/>
        </w:rPr>
        <w:t xml:space="preserve">项目联系人：吉工 </w:t>
      </w:r>
      <w:r>
        <w:rPr>
          <w:rFonts w:ascii="宋体"/>
          <w:sz w:val="24"/>
        </w:rPr>
        <w:t xml:space="preserve"> </w:t>
      </w:r>
      <w:r/>
    </w:p>
    <w:p>
      <w:pPr>
        <w:pStyle w:val="749"/>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49"/>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20"/>
      <w:r>
        <w:rPr>
          <w:rFonts w:ascii="宋体"/>
          <w:b/>
          <w:bCs/>
          <w:sz w:val="24"/>
          <w:szCs w:val="24"/>
        </w:rPr>
      </w:r>
      <w:r/>
    </w:p>
    <w:p>
      <w:pPr>
        <w:jc w:val="center"/>
        <w:shd w:val="nil" w:color="auto"/>
        <w:rPr>
          <w:rFonts w:ascii="黑体" w:hAnsi="楷体_GB2312" w:eastAsia="黑体"/>
          <w:b w:val="0"/>
          <w:bCs w:val="0"/>
          <w:sz w:val="44"/>
          <w:szCs w:val="44"/>
        </w:rPr>
      </w:pPr>
      <w:r>
        <w:rPr>
          <w:rFonts w:ascii="黑体" w:hAnsi="楷体_GB2312" w:eastAsia="黑体"/>
          <w:b w:val="0"/>
          <w:bCs w:val="0"/>
          <w:sz w:val="44"/>
          <w:szCs w:val="44"/>
          <w:highlight w:val="none"/>
        </w:rPr>
        <w:br w:type="page" w:clear="all"/>
      </w:r>
      <w:r>
        <w:rPr>
          <w:rFonts w:ascii="黑体" w:hAnsi="楷体_GB2312" w:eastAsia="黑体"/>
          <w:b w:val="0"/>
          <w:bCs w:val="0"/>
          <w:sz w:val="44"/>
          <w:szCs w:val="44"/>
          <w:highlight w:val="none"/>
        </w:rPr>
      </w:r>
      <w:bookmarkStart w:id="46" w:name="_Toc17291078"/>
      <w:r/>
      <w:bookmarkStart w:id="47" w:name="_Toc192946452"/>
      <w:r/>
      <w:bookmarkStart w:id="48" w:name="_Toc17291674"/>
      <w:r/>
      <w:bookmarkStart w:id="49" w:name="_Toc120614211"/>
      <w:r>
        <w:rPr>
          <w:rFonts w:hint="eastAsia" w:ascii="黑体" w:hAnsi="楷体_GB2312" w:eastAsia="黑体"/>
          <w:b w:val="0"/>
          <w:bCs w:val="0"/>
          <w:color w:val="000000"/>
          <w:sz w:val="44"/>
          <w:szCs w:val="44"/>
        </w:rPr>
        <w:t xml:space="preserve">第二章  投标人须知</w:t>
      </w:r>
      <w:bookmarkEnd w:id="3"/>
      <w:r/>
      <w:bookmarkEnd w:id="4"/>
      <w:r/>
      <w:bookmarkEnd w:id="5"/>
      <w:r/>
      <w:bookmarkEnd w:id="6"/>
      <w:r/>
      <w:bookmarkEnd w:id="7"/>
      <w:r/>
      <w:bookmarkEnd w:id="46"/>
      <w:r/>
      <w:bookmarkEnd w:id="47"/>
      <w:r/>
      <w:bookmarkEnd w:id="48"/>
      <w:r/>
      <w:bookmarkEnd w:id="49"/>
      <w:r>
        <w:rPr>
          <w:rFonts w:ascii="黑体" w:hAnsi="楷体_GB2312" w:eastAsia="黑体"/>
          <w:b w:val="0"/>
          <w:bCs w:val="0"/>
          <w:sz w:val="44"/>
          <w:szCs w:val="44"/>
        </w:rPr>
      </w:r>
      <w:r/>
    </w:p>
    <w:p>
      <w:pPr>
        <w:pStyle w:val="749"/>
        <w:ind w:firstLine="480"/>
        <w:jc w:val="both"/>
        <w:spacing w:after="0" w:line="560" w:lineRule="exact"/>
        <w:widowControl w:val="off"/>
        <w:rPr>
          <w:rFonts w:ascii="宋体"/>
          <w:iCs/>
          <w:sz w:val="24"/>
        </w:rPr>
      </w:pPr>
      <w:r/>
      <w:bookmarkStart w:id="50" w:name="_Toc16938519"/>
      <w:r/>
      <w:bookmarkStart w:id="51" w:name="_Toc20823275"/>
      <w:r/>
      <w:bookmarkStart w:id="52" w:name="_Toc17291079"/>
      <w:r/>
      <w:bookmarkStart w:id="53" w:name="_Toc513029203"/>
      <w:r/>
      <w:bookmarkStart w:id="54" w:name="_Toc20823309"/>
      <w:r/>
      <w:bookmarkStart w:id="55" w:name="_Toc16938553"/>
      <w:r/>
      <w:bookmarkStart w:id="56" w:name="_Toc120614214"/>
      <w:r/>
      <w:bookmarkStart w:id="57" w:name="_Toc513029237"/>
      <w:r/>
      <w:bookmarkStart w:id="58" w:name="_Hlt26670360"/>
      <w:r/>
      <w:bookmarkEnd w:id="58"/>
      <w:r/>
      <w:bookmarkStart w:id="59" w:name="_Hlt26668999"/>
      <w:r/>
      <w:bookmarkEnd w:id="59"/>
      <w:r/>
      <w:bookmarkStart w:id="60" w:name="_Hlt26954852"/>
      <w:r/>
      <w:bookmarkEnd w:id="60"/>
      <w:r/>
      <w:bookmarkStart w:id="61" w:name="_Hlt26954838"/>
      <w:r/>
      <w:bookmarkEnd w:id="61"/>
      <w:r/>
      <w:bookmarkStart w:id="62" w:name="_Hlt26954734"/>
      <w:r/>
      <w:bookmarkEnd w:id="62"/>
      <w:r/>
      <w:bookmarkStart w:id="63" w:name="_Hlt26954850"/>
      <w:r/>
      <w:bookmarkEnd w:id="63"/>
      <w:r/>
      <w:bookmarkStart w:id="64" w:name="_Hlt26954739"/>
      <w:r/>
      <w:bookmarkEnd w:id="64"/>
      <w:r/>
      <w:bookmarkStart w:id="65" w:name="_Hlt26668975"/>
      <w:r/>
      <w:bookmarkEnd w:id="65"/>
      <w:r/>
      <w:bookmarkStart w:id="66" w:name="_Hlt26670489"/>
      <w:r/>
      <w:bookmarkEnd w:id="66"/>
      <w:r/>
      <w:bookmarkStart w:id="67" w:name="_Hlt16619475"/>
      <w:r/>
      <w:bookmarkEnd w:id="67"/>
      <w:r>
        <w:rPr>
          <w:rFonts w:hint="eastAsia" w:ascii="宋体"/>
          <w:iCs/>
          <w:sz w:val="24"/>
        </w:rPr>
        <w:t xml:space="preserve">一、总则</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2、合格的供应商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49"/>
        <w:ind w:firstLine="480"/>
        <w:jc w:val="both"/>
        <w:spacing w:after="0" w:line="560" w:lineRule="exact"/>
        <w:widowControl w:val="off"/>
        <w:rPr>
          <w:rFonts w:hint="eastAsia"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pStyle w:val="749"/>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49"/>
        <w:ind w:firstLine="598"/>
        <w:jc w:val="both"/>
        <w:spacing w:after="0" w:line="560" w:lineRule="exact"/>
        <w:tabs>
          <w:tab w:val="left" w:pos="900" w:leader="none"/>
        </w:tabs>
        <w:rPr>
          <w:rFonts w:ascii="宋体"/>
          <w:iCs/>
          <w:sz w:val="24"/>
        </w:rPr>
      </w:pPr>
      <w:r/>
      <w:bookmarkStart w:id="68" w:name="_Hlk227213550"/>
      <w:r>
        <w:rPr>
          <w:rFonts w:hint="eastAsia" w:ascii="宋体"/>
          <w:iCs/>
          <w:sz w:val="24"/>
        </w:rPr>
        <w:t xml:space="preserve">4.2代理服务费（按整个项目计算）</w:t>
      </w:r>
      <w:r>
        <w:rPr>
          <w:rFonts w:ascii="宋体"/>
          <w:iCs/>
          <w:sz w:val="24"/>
        </w:rPr>
      </w:r>
      <w:r/>
    </w:p>
    <w:p>
      <w:pPr>
        <w:pStyle w:val="749"/>
        <w:ind w:firstLine="598"/>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749"/>
        <w:ind w:firstLine="598"/>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p>
    <w:p>
      <w:pPr>
        <w:pStyle w:val="749"/>
        <w:ind w:firstLine="598"/>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w:t>
      </w:r>
      <w:r>
        <w:rPr>
          <w:rFonts w:hint="eastAsia" w:ascii="宋体"/>
          <w:iCs/>
          <w:sz w:val="24"/>
        </w:rPr>
        <w:t xml:space="preserve">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p>
        </w:tc>
        <w:tc>
          <w:tcPr>
            <w:tcW w:w="2078"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p>
        </w:tc>
        <w:tc>
          <w:tcPr>
            <w:tcW w:w="1985"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p>
        </w:tc>
        <w:tc>
          <w:tcPr>
            <w:tcW w:w="2078"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p>
        </w:tc>
        <w:tc>
          <w:tcPr>
            <w:tcW w:w="1985"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p>
        </w:tc>
        <w:tc>
          <w:tcPr>
            <w:tcW w:w="2078"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p>
        </w:tc>
        <w:tc>
          <w:tcPr>
            <w:tcW w:w="1985"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p>
        </w:tc>
        <w:tc>
          <w:tcPr>
            <w:tcW w:w="2078"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p>
        </w:tc>
        <w:tc>
          <w:tcPr>
            <w:tcW w:w="1985" w:type="dxa"/>
            <w:vAlign w:val="top"/>
            <w:textDirection w:val="lrTb"/>
            <w:noWrap w:val="false"/>
          </w:tcPr>
          <w:p>
            <w:pPr>
              <w:pStyle w:val="74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749"/>
        <w:ind w:firstLine="598"/>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49"/>
        <w:ind w:firstLine="598"/>
        <w:jc w:val="both"/>
        <w:spacing w:after="156" w:line="360" w:lineRule="auto"/>
        <w:tabs>
          <w:tab w:val="left" w:pos="900" w:leader="none"/>
        </w:tabs>
        <w:rPr>
          <w:rFonts w:ascii="宋体"/>
          <w:bCs/>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Cs/>
          <w:iCs/>
          <w:sz w:val="24"/>
        </w:rPr>
      </w:r>
      <w:r/>
    </w:p>
    <w:p>
      <w:pPr>
        <w:pStyle w:val="749"/>
        <w:spacing w:line="360" w:lineRule="auto"/>
        <w:rPr>
          <w:rFonts w:ascii="宋体" w:hAnsi="Calibri"/>
          <w:bCs/>
          <w:sz w:val="24"/>
          <w:szCs w:val="24"/>
        </w:rPr>
      </w:pPr>
      <w:r>
        <w:rPr>
          <w:rFonts w:hint="eastAsia"/>
        </w:rPr>
        <w:t xml:space="preserve">     </w:t>
      </w:r>
      <w:bookmarkEnd w:id="68"/>
      <w:r>
        <w:rPr>
          <w:rFonts w:hint="eastAsia" w:ascii="宋体" w:hAnsi="Calibri"/>
          <w:bCs/>
          <w:sz w:val="24"/>
          <w:szCs w:val="24"/>
        </w:rPr>
        <w:t xml:space="preserve">收款单位：南京小旸树招标代理有限公司</w:t>
      </w:r>
      <w:r>
        <w:rPr>
          <w:rFonts w:ascii="宋体" w:hAnsi="Calibri"/>
          <w:bCs/>
          <w:sz w:val="24"/>
          <w:szCs w:val="24"/>
        </w:rPr>
      </w:r>
      <w:r/>
    </w:p>
    <w:p>
      <w:pPr>
        <w:pStyle w:val="749"/>
        <w:ind w:firstLine="598"/>
        <w:jc w:val="both"/>
        <w:spacing w:after="143" w:line="360" w:lineRule="auto"/>
        <w:widowControl w:val="off"/>
        <w:tabs>
          <w:tab w:val="left" w:pos="900" w:leader="none"/>
        </w:tabs>
        <w:rPr>
          <w:rFonts w:ascii="宋体" w:hAnsi="Calibri"/>
          <w:bCs/>
          <w:sz w:val="24"/>
          <w:szCs w:val="24"/>
        </w:rPr>
      </w:pPr>
      <w:r>
        <w:rPr>
          <w:rFonts w:hint="eastAsia" w:ascii="宋体" w:hAnsi="Calibri"/>
          <w:bCs/>
          <w:sz w:val="24"/>
          <w:szCs w:val="24"/>
        </w:rPr>
        <w:t xml:space="preserve">开户行：交通银行南京水西门支行 </w:t>
      </w:r>
      <w:r>
        <w:rPr>
          <w:rFonts w:ascii="宋体" w:hAnsi="Calibri"/>
          <w:bCs/>
          <w:sz w:val="24"/>
          <w:szCs w:val="24"/>
        </w:rPr>
      </w:r>
      <w:r/>
    </w:p>
    <w:p>
      <w:pPr>
        <w:pStyle w:val="749"/>
        <w:ind w:firstLine="480"/>
        <w:spacing w:after="0" w:line="560" w:lineRule="exact"/>
        <w:tabs>
          <w:tab w:val="left" w:pos="900" w:leader="none"/>
        </w:tabs>
        <w:rPr>
          <w:rFonts w:ascii="宋体"/>
          <w:iCs/>
          <w:sz w:val="24"/>
        </w:rPr>
      </w:pPr>
      <w:r>
        <w:rPr>
          <w:rFonts w:hint="eastAsia" w:ascii="宋体" w:hAnsi="Calibri"/>
          <w:bCs/>
          <w:sz w:val="24"/>
          <w:szCs w:val="24"/>
        </w:rPr>
        <w:t xml:space="preserve">账号：320006642018010101049</w:t>
      </w:r>
      <w:r>
        <w:rPr>
          <w:rFonts w:hint="eastAsia" w:ascii="宋体"/>
          <w:iCs/>
          <w:sz w:val="24"/>
        </w:rPr>
        <w:t xml:space="preserve">5、招标文件的约束力</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（2）投标人</w:t>
      </w:r>
      <w:r>
        <w:rPr>
          <w:rFonts w:hint="eastAsia" w:ascii="宋体"/>
          <w:iCs/>
          <w:sz w:val="24"/>
        </w:rPr>
        <w:t xml:space="preserve">须知</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7.1 任何要求对招标文件进行澄清的供应商，应在投标截止期十日前按招标公告中的通讯地址，以书面形式通知南京小旸树招标代理有限公司。</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招标文件的修改将在江苏政府采购网公布，补充文件将作为招标文件的组成部分，并对供应商具有约束力。</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供应商提交的投标文件以及供应商与南京小旸树招标代理有限公司就有关投标的所有来往通知、函件和文件均应使用简体中文，同一条款内容既有中文也有外文的，以中文</w:t>
      </w:r>
      <w:r>
        <w:rPr>
          <w:rFonts w:hint="eastAsia" w:ascii="宋体"/>
          <w:iCs/>
          <w:sz w:val="24"/>
        </w:rPr>
        <w:t xml:space="preserve">意义为准。投标文件中如提供外文证明材料或资料、授权的，所有外文材料均须提供准确有效且完整的一一对应的中文译本，并由翻译机构盖章或者翻译人员签名以对其真实性和准确性负责，否则</w:t>
      </w:r>
      <w:r>
        <w:rPr>
          <w:rFonts w:hint="eastAsia" w:ascii="宋体"/>
          <w:iCs/>
          <w:sz w:val="24"/>
        </w:rPr>
        <w:t xml:space="preserve">评审小组成员有权因语言文字不同导致不能准确理解判定而作出否决或负偏离认定，供应商需自行承担由此引起的一切后果。</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10.1 供应商编写的投标文件应包括资信证明文件、分项报价表、技术参数响应及偏离表、商务条款响应及偏离表、技术及售后服务承诺书、投标函、开标一览表等部分。</w:t>
      </w:r>
      <w:r>
        <w:rPr>
          <w:rFonts w:ascii="宋体"/>
          <w:iCs/>
          <w:sz w:val="24"/>
        </w:rPr>
      </w:r>
      <w:r/>
    </w:p>
    <w:p>
      <w:pPr>
        <w:pStyle w:val="749"/>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w:t>
      </w:r>
      <w:r>
        <w:rPr>
          <w:rFonts w:hint="eastAsia" w:ascii="宋体"/>
          <w:b/>
          <w:bCs/>
          <w:iCs/>
          <w:sz w:val="24"/>
        </w:rPr>
        <w:t xml:space="preserve">招标文件为准。</w:t>
      </w:r>
      <w:r>
        <w:rPr>
          <w:rFonts w:ascii="宋体"/>
          <w:b/>
          <w:bCs/>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11.2供应商应提交证明其有资格参加投标和中标后有能力独立履行合同的文件。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11.3供应商除必须具有履行合同所需提供的货物（设备装备等）以及服务的能力外，还必须具备相应的财务、技术方面的能力。</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w:t>
      </w:r>
      <w:r>
        <w:rPr>
          <w:rFonts w:hint="eastAsia" w:ascii="宋体"/>
          <w:iCs/>
          <w:sz w:val="24"/>
        </w:rPr>
        <w:t xml:space="preserve">）质量合格以及符合招标文件规定的证明文件。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w:t>
      </w:r>
      <w:r>
        <w:rPr>
          <w:rFonts w:hint="eastAsia" w:ascii="宋体"/>
          <w:iCs/>
          <w:sz w:val="24"/>
        </w:rPr>
        <w:t xml:space="preserve">数据。</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12.1供应商应按照招标文件规定格式填报投入人员一览表、投标配置与分项报价表。每项服务只允许有一个报价，任何有选择的报价将不予接受。</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49"/>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该项目预算为全口径预算，包含了本项目所需的服务提供过程中可能发生的所有费用，</w:t>
      </w:r>
      <w:bookmarkStart w:id="69" w:name="_Hlk227213788"/>
      <w:r>
        <w:rPr>
          <w:rFonts w:hint="eastAsia" w:ascii="宋体"/>
          <w:b/>
          <w:bCs/>
          <w:iCs/>
          <w:sz w:val="24"/>
          <w:szCs w:val="24"/>
        </w:rPr>
        <w:t xml:space="preserve">包括但不限于样品购置费、检测费、实验室及检测设备使用费用、耗材、各种税费、利润、税金、人员工资（含各类保险、加班费、交通费、过节费等所有与人员相关费用）、培训及合同包含的所有风险、责任等各项相关费用。本次采购投标人的报价应包括为完成本项目发生的上述所有费用及采购代理服务费用（无需单独报价也无需单列）</w:t>
      </w:r>
      <w:bookmarkEnd w:id="69"/>
      <w:r>
        <w:rPr>
          <w:rFonts w:hint="eastAsia" w:ascii="宋体"/>
          <w:b/>
          <w:bCs/>
          <w:iCs/>
          <w:sz w:val="24"/>
          <w:szCs w:val="24"/>
        </w:rPr>
        <w:t xml:space="preserve">，中标后采购人除按中标价格结算支付采购资金以外，不再另行支付任何费用</w:t>
      </w:r>
      <w:r>
        <w:rPr>
          <w:rFonts w:hint="eastAsia" w:ascii="宋体"/>
          <w:b/>
          <w:bCs/>
          <w:iCs/>
          <w:sz w:val="24"/>
          <w:szCs w:val="24"/>
        </w:rPr>
        <w:t xml:space="preserve">。本采购文件中另有规定的除外。</w:t>
      </w:r>
      <w:r>
        <w:rPr>
          <w:rFonts w:ascii="宋体"/>
          <w:b/>
          <w:bCs/>
          <w:iCs/>
          <w:sz w:val="24"/>
          <w:szCs w:val="24"/>
        </w:rPr>
      </w:r>
      <w:r/>
    </w:p>
    <w:p>
      <w:pPr>
        <w:pStyle w:val="749"/>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w:t>
      </w:r>
      <w:r>
        <w:rPr>
          <w:rFonts w:hint="eastAsia" w:ascii="宋体"/>
          <w:iCs/>
          <w:sz w:val="24"/>
        </w:rPr>
        <w:t xml:space="preserve">标文件中另有规定的按规定执行。</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49"/>
        <w:ind w:firstLine="482"/>
        <w:jc w:val="both"/>
        <w:spacing w:after="0" w:line="560" w:lineRule="exact"/>
        <w:widowControl w:val="off"/>
        <w:rPr>
          <w:rFonts w:ascii="宋体"/>
          <w:b/>
          <w:bCs/>
          <w:iCs/>
          <w:sz w:val="24"/>
          <w:szCs w:val="24"/>
        </w:rPr>
      </w:pPr>
      <w:r>
        <w:rPr>
          <w:rFonts w:ascii="宋体"/>
          <w:b/>
          <w:bCs/>
          <w:iCs/>
          <w:sz w:val="24"/>
          <w:szCs w:val="24"/>
        </w:rPr>
        <w:t xml:space="preserve">13</w:t>
      </w:r>
      <w:r>
        <w:rPr>
          <w:rFonts w:ascii="宋体"/>
          <w:b/>
          <w:bCs/>
          <w:iCs/>
          <w:sz w:val="24"/>
          <w:szCs w:val="24"/>
        </w:rPr>
        <w:t xml:space="preserve">.1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49"/>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14、1供应商的服务承诺应按不低于招标文件中商务要求的标准。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供应商应按照招标文件中提供的格式完整、正确填写投标函、开标一览表。</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w:t>
      </w:r>
      <w:r>
        <w:rPr>
          <w:rFonts w:hint="eastAsia" w:ascii="宋体"/>
          <w:iCs/>
          <w:sz w:val="24"/>
        </w:rPr>
        <w:t xml:space="preserve">不作为无效投标处理，但评标时按开标一览表中价格为准。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49"/>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在特殊情况下，南京小旸树招标代理有限公司于原投标有效期满之前，可向供应商提出延长投标有效期的要求。这种要求与答复均应采用书面形式。供应商可以拒绝南京小</w:t>
      </w:r>
      <w:r>
        <w:rPr>
          <w:rFonts w:hint="eastAsia" w:ascii="宋体"/>
          <w:iCs/>
          <w:sz w:val="24"/>
        </w:rPr>
        <w:t xml:space="preserve">旸树招标代理有限公司的这一要求而放弃投标，同意延长投标有效期的供应商既不能要求也不允许修改其投标文件。受投标有效期约束的所有权利与义务均延长至新的有效期。</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49"/>
        <w:ind w:firstLine="480"/>
        <w:jc w:val="both"/>
        <w:spacing w:after="62" w:line="560" w:lineRule="exact"/>
        <w:widowControl w:val="off"/>
        <w:rPr>
          <w:rFonts w:ascii="宋体"/>
          <w:iCs/>
          <w:sz w:val="24"/>
        </w:rPr>
      </w:pPr>
      <w:r/>
      <w:bookmarkStart w:id="70" w:name="_Toc16938541"/>
      <w:r/>
      <w:bookmarkStart w:id="71" w:name="_Toc462564084"/>
      <w:r/>
      <w:bookmarkStart w:id="72" w:name="_Toc513029225"/>
      <w:r/>
      <w:bookmarkStart w:id="73" w:name="_Toc20823297"/>
      <w:r>
        <w:rPr>
          <w:rFonts w:hint="eastAsia" w:ascii="宋体"/>
          <w:iCs/>
          <w:sz w:val="24"/>
        </w:rPr>
        <w:t xml:space="preserve">18、投标文件的密封和标记</w:t>
      </w:r>
      <w:bookmarkEnd w:id="70"/>
      <w:r/>
      <w:bookmarkEnd w:id="71"/>
      <w:r/>
      <w:bookmarkEnd w:id="72"/>
      <w:r/>
      <w:bookmarkEnd w:id="73"/>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18.1供应商应当按照《操作手册》规定，在投标截止时间前制作并上传电子投标文件。</w:t>
      </w:r>
      <w:r>
        <w:rPr>
          <w:rFonts w:ascii="宋体"/>
          <w:iCs/>
          <w:sz w:val="24"/>
        </w:rPr>
      </w:r>
      <w:r/>
    </w:p>
    <w:p>
      <w:pPr>
        <w:pStyle w:val="749"/>
        <w:ind w:firstLine="480"/>
        <w:jc w:val="both"/>
        <w:spacing w:after="62" w:line="560" w:lineRule="exact"/>
        <w:widowControl w:val="off"/>
        <w:rPr>
          <w:rFonts w:ascii="宋体"/>
          <w:iCs/>
          <w:sz w:val="24"/>
        </w:rPr>
      </w:pPr>
      <w:r/>
      <w:bookmarkStart w:id="74" w:name="_Toc16938542"/>
      <w:r/>
      <w:bookmarkStart w:id="75" w:name="_Toc513029226"/>
      <w:r/>
      <w:bookmarkStart w:id="76" w:name="_Toc20823298"/>
      <w:r>
        <w:rPr>
          <w:rFonts w:hint="eastAsia" w:ascii="宋体"/>
          <w:iCs/>
          <w:sz w:val="24"/>
        </w:rPr>
        <w:t xml:space="preserve">19、投标截止日期</w:t>
      </w:r>
      <w:bookmarkEnd w:id="74"/>
      <w:r/>
      <w:bookmarkEnd w:id="75"/>
      <w:r/>
      <w:bookmarkEnd w:id="76"/>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无效投标处理。</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w:t>
      </w:r>
      <w:r>
        <w:rPr>
          <w:rFonts w:hint="eastAsia" w:ascii="宋体"/>
          <w:iCs/>
          <w:sz w:val="24"/>
        </w:rPr>
        <w:t xml:space="preserve">及供应商受制的截止日期均应以延长后新的截止日期为准。</w:t>
      </w:r>
      <w:r>
        <w:rPr>
          <w:rFonts w:ascii="宋体"/>
          <w:iCs/>
          <w:sz w:val="24"/>
        </w:rPr>
      </w:r>
      <w:r/>
    </w:p>
    <w:p>
      <w:pPr>
        <w:pStyle w:val="749"/>
        <w:ind w:firstLine="480"/>
        <w:jc w:val="both"/>
        <w:spacing w:after="62" w:line="560" w:lineRule="exact"/>
        <w:widowControl w:val="off"/>
        <w:rPr>
          <w:rFonts w:ascii="宋体"/>
          <w:iCs/>
          <w:sz w:val="24"/>
        </w:rPr>
      </w:pPr>
      <w:r/>
      <w:bookmarkStart w:id="77" w:name="_Toc513029227"/>
      <w:r/>
      <w:bookmarkStart w:id="78" w:name="_Toc16938543"/>
      <w:r/>
      <w:bookmarkStart w:id="79" w:name="_Toc20823299"/>
      <w:r>
        <w:rPr>
          <w:rFonts w:hint="eastAsia" w:ascii="宋体"/>
          <w:iCs/>
          <w:sz w:val="24"/>
        </w:rPr>
        <w:t xml:space="preserve">20、投标文件</w:t>
      </w:r>
      <w:bookmarkEnd w:id="77"/>
      <w:r/>
      <w:bookmarkEnd w:id="78"/>
      <w:r/>
      <w:bookmarkEnd w:id="79"/>
      <w:r>
        <w:rPr>
          <w:rFonts w:hint="eastAsia" w:ascii="宋体"/>
          <w:iCs/>
          <w:sz w:val="24"/>
        </w:rPr>
        <w:t xml:space="preserve">的拒收</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49"/>
        <w:ind w:firstLine="480"/>
        <w:jc w:val="both"/>
        <w:spacing w:after="62" w:line="560" w:lineRule="exact"/>
        <w:widowControl w:val="off"/>
        <w:rPr>
          <w:rFonts w:ascii="宋体"/>
          <w:iCs/>
          <w:sz w:val="24"/>
        </w:rPr>
      </w:pPr>
      <w:r/>
      <w:bookmarkStart w:id="80" w:name="_Toc16938544"/>
      <w:r/>
      <w:bookmarkStart w:id="81" w:name="_Toc513029228"/>
      <w:r/>
      <w:bookmarkStart w:id="82" w:name="_Toc20823300"/>
      <w:r>
        <w:rPr>
          <w:rFonts w:hint="eastAsia" w:ascii="宋体"/>
          <w:iCs/>
          <w:sz w:val="24"/>
        </w:rPr>
        <w:t xml:space="preserve">21、投标文件的撤回和</w:t>
      </w:r>
      <w:bookmarkEnd w:id="80"/>
      <w:r/>
      <w:bookmarkEnd w:id="81"/>
      <w:r/>
      <w:bookmarkEnd w:id="82"/>
      <w:r>
        <w:rPr>
          <w:rFonts w:hint="eastAsia" w:ascii="宋体"/>
          <w:iCs/>
          <w:sz w:val="24"/>
        </w:rPr>
        <w:t xml:space="preserve">修改</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rPr>
          <w:rFonts w:ascii="宋体"/>
          <w:iCs/>
          <w:sz w:val="24"/>
        </w:rPr>
      </w:r>
      <w:r/>
    </w:p>
    <w:p>
      <w:pPr>
        <w:pStyle w:val="749"/>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供应商撤回电子投标文件，则认为其不再参与本项目投标活动。</w:t>
      </w:r>
      <w:r>
        <w:rPr>
          <w:rFonts w:ascii="宋体"/>
          <w:iCs/>
          <w:sz w:val="24"/>
        </w:rPr>
      </w:r>
      <w:r/>
    </w:p>
    <w:p>
      <w:pPr>
        <w:pStyle w:val="749"/>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49"/>
        <w:ind w:firstLine="480"/>
        <w:jc w:val="both"/>
        <w:spacing w:after="62" w:line="560" w:lineRule="exact"/>
        <w:widowControl w:val="off"/>
        <w:rPr>
          <w:rFonts w:ascii="宋体"/>
          <w:iCs/>
          <w:sz w:val="24"/>
        </w:rPr>
      </w:pPr>
      <w:r>
        <w:rPr>
          <w:rFonts w:ascii="宋体"/>
          <w:iCs/>
          <w:sz w:val="24"/>
        </w:rPr>
        <w:t xml:space="preserve">2</w:t>
      </w:r>
      <w:r>
        <w:rPr>
          <w:rFonts w:ascii="宋体"/>
          <w:iCs/>
          <w:sz w:val="24"/>
        </w:rPr>
        <w:t xml:space="preserve">1.2.1</w:t>
      </w:r>
      <w:r>
        <w:rPr>
          <w:rFonts w:hint="eastAsia" w:ascii="宋体"/>
          <w:iCs/>
          <w:sz w:val="24"/>
        </w:rPr>
        <w:t xml:space="preserve">供应商可在投标截止时间前对其电子投标文件进行修改，具体操作方法见《操作手册》。</w:t>
      </w:r>
      <w:r>
        <w:rPr>
          <w:rFonts w:ascii="宋体"/>
          <w:iCs/>
          <w:sz w:val="24"/>
        </w:rPr>
      </w:r>
      <w:r/>
    </w:p>
    <w:p>
      <w:pPr>
        <w:pStyle w:val="749"/>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南京小旸树招标代理有限公司在招标公告中规定的时间和地点组织公开开标。供应商按照《操作手册》规定参加开标活动，并在苏采云系统规定的时间内对投标文件进行解密。</w:t>
      </w:r>
      <w:r>
        <w:rPr>
          <w:rFonts w:ascii="宋体"/>
          <w:iCs/>
          <w:sz w:val="24"/>
        </w:rPr>
      </w:r>
      <w:r/>
    </w:p>
    <w:p>
      <w:pPr>
        <w:pStyle w:val="749"/>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w:t>
      </w:r>
      <w:r>
        <w:rPr>
          <w:rFonts w:hint="eastAsia" w:ascii="宋体"/>
          <w:iCs/>
          <w:sz w:val="24"/>
        </w:rPr>
        <w:t xml:space="preserve">作，应按照《操作手册》规定执行。</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供应商如果对开标过程和开标结果有疑义，应当根据《操作手册》规定提出，苏采云系统中《开标记录表》公布后5分钟内未提出的，视同认可开标结果。</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w:t>
      </w:r>
      <w:r>
        <w:rPr>
          <w:rFonts w:hint="eastAsia" w:ascii="宋体"/>
          <w:iCs/>
          <w:sz w:val="24"/>
        </w:rPr>
        <w:t xml:space="preserve">、经济等方面的专家组成，且人员构成符合政府采购有关规定。</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w:t>
      </w:r>
      <w:r>
        <w:rPr>
          <w:rFonts w:hint="eastAsia" w:ascii="宋体"/>
          <w:iCs/>
          <w:sz w:val="24"/>
        </w:rPr>
        <w:t xml:space="preserve">选人。</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南京小旸树招标代理有限公司和评标委员会不向落标的供应商解释未中标原因，也不公布评标过程中的相关细节。</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采用综合评分法的项目，未中标的供应商可于中标结果公告期限届满之日起联系南京小旸树招标代理有限公司相关项目负责人查看本单位的评审得分及排名情况。</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25.1评标期间，为有助于对投标文件的审查、评价和比较，评委会对投标文件中含义不明确、同类问题表述不一致或者有明显文字和计算错误的内容，有权要求供应商作出必要的澄清、说明或者补正。</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w:t>
      </w:r>
      <w:r>
        <w:rPr>
          <w:rFonts w:hint="eastAsia" w:ascii="宋体"/>
          <w:iCs/>
          <w:sz w:val="24"/>
        </w:rPr>
        <w:t xml:space="preserve">围或者改变投标文件的实质性内容。</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25.2需要供应商进行澄清、</w:t>
      </w:r>
      <w:r>
        <w:rPr>
          <w:rFonts w:hint="eastAsia" w:ascii="宋体"/>
          <w:iCs/>
          <w:sz w:val="24"/>
        </w:rPr>
        <w:t xml:space="preserve">说明和补正的，评委会将通过苏采云系统向供应商发出《澄清要求函》，接到《澄清要求函》的供应商应当按照要求在苏采云系统中提交《澄清响应函》并加盖电子CA电子公章。澄清、说明和补正的内容作为投标文件的补充部分，具体操作方式见《操作手册》。</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接到评委会澄清、说明和补正要求的，供应商如未按规定作出澄清、说明和补正，其风险由供应商自行承担。</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供应商是否被列入失信被执行人、重大税收违法案件当事人名单、政府采购严重失信行为记录名单情况进行查询，以确定供应商是否具备投标资格。查询结果将以网页打印的形式留存并归档。</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26.1.2 符合性审查：依据招</w:t>
      </w:r>
      <w:r>
        <w:rPr>
          <w:rFonts w:hint="eastAsia" w:ascii="宋体"/>
          <w:iCs/>
          <w:sz w:val="24"/>
        </w:rPr>
        <w:t xml:space="preserve">标文件的规定，由评委会从投标文件的有效性、完整性和对招标文件的响应程度进行审查，以确定是否对招标文件的实质性要求作出响应。</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w:t>
      </w:r>
      <w:r>
        <w:rPr>
          <w:rFonts w:hint="eastAsia" w:ascii="宋体"/>
          <w:iCs/>
          <w:sz w:val="24"/>
        </w:rPr>
        <w:t xml:space="preserve">影响。重大偏离的认定需经过评委会三分之二及以上成员的认定。评委决定投标文件的响应性只根据投标文件本身的内容，而不寻求外部的证据。</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26.3如果投标文件实质上没有响应招标文件的要求，评委会将予以拒绝，供应商不得通过修改或撤销不合要求的偏离或保留而使其投标成为实质性响应的投标。</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w:t>
      </w:r>
      <w:r>
        <w:rPr>
          <w:rFonts w:hint="eastAsia" w:ascii="宋体"/>
          <w:iCs/>
          <w:sz w:val="24"/>
        </w:rPr>
        <w:t xml:space="preserve">进一步审核，看其投标文件报价是否有计算上或累加上的算术错误，修正错误的原则如下：</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（1）投</w:t>
      </w:r>
      <w:r>
        <w:rPr>
          <w:rFonts w:hint="eastAsia" w:ascii="宋体"/>
          <w:iCs/>
          <w:sz w:val="24"/>
        </w:rPr>
        <w:t xml:space="preserve">标文件中开标一览表内容与投标文件中相应内容不一致的，以开标一览表为准。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26.5评委会将按上述修正错误的方法调整投标文件中的投标报价，并通过苏采云系统告知供应商，调整后的价格应对供应商具有约束力。如果供应商不接受修正后的价格，则其投标将被拒绝。</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26.6使用综合评分法的</w:t>
      </w:r>
      <w:r>
        <w:rPr>
          <w:rFonts w:hint="eastAsia" w:ascii="宋体"/>
          <w:iCs/>
          <w:sz w:val="24"/>
        </w:rPr>
        <w:t xml:space="preserve">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非单一产品采购项目，招标文件中将载明其中的核心产品。多家供应商提供的核心产品品牌相同的，按前款规定处理。</w:t>
      </w:r>
      <w:r>
        <w:rPr>
          <w:rFonts w:ascii="宋体"/>
          <w:iCs/>
          <w:sz w:val="24"/>
        </w:rPr>
      </w:r>
      <w:r/>
    </w:p>
    <w:p>
      <w:pPr>
        <w:pStyle w:val="749"/>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w:t>
      </w:r>
      <w:r>
        <w:rPr>
          <w:rFonts w:hint="eastAsia" w:ascii="宋体"/>
          <w:iCs/>
          <w:sz w:val="24"/>
          <w:szCs w:val="28"/>
          <w:lang w:val="zh-CN"/>
        </w:rPr>
        <w:t xml:space="preserve">应商在开、评标全过程中应保持通讯畅通，及时登录苏采云系统查阅、答复相关信息，并安排专人与代理机构及评委会联系。</w:t>
      </w:r>
      <w:r>
        <w:rPr>
          <w:rFonts w:ascii="宋体"/>
          <w:iCs/>
          <w:sz w:val="24"/>
          <w:szCs w:val="28"/>
          <w:lang w:val="zh-CN"/>
        </w:rPr>
      </w:r>
      <w:r/>
    </w:p>
    <w:p>
      <w:pPr>
        <w:pStyle w:val="749"/>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rPr>
          <w:rFonts w:ascii="宋体"/>
          <w:iCs/>
          <w:color w:val="000000"/>
          <w:sz w:val="24"/>
        </w:rPr>
      </w:r>
      <w:r/>
    </w:p>
    <w:p>
      <w:pPr>
        <w:pStyle w:val="749"/>
        <w:ind w:firstLine="480"/>
        <w:jc w:val="both"/>
        <w:spacing w:after="62" w:line="560" w:lineRule="exact"/>
        <w:widowControl w:val="off"/>
        <w:rPr>
          <w:rFonts w:ascii="宋体"/>
          <w:iCs/>
          <w:color w:val="000000"/>
          <w:sz w:val="24"/>
        </w:rPr>
      </w:pPr>
      <w:r/>
      <w:bookmarkStart w:id="83" w:name="_Hlk220752912"/>
      <w:r>
        <w:rPr>
          <w:rFonts w:hint="eastAsia" w:ascii="宋体"/>
          <w:iCs/>
          <w:color w:val="000000"/>
          <w:sz w:val="24"/>
        </w:rPr>
        <w:t xml:space="preserve">（1）投标（响应）报价低于全部通过符合性审查供应商投标（响应）报价平均值50%的，即投标（响应）报价&lt;全部通过符合性审查供应商投标（响应）报价平均值×50%；</w:t>
      </w:r>
      <w:r>
        <w:rPr>
          <w:rFonts w:ascii="宋体"/>
          <w:iCs/>
          <w:color w:val="000000"/>
          <w:sz w:val="24"/>
        </w:rPr>
      </w:r>
      <w:r/>
    </w:p>
    <w:p>
      <w:pPr>
        <w:pStyle w:val="749"/>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（2）投标（响应）报价低于通过符合性审查的次低报价供应商投标（响应）报价50%的，即投标（响应）报价&lt;通过符合性审查的次低报价供应商投标（响应）报价×50%；</w:t>
      </w:r>
      <w:r>
        <w:rPr>
          <w:rFonts w:ascii="宋体"/>
          <w:iCs/>
          <w:color w:val="000000"/>
          <w:sz w:val="24"/>
        </w:rPr>
      </w:r>
      <w:r/>
    </w:p>
    <w:p>
      <w:pPr>
        <w:pStyle w:val="749"/>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（3）投标（响应）报价低于采购项目最高限价45%的，即投标（响应）报价&lt;采购项目最高限价×45%；</w:t>
      </w:r>
      <w:r>
        <w:rPr>
          <w:rFonts w:ascii="宋体"/>
          <w:iCs/>
          <w:color w:val="000000"/>
          <w:sz w:val="24"/>
        </w:rPr>
      </w:r>
      <w:r/>
    </w:p>
    <w:p>
      <w:pPr>
        <w:pStyle w:val="749"/>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r>
        <w:rPr>
          <w:rFonts w:ascii="宋体"/>
          <w:iCs/>
          <w:color w:val="000000"/>
          <w:sz w:val="24"/>
        </w:rPr>
      </w:r>
      <w:r/>
    </w:p>
    <w:p>
      <w:pPr>
        <w:pStyle w:val="749"/>
        <w:ind w:firstLine="480"/>
        <w:jc w:val="both"/>
        <w:spacing w:after="62" w:line="560" w:lineRule="exact"/>
        <w:widowControl w:val="off"/>
        <w:rPr>
          <w:rFonts w:ascii="宋体"/>
          <w:iCs/>
          <w:color w:val="000000"/>
          <w:sz w:val="24"/>
        </w:rPr>
      </w:pPr>
      <w:r/>
      <w:bookmarkEnd w:id="83"/>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w:t>
      </w:r>
      <w:r>
        <w:rPr>
          <w:rFonts w:hint="eastAsia" w:ascii="宋体"/>
          <w:iCs/>
          <w:color w:val="000000"/>
          <w:sz w:val="24"/>
        </w:rPr>
        <w:t xml:space="preserve">交相关书面说明及必要的证明材料的，在评审现场可不再重复提交。</w:t>
      </w:r>
      <w:r>
        <w:rPr>
          <w:rFonts w:ascii="宋体"/>
          <w:iCs/>
          <w:color w:val="000000"/>
          <w:sz w:val="24"/>
        </w:rPr>
      </w:r>
      <w:r/>
    </w:p>
    <w:p>
      <w:pPr>
        <w:pStyle w:val="749"/>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w:t>
      </w:r>
      <w:r>
        <w:rPr>
          <w:rFonts w:hint="eastAsia" w:ascii="宋体"/>
          <w:iCs/>
          <w:color w:val="000000"/>
          <w:sz w:val="24"/>
        </w:rPr>
        <w:t xml:space="preserve">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49"/>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49"/>
        <w:ind w:firstLine="480"/>
        <w:jc w:val="both"/>
        <w:spacing w:after="62" w:line="560" w:lineRule="exact"/>
        <w:widowControl w:val="off"/>
        <w:rPr>
          <w:rFonts w:ascii="宋体"/>
          <w:iCs/>
          <w:sz w:val="24"/>
        </w:rPr>
      </w:pPr>
      <w:r/>
      <w:bookmarkStart w:id="84" w:name="_Toc20823307"/>
      <w:r/>
      <w:bookmarkStart w:id="85" w:name="_Toc513029235"/>
      <w:r/>
      <w:bookmarkStart w:id="86" w:name="_Toc16938551"/>
      <w:r>
        <w:rPr>
          <w:rFonts w:hint="eastAsia" w:ascii="宋体"/>
          <w:iCs/>
          <w:sz w:val="24"/>
        </w:rPr>
        <w:t xml:space="preserve">27.1.1供应商在苏采云系统规定的时间内未成功解密电子投标文件。</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27.1.2供应商未按照招标文件要求上传电子投标文件的。</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27.1.5供应商的报价超过了采购预算或最高限价的。</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供应商被 “信用中国”网站（www.creditchina.gov.cn）、“中国政府采购网”(www</w:t>
      </w:r>
      <w:r>
        <w:rPr>
          <w:rFonts w:hint="eastAsia" w:ascii="宋体"/>
          <w:iCs/>
          <w:sz w:val="24"/>
        </w:rPr>
        <w:t xml:space="preserve">.ccgp.gov.cn)列入失信被执行人或重大税收违法案件当事人名单或政府采购严重失信行为记录名单。</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w:t>
      </w:r>
      <w:r>
        <w:rPr>
          <w:rFonts w:ascii="宋体"/>
          <w:iCs/>
          <w:sz w:val="24"/>
        </w:rPr>
        <w:t xml:space="preserve">0</w:t>
      </w:r>
      <w:r>
        <w:rPr>
          <w:rFonts w:hint="eastAsia" w:ascii="宋体"/>
          <w:iCs/>
          <w:sz w:val="24"/>
        </w:rPr>
        <w:t xml:space="preserve"> </w:t>
      </w:r>
      <w:bookmarkStart w:id="87"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87"/>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或公章的（本项目对投标文件有盖章要求的，加盖公章或CA电子公章均可，具有同等效力。公章是指刻有供应商法定名称的印章，不包括合同、财务、税务、发票等形式的业务专用章）。</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49"/>
        <w:ind w:firstLine="480"/>
        <w:jc w:val="both"/>
        <w:spacing w:after="0" w:line="560" w:lineRule="exact"/>
        <w:widowControl w:val="off"/>
        <w:rPr>
          <w:rFonts w:ascii="宋体"/>
          <w:iCs/>
          <w:sz w:val="24"/>
        </w:rPr>
      </w:pPr>
      <w:r/>
      <w:bookmarkEnd w:id="84"/>
      <w:r/>
      <w:bookmarkEnd w:id="85"/>
      <w:r/>
      <w:bookmarkEnd w:id="86"/>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27.3.1任一采购包如出现投标截止时间结束后参加投标的供应商或者在评标期间符合要求的或对招标文件做出实质响应的供应商不足三家情况，按政府采购相关规定执行。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28.1评委会评审时按照采购包1、采购包2、采购包3的顺序，根据本招标文件规定的评分办法与评分标准依次评审，向采购人推荐出每个采购包不超过3家的中标候选人。供应商投标多个采购包的，一旦供应商确定为采购包1综合得分排名第一的拟</w:t>
      </w:r>
      <w:r>
        <w:rPr>
          <w:rFonts w:hint="eastAsia" w:ascii="宋体"/>
          <w:iCs/>
          <w:sz w:val="24"/>
        </w:rPr>
        <w:t xml:space="preserve">中标人，则不得再参加后续所投采购包的评审，以此规则和顺序依次类推。</w:t>
      </w:r>
      <w:r>
        <w:rPr>
          <w:rFonts w:ascii="宋体"/>
          <w:iCs/>
          <w:sz w:val="24"/>
        </w:rPr>
      </w:r>
      <w:r/>
    </w:p>
    <w:p>
      <w:pPr>
        <w:pStyle w:val="749"/>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pStyle w:val="749"/>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28.4.3恶意</w:t>
      </w:r>
      <w:r>
        <w:rPr>
          <w:rFonts w:hint="eastAsia" w:ascii="宋体"/>
          <w:iCs/>
          <w:sz w:val="24"/>
        </w:rPr>
        <w:t xml:space="preserve">竞争，投标总报价明显低于其自身合理成本且又无法提供证明的。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29.1供应商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w:t>
      </w:r>
      <w:r>
        <w:rPr>
          <w:rFonts w:hint="eastAsia" w:ascii="宋体"/>
          <w:iCs/>
          <w:sz w:val="24"/>
        </w:rPr>
        <w:t xml:space="preserve">序环节结束之日；</w:t>
      </w:r>
      <w:r>
        <w:rPr>
          <w:rFonts w:ascii="宋体"/>
          <w:iCs/>
          <w:sz w:val="24"/>
        </w:rPr>
      </w:r>
      <w:r/>
    </w:p>
    <w:p>
      <w:pPr>
        <w:pStyle w:val="749"/>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w:t>
      </w:r>
      <w:r>
        <w:rPr>
          <w:rFonts w:hint="eastAsia" w:ascii="宋体"/>
          <w:iCs/>
          <w:sz w:val="24"/>
        </w:rPr>
        <w:t xml:space="preserve">标或者中标结果公告期限届满之日。</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w:t>
      </w:r>
      <w:r>
        <w:rPr>
          <w:rFonts w:hint="eastAsia" w:ascii="宋体"/>
          <w:iCs/>
          <w:sz w:val="24"/>
        </w:rPr>
        <w:t xml:space="preserve">为法人或其他组织的，应当由法定代表人签字并加</w:t>
      </w:r>
      <w:r>
        <w:rPr>
          <w:rFonts w:hint="eastAsia" w:ascii="宋体"/>
          <w:iCs/>
          <w:sz w:val="24"/>
        </w:rPr>
        <w:t xml:space="preserve">盖单位CA电子公章。质疑人委托代理质疑的，应当向南京小旸树招标代理有限公司提交授权委托书，并载明委托代理的具体权限和事项。</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29.7对于内容、格式符合规定的质疑函，南京小旸树招标代理有限公司应当在收到投标人的书面质疑后七个工作日内作出答复，并以书面形式通知质疑供应商和其他有关供应商，但答复的内容不得涉及商业秘密。</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w:t>
      </w:r>
      <w:r>
        <w:rPr>
          <w:rFonts w:hint="eastAsia" w:ascii="宋体"/>
          <w:iCs/>
          <w:sz w:val="24"/>
        </w:rPr>
        <w:t xml:space="preserve">日起30日后，苏采云系统不再保证提供下载中标通知书服务,因未及时下载而造成的不利后果由中标人自行承担。</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中标通知书将是合同的一个组成部分。对采购人和中标的供应商均具有法律效力。中标通知书发出后，采购人改变中标结果的，或者中标的供应商放弃中标项目的，应当依法承担法律责任。</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49"/>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88"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88"/>
      <w:r>
        <w:rPr>
          <w:rFonts w:ascii="宋体"/>
          <w:b/>
          <w:bCs/>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49"/>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rPr>
      </w:r>
      <w:r/>
    </w:p>
    <w:p>
      <w:pPr>
        <w:pStyle w:val="749"/>
        <w:ind w:firstLine="480"/>
        <w:jc w:val="both"/>
        <w:spacing w:after="0" w:line="560" w:lineRule="exact"/>
        <w:widowControl w:val="off"/>
        <w:rPr>
          <w:rFonts w:ascii="宋体"/>
          <w:iCs/>
          <w:sz w:val="24"/>
        </w:rPr>
      </w:pPr>
      <w:r/>
      <w:bookmarkEnd w:id="50"/>
      <w:r/>
      <w:bookmarkEnd w:id="51"/>
      <w:r/>
      <w:bookmarkEnd w:id="52"/>
      <w:r/>
      <w:bookmarkEnd w:id="53"/>
      <w:r/>
      <w:bookmarkEnd w:id="56"/>
      <w:r/>
      <w:bookmarkStart w:id="89" w:name="OLE_LINK14"/>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480"/>
        <w:jc w:val="both"/>
        <w:spacing w:after="0" w:line="560" w:lineRule="exact"/>
        <w:widowControl w:val="off"/>
        <w:rPr>
          <w:rFonts w:ascii="宋体"/>
          <w:iCs/>
          <w:sz w:val="24"/>
        </w:rPr>
      </w:pPr>
      <w:r>
        <w:rPr>
          <w:rFonts w:ascii="宋体"/>
          <w:iCs/>
          <w:sz w:val="24"/>
        </w:rPr>
      </w:r>
      <w:r/>
    </w:p>
    <w:p>
      <w:pPr>
        <w:pStyle w:val="749"/>
        <w:ind w:firstLine="0"/>
        <w:jc w:val="both"/>
        <w:spacing w:after="0" w:line="560" w:lineRule="exact"/>
        <w:widowControl w:val="off"/>
        <w:rPr>
          <w:rFonts w:ascii="宋体"/>
          <w:iCs/>
          <w:sz w:val="24"/>
        </w:rPr>
      </w:pPr>
      <w:r>
        <w:rPr>
          <w:rFonts w:ascii="宋体"/>
          <w:iCs/>
          <w:sz w:val="24"/>
        </w:rPr>
      </w:r>
      <w:r/>
    </w:p>
    <w:p>
      <w:pPr>
        <w:pStyle w:val="750"/>
        <w:jc w:val="center"/>
        <w:keepLines w:val="0"/>
        <w:spacing w:before="0" w:line="240" w:lineRule="auto"/>
        <w:widowControl w:val="off"/>
        <w:tabs>
          <w:tab w:val="left" w:pos="564" w:leader="none"/>
        </w:tabs>
        <w:rPr>
          <w:rFonts w:ascii="黑体" w:hAnsi="楷体_GB2312" w:eastAsia="黑体"/>
          <w:b w:val="0"/>
          <w:bCs w:val="0"/>
          <w:color w:val="000000"/>
          <w:sz w:val="44"/>
          <w:szCs w:val="44"/>
        </w:rPr>
      </w:pPr>
      <w:r/>
      <w:bookmarkEnd w:id="54"/>
      <w:r/>
      <w:bookmarkEnd w:id="55"/>
      <w:r/>
      <w:bookmarkEnd w:id="57"/>
      <w:r/>
      <w:bookmarkEnd w:id="89"/>
      <w:r/>
      <w:bookmarkStart w:id="90" w:name="_Hlt16619350"/>
      <w:r/>
      <w:bookmarkStart w:id="91" w:name="_Toc16938590"/>
      <w:r/>
      <w:bookmarkStart w:id="92" w:name="_Toc120614244"/>
      <w:r/>
      <w:bookmarkStart w:id="93" w:name="_Toc20823346"/>
      <w:r/>
      <w:bookmarkStart w:id="94" w:name="_Toc192946453"/>
      <w:r/>
      <w:bookmarkStart w:id="95" w:name="_Hlk47019468"/>
      <w:r/>
      <w:bookmarkEnd w:id="95"/>
      <w:r>
        <w:rPr>
          <w:rFonts w:hint="eastAsia" w:ascii="黑体" w:hAnsi="楷体_GB2312" w:eastAsia="黑体"/>
          <w:b w:val="0"/>
          <w:bCs w:val="0"/>
          <w:color w:val="000000"/>
          <w:sz w:val="44"/>
          <w:szCs w:val="44"/>
        </w:rPr>
        <w:t xml:space="preserve">第三章  </w:t>
      </w:r>
      <w:bookmarkEnd w:id="94"/>
      <w:r>
        <w:rPr>
          <w:rFonts w:hint="eastAsia" w:ascii="黑体" w:hAnsi="楷体_GB2312" w:eastAsia="黑体"/>
          <w:b w:val="0"/>
          <w:bCs w:val="0"/>
          <w:color w:val="000000"/>
          <w:sz w:val="44"/>
          <w:szCs w:val="44"/>
        </w:rPr>
        <w:t xml:space="preserve">合同条款及格式</w:t>
      </w:r>
      <w:r>
        <w:rPr>
          <w:rFonts w:ascii="黑体" w:hAnsi="楷体_GB2312" w:eastAsia="黑体"/>
          <w:b w:val="0"/>
          <w:bCs w:val="0"/>
          <w:color w:val="000000"/>
          <w:sz w:val="44"/>
          <w:szCs w:val="44"/>
        </w:rPr>
      </w:r>
      <w:r/>
    </w:p>
    <w:p>
      <w:pPr>
        <w:pStyle w:val="749"/>
        <w:jc w:val="center"/>
        <w:spacing w:before="185" w:line="174" w:lineRule="auto"/>
        <w:rPr>
          <w:rFonts w:ascii="微软雅黑" w:hAnsi="微软雅黑" w:eastAsia="微软雅黑" w:cs="微软雅黑"/>
          <w:sz w:val="43"/>
          <w:szCs w:val="43"/>
        </w:rPr>
      </w:pPr>
      <w:r>
        <w:rPr>
          <w:rFonts w:ascii="微软雅黑" w:hAnsi="微软雅黑" w:eastAsia="微软雅黑" w:cs="微软雅黑"/>
          <w:spacing w:val="14"/>
          <w:sz w:val="43"/>
          <w:szCs w:val="43"/>
        </w:rPr>
        <w:t xml:space="preserve">江</w:t>
      </w:r>
      <w:r>
        <w:rPr>
          <w:rFonts w:ascii="微软雅黑" w:hAnsi="微软雅黑" w:eastAsia="微软雅黑" w:cs="微软雅黑"/>
          <w:spacing w:val="9"/>
          <w:sz w:val="43"/>
          <w:szCs w:val="43"/>
        </w:rPr>
        <w:t xml:space="preserve">苏省市场监督管理局</w:t>
      </w:r>
      <w:r>
        <w:rPr>
          <w:rFonts w:ascii="微软雅黑" w:hAnsi="微软雅黑" w:eastAsia="微软雅黑" w:cs="微软雅黑"/>
          <w:sz w:val="43"/>
          <w:szCs w:val="43"/>
        </w:rPr>
      </w:r>
      <w:r/>
    </w:p>
    <w:p>
      <w:pPr>
        <w:pStyle w:val="749"/>
        <w:jc w:val="center"/>
        <w:spacing w:before="1" w:line="210" w:lineRule="auto"/>
        <w:rPr>
          <w:rFonts w:ascii="微软雅黑" w:hAnsi="微软雅黑" w:eastAsia="微软雅黑" w:cs="微软雅黑"/>
          <w:sz w:val="43"/>
          <w:szCs w:val="43"/>
        </w:rPr>
      </w:pPr>
      <w:r>
        <w:rPr>
          <w:rFonts w:ascii="微软雅黑" w:hAnsi="微软雅黑" w:eastAsia="微软雅黑" w:cs="微软雅黑"/>
          <w:spacing w:val="25"/>
          <w:sz w:val="43"/>
          <w:szCs w:val="43"/>
        </w:rPr>
        <w:t xml:space="preserve">食</w:t>
      </w:r>
      <w:r>
        <w:rPr>
          <w:rFonts w:ascii="微软雅黑" w:hAnsi="微软雅黑" w:eastAsia="微软雅黑" w:cs="微软雅黑"/>
          <w:spacing w:val="23"/>
          <w:sz w:val="43"/>
          <w:szCs w:val="43"/>
        </w:rPr>
        <w:t xml:space="preserve">品安全</w:t>
      </w:r>
      <w:r>
        <w:rPr>
          <w:rFonts w:hint="eastAsia" w:ascii="微软雅黑" w:hAnsi="微软雅黑" w:eastAsia="微软雅黑" w:cs="微软雅黑"/>
          <w:spacing w:val="23"/>
          <w:sz w:val="43"/>
          <w:szCs w:val="43"/>
        </w:rPr>
        <w:t xml:space="preserve">执法</w:t>
      </w:r>
      <w:r>
        <w:rPr>
          <w:rFonts w:ascii="微软雅黑" w:hAnsi="微软雅黑" w:eastAsia="微软雅黑" w:cs="微软雅黑"/>
          <w:spacing w:val="23"/>
          <w:sz w:val="43"/>
          <w:szCs w:val="43"/>
        </w:rPr>
        <w:t xml:space="preserve">抽检服务合同</w:t>
      </w:r>
      <w:r>
        <w:rPr>
          <w:rFonts w:ascii="微软雅黑" w:hAnsi="微软雅黑" w:eastAsia="微软雅黑" w:cs="微软雅黑"/>
          <w:sz w:val="43"/>
          <w:szCs w:val="43"/>
        </w:rPr>
      </w:r>
      <w:r/>
    </w:p>
    <w:p>
      <w:pPr>
        <w:pStyle w:val="749"/>
        <w:ind w:left="3726"/>
        <w:spacing w:before="185" w:line="183" w:lineRule="auto"/>
        <w:rPr>
          <w:rFonts w:hint="eastAsia" w:ascii="方正仿宋_GB2312" w:hAnsi="方正仿宋_GB2312" w:eastAsia="方正仿宋_GB2312" w:cs="方正仿宋_GB2312"/>
          <w:sz w:val="43"/>
          <w:szCs w:val="43"/>
        </w:rPr>
      </w:pPr>
      <w:r>
        <w:rPr>
          <w:rFonts w:hint="eastAsia" w:ascii="方正仿宋_GB2312" w:hAnsi="方正仿宋_GB2312" w:eastAsia="方正仿宋_GB2312" w:cs="方正仿宋_GB2312"/>
          <w:spacing w:val="7"/>
          <w:sz w:val="43"/>
          <w:szCs w:val="43"/>
        </w:rPr>
        <w:br w:type="page" w:clear="all"/>
        <w:t xml:space="preserve">合同说明</w:t>
      </w:r>
      <w:r>
        <w:rPr>
          <w:rFonts w:hint="eastAsia" w:ascii="方正仿宋_GB2312" w:hAnsi="方正仿宋_GB2312" w:eastAsia="方正仿宋_GB2312" w:cs="方正仿宋_GB2312"/>
          <w:sz w:val="43"/>
          <w:szCs w:val="43"/>
        </w:rPr>
      </w:r>
      <w:r/>
    </w:p>
    <w:p>
      <w:pPr>
        <w:pStyle w:val="749"/>
        <w:spacing w:line="322" w:lineRule="auto"/>
        <w:rPr>
          <w:rFonts w:hint="eastAsia" w:ascii="仿宋_GB2312" w:hAnsi="仿宋_GB2312" w:eastAsia="仿宋_GB2312" w:cs="仿宋_GB2312"/>
          <w:sz w:val="21"/>
        </w:rPr>
      </w:pPr>
      <w:r>
        <w:rPr>
          <w:rFonts w:hint="eastAsia" w:ascii="仿宋_GB2312" w:hAnsi="仿宋_GB2312" w:eastAsia="仿宋_GB2312" w:cs="仿宋_GB2312"/>
          <w:sz w:val="21"/>
        </w:rPr>
      </w:r>
      <w:r/>
    </w:p>
    <w:p>
      <w:pPr>
        <w:pStyle w:val="749"/>
        <w:ind w:left="2" w:firstLine="655"/>
        <w:spacing w:before="133" w:line="360" w:lineRule="auto"/>
        <w:rPr>
          <w:rFonts w:hint="eastAsia" w:ascii="仿宋_GB2312" w:hAnsi="仿宋_GB2312" w:eastAsia="仿宋_GB2312" w:cs="仿宋_GB2312"/>
          <w:sz w:val="31"/>
          <w:szCs w:val="31"/>
        </w:rPr>
      </w:pPr>
      <w:r>
        <w:rPr>
          <w:rFonts w:hint="eastAsia" w:ascii="仿宋_GB2312" w:hAnsi="仿宋_GB2312" w:eastAsia="仿宋_GB2312" w:cs="仿宋_GB2312"/>
          <w:spacing w:val="6"/>
          <w:sz w:val="31"/>
          <w:szCs w:val="31"/>
        </w:rPr>
        <w:t xml:space="preserve">1．本合同是根据《中华人民共和国民法典》和江苏省市场</w:t>
      </w:r>
      <w:r>
        <w:rPr>
          <w:rFonts w:hint="eastAsia" w:ascii="仿宋_GB2312" w:hAnsi="仿宋_GB2312" w:eastAsia="仿宋_GB2312" w:cs="仿宋_GB2312"/>
          <w:spacing w:val="4"/>
          <w:sz w:val="31"/>
          <w:szCs w:val="31"/>
        </w:rPr>
        <w:t xml:space="preserve">监</w:t>
      </w:r>
      <w:r>
        <w:rPr>
          <w:rFonts w:hint="eastAsia" w:ascii="仿宋_GB2312" w:hAnsi="仿宋_GB2312" w:eastAsia="仿宋_GB2312" w:cs="仿宋_GB2312"/>
          <w:spacing w:val="-22"/>
          <w:sz w:val="31"/>
          <w:szCs w:val="31"/>
        </w:rPr>
        <w:t xml:space="preserve">督</w:t>
      </w:r>
      <w:r>
        <w:rPr>
          <w:rFonts w:hint="eastAsia" w:ascii="仿宋_GB2312" w:hAnsi="仿宋_GB2312" w:eastAsia="仿宋_GB2312" w:cs="仿宋_GB2312"/>
          <w:spacing w:val="-20"/>
          <w:sz w:val="31"/>
          <w:szCs w:val="31"/>
        </w:rPr>
        <w:t xml:space="preserve">管</w:t>
      </w:r>
      <w:r>
        <w:rPr>
          <w:rFonts w:hint="eastAsia" w:ascii="仿宋_GB2312" w:hAnsi="仿宋_GB2312" w:eastAsia="仿宋_GB2312" w:cs="仿宋_GB2312"/>
          <w:spacing w:val="-11"/>
          <w:sz w:val="31"/>
          <w:szCs w:val="31"/>
        </w:rPr>
        <w:t xml:space="preserve">理局有关规定制定，旨在加强对项目的管理，保证项目实施。</w:t>
      </w:r>
      <w:r>
        <w:rPr>
          <w:rFonts w:hint="eastAsia" w:ascii="仿宋_GB2312" w:hAnsi="仿宋_GB2312" w:eastAsia="仿宋_GB2312" w:cs="仿宋_GB2312"/>
          <w:sz w:val="31"/>
          <w:szCs w:val="31"/>
        </w:rPr>
      </w:r>
      <w:r/>
    </w:p>
    <w:p>
      <w:pPr>
        <w:pStyle w:val="749"/>
        <w:ind w:left="6" w:right="6" w:firstLine="621"/>
        <w:spacing w:before="1" w:line="360" w:lineRule="auto"/>
        <w:rPr>
          <w:rFonts w:hint="eastAsia" w:ascii="仿宋_GB2312" w:hAnsi="仿宋_GB2312" w:eastAsia="仿宋_GB2312" w:cs="仿宋_GB2312"/>
          <w:spacing w:val="7"/>
          <w:sz w:val="31"/>
          <w:szCs w:val="31"/>
        </w:rPr>
      </w:pPr>
      <w:r>
        <w:rPr>
          <w:rFonts w:hint="eastAsia" w:ascii="仿宋_GB2312" w:hAnsi="仿宋_GB2312" w:eastAsia="仿宋_GB2312" w:cs="仿宋_GB2312"/>
          <w:spacing w:val="7"/>
          <w:sz w:val="31"/>
          <w:szCs w:val="31"/>
        </w:rPr>
        <w:t xml:space="preserve">2．</w:t>
      </w:r>
      <w:r>
        <w:rPr>
          <w:rFonts w:hint="eastAsia" w:ascii="仿宋_GB2312" w:hAnsi="仿宋_GB2312" w:eastAsia="仿宋_GB2312" w:cs="仿宋_GB2312"/>
          <w:spacing w:val="-7"/>
          <w:sz w:val="31"/>
          <w:szCs w:val="31"/>
        </w:rPr>
        <w:t xml:space="preserve">本合同由江苏省市场监督管理局(简称甲方)和项目受托方负责人(简称乙方)共同签订。</w:t>
      </w:r>
      <w:r>
        <w:rPr>
          <w:rFonts w:hint="eastAsia" w:ascii="仿宋_GB2312" w:hAnsi="仿宋_GB2312" w:eastAsia="仿宋_GB2312" w:cs="仿宋_GB2312"/>
          <w:spacing w:val="7"/>
          <w:sz w:val="31"/>
          <w:szCs w:val="31"/>
        </w:rPr>
      </w:r>
      <w:r/>
    </w:p>
    <w:p>
      <w:pPr>
        <w:pStyle w:val="749"/>
        <w:ind w:left="37" w:right="6" w:firstLine="596"/>
        <w:spacing w:before="3" w:line="360" w:lineRule="auto"/>
        <w:rPr>
          <w:rFonts w:hint="eastAsia" w:ascii="仿宋_GB2312" w:hAnsi="仿宋_GB2312" w:eastAsia="仿宋_GB2312" w:cs="仿宋_GB2312"/>
          <w:sz w:val="31"/>
          <w:szCs w:val="31"/>
        </w:rPr>
      </w:pPr>
      <w:r>
        <w:rPr>
          <w:rFonts w:hint="eastAsia" w:ascii="仿宋_GB2312" w:hAnsi="仿宋_GB2312" w:eastAsia="仿宋_GB2312" w:cs="仿宋_GB2312"/>
          <w:spacing w:val="-14"/>
          <w:sz w:val="31"/>
          <w:szCs w:val="31"/>
        </w:rPr>
        <w:t xml:space="preserve">3．</w:t>
      </w:r>
      <w:r>
        <w:rPr>
          <w:rFonts w:hint="eastAsia" w:ascii="仿宋_GB2312" w:hAnsi="仿宋_GB2312" w:eastAsia="仿宋_GB2312" w:cs="仿宋_GB2312"/>
          <w:spacing w:val="-13"/>
          <w:sz w:val="31"/>
          <w:szCs w:val="31"/>
        </w:rPr>
        <w:t xml:space="preserve">本</w:t>
      </w:r>
      <w:r>
        <w:rPr>
          <w:rFonts w:hint="eastAsia" w:ascii="仿宋_GB2312" w:hAnsi="仿宋_GB2312" w:eastAsia="仿宋_GB2312" w:cs="仿宋_GB2312"/>
          <w:spacing w:val="-7"/>
          <w:sz w:val="31"/>
          <w:szCs w:val="31"/>
        </w:rPr>
        <w:t xml:space="preserve">合同未尽事项，可由当事人附页另行约定，并作为本合</w:t>
      </w:r>
      <w:r>
        <w:rPr>
          <w:rFonts w:hint="eastAsia" w:ascii="仿宋_GB2312" w:hAnsi="仿宋_GB2312" w:eastAsia="仿宋_GB2312" w:cs="仿宋_GB2312"/>
          <w:spacing w:val="1"/>
          <w:sz w:val="31"/>
          <w:szCs w:val="31"/>
        </w:rPr>
        <w:t xml:space="preserve">同的</w:t>
      </w:r>
      <w:r>
        <w:rPr>
          <w:rFonts w:hint="eastAsia" w:ascii="仿宋_GB2312" w:hAnsi="仿宋_GB2312" w:eastAsia="仿宋_GB2312" w:cs="仿宋_GB2312"/>
          <w:sz w:val="31"/>
          <w:szCs w:val="31"/>
        </w:rPr>
        <w:t xml:space="preserve">组成部分。</w:t>
      </w:r>
      <w:r/>
    </w:p>
    <w:p>
      <w:pPr>
        <w:pStyle w:val="749"/>
        <w:ind w:left="2" w:right="6" w:firstLine="623"/>
        <w:spacing w:before="3" w:line="360" w:lineRule="auto"/>
        <w:rPr>
          <w:rFonts w:hint="eastAsia" w:ascii="仿宋_GB2312" w:hAnsi="仿宋_GB2312" w:eastAsia="仿宋_GB2312" w:cs="仿宋_GB2312"/>
          <w:sz w:val="31"/>
          <w:szCs w:val="31"/>
        </w:rPr>
      </w:pPr>
      <w:r>
        <w:rPr>
          <w:rFonts w:hint="eastAsia" w:ascii="仿宋_GB2312" w:hAnsi="仿宋_GB2312" w:eastAsia="仿宋_GB2312" w:cs="仿宋_GB2312"/>
          <w:spacing w:val="-4"/>
          <w:sz w:val="31"/>
          <w:szCs w:val="31"/>
        </w:rPr>
        <w:t xml:space="preserve">4．当事人使用本合</w:t>
      </w:r>
      <w:r>
        <w:rPr>
          <w:rFonts w:hint="eastAsia" w:ascii="仿宋_GB2312" w:hAnsi="仿宋_GB2312" w:eastAsia="仿宋_GB2312" w:cs="仿宋_GB2312"/>
          <w:spacing w:val="-3"/>
          <w:sz w:val="31"/>
          <w:szCs w:val="31"/>
        </w:rPr>
        <w:t xml:space="preserve">同</w:t>
      </w:r>
      <w:r>
        <w:rPr>
          <w:rFonts w:hint="eastAsia" w:ascii="仿宋_GB2312" w:hAnsi="仿宋_GB2312" w:eastAsia="仿宋_GB2312" w:cs="仿宋_GB2312"/>
          <w:spacing w:val="-2"/>
          <w:sz w:val="31"/>
          <w:szCs w:val="31"/>
        </w:rPr>
        <w:t xml:space="preserve">时约定无需填写的条款，应在该条款</w:t>
      </w:r>
      <w:r>
        <w:rPr>
          <w:rFonts w:hint="eastAsia" w:ascii="仿宋_GB2312" w:hAnsi="仿宋_GB2312" w:eastAsia="仿宋_GB2312" w:cs="仿宋_GB2312"/>
          <w:spacing w:val="-2"/>
          <w:sz w:val="31"/>
          <w:szCs w:val="31"/>
        </w:rPr>
        <w:t xml:space="preserve">处</w:t>
      </w:r>
      <w:r>
        <w:rPr>
          <w:rFonts w:hint="eastAsia" w:ascii="仿宋_GB2312" w:hAnsi="仿宋_GB2312" w:eastAsia="仿宋_GB2312" w:cs="仿宋_GB2312"/>
          <w:spacing w:val="10"/>
          <w:sz w:val="31"/>
          <w:szCs w:val="31"/>
        </w:rPr>
        <w:t xml:space="preserve">注</w:t>
      </w:r>
      <w:r>
        <w:rPr>
          <w:rFonts w:hint="eastAsia" w:ascii="仿宋_GB2312" w:hAnsi="仿宋_GB2312" w:eastAsia="仿宋_GB2312" w:cs="仿宋_GB2312"/>
          <w:spacing w:val="6"/>
          <w:sz w:val="31"/>
          <w:szCs w:val="31"/>
        </w:rPr>
        <w:t xml:space="preserve">明“无”等字样。</w:t>
      </w:r>
      <w:r>
        <w:rPr>
          <w:rFonts w:hint="eastAsia" w:ascii="仿宋_GB2312" w:hAnsi="仿宋_GB2312" w:eastAsia="仿宋_GB2312" w:cs="仿宋_GB2312"/>
          <w:sz w:val="31"/>
          <w:szCs w:val="31"/>
        </w:rPr>
      </w:r>
      <w:r/>
    </w:p>
    <w:p>
      <w:pPr>
        <w:pStyle w:val="749"/>
        <w:ind w:right="3" w:firstLine="636"/>
        <w:spacing w:before="4" w:line="360" w:lineRule="auto"/>
        <w:rPr>
          <w:rFonts w:hint="eastAsia" w:eastAsia="仿宋_GB2312"/>
          <w:spacing w:val="-2"/>
          <w:sz w:val="32"/>
          <w:szCs w:val="32"/>
        </w:rPr>
      </w:pPr>
      <w:r>
        <w:rPr>
          <w:rFonts w:hint="eastAsia" w:ascii="仿宋_GB2312" w:hAnsi="仿宋_GB2312" w:eastAsia="仿宋_GB2312" w:cs="仿宋_GB2312"/>
          <w:spacing w:val="-35"/>
          <w:sz w:val="31"/>
          <w:szCs w:val="31"/>
        </w:rPr>
        <w:t xml:space="preserve">5</w:t>
      </w:r>
      <w:r>
        <w:rPr>
          <w:rFonts w:hint="eastAsia" w:ascii="仿宋_GB2312" w:hAnsi="仿宋_GB2312" w:eastAsia="仿宋_GB2312" w:cs="仿宋_GB2312"/>
          <w:spacing w:val="-20"/>
          <w:sz w:val="31"/>
          <w:szCs w:val="31"/>
        </w:rPr>
        <w:t xml:space="preserve">．本合同一式叁份，具有同等法律效力，甲方贰份、乙方壹</w:t>
      </w:r>
      <w:r>
        <w:rPr>
          <w:rFonts w:hint="eastAsia" w:ascii="仿宋_GB2312" w:hAnsi="仿宋_GB2312" w:eastAsia="仿宋_GB2312" w:cs="仿宋_GB2312"/>
          <w:spacing w:val="-7"/>
          <w:sz w:val="31"/>
          <w:szCs w:val="31"/>
        </w:rPr>
        <w:t xml:space="preserve">份</w:t>
      </w:r>
      <w:r>
        <w:rPr>
          <w:rFonts w:hint="eastAsia" w:ascii="仿宋_GB2312" w:hAnsi="仿宋_GB2312" w:eastAsia="仿宋_GB2312" w:cs="仿宋_GB2312"/>
          <w:spacing w:val="-5"/>
          <w:sz w:val="31"/>
          <w:szCs w:val="31"/>
        </w:rPr>
        <w:t xml:space="preserve">。</w:t>
      </w:r>
      <w:r>
        <w:rPr>
          <w:rFonts w:eastAsia="仿宋_GB2312"/>
          <w:spacing w:val="-2"/>
          <w:sz w:val="32"/>
          <w:szCs w:val="32"/>
        </w:rPr>
        <w:br w:type="page" w:clear="all"/>
      </w:r>
      <w:r>
        <w:rPr>
          <w:rFonts w:hint="eastAsia" w:eastAsia="仿宋_GB2312"/>
          <w:spacing w:val="-2"/>
          <w:sz w:val="32"/>
          <w:szCs w:val="32"/>
        </w:rPr>
        <w:t xml:space="preserve">项目名称：</w:t>
      </w:r>
      <w:r>
        <w:rPr>
          <w:rFonts w:hint="eastAsia" w:eastAsia="仿宋_GB2312"/>
          <w:spacing w:val="-2"/>
          <w:sz w:val="32"/>
          <w:szCs w:val="32"/>
          <w:u w:val="single"/>
        </w:rPr>
        <w:t xml:space="preserve">               </w:t>
      </w:r>
      <w:r>
        <w:rPr>
          <w:rFonts w:hint="eastAsia" w:eastAsia="仿宋_GB2312"/>
          <w:spacing w:val="-2"/>
          <w:sz w:val="32"/>
          <w:szCs w:val="32"/>
        </w:rPr>
        <w:t xml:space="preserve">地区食品安全执法抽检</w:t>
      </w:r>
      <w:r/>
    </w:p>
    <w:p>
      <w:pPr>
        <w:pStyle w:val="749"/>
        <w:ind w:firstLine="632"/>
        <w:spacing w:line="360" w:lineRule="auto"/>
        <w:rPr>
          <w:rFonts w:hint="eastAsia" w:eastAsia="仿宋_GB2312"/>
          <w:spacing w:val="-2"/>
          <w:sz w:val="32"/>
          <w:szCs w:val="32"/>
        </w:rPr>
      </w:pPr>
      <w:r>
        <w:rPr>
          <w:rFonts w:hint="eastAsia" w:eastAsia="仿宋_GB2312"/>
          <w:spacing w:val="-2"/>
          <w:sz w:val="32"/>
          <w:szCs w:val="32"/>
        </w:rPr>
        <w:t xml:space="preserve">项目委托单位(甲方)：江苏省市场监督管理局</w:t>
      </w:r>
      <w:r/>
    </w:p>
    <w:p>
      <w:pPr>
        <w:pStyle w:val="749"/>
        <w:ind w:firstLine="632"/>
        <w:spacing w:line="360" w:lineRule="auto"/>
        <w:rPr>
          <w:rFonts w:hint="eastAsia" w:eastAsia="仿宋_GB2312"/>
          <w:spacing w:val="-2"/>
          <w:sz w:val="32"/>
          <w:szCs w:val="32"/>
        </w:rPr>
      </w:pPr>
      <w:r>
        <w:rPr>
          <w:rFonts w:hint="eastAsia" w:eastAsia="仿宋_GB2312"/>
          <w:spacing w:val="-2"/>
          <w:sz w:val="32"/>
          <w:szCs w:val="32"/>
        </w:rPr>
        <w:t xml:space="preserve">地址：南京市鼓楼区草场门大街107号</w:t>
      </w:r>
      <w:r/>
    </w:p>
    <w:p>
      <w:pPr>
        <w:pStyle w:val="749"/>
        <w:ind w:firstLine="632"/>
        <w:spacing w:line="360" w:lineRule="auto"/>
        <w:rPr>
          <w:rFonts w:hint="eastAsia" w:eastAsia="仿宋_GB2312"/>
          <w:spacing w:val="-2"/>
          <w:sz w:val="32"/>
          <w:szCs w:val="32"/>
        </w:rPr>
      </w:pPr>
      <w:r>
        <w:rPr>
          <w:rFonts w:hint="eastAsia" w:eastAsia="仿宋_GB2312"/>
          <w:spacing w:val="-2"/>
          <w:sz w:val="32"/>
          <w:szCs w:val="32"/>
        </w:rPr>
        <w:t xml:space="preserve">邮编：210036</w:t>
      </w:r>
      <w:r/>
    </w:p>
    <w:p>
      <w:pPr>
        <w:pStyle w:val="749"/>
        <w:ind w:firstLine="632"/>
        <w:spacing w:line="360" w:lineRule="auto"/>
        <w:rPr>
          <w:rFonts w:eastAsia="仿宋_GB2312"/>
          <w:spacing w:val="-2"/>
          <w:sz w:val="32"/>
          <w:szCs w:val="32"/>
        </w:rPr>
      </w:pPr>
      <w:r>
        <w:rPr>
          <w:rFonts w:hint="eastAsia" w:eastAsia="仿宋_GB2312"/>
          <w:spacing w:val="-2"/>
          <w:sz w:val="32"/>
          <w:szCs w:val="32"/>
        </w:rPr>
        <w:t xml:space="preserve">联系电话：025-83300201</w:t>
      </w:r>
      <w:r>
        <w:rPr>
          <w:rFonts w:eastAsia="仿宋_GB2312"/>
          <w:spacing w:val="-2"/>
          <w:sz w:val="32"/>
          <w:szCs w:val="32"/>
        </w:rPr>
      </w:r>
      <w:r/>
    </w:p>
    <w:p>
      <w:pPr>
        <w:pStyle w:val="749"/>
        <w:ind w:firstLine="640"/>
        <w:spacing w:line="360" w:lineRule="auto"/>
        <w:rPr>
          <w:rFonts w:eastAsia="仿宋_GB2312"/>
          <w:sz w:val="32"/>
          <w:szCs w:val="32"/>
        </w:rPr>
      </w:pPr>
      <w:r>
        <w:rPr>
          <w:rFonts w:eastAsia="仿宋_GB2312"/>
          <w:sz w:val="32"/>
          <w:szCs w:val="32"/>
        </w:rPr>
      </w:r>
      <w:r/>
    </w:p>
    <w:p>
      <w:pPr>
        <w:pStyle w:val="749"/>
        <w:ind w:firstLine="642"/>
        <w:spacing w:before="134" w:line="360" w:lineRule="auto"/>
        <w:rPr>
          <w:rFonts w:eastAsia="仿宋_GB2312"/>
          <w:sz w:val="32"/>
          <w:szCs w:val="31"/>
        </w:rPr>
      </w:pPr>
      <w:r>
        <w:rPr>
          <w:rFonts w:hint="eastAsia" w:eastAsia="仿宋_GB2312"/>
          <w:spacing w:val="-1"/>
          <w:sz w:val="32"/>
          <w:szCs w:val="31"/>
        </w:rPr>
        <w:t xml:space="preserve">项目承担单位(乙方)：</w:t>
      </w:r>
      <w:r>
        <w:rPr>
          <w:rFonts w:hint="eastAsia" w:eastAsia="仿宋_GB2312"/>
          <w:spacing w:val="-1"/>
          <w:sz w:val="32"/>
          <w:szCs w:val="31"/>
          <w:u w:val="single"/>
        </w:rPr>
        <w:t xml:space="preserve">                                           </w:t>
      </w:r>
      <w:r>
        <w:rPr>
          <w:rFonts w:eastAsia="仿宋_GB2312"/>
          <w:sz w:val="32"/>
          <w:szCs w:val="31"/>
        </w:rPr>
      </w:r>
      <w:r/>
    </w:p>
    <w:p>
      <w:pPr>
        <w:pStyle w:val="749"/>
        <w:ind w:firstLine="642"/>
        <w:spacing w:before="134" w:line="360" w:lineRule="auto"/>
        <w:rPr>
          <w:rFonts w:eastAsia="仿宋_GB2312"/>
          <w:sz w:val="32"/>
          <w:szCs w:val="31"/>
        </w:rPr>
      </w:pPr>
      <w:r>
        <w:rPr>
          <w:rFonts w:hint="eastAsia" w:eastAsia="仿宋_GB2312"/>
          <w:spacing w:val="-1"/>
          <w:sz w:val="32"/>
          <w:szCs w:val="31"/>
        </w:rPr>
        <w:t xml:space="preserve">地址：</w:t>
      </w:r>
      <w:r>
        <w:rPr>
          <w:rFonts w:hint="eastAsia" w:eastAsia="仿宋_GB2312"/>
          <w:spacing w:val="-2"/>
          <w:sz w:val="32"/>
          <w:szCs w:val="31"/>
          <w:u w:val="single"/>
        </w:rPr>
        <w:t xml:space="preserve">                                 </w:t>
      </w:r>
      <w:r>
        <w:rPr>
          <w:rFonts w:eastAsia="仿宋_GB2312"/>
          <w:sz w:val="32"/>
          <w:szCs w:val="31"/>
        </w:rPr>
      </w:r>
      <w:r/>
    </w:p>
    <w:p>
      <w:pPr>
        <w:pStyle w:val="749"/>
        <w:ind w:firstLine="638"/>
        <w:spacing w:before="134" w:line="360" w:lineRule="auto"/>
        <w:rPr>
          <w:rFonts w:eastAsia="仿宋_GB2312"/>
          <w:sz w:val="32"/>
          <w:szCs w:val="31"/>
        </w:rPr>
      </w:pPr>
      <w:r>
        <w:rPr>
          <w:rFonts w:hint="eastAsia" w:eastAsia="仿宋_GB2312"/>
          <w:spacing w:val="-2"/>
          <w:sz w:val="32"/>
          <w:szCs w:val="31"/>
        </w:rPr>
        <w:t xml:space="preserve">单位开户名：</w:t>
      </w:r>
      <w:r>
        <w:rPr>
          <w:rFonts w:hint="eastAsia" w:eastAsia="仿宋_GB2312"/>
          <w:spacing w:val="-2"/>
          <w:sz w:val="32"/>
          <w:szCs w:val="31"/>
          <w:u w:val="single"/>
        </w:rPr>
        <w:t xml:space="preserve">        </w:t>
      </w:r>
      <w:r>
        <w:rPr>
          <w:rFonts w:hint="eastAsia" w:eastAsia="仿宋_GB2312"/>
          <w:spacing w:val="-2"/>
          <w:sz w:val="32"/>
          <w:szCs w:val="31"/>
          <w:u w:val="single"/>
        </w:rPr>
        <w:t xml:space="preserve">                                          </w:t>
      </w:r>
      <w:r>
        <w:rPr>
          <w:rFonts w:eastAsia="仿宋_GB2312"/>
          <w:sz w:val="32"/>
          <w:szCs w:val="31"/>
        </w:rPr>
      </w:r>
      <w:r/>
    </w:p>
    <w:p>
      <w:pPr>
        <w:pStyle w:val="749"/>
        <w:ind w:firstLine="650"/>
        <w:spacing w:before="134" w:line="360" w:lineRule="auto"/>
        <w:rPr>
          <w:rFonts w:eastAsia="仿宋_GB2312"/>
          <w:sz w:val="32"/>
          <w:szCs w:val="31"/>
        </w:rPr>
      </w:pPr>
      <w:r>
        <w:rPr>
          <w:rFonts w:hint="eastAsia" w:eastAsia="仿宋_GB2312"/>
          <w:spacing w:val="1"/>
          <w:sz w:val="32"/>
          <w:szCs w:val="31"/>
        </w:rPr>
        <w:t xml:space="preserve">开户银行(全称)：</w:t>
      </w:r>
      <w:r>
        <w:rPr>
          <w:rFonts w:hint="eastAsia" w:eastAsia="仿宋_GB2312"/>
          <w:spacing w:val="1"/>
          <w:sz w:val="32"/>
          <w:szCs w:val="31"/>
          <w:u w:val="single"/>
        </w:rPr>
        <w:t xml:space="preserve">              </w:t>
      </w:r>
      <w:r>
        <w:rPr>
          <w:rFonts w:eastAsia="仿宋_GB2312"/>
          <w:sz w:val="32"/>
          <w:szCs w:val="31"/>
        </w:rPr>
      </w:r>
      <w:r/>
    </w:p>
    <w:p>
      <w:pPr>
        <w:pStyle w:val="749"/>
        <w:ind w:firstLine="638"/>
        <w:spacing w:before="134" w:line="360" w:lineRule="auto"/>
        <w:rPr>
          <w:rFonts w:eastAsia="仿宋_GB2312"/>
          <w:spacing w:val="-2"/>
          <w:sz w:val="32"/>
          <w:szCs w:val="31"/>
          <w:u w:val="single"/>
        </w:rPr>
      </w:pPr>
      <w:r>
        <w:rPr>
          <w:rFonts w:hint="eastAsia" w:eastAsia="仿宋_GB2312"/>
          <w:spacing w:val="-2"/>
          <w:sz w:val="32"/>
          <w:szCs w:val="31"/>
        </w:rPr>
        <w:t xml:space="preserve">银行账号：</w:t>
      </w:r>
      <w:r>
        <w:rPr>
          <w:rFonts w:hint="eastAsia" w:eastAsia="仿宋_GB2312"/>
          <w:spacing w:val="-2"/>
          <w:sz w:val="32"/>
          <w:szCs w:val="31"/>
          <w:u w:val="single"/>
        </w:rPr>
        <w:t xml:space="preserve">                                 </w:t>
      </w:r>
      <w:r>
        <w:rPr>
          <w:rFonts w:eastAsia="仿宋_GB2312"/>
          <w:spacing w:val="-2"/>
          <w:sz w:val="32"/>
          <w:szCs w:val="31"/>
          <w:u w:val="single"/>
        </w:rPr>
      </w:r>
      <w:r/>
    </w:p>
    <w:p>
      <w:pPr>
        <w:pStyle w:val="749"/>
        <w:ind w:firstLine="622"/>
        <w:spacing w:before="134" w:line="360" w:lineRule="auto"/>
        <w:rPr>
          <w:rFonts w:eastAsia="仿宋_GB2312"/>
          <w:sz w:val="32"/>
          <w:szCs w:val="31"/>
        </w:rPr>
      </w:pPr>
      <w:r>
        <w:rPr>
          <w:rFonts w:hint="eastAsia" w:eastAsia="仿宋_GB2312"/>
          <w:spacing w:val="-6"/>
          <w:sz w:val="32"/>
          <w:szCs w:val="31"/>
        </w:rPr>
        <w:t xml:space="preserve">乙方负</w:t>
      </w:r>
      <w:r>
        <w:rPr>
          <w:rFonts w:hint="eastAsia" w:eastAsia="仿宋_GB2312"/>
          <w:spacing w:val="-5"/>
          <w:sz w:val="32"/>
          <w:szCs w:val="31"/>
        </w:rPr>
        <w:t xml:space="preserve">责</w:t>
      </w:r>
      <w:r>
        <w:rPr>
          <w:rFonts w:hint="eastAsia" w:eastAsia="仿宋_GB2312"/>
          <w:spacing w:val="-3"/>
          <w:sz w:val="32"/>
          <w:szCs w:val="31"/>
        </w:rPr>
        <w:t xml:space="preserve">人：</w:t>
      </w:r>
      <w:r>
        <w:rPr>
          <w:rFonts w:hint="eastAsia" w:eastAsia="仿宋_GB2312"/>
          <w:spacing w:val="-3"/>
          <w:sz w:val="32"/>
          <w:szCs w:val="31"/>
          <w:u w:val="single"/>
        </w:rPr>
        <w:t xml:space="preserve">               </w:t>
      </w:r>
      <w:r>
        <w:rPr>
          <w:rFonts w:hint="eastAsia" w:eastAsia="仿宋_GB2312"/>
          <w:spacing w:val="-3"/>
          <w:sz w:val="32"/>
          <w:szCs w:val="31"/>
        </w:rPr>
        <w:t xml:space="preserve">身份证号：</w:t>
      </w:r>
      <w:r>
        <w:rPr>
          <w:rFonts w:hint="eastAsia" w:eastAsia="仿宋_GB2312"/>
          <w:spacing w:val="-3"/>
          <w:sz w:val="32"/>
          <w:szCs w:val="31"/>
          <w:u w:val="single"/>
        </w:rPr>
        <w:t xml:space="preserve">      </w:t>
      </w:r>
      <w:r>
        <w:rPr>
          <w:rFonts w:eastAsia="仿宋_GB2312"/>
          <w:sz w:val="32"/>
          <w:szCs w:val="31"/>
        </w:rPr>
      </w:r>
      <w:r/>
    </w:p>
    <w:p>
      <w:pPr>
        <w:pStyle w:val="749"/>
        <w:ind w:firstLine="622"/>
        <w:spacing w:before="134" w:line="360" w:lineRule="auto"/>
        <w:rPr>
          <w:rFonts w:eastAsia="仿宋_GB2312"/>
          <w:spacing w:val="-3"/>
          <w:sz w:val="32"/>
          <w:szCs w:val="31"/>
          <w:u w:val="single"/>
        </w:rPr>
      </w:pPr>
      <w:r>
        <w:rPr>
          <w:rFonts w:hint="eastAsia" w:eastAsia="仿宋_GB2312"/>
          <w:spacing w:val="-6"/>
          <w:sz w:val="32"/>
          <w:szCs w:val="31"/>
        </w:rPr>
        <w:t xml:space="preserve">固定电话：</w:t>
      </w:r>
      <w:r>
        <w:rPr>
          <w:rFonts w:hint="eastAsia" w:eastAsia="仿宋_GB2312"/>
          <w:spacing w:val="-6"/>
          <w:sz w:val="32"/>
          <w:szCs w:val="31"/>
          <w:u w:val="single"/>
        </w:rPr>
        <w:t xml:space="preserve">                  </w:t>
      </w:r>
      <w:r>
        <w:rPr>
          <w:rFonts w:hint="eastAsia" w:eastAsia="仿宋_GB2312"/>
          <w:spacing w:val="-3"/>
          <w:sz w:val="32"/>
          <w:szCs w:val="31"/>
        </w:rPr>
        <w:t xml:space="preserve">移动电话</w:t>
      </w:r>
      <w:r>
        <w:rPr>
          <w:rFonts w:hint="eastAsia" w:eastAsia="仿宋_GB2312"/>
          <w:spacing w:val="-3"/>
          <w:sz w:val="32"/>
          <w:szCs w:val="31"/>
          <w:u w:val="single"/>
        </w:rPr>
        <w:t xml:space="preserve">：             </w:t>
      </w:r>
      <w:r>
        <w:rPr>
          <w:rFonts w:eastAsia="仿宋_GB2312"/>
          <w:spacing w:val="-3"/>
          <w:sz w:val="32"/>
          <w:szCs w:val="31"/>
          <w:u w:val="single"/>
        </w:rPr>
      </w:r>
      <w:r/>
    </w:p>
    <w:p>
      <w:pPr>
        <w:pStyle w:val="749"/>
        <w:ind w:left="752" w:hanging="308"/>
        <w:spacing w:before="134" w:line="360" w:lineRule="auto"/>
        <w:rPr>
          <w:rFonts w:eastAsia="仿宋_GB2312"/>
          <w:spacing w:val="-6"/>
          <w:sz w:val="32"/>
          <w:szCs w:val="31"/>
          <w:u w:val="single"/>
        </w:rPr>
      </w:pPr>
      <w:r>
        <w:rPr>
          <w:rFonts w:hint="eastAsia" w:eastAsia="仿宋_GB2312"/>
          <w:spacing w:val="-6"/>
          <w:sz w:val="32"/>
          <w:szCs w:val="31"/>
        </w:rPr>
        <w:t xml:space="preserve">传真：</w:t>
      </w:r>
      <w:r>
        <w:rPr>
          <w:rFonts w:hint="eastAsia" w:eastAsia="仿宋_GB2312"/>
          <w:spacing w:val="-6"/>
          <w:sz w:val="32"/>
          <w:szCs w:val="31"/>
          <w:u w:val="single"/>
        </w:rPr>
        <w:t xml:space="preserve">                                                </w:t>
      </w:r>
      <w:r>
        <w:rPr>
          <w:rFonts w:eastAsia="仿宋_GB2312"/>
          <w:spacing w:val="-6"/>
          <w:sz w:val="32"/>
          <w:szCs w:val="31"/>
          <w:u w:val="single"/>
        </w:rPr>
      </w:r>
      <w:r/>
    </w:p>
    <w:p>
      <w:pPr>
        <w:pStyle w:val="749"/>
        <w:ind w:left="776" w:hanging="332"/>
        <w:spacing w:before="134" w:line="360" w:lineRule="auto"/>
        <w:rPr>
          <w:rFonts w:eastAsia="仿宋_GB2312"/>
          <w:spacing w:val="6"/>
          <w:sz w:val="32"/>
          <w:szCs w:val="32"/>
        </w:rPr>
      </w:pPr>
      <w:r>
        <w:rPr>
          <w:rFonts w:eastAsia="仿宋_GB2312"/>
          <w:spacing w:val="6"/>
          <w:sz w:val="32"/>
          <w:szCs w:val="32"/>
        </w:rPr>
      </w:r>
      <w:r/>
    </w:p>
    <w:p>
      <w:pPr>
        <w:pStyle w:val="749"/>
        <w:ind w:left="253" w:firstLine="664"/>
        <w:spacing w:before="134" w:line="360" w:lineRule="auto"/>
        <w:rPr>
          <w:rFonts w:hint="eastAsia" w:eastAsia="仿宋_GB2312"/>
          <w:sz w:val="32"/>
          <w:szCs w:val="32"/>
        </w:rPr>
      </w:pPr>
      <w:r>
        <w:rPr>
          <w:rFonts w:hint="eastAsia" w:eastAsia="仿宋_GB2312"/>
          <w:spacing w:val="6"/>
          <w:sz w:val="32"/>
          <w:szCs w:val="32"/>
        </w:rPr>
        <w:t xml:space="preserve">双方经过</w:t>
      </w:r>
      <w:r>
        <w:rPr>
          <w:rFonts w:hint="eastAsia" w:eastAsia="仿宋_GB2312"/>
          <w:spacing w:val="5"/>
          <w:sz w:val="32"/>
          <w:szCs w:val="32"/>
        </w:rPr>
        <w:t xml:space="preserve">平</w:t>
      </w:r>
      <w:r>
        <w:rPr>
          <w:rFonts w:hint="eastAsia" w:eastAsia="仿宋_GB2312"/>
          <w:spacing w:val="3"/>
          <w:sz w:val="32"/>
          <w:szCs w:val="32"/>
        </w:rPr>
        <w:t xml:space="preserve">等协商，在真实、充分地表达各自意愿的基础上，</w:t>
      </w:r>
      <w:r>
        <w:rPr>
          <w:rFonts w:hint="eastAsia" w:eastAsia="仿宋_GB2312"/>
          <w:spacing w:val="-3"/>
          <w:sz w:val="32"/>
          <w:szCs w:val="32"/>
        </w:rPr>
        <w:t xml:space="preserve">根</w:t>
      </w:r>
      <w:r>
        <w:rPr>
          <w:rFonts w:hint="eastAsia" w:eastAsia="仿宋_GB2312"/>
          <w:spacing w:val="-2"/>
          <w:sz w:val="32"/>
          <w:szCs w:val="32"/>
        </w:rPr>
        <w:t xml:space="preserve">据《中华人民共和国民法典》合同编的规定，签订本合同，</w:t>
      </w:r>
      <w:r>
        <w:rPr>
          <w:rFonts w:hint="eastAsia" w:eastAsia="仿宋_GB2312"/>
          <w:spacing w:val="11"/>
          <w:sz w:val="32"/>
          <w:szCs w:val="32"/>
        </w:rPr>
        <w:t xml:space="preserve">并</w:t>
      </w:r>
      <w:r>
        <w:rPr>
          <w:rFonts w:hint="eastAsia" w:eastAsia="仿宋_GB2312"/>
          <w:spacing w:val="6"/>
          <w:sz w:val="32"/>
          <w:szCs w:val="32"/>
        </w:rPr>
        <w:t xml:space="preserve">由双方共同恪守：</w:t>
      </w:r>
      <w:r>
        <w:rPr>
          <w:rFonts w:hint="eastAsia" w:eastAsia="仿宋_GB2312"/>
          <w:sz w:val="32"/>
          <w:szCs w:val="32"/>
        </w:rPr>
      </w:r>
      <w:r/>
    </w:p>
    <w:p>
      <w:pPr>
        <w:pStyle w:val="749"/>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一、服务内容</w:t>
      </w:r>
      <w:r/>
    </w:p>
    <w:p>
      <w:pPr>
        <w:pStyle w:val="749"/>
        <w:ind w:firstLine="672"/>
        <w:spacing w:line="360" w:lineRule="auto"/>
        <w:tabs>
          <w:tab w:val="left" w:pos="785" w:leader="none"/>
        </w:tabs>
        <w:rPr>
          <w:rFonts w:hint="eastAsia" w:eastAsia="仿宋_GB2312"/>
          <w:sz w:val="32"/>
          <w:szCs w:val="32"/>
        </w:rPr>
      </w:pPr>
      <w:r>
        <w:rPr>
          <w:rFonts w:hint="eastAsia" w:eastAsia="仿宋_GB2312"/>
          <w:spacing w:val="8"/>
          <w:sz w:val="32"/>
          <w:szCs w:val="32"/>
        </w:rPr>
        <w:t xml:space="preserve">（一）抽检地区、类型及批次</w:t>
      </w:r>
      <w:r>
        <w:rPr>
          <w:rFonts w:hint="eastAsia" w:eastAsia="仿宋_GB2312"/>
          <w:spacing w:val="5"/>
          <w:sz w:val="32"/>
          <w:szCs w:val="32"/>
        </w:rPr>
        <w:t xml:space="preserve">：</w:t>
      </w:r>
      <w:r>
        <w:rPr>
          <w:rFonts w:hint="eastAsia" w:eastAsia="仿宋_GB2312"/>
          <w:sz w:val="32"/>
          <w:szCs w:val="32"/>
        </w:rPr>
      </w:r>
      <w:r/>
    </w:p>
    <w:p>
      <w:pPr>
        <w:pStyle w:val="749"/>
        <w:ind w:firstLine="640"/>
        <w:spacing w:line="360" w:lineRule="auto"/>
        <w:tabs>
          <w:tab w:val="left" w:pos="785" w:leader="none"/>
        </w:tabs>
        <w:rPr>
          <w:rFonts w:eastAsia="仿宋_GB2312"/>
          <w:sz w:val="32"/>
          <w:szCs w:val="32"/>
        </w:rPr>
      </w:pPr>
      <w:r>
        <w:rPr>
          <w:rFonts w:hint="eastAsia" w:eastAsia="仿宋_GB2312"/>
          <w:sz w:val="32"/>
          <w:szCs w:val="32"/>
        </w:rPr>
        <w:t xml:space="preserve">（二）抽检对象：根据江苏省市场监督管理局2026年食品安全执法抽检任务安排及相关要求确定。</w:t>
      </w:r>
      <w:r>
        <w:rPr>
          <w:rFonts w:eastAsia="仿宋_GB2312"/>
          <w:sz w:val="32"/>
          <w:szCs w:val="32"/>
        </w:rPr>
      </w:r>
      <w:r/>
    </w:p>
    <w:p>
      <w:pPr>
        <w:pStyle w:val="749"/>
        <w:ind w:firstLine="640"/>
        <w:jc w:val="both"/>
        <w:spacing w:line="360" w:lineRule="auto"/>
        <w:tabs>
          <w:tab w:val="left" w:pos="785" w:leader="none"/>
        </w:tabs>
        <w:rPr>
          <w:rFonts w:eastAsia="仿宋_GB2312"/>
          <w:sz w:val="32"/>
          <w:szCs w:val="32"/>
        </w:rPr>
      </w:pPr>
      <w:r>
        <w:rPr>
          <w:rFonts w:hint="eastAsia" w:eastAsia="仿宋_GB2312"/>
          <w:sz w:val="32"/>
          <w:szCs w:val="32"/>
        </w:rPr>
        <w:t xml:space="preserve">（三）抽检任务：                 </w:t>
      </w:r>
      <w:r>
        <w:rPr>
          <w:rFonts w:eastAsia="仿宋_GB2312"/>
          <w:sz w:val="32"/>
          <w:szCs w:val="32"/>
        </w:rPr>
      </w:r>
      <w:r/>
    </w:p>
    <w:p>
      <w:pPr>
        <w:pStyle w:val="749"/>
        <w:ind w:firstLine="640"/>
        <w:jc w:val="both"/>
        <w:spacing w:line="360" w:lineRule="auto"/>
        <w:tabs>
          <w:tab w:val="left" w:pos="785" w:leader="none"/>
        </w:tabs>
        <w:rPr>
          <w:rFonts w:hint="eastAsia" w:eastAsia="仿宋_GB2312"/>
          <w:sz w:val="32"/>
          <w:szCs w:val="32"/>
        </w:rPr>
      </w:pPr>
      <w:r>
        <w:rPr>
          <w:rFonts w:hint="eastAsia" w:eastAsia="仿宋_GB2312"/>
          <w:sz w:val="32"/>
          <w:szCs w:val="32"/>
        </w:rPr>
        <w:t xml:space="preserve">（四）抽检要求：乙方根据甲方相关要求完成抽检样品的抽样、运输、储存以及检验工作，按时上报检验数据，并对抽检质量负责。</w:t>
      </w:r>
      <w:r/>
    </w:p>
    <w:p>
      <w:pPr>
        <w:pStyle w:val="749"/>
        <w:ind w:firstLine="640"/>
        <w:jc w:val="both"/>
        <w:spacing w:line="360" w:lineRule="auto"/>
        <w:tabs>
          <w:tab w:val="left" w:pos="785" w:leader="none"/>
        </w:tabs>
        <w:rPr>
          <w:rFonts w:hint="eastAsia" w:eastAsia="仿宋_GB2312"/>
          <w:sz w:val="32"/>
          <w:szCs w:val="32"/>
        </w:rPr>
      </w:pPr>
      <w:r>
        <w:rPr>
          <w:rFonts w:hint="eastAsia" w:eastAsia="仿宋_GB2312"/>
          <w:sz w:val="32"/>
          <w:szCs w:val="32"/>
        </w:rPr>
        <w:t xml:space="preserve">（五）</w:t>
      </w:r>
      <w:r>
        <w:rPr>
          <w:rFonts w:hint="eastAsia" w:eastAsia="仿宋_GB2312"/>
          <w:spacing w:val="1"/>
          <w:sz w:val="32"/>
          <w:szCs w:val="32"/>
        </w:rPr>
        <w:t xml:space="preserve">检验报告：乙方严格按照法律法规规定及甲方相关要求</w:t>
      </w:r>
      <w:r>
        <w:rPr>
          <w:rFonts w:hint="eastAsia" w:eastAsia="仿宋_GB2312"/>
          <w:spacing w:val="-12"/>
          <w:sz w:val="32"/>
          <w:szCs w:val="32"/>
        </w:rPr>
        <w:t xml:space="preserve">进</w:t>
      </w:r>
      <w:r>
        <w:rPr>
          <w:rFonts w:hint="eastAsia" w:eastAsia="仿宋_GB2312"/>
          <w:spacing w:val="-11"/>
          <w:sz w:val="32"/>
          <w:szCs w:val="32"/>
        </w:rPr>
        <w:t xml:space="preserve">行</w:t>
      </w:r>
      <w:r>
        <w:rPr>
          <w:rFonts w:hint="eastAsia" w:eastAsia="仿宋_GB2312"/>
          <w:spacing w:val="-6"/>
          <w:sz w:val="32"/>
          <w:szCs w:val="32"/>
        </w:rPr>
        <w:t xml:space="preserve">检验，并对出具的检验报告负责。</w:t>
      </w:r>
      <w:r>
        <w:rPr>
          <w:rFonts w:hint="eastAsia" w:eastAsia="仿宋_GB2312"/>
          <w:sz w:val="32"/>
          <w:szCs w:val="32"/>
        </w:rPr>
      </w:r>
      <w:r/>
    </w:p>
    <w:p>
      <w:pPr>
        <w:pStyle w:val="749"/>
        <w:ind w:firstLine="640"/>
        <w:jc w:val="both"/>
        <w:spacing w:line="360" w:lineRule="auto"/>
        <w:tabs>
          <w:tab w:val="left" w:pos="785" w:leader="none"/>
        </w:tabs>
        <w:rPr>
          <w:rFonts w:hint="eastAsia" w:eastAsia="仿宋_GB2312"/>
          <w:sz w:val="32"/>
          <w:szCs w:val="32"/>
        </w:rPr>
      </w:pPr>
      <w:r>
        <w:rPr>
          <w:rFonts w:hint="eastAsia" w:eastAsia="仿宋_GB2312"/>
          <w:sz w:val="32"/>
          <w:szCs w:val="32"/>
        </w:rPr>
        <w:t xml:space="preserve">（六）</w:t>
      </w:r>
      <w:r>
        <w:rPr>
          <w:rFonts w:hint="eastAsia" w:eastAsia="仿宋_GB2312"/>
          <w:spacing w:val="1"/>
          <w:sz w:val="32"/>
          <w:szCs w:val="32"/>
        </w:rPr>
        <w:t xml:space="preserve">抽检及结果报送时限要求：乙方按照法律法规规定及甲</w:t>
      </w:r>
      <w:r>
        <w:rPr>
          <w:rFonts w:hint="eastAsia" w:eastAsia="仿宋_GB2312"/>
          <w:spacing w:val="9"/>
          <w:sz w:val="32"/>
          <w:szCs w:val="32"/>
        </w:rPr>
        <w:t xml:space="preserve">方</w:t>
      </w:r>
      <w:r>
        <w:rPr>
          <w:rFonts w:hint="eastAsia" w:eastAsia="仿宋_GB2312"/>
          <w:spacing w:val="6"/>
          <w:sz w:val="32"/>
          <w:szCs w:val="32"/>
        </w:rPr>
        <w:t xml:space="preserve">相关要求进行报送。</w:t>
      </w:r>
      <w:r>
        <w:rPr>
          <w:rFonts w:hint="eastAsia" w:eastAsia="仿宋_GB2312"/>
          <w:sz w:val="32"/>
          <w:szCs w:val="32"/>
        </w:rPr>
      </w:r>
      <w:r/>
    </w:p>
    <w:p>
      <w:pPr>
        <w:pStyle w:val="749"/>
        <w:ind w:firstLine="640"/>
        <w:jc w:val="both"/>
        <w:spacing w:line="360" w:lineRule="auto"/>
        <w:tabs>
          <w:tab w:val="left" w:pos="785" w:leader="none"/>
        </w:tabs>
        <w:rPr>
          <w:rFonts w:hint="eastAsia" w:eastAsia="仿宋_GB2312"/>
          <w:sz w:val="32"/>
          <w:szCs w:val="32"/>
        </w:rPr>
      </w:pPr>
      <w:r>
        <w:rPr>
          <w:rFonts w:hint="eastAsia" w:eastAsia="仿宋_GB2312"/>
          <w:sz w:val="32"/>
          <w:szCs w:val="32"/>
        </w:rPr>
        <w:t xml:space="preserve">（七）</w:t>
      </w:r>
      <w:r>
        <w:rPr>
          <w:rFonts w:hint="eastAsia" w:eastAsia="仿宋_GB2312"/>
          <w:spacing w:val="-4"/>
          <w:sz w:val="32"/>
          <w:szCs w:val="32"/>
        </w:rPr>
        <w:t xml:space="preserve">项目验收：甲方对乙方抽检工作完成进度</w:t>
      </w:r>
      <w:r>
        <w:rPr>
          <w:rFonts w:hint="eastAsia" w:eastAsia="仿宋_GB2312"/>
          <w:spacing w:val="-4"/>
          <w:sz w:val="32"/>
          <w:szCs w:val="32"/>
        </w:rPr>
        <w:t xml:space="preserve">和完成质量、</w:t>
      </w:r>
      <w:r>
        <w:rPr>
          <w:rFonts w:hint="eastAsia" w:eastAsia="仿宋_GB2312"/>
          <w:spacing w:val="16"/>
          <w:sz w:val="32"/>
          <w:szCs w:val="32"/>
        </w:rPr>
        <w:t xml:space="preserve">检</w:t>
      </w:r>
      <w:r>
        <w:rPr>
          <w:rFonts w:hint="eastAsia" w:eastAsia="仿宋_GB2312"/>
          <w:spacing w:val="11"/>
          <w:sz w:val="32"/>
          <w:szCs w:val="32"/>
        </w:rPr>
        <w:t xml:space="preserve">验</w:t>
      </w:r>
      <w:r>
        <w:rPr>
          <w:rFonts w:hint="eastAsia" w:eastAsia="仿宋_GB2312"/>
          <w:spacing w:val="8"/>
          <w:sz w:val="32"/>
          <w:szCs w:val="32"/>
        </w:rPr>
        <w:t xml:space="preserve">结果和检验报告的规范性进行审查验收。</w:t>
      </w:r>
      <w:r>
        <w:rPr>
          <w:rFonts w:hint="eastAsia" w:eastAsia="仿宋_GB2312"/>
          <w:sz w:val="32"/>
          <w:szCs w:val="32"/>
        </w:rPr>
      </w:r>
      <w:r/>
    </w:p>
    <w:p>
      <w:pPr>
        <w:pStyle w:val="749"/>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二、甲方的权利和义务</w:t>
      </w:r>
      <w:r/>
    </w:p>
    <w:p>
      <w:pPr>
        <w:pStyle w:val="749"/>
        <w:ind w:firstLine="640"/>
        <w:jc w:val="both"/>
        <w:spacing w:line="360" w:lineRule="auto"/>
        <w:tabs>
          <w:tab w:val="left" w:pos="785" w:leader="none"/>
        </w:tabs>
        <w:rPr>
          <w:rFonts w:hint="eastAsia" w:eastAsia="仿宋_GB2312"/>
          <w:sz w:val="32"/>
          <w:szCs w:val="32"/>
        </w:rPr>
      </w:pPr>
      <w:r>
        <w:rPr>
          <w:rFonts w:hint="eastAsia" w:eastAsia="仿宋_GB2312"/>
          <w:sz w:val="32"/>
          <w:szCs w:val="32"/>
        </w:rPr>
        <w:t xml:space="preserve">（一）</w:t>
      </w:r>
      <w:r>
        <w:rPr>
          <w:rFonts w:hint="eastAsia" w:eastAsia="仿宋_GB2312"/>
          <w:spacing w:val="4"/>
          <w:sz w:val="32"/>
          <w:szCs w:val="32"/>
        </w:rPr>
        <w:t xml:space="preserve">负责工作任务的下达和资金的及时拨付</w:t>
      </w:r>
      <w:r>
        <w:rPr>
          <w:rFonts w:hint="eastAsia" w:eastAsia="仿宋_GB2312"/>
          <w:spacing w:val="2"/>
          <w:sz w:val="32"/>
          <w:szCs w:val="32"/>
        </w:rPr>
        <w:t xml:space="preserve">。</w:t>
      </w:r>
      <w:r>
        <w:rPr>
          <w:rFonts w:hint="eastAsia" w:eastAsia="仿宋_GB2312"/>
          <w:sz w:val="32"/>
          <w:szCs w:val="32"/>
        </w:rPr>
      </w:r>
      <w:r/>
    </w:p>
    <w:p>
      <w:pPr>
        <w:pStyle w:val="749"/>
        <w:ind w:firstLine="640"/>
        <w:jc w:val="both"/>
        <w:spacing w:line="360" w:lineRule="auto"/>
        <w:tabs>
          <w:tab w:val="left" w:pos="785" w:leader="none"/>
        </w:tabs>
        <w:rPr>
          <w:rFonts w:eastAsia="仿宋_GB2312"/>
          <w:sz w:val="32"/>
          <w:szCs w:val="32"/>
        </w:rPr>
      </w:pPr>
      <w:r>
        <w:rPr>
          <w:rFonts w:hint="eastAsia" w:eastAsia="仿宋_GB2312"/>
          <w:sz w:val="32"/>
          <w:szCs w:val="32"/>
        </w:rPr>
        <w:t xml:space="preserve">（二）提供食品安全执法抽检工作中涉及的非标准检验方法。</w:t>
      </w:r>
      <w:r>
        <w:rPr>
          <w:rFonts w:eastAsia="仿宋_GB2312"/>
          <w:sz w:val="32"/>
          <w:szCs w:val="32"/>
        </w:rPr>
      </w:r>
      <w:r/>
    </w:p>
    <w:p>
      <w:pPr>
        <w:pStyle w:val="749"/>
        <w:ind w:firstLine="640"/>
        <w:jc w:val="both"/>
        <w:spacing w:line="360" w:lineRule="auto"/>
        <w:tabs>
          <w:tab w:val="left" w:pos="785" w:leader="none"/>
        </w:tabs>
        <w:rPr>
          <w:rFonts w:hint="eastAsia" w:eastAsia="仿宋_GB2312"/>
          <w:sz w:val="32"/>
          <w:szCs w:val="32"/>
        </w:rPr>
      </w:pPr>
      <w:r>
        <w:rPr>
          <w:rFonts w:hint="eastAsia" w:eastAsia="仿宋_GB2312"/>
          <w:sz w:val="32"/>
          <w:szCs w:val="32"/>
        </w:rPr>
        <w:t xml:space="preserve">（三）</w:t>
      </w:r>
      <w:r>
        <w:rPr>
          <w:rFonts w:hint="eastAsia" w:eastAsia="仿宋_GB2312"/>
          <w:spacing w:val="7"/>
          <w:sz w:val="32"/>
          <w:szCs w:val="32"/>
        </w:rPr>
        <w:t xml:space="preserve">提供抽检工作所需相关文书。</w:t>
      </w:r>
      <w:r>
        <w:rPr>
          <w:rFonts w:hint="eastAsia" w:eastAsia="仿宋_GB2312"/>
          <w:sz w:val="32"/>
          <w:szCs w:val="32"/>
        </w:rPr>
      </w:r>
      <w:r/>
    </w:p>
    <w:p>
      <w:pPr>
        <w:pStyle w:val="749"/>
        <w:ind w:firstLine="696"/>
        <w:jc w:val="both"/>
        <w:spacing w:line="360" w:lineRule="auto"/>
        <w:tabs>
          <w:tab w:val="left" w:pos="785" w:leader="none"/>
        </w:tabs>
        <w:rPr>
          <w:rFonts w:hint="eastAsia" w:eastAsia="仿宋_GB2312"/>
          <w:sz w:val="32"/>
          <w:szCs w:val="32"/>
        </w:rPr>
      </w:pPr>
      <w:r>
        <w:rPr>
          <w:rFonts w:hint="eastAsia" w:eastAsia="仿宋_GB2312"/>
          <w:spacing w:val="14"/>
          <w:sz w:val="32"/>
          <w:szCs w:val="32"/>
        </w:rPr>
        <w:t xml:space="preserve">（四）</w:t>
      </w:r>
      <w:r>
        <w:rPr>
          <w:rFonts w:hint="eastAsia" w:eastAsia="仿宋_GB2312"/>
          <w:spacing w:val="4"/>
          <w:sz w:val="32"/>
          <w:szCs w:val="32"/>
        </w:rPr>
        <w:t xml:space="preserve">对乙方完成任务情况及抽检工作质量进行检查考核，并</w:t>
      </w:r>
      <w:r>
        <w:rPr>
          <w:rFonts w:hint="eastAsia" w:eastAsia="仿宋_GB2312"/>
          <w:spacing w:val="14"/>
          <w:sz w:val="32"/>
          <w:szCs w:val="32"/>
        </w:rPr>
        <w:t xml:space="preserve">依</w:t>
      </w:r>
      <w:r>
        <w:rPr>
          <w:rFonts w:hint="eastAsia" w:eastAsia="仿宋_GB2312"/>
          <w:spacing w:val="9"/>
          <w:sz w:val="32"/>
          <w:szCs w:val="32"/>
        </w:rPr>
        <w:t xml:space="preserve">规</w:t>
      </w:r>
      <w:r>
        <w:rPr>
          <w:rFonts w:hint="eastAsia" w:eastAsia="仿宋_GB2312"/>
          <w:spacing w:val="7"/>
          <w:sz w:val="32"/>
          <w:szCs w:val="32"/>
        </w:rPr>
        <w:t xml:space="preserve">定采取相应的处理措施。</w:t>
      </w:r>
      <w:r>
        <w:rPr>
          <w:rFonts w:hint="eastAsia" w:eastAsia="仿宋_GB2312"/>
          <w:sz w:val="32"/>
          <w:szCs w:val="32"/>
        </w:rPr>
      </w:r>
      <w:r/>
    </w:p>
    <w:p>
      <w:pPr>
        <w:pStyle w:val="749"/>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三、乙方的权利和义务</w:t>
      </w:r>
      <w:r/>
    </w:p>
    <w:p>
      <w:pPr>
        <w:pStyle w:val="749"/>
        <w:ind w:firstLine="640"/>
        <w:jc w:val="both"/>
        <w:spacing w:line="360" w:lineRule="auto"/>
        <w:rPr>
          <w:rFonts w:hint="eastAsia" w:eastAsia="仿宋_GB2312"/>
          <w:sz w:val="32"/>
          <w:szCs w:val="32"/>
        </w:rPr>
      </w:pPr>
      <w:r>
        <w:rPr>
          <w:rFonts w:hint="eastAsia" w:eastAsia="仿宋_GB2312"/>
          <w:sz w:val="32"/>
          <w:szCs w:val="32"/>
        </w:rPr>
        <w:t xml:space="preserve">（一）</w:t>
      </w:r>
      <w:r>
        <w:rPr>
          <w:rFonts w:hint="eastAsia" w:eastAsia="仿宋_GB2312"/>
          <w:spacing w:val="4"/>
          <w:sz w:val="32"/>
          <w:szCs w:val="32"/>
        </w:rPr>
        <w:t xml:space="preserve">按照法律法规及相关规定</w:t>
      </w:r>
      <w:r>
        <w:rPr>
          <w:rFonts w:hint="eastAsia" w:eastAsia="仿宋_GB2312"/>
          <w:spacing w:val="2"/>
          <w:sz w:val="32"/>
          <w:szCs w:val="32"/>
        </w:rPr>
        <w:t xml:space="preserve">规范开展食品安全执法抽检</w:t>
      </w:r>
      <w:r>
        <w:rPr>
          <w:rFonts w:hint="eastAsia" w:eastAsia="仿宋_GB2312"/>
          <w:spacing w:val="1"/>
          <w:sz w:val="32"/>
          <w:szCs w:val="32"/>
        </w:rPr>
        <w:t xml:space="preserve">工作。遵守工作规定及相关要求，应确保</w:t>
      </w:r>
      <w:r>
        <w:rPr>
          <w:rFonts w:hint="eastAsia" w:eastAsia="仿宋_GB2312"/>
          <w:spacing w:val="22"/>
          <w:sz w:val="32"/>
          <w:szCs w:val="32"/>
        </w:rPr>
        <w:t xml:space="preserve">具备</w:t>
      </w:r>
      <w:r>
        <w:rPr>
          <w:rFonts w:hint="eastAsia" w:eastAsia="仿宋_GB2312"/>
          <w:spacing w:val="12"/>
          <w:sz w:val="32"/>
          <w:szCs w:val="32"/>
        </w:rPr>
        <w:t xml:space="preserve">所</w:t>
      </w:r>
      <w:r>
        <w:rPr>
          <w:rFonts w:hint="eastAsia" w:eastAsia="仿宋_GB2312"/>
          <w:spacing w:val="11"/>
          <w:sz w:val="32"/>
          <w:szCs w:val="32"/>
        </w:rPr>
        <w:t xml:space="preserve">承担抽检任务涉及食品以及检验项目的检</w:t>
      </w:r>
      <w:r>
        <w:rPr>
          <w:rFonts w:hint="eastAsia" w:eastAsia="仿宋_GB2312"/>
          <w:spacing w:val="11"/>
          <w:sz w:val="32"/>
          <w:szCs w:val="32"/>
        </w:rPr>
        <w:t xml:space="preserve">验能力和相关资</w:t>
      </w:r>
      <w:r>
        <w:rPr>
          <w:rFonts w:hint="eastAsia" w:eastAsia="仿宋_GB2312"/>
          <w:spacing w:val="4"/>
          <w:sz w:val="32"/>
          <w:szCs w:val="32"/>
        </w:rPr>
        <w:t xml:space="preserve">质(非标准检验方</w:t>
      </w:r>
      <w:r>
        <w:rPr>
          <w:rFonts w:hint="eastAsia" w:eastAsia="仿宋_GB2312"/>
          <w:spacing w:val="2"/>
          <w:sz w:val="32"/>
          <w:szCs w:val="32"/>
        </w:rPr>
        <w:t xml:space="preserve">法除外)。本合</w:t>
      </w:r>
      <w:r>
        <w:rPr>
          <w:rFonts w:hint="eastAsia" w:eastAsia="仿宋_GB2312"/>
          <w:spacing w:val="-18"/>
          <w:sz w:val="32"/>
          <w:szCs w:val="32"/>
        </w:rPr>
        <w:t xml:space="preserve">同范</w:t>
      </w:r>
      <w:r>
        <w:rPr>
          <w:rFonts w:hint="eastAsia" w:eastAsia="仿宋_GB2312"/>
          <w:spacing w:val="-11"/>
          <w:sz w:val="32"/>
          <w:szCs w:val="32"/>
        </w:rPr>
        <w:t xml:space="preserve">围</w:t>
      </w:r>
      <w:r>
        <w:rPr>
          <w:rFonts w:hint="eastAsia" w:eastAsia="仿宋_GB2312"/>
          <w:spacing w:val="-9"/>
          <w:sz w:val="32"/>
          <w:szCs w:val="32"/>
        </w:rPr>
        <w:t xml:space="preserve">的抽样检验服务，应由乙方直接供应，不得转让他人供应；</w:t>
      </w:r>
      <w:r>
        <w:rPr>
          <w:rFonts w:hint="eastAsia" w:eastAsia="仿宋_GB2312"/>
          <w:spacing w:val="8"/>
          <w:sz w:val="32"/>
          <w:szCs w:val="32"/>
        </w:rPr>
        <w:t xml:space="preserve">乙方不得租赁或借用他人检验设备完成所承担的抽检任务。未经</w:t>
      </w:r>
      <w:r>
        <w:rPr>
          <w:rFonts w:hint="eastAsia" w:eastAsia="仿宋_GB2312"/>
          <w:spacing w:val="3"/>
          <w:sz w:val="32"/>
          <w:szCs w:val="32"/>
        </w:rPr>
        <w:t xml:space="preserve">甲</w:t>
      </w:r>
      <w:r>
        <w:rPr>
          <w:rFonts w:hint="eastAsia" w:eastAsia="仿宋_GB2312"/>
          <w:spacing w:val="-14"/>
          <w:sz w:val="32"/>
          <w:szCs w:val="32"/>
        </w:rPr>
        <w:t xml:space="preserve">方书面同意，不得分包</w:t>
      </w:r>
      <w:r>
        <w:rPr>
          <w:rFonts w:hint="eastAsia" w:eastAsia="仿宋_GB2312"/>
          <w:spacing w:val="-12"/>
          <w:sz w:val="32"/>
          <w:szCs w:val="32"/>
        </w:rPr>
        <w:t xml:space="preserve">。</w:t>
      </w:r>
      <w:r>
        <w:rPr>
          <w:rFonts w:hint="eastAsia" w:eastAsia="仿宋_GB2312"/>
          <w:sz w:val="32"/>
          <w:szCs w:val="32"/>
        </w:rPr>
      </w:r>
      <w:r/>
    </w:p>
    <w:p>
      <w:pPr>
        <w:pStyle w:val="749"/>
        <w:ind w:firstLine="640"/>
        <w:jc w:val="both"/>
        <w:spacing w:line="360" w:lineRule="auto"/>
        <w:tabs>
          <w:tab w:val="left" w:pos="771" w:leader="none"/>
        </w:tabs>
        <w:rPr>
          <w:rFonts w:hint="eastAsia" w:eastAsia="仿宋_GB2312"/>
          <w:sz w:val="32"/>
          <w:szCs w:val="32"/>
        </w:rPr>
      </w:pPr>
      <w:r>
        <w:rPr>
          <w:rFonts w:hint="eastAsia" w:eastAsia="仿宋_GB2312"/>
          <w:sz w:val="32"/>
          <w:szCs w:val="32"/>
        </w:rPr>
        <w:t xml:space="preserve">（二）</w:t>
      </w:r>
      <w:r>
        <w:rPr>
          <w:rFonts w:hint="eastAsia" w:eastAsia="仿宋_GB2312"/>
          <w:spacing w:val="4"/>
          <w:sz w:val="32"/>
          <w:szCs w:val="32"/>
        </w:rPr>
        <w:t xml:space="preserve">具备保证完成执法抽检任务所需的仪器设备、实验室环</w:t>
      </w:r>
      <w:r>
        <w:rPr>
          <w:rFonts w:hint="eastAsia" w:eastAsia="仿宋_GB2312"/>
          <w:spacing w:val="-2"/>
          <w:sz w:val="32"/>
          <w:szCs w:val="32"/>
        </w:rPr>
        <w:t xml:space="preserve">境、技术人员等工作条件</w:t>
      </w:r>
      <w:r>
        <w:rPr>
          <w:rFonts w:hint="eastAsia" w:eastAsia="仿宋_GB2312"/>
          <w:spacing w:val="-1"/>
          <w:sz w:val="32"/>
          <w:szCs w:val="32"/>
        </w:rPr>
        <w:t xml:space="preserve">，并在任务实施过程中予以保持。</w:t>
      </w:r>
      <w:r>
        <w:rPr>
          <w:rFonts w:hint="eastAsia" w:eastAsia="仿宋_GB2312"/>
          <w:sz w:val="32"/>
          <w:szCs w:val="32"/>
        </w:rPr>
      </w:r>
      <w:r/>
    </w:p>
    <w:p>
      <w:pPr>
        <w:pStyle w:val="749"/>
        <w:ind w:firstLine="640"/>
        <w:jc w:val="both"/>
        <w:spacing w:line="360" w:lineRule="auto"/>
        <w:tabs>
          <w:tab w:val="left" w:pos="771" w:leader="none"/>
        </w:tabs>
        <w:rPr>
          <w:rFonts w:hint="eastAsia" w:eastAsia="仿宋_GB2312"/>
          <w:sz w:val="32"/>
          <w:szCs w:val="32"/>
        </w:rPr>
      </w:pPr>
      <w:r>
        <w:rPr>
          <w:rFonts w:hint="eastAsia" w:eastAsia="仿宋_GB2312"/>
          <w:sz w:val="32"/>
          <w:szCs w:val="32"/>
        </w:rPr>
        <w:t xml:space="preserve">（三）</w:t>
      </w:r>
      <w:r>
        <w:rPr>
          <w:rFonts w:hint="eastAsia" w:eastAsia="仿宋_GB2312"/>
          <w:spacing w:val="4"/>
          <w:sz w:val="32"/>
          <w:szCs w:val="32"/>
        </w:rPr>
        <w:t xml:space="preserve">按照甲方要求，及时完成符合要求的抽样地点、抽检单</w:t>
      </w:r>
      <w:r>
        <w:rPr>
          <w:rFonts w:hint="eastAsia" w:eastAsia="仿宋_GB2312"/>
          <w:spacing w:val="11"/>
          <w:sz w:val="32"/>
          <w:szCs w:val="32"/>
        </w:rPr>
        <w:t xml:space="preserve">位</w:t>
      </w:r>
      <w:r>
        <w:rPr>
          <w:rFonts w:hint="eastAsia" w:eastAsia="仿宋_GB2312"/>
          <w:spacing w:val="7"/>
          <w:sz w:val="32"/>
          <w:szCs w:val="32"/>
        </w:rPr>
        <w:t xml:space="preserve">类型的样品采集工作。</w:t>
      </w:r>
      <w:r>
        <w:rPr>
          <w:rFonts w:hint="eastAsia" w:eastAsia="仿宋_GB2312"/>
          <w:sz w:val="32"/>
          <w:szCs w:val="32"/>
        </w:rPr>
      </w:r>
      <w:r/>
    </w:p>
    <w:p>
      <w:pPr>
        <w:pStyle w:val="749"/>
        <w:ind w:firstLine="640"/>
        <w:jc w:val="both"/>
        <w:spacing w:line="360" w:lineRule="auto"/>
        <w:tabs>
          <w:tab w:val="left" w:pos="771" w:leader="none"/>
        </w:tabs>
        <w:rPr>
          <w:rFonts w:hint="eastAsia" w:eastAsia="仿宋_GB2312"/>
          <w:sz w:val="32"/>
          <w:szCs w:val="32"/>
        </w:rPr>
      </w:pPr>
      <w:r>
        <w:rPr>
          <w:rFonts w:hint="eastAsia" w:eastAsia="仿宋_GB2312"/>
          <w:sz w:val="32"/>
          <w:szCs w:val="32"/>
        </w:rPr>
        <w:t xml:space="preserve">（四）</w:t>
      </w:r>
      <w:r>
        <w:rPr>
          <w:rFonts w:hint="eastAsia" w:eastAsia="仿宋_GB2312"/>
          <w:spacing w:val="7"/>
          <w:sz w:val="32"/>
          <w:szCs w:val="32"/>
        </w:rPr>
        <w:t xml:space="preserve">拥有安全有效的实验室信息化管理系统和信息分析汇总</w:t>
      </w:r>
      <w:r>
        <w:rPr>
          <w:rFonts w:hint="eastAsia" w:eastAsia="仿宋_GB2312"/>
          <w:spacing w:val="6"/>
          <w:sz w:val="32"/>
          <w:szCs w:val="32"/>
        </w:rPr>
        <w:t xml:space="preserve">人</w:t>
      </w:r>
      <w:r>
        <w:rPr>
          <w:rFonts w:hint="eastAsia" w:eastAsia="仿宋_GB2312"/>
          <w:spacing w:val="5"/>
          <w:sz w:val="32"/>
          <w:szCs w:val="32"/>
        </w:rPr>
        <w:t xml:space="preserve">员，保证按时完成高质量的食品安全执法抽检数据上报工作。</w:t>
      </w:r>
      <w:r>
        <w:rPr>
          <w:rFonts w:hint="eastAsia" w:eastAsia="仿宋_GB2312"/>
          <w:sz w:val="32"/>
          <w:szCs w:val="32"/>
        </w:rPr>
      </w:r>
      <w:r/>
    </w:p>
    <w:p>
      <w:pPr>
        <w:pStyle w:val="749"/>
        <w:ind w:firstLine="640"/>
        <w:jc w:val="both"/>
        <w:spacing w:line="360" w:lineRule="auto"/>
        <w:tabs>
          <w:tab w:val="left" w:pos="771" w:leader="none"/>
        </w:tabs>
        <w:rPr>
          <w:rFonts w:hint="eastAsia" w:eastAsia="仿宋_GB2312"/>
          <w:sz w:val="32"/>
          <w:szCs w:val="32"/>
        </w:rPr>
      </w:pPr>
      <w:r>
        <w:rPr>
          <w:rFonts w:hint="eastAsia" w:eastAsia="仿宋_GB2312"/>
          <w:sz w:val="32"/>
          <w:szCs w:val="32"/>
        </w:rPr>
        <w:t xml:space="preserve">（五）</w:t>
      </w:r>
      <w:r>
        <w:rPr>
          <w:rFonts w:hint="eastAsia" w:eastAsia="仿宋_GB2312"/>
          <w:spacing w:val="11"/>
          <w:sz w:val="32"/>
          <w:szCs w:val="32"/>
        </w:rPr>
        <w:t xml:space="preserve">按时上报样品</w:t>
      </w:r>
      <w:r>
        <w:rPr>
          <w:rFonts w:hint="eastAsia" w:eastAsia="仿宋_GB2312"/>
          <w:spacing w:val="11"/>
          <w:sz w:val="32"/>
          <w:szCs w:val="32"/>
        </w:rPr>
        <w:t xml:space="preserve">信息、如实报告检验结果和抽检工作总结</w:t>
      </w:r>
      <w:r>
        <w:rPr>
          <w:rFonts w:hint="eastAsia" w:eastAsia="仿宋_GB2312"/>
          <w:spacing w:val="10"/>
          <w:sz w:val="32"/>
          <w:szCs w:val="32"/>
        </w:rPr>
        <w:t xml:space="preserve">。</w:t>
      </w:r>
      <w:r>
        <w:rPr>
          <w:rFonts w:hint="eastAsia" w:eastAsia="仿宋_GB2312"/>
          <w:spacing w:val="2"/>
          <w:sz w:val="32"/>
          <w:szCs w:val="32"/>
        </w:rPr>
        <w:t xml:space="preserve">对检验工作负责</w:t>
      </w:r>
      <w:r>
        <w:rPr>
          <w:rFonts w:hint="eastAsia" w:eastAsia="仿宋_GB2312"/>
          <w:spacing w:val="1"/>
          <w:sz w:val="32"/>
          <w:szCs w:val="32"/>
        </w:rPr>
        <w:t xml:space="preserve">，确保所承担的抽样、检验等相</w:t>
      </w:r>
      <w:r>
        <w:rPr>
          <w:rFonts w:hint="eastAsia" w:eastAsia="仿宋_GB2312"/>
          <w:spacing w:val="1"/>
          <w:sz w:val="32"/>
          <w:szCs w:val="32"/>
        </w:rPr>
        <w:t xml:space="preserve">关工作科学、公正、</w:t>
      </w:r>
      <w:r>
        <w:rPr>
          <w:rFonts w:hint="eastAsia" w:eastAsia="仿宋_GB2312"/>
          <w:spacing w:val="2"/>
          <w:sz w:val="32"/>
          <w:szCs w:val="32"/>
        </w:rPr>
        <w:t xml:space="preserve">准确。检验过程</w:t>
      </w:r>
      <w:r>
        <w:rPr>
          <w:rFonts w:hint="eastAsia" w:eastAsia="仿宋_GB2312"/>
          <w:spacing w:val="1"/>
          <w:sz w:val="32"/>
          <w:szCs w:val="32"/>
        </w:rPr>
        <w:t xml:space="preserve">中发现被检样品存在严重安全问题的，或检验出现</w:t>
      </w:r>
      <w:r>
        <w:rPr>
          <w:rFonts w:hint="eastAsia" w:eastAsia="仿宋_GB2312"/>
          <w:spacing w:val="8"/>
          <w:sz w:val="32"/>
          <w:szCs w:val="32"/>
        </w:rPr>
        <w:t xml:space="preserve">明显异常情况的（如食品中检出三聚氰胺等、检出非法添加非食</w:t>
      </w:r>
      <w:r>
        <w:rPr>
          <w:rFonts w:hint="eastAsia" w:eastAsia="仿宋_GB2312"/>
          <w:spacing w:val="5"/>
          <w:sz w:val="32"/>
          <w:szCs w:val="32"/>
        </w:rPr>
        <w:t xml:space="preserve">用</w:t>
      </w:r>
      <w:r>
        <w:rPr>
          <w:rFonts w:hint="eastAsia" w:eastAsia="仿宋_GB2312"/>
          <w:spacing w:val="8"/>
          <w:sz w:val="32"/>
          <w:szCs w:val="32"/>
        </w:rPr>
        <w:t xml:space="preserve">物质</w:t>
      </w:r>
      <w:r>
        <w:rPr>
          <w:rFonts w:hint="eastAsia" w:eastAsia="仿宋_GB2312"/>
          <w:spacing w:val="4"/>
          <w:sz w:val="32"/>
          <w:szCs w:val="32"/>
        </w:rPr>
        <w:t xml:space="preserve">、可能危及人体健康的重要安全问题、以及其他重大异常情况</w:t>
      </w:r>
      <w:r>
        <w:rPr>
          <w:rFonts w:hint="eastAsia" w:eastAsia="仿宋_GB2312"/>
          <w:spacing w:val="-8"/>
          <w:sz w:val="32"/>
          <w:szCs w:val="32"/>
        </w:rPr>
        <w:t xml:space="preserve">等</w:t>
      </w:r>
      <w:r>
        <w:rPr>
          <w:rFonts w:hint="eastAsia" w:eastAsia="仿宋_GB2312"/>
          <w:spacing w:val="8"/>
          <w:sz w:val="32"/>
          <w:szCs w:val="32"/>
        </w:rPr>
        <w:t xml:space="preserve">）</w:t>
      </w:r>
      <w:r>
        <w:rPr>
          <w:rFonts w:hint="eastAsia" w:eastAsia="仿宋_GB2312"/>
          <w:spacing w:val="-8"/>
          <w:sz w:val="32"/>
          <w:szCs w:val="32"/>
        </w:rPr>
        <w:t xml:space="preserve">，应当按照甲方相关要求及时报告</w:t>
      </w:r>
      <w:r>
        <w:rPr>
          <w:rFonts w:hint="eastAsia" w:eastAsia="仿宋_GB2312"/>
          <w:spacing w:val="-5"/>
          <w:sz w:val="32"/>
          <w:szCs w:val="32"/>
        </w:rPr>
        <w:t xml:space="preserve">。</w:t>
      </w:r>
      <w:r>
        <w:rPr>
          <w:rFonts w:hint="eastAsia" w:eastAsia="仿宋_GB2312"/>
          <w:sz w:val="32"/>
          <w:szCs w:val="32"/>
        </w:rPr>
      </w:r>
      <w:r/>
    </w:p>
    <w:p>
      <w:pPr>
        <w:pStyle w:val="749"/>
        <w:ind w:firstLine="640"/>
        <w:jc w:val="both"/>
        <w:spacing w:line="360" w:lineRule="auto"/>
        <w:tabs>
          <w:tab w:val="left" w:pos="771" w:leader="none"/>
        </w:tabs>
        <w:rPr>
          <w:rFonts w:hint="eastAsia" w:eastAsia="仿宋_GB2312"/>
          <w:sz w:val="32"/>
          <w:szCs w:val="32"/>
        </w:rPr>
      </w:pPr>
      <w:r>
        <w:rPr>
          <w:rFonts w:hint="eastAsia" w:eastAsia="仿宋_GB2312"/>
          <w:sz w:val="32"/>
          <w:szCs w:val="32"/>
        </w:rPr>
        <w:t xml:space="preserve">（六）</w:t>
      </w:r>
      <w:r>
        <w:rPr>
          <w:rFonts w:hint="eastAsia" w:eastAsia="仿宋_GB2312"/>
          <w:spacing w:val="1"/>
          <w:sz w:val="32"/>
          <w:szCs w:val="32"/>
        </w:rPr>
        <w:t xml:space="preserve">严格遵守甲方关于抽检工作各环节的时间进度安排，及</w:t>
      </w:r>
      <w:r>
        <w:rPr>
          <w:rFonts w:hint="eastAsia" w:eastAsia="仿宋_GB2312"/>
          <w:spacing w:val="14"/>
          <w:sz w:val="32"/>
          <w:szCs w:val="32"/>
        </w:rPr>
        <w:t xml:space="preserve">时将</w:t>
      </w:r>
      <w:r>
        <w:rPr>
          <w:rFonts w:hint="eastAsia" w:eastAsia="仿宋_GB2312"/>
          <w:spacing w:val="12"/>
          <w:sz w:val="32"/>
          <w:szCs w:val="32"/>
        </w:rPr>
        <w:t xml:space="preserve">检</w:t>
      </w:r>
      <w:r>
        <w:rPr>
          <w:rFonts w:hint="eastAsia" w:eastAsia="仿宋_GB2312"/>
          <w:spacing w:val="7"/>
          <w:sz w:val="32"/>
          <w:szCs w:val="32"/>
        </w:rPr>
        <w:t xml:space="preserve">验报告和规定的材料及有关情况报送甲方。对于无法按时上</w:t>
      </w:r>
      <w:r>
        <w:rPr>
          <w:rFonts w:hint="eastAsia" w:eastAsia="仿宋_GB2312"/>
          <w:spacing w:val="8"/>
          <w:sz w:val="32"/>
          <w:szCs w:val="32"/>
        </w:rPr>
        <w:t xml:space="preserve">报的情况要事先向甲方书面说明情况。</w:t>
      </w:r>
      <w:r>
        <w:rPr>
          <w:rFonts w:hint="eastAsia" w:eastAsia="仿宋_GB2312"/>
          <w:sz w:val="32"/>
          <w:szCs w:val="32"/>
        </w:rPr>
      </w:r>
      <w:r/>
    </w:p>
    <w:p>
      <w:pPr>
        <w:pStyle w:val="749"/>
        <w:ind w:firstLine="640"/>
        <w:jc w:val="both"/>
        <w:spacing w:line="360" w:lineRule="auto"/>
        <w:tabs>
          <w:tab w:val="left" w:pos="771" w:leader="none"/>
        </w:tabs>
        <w:rPr>
          <w:rFonts w:hint="eastAsia" w:eastAsia="仿宋_GB2312"/>
          <w:sz w:val="32"/>
          <w:szCs w:val="32"/>
        </w:rPr>
      </w:pPr>
      <w:r>
        <w:rPr>
          <w:rFonts w:hint="eastAsia" w:eastAsia="仿宋_GB2312"/>
          <w:sz w:val="32"/>
          <w:szCs w:val="32"/>
        </w:rPr>
        <w:t xml:space="preserve">（七）</w:t>
      </w:r>
      <w:r>
        <w:rPr>
          <w:rFonts w:hint="eastAsia" w:eastAsia="仿宋_GB2312"/>
          <w:spacing w:val="10"/>
          <w:sz w:val="32"/>
          <w:szCs w:val="32"/>
        </w:rPr>
        <w:t xml:space="preserve">按照经费使用的各项规定进行资金的管理，严格按预算</w:t>
      </w:r>
      <w:r>
        <w:rPr>
          <w:rFonts w:hint="eastAsia" w:eastAsia="仿宋_GB2312"/>
          <w:spacing w:val="-7"/>
          <w:sz w:val="32"/>
          <w:szCs w:val="32"/>
        </w:rPr>
        <w:t xml:space="preserve">开支范围列支，专款专用，提高资金使用有效性</w:t>
      </w:r>
      <w:r>
        <w:rPr>
          <w:rFonts w:hint="eastAsia" w:eastAsia="仿宋_GB2312"/>
          <w:spacing w:val="-5"/>
          <w:sz w:val="32"/>
          <w:szCs w:val="32"/>
        </w:rPr>
        <w:t xml:space="preserve">。</w:t>
      </w:r>
      <w:r>
        <w:rPr>
          <w:rFonts w:hint="eastAsia" w:eastAsia="仿宋_GB2312"/>
          <w:sz w:val="32"/>
          <w:szCs w:val="32"/>
        </w:rPr>
      </w:r>
      <w:r/>
    </w:p>
    <w:p>
      <w:pPr>
        <w:pStyle w:val="749"/>
        <w:ind w:firstLine="640"/>
        <w:jc w:val="both"/>
        <w:spacing w:line="360" w:lineRule="auto"/>
        <w:tabs>
          <w:tab w:val="left" w:pos="770" w:leader="none"/>
        </w:tabs>
        <w:rPr>
          <w:rFonts w:hint="eastAsia" w:eastAsia="仿宋_GB2312"/>
          <w:sz w:val="32"/>
          <w:szCs w:val="32"/>
        </w:rPr>
      </w:pPr>
      <w:r>
        <w:rPr>
          <w:rFonts w:hint="eastAsia" w:eastAsia="仿宋_GB2312"/>
          <w:sz w:val="32"/>
          <w:szCs w:val="32"/>
        </w:rPr>
        <w:t xml:space="preserve">（八）</w:t>
      </w:r>
      <w:r>
        <w:rPr>
          <w:rFonts w:hint="eastAsia" w:eastAsia="仿宋_GB2312"/>
          <w:spacing w:val="14"/>
          <w:sz w:val="32"/>
          <w:szCs w:val="32"/>
        </w:rPr>
        <w:t xml:space="preserve">接受甲方对抽检工作质量和经费使用情况的监督检查和</w:t>
      </w:r>
      <w:r>
        <w:rPr>
          <w:rFonts w:hint="eastAsia" w:eastAsia="仿宋_GB2312"/>
          <w:spacing w:val="-1"/>
          <w:sz w:val="32"/>
          <w:szCs w:val="32"/>
        </w:rPr>
        <w:t xml:space="preserve">考</w:t>
      </w:r>
      <w:r>
        <w:rPr>
          <w:rFonts w:hint="eastAsia" w:eastAsia="仿宋_GB2312"/>
          <w:sz w:val="32"/>
          <w:szCs w:val="32"/>
        </w:rPr>
        <w:t xml:space="preserve">核。</w:t>
      </w:r>
      <w:r/>
    </w:p>
    <w:p>
      <w:pPr>
        <w:pStyle w:val="749"/>
        <w:ind w:firstLine="640"/>
        <w:jc w:val="both"/>
        <w:spacing w:line="360" w:lineRule="auto"/>
        <w:tabs>
          <w:tab w:val="left" w:pos="770" w:leader="none"/>
        </w:tabs>
        <w:rPr>
          <w:rFonts w:hint="eastAsia" w:eastAsia="仿宋_GB2312"/>
          <w:sz w:val="32"/>
          <w:szCs w:val="32"/>
        </w:rPr>
      </w:pPr>
      <w:r>
        <w:rPr>
          <w:rFonts w:hint="eastAsia" w:eastAsia="仿宋_GB2312"/>
          <w:sz w:val="32"/>
          <w:szCs w:val="32"/>
        </w:rPr>
        <w:t xml:space="preserve">（九）</w:t>
      </w:r>
      <w:r>
        <w:rPr>
          <w:rFonts w:hint="eastAsia" w:eastAsia="仿宋_GB2312"/>
          <w:spacing w:val="4"/>
          <w:sz w:val="32"/>
          <w:szCs w:val="32"/>
        </w:rPr>
        <w:t xml:space="preserve">检验报告出具单位名称应与乙方单位名称一致，不一致</w:t>
      </w:r>
      <w:r>
        <w:rPr>
          <w:rFonts w:hint="eastAsia" w:eastAsia="仿宋_GB2312"/>
          <w:spacing w:val="-10"/>
          <w:sz w:val="32"/>
          <w:szCs w:val="32"/>
        </w:rPr>
        <w:t xml:space="preserve">时</w:t>
      </w:r>
      <w:r>
        <w:rPr>
          <w:rFonts w:hint="eastAsia" w:eastAsia="仿宋_GB2312"/>
          <w:spacing w:val="-5"/>
          <w:sz w:val="32"/>
          <w:szCs w:val="32"/>
        </w:rPr>
        <w:t xml:space="preserve">，需提供报告出具单位合法性证明材料，以及与乙方之</w:t>
      </w:r>
      <w:r>
        <w:rPr>
          <w:rFonts w:hint="eastAsia" w:eastAsia="仿宋_GB2312"/>
          <w:spacing w:val="2"/>
          <w:sz w:val="32"/>
          <w:szCs w:val="32"/>
        </w:rPr>
        <w:t xml:space="preserve">间的关系</w:t>
      </w:r>
      <w:r>
        <w:rPr>
          <w:rFonts w:hint="eastAsia" w:eastAsia="仿宋_GB2312"/>
          <w:spacing w:val="1"/>
          <w:sz w:val="32"/>
          <w:szCs w:val="32"/>
        </w:rPr>
        <w:t xml:space="preserve">证明。</w:t>
      </w:r>
      <w:r>
        <w:rPr>
          <w:rFonts w:hint="eastAsia" w:eastAsia="仿宋_GB2312"/>
          <w:sz w:val="32"/>
          <w:szCs w:val="32"/>
        </w:rPr>
      </w:r>
      <w:r/>
    </w:p>
    <w:p>
      <w:pPr>
        <w:pStyle w:val="749"/>
        <w:ind w:firstLine="640"/>
        <w:jc w:val="both"/>
        <w:spacing w:line="360" w:lineRule="auto"/>
        <w:tabs>
          <w:tab w:val="left" w:pos="770" w:leader="none"/>
        </w:tabs>
        <w:rPr>
          <w:rFonts w:hint="eastAsia" w:eastAsia="仿宋_GB2312"/>
          <w:sz w:val="32"/>
          <w:szCs w:val="32"/>
        </w:rPr>
      </w:pPr>
      <w:r>
        <w:rPr>
          <w:rFonts w:hint="eastAsia" w:eastAsia="仿宋_GB2312"/>
          <w:sz w:val="32"/>
          <w:szCs w:val="32"/>
        </w:rPr>
        <w:t xml:space="preserve">（十）</w:t>
      </w:r>
      <w:r>
        <w:rPr>
          <w:rFonts w:hint="eastAsia" w:eastAsia="仿宋_GB2312"/>
          <w:spacing w:val="5"/>
          <w:sz w:val="32"/>
          <w:szCs w:val="32"/>
        </w:rPr>
        <w:t xml:space="preserve">严格遵守法律法规的规定和抽检工作有关纪律要求：</w:t>
      </w:r>
      <w:r>
        <w:rPr>
          <w:rFonts w:hint="eastAsia" w:eastAsia="仿宋_GB2312"/>
          <w:sz w:val="32"/>
          <w:szCs w:val="32"/>
        </w:rPr>
      </w:r>
      <w:r/>
    </w:p>
    <w:p>
      <w:pPr>
        <w:pStyle w:val="749"/>
        <w:ind w:firstLine="648"/>
        <w:jc w:val="both"/>
        <w:spacing w:line="360" w:lineRule="auto"/>
        <w:rPr>
          <w:rFonts w:hint="eastAsia" w:eastAsia="仿宋_GB2312"/>
          <w:sz w:val="32"/>
          <w:szCs w:val="32"/>
        </w:rPr>
      </w:pPr>
      <w:r>
        <w:rPr>
          <w:rFonts w:hint="eastAsia" w:eastAsia="仿宋_GB2312"/>
          <w:spacing w:val="2"/>
          <w:sz w:val="32"/>
          <w:szCs w:val="32"/>
        </w:rPr>
        <w:t xml:space="preserve">1.不得在开展抽样工作前事先通知被抽检食品生产经营单位；</w:t>
      </w:r>
      <w:r>
        <w:rPr>
          <w:rFonts w:hint="eastAsia" w:eastAsia="仿宋_GB2312"/>
          <w:sz w:val="32"/>
          <w:szCs w:val="32"/>
        </w:rPr>
      </w:r>
      <w:r/>
    </w:p>
    <w:p>
      <w:pPr>
        <w:pStyle w:val="749"/>
        <w:ind w:firstLine="720"/>
        <w:jc w:val="both"/>
        <w:spacing w:line="360" w:lineRule="auto"/>
        <w:rPr>
          <w:rFonts w:hint="eastAsia" w:eastAsia="仿宋_GB2312"/>
          <w:sz w:val="32"/>
          <w:szCs w:val="32"/>
        </w:rPr>
      </w:pPr>
      <w:r>
        <w:rPr>
          <w:rFonts w:hint="eastAsia" w:eastAsia="仿宋_GB2312"/>
          <w:spacing w:val="20"/>
          <w:sz w:val="32"/>
          <w:szCs w:val="32"/>
        </w:rPr>
        <w:t xml:space="preserve">2</w:t>
      </w:r>
      <w:r>
        <w:rPr>
          <w:rFonts w:hint="eastAsia" w:eastAsia="仿宋_GB2312"/>
          <w:spacing w:val="10"/>
          <w:sz w:val="32"/>
          <w:szCs w:val="32"/>
        </w:rPr>
        <w:t xml:space="preserve">.不得以承担抽检任务的名义向被抽检食品生产经营单位和</w:t>
      </w:r>
      <w:r>
        <w:rPr>
          <w:rFonts w:hint="eastAsia" w:eastAsia="仿宋_GB2312"/>
          <w:spacing w:val="7"/>
          <w:sz w:val="32"/>
          <w:szCs w:val="32"/>
        </w:rPr>
        <w:t xml:space="preserve">其他单位承揽业务；</w:t>
      </w:r>
      <w:r>
        <w:rPr>
          <w:rFonts w:hint="eastAsia" w:eastAsia="仿宋_GB2312"/>
          <w:sz w:val="32"/>
          <w:szCs w:val="32"/>
        </w:rPr>
      </w:r>
      <w:r/>
    </w:p>
    <w:p>
      <w:pPr>
        <w:pStyle w:val="749"/>
        <w:ind w:firstLine="644"/>
        <w:jc w:val="both"/>
        <w:spacing w:line="360" w:lineRule="auto"/>
        <w:rPr>
          <w:rFonts w:hint="eastAsia" w:eastAsia="仿宋_GB2312"/>
          <w:sz w:val="32"/>
          <w:szCs w:val="32"/>
        </w:rPr>
      </w:pPr>
      <w:r>
        <w:rPr>
          <w:rFonts w:hint="eastAsia" w:eastAsia="仿宋_GB2312"/>
          <w:spacing w:val="1"/>
          <w:sz w:val="32"/>
          <w:szCs w:val="32"/>
        </w:rPr>
        <w:t xml:space="preserve">3.在承担抽检任务</w:t>
      </w:r>
      <w:r>
        <w:rPr>
          <w:rFonts w:hint="eastAsia" w:eastAsia="仿宋_GB2312"/>
          <w:sz w:val="32"/>
          <w:szCs w:val="32"/>
        </w:rPr>
        <w:t xml:space="preserve">期间，不得与食品生产经营单位签订同类食</w:t>
      </w:r>
      <w:r>
        <w:rPr>
          <w:rFonts w:hint="eastAsia" w:eastAsia="仿宋_GB2312"/>
          <w:spacing w:val="9"/>
          <w:sz w:val="32"/>
          <w:szCs w:val="32"/>
        </w:rPr>
        <w:t xml:space="preserve">品</w:t>
      </w:r>
      <w:r>
        <w:rPr>
          <w:rFonts w:hint="eastAsia" w:eastAsia="仿宋_GB2312"/>
          <w:spacing w:val="7"/>
          <w:sz w:val="32"/>
          <w:szCs w:val="32"/>
        </w:rPr>
        <w:t xml:space="preserve">的有偿服务协议及其它与本单位利益相关的工作；</w:t>
      </w:r>
      <w:r>
        <w:rPr>
          <w:rFonts w:hint="eastAsia" w:eastAsia="仿宋_GB2312"/>
          <w:sz w:val="32"/>
          <w:szCs w:val="32"/>
        </w:rPr>
      </w:r>
      <w:r/>
    </w:p>
    <w:p>
      <w:pPr>
        <w:pStyle w:val="749"/>
        <w:ind w:firstLine="644"/>
        <w:jc w:val="both"/>
        <w:spacing w:line="360" w:lineRule="auto"/>
        <w:rPr>
          <w:rFonts w:hint="eastAsia" w:eastAsia="仿宋_GB2312"/>
          <w:sz w:val="32"/>
          <w:szCs w:val="32"/>
        </w:rPr>
      </w:pPr>
      <w:r>
        <w:rPr>
          <w:rFonts w:hint="eastAsia" w:eastAsia="仿宋_GB2312"/>
          <w:spacing w:val="1"/>
          <w:sz w:val="32"/>
          <w:szCs w:val="32"/>
        </w:rPr>
        <w:t xml:space="preserve">4.不得接受被抽检企业的馈赠，</w:t>
      </w:r>
      <w:r>
        <w:rPr>
          <w:rFonts w:hint="eastAsia" w:eastAsia="仿宋_GB2312"/>
          <w:sz w:val="32"/>
          <w:szCs w:val="32"/>
        </w:rPr>
        <w:t xml:space="preserve">不发生利用抽检工作牟取利</w:t>
      </w:r>
      <w:r>
        <w:rPr>
          <w:rFonts w:hint="eastAsia" w:eastAsia="仿宋_GB2312"/>
          <w:spacing w:val="4"/>
          <w:sz w:val="32"/>
          <w:szCs w:val="32"/>
        </w:rPr>
        <w:t xml:space="preserve">益的其它行为</w:t>
      </w:r>
      <w:r>
        <w:rPr>
          <w:rFonts w:hint="eastAsia" w:eastAsia="仿宋_GB2312"/>
          <w:spacing w:val="3"/>
          <w:sz w:val="32"/>
          <w:szCs w:val="32"/>
        </w:rPr>
        <w:t xml:space="preserve">；</w:t>
      </w:r>
      <w:r>
        <w:rPr>
          <w:rFonts w:hint="eastAsia" w:eastAsia="仿宋_GB2312"/>
          <w:sz w:val="32"/>
          <w:szCs w:val="32"/>
        </w:rPr>
      </w:r>
      <w:r/>
    </w:p>
    <w:p>
      <w:pPr>
        <w:pStyle w:val="749"/>
        <w:ind w:firstLine="616"/>
        <w:jc w:val="both"/>
        <w:spacing w:line="360" w:lineRule="auto"/>
        <w:rPr>
          <w:rFonts w:hint="eastAsia" w:eastAsia="仿宋_GB2312"/>
          <w:sz w:val="32"/>
          <w:szCs w:val="32"/>
        </w:rPr>
      </w:pPr>
      <w:r>
        <w:rPr>
          <w:rFonts w:hint="eastAsia" w:eastAsia="仿宋_GB2312"/>
          <w:spacing w:val="-6"/>
          <w:sz w:val="32"/>
          <w:szCs w:val="32"/>
        </w:rPr>
        <w:t xml:space="preserve">5.</w:t>
      </w:r>
      <w:r>
        <w:rPr>
          <w:rFonts w:hint="eastAsia" w:eastAsia="仿宋_GB2312"/>
          <w:spacing w:val="-6"/>
          <w:sz w:val="32"/>
          <w:szCs w:val="32"/>
        </w:rPr>
        <w:t xml:space="preserve">开展抽检</w:t>
      </w:r>
      <w:r>
        <w:rPr>
          <w:rFonts w:hint="eastAsia" w:eastAsia="仿宋_GB2312"/>
          <w:spacing w:val="-3"/>
          <w:sz w:val="32"/>
          <w:szCs w:val="32"/>
        </w:rPr>
        <w:t xml:space="preserve">工作，不得收取被抽检食品生产经营单位费用；</w:t>
      </w:r>
      <w:r>
        <w:rPr>
          <w:rFonts w:hint="eastAsia" w:eastAsia="仿宋_GB2312"/>
          <w:sz w:val="32"/>
          <w:szCs w:val="32"/>
        </w:rPr>
      </w:r>
      <w:r/>
    </w:p>
    <w:p>
      <w:pPr>
        <w:pStyle w:val="749"/>
        <w:ind w:firstLine="644"/>
        <w:jc w:val="both"/>
        <w:spacing w:line="360" w:lineRule="auto"/>
        <w:rPr>
          <w:rFonts w:hint="eastAsia" w:eastAsia="仿宋_GB2312"/>
          <w:sz w:val="32"/>
          <w:szCs w:val="32"/>
        </w:rPr>
      </w:pPr>
      <w:r>
        <w:rPr>
          <w:rFonts w:hint="eastAsia" w:eastAsia="仿宋_GB2312"/>
          <w:spacing w:val="1"/>
          <w:sz w:val="32"/>
          <w:szCs w:val="32"/>
        </w:rPr>
        <w:t xml:space="preserve">6.不得以各种形式</w:t>
      </w:r>
      <w:r>
        <w:rPr>
          <w:rFonts w:hint="eastAsia" w:eastAsia="仿宋_GB2312"/>
          <w:sz w:val="32"/>
          <w:szCs w:val="32"/>
        </w:rPr>
        <w:t xml:space="preserve">利用抽检结果参与有偿活动，不开展食品</w:t>
      </w:r>
      <w:r>
        <w:rPr>
          <w:rFonts w:hint="eastAsia" w:eastAsia="仿宋_GB2312"/>
          <w:spacing w:val="2"/>
          <w:sz w:val="32"/>
          <w:szCs w:val="32"/>
        </w:rPr>
        <w:t xml:space="preserve">推荐、评比活动，不向</w:t>
      </w:r>
      <w:r>
        <w:rPr>
          <w:rFonts w:hint="eastAsia" w:eastAsia="仿宋_GB2312"/>
          <w:spacing w:val="1"/>
          <w:sz w:val="32"/>
          <w:szCs w:val="32"/>
        </w:rPr>
        <w:t xml:space="preserve">受检食品生产经营单位发放抽检合格证书或</w:t>
      </w:r>
      <w:r>
        <w:rPr>
          <w:rFonts w:hint="eastAsia" w:eastAsia="仿宋_GB2312"/>
          <w:sz w:val="32"/>
          <w:szCs w:val="32"/>
        </w:rPr>
        <w:t xml:space="preserve">牌匾；</w:t>
      </w:r>
      <w:r/>
    </w:p>
    <w:p>
      <w:pPr>
        <w:pStyle w:val="749"/>
        <w:ind w:firstLine="624"/>
        <w:jc w:val="both"/>
        <w:spacing w:line="360" w:lineRule="auto"/>
        <w:rPr>
          <w:rFonts w:hint="eastAsia" w:eastAsia="仿宋_GB2312"/>
          <w:spacing w:val="-4"/>
          <w:sz w:val="32"/>
          <w:szCs w:val="32"/>
        </w:rPr>
      </w:pPr>
      <w:r>
        <w:rPr>
          <w:rFonts w:hint="eastAsia" w:eastAsia="仿宋_GB2312"/>
          <w:spacing w:val="-4"/>
          <w:sz w:val="32"/>
          <w:szCs w:val="32"/>
        </w:rPr>
        <w:t xml:space="preserve">7.如与食品生产、经营企业存在股权、期权持有或被持关系，或与食品生产经营企业存在长期有偿服务合同等可能影响食品安全抽检公平、公正情况的，应向甲方报告并主动回避相应食品大类的抽检工作；</w:t>
      </w:r>
      <w:r/>
    </w:p>
    <w:p>
      <w:pPr>
        <w:pStyle w:val="749"/>
        <w:ind w:firstLine="624"/>
        <w:jc w:val="both"/>
        <w:spacing w:line="360" w:lineRule="auto"/>
        <w:tabs>
          <w:tab w:val="left" w:pos="771" w:leader="none"/>
        </w:tabs>
        <w:rPr>
          <w:rFonts w:hint="eastAsia" w:eastAsia="仿宋_GB2312"/>
          <w:sz w:val="32"/>
          <w:szCs w:val="32"/>
        </w:rPr>
      </w:pPr>
      <w:r>
        <w:rPr>
          <w:rFonts w:hint="eastAsia" w:eastAsia="仿宋_GB2312"/>
          <w:spacing w:val="-4"/>
          <w:sz w:val="32"/>
          <w:szCs w:val="32"/>
        </w:rPr>
        <w:t xml:space="preserve">8.遵守保密纪律要求</w:t>
      </w:r>
      <w:r>
        <w:rPr>
          <w:rFonts w:hint="eastAsia" w:eastAsia="仿宋_GB2312"/>
          <w:spacing w:val="-2"/>
          <w:sz w:val="32"/>
          <w:szCs w:val="32"/>
        </w:rPr>
        <w:t xml:space="preserve">。未经甲方同意，不得以任何方式向被</w:t>
      </w:r>
      <w:r>
        <w:rPr>
          <w:rFonts w:hint="eastAsia" w:eastAsia="仿宋_GB2312"/>
          <w:spacing w:val="8"/>
          <w:sz w:val="32"/>
          <w:szCs w:val="32"/>
        </w:rPr>
        <w:t xml:space="preserve">抽检食品生产经营单位或其他单位、</w:t>
      </w:r>
      <w:r>
        <w:rPr>
          <w:rFonts w:hint="eastAsia" w:eastAsia="仿宋_GB2312"/>
          <w:spacing w:val="8"/>
          <w:sz w:val="32"/>
          <w:szCs w:val="32"/>
        </w:rPr>
        <w:t xml:space="preserve">人员以及公众透</w:t>
      </w:r>
      <w:r>
        <w:rPr>
          <w:rFonts w:hint="eastAsia" w:eastAsia="仿宋_GB2312"/>
          <w:sz w:val="32"/>
          <w:szCs w:val="32"/>
        </w:rPr>
        <w:t xml:space="preserve">露任何与检验任务、检验结果有关的信息。</w:t>
      </w:r>
      <w:r/>
    </w:p>
    <w:p>
      <w:pPr>
        <w:pStyle w:val="749"/>
        <w:ind w:firstLine="640"/>
        <w:jc w:val="both"/>
        <w:spacing w:line="360" w:lineRule="auto"/>
        <w:tabs>
          <w:tab w:val="left" w:pos="771" w:leader="none"/>
        </w:tabs>
        <w:rPr>
          <w:rFonts w:hint="eastAsia" w:eastAsia="仿宋_GB2312"/>
          <w:sz w:val="32"/>
          <w:szCs w:val="32"/>
        </w:rPr>
      </w:pPr>
      <w:r>
        <w:rPr>
          <w:rFonts w:hint="eastAsia" w:eastAsia="仿宋_GB2312"/>
          <w:sz w:val="32"/>
          <w:szCs w:val="32"/>
        </w:rPr>
        <w:t xml:space="preserve">（十一）未经甲方同意，不得单方面拒绝或放弃履行承检义务。</w:t>
      </w:r>
      <w:r/>
    </w:p>
    <w:p>
      <w:pPr>
        <w:pStyle w:val="749"/>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四、合同金额</w:t>
      </w:r>
      <w:r/>
    </w:p>
    <w:p>
      <w:pPr>
        <w:pStyle w:val="749"/>
        <w:ind w:firstLine="640"/>
        <w:jc w:val="both"/>
        <w:spacing w:line="360" w:lineRule="auto"/>
        <w:widowControl w:val="off"/>
        <w:rPr>
          <w:rFonts w:hint="eastAsia" w:eastAsia="仿宋_GB2312"/>
          <w:sz w:val="32"/>
          <w:szCs w:val="32"/>
        </w:rPr>
      </w:pPr>
      <w:r>
        <w:rPr>
          <w:rFonts w:hint="eastAsia" w:eastAsia="仿宋_GB2312"/>
          <w:sz w:val="32"/>
          <w:szCs w:val="32"/>
        </w:rPr>
        <w:t xml:space="preserve">合同总金额为：￥</w:t>
      </w:r>
      <w:r>
        <w:rPr>
          <w:rFonts w:hint="eastAsia" w:eastAsia="仿宋_GB2312"/>
          <w:sz w:val="32"/>
          <w:szCs w:val="32"/>
          <w:u w:val="single"/>
        </w:rPr>
        <w:t xml:space="preserve">    </w:t>
      </w:r>
      <w:r>
        <w:rPr>
          <w:rFonts w:hint="eastAsia" w:eastAsia="仿宋_GB2312"/>
          <w:sz w:val="32"/>
          <w:szCs w:val="32"/>
        </w:rPr>
        <w:t xml:space="preserve">（大写：</w:t>
      </w:r>
      <w:r>
        <w:rPr>
          <w:rFonts w:hint="eastAsia" w:eastAsia="仿宋_GB2312"/>
          <w:sz w:val="32"/>
          <w:szCs w:val="32"/>
          <w:u w:val="single"/>
        </w:rPr>
        <w:t xml:space="preserve">      </w:t>
      </w:r>
      <w:r>
        <w:rPr>
          <w:rFonts w:hint="eastAsia" w:eastAsia="仿宋_GB2312"/>
          <w:sz w:val="32"/>
          <w:szCs w:val="32"/>
        </w:rPr>
        <w:t xml:space="preserve"> ）。其中：中标单价为￥</w:t>
      </w:r>
      <w:r>
        <w:rPr>
          <w:rFonts w:hint="eastAsia" w:eastAsia="仿宋_GB2312"/>
          <w:sz w:val="32"/>
          <w:szCs w:val="32"/>
          <w:u w:val="single"/>
        </w:rPr>
        <w:t xml:space="preserve">       </w:t>
      </w:r>
      <w:r>
        <w:rPr>
          <w:rFonts w:hint="eastAsia" w:eastAsia="仿宋_GB2312"/>
          <w:sz w:val="32"/>
          <w:szCs w:val="32"/>
        </w:rPr>
        <w:t xml:space="preserve">（大写</w:t>
      </w:r>
      <w:r>
        <w:rPr>
          <w:rFonts w:hint="eastAsia" w:eastAsia="仿宋_GB2312"/>
          <w:sz w:val="32"/>
          <w:szCs w:val="32"/>
          <w:u w:val="single"/>
        </w:rPr>
        <w:t xml:space="preserve">        </w:t>
      </w:r>
      <w:r>
        <w:rPr>
          <w:rFonts w:hint="eastAsia" w:eastAsia="仿宋_GB2312"/>
          <w:sz w:val="32"/>
          <w:szCs w:val="32"/>
        </w:rPr>
        <w:t xml:space="preserve">），任务批次</w:t>
      </w:r>
      <w:r>
        <w:rPr>
          <w:rFonts w:hint="eastAsia" w:eastAsia="仿宋_GB2312"/>
          <w:sz w:val="32"/>
          <w:szCs w:val="32"/>
          <w:u w:val="single"/>
        </w:rPr>
        <w:t xml:space="preserve">       </w:t>
      </w:r>
      <w:r>
        <w:rPr>
          <w:rFonts w:hint="eastAsia" w:eastAsia="仿宋_GB2312"/>
          <w:sz w:val="32"/>
          <w:szCs w:val="32"/>
        </w:rPr>
        <w:t xml:space="preserve">批次。</w:t>
      </w:r>
      <w:r/>
    </w:p>
    <w:p>
      <w:pPr>
        <w:pStyle w:val="749"/>
        <w:numPr>
          <w:ilvl w:val="0"/>
          <w:numId w:val="5"/>
        </w:numPr>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项目验收</w:t>
      </w:r>
      <w:r/>
    </w:p>
    <w:p>
      <w:pPr>
        <w:pStyle w:val="762"/>
        <w:numPr>
          <w:ilvl w:val="0"/>
          <w:numId w:val="6"/>
        </w:numPr>
        <w:ind w:firstLine="648"/>
        <w:tabs>
          <w:tab w:val="left" w:pos="312" w:leader="none"/>
        </w:tabs>
        <w:rPr>
          <w:rFonts w:hint="eastAsia" w:ascii="Times New Roman" w:hAnsi="Times New Roman" w:eastAsia="仿宋_GB2312"/>
          <w:spacing w:val="2"/>
          <w:sz w:val="32"/>
          <w:szCs w:val="32"/>
        </w:rPr>
      </w:pPr>
      <w:r>
        <w:rPr>
          <w:rFonts w:hint="eastAsia" w:ascii="Times New Roman" w:hAnsi="Times New Roman" w:eastAsia="仿宋_GB2312"/>
          <w:spacing w:val="2"/>
          <w:sz w:val="32"/>
          <w:szCs w:val="32"/>
        </w:rPr>
        <w:t xml:space="preserve">验收主体：甲方组织开展项目验收；</w:t>
      </w:r>
      <w:r/>
    </w:p>
    <w:p>
      <w:pPr>
        <w:pStyle w:val="762"/>
        <w:numPr>
          <w:ilvl w:val="0"/>
          <w:numId w:val="6"/>
        </w:numPr>
        <w:ind w:firstLine="648"/>
        <w:tabs>
          <w:tab w:val="left" w:pos="312" w:leader="none"/>
        </w:tabs>
        <w:rPr>
          <w:rFonts w:ascii="Times New Roman" w:hAnsi="Times New Roman" w:eastAsia="仿宋_GB2312"/>
          <w:spacing w:val="2"/>
          <w:sz w:val="32"/>
          <w:szCs w:val="32"/>
        </w:rPr>
      </w:pPr>
      <w:r>
        <w:rPr>
          <w:rFonts w:hint="eastAsia" w:ascii="Times New Roman" w:hAnsi="Times New Roman" w:eastAsia="仿宋_GB2312"/>
          <w:spacing w:val="2"/>
          <w:sz w:val="32"/>
          <w:szCs w:val="32"/>
        </w:rPr>
        <w:t xml:space="preserve">验收时间：在约定的服务内容全部完成后；</w:t>
      </w:r>
      <w:r>
        <w:rPr>
          <w:rFonts w:ascii="Times New Roman" w:hAnsi="Times New Roman" w:eastAsia="仿宋_GB2312"/>
          <w:spacing w:val="2"/>
          <w:sz w:val="32"/>
          <w:szCs w:val="32"/>
        </w:rPr>
      </w:r>
      <w:r/>
    </w:p>
    <w:p>
      <w:pPr>
        <w:pStyle w:val="762"/>
        <w:numPr>
          <w:ilvl w:val="0"/>
          <w:numId w:val="6"/>
        </w:numPr>
        <w:ind w:firstLine="648"/>
        <w:tabs>
          <w:tab w:val="left" w:pos="312" w:leader="none"/>
        </w:tabs>
        <w:rPr>
          <w:rFonts w:ascii="Times New Roman" w:hAnsi="Times New Roman" w:eastAsia="仿宋_GB2312"/>
          <w:spacing w:val="2"/>
          <w:sz w:val="32"/>
          <w:szCs w:val="32"/>
        </w:rPr>
      </w:pPr>
      <w:r>
        <w:rPr>
          <w:rFonts w:hint="eastAsia" w:ascii="Times New Roman" w:hAnsi="Times New Roman" w:eastAsia="仿宋_GB2312"/>
          <w:spacing w:val="2"/>
          <w:sz w:val="32"/>
          <w:szCs w:val="32"/>
        </w:rPr>
        <w:t xml:space="preserve">验收方式：包括但不限于甲方召开项目验收会、要求乙方提供自查报告、审阅书面证明材料等；</w:t>
      </w:r>
      <w:r>
        <w:rPr>
          <w:rFonts w:ascii="Times New Roman" w:hAnsi="Times New Roman" w:eastAsia="仿宋_GB2312"/>
          <w:spacing w:val="2"/>
          <w:sz w:val="32"/>
          <w:szCs w:val="32"/>
        </w:rPr>
      </w:r>
      <w:r/>
    </w:p>
    <w:p>
      <w:pPr>
        <w:pStyle w:val="762"/>
        <w:numPr>
          <w:ilvl w:val="0"/>
          <w:numId w:val="6"/>
        </w:numPr>
        <w:ind w:firstLine="648"/>
        <w:tabs>
          <w:tab w:val="left" w:pos="312" w:leader="none"/>
        </w:tabs>
        <w:rPr>
          <w:rFonts w:ascii="Times New Roman" w:hAnsi="Times New Roman" w:eastAsia="仿宋_GB2312"/>
          <w:spacing w:val="2"/>
          <w:sz w:val="32"/>
          <w:szCs w:val="32"/>
        </w:rPr>
      </w:pPr>
      <w:r>
        <w:rPr>
          <w:rFonts w:hint="eastAsia" w:ascii="Times New Roman" w:hAnsi="Times New Roman" w:eastAsia="仿宋_GB2312"/>
          <w:spacing w:val="2"/>
          <w:sz w:val="32"/>
          <w:szCs w:val="32"/>
        </w:rPr>
        <w:t xml:space="preserve">验收评价：包括但不限于尾款结算、下阶段招标等；</w:t>
      </w:r>
      <w:r>
        <w:rPr>
          <w:rFonts w:ascii="Times New Roman" w:hAnsi="Times New Roman" w:eastAsia="仿宋_GB2312"/>
          <w:spacing w:val="2"/>
          <w:sz w:val="32"/>
          <w:szCs w:val="32"/>
        </w:rPr>
      </w:r>
      <w:r/>
    </w:p>
    <w:p>
      <w:pPr>
        <w:pStyle w:val="762"/>
        <w:numPr>
          <w:ilvl w:val="0"/>
          <w:numId w:val="6"/>
        </w:numPr>
        <w:ind w:firstLine="648"/>
        <w:tabs>
          <w:tab w:val="left" w:pos="312" w:leader="none"/>
        </w:tabs>
        <w:rPr>
          <w:rFonts w:ascii="Times New Roman" w:hAnsi="Times New Roman" w:eastAsia="仿宋_GB2312"/>
          <w:spacing w:val="2"/>
          <w:sz w:val="32"/>
          <w:szCs w:val="32"/>
        </w:rPr>
      </w:pPr>
      <w:r>
        <w:rPr>
          <w:rFonts w:hint="eastAsia" w:ascii="Times New Roman" w:hAnsi="Times New Roman" w:eastAsia="仿宋_GB2312"/>
          <w:spacing w:val="2"/>
          <w:sz w:val="32"/>
          <w:szCs w:val="32"/>
        </w:rPr>
        <w:t xml:space="preserve">验收程序：按照验收通知、机构</w:t>
      </w:r>
      <w:r>
        <w:rPr>
          <w:rFonts w:hint="eastAsia" w:ascii="Times New Roman" w:hAnsi="Times New Roman" w:eastAsia="仿宋_GB2312"/>
          <w:spacing w:val="2"/>
          <w:sz w:val="32"/>
          <w:szCs w:val="32"/>
        </w:rPr>
        <w:t xml:space="preserve">自查、报告提交、验收评审、作出评价、工作指导的流程组织验收；</w:t>
      </w:r>
      <w:r>
        <w:rPr>
          <w:rFonts w:ascii="Times New Roman" w:hAnsi="Times New Roman" w:eastAsia="仿宋_GB2312"/>
          <w:spacing w:val="2"/>
          <w:sz w:val="32"/>
          <w:szCs w:val="32"/>
        </w:rPr>
      </w:r>
      <w:r/>
    </w:p>
    <w:p>
      <w:pPr>
        <w:pStyle w:val="762"/>
        <w:numPr>
          <w:ilvl w:val="0"/>
          <w:numId w:val="6"/>
        </w:numPr>
        <w:ind w:firstLine="648"/>
        <w:tabs>
          <w:tab w:val="left" w:pos="312" w:leader="none"/>
        </w:tabs>
        <w:rPr>
          <w:rFonts w:ascii="Times New Roman" w:hAnsi="Times New Roman" w:eastAsia="仿宋_GB2312"/>
          <w:spacing w:val="2"/>
          <w:sz w:val="32"/>
          <w:szCs w:val="32"/>
        </w:rPr>
      </w:pPr>
      <w:r>
        <w:rPr>
          <w:rFonts w:hint="eastAsia" w:ascii="Times New Roman" w:hAnsi="Times New Roman" w:eastAsia="仿宋_GB2312"/>
          <w:spacing w:val="2"/>
          <w:sz w:val="32"/>
          <w:szCs w:val="32"/>
        </w:rPr>
        <w:t xml:space="preserve">验收内容：</w:t>
      </w:r>
      <w:r>
        <w:rPr>
          <w:rFonts w:hint="eastAsia" w:ascii="Times New Roman" w:hAnsi="Times New Roman" w:eastAsia="仿宋_GB2312"/>
          <w:spacing w:val="2"/>
          <w:sz w:val="32"/>
          <w:szCs w:val="32"/>
        </w:rPr>
        <w:t xml:space="preserve">包括但不限于整体任务情况、工作成效性、不合格率、分析报告科学性等。</w:t>
      </w:r>
      <w:r>
        <w:rPr>
          <w:rFonts w:ascii="Times New Roman" w:hAnsi="Times New Roman" w:eastAsia="仿宋_GB2312"/>
          <w:spacing w:val="2"/>
          <w:sz w:val="32"/>
          <w:szCs w:val="32"/>
        </w:rPr>
      </w:r>
      <w:r/>
    </w:p>
    <w:p>
      <w:pPr>
        <w:pStyle w:val="749"/>
        <w:ind w:firstLine="676"/>
        <w:jc w:val="both"/>
        <w:spacing w:after="0"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六、经费支付</w:t>
      </w:r>
      <w:r/>
    </w:p>
    <w:p>
      <w:pPr>
        <w:pStyle w:val="749"/>
        <w:ind w:firstLine="640"/>
        <w:spacing w:after="0"/>
        <w:rPr>
          <w:rFonts w:eastAsia="仿宋_GB2312"/>
          <w:color w:val="000000"/>
          <w:sz w:val="32"/>
          <w:szCs w:val="32"/>
        </w:rPr>
      </w:pPr>
      <w:r>
        <w:rPr>
          <w:rFonts w:hint="eastAsia" w:eastAsia="仿宋_GB2312"/>
          <w:color w:val="000000"/>
          <w:sz w:val="32"/>
          <w:szCs w:val="32"/>
        </w:rPr>
        <w:t xml:space="preserve">合同签订后30日内，甲方向乙方预付服务费用的50%；甲方确认乙方按合同约定完成任务，验收合格后30日内，向乙方支付剩余服务费用（剩余服务费用=中标单价×实际抽检批次数-预付款）。</w:t>
      </w:r>
      <w:r>
        <w:rPr>
          <w:rFonts w:eastAsia="仿宋_GB2312"/>
          <w:color w:val="000000"/>
          <w:sz w:val="32"/>
          <w:szCs w:val="32"/>
        </w:rPr>
      </w:r>
      <w:r/>
    </w:p>
    <w:p>
      <w:pPr>
        <w:pStyle w:val="749"/>
        <w:ind w:firstLine="644"/>
        <w:jc w:val="both"/>
        <w:spacing w:after="0" w:line="360" w:lineRule="auto"/>
        <w:rPr>
          <w:rFonts w:hint="eastAsia" w:eastAsia="仿宋_GB2312"/>
          <w:sz w:val="32"/>
          <w:szCs w:val="32"/>
          <w:u w:val="single"/>
        </w:rPr>
      </w:pPr>
      <w:r>
        <w:rPr>
          <w:rFonts w:hint="eastAsia" w:eastAsia="仿宋_GB2312"/>
          <w:spacing w:val="1"/>
          <w:sz w:val="32"/>
          <w:szCs w:val="32"/>
        </w:rPr>
        <w:t xml:space="preserve">乙方银行</w:t>
      </w:r>
      <w:r>
        <w:rPr>
          <w:rFonts w:hint="eastAsia" w:eastAsia="仿宋_GB2312"/>
          <w:sz w:val="32"/>
          <w:szCs w:val="32"/>
        </w:rPr>
        <w:t xml:space="preserve">账号：</w:t>
      </w:r>
      <w:r>
        <w:rPr>
          <w:rFonts w:hint="eastAsia" w:eastAsia="仿宋_GB2312"/>
          <w:sz w:val="32"/>
          <w:szCs w:val="32"/>
          <w:u w:val="single"/>
        </w:rPr>
        <w:t xml:space="preserve"> </w:t>
      </w:r>
      <w:r/>
    </w:p>
    <w:p>
      <w:pPr>
        <w:pStyle w:val="749"/>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七、违约责任</w:t>
      </w:r>
      <w:r/>
    </w:p>
    <w:p>
      <w:pPr>
        <w:pStyle w:val="749"/>
        <w:ind w:firstLine="640"/>
        <w:jc w:val="both"/>
        <w:spacing w:line="360" w:lineRule="auto"/>
        <w:tabs>
          <w:tab w:val="left" w:pos="766" w:leader="none"/>
        </w:tabs>
        <w:rPr>
          <w:rFonts w:hint="eastAsia" w:eastAsia="仿宋_GB2312"/>
          <w:sz w:val="32"/>
          <w:szCs w:val="32"/>
        </w:rPr>
      </w:pPr>
      <w:r>
        <w:rPr>
          <w:rFonts w:hint="eastAsia" w:eastAsia="仿宋_GB2312"/>
          <w:sz w:val="32"/>
          <w:szCs w:val="32"/>
        </w:rPr>
        <w:t xml:space="preserve">（一）</w:t>
      </w:r>
      <w:r>
        <w:rPr>
          <w:rFonts w:hint="eastAsia" w:eastAsia="仿宋_GB2312"/>
          <w:spacing w:val="3"/>
          <w:sz w:val="32"/>
          <w:szCs w:val="32"/>
        </w:rPr>
        <w:t xml:space="preserve">甲方如出现未提供抽检计划或未拨付相关经费等行为，</w:t>
      </w:r>
      <w:r>
        <w:rPr>
          <w:rFonts w:hint="eastAsia" w:eastAsia="仿宋_GB2312"/>
          <w:spacing w:val="12"/>
          <w:sz w:val="32"/>
          <w:szCs w:val="32"/>
        </w:rPr>
        <w:t xml:space="preserve">乙</w:t>
      </w:r>
      <w:r>
        <w:rPr>
          <w:rFonts w:hint="eastAsia" w:eastAsia="仿宋_GB2312"/>
          <w:spacing w:val="10"/>
          <w:sz w:val="32"/>
          <w:szCs w:val="32"/>
        </w:rPr>
        <w:t xml:space="preserve">方</w:t>
      </w:r>
      <w:r>
        <w:rPr>
          <w:rFonts w:hint="eastAsia" w:eastAsia="仿宋_GB2312"/>
          <w:spacing w:val="6"/>
          <w:sz w:val="32"/>
          <w:szCs w:val="32"/>
        </w:rPr>
        <w:t xml:space="preserve">可停止执行甲方提出的抽检检验任务。</w:t>
      </w:r>
      <w:r>
        <w:rPr>
          <w:rFonts w:hint="eastAsia" w:eastAsia="仿宋_GB2312"/>
          <w:sz w:val="32"/>
          <w:szCs w:val="32"/>
        </w:rPr>
      </w:r>
      <w:r/>
    </w:p>
    <w:p>
      <w:pPr>
        <w:pStyle w:val="749"/>
        <w:ind w:firstLine="640"/>
        <w:jc w:val="both"/>
        <w:spacing w:line="360" w:lineRule="auto"/>
        <w:tabs>
          <w:tab w:val="left" w:pos="766" w:leader="none"/>
        </w:tabs>
        <w:rPr>
          <w:rFonts w:hint="eastAsia" w:eastAsia="仿宋_GB2312"/>
          <w:sz w:val="32"/>
          <w:szCs w:val="32"/>
        </w:rPr>
      </w:pPr>
      <w:r>
        <w:rPr>
          <w:rFonts w:hint="eastAsia" w:eastAsia="仿宋_GB2312"/>
          <w:sz w:val="32"/>
          <w:szCs w:val="32"/>
        </w:rPr>
        <w:t xml:space="preserve">（二）</w:t>
      </w:r>
      <w:r>
        <w:rPr>
          <w:rFonts w:hint="eastAsia" w:eastAsia="仿宋_GB2312"/>
          <w:spacing w:val="-2"/>
          <w:sz w:val="32"/>
          <w:szCs w:val="32"/>
        </w:rPr>
        <w:t xml:space="preserve">对乙方出现的如下情形，甲方有权扣除</w:t>
      </w:r>
      <w:r>
        <w:rPr>
          <w:rFonts w:hint="eastAsia" w:eastAsia="仿宋_GB2312"/>
          <w:spacing w:val="-1"/>
          <w:sz w:val="32"/>
          <w:szCs w:val="32"/>
        </w:rPr>
        <w:t xml:space="preserve">其部分或全部检</w:t>
      </w:r>
      <w:r>
        <w:rPr>
          <w:rFonts w:hint="eastAsia" w:eastAsia="仿宋_GB2312"/>
          <w:spacing w:val="10"/>
          <w:sz w:val="32"/>
          <w:szCs w:val="32"/>
        </w:rPr>
        <w:t xml:space="preserve">验</w:t>
      </w:r>
      <w:r>
        <w:rPr>
          <w:rFonts w:hint="eastAsia" w:eastAsia="仿宋_GB2312"/>
          <w:spacing w:val="8"/>
          <w:sz w:val="32"/>
          <w:szCs w:val="32"/>
        </w:rPr>
        <w:t xml:space="preserve">费用、解除合同并取消检验资格：</w:t>
      </w:r>
      <w:r>
        <w:rPr>
          <w:rFonts w:hint="eastAsia" w:eastAsia="仿宋_GB2312"/>
          <w:sz w:val="32"/>
          <w:szCs w:val="32"/>
        </w:rPr>
      </w:r>
      <w:r/>
    </w:p>
    <w:p>
      <w:pPr>
        <w:pStyle w:val="749"/>
        <w:ind w:firstLine="656"/>
        <w:jc w:val="both"/>
        <w:spacing w:line="360" w:lineRule="auto"/>
        <w:rPr>
          <w:rFonts w:hint="eastAsia" w:eastAsia="仿宋_GB2312"/>
          <w:sz w:val="32"/>
          <w:szCs w:val="32"/>
        </w:rPr>
      </w:pPr>
      <w:r>
        <w:rPr>
          <w:rFonts w:hint="eastAsia" w:eastAsia="仿宋_GB2312"/>
          <w:spacing w:val="4"/>
          <w:sz w:val="32"/>
          <w:szCs w:val="32"/>
        </w:rPr>
        <w:t xml:space="preserve">1</w:t>
      </w:r>
      <w:r>
        <w:rPr>
          <w:rFonts w:hint="eastAsia" w:eastAsia="仿宋_GB2312"/>
          <w:spacing w:val="2"/>
          <w:sz w:val="32"/>
          <w:szCs w:val="32"/>
        </w:rPr>
        <w:t xml:space="preserve">.未经许可分包抽样或检验任务的；</w:t>
      </w:r>
      <w:r>
        <w:rPr>
          <w:rFonts w:hint="eastAsia" w:eastAsia="仿宋_GB2312"/>
          <w:sz w:val="32"/>
          <w:szCs w:val="32"/>
        </w:rPr>
      </w:r>
      <w:r/>
    </w:p>
    <w:p>
      <w:pPr>
        <w:pStyle w:val="749"/>
        <w:ind w:firstLine="624"/>
        <w:jc w:val="both"/>
        <w:spacing w:line="360" w:lineRule="auto"/>
        <w:rPr>
          <w:rFonts w:hint="eastAsia" w:eastAsia="仿宋_GB2312"/>
          <w:sz w:val="32"/>
          <w:szCs w:val="32"/>
        </w:rPr>
      </w:pPr>
      <w:r>
        <w:rPr>
          <w:rFonts w:hint="eastAsia" w:eastAsia="仿宋_GB2312"/>
          <w:spacing w:val="-4"/>
          <w:sz w:val="32"/>
          <w:szCs w:val="32"/>
        </w:rPr>
        <w:t xml:space="preserve">2.拒绝</w:t>
      </w:r>
      <w:r>
        <w:rPr>
          <w:rFonts w:hint="eastAsia" w:eastAsia="仿宋_GB2312"/>
          <w:spacing w:val="-2"/>
          <w:sz w:val="32"/>
          <w:szCs w:val="32"/>
        </w:rPr>
        <w:t xml:space="preserve">、阻挠、逃避甲方对抽检工作质量和经费使用情况开</w:t>
      </w:r>
      <w:r>
        <w:rPr>
          <w:rFonts w:hint="eastAsia" w:eastAsia="仿宋_GB2312"/>
          <w:spacing w:val="7"/>
          <w:sz w:val="32"/>
          <w:szCs w:val="32"/>
        </w:rPr>
        <w:t xml:space="preserve">展的监督检查和考核；</w:t>
      </w:r>
      <w:r>
        <w:rPr>
          <w:rFonts w:hint="eastAsia" w:eastAsia="仿宋_GB2312"/>
          <w:sz w:val="32"/>
          <w:szCs w:val="32"/>
        </w:rPr>
      </w:r>
      <w:r/>
    </w:p>
    <w:p>
      <w:pPr>
        <w:pStyle w:val="749"/>
        <w:ind w:firstLine="664"/>
        <w:jc w:val="both"/>
        <w:spacing w:line="360" w:lineRule="auto"/>
        <w:tabs>
          <w:tab w:val="left" w:pos="0" w:leader="none"/>
        </w:tabs>
        <w:rPr>
          <w:rFonts w:hint="eastAsia" w:eastAsia="仿宋_GB2312"/>
          <w:sz w:val="32"/>
          <w:szCs w:val="32"/>
        </w:rPr>
      </w:pPr>
      <w:r>
        <w:rPr>
          <w:rFonts w:hint="eastAsia" w:eastAsia="仿宋_GB2312"/>
          <w:spacing w:val="6"/>
          <w:sz w:val="32"/>
          <w:szCs w:val="32"/>
        </w:rPr>
        <w:t xml:space="preserve">3.未</w:t>
      </w:r>
      <w:r>
        <w:rPr>
          <w:rFonts w:hint="eastAsia" w:eastAsia="仿宋_GB2312"/>
          <w:spacing w:val="3"/>
          <w:sz w:val="32"/>
          <w:szCs w:val="32"/>
        </w:rPr>
        <w:t xml:space="preserve">按时完成承检工作、数据上报、工作总结以及其他抽检</w:t>
      </w:r>
      <w:r>
        <w:rPr>
          <w:rFonts w:hint="eastAsia" w:eastAsia="仿宋_GB2312"/>
          <w:spacing w:val="-5"/>
          <w:sz w:val="32"/>
          <w:szCs w:val="32"/>
        </w:rPr>
        <w:t xml:space="preserve">等资料，并未向甲方提出合理说明的；</w:t>
      </w:r>
      <w:r>
        <w:rPr>
          <w:rFonts w:hint="eastAsia" w:eastAsia="仿宋_GB2312"/>
          <w:sz w:val="32"/>
          <w:szCs w:val="32"/>
        </w:rPr>
      </w:r>
      <w:r/>
    </w:p>
    <w:p>
      <w:pPr>
        <w:pStyle w:val="749"/>
        <w:ind w:firstLine="644"/>
        <w:jc w:val="both"/>
        <w:spacing w:line="360" w:lineRule="auto"/>
        <w:rPr>
          <w:rFonts w:hint="eastAsia" w:eastAsia="仿宋_GB2312"/>
          <w:position w:val="16"/>
          <w:sz w:val="32"/>
          <w:szCs w:val="32"/>
        </w:rPr>
      </w:pPr>
      <w:r>
        <w:rPr>
          <w:rFonts w:hint="eastAsia" w:eastAsia="仿宋_GB2312"/>
          <w:spacing w:val="1"/>
          <w:position w:val="16"/>
          <w:sz w:val="32"/>
          <w:szCs w:val="32"/>
        </w:rPr>
        <w:t xml:space="preserve">4.未经甲方许可减少或调换抽样检验</w:t>
      </w:r>
      <w:r>
        <w:rPr>
          <w:rFonts w:hint="eastAsia" w:eastAsia="仿宋_GB2312"/>
          <w:position w:val="16"/>
          <w:sz w:val="32"/>
          <w:szCs w:val="32"/>
        </w:rPr>
        <w:t xml:space="preserve">品种、批次、项目或抽样区域、环节的；</w:t>
      </w:r>
      <w:r/>
    </w:p>
    <w:p>
      <w:pPr>
        <w:pStyle w:val="762"/>
        <w:ind w:firstLine="640"/>
      </w:pPr>
      <w:r>
        <w:rPr>
          <w:rFonts w:hint="eastAsia" w:ascii="Times New Roman" w:hAnsi="Times New Roman" w:eastAsia="仿宋_GB2312"/>
          <w:position w:val="16"/>
          <w:sz w:val="32"/>
          <w:szCs w:val="32"/>
        </w:rPr>
        <w:t xml:space="preserve">5.未通过甲方验收。</w:t>
      </w:r>
      <w:r/>
    </w:p>
    <w:p>
      <w:pPr>
        <w:pStyle w:val="749"/>
        <w:ind w:firstLine="640"/>
        <w:jc w:val="both"/>
        <w:spacing w:line="360" w:lineRule="auto"/>
        <w:tabs>
          <w:tab w:val="left" w:pos="770" w:leader="none"/>
        </w:tabs>
        <w:rPr>
          <w:rFonts w:hint="eastAsia" w:eastAsia="仿宋_GB2312"/>
          <w:sz w:val="32"/>
          <w:szCs w:val="32"/>
        </w:rPr>
      </w:pPr>
      <w:r>
        <w:rPr>
          <w:rFonts w:hint="eastAsia" w:eastAsia="仿宋_GB2312"/>
          <w:sz w:val="32"/>
          <w:szCs w:val="32"/>
        </w:rPr>
        <w:t xml:space="preserve">（三）</w:t>
      </w:r>
      <w:r>
        <w:rPr>
          <w:rFonts w:hint="eastAsia" w:eastAsia="仿宋_GB2312"/>
          <w:spacing w:val="-4"/>
          <w:sz w:val="32"/>
          <w:szCs w:val="32"/>
        </w:rPr>
        <w:t xml:space="preserve">对乙方出现的如下情形，造成不良结果的，甲方将不再</w:t>
      </w:r>
      <w:r>
        <w:rPr>
          <w:rFonts w:hint="eastAsia" w:eastAsia="仿宋_GB2312"/>
          <w:spacing w:val="8"/>
          <w:sz w:val="32"/>
          <w:szCs w:val="32"/>
        </w:rPr>
        <w:t xml:space="preserve">委托检验任务、解除合同直至追究法律责任</w:t>
      </w:r>
      <w:r>
        <w:rPr>
          <w:rFonts w:hint="eastAsia" w:eastAsia="仿宋_GB2312"/>
          <w:spacing w:val="5"/>
          <w:sz w:val="32"/>
          <w:szCs w:val="32"/>
        </w:rPr>
        <w:t xml:space="preserve">：</w:t>
      </w:r>
      <w:r>
        <w:rPr>
          <w:rFonts w:hint="eastAsia" w:eastAsia="仿宋_GB2312"/>
          <w:sz w:val="32"/>
          <w:szCs w:val="32"/>
        </w:rPr>
      </w:r>
      <w:r/>
    </w:p>
    <w:p>
      <w:pPr>
        <w:pStyle w:val="749"/>
        <w:ind w:firstLine="592"/>
        <w:jc w:val="both"/>
        <w:spacing w:line="360" w:lineRule="auto"/>
        <w:rPr>
          <w:rFonts w:hint="eastAsia" w:eastAsia="仿宋_GB2312"/>
          <w:sz w:val="32"/>
          <w:szCs w:val="32"/>
        </w:rPr>
      </w:pPr>
      <w:r>
        <w:rPr>
          <w:rFonts w:hint="eastAsia" w:eastAsia="仿宋_GB2312"/>
          <w:spacing w:val="-12"/>
          <w:sz w:val="32"/>
          <w:szCs w:val="32"/>
        </w:rPr>
        <w:t xml:space="preserve">1</w:t>
      </w:r>
      <w:r>
        <w:rPr>
          <w:rFonts w:hint="eastAsia" w:eastAsia="仿宋_GB2312"/>
          <w:spacing w:val="-6"/>
          <w:sz w:val="32"/>
          <w:szCs w:val="32"/>
        </w:rPr>
        <w:t xml:space="preserve">.出具虚假、错误检验数据和报告的；</w:t>
      </w:r>
      <w:r>
        <w:rPr>
          <w:rFonts w:hint="eastAsia" w:eastAsia="仿宋_GB2312"/>
          <w:sz w:val="32"/>
          <w:szCs w:val="32"/>
        </w:rPr>
      </w:r>
      <w:r/>
    </w:p>
    <w:p>
      <w:pPr>
        <w:pStyle w:val="749"/>
        <w:ind w:firstLine="616"/>
        <w:jc w:val="both"/>
        <w:spacing w:line="360" w:lineRule="auto"/>
        <w:rPr>
          <w:rFonts w:hint="eastAsia" w:eastAsia="仿宋_GB2312"/>
          <w:sz w:val="32"/>
          <w:szCs w:val="32"/>
        </w:rPr>
      </w:pPr>
      <w:r>
        <w:rPr>
          <w:rFonts w:hint="eastAsia" w:eastAsia="仿宋_GB2312"/>
          <w:spacing w:val="-6"/>
          <w:sz w:val="32"/>
          <w:szCs w:val="32"/>
        </w:rPr>
        <w:t xml:space="preserve">2.违反保密规定，向甲方以外单位或被抽检方泄露检验结果</w:t>
      </w:r>
      <w:r>
        <w:rPr>
          <w:rFonts w:hint="eastAsia" w:eastAsia="仿宋_GB2312"/>
          <w:spacing w:val="-1"/>
          <w:sz w:val="32"/>
          <w:szCs w:val="32"/>
        </w:rPr>
        <w:t xml:space="preserve">；</w:t>
      </w:r>
      <w:r>
        <w:rPr>
          <w:rFonts w:hint="eastAsia" w:eastAsia="仿宋_GB2312"/>
          <w:sz w:val="32"/>
          <w:szCs w:val="32"/>
        </w:rPr>
      </w:r>
      <w:r/>
    </w:p>
    <w:p>
      <w:pPr>
        <w:pStyle w:val="749"/>
        <w:ind w:firstLine="636"/>
        <w:jc w:val="both"/>
        <w:spacing w:line="360" w:lineRule="auto"/>
        <w:rPr>
          <w:rFonts w:hint="eastAsia" w:eastAsia="仿宋_GB2312"/>
          <w:sz w:val="32"/>
          <w:szCs w:val="32"/>
        </w:rPr>
      </w:pPr>
      <w:r>
        <w:rPr>
          <w:rFonts w:hint="eastAsia" w:eastAsia="仿宋_GB2312"/>
          <w:spacing w:val="-1"/>
          <w:sz w:val="32"/>
          <w:szCs w:val="32"/>
        </w:rPr>
        <w:t xml:space="preserve">3.</w:t>
      </w:r>
      <w:r>
        <w:rPr>
          <w:rFonts w:hint="eastAsia" w:eastAsia="仿宋_GB2312"/>
          <w:sz w:val="32"/>
          <w:szCs w:val="32"/>
        </w:rPr>
        <w:t xml:space="preserve">未按照规定时限出具检验报告；</w:t>
      </w:r>
      <w:r/>
    </w:p>
    <w:p>
      <w:pPr>
        <w:pStyle w:val="749"/>
        <w:ind w:firstLine="624"/>
        <w:jc w:val="both"/>
        <w:spacing w:line="360" w:lineRule="auto"/>
        <w:rPr>
          <w:rFonts w:hint="eastAsia" w:eastAsia="仿宋_GB2312"/>
          <w:sz w:val="32"/>
          <w:szCs w:val="32"/>
        </w:rPr>
      </w:pPr>
      <w:r>
        <w:rPr>
          <w:rFonts w:hint="eastAsia" w:eastAsia="仿宋_GB2312"/>
          <w:spacing w:val="-4"/>
          <w:sz w:val="32"/>
          <w:szCs w:val="32"/>
        </w:rPr>
        <w:t xml:space="preserve">4</w:t>
      </w:r>
      <w:r>
        <w:rPr>
          <w:rFonts w:hint="eastAsia" w:eastAsia="仿宋_GB2312"/>
          <w:spacing w:val="-2"/>
          <w:sz w:val="32"/>
          <w:szCs w:val="32"/>
        </w:rPr>
        <w:t xml:space="preserve">、因运输、保存不当导致备</w:t>
      </w:r>
      <w:r>
        <w:rPr>
          <w:rFonts w:hint="eastAsia" w:eastAsia="仿宋_GB2312"/>
          <w:spacing w:val="-2"/>
          <w:sz w:val="32"/>
          <w:szCs w:val="32"/>
        </w:rPr>
        <w:t xml:space="preserve">份样品丢失或损毁的；</w:t>
      </w:r>
      <w:r>
        <w:rPr>
          <w:rFonts w:hint="eastAsia" w:eastAsia="仿宋_GB2312"/>
          <w:sz w:val="32"/>
          <w:szCs w:val="32"/>
        </w:rPr>
      </w:r>
      <w:r/>
    </w:p>
    <w:p>
      <w:pPr>
        <w:pStyle w:val="749"/>
        <w:ind w:firstLine="624"/>
        <w:jc w:val="both"/>
        <w:spacing w:line="360" w:lineRule="auto"/>
        <w:rPr>
          <w:rFonts w:hint="eastAsia" w:eastAsia="仿宋_GB2312"/>
          <w:sz w:val="32"/>
          <w:szCs w:val="32"/>
        </w:rPr>
      </w:pPr>
      <w:r>
        <w:rPr>
          <w:rFonts w:hint="eastAsia" w:eastAsia="仿宋_GB2312"/>
          <w:spacing w:val="-4"/>
          <w:sz w:val="32"/>
          <w:szCs w:val="32"/>
        </w:rPr>
        <w:t xml:space="preserve">5.乙方持有</w:t>
      </w:r>
      <w:r>
        <w:rPr>
          <w:rFonts w:hint="eastAsia" w:eastAsia="仿宋_GB2312"/>
          <w:spacing w:val="-3"/>
          <w:sz w:val="32"/>
          <w:szCs w:val="32"/>
        </w:rPr>
        <w:t xml:space="preserve">食</w:t>
      </w:r>
      <w:r>
        <w:rPr>
          <w:rFonts w:hint="eastAsia" w:eastAsia="仿宋_GB2312"/>
          <w:spacing w:val="-2"/>
          <w:sz w:val="32"/>
          <w:szCs w:val="32"/>
        </w:rPr>
        <w:t xml:space="preserve">品生产、经营企业股权、期权或与食品生产经</w:t>
      </w:r>
      <w:r>
        <w:rPr>
          <w:rFonts w:hint="eastAsia" w:eastAsia="仿宋_GB2312"/>
          <w:spacing w:val="14"/>
          <w:sz w:val="32"/>
          <w:szCs w:val="32"/>
        </w:rPr>
        <w:t xml:space="preserve">营</w:t>
      </w:r>
      <w:r>
        <w:rPr>
          <w:rFonts w:hint="eastAsia" w:eastAsia="仿宋_GB2312"/>
          <w:spacing w:val="12"/>
          <w:sz w:val="32"/>
          <w:szCs w:val="32"/>
        </w:rPr>
        <w:t xml:space="preserve">企</w:t>
      </w:r>
      <w:r>
        <w:rPr>
          <w:rFonts w:hint="eastAsia" w:eastAsia="仿宋_GB2312"/>
          <w:spacing w:val="7"/>
          <w:sz w:val="32"/>
          <w:szCs w:val="32"/>
        </w:rPr>
        <w:t xml:space="preserve">业存在长期有偿服务合同等可能影响食品安全抽检公平、公正</w:t>
      </w:r>
      <w:r>
        <w:rPr>
          <w:rFonts w:hint="eastAsia" w:eastAsia="仿宋_GB2312"/>
          <w:spacing w:val="6"/>
          <w:sz w:val="32"/>
          <w:szCs w:val="32"/>
        </w:rPr>
        <w:t xml:space="preserve">情况而未向甲方备案</w:t>
      </w:r>
      <w:r>
        <w:rPr>
          <w:rFonts w:hint="eastAsia" w:eastAsia="仿宋_GB2312"/>
          <w:spacing w:val="5"/>
          <w:sz w:val="32"/>
          <w:szCs w:val="32"/>
        </w:rPr>
        <w:t xml:space="preserve">；</w:t>
      </w:r>
      <w:r>
        <w:rPr>
          <w:rFonts w:hint="eastAsia" w:eastAsia="仿宋_GB2312"/>
          <w:sz w:val="32"/>
          <w:szCs w:val="32"/>
        </w:rPr>
      </w:r>
      <w:r/>
    </w:p>
    <w:p>
      <w:pPr>
        <w:pStyle w:val="749"/>
        <w:ind w:firstLine="584"/>
        <w:jc w:val="both"/>
        <w:spacing w:line="360" w:lineRule="auto"/>
        <w:rPr>
          <w:rFonts w:hint="eastAsia" w:eastAsia="仿宋_GB2312"/>
          <w:sz w:val="32"/>
          <w:szCs w:val="32"/>
        </w:rPr>
      </w:pPr>
      <w:r>
        <w:rPr>
          <w:rFonts w:hint="eastAsia" w:eastAsia="仿宋_GB2312"/>
          <w:spacing w:val="-14"/>
          <w:sz w:val="32"/>
          <w:szCs w:val="32"/>
        </w:rPr>
        <w:t xml:space="preserve">6.</w:t>
      </w:r>
      <w:r>
        <w:rPr>
          <w:rFonts w:hint="eastAsia" w:eastAsia="仿宋_GB2312"/>
          <w:spacing w:val="-7"/>
          <w:sz w:val="32"/>
          <w:szCs w:val="32"/>
        </w:rPr>
        <w:t xml:space="preserve">乙方出具的检验报告单位名称与投标法人不一致，又未提</w:t>
      </w:r>
      <w:r>
        <w:rPr>
          <w:rFonts w:hint="eastAsia" w:eastAsia="仿宋_GB2312"/>
          <w:spacing w:val="7"/>
          <w:sz w:val="32"/>
          <w:szCs w:val="32"/>
        </w:rPr>
        <w:t xml:space="preserve">供相关证明文件的</w:t>
      </w:r>
      <w:r>
        <w:rPr>
          <w:rFonts w:hint="eastAsia" w:eastAsia="仿宋_GB2312"/>
          <w:spacing w:val="5"/>
          <w:sz w:val="32"/>
          <w:szCs w:val="32"/>
        </w:rPr>
        <w:t xml:space="preserve">。</w:t>
      </w:r>
      <w:r>
        <w:rPr>
          <w:rFonts w:hint="eastAsia" w:eastAsia="仿宋_GB2312"/>
          <w:sz w:val="32"/>
          <w:szCs w:val="32"/>
        </w:rPr>
      </w:r>
      <w:r/>
    </w:p>
    <w:p>
      <w:pPr>
        <w:pStyle w:val="749"/>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八、争议解决</w:t>
      </w:r>
      <w:r/>
    </w:p>
    <w:p>
      <w:pPr>
        <w:pStyle w:val="749"/>
        <w:ind w:firstLine="568"/>
        <w:jc w:val="both"/>
        <w:spacing w:line="360" w:lineRule="auto"/>
        <w:rPr>
          <w:rFonts w:hint="eastAsia" w:eastAsia="仿宋_GB2312"/>
          <w:sz w:val="32"/>
          <w:szCs w:val="32"/>
        </w:rPr>
      </w:pPr>
      <w:r>
        <w:rPr>
          <w:rFonts w:hint="eastAsia" w:eastAsia="仿宋_GB2312"/>
          <w:spacing w:val="-18"/>
          <w:sz w:val="32"/>
          <w:szCs w:val="32"/>
        </w:rPr>
        <w:t xml:space="preserve">因合</w:t>
      </w:r>
      <w:r>
        <w:rPr>
          <w:rFonts w:hint="eastAsia" w:eastAsia="仿宋_GB2312"/>
          <w:spacing w:val="-12"/>
          <w:sz w:val="32"/>
          <w:szCs w:val="32"/>
        </w:rPr>
        <w:t xml:space="preserve">同</w:t>
      </w:r>
      <w:r>
        <w:rPr>
          <w:rFonts w:hint="eastAsia" w:eastAsia="仿宋_GB2312"/>
          <w:spacing w:val="-9"/>
          <w:sz w:val="32"/>
          <w:szCs w:val="32"/>
        </w:rPr>
        <w:t xml:space="preserve">产生的争议，由甲乙双方友好协商解决。协商不成时，</w:t>
      </w:r>
      <w:r>
        <w:rPr>
          <w:rFonts w:hint="eastAsia" w:eastAsia="仿宋_GB2312"/>
          <w:spacing w:val="16"/>
          <w:sz w:val="32"/>
          <w:szCs w:val="32"/>
        </w:rPr>
        <w:t xml:space="preserve">双</w:t>
      </w:r>
      <w:r>
        <w:rPr>
          <w:rFonts w:hint="eastAsia" w:eastAsia="仿宋_GB2312"/>
          <w:spacing w:val="10"/>
          <w:sz w:val="32"/>
          <w:szCs w:val="32"/>
        </w:rPr>
        <w:t xml:space="preserve">方</w:t>
      </w:r>
      <w:r>
        <w:rPr>
          <w:rFonts w:hint="eastAsia" w:eastAsia="仿宋_GB2312"/>
          <w:spacing w:val="8"/>
          <w:sz w:val="32"/>
          <w:szCs w:val="32"/>
        </w:rPr>
        <w:t xml:space="preserve">均有权向甲方所在地人民法院提起诉讼。</w:t>
      </w:r>
      <w:r>
        <w:rPr>
          <w:rFonts w:hint="eastAsia" w:eastAsia="仿宋_GB2312"/>
          <w:sz w:val="32"/>
          <w:szCs w:val="32"/>
        </w:rPr>
      </w:r>
      <w:r/>
    </w:p>
    <w:p>
      <w:pPr>
        <w:pStyle w:val="749"/>
        <w:ind w:firstLine="676"/>
        <w:jc w:val="both"/>
        <w:spacing w:line="360" w:lineRule="auto"/>
        <w:rPr>
          <w:rFonts w:hint="eastAsia" w:ascii="黑体" w:hAnsi="黑体" w:eastAsia="黑体" w:cs="黑体"/>
          <w:spacing w:val="9"/>
          <w:position w:val="5"/>
          <w:sz w:val="32"/>
          <w:szCs w:val="32"/>
        </w:rPr>
      </w:pPr>
      <w:r>
        <w:rPr>
          <w:rFonts w:hint="eastAsia" w:ascii="黑体" w:hAnsi="黑体" w:eastAsia="黑体" w:cs="黑体"/>
          <w:spacing w:val="9"/>
          <w:position w:val="5"/>
          <w:sz w:val="32"/>
          <w:szCs w:val="32"/>
        </w:rPr>
        <w:t xml:space="preserve">九、合同生效</w:t>
      </w:r>
      <w:r/>
    </w:p>
    <w:p>
      <w:pPr>
        <w:pStyle w:val="749"/>
        <w:ind w:firstLine="788"/>
        <w:jc w:val="both"/>
        <w:spacing w:line="360" w:lineRule="auto"/>
        <w:rPr>
          <w:rFonts w:hint="eastAsia" w:eastAsia="仿宋_GB2312"/>
          <w:sz w:val="32"/>
          <w:szCs w:val="32"/>
        </w:rPr>
      </w:pPr>
      <w:r>
        <w:rPr>
          <w:rFonts w:hint="eastAsia" w:eastAsia="仿宋_GB2312"/>
          <w:spacing w:val="37"/>
          <w:sz w:val="32"/>
          <w:szCs w:val="32"/>
        </w:rPr>
        <w:t xml:space="preserve">合</w:t>
      </w:r>
      <w:r>
        <w:rPr>
          <w:rFonts w:hint="eastAsia" w:eastAsia="仿宋_GB2312"/>
          <w:spacing w:val="19"/>
          <w:sz w:val="32"/>
          <w:szCs w:val="32"/>
        </w:rPr>
        <w:t xml:space="preserve">同经双方法定代表人或授权代表人签字并加盖单位公章后</w:t>
      </w:r>
      <w:r>
        <w:rPr>
          <w:rFonts w:hint="eastAsia" w:eastAsia="仿宋_GB2312"/>
          <w:spacing w:val="-6"/>
          <w:sz w:val="32"/>
          <w:szCs w:val="32"/>
        </w:rPr>
        <w:t xml:space="preserve">生效。</w:t>
      </w:r>
      <w:r>
        <w:rPr>
          <w:rFonts w:hint="eastAsia" w:eastAsia="仿宋_GB2312"/>
          <w:sz w:val="32"/>
          <w:szCs w:val="32"/>
        </w:rPr>
      </w:r>
      <w:r/>
    </w:p>
    <w:p>
      <w:pPr>
        <w:pStyle w:val="749"/>
        <w:ind w:firstLine="616"/>
        <w:jc w:val="both"/>
        <w:spacing w:line="360" w:lineRule="auto"/>
        <w:rPr>
          <w:rFonts w:hint="eastAsia" w:eastAsia="仿宋_GB2312"/>
          <w:sz w:val="32"/>
          <w:szCs w:val="32"/>
        </w:rPr>
      </w:pPr>
      <w:r>
        <w:rPr>
          <w:rFonts w:hint="eastAsia" w:eastAsia="仿宋_GB2312"/>
          <w:spacing w:val="-6"/>
          <w:sz w:val="32"/>
          <w:szCs w:val="32"/>
        </w:rPr>
        <w:t xml:space="preserve">本项目合同期限</w:t>
      </w:r>
      <w:r>
        <w:rPr>
          <w:rFonts w:hint="eastAsia" w:eastAsia="仿宋_GB2312"/>
          <w:spacing w:val="-3"/>
          <w:sz w:val="32"/>
          <w:szCs w:val="32"/>
        </w:rPr>
        <w:t xml:space="preserve">为：合同签订之日起至2026年12月31日。</w:t>
      </w:r>
      <w:r>
        <w:rPr>
          <w:rFonts w:hint="eastAsia" w:eastAsia="仿宋_GB2312"/>
          <w:spacing w:val="-18"/>
          <w:sz w:val="32"/>
          <w:szCs w:val="32"/>
        </w:rPr>
        <w:t xml:space="preserve">在合</w:t>
      </w:r>
      <w:r>
        <w:rPr>
          <w:rFonts w:hint="eastAsia" w:eastAsia="仿宋_GB2312"/>
          <w:spacing w:val="-14"/>
          <w:sz w:val="32"/>
          <w:szCs w:val="32"/>
        </w:rPr>
        <w:t xml:space="preserve">同</w:t>
      </w:r>
      <w:r>
        <w:rPr>
          <w:rFonts w:hint="eastAsia" w:eastAsia="仿宋_GB2312"/>
          <w:spacing w:val="-9"/>
          <w:sz w:val="32"/>
          <w:szCs w:val="32"/>
        </w:rPr>
        <w:t xml:space="preserve">执行过程中，如需变更合同内容，应由甲乙双方共同协商，</w:t>
      </w:r>
      <w:r>
        <w:rPr>
          <w:rFonts w:hint="eastAsia" w:eastAsia="仿宋_GB2312"/>
          <w:spacing w:val="9"/>
          <w:sz w:val="32"/>
          <w:szCs w:val="32"/>
        </w:rPr>
        <w:t xml:space="preserve">签订补充文件。补充签订的文件与本合同具有同等法律效力</w:t>
      </w:r>
      <w:r>
        <w:rPr>
          <w:rFonts w:hint="eastAsia" w:eastAsia="仿宋_GB2312"/>
          <w:spacing w:val="6"/>
          <w:sz w:val="32"/>
          <w:szCs w:val="32"/>
        </w:rPr>
        <w:t xml:space="preserve">。</w:t>
      </w:r>
      <w:r>
        <w:rPr>
          <w:rFonts w:hint="eastAsia" w:eastAsia="仿宋_GB2312"/>
          <w:sz w:val="32"/>
          <w:szCs w:val="32"/>
        </w:rPr>
      </w:r>
      <w:r/>
    </w:p>
    <w:p>
      <w:pPr>
        <w:pStyle w:val="749"/>
        <w:ind w:firstLine="588"/>
        <w:spacing w:line="360" w:lineRule="auto"/>
        <w:rPr>
          <w:rFonts w:hint="eastAsia" w:eastAsia="仿宋_GB2312"/>
          <w:spacing w:val="-13"/>
          <w:sz w:val="32"/>
          <w:szCs w:val="32"/>
        </w:rPr>
      </w:pPr>
      <w:r>
        <w:rPr>
          <w:rFonts w:eastAsia="仿宋_GB2312"/>
          <w:spacing w:val="-13"/>
          <w:sz w:val="32"/>
          <w:szCs w:val="32"/>
        </w:rPr>
        <w:br w:type="page" w:clear="all"/>
      </w:r>
      <w:r>
        <w:rPr>
          <w:rFonts w:hint="eastAsia" w:eastAsia="仿宋_GB2312"/>
          <w:spacing w:val="-13"/>
          <w:sz w:val="32"/>
          <w:szCs w:val="32"/>
        </w:rPr>
        <w:t xml:space="preserve">（此页无正文）</w:t>
      </w:r>
      <w:r/>
    </w:p>
    <w:p>
      <w:pPr>
        <w:pStyle w:val="749"/>
        <w:ind w:firstLine="588"/>
        <w:spacing w:line="360" w:lineRule="auto"/>
        <w:rPr>
          <w:rFonts w:hint="eastAsia" w:eastAsia="仿宋_GB2312"/>
          <w:spacing w:val="-13"/>
          <w:sz w:val="32"/>
          <w:szCs w:val="32"/>
        </w:rPr>
      </w:pPr>
      <w:r>
        <w:rPr>
          <w:rFonts w:hint="eastAsia" w:eastAsia="仿宋_GB2312"/>
          <w:spacing w:val="-13"/>
          <w:sz w:val="32"/>
          <w:szCs w:val="32"/>
        </w:rPr>
      </w:r>
      <w:r/>
    </w:p>
    <w:p>
      <w:pPr>
        <w:pStyle w:val="749"/>
        <w:ind w:firstLine="588"/>
        <w:spacing w:line="360" w:lineRule="auto"/>
        <w:rPr>
          <w:rFonts w:hint="eastAsia" w:eastAsia="仿宋_GB2312"/>
          <w:spacing w:val="-13"/>
          <w:sz w:val="32"/>
          <w:szCs w:val="32"/>
        </w:rPr>
      </w:pPr>
      <w:r>
        <w:rPr>
          <w:rFonts w:hint="eastAsia" w:eastAsia="仿宋_GB2312"/>
          <w:spacing w:val="-13"/>
          <w:sz w:val="32"/>
          <w:szCs w:val="32"/>
        </w:rPr>
        <w:t xml:space="preserve">甲方：江苏省市场监督管理局（单位盖章）</w:t>
      </w:r>
      <w:r/>
    </w:p>
    <w:p>
      <w:pPr>
        <w:pStyle w:val="749"/>
        <w:ind w:firstLine="588"/>
        <w:spacing w:line="360" w:lineRule="auto"/>
        <w:rPr>
          <w:rFonts w:hint="eastAsia" w:eastAsia="仿宋_GB2312"/>
          <w:spacing w:val="-13"/>
          <w:sz w:val="32"/>
          <w:szCs w:val="32"/>
        </w:rPr>
      </w:pPr>
      <w:r>
        <w:rPr>
          <w:rFonts w:hint="eastAsia" w:eastAsia="仿宋_GB2312"/>
          <w:spacing w:val="-13"/>
          <w:sz w:val="32"/>
          <w:szCs w:val="32"/>
        </w:rPr>
      </w:r>
      <w:r/>
    </w:p>
    <w:p>
      <w:pPr>
        <w:pStyle w:val="749"/>
        <w:ind w:firstLine="672"/>
        <w:spacing w:line="360" w:lineRule="auto"/>
        <w:rPr>
          <w:rFonts w:hint="eastAsia" w:eastAsia="仿宋_GB2312"/>
          <w:sz w:val="32"/>
          <w:szCs w:val="32"/>
        </w:rPr>
      </w:pPr>
      <w:r>
        <w:rPr>
          <w:rFonts w:hint="eastAsia" w:eastAsia="仿宋_GB2312"/>
          <w:spacing w:val="8"/>
          <w:sz w:val="32"/>
          <w:szCs w:val="32"/>
        </w:rPr>
        <w:t xml:space="preserve">法</w:t>
      </w:r>
      <w:r>
        <w:rPr>
          <w:rFonts w:hint="eastAsia" w:eastAsia="仿宋_GB2312"/>
          <w:spacing w:val="6"/>
          <w:sz w:val="32"/>
          <w:szCs w:val="32"/>
        </w:rPr>
        <w:t xml:space="preserve">定代表人或授权代表人： </w:t>
      </w:r>
      <w:r>
        <w:rPr>
          <w:rFonts w:hint="eastAsia" w:eastAsia="仿宋_GB2312"/>
          <w:sz w:val="32"/>
          <w:szCs w:val="32"/>
        </w:rPr>
      </w:r>
      <w:r/>
    </w:p>
    <w:p>
      <w:pPr>
        <w:pStyle w:val="749"/>
        <w:ind w:firstLine="640"/>
        <w:spacing w:line="360" w:lineRule="auto"/>
        <w:rPr>
          <w:rFonts w:hint="eastAsia" w:eastAsia="仿宋_GB2312"/>
          <w:sz w:val="32"/>
          <w:szCs w:val="32"/>
        </w:rPr>
      </w:pPr>
      <w:r>
        <w:rPr>
          <w:rFonts w:hint="eastAsia" w:eastAsia="仿宋_GB2312"/>
          <w:sz w:val="32"/>
          <w:szCs w:val="32"/>
        </w:rPr>
      </w:r>
      <w:r/>
    </w:p>
    <w:p>
      <w:pPr>
        <w:pStyle w:val="749"/>
        <w:ind w:firstLine="664"/>
        <w:spacing w:line="360" w:lineRule="auto"/>
        <w:rPr>
          <w:rFonts w:hint="eastAsia" w:eastAsia="仿宋_GB2312"/>
          <w:sz w:val="32"/>
          <w:szCs w:val="32"/>
        </w:rPr>
      </w:pPr>
      <w:r>
        <w:rPr>
          <w:rFonts w:hint="eastAsia" w:eastAsia="仿宋_GB2312"/>
          <w:spacing w:val="6"/>
          <w:sz w:val="32"/>
          <w:szCs w:val="32"/>
          <w:u w:val="single"/>
        </w:rPr>
        <w:t xml:space="preserve">          </w:t>
      </w:r>
      <w:r>
        <w:rPr>
          <w:rFonts w:hint="eastAsia" w:eastAsia="仿宋_GB2312"/>
          <w:spacing w:val="7"/>
          <w:sz w:val="32"/>
          <w:szCs w:val="32"/>
        </w:rPr>
        <w:t xml:space="preserve">年</w:t>
      </w:r>
      <w:r>
        <w:rPr>
          <w:rFonts w:hint="eastAsia" w:eastAsia="仿宋_GB2312"/>
          <w:spacing w:val="6"/>
          <w:sz w:val="32"/>
          <w:szCs w:val="32"/>
          <w:u w:val="single"/>
        </w:rPr>
        <w:t xml:space="preserve">          </w:t>
      </w:r>
      <w:r>
        <w:rPr>
          <w:rFonts w:hint="eastAsia" w:eastAsia="仿宋_GB2312"/>
          <w:spacing w:val="7"/>
          <w:sz w:val="32"/>
          <w:szCs w:val="32"/>
        </w:rPr>
        <w:t xml:space="preserve">月</w:t>
      </w:r>
      <w:r>
        <w:rPr>
          <w:rFonts w:hint="eastAsia" w:eastAsia="仿宋_GB2312"/>
          <w:spacing w:val="6"/>
          <w:sz w:val="32"/>
          <w:szCs w:val="32"/>
          <w:u w:val="single"/>
        </w:rPr>
        <w:t xml:space="preserve">          </w:t>
      </w:r>
      <w:r>
        <w:rPr>
          <w:rFonts w:hint="eastAsia" w:eastAsia="仿宋_GB2312"/>
          <w:spacing w:val="7"/>
          <w:sz w:val="32"/>
          <w:szCs w:val="32"/>
        </w:rPr>
        <w:t xml:space="preserve">日</w:t>
      </w:r>
      <w:r>
        <w:rPr>
          <w:rFonts w:hint="eastAsia" w:eastAsia="仿宋_GB2312"/>
          <w:sz w:val="32"/>
          <w:szCs w:val="32"/>
        </w:rPr>
      </w:r>
      <w:r/>
    </w:p>
    <w:p>
      <w:pPr>
        <w:pStyle w:val="749"/>
        <w:ind w:firstLine="640"/>
        <w:spacing w:line="360" w:lineRule="auto"/>
        <w:rPr>
          <w:rFonts w:hint="eastAsia" w:eastAsia="仿宋_GB2312"/>
          <w:sz w:val="32"/>
          <w:szCs w:val="32"/>
        </w:rPr>
      </w:pPr>
      <w:r>
        <w:rPr>
          <w:rFonts w:hint="eastAsia" w:eastAsia="仿宋_GB2312"/>
          <w:sz w:val="32"/>
          <w:szCs w:val="32"/>
        </w:rPr>
      </w:r>
      <w:r/>
    </w:p>
    <w:p>
      <w:pPr>
        <w:pStyle w:val="749"/>
        <w:ind w:firstLine="640"/>
        <w:spacing w:line="360" w:lineRule="auto"/>
        <w:rPr>
          <w:rFonts w:hint="eastAsia" w:eastAsia="仿宋_GB2312"/>
          <w:sz w:val="32"/>
          <w:szCs w:val="32"/>
        </w:rPr>
      </w:pPr>
      <w:r>
        <w:rPr>
          <w:rFonts w:hint="eastAsia" w:eastAsia="仿宋_GB2312"/>
          <w:sz w:val="32"/>
          <w:szCs w:val="32"/>
        </w:rPr>
      </w:r>
      <w:r/>
    </w:p>
    <w:p>
      <w:pPr>
        <w:pStyle w:val="749"/>
        <w:ind w:firstLine="640"/>
        <w:spacing w:line="360" w:lineRule="auto"/>
        <w:rPr>
          <w:rFonts w:hint="eastAsia" w:eastAsia="仿宋_GB2312"/>
          <w:sz w:val="32"/>
          <w:szCs w:val="32"/>
        </w:rPr>
      </w:pPr>
      <w:r>
        <w:rPr>
          <w:rFonts w:hint="eastAsia" w:eastAsia="仿宋_GB2312"/>
          <w:sz w:val="32"/>
          <w:szCs w:val="32"/>
        </w:rPr>
      </w:r>
      <w:r/>
    </w:p>
    <w:p>
      <w:pPr>
        <w:pStyle w:val="749"/>
        <w:ind w:firstLine="640"/>
        <w:spacing w:line="360" w:lineRule="auto"/>
        <w:rPr>
          <w:rFonts w:hint="eastAsia" w:eastAsia="仿宋_GB2312"/>
          <w:sz w:val="32"/>
          <w:szCs w:val="32"/>
        </w:rPr>
      </w:pPr>
      <w:r>
        <w:rPr>
          <w:rFonts w:hint="eastAsia" w:eastAsia="仿宋_GB2312"/>
          <w:sz w:val="32"/>
          <w:szCs w:val="32"/>
        </w:rPr>
      </w:r>
      <w:r/>
    </w:p>
    <w:p>
      <w:pPr>
        <w:pStyle w:val="749"/>
        <w:ind w:firstLine="588"/>
        <w:spacing w:line="360" w:lineRule="auto"/>
        <w:rPr>
          <w:rFonts w:hint="eastAsia" w:eastAsia="仿宋_GB2312"/>
          <w:sz w:val="32"/>
          <w:szCs w:val="32"/>
        </w:rPr>
      </w:pPr>
      <w:r>
        <w:rPr>
          <w:rFonts w:hint="eastAsia" w:eastAsia="仿宋_GB2312"/>
          <w:spacing w:val="-13"/>
          <w:sz w:val="32"/>
          <w:szCs w:val="32"/>
        </w:rPr>
        <w:t xml:space="preserve">乙</w:t>
      </w:r>
      <w:r>
        <w:rPr>
          <w:rFonts w:hint="eastAsia" w:eastAsia="仿宋_GB2312"/>
          <w:spacing w:val="-12"/>
          <w:sz w:val="32"/>
          <w:szCs w:val="32"/>
        </w:rPr>
        <w:t xml:space="preserve">方：             </w:t>
      </w:r>
      <w:r>
        <w:rPr>
          <w:rFonts w:hint="eastAsia" w:eastAsia="仿宋_GB2312" w:cs="仿宋_GB2312"/>
          <w:sz w:val="31"/>
          <w:szCs w:val="31"/>
        </w:rPr>
        <w:t xml:space="preserve">（单位盖章）</w:t>
      </w:r>
      <w:r>
        <w:rPr>
          <w:rFonts w:hint="eastAsia" w:eastAsia="仿宋_GB2312"/>
          <w:sz w:val="32"/>
          <w:szCs w:val="32"/>
        </w:rPr>
      </w:r>
      <w:r/>
    </w:p>
    <w:p>
      <w:pPr>
        <w:pStyle w:val="749"/>
        <w:ind w:firstLine="640"/>
        <w:spacing w:line="360" w:lineRule="auto"/>
        <w:rPr>
          <w:rFonts w:hint="eastAsia" w:eastAsia="仿宋_GB2312"/>
          <w:sz w:val="32"/>
          <w:szCs w:val="32"/>
        </w:rPr>
      </w:pPr>
      <w:r>
        <w:rPr>
          <w:rFonts w:hint="eastAsia" w:eastAsia="仿宋_GB2312"/>
          <w:sz w:val="32"/>
          <w:szCs w:val="32"/>
        </w:rPr>
      </w:r>
      <w:r/>
    </w:p>
    <w:p>
      <w:pPr>
        <w:pStyle w:val="749"/>
        <w:ind w:firstLine="672"/>
        <w:spacing w:line="360" w:lineRule="auto"/>
        <w:rPr>
          <w:rFonts w:hint="eastAsia" w:eastAsia="仿宋_GB2312"/>
          <w:sz w:val="32"/>
          <w:szCs w:val="32"/>
        </w:rPr>
      </w:pPr>
      <w:r>
        <w:rPr>
          <w:rFonts w:hint="eastAsia" w:eastAsia="仿宋_GB2312"/>
          <w:spacing w:val="8"/>
          <w:sz w:val="32"/>
          <w:szCs w:val="32"/>
        </w:rPr>
        <w:t xml:space="preserve">法</w:t>
      </w:r>
      <w:r>
        <w:rPr>
          <w:rFonts w:hint="eastAsia" w:eastAsia="仿宋_GB2312"/>
          <w:spacing w:val="6"/>
          <w:sz w:val="32"/>
          <w:szCs w:val="32"/>
        </w:rPr>
        <w:t xml:space="preserve">定代表人或授权代表人：</w:t>
      </w:r>
      <w:r>
        <w:rPr>
          <w:rFonts w:hint="eastAsia" w:eastAsia="仿宋_GB2312"/>
          <w:sz w:val="32"/>
          <w:szCs w:val="32"/>
        </w:rPr>
      </w:r>
      <w:r/>
    </w:p>
    <w:p>
      <w:pPr>
        <w:pStyle w:val="749"/>
        <w:ind w:firstLine="640"/>
        <w:spacing w:line="360" w:lineRule="auto"/>
        <w:rPr>
          <w:rFonts w:hint="eastAsia" w:eastAsia="仿宋_GB2312"/>
          <w:sz w:val="32"/>
          <w:szCs w:val="32"/>
        </w:rPr>
      </w:pPr>
      <w:r>
        <w:rPr>
          <w:rFonts w:hint="eastAsia" w:eastAsia="仿宋_GB2312"/>
          <w:sz w:val="32"/>
          <w:szCs w:val="32"/>
        </w:rPr>
      </w:r>
      <w:r/>
    </w:p>
    <w:p>
      <w:pPr>
        <w:pStyle w:val="749"/>
        <w:ind w:firstLine="664"/>
        <w:spacing w:line="360" w:lineRule="auto"/>
        <w:rPr>
          <w:rFonts w:hint="eastAsia" w:eastAsia="仿宋_GB2312"/>
          <w:sz w:val="32"/>
          <w:szCs w:val="32"/>
        </w:rPr>
      </w:pPr>
      <w:r>
        <w:rPr>
          <w:rFonts w:hint="eastAsia" w:eastAsia="仿宋_GB2312"/>
          <w:spacing w:val="6"/>
          <w:sz w:val="32"/>
          <w:szCs w:val="32"/>
          <w:u w:val="single"/>
        </w:rPr>
        <w:t xml:space="preserve">          </w:t>
      </w:r>
      <w:r>
        <w:rPr>
          <w:rFonts w:hint="eastAsia" w:eastAsia="仿宋_GB2312"/>
          <w:spacing w:val="7"/>
          <w:sz w:val="32"/>
          <w:szCs w:val="32"/>
        </w:rPr>
        <w:t xml:space="preserve">年</w:t>
      </w:r>
      <w:r>
        <w:rPr>
          <w:rFonts w:hint="eastAsia" w:eastAsia="仿宋_GB2312"/>
          <w:spacing w:val="6"/>
          <w:sz w:val="32"/>
          <w:szCs w:val="32"/>
          <w:u w:val="single"/>
        </w:rPr>
        <w:t xml:space="preserve">          </w:t>
      </w:r>
      <w:r>
        <w:rPr>
          <w:rFonts w:hint="eastAsia" w:eastAsia="仿宋_GB2312"/>
          <w:spacing w:val="7"/>
          <w:sz w:val="32"/>
          <w:szCs w:val="32"/>
        </w:rPr>
        <w:t xml:space="preserve">月</w:t>
      </w:r>
      <w:r>
        <w:rPr>
          <w:rFonts w:hint="eastAsia" w:eastAsia="仿宋_GB2312"/>
          <w:spacing w:val="6"/>
          <w:sz w:val="32"/>
          <w:szCs w:val="32"/>
          <w:u w:val="single"/>
        </w:rPr>
        <w:t xml:space="preserve">          </w:t>
      </w:r>
      <w:r>
        <w:rPr>
          <w:rFonts w:hint="eastAsia" w:eastAsia="仿宋_GB2312"/>
          <w:spacing w:val="7"/>
          <w:sz w:val="32"/>
          <w:szCs w:val="32"/>
        </w:rPr>
        <w:t xml:space="preserve">日</w:t>
      </w:r>
      <w:r>
        <w:rPr>
          <w:rFonts w:hint="eastAsia" w:eastAsia="仿宋_GB2312"/>
          <w:sz w:val="32"/>
          <w:szCs w:val="32"/>
        </w:rPr>
      </w:r>
      <w:r/>
    </w:p>
    <w:p>
      <w:pPr>
        <w:jc w:val="center"/>
        <w:shd w:val="nil" w:color="auto"/>
        <w:rPr>
          <w:rFonts w:ascii="黑体" w:hAnsi="楷体_GB2312" w:eastAsia="黑体"/>
          <w:b w:val="0"/>
          <w:bCs w:val="0"/>
          <w:color w:val="000000"/>
          <w:sz w:val="44"/>
          <w:szCs w:val="44"/>
        </w:rPr>
      </w:pPr>
      <w:r>
        <w:rPr>
          <w:rFonts w:ascii="黑体" w:hAnsi="楷体_GB2312" w:eastAsia="黑体"/>
          <w:b w:val="0"/>
          <w:bCs w:val="0"/>
          <w:color w:val="000000"/>
          <w:sz w:val="44"/>
          <w:szCs w:val="44"/>
          <w:highlight w:val="none"/>
        </w:rPr>
        <w:br w:type="page" w:clear="all"/>
      </w:r>
      <w:r>
        <w:rPr>
          <w:rFonts w:ascii="黑体" w:hAnsi="楷体_GB2312" w:eastAsia="黑体"/>
          <w:b w:val="0"/>
          <w:bCs w:val="0"/>
          <w:color w:val="000000"/>
          <w:sz w:val="44"/>
          <w:szCs w:val="44"/>
          <w:highlight w:val="none"/>
        </w:rPr>
      </w:r>
      <w:bookmarkStart w:id="96" w:name="_Toc17291676"/>
      <w:r/>
      <w:bookmarkStart w:id="97" w:name="_Toc192946454"/>
      <w:r>
        <w:rPr>
          <w:rFonts w:hint="eastAsia" w:ascii="黑体" w:hAnsi="楷体_GB2312" w:eastAsia="黑体"/>
          <w:b w:val="0"/>
          <w:bCs w:val="0"/>
          <w:color w:val="000000"/>
          <w:sz w:val="44"/>
          <w:szCs w:val="44"/>
        </w:rPr>
        <w:t xml:space="preserve">第</w:t>
      </w:r>
      <w:bookmarkEnd w:id="90"/>
      <w:r>
        <w:rPr>
          <w:rFonts w:hint="eastAsia" w:ascii="黑体" w:hAnsi="楷体_GB2312" w:eastAsia="黑体"/>
          <w:b w:val="0"/>
          <w:bCs w:val="0"/>
          <w:color w:val="000000"/>
          <w:sz w:val="44"/>
          <w:szCs w:val="44"/>
        </w:rPr>
        <w:t xml:space="preserve">四章  项目需求</w:t>
      </w:r>
      <w:bookmarkEnd w:id="91"/>
      <w:r/>
      <w:bookmarkEnd w:id="92"/>
      <w:r/>
      <w:bookmarkEnd w:id="93"/>
      <w:r/>
      <w:bookmarkEnd w:id="96"/>
      <w:r>
        <w:rPr>
          <w:rFonts w:hint="eastAsia" w:ascii="黑体" w:hAnsi="楷体_GB2312" w:eastAsia="黑体"/>
          <w:b w:val="0"/>
          <w:bCs w:val="0"/>
          <w:color w:val="000000"/>
          <w:sz w:val="44"/>
          <w:szCs w:val="44"/>
        </w:rPr>
        <w:t xml:space="preserve">（服务类）</w:t>
      </w:r>
      <w:bookmarkEnd w:id="97"/>
      <w:r/>
      <w:bookmarkStart w:id="98" w:name="_Toc49090575"/>
      <w:r/>
      <w:bookmarkStart w:id="99" w:name="_Toc26554093"/>
      <w:r/>
      <w:bookmarkStart w:id="100" w:name="_Toc120614281"/>
      <w:r/>
      <w:bookmarkStart w:id="101" w:name="_Toc17291677"/>
      <w:r/>
      <w:bookmarkStart w:id="102" w:name="_Toc17291089"/>
      <w:r/>
      <w:bookmarkStart w:id="103" w:name="_Hlk86242979"/>
      <w:r>
        <w:rPr>
          <w:rFonts w:ascii="黑体" w:hAnsi="楷体_GB2312" w:eastAsia="黑体"/>
          <w:b w:val="0"/>
          <w:bCs w:val="0"/>
          <w:color w:val="000000"/>
          <w:sz w:val="44"/>
          <w:szCs w:val="44"/>
        </w:rPr>
      </w:r>
      <w:r/>
    </w:p>
    <w:p>
      <w:pPr>
        <w:pStyle w:val="749"/>
        <w:jc w:val="center"/>
        <w:rPr>
          <w:rFonts w:hint="eastAsia"/>
          <w:b/>
          <w:bCs/>
          <w:sz w:val="28"/>
          <w:szCs w:val="28"/>
          <w:u w:val="single"/>
        </w:rPr>
      </w:pPr>
      <w:r>
        <w:rPr>
          <w:rFonts w:hint="eastAsia"/>
          <w:b/>
          <w:bCs/>
          <w:sz w:val="28"/>
          <w:szCs w:val="28"/>
          <w:u w:val="single"/>
        </w:rPr>
        <w:t xml:space="preserve">（以下要求如无特别说</w:t>
      </w:r>
      <w:r>
        <w:rPr>
          <w:rFonts w:hint="eastAsia"/>
          <w:b/>
          <w:bCs/>
          <w:sz w:val="28"/>
          <w:szCs w:val="28"/>
          <w:u w:val="single"/>
        </w:rPr>
        <w:t xml:space="preserve">明，适用于所有采购包）</w:t>
      </w:r>
      <w:r/>
    </w:p>
    <w:p>
      <w:pPr>
        <w:pStyle w:val="749"/>
        <w:ind w:firstLine="482"/>
        <w:rPr>
          <w:rFonts w:hint="eastAsia" w:ascii="宋体" w:hAnsi="宋体" w:cs="宋体"/>
          <w:b/>
          <w:sz w:val="24"/>
          <w:szCs w:val="24"/>
        </w:rPr>
      </w:pPr>
      <w:r/>
      <w:bookmarkEnd w:id="103"/>
      <w:r/>
      <w:bookmarkStart w:id="104" w:name="_Hlk14096470"/>
      <w:r/>
      <w:bookmarkStart w:id="105" w:name="_Hlk47437789"/>
      <w:r>
        <w:rPr>
          <w:rFonts w:hint="eastAsia" w:ascii="宋体" w:hAnsi="宋体" w:cs="宋体"/>
          <w:b/>
          <w:sz w:val="24"/>
          <w:szCs w:val="24"/>
        </w:rPr>
        <w:t xml:space="preserve">1.项目概况</w:t>
      </w:r>
      <w:r/>
    </w:p>
    <w:p>
      <w:pPr>
        <w:pStyle w:val="749"/>
        <w:ind w:firstLine="480"/>
        <w:rPr>
          <w:rFonts w:ascii="宋体" w:hAnsi="宋体" w:cs="宋体"/>
          <w:sz w:val="24"/>
          <w:szCs w:val="24"/>
        </w:rPr>
      </w:pPr>
      <w:r>
        <w:rPr>
          <w:rFonts w:hint="eastAsia" w:ascii="宋体" w:hAnsi="宋体" w:cs="宋体"/>
          <w:sz w:val="24"/>
          <w:szCs w:val="24"/>
        </w:rPr>
        <w:t xml:space="preserve">为确保江苏省食品安全执法抽检工作顺利开展，现通过公开招标方式确定专业检验检测机构，每个采购包遴选一家符合要求的检测机构承担2026年食品安全执法抽检专业技术辅助服务。</w:t>
      </w:r>
      <w:r>
        <w:rPr>
          <w:rFonts w:ascii="宋体" w:hAnsi="宋体" w:cs="宋体"/>
          <w:sz w:val="24"/>
          <w:szCs w:val="24"/>
        </w:rPr>
      </w:r>
      <w:r/>
    </w:p>
    <w:p>
      <w:pPr>
        <w:pStyle w:val="749"/>
        <w:ind w:firstLine="482"/>
        <w:rPr>
          <w:rFonts w:hint="eastAsia" w:ascii="宋体" w:hAnsi="宋体" w:cs="宋体"/>
          <w:b/>
          <w:sz w:val="24"/>
          <w:szCs w:val="24"/>
        </w:rPr>
      </w:pPr>
      <w:r>
        <w:rPr>
          <w:rFonts w:hint="eastAsia" w:ascii="宋体" w:hAnsi="宋体" w:cs="宋体"/>
          <w:b/>
          <w:sz w:val="24"/>
          <w:szCs w:val="24"/>
        </w:rPr>
        <w:t xml:space="preserve">2.项目基本情况</w:t>
      </w:r>
      <w:r/>
    </w:p>
    <w:p>
      <w:pPr>
        <w:pStyle w:val="749"/>
        <w:ind w:firstLine="480"/>
        <w:rPr>
          <w:rFonts w:hint="eastAsia" w:ascii="宋体" w:hAnsi="宋体" w:cs="宋体"/>
          <w:sz w:val="24"/>
          <w:szCs w:val="24"/>
        </w:rPr>
      </w:pPr>
      <w:r>
        <w:rPr>
          <w:rFonts w:hint="eastAsia" w:ascii="宋体" w:hAnsi="宋体" w:cs="宋体"/>
          <w:sz w:val="24"/>
          <w:szCs w:val="24"/>
        </w:rPr>
        <w:t xml:space="preserve">江苏省市场监督管理局2026年食品安全执法抽检专业技术辅助服务</w:t>
      </w:r>
      <w:r/>
    </w:p>
    <w:p>
      <w:pPr>
        <w:pStyle w:val="749"/>
        <w:ind w:firstLine="480"/>
        <w:rPr>
          <w:rFonts w:hint="eastAsia" w:ascii="宋体" w:hAnsi="宋体" w:cs="宋体"/>
          <w:sz w:val="24"/>
          <w:szCs w:val="24"/>
        </w:rPr>
      </w:pPr>
      <w:r>
        <w:rPr>
          <w:rFonts w:hint="eastAsia" w:ascii="宋体" w:hAnsi="宋体" w:cs="宋体"/>
          <w:sz w:val="24"/>
          <w:szCs w:val="24"/>
        </w:rPr>
        <w:t xml:space="preserve">（一）抽检批次。预估抽检750批次，拟按照地域划分3个任务包。</w:t>
      </w:r>
      <w:r/>
    </w:p>
    <w:p>
      <w:pPr>
        <w:pStyle w:val="749"/>
        <w:ind w:firstLine="480"/>
        <w:rPr>
          <w:rFonts w:hint="eastAsia" w:ascii="宋体" w:hAnsi="宋体" w:cs="宋体"/>
          <w:sz w:val="24"/>
          <w:szCs w:val="24"/>
        </w:rPr>
      </w:pPr>
      <w:r>
        <w:rPr>
          <w:rFonts w:hint="eastAsia" w:ascii="宋体" w:hAnsi="宋体" w:cs="宋体"/>
          <w:sz w:val="24"/>
          <w:szCs w:val="24"/>
        </w:rPr>
        <w:t xml:space="preserve">（二）抽检经费。参照近年食品抽检费用，共需经费120万元。</w:t>
      </w:r>
      <w:r/>
    </w:p>
    <w:p>
      <w:pPr>
        <w:pStyle w:val="749"/>
        <w:ind w:firstLine="480"/>
        <w:rPr>
          <w:rFonts w:ascii="宋体" w:hAnsi="宋体" w:cs="宋体"/>
          <w:sz w:val="24"/>
          <w:szCs w:val="24"/>
        </w:rPr>
      </w:pPr>
      <w:r>
        <w:rPr>
          <w:rFonts w:hint="eastAsia" w:ascii="宋体" w:hAnsi="宋体" w:cs="宋体"/>
          <w:sz w:val="24"/>
          <w:szCs w:val="24"/>
        </w:rPr>
        <w:t xml:space="preserve">（三）区域及依据。抽样区域覆盖全省。2026年食品安全执法抽检主要聚焦网络餐饮、银发经济等领域，以及城乡接合部等食品安全问题高发区域，抽样品种以肉禽蛋奶等民生食品为重点，涵盖12个</w:t>
      </w:r>
      <w:r>
        <w:rPr>
          <w:rFonts w:hint="eastAsia" w:ascii="宋体" w:hAnsi="宋体" w:cs="宋体"/>
          <w:sz w:val="24"/>
          <w:szCs w:val="24"/>
        </w:rPr>
        <w:t xml:space="preserve">食品大类具体检验项目结合具体产品实际情况，以及食品安全国家标准、相关法</w:t>
      </w:r>
      <w:r>
        <w:rPr>
          <w:rFonts w:hint="eastAsia" w:ascii="宋体" w:hAnsi="宋体" w:cs="宋体"/>
          <w:sz w:val="24"/>
          <w:szCs w:val="24"/>
        </w:rPr>
        <w:t xml:space="preserve">律法规、执法稽查实际进行确定，按照相关要求进行检测。</w:t>
      </w:r>
      <w:r>
        <w:rPr>
          <w:rFonts w:ascii="宋体" w:hAnsi="宋体" w:cs="宋体"/>
          <w:sz w:val="24"/>
          <w:szCs w:val="24"/>
        </w:rPr>
      </w:r>
      <w:r/>
    </w:p>
    <w:p>
      <w:pPr>
        <w:pStyle w:val="749"/>
        <w:ind w:firstLine="482"/>
        <w:rPr>
          <w:rFonts w:hint="eastAsia" w:ascii="宋体" w:hAnsi="宋体" w:cs="宋体"/>
          <w:b/>
          <w:sz w:val="24"/>
          <w:szCs w:val="24"/>
        </w:rPr>
      </w:pPr>
      <w:r>
        <w:rPr>
          <w:rFonts w:hint="eastAsia" w:ascii="宋体" w:hAnsi="宋体" w:cs="宋体"/>
          <w:b/>
          <w:sz w:val="24"/>
          <w:szCs w:val="24"/>
        </w:rPr>
        <w:t xml:space="preserve">3.基本需求</w:t>
      </w:r>
      <w:r/>
    </w:p>
    <w:p>
      <w:pPr>
        <w:pStyle w:val="749"/>
        <w:ind w:firstLine="420"/>
        <w:jc w:val="both"/>
        <w:spacing w:after="160" w:line="360" w:lineRule="auto"/>
        <w:widowControl w:val="off"/>
        <w:rPr>
          <w:rFonts w:ascii="宋体" w:hAnsi="宋体"/>
          <w:sz w:val="21"/>
          <w:szCs w:val="20"/>
        </w:rPr>
      </w:pPr>
      <w:r/>
      <w:bookmarkStart w:id="106" w:name="OLE_LINK6"/>
      <w:r>
        <w:rPr>
          <w:rFonts w:hint="eastAsia" w:ascii="宋体" w:hAnsi="宋体"/>
          <w:sz w:val="21"/>
          <w:szCs w:val="20"/>
        </w:rPr>
        <w:t xml:space="preserve">3.1  </w:t>
      </w:r>
      <w:bookmarkStart w:id="107" w:name="OLE_LINK7"/>
      <w:r>
        <w:rPr>
          <w:rFonts w:hint="eastAsia" w:ascii="宋体" w:hAnsi="宋体"/>
          <w:sz w:val="21"/>
          <w:szCs w:val="20"/>
        </w:rPr>
        <w:t xml:space="preserve">2026年江苏省食品安全执法抽检政府采购计划及预算明细表</w:t>
      </w:r>
      <w:bookmarkEnd w:id="107"/>
      <w:r>
        <w:rPr>
          <w:rFonts w:hint="eastAsia" w:ascii="宋体" w:hAnsi="宋体"/>
          <w:sz w:val="21"/>
          <w:szCs w:val="20"/>
        </w:rPr>
        <w:t xml:space="preserve"> 详见附件1</w:t>
      </w:r>
      <w:r>
        <w:rPr>
          <w:rFonts w:ascii="宋体" w:hAnsi="宋体"/>
          <w:sz w:val="21"/>
          <w:szCs w:val="20"/>
        </w:rPr>
      </w:r>
      <w:r/>
    </w:p>
    <w:p>
      <w:pPr>
        <w:pStyle w:val="762"/>
        <w:rPr>
          <w:rFonts w:hint="eastAsia"/>
        </w:rPr>
      </w:pPr>
      <w:r>
        <w:rPr>
          <w:rFonts w:hint="eastAsia"/>
        </w:rPr>
        <w:t xml:space="preserve">3.2  </w:t>
      </w:r>
      <w:r>
        <w:rPr>
          <w:rFonts w:hint="eastAsia"/>
        </w:rPr>
        <w:t xml:space="preserve">各采购包抽检的食品大类及每个大类的单批次最高限价  详见附件2</w:t>
      </w:r>
      <w:r>
        <w:rPr>
          <w:rFonts w:hint="eastAsia"/>
        </w:rPr>
      </w:r>
      <w:r/>
    </w:p>
    <w:p>
      <w:pPr>
        <w:pStyle w:val="762"/>
        <w:rPr>
          <w:rFonts w:hint="eastAsia"/>
        </w:rPr>
      </w:pPr>
      <w:r>
        <w:rPr>
          <w:rFonts w:hint="eastAsia"/>
        </w:rPr>
        <w:t xml:space="preserve">3.3  2026年省局食品安全执法抽检检验项目明细表   详见附件3</w:t>
      </w:r>
      <w:r/>
    </w:p>
    <w:p>
      <w:pPr>
        <w:pStyle w:val="749"/>
        <w:ind w:firstLine="482"/>
        <w:rPr>
          <w:rFonts w:hint="eastAsia" w:ascii="宋体" w:hAnsi="宋体" w:cs="宋体"/>
          <w:b/>
          <w:sz w:val="24"/>
          <w:szCs w:val="24"/>
        </w:rPr>
      </w:pPr>
      <w:r/>
      <w:bookmarkEnd w:id="106"/>
      <w:r/>
      <w:bookmarkStart w:id="108" w:name="_Hlk192061515"/>
      <w:r>
        <w:rPr>
          <w:rFonts w:hint="eastAsia" w:ascii="宋体" w:hAnsi="宋体" w:cs="宋体"/>
          <w:b/>
          <w:sz w:val="24"/>
          <w:szCs w:val="24"/>
        </w:rPr>
        <w:t xml:space="preserve">4.技术要求</w:t>
      </w:r>
      <w:bookmarkEnd w:id="108"/>
      <w:r>
        <w:rPr>
          <w:rFonts w:hint="eastAsia" w:ascii="宋体" w:hAnsi="宋体" w:cs="宋体"/>
          <w:b/>
          <w:sz w:val="24"/>
          <w:szCs w:val="24"/>
        </w:rPr>
      </w:r>
      <w:r/>
    </w:p>
    <w:p>
      <w:pPr>
        <w:pStyle w:val="749"/>
        <w:ind w:firstLine="480"/>
        <w:spacing w:after="160" w:line="360" w:lineRule="auto"/>
        <w:widowControl w:val="off"/>
        <w:rPr>
          <w:rFonts w:hint="eastAsia" w:ascii="宋体" w:hAnsi="宋体" w:cs="宋体"/>
          <w:sz w:val="24"/>
          <w:szCs w:val="24"/>
        </w:rPr>
      </w:pPr>
      <w:r>
        <w:rPr>
          <w:rFonts w:hint="eastAsia" w:ascii="宋体" w:hAnsi="宋体" w:cs="宋体"/>
          <w:sz w:val="24"/>
          <w:szCs w:val="24"/>
        </w:rPr>
        <w:t xml:space="preserve">4.1法律法规和技术规范</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本需求至少应满足以下法律法规、技术规</w:t>
      </w:r>
      <w:r>
        <w:rPr>
          <w:rFonts w:hint="eastAsia" w:ascii="宋体" w:hAnsi="宋体" w:cs="宋体"/>
          <w:sz w:val="24"/>
          <w:szCs w:val="24"/>
        </w:rPr>
        <w:t xml:space="preserve">范的要求：</w:t>
      </w:r>
      <w:r/>
    </w:p>
    <w:p>
      <w:pPr>
        <w:pStyle w:val="749"/>
        <w:ind w:firstLine="480"/>
        <w:jc w:val="both"/>
        <w:spacing w:after="0" w:line="360" w:lineRule="auto"/>
        <w:widowControl w:val="off"/>
        <w:rPr>
          <w:rFonts w:hint="eastAsia" w:ascii="宋体" w:hAnsi="宋体"/>
          <w:bCs/>
          <w:sz w:val="24"/>
          <w:szCs w:val="24"/>
        </w:rPr>
      </w:pPr>
      <w:r>
        <w:rPr>
          <w:rFonts w:hint="eastAsia" w:ascii="宋体" w:hAnsi="宋体" w:cs="宋体"/>
          <w:sz w:val="24"/>
          <w:szCs w:val="24"/>
        </w:rPr>
        <w:t xml:space="preserve">（1）《中华人民共和国食品安全法》</w:t>
      </w:r>
      <w:r>
        <w:rPr>
          <w:rFonts w:hint="eastAsia" w:ascii="宋体" w:hAnsi="宋体"/>
          <w:bCs/>
          <w:sz w:val="24"/>
          <w:szCs w:val="24"/>
        </w:rPr>
        <w:t xml:space="preserve">（中华人民共和国主席令 第五十六号）（简称《食品安全法》）</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（2）《中华人民共和国行政处罚法》（中华人民共和国主席令第六十三号）</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（3）《中华人民共和国食品安全法实施条例》（中华人民共和国国务院令 第721号）</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（4）《食品安全抽样检验管理办法》（国家市场监督管理总局令 第15号）</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（5）《食品安全抽样检验工作规范》（市监食检发〔2023〕76号）</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（6）《江苏省食品安全条例》（2024年1月26日江苏省第十四届人民代表大会第二次会议通过）</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t xml:space="preserve">以上法律法规、制度办法、技术规范如有更新，按最新标准执行。</w:t>
      </w:r>
      <w:r/>
    </w:p>
    <w:p>
      <w:pPr>
        <w:pStyle w:val="749"/>
        <w:ind w:firstLine="480"/>
        <w:jc w:val="both"/>
        <w:spacing w:after="160" w:line="360" w:lineRule="auto"/>
        <w:widowControl w:val="off"/>
        <w:rPr>
          <w:rFonts w:hint="eastAsia" w:ascii="宋体" w:hAnsi="宋体" w:cs="宋体"/>
          <w:sz w:val="24"/>
          <w:szCs w:val="24"/>
        </w:rPr>
      </w:pPr>
      <w:r>
        <w:rPr>
          <w:rFonts w:hint="eastAsia" w:ascii="宋体" w:hAnsi="宋体" w:cs="宋体"/>
          <w:sz w:val="24"/>
          <w:szCs w:val="24"/>
        </w:rPr>
        <w:t xml:space="preserve">4.2主要技术要求</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4.2.1抽样环节</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表1 抽样环节主要技术内容和标准</w:t>
      </w:r>
      <w:r/>
    </w:p>
    <w:tbl>
      <w:tblPr>
        <w:tblW w:w="81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724"/>
        <w:gridCol w:w="970"/>
        <w:gridCol w:w="5692"/>
      </w:tblGrid>
      <w:tr>
        <w:trPr>
          <w:trHeight w:val="55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gridSpan w:val="2"/>
            <w:tcW w:w="1694"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服务名称</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服务内容和标准</w:t>
            </w:r>
            <w:r/>
          </w:p>
        </w:tc>
      </w:tr>
      <w:tr>
        <w:trPr>
          <w:trHeight w:val="617"/>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w:t>
            </w:r>
            <w:r/>
          </w:p>
        </w:tc>
        <w:tc>
          <w:tcPr>
            <w:gridSpan w:val="2"/>
            <w:tcW w:w="1694"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抽样单位确定</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采购人委托供应商抽样。</w:t>
            </w:r>
            <w:r/>
          </w:p>
        </w:tc>
      </w:tr>
      <w:tr>
        <w:trPr>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w:t>
            </w:r>
            <w:r/>
          </w:p>
        </w:tc>
        <w:tc>
          <w:tcPr>
            <w:gridSpan w:val="2"/>
            <w:tcW w:w="1694"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抽样前准备</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抽样单位应当建立食品抽样管理制度，明确岗位职责、抽样流程和工作纪律。</w:t>
            </w:r>
            <w:r/>
          </w:p>
        </w:tc>
      </w:tr>
      <w:tr>
        <w:trPr>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w:t>
            </w:r>
            <w:r/>
          </w:p>
        </w:tc>
        <w:tc>
          <w:tcPr>
            <w:gridSpan w:val="2"/>
            <w:tcW w:w="1694"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抽样人员确定</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独立的食品抽样人员数量、能力等要求与服务需求相匹配。</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实施抽检分离，随机确定抽样人员，抽样人员与检验人员不得为同一人。</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抽样人员执行现场抽样任务时不得少于两人，且不少于两名执法人员参与抽样 。</w:t>
            </w:r>
            <w:r/>
          </w:p>
        </w:tc>
      </w:tr>
      <w:tr>
        <w:trPr>
          <w:trHeight w:val="416"/>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w:t>
            </w:r>
            <w:r/>
          </w:p>
        </w:tc>
        <w:tc>
          <w:tcPr>
            <w:gridSpan w:val="2"/>
            <w:tcW w:w="1694"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抽样前培训</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抽样前应当</w:t>
            </w:r>
            <w:r>
              <w:rPr>
                <w:rFonts w:hint="eastAsia" w:ascii="宋体" w:hAnsi="宋体" w:cs="宋体"/>
                <w:sz w:val="24"/>
                <w:szCs w:val="24"/>
              </w:rPr>
              <w:t xml:space="preserve">对抽样人员进行培训，并做好相关记录。抽样人员应当熟悉食品安全法律、法规、规章和食品安全标准等的相关规定。</w:t>
            </w:r>
            <w:r/>
          </w:p>
        </w:tc>
      </w:tr>
      <w:tr>
        <w:trPr>
          <w:cantSplit/>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w:t>
            </w:r>
            <w:r/>
          </w:p>
        </w:tc>
        <w:tc>
          <w:tcPr>
            <w:tcW w:w="724" w:type="dxa"/>
            <w:vAlign w:val="center"/>
            <w:vMerge w:val="restart"/>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现场抽样</w:t>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告知</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抽样工作不得预先通知食品生产经营者。</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抽样人员应当按规定向被抽样单位出示有效身份证明文件，告知其依法享有的权利和应当承担的义务，并使用规范用语。</w:t>
            </w:r>
            <w:r/>
          </w:p>
        </w:tc>
      </w:tr>
      <w:tr>
        <w:trPr>
          <w:cantSplit/>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6</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信息</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核查</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抽样人员应当核查被抽样单位提供的营业执照、许可证等相关证件。必要时，可核查进货查验记录、合法进货凭证等可追溯信息。</w:t>
            </w:r>
            <w:r/>
          </w:p>
        </w:tc>
      </w:tr>
      <w:tr>
        <w:trPr>
          <w:cantSplit/>
          <w:trHeight w:val="1776"/>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7</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样品</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抽取</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（1）抽样人员可以从食品经营者的经营场所、仓库以及食品生产者的成品库待销产品中随机抽取样品，</w:t>
            </w:r>
            <w:r>
              <w:rPr>
                <w:rFonts w:hint="eastAsia" w:ascii="宋体" w:hAnsi="宋体" w:cs="宋体"/>
                <w:sz w:val="24"/>
                <w:szCs w:val="24"/>
              </w:rPr>
              <w:t xml:space="preserve">不得由被抽样单位自行提供样品。</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（2）抽样数量原则上应当满足检验和复检的要求。</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（3）对易腐烂变质的蔬菜、水果等食用农产品样品，需进行均质备份样品的，应当在现场抽样时主动向被抽样单位告知确认，在现场或实验室进行均质备份样品时，采取拍照或摄像等方式进行记录。</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（4）抽样现场的设备，包括平板、打印机、无菌袋、测温枪等类似设备应能满足项目需求。</w:t>
            </w:r>
            <w:r/>
          </w:p>
        </w:tc>
      </w:tr>
      <w:tr>
        <w:trPr>
          <w:cantSplit/>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8</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封样</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签字</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（1）抽样人员应当采取有效的防拆封措施，对检验样品和复检备份样品（如有）分别封样，并贴上《江苏省食品安全执法抽检封条》。</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（2）封条上</w:t>
            </w:r>
            <w:r>
              <w:rPr>
                <w:rFonts w:hint="eastAsia" w:ascii="宋体" w:hAnsi="宋体" w:cs="宋体"/>
                <w:sz w:val="24"/>
                <w:szCs w:val="24"/>
              </w:rPr>
              <w:t xml:space="preserve">应当由抽样人员(含参与抽样的监管人员)和被抽样单位签字或者盖章确认。</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（3）食用农产品需在实验室均质后留存复检备份样品（如有）的，现场还应当填写一份信息完整、签字或者盖章确认的封条，用于封存均质后的备份样品。</w:t>
            </w:r>
            <w:r/>
          </w:p>
        </w:tc>
      </w:tr>
      <w:tr>
        <w:trPr>
          <w:cantSplit/>
          <w:trHeight w:val="416"/>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9</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抽样单填写</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抽样人员应当使用《江苏省食品安全执法抽检抽样单》，详细记录抽样信息，记录保存期限不得少于两年。</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抽样文书应当字迹工整、清晰，容易辨认，不得随意更改。</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抽样单填写完毕后，应当由抽样人员（含参与抽样的监管人员)和被抽样单位签字或盖章确认。</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如需更改信息应当由被抽样单位签字</w:t>
            </w:r>
            <w:r>
              <w:rPr>
                <w:rFonts w:hint="eastAsia" w:ascii="宋体" w:hAnsi="宋体" w:cs="宋体"/>
                <w:sz w:val="24"/>
                <w:szCs w:val="24"/>
              </w:rPr>
              <w:t xml:space="preserve">或盖章确认。</w:t>
            </w:r>
            <w:r/>
          </w:p>
        </w:tc>
      </w:tr>
      <w:tr>
        <w:trPr>
          <w:cantSplit/>
          <w:trHeight w:val="728"/>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10</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现场信息采集</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抽样人员应当通过拍照等方式对抽样场所、证照信息、贮存环境、样品信息、农产品票证（如有）、防护措施等进行现场信息采集。</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信息采集的设备，包括执法记录仪、相机等类似设备应能满足项目需求，完整记录抽样现场过程（视频、音频、清晰照片）。</w:t>
            </w:r>
            <w:r/>
          </w:p>
        </w:tc>
      </w:tr>
      <w:tr>
        <w:trPr>
          <w:cantSplit/>
          <w:trHeight w:val="558"/>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11</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费用 </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支付</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抽样人员应当向被抽样单位支付样品购置费并索取发票（或相关购物凭证）及所购样品明细，可现场支付费用或先出具样品购置费用告知书随后支付费用。 </w:t>
            </w:r>
            <w:r/>
          </w:p>
        </w:tc>
      </w:tr>
      <w:tr>
        <w:trPr>
          <w:cantSplit/>
          <w:trHeight w:val="79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12</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文书 </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交付</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抽样人员应当将填写完整的《江苏省食品安全执法抽检抽样单》等文书交付被抽</w:t>
            </w:r>
            <w:r>
              <w:rPr>
                <w:rFonts w:hint="eastAsia" w:ascii="宋体" w:hAnsi="宋体" w:cs="宋体"/>
                <w:sz w:val="24"/>
                <w:szCs w:val="24"/>
              </w:rPr>
              <w:t xml:space="preserve">样单位。</w:t>
            </w:r>
            <w:r/>
          </w:p>
        </w:tc>
      </w:tr>
      <w:tr>
        <w:trPr>
          <w:cantSplit/>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13</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样品 </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运输</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（2）抽样人员应当根据样品特性和检验目的进行合理贮存、运输。</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（3）对于易碎，冷藏、冷冻或有其他特殊贮运条件等要求的样品，抽样人员应当采取适当措施，保证样品运输过程符合标准或样品标示要求的运输条件。</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（4）用于样品运输的设备</w:t>
            </w:r>
            <w:r>
              <w:rPr>
                <w:rFonts w:hint="eastAsia" w:ascii="宋体" w:hAnsi="宋体" w:cs="宋体"/>
                <w:sz w:val="24"/>
                <w:szCs w:val="24"/>
              </w:rPr>
              <w:t xml:space="preserve">，如普通车辆、冷链运输车辆、车载冰箱、保温箱等类似设备，其设备类型、运载能力和数量应能满足项目需求。</w:t>
            </w:r>
            <w:r/>
          </w:p>
        </w:tc>
      </w:tr>
      <w:tr>
        <w:trPr>
          <w:cantSplit/>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14</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特殊情形处理</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若样品明确为案件稽查、事故调查、应急处置、投诉举报等涉案对象的，或表明存在安全隐患的食品，可在执法人员和承检机构抽样人员共同确认并做好笔录的基础上进行抽样，且不受抽样数量、抽样地点、被抽样单位是否具备合法资质等限制，可不支付样品费用。</w:t>
            </w:r>
            <w:r/>
          </w:p>
        </w:tc>
      </w:tr>
      <w:tr>
        <w:trPr>
          <w:cantSplit/>
          <w:trHeight w:val="1222"/>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15</w:t>
            </w:r>
            <w:r/>
          </w:p>
        </w:tc>
        <w:tc>
          <w:tcPr>
            <w:tcW w:w="724" w:type="dxa"/>
            <w:vAlign w:val="center"/>
            <w:vMerge w:val="restart"/>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网络抽样</w:t>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信息 </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核查</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抽样人员应当确认网络食品交易经营者或食品生产企业（含委托加工方、受委托加工方）中至少有一方处于采购人监管辖区内，同时核查营业</w:t>
            </w:r>
            <w:r>
              <w:rPr>
                <w:rFonts w:hint="eastAsia" w:ascii="宋体" w:hAnsi="宋体" w:cs="宋体"/>
                <w:sz w:val="24"/>
                <w:szCs w:val="24"/>
              </w:rPr>
              <w:t xml:space="preserve">执照、许可证等相关证件。</w:t>
            </w:r>
            <w:r/>
          </w:p>
        </w:tc>
      </w:tr>
      <w:tr>
        <w:trPr>
          <w:cantSplit/>
          <w:trHeight w:val="1674"/>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16</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样品 </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购买</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r/>
          </w:p>
        </w:tc>
      </w:tr>
      <w:tr>
        <w:trPr>
          <w:cantSplit/>
          <w:trHeight w:val="794"/>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17</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购买过程的信息采集</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购买样品过程中应当通过截图、拍照或者录像等方式采集样品展示页信息、网页上被抽样单位的证照、支付记录、成功下单后的订单信息等。</w:t>
            </w:r>
            <w:r/>
          </w:p>
        </w:tc>
      </w:tr>
      <w:tr>
        <w:trPr>
          <w:cantSplit/>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18</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拆包、查验及</w:t>
            </w:r>
            <w:r>
              <w:rPr>
                <w:rFonts w:hint="eastAsia" w:ascii="宋体" w:hAnsi="宋体" w:cs="宋体"/>
                <w:sz w:val="24"/>
                <w:szCs w:val="24"/>
              </w:rPr>
              <w:t xml:space="preserve">封样过程的信息采集</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（1）收到物流包裹后，由不少于两名抽样人员共同对物流单据记载的订单信息进行核对，确认无误后拆包、查验，对检验样品和复检备份样品（如有）分别封样。</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（2）拆包、查验、封样过程应当拍照及录像，留存足以证明样品来源的关键影像资料。</w:t>
            </w:r>
            <w:r/>
          </w:p>
        </w:tc>
      </w:tr>
      <w:tr>
        <w:trPr>
          <w:cantSplit/>
          <w:trHeight w:val="416"/>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19</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文书填写及交付</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抽样人员应当完整填写《江苏省食品安全执法抽检抽样单》。《江苏省食品安全执法抽检抽样单》和《江苏省食品安全执法抽检封条》不需要被抽样单位签字或盖章确认，也不需要交付被抽样单位，如需更改信息可由两名抽样人员签名确认或抽样单位盖章确认。</w:t>
            </w:r>
            <w:r/>
          </w:p>
        </w:tc>
      </w:tr>
      <w:tr>
        <w:trPr>
          <w:cantSplit/>
          <w:trHeight w:val="625"/>
        </w:trPr>
        <w:tc>
          <w:tcPr>
            <w:tcW w:w="749"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20</w:t>
            </w:r>
            <w:r/>
          </w:p>
        </w:tc>
        <w:tc>
          <w:tcPr>
            <w:tcW w:w="724" w:type="dxa"/>
            <w:vAlign w:val="center"/>
            <w:vMerge w:val="continue"/>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tc>
        <w:tc>
          <w:tcPr>
            <w:tcW w:w="97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特殊情况处理</w:t>
            </w:r>
            <w:r/>
          </w:p>
        </w:tc>
        <w:tc>
          <w:tcPr>
            <w:tcW w:w="5692"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（1）对</w:t>
            </w:r>
            <w:r>
              <w:rPr>
                <w:rFonts w:hint="eastAsia" w:ascii="宋体" w:hAnsi="宋体" w:cs="宋体"/>
                <w:sz w:val="24"/>
                <w:szCs w:val="24"/>
              </w:rPr>
              <w:t xml:space="preserve">于收到的食品为不同生产批次的，选取其中满足检验及复检要求的某一批次食品为抽检样品，其余不同批次食品应当单独封样，同复检备份样品一并管理，并在抽样单备注栏说明。</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（2）若无任何一批次满足检验及复检要求的，抽样单位可向采购人申请调整检验项目等，经同意后可对某一批次样品进行检验。</w:t>
            </w:r>
            <w:r/>
          </w:p>
        </w:tc>
      </w:tr>
    </w:tbl>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4.2.2检验环节</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表2 检验环节主要技术内容和标准</w:t>
      </w:r>
      <w:r/>
    </w:p>
    <w:tbl>
      <w:tblPr>
        <w:tblW w:w="82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0"/>
        <w:gridCol w:w="5767"/>
      </w:tblGrid>
      <w:tr>
        <w:trPr>
          <w:trHeight w:val="555"/>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服务名称</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服务内容和标准</w:t>
            </w:r>
            <w:r/>
          </w:p>
        </w:tc>
      </w:tr>
      <w:tr>
        <w:trPr>
          <w:trHeight w:val="416"/>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供应商确定</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采购人根据政府采购、食品安全等法律法规要求确定供应商。</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（2）未经采购人同意，供应商不得分包或者转包检验任务。</w:t>
            </w:r>
            <w:r/>
          </w:p>
        </w:tc>
      </w:tr>
      <w:tr>
        <w:trPr>
          <w:trHeight w:val="416"/>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检验人员管理</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（1）食品检验人员数量、专业领域、工作年限等要求与服务需求相匹配。</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（2）建立检验人员持证上岗制度，加强食品安全法律法规、标准规范、质量控制要求、实验室安全与防护知识等方面的培训考核，确保检验人员能力持续满足承检工作需求。</w:t>
            </w:r>
            <w:r/>
          </w:p>
        </w:tc>
      </w:tr>
      <w:tr>
        <w:trPr>
          <w:trHeight w:val="625"/>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样品接收与保存</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（1）供应商接收样品时，应当查验、记录样品的外观、状态、封条有无破损以及其他可能对检验结论产生影响的情况，并核对样品与抽样文书信息。样品移交时，规范填写样品移交确认单。</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（2）对符合要求的样品，原则上供应商应当在抽样后五个工作日内完成样品接收工作，将检验样品和复检</w:t>
            </w:r>
            <w:r>
              <w:rPr>
                <w:rFonts w:hint="eastAsia" w:ascii="宋体" w:hAnsi="宋体" w:cs="宋体"/>
                <w:sz w:val="24"/>
                <w:szCs w:val="24"/>
              </w:rPr>
              <w:t xml:space="preserve">备份样品（如有）分别加贴相应标识后，按照要求入库存放。</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pStyle w:val="749"/>
              <w:jc w:val="both"/>
              <w:spacing w:after="160" w:line="560" w:lineRule="exact"/>
              <w:widowControl w:val="off"/>
            </w:pPr>
            <w:r>
              <w:rPr>
                <w:rFonts w:hint="eastAsia" w:ascii="宋体" w:hAnsi="宋体" w:cs="宋体"/>
                <w:sz w:val="24"/>
                <w:szCs w:val="24"/>
              </w:rPr>
              <w:t xml:space="preserve">（3）原则上样品由供应商保存。供应商应当建立样品保管制度，严禁样品被随意调换、拆封。对于复检备份样品（如有）的调取或使用，应当经相关负责人签字确认后方可进行。</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（4）样品储存场所容量、环境、温度控制等与服务需求相匹配。</w:t>
            </w:r>
            <w:r/>
          </w:p>
        </w:tc>
      </w:tr>
      <w:tr>
        <w:trPr>
          <w:trHeight w:val="841"/>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检验过程</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（1）食品安全执法抽检应当根据样品实际情况、食品安全国家标准、相关法律法规和规范，结合执法办案实际，确定检验项目和检验方法。</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（2）检验应当遵循技术手段先进的原则，在报备采购方同意的前提下，不受是否具备合法资质等限制。</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（3）在不影响样品检验结果的前提下，供应商应当对检验样品采取相应的措施（如分装或者重新包装编号），以保证不会发生人为原因导致不公正的情况。</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（4）供应商应当按照标准或相关规定制备样品，必要时制定作业指导书，认真记录制样过程关键信息。</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（5）供应商应当建立检验结果复验程序（微生物、螨、寄生虫项目除外），在检验结果不合格或存疑等情况时，应当对同批次样品进行再次检验并保存原始记录，确保数据准确可靠。</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（6）微生物项目不合格的，应当由微生物检验领域关键技术人员（与样品检验人员非同一人）对检验过程中影响结果的关键因素进行复核。</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（7）拟用于开展食品检验工作的实验场所面积、环境、布局和组成部分等与服务需求相匹配。</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（8）检验设备的仪器型号、等级、精密度、运行状况和数量应能满足项目需求。</w:t>
            </w:r>
            <w:r/>
          </w:p>
        </w:tc>
      </w:tr>
      <w:tr>
        <w:trPr>
          <w:trHeight w:val="1408"/>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5</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检验记录</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（1）检验原始记录必须如实填写，保证真实、准确、完整、清晰、可溯源，不得随意更改。</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（2）确有必要更改的</w:t>
            </w:r>
            <w:r>
              <w:rPr>
                <w:rFonts w:hint="eastAsia" w:ascii="宋体" w:hAnsi="宋体" w:cs="宋体"/>
                <w:sz w:val="24"/>
                <w:szCs w:val="24"/>
              </w:rPr>
              <w:t xml:space="preserve">，更改处应当经检验人员签字或盖章确认，采用电子化原始记录的，应当保留更改痕迹。</w:t>
            </w:r>
            <w:r/>
          </w:p>
        </w:tc>
      </w:tr>
      <w:tr>
        <w:trPr>
          <w:trHeight w:val="792"/>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6</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结果质量控制</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供应商应当选取加标回收、人员比对、设备比对或实验室间比对等质控方式确保数据的准确性。</w:t>
            </w:r>
            <w:r/>
          </w:p>
        </w:tc>
      </w:tr>
      <w:tr>
        <w:trPr>
          <w:trHeight w:val="2688"/>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7</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检验报告</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（1）供应商应当按规定格式出具检验报告，检验报告应当内容真实完整、数据准确。</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（2）投标人应严格按照采购人的要求，在案件办理所需时限内提交检测报告，原则上为抽样完成后10个工作日。采购人与供应商另有约定的，从其约定。</w:t>
            </w:r>
            <w:r/>
          </w:p>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（3）食品安全执法抽检实行供应商与检验人负责制。供应商出具的检验报告应当加盖机构公章或检验检测专用章，并有检验人的签名或者盖章。供应商和检验人对出具的检验报告负责。</w:t>
            </w:r>
            <w:r/>
          </w:p>
        </w:tc>
      </w:tr>
      <w:tr>
        <w:trPr>
          <w:trHeight w:val="1111"/>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8</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检验过程特殊情况</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检验过程中遇有样品失效或者其他情况致使检验无法进行的，供应商必须如实记录有关情况，提供充分的证明材料，并将有关情况报告采购人。</w:t>
            </w:r>
            <w:r/>
          </w:p>
        </w:tc>
      </w:tr>
      <w:tr>
        <w:trPr>
          <w:trHeight w:val="983"/>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9</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风险信息限时报送</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供应商在检验过程中发现严重食品安全风险情形的，应当立即对样品信息、检验结果等进行核实，原则上在十二个小时内将情况向采购人书面或电话报告。供应商要按“急事急办”原则，尽快出具完整的检验报告。</w:t>
            </w:r>
            <w:r/>
          </w:p>
        </w:tc>
      </w:tr>
      <w:tr>
        <w:trPr>
          <w:trHeight w:val="1117"/>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10</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合格样品、未发现问题样品检验报告的报送</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原则上供应商应当在检验结</w:t>
            </w:r>
            <w:r>
              <w:rPr>
                <w:rFonts w:hint="eastAsia" w:ascii="宋体" w:hAnsi="宋体" w:cs="宋体"/>
                <w:sz w:val="24"/>
                <w:szCs w:val="24"/>
              </w:rPr>
              <w:t xml:space="preserve">论作出后七个工作日内将检验结论报送采购人。</w:t>
            </w:r>
            <w:r/>
          </w:p>
        </w:tc>
      </w:tr>
      <w:tr>
        <w:trPr>
          <w:trHeight w:val="557"/>
        </w:trPr>
        <w:tc>
          <w:tcPr>
            <w:tcW w:w="81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11</w:t>
            </w:r>
            <w:r/>
          </w:p>
        </w:tc>
        <w:tc>
          <w:tcPr>
            <w:tcW w:w="1700"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不合格样品、问题样品检验报告的报送</w:t>
            </w:r>
            <w:r/>
          </w:p>
        </w:tc>
        <w:tc>
          <w:tcPr>
            <w:tcW w:w="5767" w:type="dxa"/>
            <w:vAlign w:val="center"/>
            <w:textDirection w:val="lrTb"/>
            <w:noWrap w:val="false"/>
          </w:tcPr>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供应商应当在检验结论作出后两个工作日内将检验报告及《江苏省食品安全执法抽检抽样单》等有关材料报送采购人，并按照相关规定及时配合通报。</w:t>
            </w:r>
            <w:r/>
          </w:p>
        </w:tc>
      </w:tr>
    </w:tbl>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4.2.3数据汇总、分析报告与复检环节</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表3 数据处理上报、分析报告与复检环节主要技术内容和标准</w:t>
      </w:r>
      <w:r/>
    </w:p>
    <w:tbl>
      <w:tblPr>
        <w:tblW w:w="8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24"/>
        <w:gridCol w:w="993"/>
        <w:gridCol w:w="5800"/>
      </w:tblGrid>
      <w:tr>
        <w:trPr>
          <w:trHeight w:val="555"/>
        </w:trPr>
        <w:tc>
          <w:tcPr>
            <w:tcW w:w="833"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gridSpan w:val="2"/>
            <w:tcW w:w="1717"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服务名称</w:t>
            </w:r>
            <w:r/>
          </w:p>
        </w:tc>
        <w:tc>
          <w:tcPr>
            <w:tcW w:w="580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服务内容和标准</w:t>
            </w:r>
            <w:r/>
          </w:p>
        </w:tc>
      </w:tr>
      <w:tr>
        <w:trPr>
          <w:trHeight w:val="1408"/>
        </w:trPr>
        <w:tc>
          <w:tcPr>
            <w:tcW w:w="833"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w:t>
            </w:r>
            <w:r/>
          </w:p>
        </w:tc>
        <w:tc>
          <w:tcPr>
            <w:gridSpan w:val="2"/>
            <w:tcW w:w="1717"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数据汇总</w:t>
            </w:r>
            <w:r/>
          </w:p>
        </w:tc>
        <w:tc>
          <w:tcPr>
            <w:tcW w:w="580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（1）数据统计分析、结果信息报送人员数量、能力等要求与服务需求相匹配。</w:t>
            </w:r>
            <w:r/>
          </w:p>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（2）根据采购人要求按时完成抽检数据的统计汇总和及时上报，并对数据质量负责。</w:t>
            </w:r>
            <w:r/>
          </w:p>
        </w:tc>
      </w:tr>
      <w:tr>
        <w:trPr>
          <w:trHeight w:val="683"/>
        </w:trPr>
        <w:tc>
          <w:tcPr>
            <w:tcW w:w="833"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2</w:t>
            </w:r>
            <w:r/>
          </w:p>
        </w:tc>
        <w:tc>
          <w:tcPr>
            <w:gridSpan w:val="2"/>
            <w:tcW w:w="1717"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分析报告</w:t>
            </w:r>
            <w:r/>
          </w:p>
        </w:tc>
        <w:tc>
          <w:tcPr>
            <w:tcW w:w="580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在检验工作完成后按采购人要求提供分析报告，包含但不限于任务抽检情况、结果分析、案件支撑、风险警示、工作建议等方面内容。</w:t>
            </w:r>
            <w:r/>
          </w:p>
        </w:tc>
      </w:tr>
      <w:tr>
        <w:trPr>
          <w:cantSplit/>
          <w:trHeight w:val="557"/>
        </w:trPr>
        <w:tc>
          <w:tcPr>
            <w:tcW w:w="833"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3</w:t>
            </w:r>
            <w:r/>
          </w:p>
        </w:tc>
        <w:tc>
          <w:tcPr>
            <w:tcW w:w="724" w:type="dxa"/>
            <w:vAlign w:val="center"/>
            <w:vMerge w:val="restart"/>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复检处理</w:t>
            </w:r>
            <w:r/>
          </w:p>
        </w:tc>
        <w:tc>
          <w:tcPr>
            <w:tcW w:w="993"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复检备份样品移交</w:t>
            </w:r>
            <w:r/>
          </w:p>
        </w:tc>
        <w:tc>
          <w:tcPr>
            <w:tcW w:w="580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（1）初检机构应当自复检机构确定之日起三个工作日内，将备份样品移交至复检机构并填写《复检备份样品确认单》。因客观原因不能按时移交的，经受理复检的市场监管部门同意，可以延长三个工作日。</w:t>
            </w:r>
            <w:r/>
          </w:p>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（2）复检样品的递送方式由初检机构和申请人协商确定，协商不一致的，由受理复检的市场监管部门确定。初检机构应当保证复检备份样品完好，并保证备份样品运输过</w:t>
            </w:r>
            <w:r>
              <w:rPr>
                <w:rFonts w:hint="eastAsia" w:ascii="宋体" w:hAnsi="宋体" w:cs="宋体"/>
                <w:sz w:val="24"/>
                <w:szCs w:val="24"/>
              </w:rPr>
              <w:t xml:space="preserve">程符合相关标准或样品标示的贮存条件和备份样品的运输安全。</w:t>
            </w:r>
            <w:r/>
          </w:p>
        </w:tc>
      </w:tr>
      <w:tr>
        <w:trPr>
          <w:cantSplit/>
          <w:trHeight w:val="1112"/>
        </w:trPr>
        <w:tc>
          <w:tcPr>
            <w:tcW w:w="833"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4</w:t>
            </w:r>
            <w:r/>
          </w:p>
        </w:tc>
        <w:tc>
          <w:tcPr>
            <w:tcW w:w="724" w:type="dxa"/>
            <w:vAlign w:val="center"/>
            <w:vMerge w:val="continue"/>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r>
            <w:r/>
          </w:p>
        </w:tc>
        <w:tc>
          <w:tcPr>
            <w:tcW w:w="993"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复检实施</w:t>
            </w:r>
            <w:r/>
          </w:p>
        </w:tc>
        <w:tc>
          <w:tcPr>
            <w:tcW w:w="580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初检机构可以派员观察复检实施过程，复检机构应当予以配合。初检机构派出观察复检过程的人员，应当遵守复检机构的相关规定，不得干扰复检工作。 </w:t>
            </w:r>
            <w:r/>
          </w:p>
        </w:tc>
      </w:tr>
    </w:tbl>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4.2.4其他服务要求</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表4 其他服务内容和标准</w:t>
      </w:r>
      <w:r/>
    </w:p>
    <w:tbl>
      <w:tblPr>
        <w:tblW w:w="84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150"/>
        <w:gridCol w:w="5450"/>
      </w:tblGrid>
      <w:tr>
        <w:trPr>
          <w:trHeight w:val="55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服务名称</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服务内容和标准</w:t>
            </w:r>
            <w:r/>
          </w:p>
        </w:tc>
      </w:tr>
      <w:tr>
        <w:trPr>
          <w:trHeight w:val="55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人员团队配置</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1.1供应商应为本项目组建专门团队。团队成员若为供应商自有在职人员，需提供一一对应的供应商为团队成员缴纳社保的证明材料；团队成员若为劳务派遣人员，需提供一一对应的团队成员个人的劳动合同、供应商与人事代理（劳务外包）公司签订的人事代理（劳务外包）合同、人事代理（劳务外包）公司为团队成员缴纳社保证明材料。</w:t>
            </w:r>
            <w:r/>
          </w:p>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(1)供应商组建的项目团队，需配备独立抽样人员的数量10人以上。</w:t>
            </w:r>
            <w:r/>
          </w:p>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(2)供应商组建的项目团队，需配备承担食品检验人员数量30人以上，需包含具有食品、化学、生物等与食品检测相关专业的人员，要求工作年限2年以上。</w:t>
            </w:r>
            <w:r/>
          </w:p>
          <w:p>
            <w:pPr>
              <w:pStyle w:val="749"/>
              <w:jc w:val="both"/>
              <w:spacing w:after="0" w:line="560" w:lineRule="exact"/>
              <w:widowControl w:val="off"/>
              <w:rPr>
                <w:rFonts w:ascii="宋体" w:hAnsi="宋体" w:cs="宋体"/>
                <w:sz w:val="24"/>
                <w:szCs w:val="24"/>
              </w:rPr>
            </w:pPr>
            <w:r>
              <w:rPr>
                <w:rFonts w:hint="eastAsia" w:ascii="宋体" w:hAnsi="宋体" w:cs="宋体"/>
                <w:sz w:val="24"/>
                <w:szCs w:val="24"/>
              </w:rPr>
              <w:t xml:space="preserve">(3)</w:t>
            </w:r>
            <w:r>
              <w:rPr>
                <w:rFonts w:hint="eastAsia"/>
              </w:rPr>
              <w:t xml:space="preserve"> </w:t>
            </w:r>
            <w:r>
              <w:rPr>
                <w:rFonts w:hint="eastAsia" w:ascii="宋体" w:hAnsi="宋体" w:cs="宋体"/>
                <w:sz w:val="24"/>
                <w:szCs w:val="24"/>
              </w:rPr>
              <w:t xml:space="preserve">)供应商组建的项目团队，需配备食品检验业务工作满2年及以上的食品领域高级及以上专业技术职称人员，人员数量5人及以上。</w:t>
            </w:r>
            <w:r>
              <w:rPr>
                <w:rFonts w:ascii="宋体" w:hAnsi="宋体" w:cs="宋体"/>
                <w:sz w:val="24"/>
                <w:szCs w:val="24"/>
              </w:rPr>
            </w:r>
            <w:r/>
          </w:p>
          <w:p>
            <w:pPr>
              <w:pStyle w:val="749"/>
              <w:jc w:val="both"/>
              <w:spacing w:after="0" w:line="560" w:lineRule="exact"/>
              <w:widowControl w:val="off"/>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项目团队中需配备食品药品安全委员会食品安全专家委员会委员或食</w:t>
            </w:r>
            <w:r>
              <w:rPr>
                <w:rFonts w:hint="eastAsia" w:ascii="宋体" w:hAnsi="宋体"/>
                <w:sz w:val="24"/>
                <w:szCs w:val="24"/>
              </w:rPr>
              <w:t xml:space="preserve">品相关领域</w:t>
            </w:r>
            <w:r>
              <w:rPr>
                <w:rFonts w:hint="eastAsia" w:ascii="宋体" w:hAnsi="宋体" w:cs="宋体"/>
                <w:color w:val="333333"/>
                <w:sz w:val="24"/>
                <w:szCs w:val="24"/>
                <w:shd w:val="clear" w:color="auto" w:fill="ffffff"/>
              </w:rPr>
              <w:t xml:space="preserve">检验检测机构资质认定评审专家，</w:t>
            </w:r>
            <w:r>
              <w:rPr>
                <w:rFonts w:hint="eastAsia" w:ascii="宋体" w:hAnsi="宋体" w:cs="宋体"/>
                <w:sz w:val="24"/>
                <w:szCs w:val="24"/>
              </w:rPr>
              <w:t xml:space="preserve">人员数量1人及以上.</w:t>
            </w:r>
            <w:r>
              <w:rPr>
                <w:rFonts w:ascii="宋体" w:hAnsi="宋体" w:cs="宋体"/>
                <w:sz w:val="24"/>
                <w:szCs w:val="24"/>
              </w:rPr>
            </w:r>
            <w:r/>
          </w:p>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（5）供应商组建的项目团队，从事食品检验检测的人员与专职抽样人员不得重复，实行抽、检分开。</w:t>
            </w:r>
            <w:r/>
          </w:p>
        </w:tc>
      </w:tr>
      <w:tr>
        <w:trPr>
          <w:trHeight w:val="55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2</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设备设施要求</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供应商应配备满足本采购项目检测要求的自有检测设备与装备，应包括但不限于高分辨串联质谱仪、</w:t>
            </w:r>
            <w:r>
              <w:rPr>
                <w:rFonts w:hint="eastAsia" w:ascii="宋体" w:hAnsi="宋体"/>
                <w:sz w:val="24"/>
                <w:szCs w:val="24"/>
              </w:rPr>
              <w:t xml:space="preserve">液相色谱串联质谱联用仪、气相色谱质谱联用仪等设备，数量应不少于1台。</w:t>
            </w:r>
            <w:r>
              <w:rPr>
                <w:rFonts w:hint="eastAsia" w:ascii="宋体" w:hAnsi="宋体" w:cs="宋体"/>
                <w:sz w:val="24"/>
                <w:szCs w:val="24"/>
              </w:rPr>
            </w:r>
            <w:r/>
          </w:p>
        </w:tc>
      </w:tr>
      <w:tr>
        <w:trPr>
          <w:trHeight w:val="55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3</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sz w:val="24"/>
                <w:szCs w:val="24"/>
              </w:rPr>
              <w:t xml:space="preserve">实验室能力验证</w:t>
            </w:r>
            <w:r>
              <w:rPr>
                <w:rFonts w:hint="eastAsia" w:ascii="宋体" w:hAnsi="宋体" w:cs="宋体"/>
                <w:sz w:val="24"/>
                <w:szCs w:val="24"/>
              </w:rPr>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sz w:val="24"/>
                <w:szCs w:val="24"/>
              </w:rPr>
              <w:t xml:space="preserve">供应商参加过相关机构组织的食品检测项目的实验室能力验证或监管部门组织的盲样考核，并获得合格（满意）结果的，包含农药残留、兽药残留、重金属、真菌毒素、食品添加剂、非法添加、微生物、动物源性成分等8个领域.</w:t>
            </w:r>
            <w:r>
              <w:rPr>
                <w:rFonts w:hint="eastAsia" w:ascii="宋体" w:hAnsi="宋体" w:cs="宋体"/>
                <w:sz w:val="24"/>
                <w:szCs w:val="24"/>
              </w:rPr>
            </w:r>
            <w:r/>
          </w:p>
        </w:tc>
      </w:tr>
      <w:tr>
        <w:trPr>
          <w:trHeight w:val="55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4</w:t>
            </w:r>
            <w:r/>
          </w:p>
        </w:tc>
        <w:tc>
          <w:tcPr>
            <w:tcW w:w="2150" w:type="dxa"/>
            <w:vAlign w:val="center"/>
            <w:textDirection w:val="lrTb"/>
            <w:noWrap w:val="false"/>
          </w:tcPr>
          <w:p>
            <w:pPr>
              <w:pStyle w:val="749"/>
              <w:jc w:val="both"/>
              <w:spacing w:after="0" w:line="560" w:lineRule="exact"/>
              <w:widowControl w:val="off"/>
              <w:rPr>
                <w:rFonts w:hint="eastAsia" w:ascii="宋体" w:hAnsi="宋体"/>
                <w:sz w:val="24"/>
                <w:szCs w:val="24"/>
              </w:rPr>
            </w:pPr>
            <w:r>
              <w:rPr>
                <w:rFonts w:hint="eastAsia" w:ascii="宋体" w:hAnsi="宋体"/>
                <w:sz w:val="24"/>
                <w:szCs w:val="24"/>
              </w:rPr>
              <w:t xml:space="preserve">备样处置</w:t>
            </w:r>
            <w:r/>
          </w:p>
        </w:tc>
        <w:tc>
          <w:tcPr>
            <w:tcW w:w="5450" w:type="dxa"/>
            <w:vAlign w:val="center"/>
            <w:textDirection w:val="lrTb"/>
            <w:noWrap w:val="false"/>
          </w:tcPr>
          <w:p>
            <w:pPr>
              <w:pStyle w:val="749"/>
              <w:jc w:val="both"/>
              <w:spacing w:after="0" w:line="560" w:lineRule="exact"/>
              <w:widowControl w:val="off"/>
              <w:rPr>
                <w:rFonts w:hint="eastAsia" w:ascii="宋体" w:hAnsi="宋体"/>
                <w:sz w:val="24"/>
                <w:szCs w:val="24"/>
              </w:rPr>
            </w:pPr>
            <w:r>
              <w:rPr>
                <w:rFonts w:hint="eastAsia" w:ascii="宋体" w:hAnsi="宋体"/>
                <w:sz w:val="24"/>
                <w:szCs w:val="24"/>
              </w:rPr>
              <w:t xml:space="preserve">食品安全执法抽检的备份样品应由承检机构妥善保存。确需销毁处理的，应征得江苏省局和实施执法抽检的市场监督管理部门同意，并保存备样销毁记录。</w:t>
            </w:r>
            <w:r/>
          </w:p>
        </w:tc>
      </w:tr>
      <w:tr>
        <w:trPr>
          <w:trHeight w:val="55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5</w:t>
            </w:r>
            <w:r/>
          </w:p>
        </w:tc>
        <w:tc>
          <w:tcPr>
            <w:tcW w:w="2150" w:type="dxa"/>
            <w:vAlign w:val="center"/>
            <w:textDirection w:val="lrTb"/>
            <w:noWrap w:val="false"/>
          </w:tcPr>
          <w:p>
            <w:pPr>
              <w:pStyle w:val="749"/>
              <w:jc w:val="both"/>
              <w:spacing w:after="0" w:line="560" w:lineRule="exact"/>
              <w:widowControl w:val="off"/>
              <w:rPr>
                <w:rFonts w:hint="eastAsia" w:ascii="宋体" w:hAnsi="宋体"/>
                <w:sz w:val="24"/>
                <w:szCs w:val="24"/>
              </w:rPr>
            </w:pPr>
            <w:r>
              <w:rPr>
                <w:rFonts w:hint="eastAsia" w:ascii="宋体" w:hAnsi="宋体"/>
                <w:sz w:val="24"/>
                <w:szCs w:val="24"/>
              </w:rPr>
              <w:t xml:space="preserve">管理制度</w:t>
            </w:r>
            <w:r/>
          </w:p>
        </w:tc>
        <w:tc>
          <w:tcPr>
            <w:tcW w:w="5450" w:type="dxa"/>
            <w:vAlign w:val="center"/>
            <w:textDirection w:val="lrTb"/>
            <w:noWrap w:val="false"/>
          </w:tcPr>
          <w:p>
            <w:pPr>
              <w:pStyle w:val="749"/>
              <w:jc w:val="both"/>
              <w:spacing w:after="0" w:line="560" w:lineRule="exact"/>
              <w:widowControl w:val="off"/>
              <w:rPr>
                <w:rFonts w:hint="eastAsia" w:ascii="宋体" w:hAnsi="宋体"/>
                <w:sz w:val="24"/>
                <w:szCs w:val="24"/>
              </w:rPr>
            </w:pPr>
            <w:r>
              <w:rPr>
                <w:rFonts w:hint="eastAsia" w:ascii="宋体" w:hAnsi="宋体"/>
                <w:sz w:val="24"/>
                <w:szCs w:val="24"/>
              </w:rPr>
              <w:t xml:space="preserve">管理制度具备人员工作规范、抽样、检验、样品管理、复验、结果上报等全流程工作的具体要求。</w:t>
            </w:r>
            <w:r/>
          </w:p>
        </w:tc>
      </w:tr>
      <w:tr>
        <w:trPr>
          <w:trHeight w:val="831"/>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6</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快速响应方案</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快速响应方案应当包括但不限于保障措施、工作流程、管理制度等各项内容。</w:t>
            </w:r>
            <w:r>
              <w:rPr>
                <w:rFonts w:hint="eastAsia" w:ascii="宋体" w:hAnsi="宋体" w:cs="宋体"/>
                <w:bCs/>
                <w:sz w:val="24"/>
                <w:szCs w:val="24"/>
              </w:rPr>
              <w:t xml:space="preserve">要求条理清晰、目标明确、针对性强，匹配本项目需求。</w:t>
            </w:r>
            <w:r>
              <w:rPr>
                <w:rFonts w:hint="eastAsia" w:ascii="宋体" w:hAnsi="宋体" w:cs="宋体"/>
                <w:sz w:val="24"/>
                <w:szCs w:val="24"/>
              </w:rPr>
            </w:r>
            <w:r/>
          </w:p>
        </w:tc>
      </w:tr>
      <w:tr>
        <w:trPr>
          <w:trHeight w:val="877"/>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7</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分析报告撰写能力</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在工作完成后需按采购人要求提供执法抽检分析报</w:t>
            </w:r>
            <w:r>
              <w:rPr>
                <w:rFonts w:hint="eastAsia" w:ascii="宋体" w:hAnsi="宋体" w:cs="宋体"/>
                <w:sz w:val="24"/>
                <w:szCs w:val="24"/>
              </w:rPr>
              <w:t xml:space="preserve">告，包含但不限于任务抽检情况、结果分析、风险警示、工作建议等方面内容。</w:t>
            </w:r>
            <w:bookmarkStart w:id="109" w:name="_Hlk229124534"/>
            <w:r>
              <w:rPr>
                <w:rFonts w:hint="eastAsia" w:ascii="宋体" w:hAnsi="宋体" w:cs="宋体"/>
                <w:bCs/>
                <w:sz w:val="24"/>
                <w:szCs w:val="24"/>
              </w:rPr>
              <w:t xml:space="preserve">要求条理清晰、目标明确、针对性强，匹配本项目需求。</w:t>
            </w:r>
            <w:bookmarkEnd w:id="109"/>
            <w:r>
              <w:rPr>
                <w:rFonts w:hint="eastAsia" w:ascii="宋体" w:hAnsi="宋体" w:cs="宋体"/>
                <w:sz w:val="24"/>
                <w:szCs w:val="24"/>
              </w:rPr>
            </w:r>
            <w:r/>
          </w:p>
        </w:tc>
      </w:tr>
      <w:tr>
        <w:trPr>
          <w:trHeight w:val="877"/>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8</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实施方案</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实施方案应当包括但不限于抽样、检验、数据上报、分析汇总等各项内容。</w:t>
            </w:r>
            <w:r>
              <w:rPr>
                <w:rFonts w:hint="eastAsia" w:ascii="宋体" w:hAnsi="宋体" w:cs="宋体"/>
                <w:bCs/>
                <w:sz w:val="24"/>
                <w:szCs w:val="24"/>
              </w:rPr>
              <w:t xml:space="preserve">要求条理清晰、目标明确、针对性强，匹配本项目需求。</w:t>
            </w:r>
            <w:r>
              <w:rPr>
                <w:rFonts w:hint="eastAsia" w:ascii="宋体" w:hAnsi="宋体" w:cs="宋体"/>
                <w:sz w:val="24"/>
                <w:szCs w:val="24"/>
              </w:rPr>
            </w:r>
            <w:r/>
          </w:p>
        </w:tc>
      </w:tr>
      <w:tr>
        <w:trPr>
          <w:trHeight w:val="877"/>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9</w:t>
            </w:r>
            <w:r/>
          </w:p>
        </w:tc>
        <w:tc>
          <w:tcPr>
            <w:tcW w:w="2150" w:type="dxa"/>
            <w:vAlign w:val="center"/>
            <w:textDirection w:val="lrTb"/>
            <w:noWrap w:val="false"/>
          </w:tcPr>
          <w:p>
            <w:pPr>
              <w:pStyle w:val="749"/>
              <w:jc w:val="both"/>
              <w:spacing w:after="0" w:line="560" w:lineRule="exact"/>
              <w:widowControl w:val="off"/>
              <w:rPr>
                <w:rFonts w:hint="eastAsia" w:ascii="宋体" w:hAnsi="宋体"/>
                <w:sz w:val="24"/>
                <w:szCs w:val="24"/>
              </w:rPr>
            </w:pPr>
            <w:r>
              <w:rPr>
                <w:rFonts w:hint="eastAsia" w:ascii="宋体" w:hAnsi="宋体"/>
                <w:sz w:val="24"/>
                <w:szCs w:val="24"/>
              </w:rPr>
              <w:t xml:space="preserve">质量控制方案</w:t>
            </w:r>
            <w:r/>
          </w:p>
        </w:tc>
        <w:tc>
          <w:tcPr>
            <w:tcW w:w="5450"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质量控制方案应</w:t>
            </w:r>
            <w:r>
              <w:rPr>
                <w:rFonts w:hint="eastAsia" w:ascii="宋体" w:hAnsi="宋体" w:cs="宋体"/>
                <w:sz w:val="24"/>
                <w:szCs w:val="24"/>
              </w:rPr>
              <w:t xml:space="preserve">当</w:t>
            </w:r>
            <w:r>
              <w:rPr>
                <w:rFonts w:hint="eastAsia" w:ascii="宋体" w:hAnsi="宋体"/>
                <w:sz w:val="24"/>
                <w:szCs w:val="24"/>
              </w:rPr>
              <w:t xml:space="preserve">包括但不限于采样、检验、复核、报告签署等各环节质量控制内容。</w:t>
            </w:r>
            <w:r>
              <w:rPr>
                <w:rFonts w:hint="eastAsia" w:ascii="宋体" w:hAnsi="宋体"/>
                <w:bCs/>
                <w:sz w:val="24"/>
                <w:szCs w:val="24"/>
              </w:rPr>
              <w:t xml:space="preserve">要求条理清晰、内容明确，程序规范，匹配本项目需求。</w:t>
            </w:r>
            <w:r>
              <w:rPr>
                <w:rFonts w:hint="eastAsia" w:ascii="宋体" w:hAnsi="宋体"/>
                <w:sz w:val="24"/>
                <w:szCs w:val="24"/>
              </w:rPr>
            </w:r>
            <w:r/>
          </w:p>
        </w:tc>
      </w:tr>
      <w:tr>
        <w:trPr>
          <w:trHeight w:val="877"/>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10</w:t>
            </w:r>
            <w:r/>
          </w:p>
        </w:tc>
        <w:tc>
          <w:tcPr>
            <w:tcW w:w="2150" w:type="dxa"/>
            <w:vAlign w:val="center"/>
            <w:textDirection w:val="lrTb"/>
            <w:noWrap w:val="false"/>
          </w:tcPr>
          <w:p>
            <w:pPr>
              <w:pStyle w:val="749"/>
              <w:jc w:val="both"/>
              <w:spacing w:after="0" w:line="560" w:lineRule="exact"/>
              <w:widowControl w:val="off"/>
              <w:rPr>
                <w:rFonts w:hint="eastAsia" w:ascii="宋体" w:hAnsi="宋体"/>
                <w:sz w:val="24"/>
                <w:szCs w:val="24"/>
              </w:rPr>
            </w:pPr>
            <w:r>
              <w:rPr>
                <w:rFonts w:hint="eastAsia" w:ascii="宋体" w:hAnsi="宋体"/>
                <w:sz w:val="24"/>
                <w:szCs w:val="24"/>
              </w:rPr>
              <w:t xml:space="preserve">针对本项目的重点、难点分析及保障措施</w:t>
            </w:r>
            <w:r/>
          </w:p>
        </w:tc>
        <w:tc>
          <w:tcPr>
            <w:tcW w:w="5450"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针对本项目的重点、难点分析及保障措施，包括但不限于任务特点分析、管控措施等各项内容。</w:t>
            </w:r>
            <w:r>
              <w:rPr>
                <w:rFonts w:hint="eastAsia" w:ascii="宋体" w:hAnsi="宋体"/>
                <w:bCs/>
                <w:sz w:val="24"/>
                <w:szCs w:val="24"/>
              </w:rPr>
              <w:t xml:space="preserve">要求条理清晰、目标明确、针对性强，匹配本项目需求。</w:t>
            </w:r>
            <w:r>
              <w:rPr>
                <w:rFonts w:hint="eastAsia" w:ascii="宋体" w:hAnsi="宋体"/>
                <w:sz w:val="24"/>
                <w:szCs w:val="24"/>
              </w:rPr>
            </w:r>
            <w:r/>
          </w:p>
        </w:tc>
      </w:tr>
      <w:tr>
        <w:trPr>
          <w:trHeight w:val="917"/>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11</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突发事件应急处置预案</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应急保障方案应当包括抽检、检测过程中可能遇到的各类突发情况，以及对应的应急解决处置措施。</w:t>
            </w:r>
            <w:r>
              <w:rPr>
                <w:rFonts w:hint="eastAsia" w:ascii="宋体" w:hAnsi="宋体" w:cs="宋体"/>
                <w:bCs/>
                <w:sz w:val="24"/>
                <w:szCs w:val="24"/>
              </w:rPr>
              <w:t xml:space="preserve">要求条理清晰、目标明确、针对性强，匹配本项目需求。</w:t>
            </w:r>
            <w:r>
              <w:rPr>
                <w:rFonts w:hint="eastAsia" w:ascii="宋体" w:hAnsi="宋体" w:cs="宋体"/>
                <w:sz w:val="24"/>
                <w:szCs w:val="24"/>
              </w:rPr>
            </w:r>
            <w:r/>
          </w:p>
        </w:tc>
      </w:tr>
      <w:tr>
        <w:trPr>
          <w:trHeight w:val="1126"/>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12</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工作业绩</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（1）承担食品安全执法抽检工作任务及类似项目情况。</w:t>
            </w:r>
            <w:r/>
          </w:p>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（2）工作业绩应能证明供应商的服务能力。</w:t>
            </w:r>
            <w:r/>
          </w:p>
        </w:tc>
      </w:tr>
      <w:tr>
        <w:trPr>
          <w:trHeight w:val="76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13</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工作质量状况</w:t>
            </w:r>
            <w:r/>
          </w:p>
        </w:tc>
        <w:tc>
          <w:tcPr>
            <w:tcW w:w="54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在承担食品安全执法抽检任务中，未有因工作质量问题被通报的情况。</w:t>
            </w:r>
            <w:r/>
          </w:p>
        </w:tc>
      </w:tr>
      <w:tr>
        <w:trPr>
          <w:trHeight w:val="765"/>
        </w:trPr>
        <w:tc>
          <w:tcPr>
            <w:tcW w:w="819"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14</w:t>
            </w:r>
            <w:r/>
          </w:p>
        </w:tc>
        <w:tc>
          <w:tcPr>
            <w:tcW w:w="2150" w:type="dxa"/>
            <w:vAlign w:val="center"/>
            <w:textDirection w:val="lrTb"/>
            <w:noWrap w:val="false"/>
          </w:tcPr>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复检能力</w:t>
            </w:r>
            <w:r/>
          </w:p>
        </w:tc>
        <w:tc>
          <w:tcPr>
            <w:tcW w:w="5450" w:type="dxa"/>
            <w:vAlign w:val="center"/>
            <w:textDirection w:val="lrTb"/>
            <w:noWrap w:val="false"/>
          </w:tcPr>
          <w:p>
            <w:pPr>
              <w:pStyle w:val="749"/>
              <w:jc w:val="both"/>
              <w:spacing w:after="0" w:line="560" w:lineRule="exact"/>
              <w:widowControl w:val="off"/>
              <w:rPr>
                <w:rFonts w:ascii="宋体" w:hAnsi="宋体" w:cs="宋体"/>
                <w:sz w:val="24"/>
                <w:szCs w:val="24"/>
              </w:rPr>
            </w:pPr>
            <w:r>
              <w:rPr>
                <w:rFonts w:hint="eastAsia" w:ascii="宋体" w:hAnsi="宋体" w:cs="宋体"/>
                <w:sz w:val="24"/>
                <w:szCs w:val="24"/>
              </w:rPr>
              <w:t xml:space="preserve">（1）供应商进入市场监管总局、国家卫生健康委和农业农</w:t>
            </w:r>
            <w:r>
              <w:rPr>
                <w:rFonts w:hint="eastAsia" w:ascii="宋体" w:hAnsi="宋体" w:cs="宋体"/>
                <w:sz w:val="24"/>
                <w:szCs w:val="24"/>
              </w:rPr>
              <w:t xml:space="preserve">村部公布的食品复检机构名录。</w:t>
            </w:r>
            <w:r>
              <w:rPr>
                <w:rFonts w:ascii="宋体" w:hAnsi="宋体" w:cs="宋体"/>
                <w:sz w:val="24"/>
                <w:szCs w:val="24"/>
              </w:rPr>
            </w:r>
            <w:r/>
          </w:p>
          <w:p>
            <w:pPr>
              <w:pStyle w:val="749"/>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（2）供应商应承担过食品领域的复检任务，并出具复检报告。</w:t>
            </w:r>
            <w:r/>
          </w:p>
        </w:tc>
      </w:tr>
    </w:tbl>
    <w:p>
      <w:pPr>
        <w:pStyle w:val="749"/>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4.2.5管理考核</w:t>
      </w:r>
      <w:r/>
    </w:p>
    <w:p>
      <w:pPr>
        <w:pStyle w:val="749"/>
        <w:ind w:firstLine="480"/>
        <w:jc w:val="both"/>
        <w:spacing w:after="160" w:line="560" w:lineRule="exact"/>
        <w:widowControl w:val="off"/>
        <w:rPr>
          <w:rFonts w:ascii="宋体" w:hAnsi="宋体" w:cs="宋体"/>
          <w:sz w:val="24"/>
          <w:szCs w:val="24"/>
        </w:rPr>
      </w:pPr>
      <w:r>
        <w:rPr>
          <w:rFonts w:hint="eastAsia" w:ascii="宋体" w:hAnsi="宋体" w:cs="宋体"/>
          <w:sz w:val="24"/>
          <w:szCs w:val="24"/>
        </w:rPr>
        <w:t xml:space="preserve">在服务周期内，供应商应确保其能力水平持续满足法律、法规、标准、规范性文件和采购人的要求，并接受采购人组织的考核，包括任务完成时效、问题发现率、复检异议认可、抽样覆盖率、抽样方案和分析报告质量、重大问题及时报告、应急服务响应等相关情况。</w:t>
      </w:r>
      <w:r>
        <w:rPr>
          <w:rFonts w:ascii="宋体" w:hAnsi="宋体" w:cs="宋体"/>
          <w:sz w:val="24"/>
          <w:szCs w:val="24"/>
        </w:rPr>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4.2.5.1 数据质量考核</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采购人对供应商报送的抽样检验数据的准确性、规范性、及时性等进行抽查。</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4.2.5.2 日常考核</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采购人对供应商在任务执行过程中开展的管理考核，包括任务完成时效、均衡推进、问题发现率、抽样方案和分析报告质量、重大问题及时报告、应急服务响应等相关情况。</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4.2.5.3 技术考核</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t xml:space="preserve">采购人对供应商在任务执行过程中开展的专项考核，包括飞行检查、报告抽查等。</w:t>
      </w:r>
      <w:r/>
    </w:p>
    <w:p>
      <w:pPr>
        <w:pStyle w:val="749"/>
        <w:ind w:firstLine="480"/>
        <w:jc w:val="both"/>
        <w:spacing w:after="160" w:line="560" w:lineRule="exact"/>
        <w:widowControl w:val="off"/>
        <w:rPr>
          <w:rFonts w:hint="eastAsia" w:ascii="宋体" w:hAnsi="宋体" w:cs="宋体"/>
          <w:sz w:val="24"/>
          <w:szCs w:val="24"/>
        </w:rPr>
      </w:pPr>
      <w:r>
        <w:rPr>
          <w:rFonts w:hint="eastAsia" w:ascii="宋体" w:hAnsi="宋体" w:cs="宋体"/>
          <w:sz w:val="24"/>
          <w:szCs w:val="24"/>
        </w:rPr>
      </w:r>
      <w:r/>
    </w:p>
    <w:p>
      <w:pPr>
        <w:pStyle w:val="749"/>
        <w:jc w:val="both"/>
        <w:spacing w:after="0" w:line="360" w:lineRule="auto"/>
        <w:widowControl w:val="off"/>
        <w:rPr>
          <w:rFonts w:hint="eastAsia" w:ascii="宋体" w:hAnsi="宋体" w:cs="宋体"/>
          <w:b/>
          <w:sz w:val="24"/>
          <w:szCs w:val="24"/>
        </w:rPr>
      </w:pPr>
      <w:r>
        <w:rPr>
          <w:rFonts w:hint="eastAsia" w:ascii="宋体" w:hAnsi="宋体" w:cs="宋体"/>
          <w:b/>
          <w:sz w:val="24"/>
          <w:szCs w:val="24"/>
        </w:rPr>
        <w:t xml:space="preserve">5.商务要求</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5.1 服务期限：自合同签订之日起至2026年12月31日完成。</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5.2 服务范围：江苏省</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5.3 付款进度和方式</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合同签订后30日内，甲方向乙方预付服务费用的50%；甲方确认乙方按合同约定完成任务，验收合格后30日内，向乙方支付剩余服务费用（剩余服务费用=中标单价×实际抽检批次</w:t>
      </w:r>
      <w:r>
        <w:rPr>
          <w:rFonts w:hint="eastAsia" w:ascii="宋体" w:hAnsi="宋体" w:cs="宋体"/>
          <w:sz w:val="24"/>
          <w:szCs w:val="24"/>
        </w:rPr>
        <w:t xml:space="preserve">数-预付款）。</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5.4 履约验收</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5.4.1验收程序</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原则上按照通知验收、机构自查、验收评审、综合评价、整改复查的流程组织开展验收工作。</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5.4.2验收内容</w:t>
      </w:r>
      <w:r/>
    </w:p>
    <w:p>
      <w:pPr>
        <w:pStyle w:val="749"/>
        <w:ind w:firstLine="480"/>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验收内容包括：计划执行情况、任务完成质量、分析报告质量、机构综合考核情况以及合同规定的其他履约情况等。采购人可参考表5并结合实际需求确定履约验收的内容和标准。</w:t>
      </w:r>
      <w:r/>
    </w:p>
    <w:p>
      <w:pPr>
        <w:pStyle w:val="749"/>
        <w:jc w:val="center"/>
        <w:spacing w:after="0" w:line="360" w:lineRule="auto"/>
        <w:widowControl w:val="off"/>
        <w:rPr>
          <w:rFonts w:hint="eastAsia" w:ascii="宋体" w:hAnsi="宋体" w:cs="宋体"/>
          <w:sz w:val="24"/>
          <w:szCs w:val="24"/>
        </w:rPr>
      </w:pPr>
      <w:r>
        <w:rPr>
          <w:rFonts w:hint="eastAsia" w:ascii="宋体" w:hAnsi="宋体" w:cs="宋体"/>
          <w:sz w:val="24"/>
          <w:szCs w:val="24"/>
        </w:rPr>
        <w:t xml:space="preserve">表5 履约验收项目表</w:t>
      </w:r>
      <w:r/>
    </w:p>
    <w:tbl>
      <w:tblPr>
        <w:tblW w:w="85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806"/>
        <w:gridCol w:w="1459"/>
        <w:gridCol w:w="4253"/>
        <w:gridCol w:w="1185"/>
      </w:tblGrid>
      <w:tr>
        <w:trPr>
          <w:trHeight w:val="513"/>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序号</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验收内容</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验收标准</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证明材料</w:t>
            </w:r>
            <w:r/>
          </w:p>
        </w:tc>
      </w:tr>
      <w:tr>
        <w:trPr>
          <w:trHeight w:val="443"/>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1</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工作执行情况</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抽检的品种、批次、区域、环节、场所等符合采购人的要求。</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trHeight w:val="756"/>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2</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任务完成时限</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任务完成时限和推进度符合采购人的要求。</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cantSplit/>
          <w:trHeight w:val="710"/>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3</w:t>
            </w:r>
            <w:r/>
          </w:p>
        </w:tc>
        <w:tc>
          <w:tcPr>
            <w:tcW w:w="806" w:type="dxa"/>
            <w:vAlign w:val="center"/>
            <w:vMerge w:val="restart"/>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任务完成质量</w:t>
            </w:r>
            <w:r/>
          </w:p>
        </w:tc>
        <w:tc>
          <w:tcPr>
            <w:tcW w:w="1459"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问题发现率</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不合格/问题样品发现率符合采购人的要求。</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cantSplit/>
          <w:trHeight w:val="694"/>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4</w:t>
            </w:r>
            <w:r/>
          </w:p>
        </w:tc>
        <w:tc>
          <w:tcPr>
            <w:tcW w:w="806" w:type="dxa"/>
            <w:vAlign w:val="center"/>
            <w:vMerge w:val="continue"/>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W w:w="1459"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数据质量</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被抽查数据的准确性、规范性等符合采购人的要求。</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cantSplit/>
          <w:trHeight w:val="688"/>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5</w:t>
            </w:r>
            <w:r/>
          </w:p>
        </w:tc>
        <w:tc>
          <w:tcPr>
            <w:tcW w:w="806" w:type="dxa"/>
            <w:vAlign w:val="center"/>
            <w:vMerge w:val="continue"/>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c>
          <w:tcPr>
            <w:tcW w:w="1459"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复检异议</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复检被推翻原结论、异议被认可的情况。</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trHeight w:val="838"/>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6</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分析报告质量</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分析报告全面、详实，对案件查办支撑成效明显、工作建议切实可行，符合采购人的要求。</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trHeight w:val="841"/>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7</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服务保障支撑监管的情况</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应急响应、案件支撑作用等监管特殊要求符合采购人的要求。</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trHeight w:val="841"/>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8</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工作纪律情况</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遵守法律法规、抽样和检验纪律等符合采购人的要求</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trHeight w:val="711"/>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9</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合同规定的其他履约情况</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符合合同书要求</w:t>
            </w:r>
            <w:r>
              <w:rPr>
                <w:rFonts w:hint="eastAsia" w:ascii="宋体" w:hAnsi="宋体" w:cs="宋体"/>
                <w:sz w:val="24"/>
                <w:szCs w:val="24"/>
              </w:rPr>
              <w:t xml:space="preserve">。</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r>
        <w:trPr>
          <w:trHeight w:val="679"/>
        </w:trPr>
        <w:tc>
          <w:tcPr>
            <w:tcW w:w="821"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10</w:t>
            </w:r>
            <w:r/>
          </w:p>
        </w:tc>
        <w:tc>
          <w:tcPr>
            <w:gridSpan w:val="2"/>
            <w:tcW w:w="226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采购人认为需要的其他验收内容</w:t>
            </w:r>
            <w:r/>
          </w:p>
        </w:tc>
        <w:tc>
          <w:tcPr>
            <w:tcW w:w="4253"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t xml:space="preserve">/</w:t>
            </w:r>
            <w:r/>
          </w:p>
        </w:tc>
        <w:tc>
          <w:tcPr>
            <w:tcW w:w="1185" w:type="dxa"/>
            <w:vAlign w:val="center"/>
            <w:textDirection w:val="lrTb"/>
            <w:noWrap w:val="false"/>
          </w:tcPr>
          <w:p>
            <w:pPr>
              <w:pStyle w:val="749"/>
              <w:jc w:val="both"/>
              <w:spacing w:after="0" w:line="360" w:lineRule="auto"/>
              <w:widowControl w:val="off"/>
              <w:rPr>
                <w:rFonts w:hint="eastAsia" w:ascii="宋体" w:hAnsi="宋体" w:cs="宋体"/>
                <w:sz w:val="24"/>
                <w:szCs w:val="24"/>
              </w:rPr>
            </w:pPr>
            <w:r>
              <w:rPr>
                <w:rFonts w:hint="eastAsia" w:ascii="宋体" w:hAnsi="宋体" w:cs="宋体"/>
                <w:sz w:val="24"/>
                <w:szCs w:val="24"/>
              </w:rPr>
            </w:r>
            <w:r/>
          </w:p>
        </w:tc>
      </w:tr>
    </w:tbl>
    <w:p>
      <w:pPr>
        <w:pStyle w:val="749"/>
        <w:ind w:firstLine="480"/>
        <w:jc w:val="both"/>
        <w:spacing w:after="0" w:line="360" w:lineRule="auto"/>
        <w:widowControl w:val="off"/>
        <w:rPr>
          <w:rFonts w:ascii="宋体" w:hAnsi="宋体"/>
          <w:bCs/>
          <w:sz w:val="24"/>
          <w:szCs w:val="24"/>
        </w:rPr>
      </w:pPr>
      <w:r>
        <w:rPr>
          <w:rFonts w:ascii="宋体" w:hAnsi="宋体"/>
          <w:bCs/>
          <w:sz w:val="24"/>
          <w:szCs w:val="24"/>
        </w:rPr>
      </w:r>
      <w:r/>
    </w:p>
    <w:p>
      <w:pPr>
        <w:pStyle w:val="749"/>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5.4.3 验收主体与验收时间：由采购人予以验收，验收时间由采购人根据各批次检测任务的具体情况在检测中同步进行或检测任务完成后实施验收考核。</w:t>
      </w:r>
      <w:r>
        <w:rPr>
          <w:rFonts w:ascii="宋体" w:hAnsi="宋体"/>
          <w:bCs/>
          <w:sz w:val="24"/>
          <w:szCs w:val="24"/>
        </w:rPr>
      </w:r>
      <w:r/>
    </w:p>
    <w:p>
      <w:pPr>
        <w:pStyle w:val="749"/>
        <w:jc w:val="both"/>
        <w:spacing w:after="0" w:line="360" w:lineRule="auto"/>
        <w:widowControl w:val="off"/>
        <w:rPr>
          <w:rFonts w:ascii="宋体" w:hAnsi="宋体"/>
          <w:b/>
          <w:sz w:val="24"/>
          <w:szCs w:val="24"/>
        </w:rPr>
      </w:pPr>
      <w:r>
        <w:rPr>
          <w:rFonts w:ascii="宋体" w:hAnsi="宋体"/>
          <w:b/>
          <w:sz w:val="24"/>
          <w:szCs w:val="24"/>
        </w:rPr>
      </w:r>
      <w:r/>
    </w:p>
    <w:p>
      <w:pPr>
        <w:pStyle w:val="749"/>
        <w:jc w:val="both"/>
        <w:spacing w:after="0" w:line="360" w:lineRule="auto"/>
        <w:widowControl w:val="off"/>
        <w:rPr>
          <w:rFonts w:hint="eastAsia" w:ascii="宋体" w:hAnsi="宋体"/>
          <w:b/>
          <w:sz w:val="24"/>
          <w:szCs w:val="24"/>
        </w:rPr>
      </w:pPr>
      <w:r>
        <w:rPr>
          <w:rFonts w:hint="eastAsia" w:ascii="宋体" w:hAnsi="宋体"/>
          <w:b/>
          <w:sz w:val="24"/>
          <w:szCs w:val="24"/>
        </w:rPr>
        <w:t xml:space="preserve">★5.5保密要求</w:t>
      </w:r>
      <w:r/>
    </w:p>
    <w:p>
      <w:pPr>
        <w:pStyle w:val="749"/>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5.5.1供应商及其服务人员应做好保密工作，对抽检信息、数据等负有保密义务。在项目实施过程中要建立工作登记单实现可追溯并确保相关档案实体及电子档信息的安全。未经允许不得对接触到的各种资料、文件拍照、拍摄，各种实体及电子资料等不得损坏、丢失和泄密，未经采购人授权，不得向除采购人外的任何单位与个人透露任何信息。否则由此造成的一切后果供应商需承担相关法律责任和赔偿责任。</w:t>
      </w:r>
      <w:r/>
    </w:p>
    <w:p>
      <w:pPr>
        <w:pStyle w:val="749"/>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5.5.2服务人员不得以任何形式将档案资料（包括纸质档和电子档）带出指定工作现场，不得以任何形式进行泄漏、传播。</w:t>
      </w:r>
      <w:r/>
    </w:p>
    <w:p>
      <w:pPr>
        <w:pStyle w:val="749"/>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5.5.3供应商应对其服务人员保密义务承担责任，如因其服务人员违反保密义务导致采购人产生损失或支出费用的，采购人有权要求供应商承担责任。</w:t>
      </w:r>
      <w:r/>
    </w:p>
    <w:p>
      <w:pPr>
        <w:pStyle w:val="749"/>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5.5.4供应商及其服务人员的保密期限为永久，不因本项目所签订的文件或合同的终止而终止。</w:t>
      </w:r>
      <w:r/>
    </w:p>
    <w:p>
      <w:pPr>
        <w:pStyle w:val="749"/>
        <w:ind w:firstLine="480"/>
        <w:jc w:val="both"/>
        <w:spacing w:after="0" w:line="360" w:lineRule="auto"/>
        <w:widowControl w:val="off"/>
        <w:rPr>
          <w:rFonts w:hint="eastAsia" w:ascii="宋体" w:hAnsi="宋体"/>
          <w:bCs/>
          <w:sz w:val="24"/>
          <w:szCs w:val="24"/>
        </w:rPr>
      </w:pPr>
      <w:r>
        <w:rPr>
          <w:rFonts w:hint="eastAsia" w:ascii="宋体" w:hAnsi="宋体"/>
          <w:bCs/>
          <w:sz w:val="24"/>
          <w:szCs w:val="24"/>
        </w:rPr>
        <w:t xml:space="preserve">针对上述保密要求内容，供应商须提供书面承诺函原件并加盖CA电子公章，格式自拟，内容应完全响应招标文</w:t>
      </w:r>
      <w:r>
        <w:rPr>
          <w:rFonts w:hint="eastAsia" w:ascii="宋体" w:hAnsi="宋体"/>
          <w:bCs/>
          <w:sz w:val="24"/>
          <w:szCs w:val="24"/>
        </w:rPr>
        <w:t xml:space="preserve">件要求。</w:t>
      </w:r>
      <w:r/>
    </w:p>
    <w:p>
      <w:pPr>
        <w:pStyle w:val="749"/>
        <w:jc w:val="both"/>
        <w:spacing w:after="0" w:line="360" w:lineRule="auto"/>
        <w:widowControl w:val="off"/>
        <w:rPr>
          <w:rFonts w:hint="eastAsia" w:ascii="宋体" w:hAnsi="宋体"/>
          <w:b/>
          <w:sz w:val="24"/>
          <w:szCs w:val="24"/>
        </w:rPr>
      </w:pPr>
      <w:r>
        <w:rPr>
          <w:rFonts w:hint="eastAsia" w:ascii="宋体" w:hAnsi="宋体"/>
          <w:b/>
          <w:sz w:val="24"/>
          <w:szCs w:val="24"/>
        </w:rPr>
        <w:t xml:space="preserve">★5.6履约形式</w:t>
      </w:r>
      <w:r/>
    </w:p>
    <w:p>
      <w:pPr>
        <w:pStyle w:val="749"/>
        <w:ind w:firstLine="480"/>
        <w:jc w:val="both"/>
        <w:spacing w:after="0" w:line="360" w:lineRule="auto"/>
        <w:widowControl w:val="off"/>
        <w:rPr>
          <w:rFonts w:ascii="宋体" w:hAnsi="宋体"/>
          <w:bCs/>
          <w:sz w:val="24"/>
          <w:szCs w:val="24"/>
        </w:rPr>
      </w:pPr>
      <w:r/>
      <w:bookmarkStart w:id="110" w:name="OLE_LINK3"/>
      <w:r>
        <w:rPr>
          <w:rFonts w:ascii="宋体" w:hAnsi="宋体"/>
          <w:bCs/>
          <w:sz w:val="24"/>
          <w:szCs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110"/>
      <w:r>
        <w:rPr>
          <w:rFonts w:ascii="宋体" w:hAnsi="宋体"/>
          <w:bCs/>
          <w:sz w:val="24"/>
          <w:szCs w:val="24"/>
        </w:rPr>
      </w:r>
      <w:r/>
    </w:p>
    <w:p>
      <w:pPr>
        <w:pStyle w:val="749"/>
        <w:ind w:firstLine="480"/>
        <w:jc w:val="both"/>
        <w:spacing w:after="0" w:line="360" w:lineRule="auto"/>
        <w:widowControl w:val="off"/>
      </w:pPr>
      <w:r>
        <w:rPr>
          <w:rFonts w:ascii="宋体" w:hAnsi="宋体"/>
          <w:bCs/>
          <w:sz w:val="24"/>
          <w:szCs w:val="24"/>
        </w:rPr>
        <w:t xml:space="preserve">供应商应提供不予分包转包书面承诺函并加盖公章，内容需满足采购文件要求，格式自拟</w:t>
      </w:r>
      <w:r/>
    </w:p>
    <w:p>
      <w:pPr>
        <w:pStyle w:val="749"/>
        <w:jc w:val="both"/>
        <w:spacing w:after="0" w:line="360" w:lineRule="auto"/>
        <w:widowControl w:val="off"/>
        <w:rPr>
          <w:rFonts w:hint="eastAsia" w:ascii="宋体" w:hAnsi="宋体"/>
          <w:b/>
          <w:sz w:val="24"/>
          <w:szCs w:val="24"/>
        </w:rPr>
      </w:pPr>
      <w:r>
        <w:rPr>
          <w:rFonts w:hint="eastAsia" w:ascii="宋体" w:hAnsi="宋体"/>
          <w:b/>
          <w:sz w:val="24"/>
          <w:szCs w:val="24"/>
        </w:rPr>
        <w:t xml:space="preserve">★5.7.成果归属要求</w:t>
      </w:r>
      <w:r/>
    </w:p>
    <w:p>
      <w:pPr>
        <w:pStyle w:val="749"/>
        <w:ind w:firstLine="480"/>
        <w:jc w:val="both"/>
        <w:spacing w:after="0" w:line="360" w:lineRule="auto"/>
        <w:widowControl w:val="off"/>
        <w:rPr>
          <w:rFonts w:ascii="宋体" w:hAnsi="宋体"/>
          <w:bCs/>
          <w:sz w:val="24"/>
          <w:szCs w:val="24"/>
        </w:rPr>
      </w:pPr>
      <w:r>
        <w:rPr>
          <w:rFonts w:ascii="宋体" w:hAnsi="宋体"/>
          <w:bCs/>
          <w:sz w:val="24"/>
          <w:szCs w:val="24"/>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p>
    <w:p>
      <w:pPr>
        <w:pStyle w:val="749"/>
        <w:ind w:firstLine="480"/>
        <w:jc w:val="both"/>
        <w:spacing w:after="0" w:line="360" w:lineRule="auto"/>
        <w:widowControl w:val="off"/>
        <w:rPr>
          <w:rFonts w:ascii="宋体" w:hAnsi="宋体"/>
          <w:bCs/>
          <w:sz w:val="24"/>
          <w:szCs w:val="24"/>
        </w:rPr>
      </w:pPr>
      <w:r>
        <w:rPr>
          <w:rFonts w:ascii="宋体" w:hAnsi="宋体"/>
          <w:bCs/>
          <w:sz w:val="24"/>
          <w:szCs w:val="24"/>
        </w:rPr>
        <w:t xml:space="preserve">针对此项成果归属内容，供应商须提供书面承诺函原件并加盖公章，格式自拟。</w:t>
      </w:r>
      <w:r/>
    </w:p>
    <w:p>
      <w:pPr>
        <w:pStyle w:val="749"/>
        <w:jc w:val="both"/>
        <w:spacing w:after="0" w:line="360" w:lineRule="auto"/>
        <w:widowControl w:val="off"/>
        <w:rPr>
          <w:rFonts w:ascii="宋体" w:hAnsi="宋体" w:cs="微软雅黑"/>
          <w:b/>
          <w:sz w:val="24"/>
          <w:szCs w:val="24"/>
        </w:rPr>
      </w:pPr>
      <w:r>
        <w:rPr>
          <w:rFonts w:hint="eastAsia" w:ascii="宋体" w:hAnsi="宋体"/>
          <w:b/>
          <w:sz w:val="24"/>
          <w:szCs w:val="24"/>
        </w:rPr>
        <w:t xml:space="preserve">5.8</w:t>
      </w:r>
      <w:r>
        <w:rPr>
          <w:rFonts w:hint="eastAsia" w:ascii="宋体" w:hAnsi="宋体" w:cs="微软雅黑"/>
          <w:b/>
          <w:sz w:val="24"/>
          <w:szCs w:val="24"/>
        </w:rPr>
        <w:t xml:space="preserve">报价要求</w:t>
      </w:r>
      <w:r>
        <w:rPr>
          <w:rFonts w:ascii="宋体" w:hAnsi="宋体" w:cs="微软雅黑"/>
          <w:b/>
          <w:sz w:val="24"/>
          <w:szCs w:val="24"/>
        </w:rPr>
      </w:r>
      <w:r/>
    </w:p>
    <w:p>
      <w:pPr>
        <w:pStyle w:val="749"/>
        <w:ind w:firstLine="480"/>
        <w:spacing w:after="0" w:line="560" w:lineRule="exact"/>
        <w:rPr>
          <w:rFonts w:ascii="宋体" w:hAnsi="宋体" w:cs="微软雅黑"/>
          <w:bCs/>
          <w:sz w:val="24"/>
          <w:szCs w:val="24"/>
        </w:rPr>
      </w:pPr>
      <w:r>
        <w:rPr>
          <w:rFonts w:hint="eastAsia" w:ascii="宋体" w:hAnsi="宋体" w:cs="微软雅黑"/>
          <w:bCs/>
          <w:sz w:val="24"/>
          <w:szCs w:val="24"/>
        </w:rPr>
        <w:t xml:space="preserve">5.8</w:t>
      </w:r>
      <w:r>
        <w:rPr>
          <w:rFonts w:ascii="宋体" w:hAnsi="宋体" w:cs="微软雅黑"/>
          <w:bCs/>
          <w:sz w:val="24"/>
          <w:szCs w:val="24"/>
        </w:rPr>
        <w:t xml:space="preserve">.</w:t>
      </w:r>
      <w:r>
        <w:rPr>
          <w:rFonts w:hint="eastAsia" w:ascii="宋体" w:hAnsi="宋体" w:cs="微软雅黑"/>
          <w:bCs/>
          <w:sz w:val="24"/>
          <w:szCs w:val="24"/>
        </w:rPr>
        <w:t xml:space="preserve">1该项目预算为全口径预算，包含了本项目所需的服务提供过程中可能发生的所有费用，包括但不限于样品购置费、检测费、实验室及检测设备使用费用、耗材、报告文本费（检测报告、质量分析报告等的编制打印）、相关文书的邮寄费、样品处置费、各种税费、利润、税金、人员工资（含各类保险、加班费、交通费、过节费等所有与人员相关费用）、培训及合同包含的所有风险、责任等各项相关费用。本次</w:t>
      </w:r>
      <w:r>
        <w:rPr>
          <w:rFonts w:hint="eastAsia" w:ascii="宋体" w:hAnsi="宋体" w:cs="微软雅黑"/>
          <w:bCs/>
          <w:sz w:val="24"/>
          <w:szCs w:val="24"/>
        </w:rPr>
        <w:t xml:space="preserve">采购供应商的报价应包括完成本项目发生的上述所有</w:t>
      </w:r>
      <w:bookmarkStart w:id="111" w:name="_Hlk228429904"/>
      <w:r>
        <w:rPr>
          <w:rFonts w:hint="eastAsia" w:ascii="宋体" w:hAnsi="宋体" w:cs="微软雅黑"/>
          <w:bCs/>
          <w:iCs/>
          <w:sz w:val="24"/>
          <w:szCs w:val="24"/>
        </w:rPr>
        <w:t xml:space="preserve">费用及采购代理服务费用（无需单独报价也无需单列），</w:t>
      </w:r>
      <w:bookmarkEnd w:id="111"/>
      <w:r>
        <w:rPr>
          <w:rFonts w:hint="eastAsia" w:ascii="宋体" w:hAnsi="宋体" w:cs="微软雅黑"/>
          <w:bCs/>
          <w:sz w:val="24"/>
          <w:szCs w:val="24"/>
        </w:rPr>
        <w:t xml:space="preserve">中标后采购人按中标价格结算支付采购资金，不再变更结算价格。</w:t>
      </w:r>
      <w:r>
        <w:rPr>
          <w:rFonts w:ascii="宋体" w:hAnsi="宋体" w:cs="微软雅黑"/>
          <w:bCs/>
          <w:sz w:val="24"/>
          <w:szCs w:val="24"/>
        </w:rPr>
      </w:r>
      <w:r/>
    </w:p>
    <w:p>
      <w:pPr>
        <w:pStyle w:val="749"/>
        <w:ind w:firstLine="480"/>
        <w:spacing w:after="0" w:line="560" w:lineRule="exact"/>
        <w:rPr>
          <w:rFonts w:hint="eastAsia" w:ascii="宋体" w:hAnsi="宋体" w:cs="微软雅黑"/>
          <w:bCs/>
          <w:iCs/>
          <w:sz w:val="24"/>
          <w:szCs w:val="24"/>
        </w:rPr>
      </w:pPr>
      <w:r>
        <w:rPr>
          <w:rFonts w:hint="eastAsia" w:ascii="宋体" w:hAnsi="宋体" w:cs="微软雅黑"/>
          <w:bCs/>
          <w:sz w:val="24"/>
          <w:szCs w:val="24"/>
        </w:rPr>
        <w:t xml:space="preserve">5.8.2本项目履约过程中需要发生抽检人员薪酬福利与社保费用、检测试剂费用、检测耗材费用、检测设备费用、交通费用、实验室场地费用、人员培训费用等诸多刚性成本项目，供应商应根据自身情况理性合理报价，不得低于正常成本价低价恶性竞争，确保采购人检测质量。请仔细阅读本文件“第二章  投标人须知”第26.8条、第26.9条、第27.1.10条内容，如投标供应商报价触发异常低价审核程序，</w:t>
      </w:r>
      <w:r>
        <w:rPr>
          <w:rFonts w:hint="eastAsia" w:ascii="宋体" w:hAnsi="宋体" w:cs="微软雅黑"/>
          <w:bCs/>
          <w:iCs/>
          <w:sz w:val="24"/>
          <w:szCs w:val="24"/>
        </w:rPr>
        <w:t xml:space="preserve">启动异常低价投标审查后，投标供应商不按时提供书面说明、证明材料,或者提供的书面说明、证明材料不能证明其报价合理性的，将作无效投标处理。</w:t>
      </w:r>
      <w:r/>
    </w:p>
    <w:p>
      <w:pPr>
        <w:pStyle w:val="749"/>
        <w:ind w:firstLine="480"/>
        <w:jc w:val="both"/>
        <w:spacing w:after="0" w:line="560" w:lineRule="exact"/>
        <w:widowControl w:val="off"/>
        <w:tabs>
          <w:tab w:val="left" w:pos="900" w:leader="none"/>
        </w:tabs>
        <w:rPr>
          <w:rFonts w:ascii="宋体"/>
          <w:sz w:val="24"/>
        </w:rPr>
      </w:pPr>
      <w:r>
        <w:rPr>
          <w:rFonts w:hint="eastAsia" w:ascii="宋体" w:hAnsi="宋体" w:cs="宋体"/>
          <w:sz w:val="24"/>
          <w:szCs w:val="24"/>
        </w:rPr>
        <w:t xml:space="preserve">5.8.3</w:t>
      </w:r>
      <w:r>
        <w:rPr>
          <w:rFonts w:hint="eastAsia" w:ascii="宋体"/>
          <w:sz w:val="24"/>
        </w:rPr>
        <w:t xml:space="preserve">供应商应按</w:t>
      </w:r>
      <w:r>
        <w:rPr>
          <w:rFonts w:hint="eastAsia"/>
          <w:b/>
          <w:bCs/>
          <w:sz w:val="24"/>
          <w:szCs w:val="24"/>
        </w:rPr>
        <w:t xml:space="preserve">每个食品大类的</w:t>
      </w:r>
      <w:bookmarkStart w:id="112" w:name="OLE_LINK12"/>
      <w:r>
        <w:rPr>
          <w:rFonts w:hint="eastAsia"/>
          <w:b/>
          <w:bCs/>
          <w:sz w:val="24"/>
          <w:szCs w:val="24"/>
        </w:rPr>
        <w:t xml:space="preserve">单价（</w:t>
      </w:r>
      <w:bookmarkEnd w:id="112"/>
      <w:r>
        <w:rPr>
          <w:rFonts w:hint="eastAsia"/>
          <w:b/>
          <w:bCs/>
          <w:sz w:val="24"/>
          <w:szCs w:val="24"/>
        </w:rPr>
        <w:t xml:space="preserve">单批次价格）分别</w:t>
      </w:r>
      <w:r>
        <w:rPr>
          <w:rFonts w:hint="eastAsia" w:ascii="宋体"/>
          <w:sz w:val="24"/>
        </w:rPr>
        <w:t xml:space="preserve">予以报价。供应商中标后在合同履约期内，不得以任何理由要求对其投标报价、运营方式、运营质量、人员数量、人员质量评估项目、服务内容、服务条件、服务质量等降低要求、变更要求或拒绝服务。</w:t>
      </w:r>
      <w:r>
        <w:rPr>
          <w:rFonts w:ascii="宋体"/>
          <w:sz w:val="24"/>
        </w:rPr>
      </w:r>
      <w:r/>
    </w:p>
    <w:p>
      <w:pPr>
        <w:pStyle w:val="762"/>
        <w:ind w:firstLine="480"/>
        <w:rPr>
          <w:rFonts w:hint="eastAsia"/>
          <w:sz w:val="24"/>
          <w:szCs w:val="24"/>
        </w:rPr>
      </w:pPr>
      <w:r>
        <w:rPr>
          <w:rFonts w:hint="eastAsia"/>
          <w:sz w:val="24"/>
          <w:szCs w:val="24"/>
        </w:rPr>
        <w:t xml:space="preserve">5.8.4投标人单批次抽检投标报价不得超出单批次最高限价，也不得超过单项报价合计价最高限价,否则投标无效。</w:t>
      </w:r>
      <w:r/>
    </w:p>
    <w:p>
      <w:pPr>
        <w:pStyle w:val="762"/>
        <w:ind w:firstLine="480"/>
        <w:rPr>
          <w:rFonts w:hint="eastAsia"/>
          <w:sz w:val="24"/>
          <w:szCs w:val="24"/>
        </w:rPr>
      </w:pPr>
      <w:r>
        <w:rPr>
          <w:rFonts w:hint="eastAsia"/>
          <w:sz w:val="24"/>
          <w:szCs w:val="24"/>
        </w:rPr>
        <w:t xml:space="preserve">5.8.5</w:t>
      </w:r>
      <w:r>
        <w:rPr>
          <w:rFonts w:hint="eastAsia"/>
          <w:sz w:val="24"/>
          <w:szCs w:val="24"/>
        </w:rPr>
        <w:t xml:space="preserve">各采购包批次数是采购人根据工作计划初步测算的结果，供应商履约时根据实际需要(如案件查办需要)在向采购人报备后可调整抽检食品品种、检验项目和批次。</w:t>
      </w:r>
      <w:r/>
    </w:p>
    <w:p>
      <w:pPr>
        <w:pStyle w:val="762"/>
        <w:ind w:firstLine="480"/>
        <w:rPr>
          <w:sz w:val="24"/>
          <w:szCs w:val="24"/>
        </w:rPr>
      </w:pPr>
      <w:r>
        <w:rPr>
          <w:sz w:val="24"/>
          <w:szCs w:val="24"/>
        </w:r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shd w:val="nil" w:color="auto"/>
        <w:rPr>
          <w:rFonts w:ascii="宋体" w:hAnsi="宋体" w:cs="宋体"/>
          <w:sz w:val="24"/>
          <w:szCs w:val="24"/>
        </w:rPr>
      </w:pPr>
      <w:r>
        <w:rPr>
          <w:rFonts w:hint="eastAsia" w:ascii="宋体" w:hAnsi="宋体" w:cs="宋体"/>
          <w:b/>
          <w:bCs/>
          <w:sz w:val="24"/>
          <w:szCs w:val="24"/>
          <w:highlight w:val="none"/>
        </w:rPr>
      </w:r>
      <w:r>
        <w:rPr>
          <w:rFonts w:hint="eastAsia" w:ascii="宋体" w:hAnsi="宋体" w:cs="宋体"/>
          <w:b/>
          <w:bCs/>
          <w:sz w:val="24"/>
          <w:szCs w:val="24"/>
          <w:highlight w:val="none"/>
        </w:rPr>
      </w:r>
      <w:r/>
    </w:p>
    <w:p>
      <w:pPr>
        <w:shd w:val="nil" w:color="auto"/>
        <w:rPr>
          <w:rFonts w:hint="eastAsia" w:ascii="宋体" w:hAnsi="宋体" w:cs="宋体"/>
          <w:b/>
          <w:bCs/>
          <w:sz w:val="24"/>
          <w:szCs w:val="24"/>
          <w:highlight w:val="none"/>
        </w:rPr>
      </w:pPr>
      <w:r>
        <w:rPr>
          <w:rFonts w:hint="eastAsia" w:ascii="宋体" w:hAnsi="宋体" w:cs="宋体"/>
          <w:b/>
          <w:bCs/>
          <w:sz w:val="24"/>
          <w:szCs w:val="24"/>
          <w:highlight w:val="none"/>
        </w:rPr>
        <w:br w:type="page" w:clear="all"/>
      </w:r>
      <w:r>
        <w:rPr>
          <w:rFonts w:hint="eastAsia" w:ascii="宋体" w:hAnsi="宋体" w:cs="宋体"/>
          <w:b/>
          <w:sz w:val="24"/>
          <w:szCs w:val="24"/>
        </w:rPr>
        <w:t xml:space="preserve">附件1   </w:t>
      </w:r>
      <w:r>
        <w:rPr>
          <w:rFonts w:hint="eastAsia" w:ascii="宋体" w:hAnsi="宋体" w:cs="宋体"/>
          <w:b/>
          <w:bCs/>
          <w:sz w:val="24"/>
          <w:szCs w:val="24"/>
        </w:rPr>
        <w:t xml:space="preserve">2026年江苏省食品安全执法抽检政府采购计划及预算明细表</w:t>
      </w:r>
      <w:r>
        <w:rPr>
          <w:rFonts w:hint="eastAsia" w:ascii="宋体" w:hAnsi="宋体" w:cs="宋体"/>
          <w:b/>
          <w:bCs/>
          <w:sz w:val="24"/>
          <w:szCs w:val="24"/>
          <w:highlight w:val="none"/>
        </w:rPr>
      </w:r>
      <w:r/>
    </w:p>
    <w:tbl>
      <w:tblPr>
        <w:tblW w:w="8946"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9"/>
        <w:gridCol w:w="1701"/>
        <w:gridCol w:w="1560"/>
        <w:gridCol w:w="2268"/>
        <w:gridCol w:w="2268"/>
      </w:tblGrid>
      <w:tr>
        <w:trPr>
          <w:trHeight w:val="834"/>
        </w:trPr>
        <w:tc>
          <w:tcPr>
            <w:tcW w:w="1149" w:type="dxa"/>
            <w:vAlign w:val="center"/>
            <w:textDirection w:val="lrTb"/>
            <w:noWrap w:val="false"/>
          </w:tcPr>
          <w:p>
            <w:pPr>
              <w:pStyle w:val="749"/>
              <w:spacing w:after="0" w:line="560" w:lineRule="exact"/>
              <w:rPr>
                <w:rFonts w:hint="eastAsia" w:ascii="宋体"/>
                <w:bCs/>
                <w:sz w:val="24"/>
              </w:rPr>
            </w:pPr>
            <w:r>
              <w:rPr>
                <w:rFonts w:hint="eastAsia" w:ascii="宋体"/>
                <w:bCs/>
                <w:sz w:val="24"/>
              </w:rPr>
              <w:t xml:space="preserve">采购包号</w:t>
            </w:r>
            <w:r/>
          </w:p>
        </w:tc>
        <w:tc>
          <w:tcPr>
            <w:tcW w:w="1701" w:type="dxa"/>
            <w:vAlign w:val="center"/>
            <w:textDirection w:val="lrTb"/>
            <w:noWrap w:val="false"/>
          </w:tcPr>
          <w:p>
            <w:pPr>
              <w:pStyle w:val="749"/>
              <w:spacing w:after="0" w:line="560" w:lineRule="exact"/>
              <w:rPr>
                <w:rFonts w:hint="eastAsia" w:ascii="宋体"/>
                <w:bCs/>
                <w:sz w:val="24"/>
              </w:rPr>
            </w:pPr>
            <w:r>
              <w:rPr>
                <w:rFonts w:hint="eastAsia" w:ascii="宋体"/>
                <w:bCs/>
                <w:sz w:val="24"/>
              </w:rPr>
              <w:t xml:space="preserve">抽检地区</w:t>
            </w:r>
            <w:r/>
          </w:p>
        </w:tc>
        <w:tc>
          <w:tcPr>
            <w:tcW w:w="1560" w:type="dxa"/>
            <w:vAlign w:val="center"/>
            <w:textDirection w:val="lrTb"/>
            <w:noWrap w:val="false"/>
          </w:tcPr>
          <w:p>
            <w:pPr>
              <w:pStyle w:val="749"/>
              <w:spacing w:after="0" w:line="560" w:lineRule="exact"/>
              <w:rPr>
                <w:rFonts w:hint="eastAsia" w:ascii="宋体"/>
                <w:bCs/>
                <w:sz w:val="24"/>
              </w:rPr>
            </w:pPr>
            <w:r>
              <w:rPr>
                <w:rFonts w:hint="eastAsia" w:ascii="宋体"/>
                <w:bCs/>
                <w:sz w:val="24"/>
              </w:rPr>
              <w:t xml:space="preserve">各采购包预估批次数（批次）</w:t>
            </w:r>
            <w:r/>
          </w:p>
        </w:tc>
        <w:tc>
          <w:tcPr>
            <w:tcW w:w="2268" w:type="dxa"/>
            <w:vAlign w:val="center"/>
            <w:textDirection w:val="lrTb"/>
            <w:noWrap w:val="false"/>
          </w:tcPr>
          <w:p>
            <w:pPr>
              <w:pStyle w:val="749"/>
              <w:jc w:val="center"/>
              <w:spacing w:after="0" w:line="240" w:lineRule="auto"/>
              <w:rPr>
                <w:rFonts w:hint="eastAsia" w:eastAsia="等线" w:cs="Calibri"/>
                <w:color w:val="000000"/>
                <w:sz w:val="24"/>
                <w:szCs w:val="24"/>
              </w:rPr>
            </w:pPr>
            <w:r>
              <w:rPr>
                <w:rFonts w:hint="eastAsia" w:eastAsia="等线" w:cs="Calibri"/>
                <w:color w:val="000000"/>
                <w:sz w:val="24"/>
                <w:szCs w:val="24"/>
              </w:rPr>
              <w:t xml:space="preserve">抽检类型</w:t>
            </w:r>
            <w:r/>
          </w:p>
        </w:tc>
        <w:tc>
          <w:tcPr>
            <w:tcW w:w="2268" w:type="dxa"/>
            <w:vAlign w:val="center"/>
            <w:textDirection w:val="lrTb"/>
            <w:noWrap w:val="false"/>
          </w:tcPr>
          <w:p>
            <w:pPr>
              <w:pStyle w:val="749"/>
              <w:spacing w:after="0" w:line="560" w:lineRule="exact"/>
              <w:rPr>
                <w:rFonts w:hint="eastAsia" w:ascii="宋体"/>
                <w:bCs/>
                <w:sz w:val="24"/>
              </w:rPr>
            </w:pPr>
            <w:r>
              <w:rPr>
                <w:rFonts w:hint="eastAsia" w:eastAsia="等线" w:cs="Calibri"/>
                <w:color w:val="000000"/>
                <w:sz w:val="24"/>
                <w:szCs w:val="24"/>
              </w:rPr>
              <w:t xml:space="preserve">各采购包预算金额(元，均包</w:t>
            </w:r>
            <w:r>
              <w:rPr>
                <w:rFonts w:hint="eastAsia" w:ascii="宋体" w:hAnsi="宋体" w:cs="Calibri"/>
                <w:color w:val="000000"/>
                <w:sz w:val="24"/>
                <w:szCs w:val="24"/>
              </w:rPr>
              <w:t xml:space="preserve">含样品购置费</w:t>
            </w:r>
            <w:r>
              <w:rPr>
                <w:rFonts w:hint="eastAsia" w:eastAsia="等线" w:cs="Calibri"/>
                <w:color w:val="000000"/>
                <w:sz w:val="24"/>
                <w:szCs w:val="24"/>
              </w:rPr>
              <w:t xml:space="preserve">）</w:t>
            </w:r>
            <w:r>
              <w:rPr>
                <w:rFonts w:hint="eastAsia" w:ascii="宋体"/>
                <w:bCs/>
                <w:sz w:val="24"/>
              </w:rPr>
            </w:r>
            <w:r/>
          </w:p>
        </w:tc>
      </w:tr>
      <w:tr>
        <w:trPr>
          <w:cantSplit/>
          <w:trHeight w:val="1371"/>
        </w:trPr>
        <w:tc>
          <w:tcPr>
            <w:tcW w:w="1149" w:type="dxa"/>
            <w:vAlign w:val="center"/>
            <w:textDirection w:val="lrTb"/>
            <w:noWrap/>
          </w:tcPr>
          <w:p>
            <w:pPr>
              <w:pStyle w:val="749"/>
              <w:jc w:val="center"/>
              <w:spacing w:after="0" w:line="560" w:lineRule="exact"/>
              <w:rPr>
                <w:rFonts w:ascii="宋体"/>
                <w:bCs/>
                <w:sz w:val="24"/>
              </w:rPr>
            </w:pPr>
            <w:r>
              <w:rPr>
                <w:rFonts w:ascii="宋体"/>
                <w:bCs/>
                <w:sz w:val="24"/>
              </w:rPr>
              <w:t xml:space="preserve">1</w:t>
            </w:r>
            <w:r/>
          </w:p>
        </w:tc>
        <w:tc>
          <w:tcPr>
            <w:tcW w:w="1701" w:type="dxa"/>
            <w:vAlign w:val="center"/>
            <w:textDirection w:val="lrTb"/>
            <w:noWrap w:val="false"/>
          </w:tcPr>
          <w:p>
            <w:pPr>
              <w:pStyle w:val="749"/>
              <w:jc w:val="center"/>
              <w:spacing w:after="0" w:line="560" w:lineRule="exact"/>
              <w:rPr>
                <w:rFonts w:hint="eastAsia" w:ascii="宋体"/>
                <w:bCs/>
                <w:sz w:val="24"/>
              </w:rPr>
            </w:pPr>
            <w:r>
              <w:rPr>
                <w:rFonts w:hint="eastAsia" w:ascii="宋体"/>
                <w:bCs/>
                <w:sz w:val="24"/>
              </w:rPr>
              <w:t xml:space="preserve">南京、苏州、无锡、常州地区</w:t>
            </w:r>
            <w:r/>
          </w:p>
        </w:tc>
        <w:tc>
          <w:tcPr>
            <w:tcW w:w="1560" w:type="dxa"/>
            <w:vAlign w:val="center"/>
            <w:textDirection w:val="lrTb"/>
            <w:noWrap/>
          </w:tcPr>
          <w:p>
            <w:pPr>
              <w:pStyle w:val="749"/>
              <w:jc w:val="center"/>
              <w:spacing w:after="0" w:line="560" w:lineRule="exact"/>
              <w:rPr>
                <w:rFonts w:ascii="宋体"/>
                <w:bCs/>
                <w:sz w:val="24"/>
              </w:rPr>
            </w:pPr>
            <w:r>
              <w:rPr>
                <w:rFonts w:ascii="宋体"/>
                <w:bCs/>
                <w:sz w:val="24"/>
              </w:rPr>
              <w:t xml:space="preserve">275</w:t>
            </w:r>
            <w:r/>
          </w:p>
        </w:tc>
        <w:tc>
          <w:tcPr>
            <w:tcW w:w="2268" w:type="dxa"/>
            <w:vAlign w:val="top"/>
            <w:vMerge w:val="restart"/>
            <w:textDirection w:val="lrTb"/>
            <w:noWrap w:val="false"/>
          </w:tcPr>
          <w:p>
            <w:pPr>
              <w:pStyle w:val="749"/>
              <w:spacing w:after="0" w:line="560" w:lineRule="exact"/>
              <w:rPr>
                <w:rFonts w:hint="eastAsia" w:ascii="宋体"/>
                <w:bCs/>
                <w:sz w:val="24"/>
              </w:rPr>
            </w:pPr>
            <w:r>
              <w:rPr>
                <w:rFonts w:hint="eastAsia" w:ascii="宋体"/>
                <w:bCs/>
                <w:sz w:val="24"/>
              </w:rPr>
              <w:t xml:space="preserve">包含但不限于以下食品大类：肉制品，食用油、油脂及其制品，酒类，饮料，糖果制品，豆制品，糕点，饼干，速冻食品，餐饮食品，食用农产品，果冻、含茶制品和代用茶、饼干、咖啡、水果制品及其他食品（含与上述基质相同的保健食品及片剂、胶囊、软胶囊等剂型）。</w:t>
            </w:r>
            <w:r/>
          </w:p>
        </w:tc>
        <w:tc>
          <w:tcPr>
            <w:tcW w:w="2268" w:type="dxa"/>
            <w:vAlign w:val="center"/>
            <w:textDirection w:val="lrTb"/>
            <w:noWrap/>
          </w:tcPr>
          <w:p>
            <w:pPr>
              <w:pStyle w:val="749"/>
              <w:spacing w:after="0" w:line="560" w:lineRule="exact"/>
              <w:rPr>
                <w:rFonts w:hint="eastAsia" w:ascii="宋体"/>
                <w:bCs/>
                <w:sz w:val="24"/>
              </w:rPr>
            </w:pPr>
            <w:r>
              <w:rPr>
                <w:rFonts w:hint="eastAsia" w:ascii="宋体"/>
                <w:bCs/>
                <w:sz w:val="24"/>
              </w:rPr>
              <w:t xml:space="preserve">￥</w:t>
            </w:r>
            <w:r>
              <w:rPr>
                <w:rFonts w:ascii="宋体"/>
                <w:bCs/>
                <w:sz w:val="24"/>
              </w:rPr>
              <w:t xml:space="preserve">44</w:t>
            </w:r>
            <w:r>
              <w:rPr>
                <w:rFonts w:hint="eastAsia" w:ascii="宋体"/>
                <w:bCs/>
                <w:sz w:val="24"/>
              </w:rPr>
              <w:t xml:space="preserve">0000.00</w:t>
            </w:r>
            <w:r/>
          </w:p>
        </w:tc>
      </w:tr>
      <w:tr>
        <w:trPr>
          <w:cantSplit/>
          <w:trHeight w:val="983"/>
        </w:trPr>
        <w:tc>
          <w:tcPr>
            <w:tcW w:w="1149" w:type="dxa"/>
            <w:vAlign w:val="center"/>
            <w:textDirection w:val="lrTb"/>
            <w:noWrap/>
          </w:tcPr>
          <w:p>
            <w:pPr>
              <w:pStyle w:val="749"/>
              <w:jc w:val="center"/>
              <w:spacing w:after="0" w:line="560" w:lineRule="exact"/>
              <w:rPr>
                <w:rFonts w:ascii="宋体"/>
                <w:bCs/>
                <w:sz w:val="24"/>
              </w:rPr>
            </w:pPr>
            <w:r>
              <w:rPr>
                <w:rFonts w:ascii="宋体"/>
                <w:bCs/>
                <w:sz w:val="24"/>
              </w:rPr>
              <w:t xml:space="preserve">2</w:t>
            </w:r>
            <w:r/>
          </w:p>
        </w:tc>
        <w:tc>
          <w:tcPr>
            <w:tcW w:w="1701" w:type="dxa"/>
            <w:vAlign w:val="center"/>
            <w:textDirection w:val="lrTb"/>
            <w:noWrap w:val="false"/>
          </w:tcPr>
          <w:p>
            <w:pPr>
              <w:pStyle w:val="749"/>
              <w:jc w:val="center"/>
              <w:spacing w:after="0" w:line="560" w:lineRule="exact"/>
              <w:rPr>
                <w:rFonts w:hint="eastAsia" w:ascii="宋体"/>
                <w:bCs/>
                <w:sz w:val="24"/>
              </w:rPr>
            </w:pPr>
            <w:r>
              <w:rPr>
                <w:rFonts w:hint="eastAsia" w:ascii="宋体"/>
                <w:bCs/>
                <w:sz w:val="24"/>
              </w:rPr>
              <w:t xml:space="preserve">镇江、扬州、泰州、南通、连云港地区</w:t>
            </w:r>
            <w:r/>
          </w:p>
        </w:tc>
        <w:tc>
          <w:tcPr>
            <w:tcW w:w="1560" w:type="dxa"/>
            <w:vAlign w:val="center"/>
            <w:textDirection w:val="lrTb"/>
            <w:noWrap/>
          </w:tcPr>
          <w:p>
            <w:pPr>
              <w:pStyle w:val="749"/>
              <w:jc w:val="center"/>
              <w:spacing w:after="0" w:line="560" w:lineRule="exact"/>
              <w:rPr>
                <w:rFonts w:ascii="宋体"/>
                <w:bCs/>
                <w:sz w:val="24"/>
              </w:rPr>
            </w:pPr>
            <w:r>
              <w:rPr>
                <w:rFonts w:ascii="宋体"/>
                <w:bCs/>
                <w:sz w:val="24"/>
              </w:rPr>
              <w:t xml:space="preserve">250</w:t>
            </w:r>
            <w:r/>
          </w:p>
        </w:tc>
        <w:tc>
          <w:tcPr>
            <w:tcW w:w="2268" w:type="dxa"/>
            <w:vAlign w:val="top"/>
            <w:vMerge w:val="continue"/>
            <w:textDirection w:val="lrTb"/>
            <w:noWrap w:val="false"/>
          </w:tcPr>
          <w:p>
            <w:pPr>
              <w:pStyle w:val="749"/>
              <w:spacing w:after="0" w:line="560" w:lineRule="exact"/>
              <w:rPr>
                <w:rFonts w:hint="eastAsia" w:ascii="宋体"/>
                <w:bCs/>
                <w:sz w:val="24"/>
              </w:rPr>
            </w:pPr>
            <w:r>
              <w:rPr>
                <w:rFonts w:hint="eastAsia" w:ascii="宋体"/>
                <w:bCs/>
                <w:sz w:val="24"/>
              </w:rPr>
            </w:r>
            <w:r/>
          </w:p>
        </w:tc>
        <w:tc>
          <w:tcPr>
            <w:tcW w:w="2268" w:type="dxa"/>
            <w:vAlign w:val="center"/>
            <w:textDirection w:val="lrTb"/>
            <w:noWrap/>
          </w:tcPr>
          <w:p>
            <w:pPr>
              <w:pStyle w:val="749"/>
              <w:spacing w:after="0" w:line="560" w:lineRule="exact"/>
              <w:rPr>
                <w:rFonts w:hint="eastAsia" w:ascii="宋体"/>
                <w:bCs/>
                <w:sz w:val="24"/>
              </w:rPr>
            </w:pPr>
            <w:r>
              <w:rPr>
                <w:rFonts w:hint="eastAsia" w:ascii="宋体"/>
                <w:bCs/>
                <w:sz w:val="24"/>
              </w:rPr>
              <w:t xml:space="preserve">￥</w:t>
            </w:r>
            <w:r>
              <w:rPr>
                <w:rFonts w:ascii="宋体"/>
                <w:bCs/>
                <w:sz w:val="24"/>
              </w:rPr>
              <w:t xml:space="preserve">40</w:t>
            </w:r>
            <w:r>
              <w:rPr>
                <w:rFonts w:hint="eastAsia" w:ascii="宋体"/>
                <w:bCs/>
                <w:sz w:val="24"/>
              </w:rPr>
              <w:t xml:space="preserve">0000.00</w:t>
            </w:r>
            <w:r/>
          </w:p>
        </w:tc>
      </w:tr>
      <w:tr>
        <w:trPr>
          <w:cantSplit/>
          <w:trHeight w:val="1380"/>
        </w:trPr>
        <w:tc>
          <w:tcPr>
            <w:tcW w:w="1149" w:type="dxa"/>
            <w:vAlign w:val="center"/>
            <w:textDirection w:val="lrTb"/>
            <w:noWrap/>
          </w:tcPr>
          <w:p>
            <w:pPr>
              <w:pStyle w:val="749"/>
              <w:jc w:val="center"/>
              <w:spacing w:after="0" w:line="560" w:lineRule="exact"/>
              <w:rPr>
                <w:rFonts w:ascii="宋体"/>
                <w:bCs/>
                <w:sz w:val="24"/>
              </w:rPr>
            </w:pPr>
            <w:r>
              <w:rPr>
                <w:rFonts w:ascii="宋体"/>
                <w:bCs/>
                <w:sz w:val="24"/>
              </w:rPr>
              <w:t xml:space="preserve">3</w:t>
            </w:r>
            <w:r/>
          </w:p>
        </w:tc>
        <w:tc>
          <w:tcPr>
            <w:tcW w:w="1701" w:type="dxa"/>
            <w:vAlign w:val="center"/>
            <w:textDirection w:val="lrTb"/>
            <w:noWrap w:val="false"/>
          </w:tcPr>
          <w:p>
            <w:pPr>
              <w:pStyle w:val="749"/>
              <w:jc w:val="center"/>
              <w:spacing w:after="0" w:line="560" w:lineRule="exact"/>
              <w:rPr>
                <w:rFonts w:hint="eastAsia" w:ascii="宋体"/>
                <w:bCs/>
                <w:sz w:val="24"/>
              </w:rPr>
            </w:pPr>
            <w:r>
              <w:rPr>
                <w:rFonts w:hint="eastAsia" w:ascii="宋体"/>
                <w:bCs/>
                <w:sz w:val="24"/>
              </w:rPr>
              <w:t xml:space="preserve">淮安、宿迁、徐州、盐城地区</w:t>
            </w:r>
            <w:r/>
          </w:p>
        </w:tc>
        <w:tc>
          <w:tcPr>
            <w:tcW w:w="1560" w:type="dxa"/>
            <w:vAlign w:val="center"/>
            <w:textDirection w:val="lrTb"/>
            <w:noWrap/>
          </w:tcPr>
          <w:p>
            <w:pPr>
              <w:pStyle w:val="749"/>
              <w:jc w:val="center"/>
              <w:spacing w:after="0" w:line="560" w:lineRule="exact"/>
              <w:rPr>
                <w:rFonts w:ascii="宋体"/>
                <w:bCs/>
                <w:sz w:val="24"/>
              </w:rPr>
            </w:pPr>
            <w:r>
              <w:rPr>
                <w:rFonts w:ascii="宋体"/>
                <w:bCs/>
                <w:sz w:val="24"/>
              </w:rPr>
              <w:t xml:space="preserve">225</w:t>
            </w:r>
            <w:r/>
          </w:p>
        </w:tc>
        <w:tc>
          <w:tcPr>
            <w:tcW w:w="2268" w:type="dxa"/>
            <w:vAlign w:val="top"/>
            <w:vMerge w:val="continue"/>
            <w:textDirection w:val="lrTb"/>
            <w:noWrap w:val="false"/>
          </w:tcPr>
          <w:p>
            <w:pPr>
              <w:pStyle w:val="749"/>
              <w:spacing w:after="0" w:line="560" w:lineRule="exact"/>
              <w:rPr>
                <w:rFonts w:hint="eastAsia" w:ascii="宋体"/>
                <w:bCs/>
                <w:sz w:val="24"/>
              </w:rPr>
            </w:pPr>
            <w:r>
              <w:rPr>
                <w:rFonts w:hint="eastAsia" w:ascii="宋体"/>
                <w:bCs/>
                <w:sz w:val="24"/>
              </w:rPr>
            </w:r>
            <w:r/>
          </w:p>
        </w:tc>
        <w:tc>
          <w:tcPr>
            <w:tcW w:w="2268" w:type="dxa"/>
            <w:vAlign w:val="center"/>
            <w:textDirection w:val="lrTb"/>
            <w:noWrap/>
          </w:tcPr>
          <w:p>
            <w:pPr>
              <w:pStyle w:val="749"/>
              <w:spacing w:after="0" w:line="560" w:lineRule="exact"/>
              <w:rPr>
                <w:rFonts w:hint="eastAsia" w:ascii="宋体"/>
                <w:bCs/>
                <w:sz w:val="24"/>
              </w:rPr>
            </w:pPr>
            <w:r>
              <w:rPr>
                <w:rFonts w:hint="eastAsia" w:ascii="宋体"/>
                <w:bCs/>
                <w:sz w:val="24"/>
              </w:rPr>
              <w:t xml:space="preserve">￥</w:t>
            </w:r>
            <w:r>
              <w:rPr>
                <w:rFonts w:ascii="宋体"/>
                <w:bCs/>
                <w:sz w:val="24"/>
              </w:rPr>
              <w:t xml:space="preserve">36</w:t>
            </w:r>
            <w:r>
              <w:rPr>
                <w:rFonts w:hint="eastAsia" w:ascii="宋体"/>
                <w:bCs/>
                <w:sz w:val="24"/>
              </w:rPr>
              <w:t xml:space="preserve">0000.00</w:t>
            </w:r>
            <w:r/>
          </w:p>
        </w:tc>
      </w:tr>
    </w:tbl>
    <w:p>
      <w:pPr>
        <w:pStyle w:val="762"/>
        <w:rPr>
          <w:rFonts w:hint="eastAsia"/>
        </w:rPr>
      </w:pPr>
      <w:r>
        <w:rPr>
          <w:rFonts w:hint="eastAsia"/>
        </w:rPr>
      </w:r>
      <w:r/>
    </w:p>
    <w:p>
      <w:pPr>
        <w:pStyle w:val="749"/>
        <w:ind w:firstLine="482"/>
        <w:jc w:val="both"/>
        <w:spacing w:after="0" w:line="560" w:lineRule="exact"/>
        <w:widowControl w:val="off"/>
        <w:tabs>
          <w:tab w:val="left" w:pos="900" w:leader="none"/>
        </w:tabs>
        <w:rPr>
          <w:rFonts w:ascii="宋体" w:hAnsi="宋体" w:cs="方正黑体_GBK"/>
          <w:b/>
          <w:sz w:val="24"/>
          <w:szCs w:val="24"/>
        </w:rPr>
      </w:pPr>
      <w:r>
        <w:rPr>
          <w:rFonts w:ascii="宋体" w:hAnsi="宋体" w:cs="方正黑体_GBK"/>
          <w:b/>
          <w:sz w:val="24"/>
          <w:szCs w:val="24"/>
        </w:rPr>
      </w:r>
      <w:r/>
    </w:p>
    <w:p>
      <w:pPr>
        <w:pStyle w:val="762"/>
      </w:pPr>
      <w:r/>
      <w:r/>
    </w:p>
    <w:p>
      <w:pPr>
        <w:pStyle w:val="762"/>
      </w:pPr>
      <w:r/>
      <w:r/>
    </w:p>
    <w:p>
      <w:pPr>
        <w:pStyle w:val="762"/>
      </w:pPr>
      <w:r/>
      <w:r/>
    </w:p>
    <w:p>
      <w:pPr>
        <w:pStyle w:val="762"/>
        <w:ind w:firstLine="0"/>
        <w:rPr>
          <w:b/>
          <w:bCs/>
          <w:sz w:val="24"/>
          <w:szCs w:val="24"/>
        </w:rPr>
      </w:pPr>
      <w:r>
        <w:rPr>
          <w:rFonts w:hint="eastAsia"/>
          <w:b/>
          <w:bCs/>
          <w:sz w:val="24"/>
          <w:szCs w:val="24"/>
        </w:rPr>
        <w:t xml:space="preserve">附件2    </w:t>
      </w:r>
      <w:bookmarkStart w:id="113" w:name="OLE_LINK16"/>
      <w:r>
        <w:rPr>
          <w:rFonts w:hint="eastAsia"/>
          <w:b/>
          <w:bCs/>
          <w:sz w:val="24"/>
          <w:szCs w:val="24"/>
        </w:rPr>
        <w:t xml:space="preserve">各采购包抽检的食品大类及每个大类的单批次最高限价</w:t>
      </w:r>
      <w:bookmarkEnd w:id="113"/>
      <w:r>
        <w:rPr>
          <w:b/>
          <w:bCs/>
          <w:sz w:val="24"/>
          <w:szCs w:val="24"/>
        </w:rPr>
      </w:r>
      <w:r/>
    </w:p>
    <w:tbl>
      <w:tblPr>
        <w:tblpPr w:horzAnchor="page" w:tblpX="1841" w:vertAnchor="text" w:tblpY="284" w:leftFromText="180" w:topFromText="0" w:rightFromText="180" w:bottomFromText="0"/>
        <w:tblW w:w="8755" w:type="dxa"/>
        <w:tblInd w:w="0" w:type="dxa"/>
        <w:tblLayout w:type="autofit"/>
        <w:tblCellMar>
          <w:left w:w="108" w:type="dxa"/>
          <w:top w:w="0" w:type="dxa"/>
          <w:right w:w="108" w:type="dxa"/>
          <w:bottom w:w="0" w:type="dxa"/>
        </w:tblCellMar>
        <w:tblLook w:val="04A0" w:firstRow="1" w:lastRow="0" w:firstColumn="1" w:lastColumn="0" w:noHBand="0" w:noVBand="1"/>
      </w:tblPr>
      <w:tblGrid>
        <w:gridCol w:w="954"/>
        <w:gridCol w:w="4683"/>
        <w:gridCol w:w="3118"/>
      </w:tblGrid>
      <w:tr>
        <w:trPr>
          <w:trHeight w:val="848"/>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pStyle w:val="749"/>
              <w:jc w:val="center"/>
              <w:spacing w:after="160" w:line="420" w:lineRule="exact"/>
              <w:rPr>
                <w:rFonts w:hint="eastAsia" w:ascii="宋体" w:hAnsi="宋体" w:cs="方正黑体_GBK"/>
                <w:color w:val="000000"/>
                <w:sz w:val="28"/>
                <w:szCs w:val="28"/>
              </w:rPr>
              <w:framePr w:hSpace="180" w:wrap="around" w:vAnchor="text" w:hAnchor="page" w:x="1841" w:y="284"/>
            </w:pPr>
            <w:r>
              <w:rPr>
                <w:rFonts w:hint="eastAsia" w:ascii="宋体" w:hAnsi="宋体" w:cs="方正黑体_GBK"/>
                <w:color w:val="000000"/>
                <w:sz w:val="28"/>
                <w:szCs w:val="28"/>
                <w:lang w:bidi="ar"/>
              </w:rPr>
              <w:t xml:space="preserve">序号</w:t>
            </w:r>
            <w:r>
              <w:rPr>
                <w:rFonts w:hint="eastAsia" w:ascii="宋体" w:hAnsi="宋体" w:cs="方正黑体_GBK"/>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tcPr>
          <w:p>
            <w:pPr>
              <w:pStyle w:val="749"/>
              <w:jc w:val="center"/>
              <w:spacing w:after="160" w:line="420" w:lineRule="exact"/>
              <w:rPr>
                <w:rFonts w:hint="eastAsia" w:ascii="宋体" w:hAnsi="宋体" w:cs="方正黑体_GBK"/>
                <w:color w:val="000000"/>
                <w:sz w:val="28"/>
                <w:szCs w:val="28"/>
              </w:rPr>
              <w:framePr w:hSpace="180" w:wrap="around" w:vAnchor="text" w:hAnchor="page" w:x="1841" w:y="284"/>
            </w:pPr>
            <w:r>
              <w:rPr>
                <w:rFonts w:hint="eastAsia" w:ascii="宋体" w:hAnsi="宋体" w:cs="方正黑体_GBK"/>
                <w:color w:val="000000"/>
                <w:sz w:val="28"/>
                <w:szCs w:val="28"/>
                <w:lang w:bidi="ar"/>
              </w:rPr>
              <w:t xml:space="preserve">食品大类</w:t>
            </w:r>
            <w:r>
              <w:rPr>
                <w:rFonts w:hint="eastAsia" w:ascii="宋体" w:hAnsi="宋体" w:cs="方正黑体_GBK"/>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420" w:lineRule="exact"/>
              <w:rPr>
                <w:rFonts w:hint="eastAsia" w:ascii="宋体" w:hAnsi="宋体" w:cs="方正黑体_GBK"/>
                <w:color w:val="000000"/>
                <w:sz w:val="28"/>
                <w:szCs w:val="28"/>
              </w:rPr>
              <w:framePr w:hSpace="180" w:wrap="around" w:vAnchor="text" w:hAnchor="page" w:x="1841" w:y="284"/>
            </w:pPr>
            <w:r>
              <w:rPr>
                <w:rFonts w:hint="eastAsia" w:ascii="宋体" w:hAnsi="宋体" w:cs="方正黑体_GBK"/>
                <w:color w:val="000000"/>
                <w:sz w:val="28"/>
                <w:szCs w:val="28"/>
                <w:lang w:bidi="ar"/>
              </w:rPr>
              <w:t xml:space="preserve">单价最高限价（元/批次，均包含样品购置费）</w:t>
            </w:r>
            <w:r>
              <w:rPr>
                <w:rFonts w:hint="eastAsia" w:ascii="宋体" w:hAnsi="宋体" w:cs="方正黑体_GBK"/>
                <w:color w:val="000000"/>
                <w:sz w:val="28"/>
                <w:szCs w:val="28"/>
              </w:rPr>
            </w:r>
            <w:r/>
          </w:p>
        </w:tc>
      </w:tr>
      <w:tr>
        <w:trPr>
          <w:trHeight w:val="400"/>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肉制品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1700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2</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食用油、油脂及其制品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1700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3</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酒类</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4</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饮料</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5</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糖果制品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1700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6</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豆制品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7</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糕点</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8</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饼干</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9</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速冻食品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1400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10</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餐饮食品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1500</w:t>
            </w:r>
            <w:r>
              <w:rPr>
                <w:rFonts w:ascii="宋体" w:hAnsi="宋体"/>
                <w:color w:val="000000"/>
                <w:sz w:val="28"/>
                <w:szCs w:val="28"/>
              </w:rPr>
            </w:r>
            <w:r/>
          </w:p>
        </w:tc>
      </w:tr>
      <w:tr>
        <w:trPr>
          <w:trHeight w:val="64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11</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食用农产品</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1336"/>
        </w:trPr>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749"/>
              <w:jc w:val="center"/>
              <w:spacing w:after="160" w:line="278" w:lineRule="auto"/>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12</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4683" w:type="dxa"/>
            <w:vAlign w:val="center"/>
            <w:textDirection w:val="lrTb"/>
            <w:noWrap w:val="false"/>
          </w:tcPr>
          <w:p>
            <w:pPr>
              <w:pStyle w:val="749"/>
              <w:jc w:val="center"/>
              <w:spacing w:after="160" w:line="440" w:lineRule="exact"/>
              <w:rPr>
                <w:rFonts w:ascii="宋体" w:hAnsi="宋体"/>
                <w:color w:val="000000"/>
                <w:sz w:val="28"/>
                <w:szCs w:val="28"/>
              </w:rPr>
              <w:framePr w:hSpace="180" w:wrap="around" w:vAnchor="text" w:hAnchor="page" w:x="1841" w:y="284"/>
            </w:pPr>
            <w:r>
              <w:rPr>
                <w:rFonts w:ascii="宋体" w:hAnsi="宋体" w:cs="方正仿宋_GBK"/>
                <w:color w:val="000000"/>
                <w:sz w:val="28"/>
                <w:szCs w:val="28"/>
                <w:lang w:bidi="ar"/>
              </w:rPr>
              <w:t xml:space="preserve">果冻、含茶制品和代用茶、饼干、咖啡、水果制品</w:t>
            </w:r>
            <w:r>
              <w:rPr>
                <w:rFonts w:hint="eastAsia" w:ascii="宋体" w:hAnsi="宋体" w:cs="方正仿宋_GBK"/>
                <w:color w:val="000000"/>
                <w:sz w:val="28"/>
                <w:szCs w:val="28"/>
                <w:lang w:bidi="ar"/>
              </w:rPr>
              <w:t xml:space="preserve">及其他</w:t>
            </w:r>
            <w:r>
              <w:rPr>
                <w:rFonts w:ascii="宋体" w:hAnsi="宋体" w:cs="方正仿宋_GBK"/>
                <w:color w:val="000000"/>
                <w:sz w:val="28"/>
                <w:szCs w:val="28"/>
                <w:lang w:bidi="ar"/>
              </w:rPr>
              <w:t xml:space="preserve">食品（含与上述基质相同的保健食品及片剂、胶囊、软胶囊等剂型）</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440" w:lineRule="exact"/>
              <w:rPr>
                <w:rFonts w:ascii="宋体" w:hAnsi="宋体"/>
                <w:color w:val="000000"/>
                <w:sz w:val="28"/>
                <w:szCs w:val="28"/>
              </w:rPr>
              <w:framePr w:hSpace="180" w:wrap="around" w:vAnchor="text" w:hAnchor="page" w:x="1841" w:y="284"/>
            </w:pPr>
            <w:r>
              <w:rPr>
                <w:rFonts w:ascii="宋体" w:hAnsi="宋体"/>
                <w:color w:val="000000"/>
                <w:sz w:val="28"/>
                <w:szCs w:val="28"/>
                <w:lang w:bidi="ar"/>
              </w:rPr>
              <w:t xml:space="preserve">1600</w:t>
            </w:r>
            <w:r>
              <w:rPr>
                <w:rFonts w:ascii="宋体" w:hAnsi="宋体"/>
                <w:color w:val="000000"/>
                <w:sz w:val="28"/>
                <w:szCs w:val="28"/>
              </w:rPr>
            </w:r>
            <w:r/>
          </w:p>
        </w:tc>
      </w:tr>
      <w:tr>
        <w:trPr>
          <w:trHeight w:val="416"/>
        </w:trPr>
        <w:tc>
          <w:tcPr>
            <w:gridSpan w:val="2"/>
            <w:tcBorders>
              <w:top w:val="single" w:color="000000" w:sz="4" w:space="0"/>
              <w:left w:val="single" w:color="000000" w:sz="4" w:space="0"/>
              <w:bottom w:val="single" w:color="000000" w:sz="4" w:space="0"/>
              <w:right w:val="single" w:color="000000" w:sz="4" w:space="0"/>
            </w:tcBorders>
            <w:tcW w:w="5637" w:type="dxa"/>
            <w:vAlign w:val="center"/>
            <w:textDirection w:val="lrTb"/>
            <w:noWrap w:val="false"/>
          </w:tcPr>
          <w:p>
            <w:pPr>
              <w:pStyle w:val="749"/>
              <w:jc w:val="center"/>
              <w:spacing w:after="160" w:line="440" w:lineRule="exact"/>
              <w:rPr>
                <w:rFonts w:ascii="方正仿宋_GBK" w:hAnsi="方正仿宋_GBK" w:eastAsia="方正仿宋_GBK" w:cs="方正仿宋_GBK"/>
                <w:color w:val="000000"/>
                <w:sz w:val="28"/>
                <w:szCs w:val="28"/>
                <w:lang w:bidi="ar"/>
              </w:rPr>
              <w:framePr w:hSpace="180" w:wrap="around" w:vAnchor="text" w:hAnchor="page" w:x="1841" w:y="284"/>
            </w:pPr>
            <w:r>
              <w:rPr>
                <w:rFonts w:hint="eastAsia"/>
                <w:color w:val="000000"/>
                <w:sz w:val="28"/>
                <w:szCs w:val="28"/>
                <w:lang w:bidi="ar"/>
              </w:rPr>
              <w:t xml:space="preserve">单价合计</w:t>
            </w:r>
            <w:r>
              <w:rPr>
                <w:rFonts w:ascii="方正仿宋_GBK" w:hAnsi="方正仿宋_GBK" w:eastAsia="方正仿宋_GBK" w:cs="方正仿宋_GBK"/>
                <w:color w:val="000000"/>
                <w:sz w:val="28"/>
                <w:szCs w:val="28"/>
                <w:lang w:bidi="ar"/>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749"/>
              <w:jc w:val="center"/>
              <w:spacing w:after="160" w:line="440" w:lineRule="exact"/>
              <w:rPr>
                <w:rFonts w:hint="eastAsia"/>
                <w:color w:val="000000"/>
                <w:sz w:val="28"/>
                <w:szCs w:val="28"/>
                <w:lang w:bidi="ar"/>
              </w:rPr>
              <w:framePr w:hSpace="180" w:wrap="around" w:vAnchor="text" w:hAnchor="page" w:x="1841" w:y="284"/>
            </w:pPr>
            <w:r>
              <w:rPr>
                <w:rFonts w:hint="eastAsia"/>
                <w:color w:val="000000"/>
                <w:sz w:val="28"/>
                <w:szCs w:val="28"/>
                <w:lang w:bidi="ar"/>
              </w:rPr>
              <w:t xml:space="preserve">19200</w:t>
            </w:r>
            <w:r/>
          </w:p>
        </w:tc>
      </w:tr>
    </w:tbl>
    <w:p>
      <w:pPr>
        <w:pStyle w:val="762"/>
        <w:rPr>
          <w:rFonts w:hint="eastAsia"/>
        </w:rPr>
      </w:pPr>
      <w:r>
        <w:rPr>
          <w:rFonts w:hint="eastAsia"/>
        </w:rPr>
      </w:r>
      <w:r/>
    </w:p>
    <w:p>
      <w:pPr>
        <w:pStyle w:val="749"/>
        <w:jc w:val="center"/>
        <w:spacing w:after="0" w:line="360" w:lineRule="auto"/>
        <w:rPr>
          <w:rFonts w:ascii="宋体" w:hAnsi="宋体" w:cs="方正黑体_GBK"/>
          <w:sz w:val="24"/>
          <w:szCs w:val="24"/>
        </w:rPr>
      </w:pPr>
      <w:r>
        <w:rPr>
          <w:rFonts w:hint="eastAsia" w:ascii="宋体" w:hAnsi="宋体" w:cs="方正黑体_GBK"/>
          <w:sz w:val="24"/>
          <w:szCs w:val="24"/>
        </w:rPr>
        <w:br w:type="page" w:clear="all"/>
      </w:r>
      <w:bookmarkStart w:id="114" w:name="_Hlk231830828"/>
      <w:r>
        <w:rPr>
          <w:rFonts w:hint="eastAsia" w:ascii="宋体" w:hAnsi="宋体" w:cs="宋体"/>
          <w:b/>
          <w:sz w:val="24"/>
          <w:szCs w:val="24"/>
        </w:rPr>
        <w:t xml:space="preserve">附件3  2026年省局食品安全执法抽检检验项目明细表</w:t>
      </w:r>
      <w:bookmarkEnd w:id="114"/>
      <w:r>
        <w:rPr>
          <w:rFonts w:ascii="宋体" w:hAnsi="宋体" w:cs="方正黑体_GBK"/>
          <w:sz w:val="24"/>
          <w:szCs w:val="24"/>
        </w:rPr>
      </w:r>
      <w:r/>
    </w:p>
    <w:tbl>
      <w:tblPr>
        <w:tblW w:w="9418" w:type="dxa"/>
        <w:tblInd w:w="93" w:type="dxa"/>
        <w:tblLayout w:type="fixed"/>
        <w:tblCellMar>
          <w:left w:w="108" w:type="dxa"/>
          <w:top w:w="0" w:type="dxa"/>
          <w:right w:w="108" w:type="dxa"/>
          <w:bottom w:w="0" w:type="dxa"/>
        </w:tblCellMar>
        <w:tblLook w:val="04A0" w:firstRow="1" w:lastRow="0" w:firstColumn="1" w:lastColumn="0" w:noHBand="0" w:noVBand="1"/>
      </w:tblPr>
      <w:tblGrid>
        <w:gridCol w:w="513"/>
        <w:gridCol w:w="1129"/>
        <w:gridCol w:w="1409"/>
        <w:gridCol w:w="6367"/>
      </w:tblGrid>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jc w:val="center"/>
            </w:pPr>
            <w:r>
              <w:t xml:space="preserve">序号</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2"/>
              <w:ind w:firstLine="0"/>
              <w:jc w:val="center"/>
              <w:rPr>
                <w:rFonts w:hint="eastAsia"/>
              </w:rPr>
            </w:pPr>
            <w:r>
              <w:t xml:space="preserve">食品大类</w:t>
            </w:r>
            <w:r>
              <w:rPr>
                <w:rFonts w:hint="eastAsia"/>
              </w:r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jc w:val="center"/>
              <w:rPr>
                <w:rFonts w:hint="eastAsia"/>
              </w:rPr>
            </w:pPr>
            <w:r>
              <w:t xml:space="preserve">食品细类</w:t>
            </w:r>
            <w:r>
              <w:rPr>
                <w:rFonts w:hint="eastAsia"/>
              </w:rPr>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jc w:val="center"/>
              <w:rPr>
                <w:rFonts w:hint="eastAsia"/>
              </w:rPr>
            </w:pPr>
            <w:r>
              <w:t xml:space="preserve">检验项目</w:t>
            </w:r>
            <w:r>
              <w:rPr>
                <w:rFonts w:hint="eastAsia"/>
              </w:rPr>
            </w:r>
            <w:r/>
          </w:p>
        </w:tc>
      </w:tr>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2"/>
              <w:ind w:firstLine="0"/>
            </w:pPr>
            <w:r>
              <w:rPr>
                <w:rFonts w:hint="eastAsia"/>
              </w:rPr>
              <w:t xml:space="preserve">肉制品</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调理肉制品（非速冻）、酱卤肉制品</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动物源性、着色剂（按色泽）</w:t>
            </w:r>
            <w:r/>
          </w:p>
        </w:tc>
      </w:tr>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2"/>
              <w:ind w:firstLine="0"/>
            </w:pPr>
            <w:r>
              <w:rPr>
                <w:rFonts w:hint="eastAsia"/>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芝麻油、食用植物调和油、菜籽油</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乙基麦芽酚、脂肪酸（不建议判定）、香兰素、甲基香兰素、乙基香兰素</w:t>
            </w:r>
            <w:r/>
          </w:p>
        </w:tc>
      </w:tr>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2"/>
              <w:ind w:firstLine="0"/>
            </w:pPr>
            <w:r>
              <w:rPr>
                <w:rFonts w:hint="eastAsia"/>
              </w:rPr>
              <w:t xml:space="preserve">酒类</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白酒、果酒、配制酒、其他酒等</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邻苯二甲酸二丁酯（</w:t>
            </w:r>
            <w:r>
              <w:t xml:space="preserve">DBP</w:t>
            </w:r>
            <w:r>
              <w:rPr>
                <w:rFonts w:hint="eastAsia"/>
              </w:rPr>
              <w:t xml:space="preserve">）、邻苯二甲酸二己酯（</w:t>
            </w:r>
            <w:r>
              <w:t xml:space="preserve">DEHP</w:t>
            </w:r>
            <w:r>
              <w:rPr>
                <w:rFonts w:hint="eastAsia"/>
              </w:rPr>
              <w:t xml:space="preserve">）、甜蜜素、糖精钠、酒精度</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4</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762"/>
              <w:ind w:firstLine="0"/>
            </w:pPr>
            <w:r>
              <w:rPr>
                <w:rFonts w:hint="eastAsia"/>
              </w:rPr>
              <w:t xml:space="preserve">饮料</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固体饮料</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苯甲酸及其钠盐</w:t>
            </w:r>
            <w:r>
              <w:t xml:space="preserve">(</w:t>
            </w:r>
            <w:r>
              <w:rPr>
                <w:rFonts w:hint="eastAsia"/>
              </w:rPr>
              <w:t xml:space="preserve">以苯甲酸计</w:t>
            </w:r>
            <w:r>
              <w:t xml:space="preserve">)</w:t>
            </w:r>
            <w:r>
              <w:rPr>
                <w:rFonts w:hint="eastAsia"/>
              </w:rPr>
              <w:t xml:space="preserve">、山梨酸及其钾盐</w:t>
            </w:r>
            <w:r>
              <w:t xml:space="preserve">(</w:t>
            </w:r>
            <w:r>
              <w:rPr>
                <w:rFonts w:hint="eastAsia"/>
              </w:rPr>
              <w:t xml:space="preserve">以山梨酸计</w:t>
            </w:r>
            <w:r>
              <w:t xml:space="preserve">)</w:t>
            </w:r>
            <w:r>
              <w:rPr>
                <w:rFonts w:hint="eastAsia"/>
              </w:rPr>
              <w:t xml:space="preserve">、蛋白质（限蛋白类固体饮料）、防腐剂混合使用时各自用量占其最大使用量的比例之和、铅</w:t>
            </w:r>
            <w:r>
              <w:t xml:space="preserve">(</w:t>
            </w:r>
            <w:r>
              <w:rPr>
                <w:rFonts w:hint="eastAsia"/>
              </w:rPr>
              <w:t xml:space="preserve">以</w:t>
            </w:r>
            <w:r>
              <w:t xml:space="preserve">Pb</w:t>
            </w:r>
            <w:r>
              <w:rPr>
                <w:rFonts w:hint="eastAsia"/>
              </w:rPr>
              <w:t xml:space="preserve">计</w:t>
            </w:r>
            <w:r>
              <w:t xml:space="preserve">)</w:t>
            </w:r>
            <w:r>
              <w:rPr>
                <w:rFonts w:hint="eastAsia"/>
              </w:rPr>
              <w:t xml:space="preserve">、糖精钠</w:t>
            </w:r>
            <w:r>
              <w:t xml:space="preserve">(</w:t>
            </w:r>
            <w:r>
              <w:rPr>
                <w:rFonts w:hint="eastAsia"/>
              </w:rPr>
              <w:t xml:space="preserve">以糖精计</w:t>
            </w:r>
            <w:r>
              <w:t xml:space="preserve">)</w:t>
            </w:r>
            <w:r>
              <w:rPr>
                <w:rFonts w:hint="eastAsia"/>
              </w:rPr>
              <w:t xml:space="preserve">、合成着色剂（视产品具体色泽而定）、西布曲明类（宣称减肥类）、</w:t>
            </w:r>
            <w:r>
              <w:rPr>
                <w:rFonts w:hint="eastAsia"/>
              </w:rPr>
              <w:t xml:space="preserve">那非类（宣称缓疲劳类、提高免疫类）、地平类（宣称降血压类）、盐酸二甲双胍等（宣称降血糖类）</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其他饮料</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苯甲酸及其钠盐</w:t>
            </w:r>
            <w:r>
              <w:t xml:space="preserve">(</w:t>
            </w:r>
            <w:r>
              <w:rPr>
                <w:rFonts w:hint="eastAsia"/>
              </w:rPr>
              <w:t xml:space="preserve">以苯甲酸计</w:t>
            </w:r>
            <w:r>
              <w:t xml:space="preserve">)</w:t>
            </w:r>
            <w:r>
              <w:rPr>
                <w:rFonts w:hint="eastAsia"/>
              </w:rPr>
              <w:t xml:space="preserve">、山梨酸及其钾盐</w:t>
            </w:r>
            <w:r>
              <w:t xml:space="preserve">(</w:t>
            </w:r>
            <w:r>
              <w:rPr>
                <w:rFonts w:hint="eastAsia"/>
              </w:rPr>
              <w:t xml:space="preserve">以山梨酸计）、防腐剂混合使用时各自用量占其最大使用量的比例之和、甜蜜素、合成着色剂（限果蔬汁饮料、其他饮料）、二氧化碳气容量（限碳酸饮料）、西布曲明类（宣称减肥类）、那非类（宣称缓疲劳类、提高免疫类）、地平类（宣称降血压类）、盐酸二甲双胍等（宣称降血糖类）</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6</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762"/>
              <w:ind w:firstLine="0"/>
            </w:pPr>
            <w:r>
              <w:rPr>
                <w:rFonts w:hint="eastAsia"/>
              </w:rPr>
              <w:t xml:space="preserve">糖果制品</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糖果</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糖精钠、合成着色剂，相同色泽着色剂混合使用时各自用量占其最大使用量的比例之和、西布曲明类（宣称减肥类）、那非类（宣称缓疲劳类、提高免疫类）、地平类（宣称降血压类）、盐酸二甲双胍等（宣称降血糖类）</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7</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果冻</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脱乙酰比沙可啶、依格列净、西布曲明类（宣称减肥类）</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8</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762"/>
              <w:ind w:firstLine="0"/>
            </w:pPr>
            <w:r>
              <w:rPr>
                <w:rFonts w:hint="eastAsia"/>
              </w:rPr>
              <w:t xml:space="preserve">豆制品</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豆腐</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苯甲酸及其钠盐</w:t>
            </w:r>
            <w:r>
              <w:t xml:space="preserve">(</w:t>
            </w:r>
            <w:r>
              <w:rPr>
                <w:rFonts w:hint="eastAsia"/>
              </w:rPr>
              <w:t xml:space="preserve">以苯甲酸计</w:t>
            </w:r>
            <w:r>
              <w:t xml:space="preserve">)</w:t>
            </w:r>
            <w:r>
              <w:rPr>
                <w:rFonts w:hint="eastAsia"/>
              </w:rPr>
              <w:t xml:space="preserve">、山梨酸及其钾盐</w:t>
            </w:r>
            <w:r>
              <w:t xml:space="preserve">(</w:t>
            </w:r>
            <w:r>
              <w:rPr>
                <w:rFonts w:hint="eastAsia"/>
              </w:rPr>
              <w:t xml:space="preserve">以山梨酸计</w:t>
            </w:r>
            <w:r>
              <w:t xml:space="preserve">)</w:t>
            </w:r>
            <w:r>
              <w:rPr>
                <w:rFonts w:hint="eastAsia"/>
              </w:rPr>
              <w:t xml:space="preserve">、脱氢乙酸及其钠盐（以脱氢乙酸计）、铝的残留量（干样品、以</w:t>
            </w:r>
            <w:r>
              <w:t xml:space="preserve">Al</w:t>
            </w:r>
            <w:r>
              <w:rPr>
                <w:rFonts w:hint="eastAsia"/>
              </w:rPr>
              <w:t xml:space="preserve">计）、氯霉素、着色剂（按色泽）</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9</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豆干、豆皮、腐竹等</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苯甲酸及其钠盐</w:t>
            </w:r>
            <w:r>
              <w:t xml:space="preserve">(</w:t>
            </w:r>
            <w:r>
              <w:rPr>
                <w:rFonts w:hint="eastAsia"/>
              </w:rPr>
              <w:t xml:space="preserve">以苯甲酸计</w:t>
            </w:r>
            <w:r>
              <w:t xml:space="preserve">)</w:t>
            </w:r>
            <w:r>
              <w:rPr>
                <w:rFonts w:hint="eastAsia"/>
              </w:rPr>
              <w:t xml:space="preserve">、山梨酸及其钾盐</w:t>
            </w:r>
            <w:r>
              <w:t xml:space="preserve">(</w:t>
            </w:r>
            <w:r>
              <w:rPr>
                <w:rFonts w:hint="eastAsia"/>
              </w:rPr>
              <w:t xml:space="preserve">以山梨酸计</w:t>
            </w:r>
            <w:r>
              <w:t xml:space="preserve">)</w:t>
            </w:r>
            <w:r>
              <w:rPr>
                <w:rFonts w:hint="eastAsia"/>
              </w:rPr>
              <w:t xml:space="preserve">、脱氢乙酸及其钠盐（以脱氢乙酸计）、铝的残留量（干样品、以</w:t>
            </w:r>
            <w:r>
              <w:t xml:space="preserve">Al</w:t>
            </w:r>
            <w:r>
              <w:rPr>
                <w:rFonts w:hint="eastAsia"/>
              </w:rPr>
              <w:t xml:space="preserve">计）、</w:t>
            </w:r>
            <w:r>
              <w:rPr>
                <w:rFonts w:hint="eastAsia"/>
              </w:rPr>
              <w:t xml:space="preserve">着色剂（按色泽）</w:t>
            </w:r>
            <w:r/>
          </w:p>
        </w:tc>
      </w:tr>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1</w:t>
            </w:r>
            <w:r>
              <w:rPr>
                <w:rFonts w:hint="eastAsia"/>
              </w:rPr>
              <w:t xml:space="preserve">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2"/>
              <w:ind w:firstLine="0"/>
            </w:pPr>
            <w:r>
              <w:rPr>
                <w:rFonts w:hint="eastAsia"/>
              </w:rPr>
              <w:t xml:space="preserve">糕点</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糕点（功效宣称）</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西布曲明类（宣称减肥类）、那非类（宣称缓疲劳类、提高免疫类）、地平类（宣称降血压类）、盐酸二甲双胍等（宣称降血糖类）、总糖</w:t>
            </w:r>
            <w:r/>
          </w:p>
        </w:tc>
      </w:tr>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1</w:t>
            </w: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2"/>
              <w:ind w:firstLine="0"/>
            </w:pPr>
            <w:r>
              <w:rPr>
                <w:rFonts w:hint="eastAsia"/>
              </w:rPr>
              <w:t xml:space="preserve">饼干</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饼干（功效宣称）</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西布曲明类（宣称减肥类）、那非类（宣称缓疲劳类、提高免疫类）、地平类（宣称降血压类）、盐酸二甲双胍等（宣称降血糖类）、总糖</w:t>
            </w:r>
            <w:r/>
          </w:p>
        </w:tc>
      </w:tr>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1</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62"/>
              <w:ind w:firstLine="0"/>
            </w:pPr>
            <w:r>
              <w:rPr>
                <w:rFonts w:hint="eastAsia"/>
              </w:rPr>
              <w:t xml:space="preserve">速冻食品</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速冻调理肉制品</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动物源性</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1</w:t>
            </w: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762"/>
              <w:ind w:firstLine="0"/>
            </w:pPr>
            <w:r>
              <w:rPr>
                <w:rFonts w:hint="eastAsia"/>
              </w:rPr>
              <w:t xml:space="preserve">餐饮食品</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酱卤肉类、熏烧烤肉类（自制）</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动物源性、着色剂（按色泽）</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1</w:t>
            </w: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含肉主食类（自制）</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动物源性</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1</w:t>
            </w: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盐水鹅、盐水鸭、烤鸭、卤肉等的酱料或卤汁（自制）</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罂粟碱、那可丁、蒂巴因、可待因、吗啡</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rPr>
                <w:rFonts w:hint="eastAsia"/>
              </w:rPr>
              <w:t xml:space="preserve">16</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火锅麻辣烫底料（自制）</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罂粟碱、那可丁、蒂巴因、可待因、吗啡</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rPr>
                <w:rFonts w:hint="eastAsia"/>
              </w:rPr>
              <w:t xml:space="preserve">17</w:t>
            </w:r>
            <w:r/>
          </w:p>
        </w:tc>
        <w:tc>
          <w:tcPr>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pStyle w:val="762"/>
              <w:ind w:firstLine="0"/>
            </w:pPr>
            <w:r>
              <w:rPr>
                <w:rFonts w:hint="eastAsia"/>
              </w:rPr>
              <w:t xml:space="preserve">食用农产品</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果蔬</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糖精钠、甜蜜素、柠檬黄、日落黄、噻虫胺、吡虫啉</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rPr>
                <w:rFonts w:hint="eastAsia"/>
              </w:rPr>
              <w:t xml:space="preserve">18</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水产品</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恩诺沙星、孔雀石绿、地西泮</w:t>
            </w:r>
            <w:r/>
          </w:p>
        </w:tc>
      </w:tr>
      <w:tr>
        <w:trPr>
          <w:cantSplit/>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rPr>
                <w:rFonts w:hint="eastAsia"/>
              </w:rPr>
              <w:t xml:space="preserve">19</w:t>
            </w:r>
            <w:r/>
          </w:p>
        </w:tc>
        <w:tc>
          <w:tcPr>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pStyle w:val="762"/>
              <w:ind w:firstLine="0"/>
            </w:pPr>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pStyle w:val="762"/>
              <w:ind w:firstLine="0"/>
            </w:pPr>
            <w:r>
              <w:rPr>
                <w:rFonts w:hint="eastAsia"/>
              </w:rPr>
              <w:t xml:space="preserve">畜禽肉</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挥发性盐基氮、磺胺类、恩诺沙星</w:t>
            </w:r>
            <w:r/>
          </w:p>
        </w:tc>
      </w:tr>
      <w:tr>
        <w:trPr>
          <w:trHeight w:val="55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762"/>
              <w:ind w:firstLine="0"/>
            </w:pPr>
            <w:r>
              <w:t xml:space="preserve">2</w:t>
            </w:r>
            <w:r>
              <w:rPr>
                <w:rFonts w:hint="eastAsia"/>
              </w:rPr>
              <w:t xml:space="preserve">0</w:t>
            </w:r>
            <w:r/>
          </w:p>
        </w:tc>
        <w:tc>
          <w:tcPr>
            <w:gridSpan w:val="2"/>
            <w:tcBorders>
              <w:top w:val="single" w:color="000000" w:sz="4" w:space="0"/>
              <w:left w:val="single" w:color="000000" w:sz="4" w:space="0"/>
              <w:bottom w:val="single" w:color="000000" w:sz="4" w:space="0"/>
              <w:right w:val="single" w:color="000000" w:sz="4" w:space="0"/>
            </w:tcBorders>
            <w:tcW w:w="2538" w:type="dxa"/>
            <w:vAlign w:val="center"/>
            <w:textDirection w:val="lrTb"/>
            <w:noWrap w:val="false"/>
          </w:tcPr>
          <w:p>
            <w:pPr>
              <w:pStyle w:val="762"/>
              <w:ind w:firstLine="0"/>
            </w:pPr>
            <w:r>
              <w:rPr>
                <w:rFonts w:hint="eastAsia"/>
              </w:rPr>
              <w:t xml:space="preserve">果冻、含茶制品和代用茶、饼干、咖啡、水果制品及其他食品（含与上述基质相同的保健食品及片剂、胶囊、软胶囊等剂型）</w:t>
            </w:r>
            <w:r/>
          </w:p>
        </w:tc>
        <w:tc>
          <w:tcPr>
            <w:tcBorders>
              <w:top w:val="single" w:color="000000" w:sz="4" w:space="0"/>
              <w:left w:val="single" w:color="000000" w:sz="4" w:space="0"/>
              <w:bottom w:val="single" w:color="000000" w:sz="4" w:space="0"/>
              <w:right w:val="single" w:color="000000" w:sz="4" w:space="0"/>
            </w:tcBorders>
            <w:tcW w:w="6366" w:type="dxa"/>
            <w:vAlign w:val="center"/>
            <w:textDirection w:val="lrTb"/>
            <w:noWrap w:val="false"/>
          </w:tcPr>
          <w:p>
            <w:pPr>
              <w:pStyle w:val="762"/>
              <w:ind w:firstLine="0"/>
            </w:pPr>
            <w:r>
              <w:rPr>
                <w:rFonts w:hint="eastAsia"/>
              </w:rPr>
              <w:t xml:space="preserve">西布曲明类（宣称减肥类）、那非类（宣称缓疲劳类、提高免疫类）、地平类（宣称</w:t>
            </w:r>
            <w:r>
              <w:rPr>
                <w:rFonts w:hint="eastAsia"/>
              </w:rPr>
              <w:t xml:space="preserve">降血压类）、盐酸二甲双胍等（宣称降血糖类）</w:t>
            </w:r>
            <w:r/>
          </w:p>
        </w:tc>
      </w:tr>
      <w:tr>
        <w:trPr>
          <w:trHeight w:val="551"/>
        </w:trPr>
        <w:tc>
          <w:tcPr>
            <w:gridSpan w:val="4"/>
            <w:tcBorders>
              <w:top w:val="single" w:color="000000" w:sz="4" w:space="0"/>
              <w:left w:val="single" w:color="000000" w:sz="4" w:space="0"/>
              <w:bottom w:val="single" w:color="000000" w:sz="4" w:space="0"/>
              <w:right w:val="single" w:color="000000" w:sz="4" w:space="0"/>
            </w:tcBorders>
            <w:tcW w:w="9418" w:type="dxa"/>
            <w:vAlign w:val="center"/>
            <w:textDirection w:val="lrTb"/>
            <w:noWrap w:val="false"/>
          </w:tcPr>
          <w:p>
            <w:pPr>
              <w:pStyle w:val="762"/>
              <w:ind w:firstLine="0"/>
            </w:pPr>
            <w:r>
              <w:rPr>
                <w:rFonts w:hint="eastAsia"/>
              </w:rPr>
              <w:t xml:space="preserve">合计</w:t>
            </w:r>
            <w:r/>
          </w:p>
        </w:tc>
      </w:tr>
    </w:tbl>
    <w:p>
      <w:pPr>
        <w:pStyle w:val="762"/>
      </w:pPr>
      <w:r>
        <w:rPr>
          <w:rFonts w:hint="eastAsia"/>
        </w:rPr>
        <w:t xml:space="preserve">备注：根据年度食品安全执法工作开展情况适时调整。</w:t>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pStyle w:val="762"/>
      </w:pPr>
      <w:r/>
      <w:r/>
    </w:p>
    <w:p>
      <w:pPr>
        <w:jc w:val="center"/>
        <w:shd w:val="nil" w:color="auto"/>
        <w:rPr>
          <w:rFonts w:hint="eastAsia"/>
        </w:rPr>
      </w:pPr>
      <w:r>
        <w:rPr>
          <w:rFonts w:hint="eastAsia"/>
          <w:highlight w:val="none"/>
        </w:rPr>
        <w:br w:type="page" w:clear="all"/>
      </w:r>
      <w:r>
        <w:rPr>
          <w:rFonts w:hint="eastAsia"/>
          <w:highlight w:val="none"/>
        </w:rPr>
      </w:r>
      <w:bookmarkEnd w:id="104"/>
      <w:r/>
      <w:bookmarkEnd w:id="105"/>
      <w:r/>
      <w:bookmarkStart w:id="115" w:name="_Toc192946455"/>
      <w:r>
        <w:rPr>
          <w:rFonts w:hint="eastAsia" w:ascii="黑体" w:hAnsi="楷体_GB2312" w:eastAsia="黑体"/>
          <w:color w:val="000000"/>
          <w:sz w:val="44"/>
          <w:szCs w:val="44"/>
        </w:rPr>
        <w:t xml:space="preserve">第五章  评标方法与评标标准</w:t>
      </w:r>
      <w:bookmarkEnd w:id="115"/>
      <w:r>
        <w:rPr>
          <w:rFonts w:hint="eastAsia"/>
        </w:rPr>
      </w:r>
      <w:r/>
    </w:p>
    <w:p>
      <w:pPr>
        <w:pStyle w:val="749"/>
        <w:ind w:firstLine="480"/>
      </w:pPr>
      <w:r/>
      <w:bookmarkEnd w:id="101"/>
      <w:r/>
      <w:bookmarkEnd w:id="102"/>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总分为100分，将全部评委评分直接进行算术平均计算，小数点后按四舍五入规则保留2位。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，按主要技术指标优劣顺序排列，由评标委员会确定中标候选人。</w:t>
      </w:r>
      <w:r>
        <w:rPr>
          <w:rFonts w:hint="eastAsia" w:ascii="Arial" w:hAnsi="Arial" w:cs="Arial"/>
          <w:b/>
          <w:bCs/>
          <w:sz w:val="24"/>
          <w:szCs w:val="24"/>
        </w:rPr>
        <w:t xml:space="preserve">本评分标准适用所有采购包，每个采购包选择1名中标供应商。</w:t>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234"/>
        <w:gridCol w:w="5171"/>
        <w:gridCol w:w="709"/>
        <w:gridCol w:w="992"/>
      </w:tblGrid>
      <w:tr>
        <w:trPr>
          <w:trHeight w:val="532"/>
        </w:trPr>
        <w:tc>
          <w:tcPr>
            <w:tcW w:w="649" w:type="dxa"/>
            <w:vAlign w:val="center"/>
            <w:textDirection w:val="lrTb"/>
            <w:noWrap w:val="false"/>
          </w:tcPr>
          <w:p>
            <w:pPr>
              <w:pStyle w:val="749"/>
              <w:rPr>
                <w:rFonts w:hint="eastAsia" w:ascii="宋体" w:hAnsi="宋体" w:cs="黑体"/>
                <w:sz w:val="24"/>
                <w:szCs w:val="24"/>
              </w:rPr>
            </w:pPr>
            <w:r>
              <w:rPr>
                <w:rFonts w:hint="eastAsia" w:ascii="宋体" w:hAnsi="宋体" w:cs="黑体"/>
                <w:sz w:val="24"/>
                <w:szCs w:val="24"/>
              </w:rPr>
              <w:t xml:space="preserve">序号</w:t>
            </w:r>
            <w:r/>
          </w:p>
        </w:tc>
        <w:tc>
          <w:tcPr>
            <w:tcW w:w="1234" w:type="dxa"/>
            <w:vAlign w:val="center"/>
            <w:textDirection w:val="lrTb"/>
            <w:noWrap w:val="false"/>
          </w:tcPr>
          <w:p>
            <w:pPr>
              <w:pStyle w:val="749"/>
              <w:jc w:val="center"/>
              <w:rPr>
                <w:rFonts w:hint="eastAsia" w:ascii="宋体" w:hAnsi="宋体" w:cs="黑体"/>
                <w:sz w:val="24"/>
                <w:szCs w:val="24"/>
                <w:lang w:eastAsia="en-US"/>
              </w:rPr>
            </w:pPr>
            <w:r>
              <w:rPr>
                <w:rFonts w:hint="eastAsia" w:ascii="宋体" w:hAnsi="宋体" w:cs="黑体"/>
                <w:sz w:val="24"/>
                <w:szCs w:val="24"/>
              </w:rPr>
              <w:t xml:space="preserve">评分因素</w:t>
            </w:r>
            <w:r>
              <w:rPr>
                <w:rFonts w:hint="eastAsia" w:ascii="宋体" w:hAnsi="宋体" w:cs="黑体"/>
                <w:sz w:val="24"/>
                <w:szCs w:val="24"/>
                <w:lang w:eastAsia="en-US"/>
              </w:rPr>
            </w:r>
            <w:r/>
          </w:p>
        </w:tc>
        <w:tc>
          <w:tcPr>
            <w:tcW w:w="5171" w:type="dxa"/>
            <w:vAlign w:val="center"/>
            <w:textDirection w:val="lrTb"/>
            <w:noWrap w:val="false"/>
          </w:tcPr>
          <w:p>
            <w:pPr>
              <w:pStyle w:val="749"/>
              <w:jc w:val="center"/>
              <w:rPr>
                <w:rFonts w:hint="eastAsia" w:ascii="宋体" w:hAnsi="宋体" w:cs="黑体"/>
                <w:sz w:val="24"/>
                <w:szCs w:val="24"/>
                <w:lang w:eastAsia="en-US"/>
              </w:rPr>
            </w:pPr>
            <w:r>
              <w:rPr>
                <w:rFonts w:hint="eastAsia" w:ascii="宋体" w:hAnsi="宋体" w:cs="黑体"/>
                <w:sz w:val="24"/>
                <w:szCs w:val="24"/>
              </w:rPr>
              <w:t xml:space="preserve">评分标准</w:t>
            </w:r>
            <w:r>
              <w:rPr>
                <w:rFonts w:hint="eastAsia" w:ascii="宋体" w:hAnsi="宋体" w:cs="黑体"/>
                <w:sz w:val="24"/>
                <w:szCs w:val="24"/>
                <w:lang w:eastAsia="en-US"/>
              </w:rPr>
            </w:r>
            <w:r/>
          </w:p>
        </w:tc>
        <w:tc>
          <w:tcPr>
            <w:tcW w:w="709" w:type="dxa"/>
            <w:vAlign w:val="center"/>
            <w:textDirection w:val="lrTb"/>
            <w:noWrap w:val="false"/>
          </w:tcPr>
          <w:p>
            <w:pPr>
              <w:pStyle w:val="749"/>
              <w:jc w:val="center"/>
              <w:rPr>
                <w:rFonts w:hint="eastAsia" w:ascii="宋体" w:hAnsi="宋体" w:cs="黑体"/>
                <w:sz w:val="24"/>
                <w:szCs w:val="24"/>
                <w:lang w:eastAsia="en-US"/>
              </w:rPr>
            </w:pPr>
            <w:r>
              <w:rPr>
                <w:rFonts w:hint="eastAsia" w:ascii="宋体" w:hAnsi="宋体" w:cs="黑体"/>
                <w:sz w:val="24"/>
                <w:szCs w:val="24"/>
              </w:rPr>
              <w:t xml:space="preserve">分值</w:t>
            </w:r>
            <w:r>
              <w:rPr>
                <w:rFonts w:hint="eastAsia" w:ascii="宋体" w:hAnsi="宋体" w:cs="黑体"/>
                <w:sz w:val="24"/>
                <w:szCs w:val="24"/>
                <w:lang w:eastAsia="en-US"/>
              </w:rPr>
            </w:r>
            <w:r/>
          </w:p>
        </w:tc>
        <w:tc>
          <w:tcPr>
            <w:tcW w:w="992" w:type="dxa"/>
            <w:vAlign w:val="center"/>
            <w:textDirection w:val="lrTb"/>
            <w:noWrap w:val="false"/>
          </w:tcPr>
          <w:p>
            <w:pPr>
              <w:pStyle w:val="749"/>
              <w:jc w:val="center"/>
              <w:rPr>
                <w:rFonts w:hint="eastAsia" w:ascii="宋体" w:hAnsi="宋体" w:cs="黑体"/>
                <w:sz w:val="24"/>
                <w:szCs w:val="24"/>
              </w:rPr>
            </w:pPr>
            <w:r>
              <w:rPr>
                <w:rFonts w:hint="eastAsia" w:ascii="宋体" w:hAnsi="宋体" w:cs="黑体"/>
                <w:sz w:val="24"/>
                <w:szCs w:val="24"/>
              </w:rPr>
              <w:t xml:space="preserve">备注</w:t>
            </w:r>
            <w:r/>
          </w:p>
        </w:tc>
      </w:tr>
      <w:tr>
        <w:trPr>
          <w:trHeight w:val="532"/>
        </w:trPr>
        <w:tc>
          <w:tcPr>
            <w:gridSpan w:val="5"/>
            <w:tcW w:w="8755" w:type="dxa"/>
            <w:vAlign w:val="center"/>
            <w:textDirection w:val="lrTb"/>
            <w:noWrap w:val="false"/>
          </w:tcPr>
          <w:p>
            <w:pPr>
              <w:pStyle w:val="749"/>
              <w:rPr>
                <w:rFonts w:hint="eastAsia" w:ascii="宋体" w:hAnsi="宋体" w:cs="黑体"/>
                <w:b/>
                <w:bCs/>
                <w:sz w:val="24"/>
                <w:szCs w:val="24"/>
              </w:rPr>
            </w:pPr>
            <w:r>
              <w:rPr>
                <w:rFonts w:hint="eastAsia" w:ascii="宋体" w:hAnsi="宋体" w:cs="黑体"/>
                <w:b/>
                <w:bCs/>
                <w:sz w:val="24"/>
                <w:szCs w:val="24"/>
              </w:rPr>
              <w:t xml:space="preserve">一、价格分</w:t>
            </w:r>
            <w:r/>
          </w:p>
        </w:tc>
      </w:tr>
      <w:tr>
        <w:trPr>
          <w:trHeight w:val="712"/>
        </w:trPr>
        <w:tc>
          <w:tcPr>
            <w:tcW w:w="649" w:type="dxa"/>
            <w:vAlign w:val="center"/>
            <w:textDirection w:val="lrTb"/>
            <w:noWrap w:val="false"/>
          </w:tcPr>
          <w:p>
            <w:pPr>
              <w:pStyle w:val="749"/>
              <w:jc w:val="center"/>
              <w:rPr>
                <w:rFonts w:hint="eastAsia" w:ascii="宋体" w:hAnsi="宋体"/>
                <w:sz w:val="24"/>
                <w:szCs w:val="24"/>
                <w:lang w:eastAsia="en-US"/>
              </w:rPr>
            </w:pPr>
            <w:r>
              <w:rPr>
                <w:rFonts w:hint="eastAsia" w:ascii="宋体" w:hAnsi="宋体"/>
                <w:sz w:val="24"/>
                <w:szCs w:val="24"/>
              </w:rPr>
              <w:t xml:space="preserve">1</w:t>
            </w:r>
            <w:r>
              <w:rPr>
                <w:rFonts w:hint="eastAsia" w:ascii="宋体" w:hAnsi="宋体"/>
                <w:sz w:val="24"/>
                <w:szCs w:val="24"/>
                <w:lang w:eastAsia="en-US"/>
              </w:rPr>
            </w:r>
            <w:r/>
          </w:p>
        </w:tc>
        <w:tc>
          <w:tcPr>
            <w:tcW w:w="1234" w:type="dxa"/>
            <w:vAlign w:val="center"/>
            <w:textDirection w:val="lrTb"/>
            <w:noWrap w:val="false"/>
          </w:tcPr>
          <w:p>
            <w:pPr>
              <w:pStyle w:val="749"/>
              <w:jc w:val="center"/>
              <w:rPr>
                <w:rFonts w:hint="eastAsia" w:ascii="宋体" w:hAnsi="宋体"/>
                <w:sz w:val="24"/>
                <w:szCs w:val="24"/>
                <w:lang w:eastAsia="en-US"/>
              </w:rPr>
            </w:pPr>
            <w:r>
              <w:rPr>
                <w:rFonts w:hint="eastAsia" w:ascii="宋体" w:hAnsi="宋体"/>
                <w:sz w:val="24"/>
                <w:szCs w:val="24"/>
              </w:rPr>
              <w:t xml:space="preserve">报价</w:t>
            </w:r>
            <w:r>
              <w:rPr>
                <w:rFonts w:hint="eastAsia" w:ascii="宋体" w:hAnsi="宋体"/>
                <w:sz w:val="24"/>
                <w:szCs w:val="24"/>
                <w:lang w:eastAsia="en-US"/>
              </w:rPr>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价格分统一采用低价优先法，即满足招标文件要求且价格最低的投标评审报价为评标基准价，其价格分为满分。其他投标人的价格分统一按照下列公式计算： 投标报价得分＝（评标基准价/投标评审报价）×10。小数点后按四舍五入规则保留2位小数。</w:t>
            </w:r>
            <w:r>
              <w:rPr>
                <w:rFonts w:hint="eastAsia" w:ascii="宋体" w:hAnsi="宋体"/>
                <w:sz w:val="24"/>
                <w:szCs w:val="24"/>
              </w:rPr>
            </w:r>
            <w:r/>
          </w:p>
        </w:tc>
        <w:tc>
          <w:tcPr>
            <w:tcW w:w="709" w:type="dxa"/>
            <w:vAlign w:val="center"/>
            <w:textDirection w:val="lrTb"/>
            <w:noWrap w:val="false"/>
          </w:tcPr>
          <w:p>
            <w:pPr>
              <w:pStyle w:val="749"/>
              <w:jc w:val="center"/>
              <w:rPr>
                <w:rFonts w:ascii="宋体" w:hAnsi="宋体"/>
                <w:sz w:val="24"/>
                <w:szCs w:val="24"/>
                <w:lang w:eastAsia="en-US"/>
              </w:rPr>
            </w:pPr>
            <w:r>
              <w:rPr>
                <w:rFonts w:hint="eastAsia" w:ascii="宋体" w:hAnsi="宋体"/>
                <w:sz w:val="24"/>
                <w:szCs w:val="24"/>
              </w:rPr>
              <w:t xml:space="preserve">10</w:t>
            </w:r>
            <w:r>
              <w:rPr>
                <w:rFonts w:ascii="宋体" w:hAnsi="宋体"/>
                <w:sz w:val="24"/>
                <w:szCs w:val="24"/>
                <w:lang w:eastAsia="en-US"/>
              </w:rPr>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客观分</w:t>
            </w:r>
            <w:r/>
          </w:p>
        </w:tc>
      </w:tr>
      <w:tr>
        <w:trPr>
          <w:trHeight w:val="712"/>
        </w:trPr>
        <w:tc>
          <w:tcPr>
            <w:gridSpan w:val="5"/>
            <w:tcW w:w="8755" w:type="dxa"/>
            <w:vAlign w:val="center"/>
            <w:textDirection w:val="lrTb"/>
            <w:noWrap w:val="false"/>
          </w:tcPr>
          <w:p>
            <w:pPr>
              <w:pStyle w:val="749"/>
              <w:rPr>
                <w:rFonts w:hint="eastAsia" w:ascii="宋体" w:hAnsi="宋体"/>
                <w:b/>
                <w:bCs/>
                <w:sz w:val="24"/>
                <w:szCs w:val="24"/>
              </w:rPr>
            </w:pPr>
            <w:r>
              <w:rPr>
                <w:rFonts w:hint="eastAsia" w:ascii="宋体" w:hAnsi="宋体"/>
                <w:b/>
                <w:bCs/>
                <w:sz w:val="24"/>
                <w:szCs w:val="24"/>
              </w:rPr>
              <w:t xml:space="preserve">二、技术分</w:t>
            </w:r>
            <w:r/>
          </w:p>
        </w:tc>
      </w:tr>
      <w:tr>
        <w:trPr>
          <w:cantSplit/>
          <w:trHeight w:val="3150"/>
        </w:trPr>
        <w:tc>
          <w:tcPr>
            <w:tcW w:w="649" w:type="dxa"/>
            <w:vAlign w:val="center"/>
            <w:vMerge w:val="restart"/>
            <w:textDirection w:val="lrTb"/>
            <w:noWrap w:val="false"/>
          </w:tcPr>
          <w:p>
            <w:pPr>
              <w:pStyle w:val="749"/>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34" w:type="dxa"/>
            <w:vAlign w:val="center"/>
            <w:vMerge w:val="restart"/>
            <w:textDirection w:val="lrTb"/>
            <w:noWrap w:val="false"/>
          </w:tcPr>
          <w:p>
            <w:pPr>
              <w:pStyle w:val="749"/>
              <w:jc w:val="center"/>
              <w:rPr>
                <w:rFonts w:hint="eastAsia" w:ascii="宋体" w:hAnsi="宋体"/>
                <w:sz w:val="24"/>
                <w:szCs w:val="24"/>
                <w:lang w:eastAsia="en-US"/>
              </w:rPr>
            </w:pPr>
            <w:r>
              <w:rPr>
                <w:rFonts w:hint="eastAsia" w:ascii="宋体" w:hAnsi="宋体"/>
                <w:sz w:val="24"/>
                <w:szCs w:val="24"/>
              </w:rPr>
              <w:t xml:space="preserve">供应商业绩</w:t>
            </w:r>
            <w:r>
              <w:rPr>
                <w:rFonts w:hint="eastAsia" w:ascii="宋体" w:hAnsi="宋体"/>
                <w:sz w:val="24"/>
                <w:szCs w:val="24"/>
                <w:lang w:eastAsia="en-US"/>
              </w:rPr>
            </w:r>
            <w:r/>
          </w:p>
        </w:tc>
        <w:tc>
          <w:tcPr>
            <w:tcW w:w="5171" w:type="dxa"/>
            <w:vAlign w:val="center"/>
            <w:textDirection w:val="lrTb"/>
            <w:noWrap w:val="false"/>
          </w:tcPr>
          <w:p>
            <w:pPr>
              <w:pStyle w:val="749"/>
              <w:jc w:val="both"/>
              <w:spacing w:after="0"/>
              <w:rPr>
                <w:rFonts w:hint="eastAsia" w:ascii="宋体" w:hAnsi="宋体"/>
                <w:sz w:val="24"/>
                <w:szCs w:val="24"/>
                <w:lang w:val="zh-CN"/>
              </w:rPr>
            </w:pPr>
            <w:r/>
            <w:bookmarkStart w:id="116" w:name="_Hlk197526902"/>
            <w:r>
              <w:rPr>
                <w:rFonts w:hint="eastAsia" w:ascii="宋体" w:hAnsi="宋体"/>
                <w:sz w:val="24"/>
                <w:szCs w:val="24"/>
              </w:rPr>
              <w:t xml:space="preserve">1.1自2024</w:t>
            </w:r>
            <w:r>
              <w:rPr>
                <w:rFonts w:ascii="宋体" w:hAnsi="宋体"/>
                <w:sz w:val="24"/>
                <w:szCs w:val="24"/>
                <w:lang w:val="zh-CN"/>
              </w:rPr>
              <w:t xml:space="preserve">年1月1日以来</w:t>
            </w:r>
            <w:r>
              <w:rPr>
                <w:rFonts w:hint="eastAsia" w:ascii="宋体" w:hAnsi="宋体"/>
                <w:sz w:val="24"/>
                <w:szCs w:val="24"/>
                <w:lang w:val="zh-CN"/>
              </w:rPr>
              <w:t xml:space="preserve">（</w:t>
            </w:r>
            <w:r>
              <w:rPr>
                <w:rFonts w:ascii="宋体" w:hAnsi="宋体"/>
                <w:sz w:val="24"/>
                <w:szCs w:val="24"/>
                <w:lang w:val="zh-CN"/>
              </w:rPr>
              <w:t xml:space="preserve">以合同</w:t>
            </w:r>
            <w:r>
              <w:rPr>
                <w:rFonts w:hint="eastAsia" w:ascii="宋体" w:hAnsi="宋体"/>
                <w:sz w:val="24"/>
                <w:szCs w:val="24"/>
                <w:lang w:val="zh-CN"/>
              </w:rPr>
              <w:t xml:space="preserve">或委托书</w:t>
            </w:r>
            <w:r>
              <w:rPr>
                <w:rFonts w:ascii="宋体" w:hAnsi="宋体"/>
                <w:sz w:val="24"/>
                <w:szCs w:val="24"/>
                <w:lang w:val="zh-CN"/>
              </w:rPr>
              <w:t xml:space="preserve">签订时间为准）</w:t>
            </w:r>
            <w:bookmarkEnd w:id="116"/>
            <w:r>
              <w:rPr>
                <w:rFonts w:ascii="宋体" w:hAnsi="宋体"/>
                <w:sz w:val="24"/>
                <w:szCs w:val="24"/>
                <w:lang w:val="zh-CN"/>
              </w:rPr>
              <w:t xml:space="preserve">，</w:t>
            </w:r>
            <w:r>
              <w:rPr>
                <w:rFonts w:hint="eastAsia" w:ascii="宋体" w:hAnsi="宋体"/>
                <w:sz w:val="24"/>
                <w:szCs w:val="24"/>
              </w:rPr>
              <w:t xml:space="preserve">供应商</w:t>
            </w:r>
            <w:r>
              <w:rPr>
                <w:rFonts w:hint="eastAsia" w:ascii="宋体" w:hAnsi="宋体"/>
                <w:sz w:val="24"/>
                <w:szCs w:val="24"/>
                <w:lang w:val="zh-CN"/>
              </w:rPr>
              <w:t xml:space="preserve">承担过类似本项目的食品安全</w:t>
            </w:r>
            <w:r>
              <w:rPr>
                <w:rFonts w:hint="eastAsia" w:ascii="宋体" w:hAnsi="宋体"/>
                <w:sz w:val="24"/>
                <w:szCs w:val="24"/>
              </w:rPr>
              <w:t xml:space="preserve">执法抽检</w:t>
            </w:r>
            <w:r>
              <w:rPr>
                <w:rFonts w:hint="eastAsia" w:ascii="宋体" w:hAnsi="宋体"/>
                <w:sz w:val="24"/>
                <w:szCs w:val="24"/>
                <w:lang w:val="zh-CN"/>
              </w:rPr>
              <w:t xml:space="preserve">任务</w:t>
            </w:r>
            <w:r>
              <w:rPr>
                <w:rFonts w:hint="eastAsia" w:ascii="宋体" w:hAnsi="宋体"/>
                <w:sz w:val="24"/>
                <w:szCs w:val="24"/>
              </w:rPr>
              <w:t xml:space="preserve">所出具的报告份数</w:t>
            </w:r>
            <w:r>
              <w:rPr>
                <w:rFonts w:ascii="宋体" w:hAnsi="宋体"/>
                <w:sz w:val="24"/>
                <w:szCs w:val="24"/>
                <w:lang w:val="zh-CN"/>
              </w:rPr>
              <w:t xml:space="preserve">：</w:t>
            </w:r>
            <w:r>
              <w:rPr>
                <w:rFonts w:hint="eastAsia" w:ascii="宋体" w:hAnsi="宋体"/>
                <w:sz w:val="24"/>
                <w:szCs w:val="24"/>
                <w:lang w:val="zh-CN"/>
              </w:rPr>
            </w:r>
            <w:r/>
          </w:p>
          <w:p>
            <w:pPr>
              <w:pStyle w:val="749"/>
              <w:jc w:val="both"/>
              <w:spacing w:after="0"/>
              <w:rPr>
                <w:rFonts w:hint="eastAsia" w:ascii="宋体" w:hAnsi="宋体"/>
                <w:sz w:val="24"/>
                <w:szCs w:val="24"/>
                <w:lang w:val="zh-CN"/>
              </w:rPr>
            </w:pPr>
            <w:r>
              <w:rPr>
                <w:rFonts w:hint="eastAsia" w:ascii="宋体" w:hAnsi="宋体"/>
                <w:sz w:val="24"/>
                <w:szCs w:val="24"/>
              </w:rPr>
              <w:t xml:space="preserve">（1）累计报告份数</w:t>
            </w:r>
            <w:r>
              <w:rPr>
                <w:rFonts w:ascii="宋体" w:hAnsi="宋体"/>
                <w:sz w:val="24"/>
                <w:szCs w:val="24"/>
                <w:lang w:val="zh-CN"/>
              </w:rPr>
              <w:t xml:space="preserve">≥</w:t>
            </w:r>
            <w:r>
              <w:rPr>
                <w:rFonts w:hint="eastAsia" w:ascii="宋体" w:hAnsi="宋体"/>
                <w:sz w:val="24"/>
                <w:szCs w:val="24"/>
              </w:rPr>
              <w:t xml:space="preserve">250份</w:t>
            </w:r>
            <w:r>
              <w:rPr>
                <w:rFonts w:ascii="宋体" w:hAnsi="宋体"/>
                <w:sz w:val="24"/>
                <w:szCs w:val="24"/>
                <w:lang w:val="zh-CN"/>
              </w:rPr>
              <w:t xml:space="preserve">，得</w:t>
            </w:r>
            <w:r>
              <w:rPr>
                <w:rFonts w:hint="eastAsia" w:ascii="宋体" w:hAnsi="宋体"/>
                <w:sz w:val="24"/>
                <w:szCs w:val="24"/>
              </w:rPr>
              <w:t xml:space="preserve">7</w:t>
            </w:r>
            <w:r>
              <w:rPr>
                <w:rFonts w:ascii="宋体" w:hAnsi="宋体"/>
                <w:sz w:val="24"/>
                <w:szCs w:val="24"/>
                <w:lang w:val="zh-CN"/>
              </w:rPr>
              <w:t xml:space="preserve">分</w:t>
            </w:r>
            <w:r>
              <w:rPr>
                <w:rFonts w:hint="eastAsia" w:ascii="宋体" w:hAnsi="宋体"/>
                <w:sz w:val="24"/>
                <w:szCs w:val="24"/>
                <w:lang w:val="zh-CN"/>
              </w:rPr>
              <w:t xml:space="preserve">；</w:t>
            </w:r>
            <w:r/>
          </w:p>
          <w:p>
            <w:pPr>
              <w:pStyle w:val="749"/>
              <w:jc w:val="both"/>
              <w:spacing w:after="0"/>
              <w:rPr>
                <w:rFonts w:hint="eastAsia" w:ascii="宋体" w:hAnsi="宋体"/>
                <w:sz w:val="24"/>
                <w:szCs w:val="24"/>
                <w:lang w:val="zh-CN"/>
              </w:rPr>
            </w:pPr>
            <w:r>
              <w:rPr>
                <w:rFonts w:hint="eastAsia" w:ascii="宋体" w:hAnsi="宋体"/>
                <w:sz w:val="24"/>
                <w:szCs w:val="24"/>
              </w:rPr>
              <w:t xml:space="preserve">（2）250份</w:t>
            </w:r>
            <w:r>
              <w:rPr>
                <w:rFonts w:hint="eastAsia" w:ascii="宋体" w:hAnsi="宋体"/>
                <w:sz w:val="24"/>
                <w:szCs w:val="24"/>
                <w:lang w:val="zh-CN"/>
              </w:rPr>
              <w:t xml:space="preserve">＞</w:t>
            </w:r>
            <w:r>
              <w:rPr>
                <w:rFonts w:hint="eastAsia" w:ascii="宋体" w:hAnsi="宋体"/>
                <w:sz w:val="24"/>
                <w:szCs w:val="24"/>
              </w:rPr>
              <w:t xml:space="preserve">累计报告份数</w:t>
            </w:r>
            <w:r>
              <w:rPr>
                <w:rFonts w:ascii="宋体" w:hAnsi="宋体"/>
                <w:sz w:val="24"/>
                <w:szCs w:val="24"/>
                <w:lang w:val="zh-CN"/>
              </w:rPr>
              <w:t xml:space="preserve">≥</w:t>
            </w:r>
            <w:r>
              <w:rPr>
                <w:rFonts w:hint="eastAsia" w:ascii="宋体" w:hAnsi="宋体"/>
                <w:sz w:val="24"/>
                <w:szCs w:val="24"/>
              </w:rPr>
              <w:t xml:space="preserve">100份</w:t>
            </w:r>
            <w:r>
              <w:rPr>
                <w:rFonts w:ascii="宋体" w:hAnsi="宋体"/>
                <w:sz w:val="24"/>
                <w:szCs w:val="24"/>
                <w:lang w:val="zh-CN"/>
              </w:rPr>
              <w:t xml:space="preserve">，得</w:t>
            </w:r>
            <w:r>
              <w:rPr>
                <w:rFonts w:hint="eastAsia" w:ascii="宋体" w:hAnsi="宋体"/>
                <w:sz w:val="24"/>
                <w:szCs w:val="24"/>
              </w:rPr>
              <w:t xml:space="preserve">5</w:t>
            </w:r>
            <w:r>
              <w:rPr>
                <w:rFonts w:ascii="宋体" w:hAnsi="宋体"/>
                <w:sz w:val="24"/>
                <w:szCs w:val="24"/>
                <w:lang w:val="zh-CN"/>
              </w:rPr>
              <w:t xml:space="preserve">分；</w:t>
            </w:r>
            <w:r>
              <w:rPr>
                <w:rFonts w:hint="eastAsia" w:ascii="宋体" w:hAnsi="宋体"/>
                <w:sz w:val="24"/>
                <w:szCs w:val="24"/>
                <w:lang w:val="zh-CN"/>
              </w:rPr>
            </w:r>
            <w:r/>
          </w:p>
          <w:p>
            <w:pPr>
              <w:pStyle w:val="749"/>
              <w:jc w:val="both"/>
              <w:spacing w:after="0"/>
              <w:rPr>
                <w:rFonts w:ascii="宋体" w:hAnsi="宋体"/>
                <w:sz w:val="24"/>
                <w:szCs w:val="24"/>
                <w:lang w:val="zh-CN"/>
              </w:rPr>
            </w:pPr>
            <w:r>
              <w:rPr>
                <w:rFonts w:hint="eastAsia" w:ascii="宋体" w:hAnsi="宋体"/>
                <w:sz w:val="24"/>
                <w:szCs w:val="24"/>
              </w:rPr>
              <w:t xml:space="preserve">（3）100份</w:t>
            </w:r>
            <w:r>
              <w:rPr>
                <w:rFonts w:hint="eastAsia" w:ascii="宋体" w:hAnsi="宋体"/>
                <w:sz w:val="24"/>
                <w:szCs w:val="24"/>
                <w:lang w:val="zh-CN"/>
              </w:rPr>
              <w:t xml:space="preserve">＞</w:t>
            </w:r>
            <w:r>
              <w:rPr>
                <w:rFonts w:hint="eastAsia" w:ascii="宋体" w:hAnsi="宋体"/>
                <w:sz w:val="24"/>
                <w:szCs w:val="24"/>
              </w:rPr>
              <w:t xml:space="preserve">累计报告份数</w:t>
            </w:r>
            <w:r>
              <w:rPr>
                <w:rFonts w:ascii="宋体" w:hAnsi="宋体"/>
                <w:sz w:val="24"/>
                <w:szCs w:val="24"/>
                <w:lang w:val="zh-CN"/>
              </w:rPr>
              <w:t xml:space="preserve">≥</w:t>
            </w:r>
            <w:r>
              <w:rPr>
                <w:rFonts w:hint="eastAsia" w:ascii="宋体" w:hAnsi="宋体"/>
                <w:sz w:val="24"/>
                <w:szCs w:val="24"/>
              </w:rPr>
              <w:t xml:space="preserve">50份</w:t>
            </w:r>
            <w:r>
              <w:rPr>
                <w:rFonts w:ascii="宋体" w:hAnsi="宋体"/>
                <w:sz w:val="24"/>
                <w:szCs w:val="24"/>
                <w:lang w:val="zh-CN"/>
              </w:rPr>
              <w:t xml:space="preserve">，得</w:t>
            </w:r>
            <w:r>
              <w:rPr>
                <w:rFonts w:hint="eastAsia" w:ascii="宋体" w:hAnsi="宋体"/>
                <w:sz w:val="24"/>
                <w:szCs w:val="24"/>
              </w:rPr>
              <w:t xml:space="preserve">3</w:t>
            </w:r>
            <w:r>
              <w:rPr>
                <w:rFonts w:ascii="宋体" w:hAnsi="宋体"/>
                <w:sz w:val="24"/>
                <w:szCs w:val="24"/>
                <w:lang w:val="zh-CN"/>
              </w:rPr>
              <w:t xml:space="preserve">分；</w:t>
            </w:r>
            <w:r/>
          </w:p>
          <w:p>
            <w:pPr>
              <w:pStyle w:val="749"/>
              <w:jc w:val="both"/>
              <w:spacing w:after="0"/>
              <w:rPr>
                <w:rFonts w:ascii="宋体" w:hAnsi="宋体"/>
                <w:sz w:val="24"/>
                <w:szCs w:val="24"/>
              </w:rPr>
            </w:pPr>
            <w:r>
              <w:rPr>
                <w:rFonts w:hint="eastAsia" w:ascii="宋体" w:hAnsi="宋体"/>
                <w:sz w:val="24"/>
                <w:szCs w:val="24"/>
                <w:lang w:val="zh-CN"/>
              </w:rPr>
              <w:t xml:space="preserve">（</w:t>
            </w:r>
            <w:r>
              <w:rPr>
                <w:rFonts w:hint="eastAsia" w:ascii="宋体" w:hAnsi="宋体"/>
                <w:sz w:val="24"/>
                <w:szCs w:val="24"/>
              </w:rPr>
              <w:t xml:space="preserve">4</w:t>
            </w:r>
            <w:r>
              <w:rPr>
                <w:rFonts w:hint="eastAsia" w:ascii="宋体" w:hAnsi="宋体"/>
                <w:sz w:val="24"/>
                <w:szCs w:val="24"/>
                <w:lang w:val="zh-CN"/>
              </w:rPr>
              <w:t xml:space="preserve">）</w:t>
            </w:r>
            <w:bookmarkStart w:id="117" w:name="OLE_LINK1"/>
            <w:r>
              <w:rPr>
                <w:rFonts w:hint="eastAsia" w:ascii="宋体" w:hAnsi="宋体"/>
                <w:sz w:val="24"/>
                <w:szCs w:val="24"/>
              </w:rPr>
              <w:t xml:space="preserve">50份</w:t>
            </w:r>
            <w:r>
              <w:rPr>
                <w:rFonts w:hint="eastAsia" w:ascii="宋体" w:hAnsi="宋体"/>
                <w:sz w:val="24"/>
                <w:szCs w:val="24"/>
                <w:lang w:val="zh-CN"/>
              </w:rPr>
              <w:t xml:space="preserve">＞</w:t>
            </w:r>
            <w:r>
              <w:rPr>
                <w:rFonts w:hint="eastAsia" w:ascii="宋体" w:hAnsi="宋体"/>
                <w:sz w:val="24"/>
                <w:szCs w:val="24"/>
              </w:rPr>
              <w:t xml:space="preserve">累计报告份数</w:t>
            </w:r>
            <w:bookmarkEnd w:id="117"/>
            <w:r>
              <w:rPr>
                <w:rFonts w:hint="eastAsia" w:ascii="宋体" w:hAnsi="宋体"/>
                <w:sz w:val="24"/>
                <w:szCs w:val="24"/>
              </w:rPr>
              <w:t xml:space="preserve">≥10份，得1分；</w:t>
            </w:r>
            <w:r>
              <w:rPr>
                <w:rFonts w:ascii="宋体" w:hAnsi="宋体"/>
                <w:sz w:val="24"/>
                <w:szCs w:val="24"/>
              </w:rPr>
            </w:r>
            <w:r/>
          </w:p>
          <w:p>
            <w:pPr>
              <w:pStyle w:val="749"/>
              <w:jc w:val="both"/>
              <w:spacing w:after="0"/>
              <w:rPr>
                <w:rFonts w:hint="eastAsia" w:ascii="宋体" w:hAnsi="宋体"/>
                <w:sz w:val="24"/>
                <w:szCs w:val="24"/>
                <w:lang w:val="zh-CN"/>
              </w:rPr>
            </w:pPr>
            <w:r>
              <w:rPr>
                <w:rFonts w:hint="eastAsia" w:ascii="宋体" w:hAnsi="宋体"/>
                <w:sz w:val="24"/>
                <w:szCs w:val="24"/>
              </w:rPr>
              <w:t xml:space="preserve">（5）累计报告份数＜10份或未提供的不得分。</w:t>
            </w:r>
            <w:r>
              <w:rPr>
                <w:rFonts w:hint="eastAsia" w:ascii="宋体" w:hAnsi="宋体"/>
                <w:sz w:val="24"/>
                <w:szCs w:val="24"/>
                <w:lang w:val="zh-CN"/>
              </w:rPr>
            </w:r>
            <w:r/>
          </w:p>
          <w:p>
            <w:pPr>
              <w:pStyle w:val="749"/>
              <w:jc w:val="both"/>
              <w:rPr>
                <w:rFonts w:hint="eastAsia" w:ascii="宋体" w:hAnsi="宋体"/>
                <w:sz w:val="24"/>
                <w:szCs w:val="24"/>
              </w:rPr>
            </w:pPr>
            <w:r>
              <w:rPr>
                <w:rFonts w:ascii="宋体" w:hAnsi="宋体"/>
                <w:sz w:val="24"/>
                <w:szCs w:val="24"/>
              </w:rPr>
              <w:t xml:space="preserve">注：投标人须提供合同</w:t>
            </w:r>
            <w:r>
              <w:rPr>
                <w:rFonts w:hint="eastAsia" w:ascii="宋体" w:hAnsi="宋体"/>
                <w:sz w:val="24"/>
                <w:szCs w:val="24"/>
              </w:rPr>
              <w:t xml:space="preserve">（</w:t>
            </w:r>
            <w:r>
              <w:rPr>
                <w:rFonts w:ascii="宋体" w:hAnsi="宋体"/>
                <w:sz w:val="24"/>
                <w:szCs w:val="24"/>
              </w:rPr>
              <w:t xml:space="preserve">或委托书</w:t>
            </w:r>
            <w:r>
              <w:rPr>
                <w:rFonts w:hint="eastAsia" w:ascii="宋体" w:hAnsi="宋体"/>
                <w:sz w:val="24"/>
                <w:szCs w:val="24"/>
              </w:rPr>
              <w:t xml:space="preserve">）</w:t>
            </w:r>
            <w:r>
              <w:rPr>
                <w:rFonts w:ascii="宋体" w:hAnsi="宋体"/>
                <w:sz w:val="24"/>
                <w:szCs w:val="24"/>
              </w:rPr>
              <w:t xml:space="preserve">等证明文件的主要内容页和签字盖章页的复印件</w:t>
            </w:r>
            <w:r>
              <w:rPr>
                <w:rFonts w:hint="eastAsia" w:ascii="宋体" w:hAnsi="宋体"/>
                <w:sz w:val="24"/>
                <w:szCs w:val="24"/>
              </w:rPr>
              <w:t xml:space="preserve">、报告清单，需加盖供应商公章。</w:t>
            </w:r>
            <w:r>
              <w:rPr>
                <w:rFonts w:ascii="宋体" w:hAnsi="宋体"/>
                <w:sz w:val="24"/>
                <w:szCs w:val="24"/>
              </w:rPr>
              <w:t xml:space="preserve">不具备类似业绩或未提供有效证明文件</w:t>
            </w:r>
            <w:r>
              <w:rPr>
                <w:rFonts w:hint="eastAsia" w:ascii="宋体" w:hAnsi="宋体"/>
                <w:sz w:val="24"/>
                <w:szCs w:val="24"/>
              </w:rPr>
              <w:t xml:space="preserve">或不符合要求</w:t>
            </w:r>
            <w:r>
              <w:rPr>
                <w:rFonts w:ascii="宋体" w:hAnsi="宋体"/>
                <w:sz w:val="24"/>
                <w:szCs w:val="24"/>
              </w:rPr>
              <w:t xml:space="preserve">的不得分。</w:t>
            </w:r>
            <w:r>
              <w:rPr>
                <w:rFonts w:hint="eastAsia" w:ascii="宋体" w:hAnsi="宋体"/>
                <w:sz w:val="24"/>
                <w:szCs w:val="24"/>
              </w:rPr>
            </w:r>
            <w:r/>
          </w:p>
        </w:tc>
        <w:tc>
          <w:tcPr>
            <w:tcW w:w="709" w:type="dxa"/>
            <w:vAlign w:val="center"/>
            <w:vMerge w:val="restart"/>
            <w:textDirection w:val="lrTb"/>
            <w:noWrap w:val="false"/>
          </w:tcPr>
          <w:p>
            <w:pPr>
              <w:pStyle w:val="749"/>
              <w:jc w:val="center"/>
              <w:rPr>
                <w:rFonts w:hint="eastAsia" w:ascii="宋体" w:hAnsi="宋体"/>
                <w:sz w:val="24"/>
                <w:szCs w:val="24"/>
                <w:lang w:eastAsia="en-US"/>
              </w:rPr>
            </w:pPr>
            <w:r>
              <w:rPr>
                <w:rFonts w:hint="eastAsia" w:ascii="宋体" w:hAnsi="宋体"/>
                <w:sz w:val="24"/>
                <w:szCs w:val="24"/>
              </w:rPr>
              <w:t xml:space="preserve">10</w:t>
            </w:r>
            <w:r>
              <w:rPr>
                <w:rFonts w:hint="eastAsia" w:ascii="宋体" w:hAnsi="宋体"/>
                <w:sz w:val="24"/>
                <w:szCs w:val="24"/>
                <w:lang w:eastAsia="en-US"/>
              </w:rPr>
            </w:r>
            <w:r/>
          </w:p>
        </w:tc>
        <w:tc>
          <w:tcPr>
            <w:tcW w:w="992" w:type="dxa"/>
            <w:vAlign w:val="center"/>
            <w:vMerge w:val="restart"/>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客观分</w:t>
            </w:r>
            <w:r/>
          </w:p>
        </w:tc>
      </w:tr>
      <w:tr>
        <w:trPr>
          <w:cantSplit/>
          <w:trHeight w:val="3150"/>
        </w:trPr>
        <w:tc>
          <w:tcPr>
            <w:tcW w:w="649"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1234"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5171" w:type="dxa"/>
            <w:vAlign w:val="center"/>
            <w:textDirection w:val="lrTb"/>
            <w:noWrap w:val="false"/>
          </w:tcPr>
          <w:p>
            <w:pPr>
              <w:pStyle w:val="749"/>
              <w:jc w:val="both"/>
              <w:spacing w:after="0"/>
              <w:rPr>
                <w:rFonts w:ascii="宋体" w:hAnsi="宋体"/>
                <w:sz w:val="24"/>
                <w:szCs w:val="24"/>
              </w:rPr>
            </w:pPr>
            <w:r>
              <w:rPr>
                <w:rFonts w:hint="eastAsia" w:ascii="宋体" w:hAnsi="宋体"/>
                <w:sz w:val="24"/>
                <w:szCs w:val="24"/>
              </w:rPr>
              <w:t xml:space="preserve">1.2自2024年1月1日以来（以合同或委托书签订时间为准），供应商承担过类似本项目的食品安全执法抽检任务并出具报告的，每提供1份报告样例得1分，最多得3分。</w:t>
            </w:r>
            <w:r>
              <w:rPr>
                <w:rFonts w:ascii="宋体" w:hAnsi="宋体"/>
                <w:sz w:val="24"/>
                <w:szCs w:val="24"/>
              </w:rPr>
            </w:r>
            <w:r/>
          </w:p>
          <w:p>
            <w:pPr>
              <w:pStyle w:val="762"/>
              <w:ind w:firstLine="0"/>
              <w:jc w:val="left"/>
              <w:rPr>
                <w:rFonts w:hint="eastAsia"/>
                <w:sz w:val="24"/>
                <w:szCs w:val="24"/>
              </w:rPr>
            </w:pPr>
            <w:r>
              <w:rPr>
                <w:rFonts w:hint="eastAsia"/>
                <w:sz w:val="24"/>
                <w:szCs w:val="24"/>
              </w:rPr>
              <w:t xml:space="preserve">注：投标人须提供清晰完整的报告样例，需加盖供应商公章，报告样例需能体现食品安全执法抽检服务内容，报告中承检单位须与投标人一致。未提供有效证明文件或不符合要求的不得分。</w:t>
            </w:r>
            <w:r/>
          </w:p>
        </w:tc>
        <w:tc>
          <w:tcPr>
            <w:tcW w:w="709"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992"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r>
      <w:tr>
        <w:trPr>
          <w:cantSplit/>
          <w:trHeight w:val="274"/>
        </w:trPr>
        <w:tc>
          <w:tcPr>
            <w:tcW w:w="649" w:type="dxa"/>
            <w:vAlign w:val="center"/>
            <w:vMerge w:val="restart"/>
            <w:textDirection w:val="lrTb"/>
            <w:noWrap w:val="false"/>
          </w:tcPr>
          <w:p>
            <w:pPr>
              <w:pStyle w:val="749"/>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34" w:type="dxa"/>
            <w:vAlign w:val="center"/>
            <w:vMerge w:val="restart"/>
            <w:textDirection w:val="lrTb"/>
            <w:noWrap w:val="false"/>
          </w:tcPr>
          <w:p>
            <w:pPr>
              <w:pStyle w:val="749"/>
              <w:jc w:val="center"/>
              <w:rPr>
                <w:rFonts w:ascii="宋体" w:hAnsi="宋体"/>
                <w:sz w:val="24"/>
                <w:szCs w:val="24"/>
              </w:rPr>
            </w:pPr>
            <w:r>
              <w:rPr>
                <w:rFonts w:hint="eastAsia" w:ascii="宋体" w:hAnsi="宋体"/>
                <w:sz w:val="24"/>
                <w:szCs w:val="24"/>
              </w:rPr>
              <w:t xml:space="preserve">复检能力</w:t>
            </w:r>
            <w:r>
              <w:rPr>
                <w:rFonts w:ascii="宋体" w:hAnsi="宋体"/>
                <w:sz w:val="24"/>
                <w:szCs w:val="24"/>
              </w:rPr>
            </w:r>
            <w:r/>
          </w:p>
        </w:tc>
        <w:tc>
          <w:tcPr>
            <w:tcW w:w="5171" w:type="dxa"/>
            <w:vAlign w:val="center"/>
            <w:textDirection w:val="lrTb"/>
            <w:noWrap w:val="false"/>
          </w:tcPr>
          <w:p>
            <w:pPr>
              <w:pStyle w:val="749"/>
              <w:jc w:val="both"/>
              <w:rPr>
                <w:rFonts w:ascii="宋体" w:hAnsi="宋体"/>
                <w:sz w:val="24"/>
                <w:szCs w:val="24"/>
                <w:lang w:val="zh-CN"/>
              </w:rPr>
            </w:pPr>
            <w:r>
              <w:rPr>
                <w:rFonts w:hint="eastAsia" w:ascii="宋体" w:hAnsi="宋体"/>
                <w:sz w:val="24"/>
                <w:szCs w:val="24"/>
              </w:rPr>
              <w:t xml:space="preserve">2.1供应商</w:t>
            </w:r>
            <w:r>
              <w:rPr>
                <w:rFonts w:ascii="宋体" w:hAnsi="宋体"/>
                <w:sz w:val="24"/>
                <w:szCs w:val="24"/>
                <w:lang w:val="zh-CN"/>
              </w:rPr>
              <w:t xml:space="preserve">进入市场监管总局、国家卫生健康委和农业农村部公布的食品复检机构名录的，得1分。</w:t>
            </w:r>
            <w:r/>
          </w:p>
          <w:p>
            <w:pPr>
              <w:pStyle w:val="749"/>
              <w:jc w:val="both"/>
              <w:rPr>
                <w:rFonts w:ascii="宋体" w:hAnsi="宋体"/>
                <w:sz w:val="21"/>
              </w:rPr>
            </w:pPr>
            <w:r>
              <w:rPr>
                <w:rFonts w:ascii="宋体" w:hAnsi="宋体"/>
                <w:sz w:val="24"/>
                <w:szCs w:val="24"/>
                <w:lang w:val="zh-CN"/>
              </w:rPr>
              <w:t xml:space="preserve">注：</w:t>
            </w:r>
            <w:r>
              <w:rPr>
                <w:rFonts w:hint="eastAsia" w:ascii="宋体" w:hAnsi="宋体"/>
                <w:sz w:val="24"/>
                <w:szCs w:val="24"/>
                <w:lang w:val="zh-CN"/>
              </w:rPr>
              <w:t xml:space="preserve">须</w:t>
            </w:r>
            <w:r>
              <w:rPr>
                <w:rFonts w:ascii="宋体" w:hAnsi="宋体"/>
                <w:sz w:val="24"/>
                <w:szCs w:val="24"/>
                <w:lang w:val="zh-CN"/>
              </w:rPr>
              <w:t xml:space="preserve">提供复检机构名录</w:t>
            </w:r>
            <w:r>
              <w:rPr>
                <w:rFonts w:hint="eastAsia" w:ascii="宋体" w:hAnsi="宋体"/>
                <w:sz w:val="24"/>
                <w:szCs w:val="24"/>
                <w:lang w:val="zh-CN"/>
              </w:rPr>
              <w:t xml:space="preserve">公告</w:t>
            </w:r>
            <w:r>
              <w:rPr>
                <w:rFonts w:hint="eastAsia" w:ascii="宋体" w:hAnsi="宋体"/>
                <w:sz w:val="24"/>
                <w:szCs w:val="24"/>
              </w:rPr>
              <w:t xml:space="preserve">文件或</w:t>
            </w:r>
            <w:r>
              <w:rPr>
                <w:rFonts w:hint="eastAsia" w:ascii="宋体" w:hAnsi="宋体"/>
                <w:sz w:val="24"/>
                <w:szCs w:val="24"/>
                <w:lang w:val="zh-CN"/>
              </w:rPr>
              <w:t xml:space="preserve">截图，</w:t>
            </w:r>
            <w:r>
              <w:rPr>
                <w:rFonts w:hint="eastAsia" w:ascii="宋体" w:hAnsi="宋体"/>
                <w:sz w:val="24"/>
                <w:szCs w:val="24"/>
              </w:rPr>
              <w:t xml:space="preserve">证明材料不完整或不一致或不符合要求的不得分。</w:t>
            </w:r>
            <w:r>
              <w:rPr>
                <w:rFonts w:ascii="宋体" w:hAnsi="宋体"/>
                <w:sz w:val="21"/>
              </w:rPr>
            </w:r>
            <w:r/>
          </w:p>
        </w:tc>
        <w:tc>
          <w:tcPr>
            <w:tcW w:w="709" w:type="dxa"/>
            <w:vAlign w:val="center"/>
            <w:vMerge w:val="restart"/>
            <w:textDirection w:val="lrTb"/>
            <w:noWrap w:val="false"/>
          </w:tcPr>
          <w:p>
            <w:pPr>
              <w:pStyle w:val="74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992" w:type="dxa"/>
            <w:vAlign w:val="center"/>
            <w:vMerge w:val="restart"/>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客观分</w:t>
            </w:r>
            <w:r/>
          </w:p>
        </w:tc>
      </w:tr>
      <w:tr>
        <w:trPr>
          <w:cantSplit/>
          <w:trHeight w:val="2357"/>
        </w:trPr>
        <w:tc>
          <w:tcPr>
            <w:tcW w:w="649"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1234"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5171" w:type="dxa"/>
            <w:vAlign w:val="center"/>
            <w:textDirection w:val="lrTb"/>
            <w:noWrap w:val="false"/>
          </w:tcPr>
          <w:p>
            <w:pPr>
              <w:pStyle w:val="749"/>
              <w:jc w:val="both"/>
              <w:rPr>
                <w:rFonts w:ascii="宋体" w:hAnsi="宋体"/>
                <w:sz w:val="24"/>
                <w:szCs w:val="24"/>
                <w:lang w:val="zh-CN"/>
              </w:rPr>
            </w:pPr>
            <w:r>
              <w:rPr>
                <w:rFonts w:hint="eastAsia" w:ascii="宋体" w:hAnsi="宋体"/>
                <w:sz w:val="24"/>
                <w:szCs w:val="24"/>
              </w:rPr>
              <w:t xml:space="preserve">2.2 自2021</w:t>
            </w:r>
            <w:r>
              <w:rPr>
                <w:rFonts w:ascii="宋体" w:hAnsi="宋体"/>
                <w:sz w:val="24"/>
                <w:szCs w:val="24"/>
                <w:lang w:val="zh-CN"/>
              </w:rPr>
              <w:t xml:space="preserve">年1月1日以来</w:t>
            </w:r>
            <w:bookmarkStart w:id="118" w:name="OLE_LINK10"/>
            <w:r>
              <w:rPr>
                <w:rFonts w:ascii="宋体" w:hAnsi="宋体"/>
                <w:sz w:val="24"/>
                <w:szCs w:val="24"/>
                <w:lang w:val="zh-CN"/>
              </w:rPr>
              <w:t xml:space="preserve">（以出具复检报告时间为准）</w:t>
            </w:r>
            <w:bookmarkEnd w:id="118"/>
            <w:r>
              <w:rPr>
                <w:rFonts w:ascii="宋体" w:hAnsi="宋体"/>
                <w:sz w:val="24"/>
                <w:szCs w:val="24"/>
                <w:lang w:val="zh-CN"/>
              </w:rPr>
              <w:t xml:space="preserve">，</w:t>
            </w:r>
            <w:r>
              <w:rPr>
                <w:rFonts w:hint="eastAsia" w:ascii="宋体" w:hAnsi="宋体"/>
                <w:sz w:val="24"/>
                <w:szCs w:val="24"/>
                <w:lang w:val="zh-CN"/>
              </w:rPr>
              <w:t xml:space="preserve">供应商累计承担食品领域的</w:t>
            </w:r>
            <w:r>
              <w:rPr>
                <w:rFonts w:ascii="宋体" w:hAnsi="宋体"/>
                <w:sz w:val="24"/>
                <w:szCs w:val="24"/>
                <w:lang w:val="zh-CN"/>
              </w:rPr>
              <w:t xml:space="preserve">复检</w:t>
            </w:r>
            <w:r>
              <w:rPr>
                <w:rFonts w:hint="eastAsia" w:ascii="宋体" w:hAnsi="宋体"/>
                <w:sz w:val="24"/>
                <w:szCs w:val="24"/>
                <w:lang w:val="zh-CN"/>
              </w:rPr>
              <w:t xml:space="preserve">任务所出具</w:t>
            </w:r>
            <w:r>
              <w:rPr>
                <w:rFonts w:ascii="宋体" w:hAnsi="宋体"/>
                <w:sz w:val="24"/>
                <w:szCs w:val="24"/>
                <w:lang w:val="zh-CN"/>
              </w:rPr>
              <w:t xml:space="preserve">的</w:t>
            </w:r>
            <w:r>
              <w:rPr>
                <w:rFonts w:hint="eastAsia" w:ascii="宋体" w:hAnsi="宋体"/>
                <w:sz w:val="24"/>
                <w:szCs w:val="24"/>
                <w:lang w:val="zh-CN"/>
              </w:rPr>
              <w:t xml:space="preserve">报告份数</w:t>
            </w:r>
            <w:r>
              <w:rPr>
                <w:rFonts w:ascii="宋体" w:hAnsi="宋体"/>
                <w:sz w:val="24"/>
                <w:szCs w:val="24"/>
                <w:lang w:val="zh-CN"/>
              </w:rPr>
              <w:t xml:space="preserve">：</w:t>
            </w:r>
            <w:r/>
          </w:p>
          <w:p>
            <w:pPr>
              <w:pStyle w:val="749"/>
              <w:jc w:val="both"/>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w:t>
            </w:r>
            <w:r>
              <w:rPr>
                <w:rFonts w:hint="eastAsia" w:ascii="宋体" w:hAnsi="宋体"/>
                <w:sz w:val="24"/>
                <w:szCs w:val="24"/>
                <w:lang w:val="zh-CN"/>
              </w:rPr>
              <w:t xml:space="preserve">）</w:t>
            </w:r>
            <w:r>
              <w:rPr>
                <w:rFonts w:hint="eastAsia" w:ascii="宋体" w:hAnsi="宋体"/>
                <w:sz w:val="24"/>
                <w:szCs w:val="24"/>
              </w:rPr>
              <w:t xml:space="preserve">累计</w:t>
            </w:r>
            <w:r>
              <w:rPr>
                <w:rFonts w:ascii="宋体" w:hAnsi="宋体"/>
                <w:sz w:val="24"/>
                <w:szCs w:val="24"/>
                <w:lang w:val="zh-CN"/>
              </w:rPr>
              <w:t xml:space="preserve">食品复检报告</w:t>
            </w:r>
            <w:r>
              <w:rPr>
                <w:rFonts w:hint="eastAsia" w:ascii="宋体" w:hAnsi="宋体"/>
                <w:sz w:val="24"/>
                <w:szCs w:val="24"/>
                <w:lang w:val="zh-CN"/>
              </w:rPr>
              <w:t xml:space="preserve">份</w:t>
            </w:r>
            <w:r>
              <w:rPr>
                <w:rFonts w:hint="eastAsia" w:ascii="宋体" w:hAnsi="宋体"/>
                <w:sz w:val="24"/>
                <w:szCs w:val="24"/>
              </w:rPr>
              <w:t xml:space="preserve">数</w:t>
            </w:r>
            <w:r>
              <w:rPr>
                <w:rFonts w:ascii="宋体" w:hAnsi="宋体"/>
                <w:sz w:val="24"/>
                <w:szCs w:val="24"/>
                <w:lang w:val="zh-CN"/>
              </w:rPr>
              <w:t xml:space="preserve">≥</w:t>
            </w:r>
            <w:r>
              <w:rPr>
                <w:rFonts w:hint="eastAsia" w:ascii="宋体" w:hAnsi="宋体"/>
                <w:sz w:val="24"/>
                <w:szCs w:val="24"/>
              </w:rPr>
              <w:t xml:space="preserve">50份</w:t>
            </w:r>
            <w:r>
              <w:rPr>
                <w:rFonts w:ascii="宋体" w:hAnsi="宋体"/>
                <w:sz w:val="24"/>
                <w:szCs w:val="24"/>
                <w:lang w:val="zh-CN"/>
              </w:rPr>
              <w:t xml:space="preserve">，得</w:t>
            </w:r>
            <w:r>
              <w:rPr>
                <w:rFonts w:hint="eastAsia" w:ascii="宋体" w:hAnsi="宋体"/>
                <w:sz w:val="24"/>
                <w:szCs w:val="24"/>
              </w:rPr>
              <w:t xml:space="preserve">2</w:t>
            </w:r>
            <w:r>
              <w:rPr>
                <w:rFonts w:ascii="宋体" w:hAnsi="宋体"/>
                <w:sz w:val="24"/>
                <w:szCs w:val="24"/>
                <w:lang w:val="zh-CN"/>
              </w:rPr>
              <w:t xml:space="preserve">分</w:t>
            </w:r>
            <w:r>
              <w:rPr>
                <w:rFonts w:hint="eastAsia" w:ascii="宋体" w:hAnsi="宋体"/>
                <w:sz w:val="24"/>
                <w:szCs w:val="24"/>
                <w:lang w:val="zh-CN"/>
              </w:rPr>
              <w:t xml:space="preserve">；</w:t>
            </w:r>
            <w:r>
              <w:rPr>
                <w:rFonts w:ascii="宋体" w:hAnsi="宋体"/>
                <w:sz w:val="24"/>
                <w:szCs w:val="24"/>
                <w:lang w:val="zh-CN"/>
              </w:rPr>
            </w:r>
            <w:r/>
          </w:p>
          <w:p>
            <w:pPr>
              <w:pStyle w:val="749"/>
              <w:jc w:val="both"/>
              <w:rPr>
                <w:rFonts w:ascii="宋体" w:hAnsi="宋体"/>
                <w:sz w:val="24"/>
                <w:szCs w:val="24"/>
                <w:lang w:val="zh-CN"/>
              </w:rPr>
            </w:pPr>
            <w:r>
              <w:rPr>
                <w:rFonts w:hint="eastAsia" w:ascii="宋体" w:hAnsi="宋体"/>
                <w:sz w:val="24"/>
                <w:szCs w:val="24"/>
              </w:rPr>
              <w:t xml:space="preserve">（2）50份</w:t>
            </w:r>
            <w:r>
              <w:rPr>
                <w:rFonts w:hint="eastAsia" w:ascii="宋体" w:hAnsi="宋体"/>
                <w:sz w:val="24"/>
                <w:szCs w:val="24"/>
                <w:lang w:val="zh-CN"/>
              </w:rPr>
              <w:t xml:space="preserve">＞</w:t>
            </w:r>
            <w:r>
              <w:rPr>
                <w:rFonts w:hint="eastAsia" w:ascii="宋体" w:hAnsi="宋体"/>
                <w:sz w:val="24"/>
                <w:szCs w:val="24"/>
              </w:rPr>
              <w:t xml:space="preserve">累计</w:t>
            </w:r>
            <w:r>
              <w:rPr>
                <w:rFonts w:ascii="宋体" w:hAnsi="宋体"/>
                <w:sz w:val="24"/>
                <w:szCs w:val="24"/>
              </w:rPr>
              <w:t xml:space="preserve">食品复检</w:t>
            </w:r>
            <w:r>
              <w:rPr>
                <w:rFonts w:hint="eastAsia" w:ascii="宋体" w:hAnsi="宋体"/>
                <w:sz w:val="24"/>
                <w:szCs w:val="24"/>
              </w:rPr>
              <w:t xml:space="preserve">报告份数</w:t>
            </w:r>
            <w:r>
              <w:rPr>
                <w:rFonts w:ascii="宋体" w:hAnsi="宋体"/>
                <w:sz w:val="24"/>
                <w:szCs w:val="24"/>
                <w:lang w:val="zh-CN"/>
              </w:rPr>
              <w:t xml:space="preserve">≥</w:t>
            </w:r>
            <w:r>
              <w:rPr>
                <w:rFonts w:hint="eastAsia" w:ascii="宋体" w:hAnsi="宋体"/>
                <w:sz w:val="24"/>
                <w:szCs w:val="24"/>
              </w:rPr>
              <w:t xml:space="preserve">30份</w:t>
            </w:r>
            <w:r>
              <w:rPr>
                <w:rFonts w:ascii="宋体" w:hAnsi="宋体"/>
                <w:sz w:val="24"/>
                <w:szCs w:val="24"/>
                <w:lang w:val="zh-CN"/>
              </w:rPr>
              <w:t xml:space="preserve">，得</w:t>
            </w:r>
            <w:r>
              <w:rPr>
                <w:rFonts w:hint="eastAsia" w:ascii="宋体" w:hAnsi="宋体"/>
                <w:sz w:val="24"/>
                <w:szCs w:val="24"/>
              </w:rPr>
              <w:t xml:space="preserve">1</w:t>
            </w:r>
            <w:r>
              <w:rPr>
                <w:rFonts w:ascii="宋体" w:hAnsi="宋体"/>
                <w:sz w:val="24"/>
                <w:szCs w:val="24"/>
                <w:lang w:val="zh-CN"/>
              </w:rPr>
              <w:t xml:space="preserve">分；</w:t>
            </w:r>
            <w:r/>
          </w:p>
          <w:p>
            <w:pPr>
              <w:pStyle w:val="749"/>
              <w:jc w:val="both"/>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累计</w:t>
            </w:r>
            <w:r>
              <w:rPr>
                <w:rFonts w:ascii="宋体" w:hAnsi="宋体"/>
                <w:sz w:val="24"/>
                <w:szCs w:val="24"/>
              </w:rPr>
              <w:t xml:space="preserve">食品复检</w:t>
            </w:r>
            <w:r>
              <w:rPr>
                <w:rFonts w:hint="eastAsia" w:ascii="宋体" w:hAnsi="宋体"/>
                <w:sz w:val="24"/>
                <w:szCs w:val="24"/>
              </w:rPr>
              <w:t xml:space="preserve">报告份数＜30份或未提供的不得分。</w:t>
            </w:r>
            <w:r>
              <w:rPr>
                <w:rFonts w:ascii="宋体" w:hAnsi="宋体"/>
                <w:sz w:val="24"/>
                <w:szCs w:val="24"/>
                <w:lang w:val="zh-CN"/>
              </w:rPr>
            </w:r>
            <w:r/>
          </w:p>
          <w:p>
            <w:pPr>
              <w:pStyle w:val="749"/>
              <w:jc w:val="both"/>
              <w:rPr>
                <w:rFonts w:ascii="宋体" w:hAnsi="宋体"/>
                <w:sz w:val="24"/>
                <w:szCs w:val="24"/>
                <w:lang w:val="zh-CN"/>
              </w:rPr>
            </w:pPr>
            <w:r>
              <w:rPr>
                <w:rFonts w:ascii="宋体" w:hAnsi="宋体"/>
                <w:sz w:val="24"/>
                <w:szCs w:val="24"/>
                <w:lang w:val="zh-CN"/>
              </w:rPr>
              <w:t xml:space="preserve">注：</w:t>
            </w:r>
            <w:r>
              <w:rPr>
                <w:rFonts w:hint="eastAsia" w:ascii="宋体" w:hAnsi="宋体"/>
                <w:sz w:val="24"/>
                <w:szCs w:val="24"/>
                <w:lang w:val="zh-CN"/>
              </w:rPr>
              <w:t xml:space="preserve">须</w:t>
            </w:r>
            <w:r>
              <w:rPr>
                <w:rFonts w:ascii="宋体" w:hAnsi="宋体"/>
                <w:sz w:val="24"/>
                <w:szCs w:val="24"/>
                <w:lang w:val="zh-CN"/>
              </w:rPr>
              <w:t xml:space="preserve">提供复检报告</w:t>
            </w:r>
            <w:r>
              <w:rPr>
                <w:rFonts w:hint="eastAsia" w:ascii="宋体" w:hAnsi="宋体"/>
                <w:sz w:val="24"/>
                <w:szCs w:val="24"/>
              </w:rPr>
              <w:t xml:space="preserve">清单</w:t>
            </w:r>
            <w:r>
              <w:rPr>
                <w:rFonts w:hint="eastAsia" w:ascii="宋体" w:hAnsi="宋体"/>
                <w:sz w:val="24"/>
                <w:szCs w:val="24"/>
                <w:lang w:val="zh-CN"/>
              </w:rPr>
              <w:t xml:space="preserve">，加盖供应商公章，</w:t>
            </w:r>
            <w:r>
              <w:rPr>
                <w:rFonts w:hint="eastAsia" w:ascii="宋体" w:hAnsi="宋体"/>
                <w:sz w:val="24"/>
                <w:szCs w:val="24"/>
              </w:rPr>
              <w:t xml:space="preserve">证明材料不完整或不一致或不符合要求的不得分。</w:t>
            </w:r>
            <w:r>
              <w:rPr>
                <w:rFonts w:ascii="宋体" w:hAnsi="宋体"/>
                <w:sz w:val="24"/>
                <w:szCs w:val="24"/>
                <w:lang w:val="zh-CN"/>
              </w:rPr>
            </w:r>
            <w:r/>
          </w:p>
        </w:tc>
        <w:tc>
          <w:tcPr>
            <w:tcW w:w="709" w:type="dxa"/>
            <w:vAlign w:val="center"/>
            <w:vMerge w:val="continue"/>
            <w:textDirection w:val="lrTb"/>
            <w:noWrap w:val="false"/>
          </w:tcPr>
          <w:p>
            <w:pPr>
              <w:pStyle w:val="749"/>
              <w:jc w:val="center"/>
              <w:rPr>
                <w:rFonts w:ascii="宋体" w:hAnsi="宋体"/>
                <w:sz w:val="24"/>
                <w:szCs w:val="24"/>
              </w:rPr>
            </w:pPr>
            <w:r>
              <w:rPr>
                <w:rFonts w:ascii="宋体" w:hAnsi="宋体"/>
                <w:sz w:val="24"/>
                <w:szCs w:val="24"/>
              </w:rPr>
            </w:r>
            <w:r/>
          </w:p>
        </w:tc>
        <w:tc>
          <w:tcPr>
            <w:tcW w:w="992"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r>
      <w:tr>
        <w:trPr/>
        <w:tc>
          <w:tcPr>
            <w:tcW w:w="649" w:type="dxa"/>
            <w:vAlign w:val="center"/>
            <w:textDirection w:val="lrTb"/>
            <w:noWrap w:val="false"/>
          </w:tcPr>
          <w:p>
            <w:pPr>
              <w:pStyle w:val="749"/>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34" w:type="dxa"/>
            <w:vAlign w:val="center"/>
            <w:textDirection w:val="lrTb"/>
            <w:noWrap w:val="false"/>
          </w:tcPr>
          <w:p>
            <w:pPr>
              <w:pStyle w:val="749"/>
              <w:jc w:val="center"/>
              <w:rPr>
                <w:rFonts w:ascii="宋体" w:hAnsi="宋体"/>
                <w:sz w:val="24"/>
                <w:szCs w:val="24"/>
              </w:rPr>
            </w:pPr>
            <w:r>
              <w:rPr>
                <w:rFonts w:hint="eastAsia" w:ascii="宋体" w:hAnsi="宋体"/>
                <w:sz w:val="24"/>
                <w:szCs w:val="24"/>
              </w:rPr>
              <w:t xml:space="preserve">服务团队项目人员</w:t>
            </w:r>
            <w:r>
              <w:rPr>
                <w:rFonts w:ascii="宋体" w:hAnsi="宋体"/>
                <w:sz w:val="24"/>
                <w:szCs w:val="24"/>
              </w:rPr>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评委会对供应商为本项目拟配置的服务团队的项目人员数量、人员构成、专业程度等情况进行评分，其中：</w:t>
            </w:r>
            <w:r/>
          </w:p>
          <w:p>
            <w:pPr>
              <w:pStyle w:val="749"/>
              <w:jc w:val="both"/>
              <w:spacing w:after="0"/>
              <w:rPr>
                <w:rFonts w:ascii="宋体" w:hAnsi="宋体"/>
                <w:sz w:val="24"/>
                <w:szCs w:val="24"/>
              </w:rPr>
            </w:pPr>
            <w:r>
              <w:rPr>
                <w:rFonts w:hint="eastAsia" w:ascii="宋体" w:hAnsi="宋体"/>
                <w:sz w:val="24"/>
                <w:szCs w:val="24"/>
              </w:rPr>
              <w:t xml:space="preserve">3.1独立抽样人员：</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（1）10人及以下不得分；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（2）11人≤独立抽样人员＜15人，得1分；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（3）15人≤独立抽样人员＜20人，得2分；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（4）20人≤独立抽样人员，得3分；</w:t>
            </w:r>
            <w:r>
              <w:rPr>
                <w:rFonts w:ascii="宋体" w:hAnsi="宋体"/>
                <w:sz w:val="24"/>
                <w:szCs w:val="24"/>
              </w:rPr>
            </w:r>
            <w:r/>
          </w:p>
          <w:p>
            <w:pPr>
              <w:pStyle w:val="749"/>
              <w:jc w:val="both"/>
              <w:spacing w:after="0"/>
              <w:rPr>
                <w:rFonts w:hint="eastAsia" w:ascii="宋体" w:hAnsi="宋体"/>
                <w:sz w:val="24"/>
                <w:szCs w:val="24"/>
              </w:rPr>
            </w:pPr>
            <w:r>
              <w:rPr>
                <w:rFonts w:hint="eastAsia" w:ascii="宋体" w:hAnsi="宋体"/>
                <w:sz w:val="24"/>
                <w:szCs w:val="24"/>
              </w:rPr>
              <w:t xml:space="preserve">最多得3分。</w:t>
            </w:r>
            <w:r/>
          </w:p>
          <w:p>
            <w:pPr>
              <w:pStyle w:val="749"/>
              <w:jc w:val="both"/>
              <w:rPr>
                <w:rFonts w:ascii="宋体" w:hAnsi="宋体"/>
                <w:sz w:val="24"/>
                <w:szCs w:val="24"/>
              </w:rPr>
            </w:pP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3.2工作满2年及以上的食品检验人员：</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（1）30人及以下不得分；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（2）31人≤符合要求的检验人员＜40</w:t>
            </w:r>
            <w:r>
              <w:rPr>
                <w:rFonts w:ascii="宋体" w:hAnsi="宋体"/>
                <w:sz w:val="24"/>
                <w:szCs w:val="24"/>
              </w:rPr>
              <w:t xml:space="preserve">人</w:t>
            </w:r>
            <w:r>
              <w:rPr>
                <w:rFonts w:hint="eastAsia" w:ascii="宋体" w:hAnsi="宋体"/>
                <w:sz w:val="24"/>
                <w:szCs w:val="24"/>
              </w:rPr>
              <w:t xml:space="preserve">，得1分；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（3）40人≤符合要求的检验人员＜50</w:t>
            </w:r>
            <w:r>
              <w:rPr>
                <w:rFonts w:ascii="宋体" w:hAnsi="宋体"/>
                <w:sz w:val="24"/>
                <w:szCs w:val="24"/>
              </w:rPr>
              <w:t xml:space="preserve">人</w:t>
            </w:r>
            <w:r>
              <w:rPr>
                <w:rFonts w:hint="eastAsia" w:ascii="宋体" w:hAnsi="宋体"/>
                <w:sz w:val="24"/>
                <w:szCs w:val="24"/>
              </w:rPr>
              <w:t xml:space="preserve">，得2分；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（4）50人≤符合要求的检验人员，得3分；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最多得3分。</w:t>
            </w:r>
            <w:r>
              <w:rPr>
                <w:rFonts w:ascii="宋体" w:hAnsi="宋体"/>
                <w:sz w:val="24"/>
                <w:szCs w:val="24"/>
              </w:rPr>
            </w:r>
            <w:r/>
          </w:p>
          <w:p>
            <w:pPr>
              <w:pStyle w:val="749"/>
              <w:jc w:val="both"/>
              <w:spacing w:after="0"/>
              <w:rPr>
                <w:rFonts w:hint="eastAsia" w:ascii="宋体" w:hAnsi="宋体"/>
                <w:sz w:val="24"/>
                <w:szCs w:val="24"/>
              </w:rPr>
            </w:pPr>
            <w:r>
              <w:rPr>
                <w:rFonts w:hint="eastAsia"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3.3食品检验业务工作满2年及以上的食品领域高级及以上专业技术职称人员：</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（1）5人（不含）以下不得分；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（2）5人≤满足要求的高级职称人员＜10</w:t>
            </w:r>
            <w:r>
              <w:rPr>
                <w:rFonts w:ascii="宋体" w:hAnsi="宋体"/>
                <w:sz w:val="24"/>
                <w:szCs w:val="24"/>
              </w:rPr>
              <w:t xml:space="preserve">人</w:t>
            </w:r>
            <w:r>
              <w:rPr>
                <w:rFonts w:hint="eastAsia" w:ascii="宋体" w:hAnsi="宋体"/>
                <w:sz w:val="24"/>
                <w:szCs w:val="24"/>
              </w:rPr>
              <w:t xml:space="preserve">，得1分；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（3）10人≤满足要求的高级职称人员</w:t>
            </w:r>
            <w:r>
              <w:rPr>
                <w:rFonts w:ascii="宋体" w:hAnsi="宋体"/>
                <w:sz w:val="24"/>
                <w:szCs w:val="24"/>
              </w:rPr>
              <w:t xml:space="preserve">，</w:t>
            </w:r>
            <w:r>
              <w:rPr>
                <w:rFonts w:hint="eastAsia" w:ascii="宋体" w:hAnsi="宋体"/>
                <w:sz w:val="24"/>
                <w:szCs w:val="24"/>
              </w:rPr>
              <w:t xml:space="preserve">得2分；</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最多得2分。</w:t>
            </w:r>
            <w:r>
              <w:rPr>
                <w:rFonts w:ascii="宋体" w:hAnsi="宋体"/>
                <w:sz w:val="24"/>
                <w:szCs w:val="24"/>
              </w:rPr>
            </w:r>
            <w:r/>
          </w:p>
          <w:p>
            <w:pPr>
              <w:pStyle w:val="749"/>
              <w:jc w:val="both"/>
              <w:spacing w:after="0"/>
              <w:rPr>
                <w:rFonts w:hint="eastAsia" w:ascii="宋体" w:hAnsi="宋体"/>
                <w:sz w:val="24"/>
                <w:szCs w:val="24"/>
              </w:rPr>
            </w:pPr>
            <w:r>
              <w:rPr>
                <w:rFonts w:hint="eastAsia" w:ascii="宋体" w:hAnsi="宋体"/>
                <w:sz w:val="24"/>
                <w:szCs w:val="24"/>
              </w:rPr>
            </w:r>
            <w:r/>
          </w:p>
          <w:p>
            <w:pPr>
              <w:pStyle w:val="749"/>
              <w:jc w:val="both"/>
              <w:rPr>
                <w:rFonts w:hint="eastAsia" w:ascii="宋体" w:hAnsi="宋体"/>
                <w:sz w:val="24"/>
                <w:szCs w:val="24"/>
              </w:rPr>
            </w:pPr>
            <w:r>
              <w:rPr>
                <w:rFonts w:hint="eastAsia" w:ascii="宋体" w:hAnsi="宋体"/>
                <w:sz w:val="24"/>
                <w:szCs w:val="24"/>
              </w:rPr>
              <w:t xml:space="preserve">3.4项目团队中具有食品药品安全委</w:t>
            </w:r>
            <w:r>
              <w:rPr>
                <w:rFonts w:hint="eastAsia" w:ascii="宋体" w:hAnsi="宋体"/>
                <w:sz w:val="24"/>
                <w:szCs w:val="24"/>
              </w:rPr>
              <w:t xml:space="preserve">员会食品安全专家委员会委员</w:t>
            </w:r>
            <w:bookmarkStart w:id="119" w:name="OLE_LINK9"/>
            <w:r>
              <w:rPr>
                <w:rFonts w:hint="eastAsia" w:ascii="宋体" w:hAnsi="宋体"/>
                <w:sz w:val="24"/>
                <w:szCs w:val="24"/>
              </w:rPr>
              <w:t xml:space="preserve">或食品相关领域</w:t>
            </w:r>
            <w:r>
              <w:rPr>
                <w:rFonts w:hint="eastAsia" w:ascii="宋体" w:hAnsi="宋体" w:cs="宋体"/>
                <w:color w:val="333333"/>
                <w:sz w:val="24"/>
                <w:szCs w:val="24"/>
                <w:shd w:val="clear" w:color="auto" w:fill="ffffff"/>
              </w:rPr>
              <w:t xml:space="preserve">检验检测机构资质认定评审专家</w:t>
            </w:r>
            <w:bookmarkEnd w:id="119"/>
            <w:r>
              <w:rPr>
                <w:rFonts w:hint="eastAsia" w:ascii="宋体" w:hAnsi="宋体"/>
                <w:sz w:val="24"/>
                <w:szCs w:val="24"/>
              </w:rPr>
              <w:t xml:space="preserve">的：具备1人得</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lang w:val="zh-CN"/>
              </w:rPr>
              <w:t xml:space="preserve">；</w:t>
            </w:r>
            <w:r>
              <w:rPr>
                <w:rFonts w:hint="eastAsia" w:ascii="宋体" w:hAnsi="宋体"/>
                <w:sz w:val="24"/>
                <w:szCs w:val="24"/>
              </w:rPr>
              <w:t xml:space="preserve">具备2人及以上得2分，最多得</w:t>
            </w:r>
            <w:r>
              <w:rPr>
                <w:rFonts w:ascii="宋体" w:hAnsi="宋体"/>
                <w:sz w:val="24"/>
                <w:szCs w:val="24"/>
              </w:rPr>
              <w:t xml:space="preserve">2</w:t>
            </w:r>
            <w:r>
              <w:rPr>
                <w:rFonts w:hint="eastAsia" w:ascii="宋体" w:hAnsi="宋体"/>
                <w:sz w:val="24"/>
                <w:szCs w:val="24"/>
              </w:rPr>
              <w:t xml:space="preserve">分。无相关专家委员的不得分。</w:t>
            </w:r>
            <w:r/>
          </w:p>
          <w:p>
            <w:pPr>
              <w:pStyle w:val="749"/>
              <w:jc w:val="both"/>
              <w:spacing w:after="0" w:line="240" w:lineRule="auto"/>
              <w:widowControl w:val="off"/>
              <w:rPr>
                <w:rFonts w:ascii="宋体" w:hAnsi="宋体"/>
                <w:sz w:val="24"/>
                <w:szCs w:val="24"/>
              </w:rPr>
            </w:pPr>
            <w:r>
              <w:rPr>
                <w:rFonts w:hint="eastAsia" w:ascii="宋体" w:hAnsi="宋体"/>
                <w:b/>
                <w:bCs/>
                <w:sz w:val="24"/>
                <w:szCs w:val="24"/>
              </w:rPr>
              <w:t xml:space="preserve">注</w:t>
            </w:r>
            <w:r>
              <w:rPr>
                <w:rFonts w:hint="eastAsia" w:ascii="宋体" w:hAnsi="宋体"/>
                <w:sz w:val="24"/>
                <w:szCs w:val="24"/>
              </w:rPr>
              <w:t xml:space="preserve">：（1）以上所有评分点需同时提供人员名单、在本单位从事食品抽检工作的证明材料；</w:t>
            </w:r>
            <w:bookmarkStart w:id="120" w:name="OLE_LINK11"/>
            <w:r>
              <w:rPr>
                <w:rFonts w:hint="eastAsia" w:ascii="宋体" w:hAnsi="宋体" w:cs="宋体"/>
                <w:sz w:val="24"/>
                <w:szCs w:val="24"/>
                <w:lang w:val="zh-CN" w:bidi="zh-CN"/>
              </w:rPr>
              <w:t xml:space="preserve">如为供应商自有在职人员，还需同步提供一一对应的</w:t>
            </w:r>
            <w:r>
              <w:rPr>
                <w:rFonts w:ascii="宋体" w:hAnsi="宋体" w:cs="宋体"/>
                <w:sz w:val="24"/>
                <w:szCs w:val="24"/>
                <w:lang w:val="zh-CN" w:bidi="zh-CN"/>
              </w:rPr>
              <w:t xml:space="preserve">202</w:t>
            </w:r>
            <w:r>
              <w:rPr>
                <w:rFonts w:hint="eastAsia" w:ascii="宋体" w:hAnsi="宋体" w:cs="宋体"/>
                <w:sz w:val="24"/>
                <w:szCs w:val="24"/>
                <w:lang w:val="zh-CN" w:bidi="zh-CN"/>
              </w:rPr>
              <w:t xml:space="preserve">6年</w:t>
            </w:r>
            <w:r>
              <w:rPr>
                <w:rFonts w:ascii="宋体" w:hAnsi="宋体" w:cs="宋体"/>
                <w:sz w:val="24"/>
                <w:szCs w:val="24"/>
                <w:lang w:val="zh-CN" w:bidi="zh-CN"/>
              </w:rPr>
              <w:t xml:space="preserve">01</w:t>
            </w:r>
            <w:r>
              <w:rPr>
                <w:rFonts w:hint="eastAsia" w:ascii="宋体" w:hAnsi="宋体" w:cs="宋体"/>
                <w:sz w:val="24"/>
                <w:szCs w:val="24"/>
                <w:lang w:val="zh-CN" w:bidi="zh-CN"/>
              </w:rPr>
              <w:t xml:space="preserve">月至递交投标文件截止之日期间任意一月由投标人为其缴纳社保基金的证明材料；</w:t>
            </w:r>
            <w:r>
              <w:rPr>
                <w:rFonts w:hint="eastAsia" w:ascii="宋体" w:hAnsi="宋体" w:cs="宋体"/>
                <w:sz w:val="24"/>
                <w:szCs w:val="24"/>
                <w:lang w:bidi="zh-CN"/>
              </w:rPr>
              <w:t xml:space="preserve">如为劳务派遣（人事代理）人员，均</w:t>
            </w:r>
            <w:r>
              <w:rPr>
                <w:rFonts w:hint="eastAsia" w:ascii="宋体" w:hAnsi="宋体" w:cs="宋体"/>
                <w:sz w:val="24"/>
                <w:szCs w:val="24"/>
                <w:lang w:val="zh-CN" w:bidi="zh-CN"/>
              </w:rPr>
              <w:t xml:space="preserve">需提供</w:t>
            </w:r>
            <w:r>
              <w:rPr>
                <w:rFonts w:hint="eastAsia" w:ascii="宋体" w:hAnsi="宋体" w:cs="宋体"/>
                <w:sz w:val="24"/>
                <w:szCs w:val="24"/>
                <w:lang w:bidi="zh-CN"/>
              </w:rPr>
              <w:t xml:space="preserve">一一对应的团队成员个人的劳动合同、投标人与人事代理（劳务外包）公司签订的人事代理（劳务外包）合同、</w:t>
            </w:r>
            <w:r>
              <w:rPr>
                <w:rFonts w:ascii="宋体" w:hAnsi="宋体" w:cs="宋体"/>
                <w:sz w:val="24"/>
                <w:szCs w:val="24"/>
                <w:lang w:bidi="zh-CN"/>
              </w:rPr>
              <w:t xml:space="preserve">202</w:t>
            </w:r>
            <w:r>
              <w:rPr>
                <w:rFonts w:hint="eastAsia" w:ascii="宋体" w:hAnsi="宋体" w:cs="宋体"/>
                <w:sz w:val="24"/>
                <w:szCs w:val="24"/>
                <w:lang w:bidi="zh-CN"/>
              </w:rPr>
              <w:t xml:space="preserve">6年</w:t>
            </w:r>
            <w:r>
              <w:rPr>
                <w:rFonts w:ascii="宋体" w:hAnsi="宋体" w:cs="宋体"/>
                <w:sz w:val="24"/>
                <w:szCs w:val="24"/>
                <w:lang w:bidi="zh-CN"/>
              </w:rPr>
              <w:t xml:space="preserve">01</w:t>
            </w:r>
            <w:r>
              <w:rPr>
                <w:rFonts w:hint="eastAsia" w:ascii="宋体" w:hAnsi="宋体" w:cs="宋体"/>
                <w:sz w:val="24"/>
                <w:szCs w:val="24"/>
                <w:lang w:bidi="zh-CN"/>
              </w:rPr>
              <w:t xml:space="preserve">月至递交投标文件截止之日期间任意一月人事代理（劳务外包）公司为团队成员缴纳社保证明材料；如为退休返聘人员不得分</w:t>
            </w:r>
            <w:bookmarkEnd w:id="120"/>
            <w:r>
              <w:rPr>
                <w:rFonts w:hint="eastAsia" w:ascii="宋体" w:hAnsi="宋体"/>
                <w:sz w:val="24"/>
                <w:szCs w:val="24"/>
              </w:rPr>
              <w:t xml:space="preserve">；</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（2）检验人员与抽样人员不得重复；</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（3）检验人员需提供工作年限证明；</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（4）高级专业技术职称人员需提供职称证明材料，以及能体现食品专业的学历或学位证书；</w:t>
            </w:r>
            <w:r>
              <w:rPr>
                <w:rFonts w:ascii="宋体" w:hAnsi="宋体"/>
                <w:sz w:val="24"/>
                <w:szCs w:val="24"/>
              </w:rPr>
            </w:r>
            <w:r/>
          </w:p>
          <w:p>
            <w:pPr>
              <w:pStyle w:val="749"/>
              <w:jc w:val="both"/>
              <w:spacing w:after="0"/>
              <w:rPr>
                <w:rFonts w:ascii="宋体" w:hAnsi="宋体"/>
                <w:sz w:val="24"/>
                <w:szCs w:val="24"/>
              </w:rPr>
            </w:pPr>
            <w:r>
              <w:rPr>
                <w:rFonts w:hint="eastAsia" w:ascii="宋体" w:hAnsi="宋体"/>
                <w:sz w:val="24"/>
                <w:szCs w:val="24"/>
              </w:rPr>
              <w:t xml:space="preserve">（5）专家委员需提供专家证书/聘书等证明材料。</w:t>
            </w:r>
            <w:r>
              <w:rPr>
                <w:rFonts w:ascii="宋体" w:hAnsi="宋体"/>
                <w:sz w:val="24"/>
                <w:szCs w:val="24"/>
              </w:rPr>
            </w:r>
            <w:r/>
          </w:p>
          <w:p>
            <w:pPr>
              <w:pStyle w:val="749"/>
              <w:jc w:val="both"/>
              <w:spacing w:after="0"/>
              <w:rPr>
                <w:rFonts w:hint="eastAsia" w:ascii="宋体" w:hAnsi="宋体"/>
                <w:sz w:val="24"/>
                <w:szCs w:val="24"/>
              </w:rPr>
            </w:pPr>
            <w:r>
              <w:rPr>
                <w:rFonts w:hint="eastAsia" w:ascii="宋体" w:hAnsi="宋体"/>
                <w:sz w:val="24"/>
                <w:szCs w:val="24"/>
              </w:rPr>
              <w:t xml:space="preserve">（6）证明材料不完整或不一致或不符合要求的不得分。</w:t>
            </w:r>
            <w:r/>
          </w:p>
        </w:tc>
        <w:tc>
          <w:tcPr>
            <w:tcW w:w="709" w:type="dxa"/>
            <w:vAlign w:val="center"/>
            <w:textDirection w:val="lrTb"/>
            <w:noWrap w:val="false"/>
          </w:tcPr>
          <w:p>
            <w:pPr>
              <w:pStyle w:val="749"/>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客观分</w:t>
            </w:r>
            <w:r/>
          </w:p>
        </w:tc>
      </w:tr>
      <w:tr>
        <w:trPr>
          <w:cantSplit/>
          <w:trHeight w:val="274"/>
        </w:trPr>
        <w:tc>
          <w:tcPr>
            <w:tcW w:w="649" w:type="dxa"/>
            <w:vAlign w:val="center"/>
            <w:vMerge w:val="restart"/>
            <w:textDirection w:val="lrTb"/>
            <w:noWrap w:val="false"/>
          </w:tcPr>
          <w:p>
            <w:pPr>
              <w:pStyle w:val="749"/>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34" w:type="dxa"/>
            <w:vAlign w:val="center"/>
            <w:vMerge w:val="restart"/>
            <w:textDirection w:val="lrTb"/>
            <w:noWrap w:val="false"/>
          </w:tcPr>
          <w:p>
            <w:pPr>
              <w:pStyle w:val="749"/>
              <w:jc w:val="center"/>
              <w:rPr>
                <w:rFonts w:hint="eastAsia" w:ascii="宋体" w:hAnsi="宋体"/>
                <w:sz w:val="24"/>
                <w:szCs w:val="24"/>
              </w:rPr>
            </w:pPr>
            <w:r>
              <w:rPr>
                <w:rFonts w:hint="eastAsia" w:ascii="宋体" w:hAnsi="宋体"/>
                <w:sz w:val="24"/>
                <w:szCs w:val="24"/>
              </w:rPr>
              <w:t xml:space="preserve">设施设备</w:t>
            </w:r>
            <w:r/>
          </w:p>
        </w:tc>
        <w:tc>
          <w:tcPr>
            <w:tcW w:w="5171" w:type="dxa"/>
            <w:vAlign w:val="center"/>
            <w:textDirection w:val="lrTb"/>
            <w:noWrap w:val="false"/>
          </w:tcPr>
          <w:p>
            <w:pPr>
              <w:pStyle w:val="749"/>
              <w:jc w:val="both"/>
              <w:spacing w:after="0"/>
              <w:rPr>
                <w:rFonts w:hint="eastAsia" w:ascii="宋体" w:hAnsi="宋体"/>
                <w:sz w:val="24"/>
                <w:szCs w:val="24"/>
              </w:rPr>
            </w:pPr>
            <w:r>
              <w:rPr>
                <w:rFonts w:hint="eastAsia" w:ascii="宋体" w:hAnsi="宋体"/>
                <w:sz w:val="24"/>
                <w:szCs w:val="24"/>
              </w:rPr>
              <w:t xml:space="preserve">4.1高分辨串联质谱仪。根据投标供应商配置的高分辨串联质谱仪予以评分：</w:t>
            </w:r>
            <w:r/>
          </w:p>
          <w:p>
            <w:pPr>
              <w:pStyle w:val="749"/>
              <w:jc w:val="both"/>
              <w:spacing w:after="0"/>
              <w:rPr>
                <w:rFonts w:hint="eastAsia" w:ascii="宋体" w:hAnsi="宋体"/>
                <w:sz w:val="24"/>
                <w:szCs w:val="24"/>
                <w:lang w:val="zh-CN"/>
              </w:rPr>
            </w:pPr>
            <w:r>
              <w:rPr>
                <w:rFonts w:hint="eastAsia" w:ascii="宋体" w:hAnsi="宋体"/>
                <w:sz w:val="24"/>
                <w:szCs w:val="24"/>
              </w:rPr>
              <w:t xml:space="preserve">（1）无配备的不得分</w:t>
            </w:r>
            <w:r>
              <w:rPr>
                <w:rFonts w:hint="eastAsia" w:ascii="宋体" w:hAnsi="宋体"/>
                <w:sz w:val="24"/>
                <w:szCs w:val="24"/>
                <w:lang w:val="zh-CN"/>
              </w:rPr>
              <w:t xml:space="preserve">；</w:t>
            </w:r>
            <w:r/>
          </w:p>
          <w:p>
            <w:pPr>
              <w:pStyle w:val="749"/>
              <w:jc w:val="both"/>
              <w:spacing w:after="0"/>
              <w:rPr>
                <w:rFonts w:hint="eastAsia" w:ascii="宋体" w:hAnsi="宋体"/>
                <w:sz w:val="24"/>
                <w:szCs w:val="24"/>
              </w:rPr>
            </w:pPr>
            <w:r>
              <w:rPr>
                <w:rFonts w:hint="eastAsia" w:ascii="宋体" w:hAnsi="宋体"/>
                <w:sz w:val="24"/>
                <w:szCs w:val="24"/>
              </w:rPr>
              <w:t xml:space="preserve">（2）配备1台得2</w:t>
            </w:r>
            <w:r>
              <w:rPr>
                <w:rFonts w:hint="eastAsia" w:ascii="宋体" w:hAnsi="宋体"/>
                <w:sz w:val="24"/>
                <w:szCs w:val="24"/>
              </w:rPr>
              <w:t xml:space="preserve">分，最多得</w:t>
            </w:r>
            <w:r>
              <w:rPr>
                <w:rFonts w:ascii="宋体" w:hAnsi="宋体"/>
                <w:sz w:val="24"/>
                <w:szCs w:val="24"/>
              </w:rPr>
              <w:t xml:space="preserve">2</w:t>
            </w:r>
            <w:r>
              <w:rPr>
                <w:rFonts w:hint="eastAsia" w:ascii="宋体" w:hAnsi="宋体"/>
                <w:sz w:val="24"/>
                <w:szCs w:val="24"/>
              </w:rPr>
              <w:t xml:space="preserve">分。</w:t>
            </w:r>
            <w:r/>
          </w:p>
          <w:p>
            <w:pPr>
              <w:pStyle w:val="749"/>
              <w:jc w:val="both"/>
              <w:rPr>
                <w:rFonts w:hint="eastAsia" w:ascii="宋体" w:hAnsi="宋体"/>
                <w:sz w:val="24"/>
                <w:szCs w:val="24"/>
              </w:rPr>
            </w:pPr>
            <w:r>
              <w:rPr>
                <w:rFonts w:hint="eastAsia" w:ascii="宋体" w:hAnsi="宋体"/>
                <w:sz w:val="24"/>
                <w:szCs w:val="24"/>
              </w:rPr>
              <w:t xml:space="preserve">需同时提供以下证明材料：有效的检定（或校准）证书，自有购置发票、仪器照片，未同时提供上述证明材料或证明材料与供应商不一致、证明材料不清晰、不明确、不符合要求者均不得分。</w:t>
            </w:r>
            <w:r/>
          </w:p>
        </w:tc>
        <w:tc>
          <w:tcPr>
            <w:tcW w:w="709" w:type="dxa"/>
            <w:vAlign w:val="center"/>
            <w:vMerge w:val="restart"/>
            <w:textDirection w:val="lrTb"/>
            <w:noWrap w:val="false"/>
          </w:tcPr>
          <w:p>
            <w:pPr>
              <w:pStyle w:val="749"/>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992" w:type="dxa"/>
            <w:vAlign w:val="center"/>
            <w:vMerge w:val="restart"/>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客观分</w:t>
            </w:r>
            <w:r/>
          </w:p>
        </w:tc>
      </w:tr>
      <w:tr>
        <w:trPr>
          <w:cantSplit/>
        </w:trPr>
        <w:tc>
          <w:tcPr>
            <w:tcW w:w="649"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1234"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5171" w:type="dxa"/>
            <w:vAlign w:val="center"/>
            <w:textDirection w:val="lrTb"/>
            <w:noWrap w:val="false"/>
          </w:tcPr>
          <w:p>
            <w:pPr>
              <w:pStyle w:val="749"/>
              <w:jc w:val="both"/>
              <w:spacing w:after="0"/>
              <w:rPr>
                <w:rFonts w:hint="eastAsia" w:ascii="宋体" w:hAnsi="宋体"/>
                <w:sz w:val="24"/>
                <w:szCs w:val="24"/>
              </w:rPr>
            </w:pPr>
            <w:r>
              <w:rPr>
                <w:rFonts w:hint="eastAsia" w:ascii="宋体" w:hAnsi="宋体"/>
                <w:sz w:val="24"/>
                <w:szCs w:val="24"/>
              </w:rPr>
              <w:t xml:space="preserve">4.2液相色谱串联质谱联用仪。根据投标供应商配置的液相色谱串联质谱联用仪予以评分：</w:t>
            </w:r>
            <w:r/>
          </w:p>
          <w:p>
            <w:pPr>
              <w:pStyle w:val="749"/>
              <w:jc w:val="both"/>
              <w:spacing w:after="0"/>
              <w:rPr>
                <w:rFonts w:hint="eastAsia" w:ascii="宋体" w:hAnsi="宋体"/>
                <w:sz w:val="24"/>
                <w:szCs w:val="24"/>
                <w:lang w:val="zh-CN"/>
              </w:rPr>
            </w:pPr>
            <w:r>
              <w:rPr>
                <w:rFonts w:hint="eastAsia" w:ascii="宋体" w:hAnsi="宋体"/>
                <w:sz w:val="24"/>
                <w:szCs w:val="24"/>
              </w:rPr>
              <w:t xml:space="preserve">（1）无配备的不得分</w:t>
            </w:r>
            <w:r>
              <w:rPr>
                <w:rFonts w:hint="eastAsia" w:ascii="宋体" w:hAnsi="宋体"/>
                <w:sz w:val="24"/>
                <w:szCs w:val="24"/>
                <w:lang w:val="zh-CN"/>
              </w:rPr>
              <w:t xml:space="preserve">；</w:t>
            </w:r>
            <w:r/>
          </w:p>
          <w:p>
            <w:pPr>
              <w:pStyle w:val="749"/>
              <w:jc w:val="both"/>
              <w:spacing w:after="0"/>
              <w:rPr>
                <w:rFonts w:hint="eastAsia" w:ascii="宋体" w:hAnsi="宋体"/>
                <w:sz w:val="24"/>
                <w:szCs w:val="24"/>
                <w:lang w:val="zh-CN"/>
              </w:rPr>
            </w:pPr>
            <w:r>
              <w:rPr>
                <w:rFonts w:hint="eastAsia" w:ascii="宋体" w:hAnsi="宋体"/>
                <w:sz w:val="24"/>
                <w:szCs w:val="24"/>
              </w:rPr>
              <w:t xml:space="preserve">（2）配备1台得</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lang w:val="zh-CN"/>
              </w:rPr>
              <w:t xml:space="preserve">；</w:t>
            </w:r>
            <w:r>
              <w:rPr>
                <w:rFonts w:hint="eastAsia" w:ascii="宋体" w:hAnsi="宋体"/>
                <w:sz w:val="24"/>
                <w:szCs w:val="24"/>
                <w:lang w:val="zh-CN"/>
              </w:rPr>
            </w:r>
            <w:r/>
          </w:p>
          <w:p>
            <w:pPr>
              <w:pStyle w:val="749"/>
              <w:jc w:val="both"/>
              <w:spacing w:after="0"/>
              <w:rPr>
                <w:rFonts w:ascii="宋体" w:hAnsi="宋体"/>
                <w:sz w:val="24"/>
                <w:szCs w:val="24"/>
              </w:rPr>
            </w:pPr>
            <w:r>
              <w:rPr>
                <w:rFonts w:hint="eastAsia" w:ascii="宋体" w:hAnsi="宋体"/>
                <w:sz w:val="24"/>
                <w:szCs w:val="24"/>
              </w:rPr>
              <w:t xml:space="preserve">（3）配备2台得</w:t>
            </w:r>
            <w:r>
              <w:rPr>
                <w:rFonts w:ascii="宋体" w:hAnsi="宋体"/>
                <w:sz w:val="24"/>
                <w:szCs w:val="24"/>
              </w:rPr>
              <w:t xml:space="preserve">2</w:t>
            </w:r>
            <w:r>
              <w:rPr>
                <w:rFonts w:hint="eastAsia" w:ascii="宋体" w:hAnsi="宋体"/>
                <w:sz w:val="24"/>
                <w:szCs w:val="24"/>
              </w:rPr>
              <w:t xml:space="preserve">分；</w:t>
            </w:r>
            <w:r>
              <w:rPr>
                <w:rFonts w:ascii="宋体" w:hAnsi="宋体"/>
                <w:sz w:val="24"/>
                <w:szCs w:val="24"/>
              </w:rPr>
            </w:r>
            <w:r/>
          </w:p>
          <w:p>
            <w:pPr>
              <w:pStyle w:val="749"/>
              <w:jc w:val="both"/>
              <w:spacing w:after="0"/>
              <w:rPr>
                <w:rFonts w:hint="eastAsia" w:ascii="宋体" w:hAnsi="宋体"/>
                <w:sz w:val="24"/>
                <w:szCs w:val="24"/>
              </w:rPr>
            </w:pPr>
            <w:r>
              <w:rPr>
                <w:rFonts w:hint="eastAsia" w:ascii="宋体" w:hAnsi="宋体"/>
                <w:sz w:val="24"/>
                <w:szCs w:val="24"/>
              </w:rPr>
              <w:t xml:space="preserve">最多得</w:t>
            </w:r>
            <w:r>
              <w:rPr>
                <w:rFonts w:ascii="宋体" w:hAnsi="宋体"/>
                <w:sz w:val="24"/>
                <w:szCs w:val="24"/>
              </w:rPr>
              <w:t xml:space="preserve">2</w:t>
            </w:r>
            <w:r>
              <w:rPr>
                <w:rFonts w:hint="eastAsia" w:ascii="宋体" w:hAnsi="宋体"/>
                <w:sz w:val="24"/>
                <w:szCs w:val="24"/>
              </w:rPr>
              <w:t xml:space="preserve">分。</w:t>
            </w:r>
            <w:r/>
          </w:p>
          <w:p>
            <w:pPr>
              <w:pStyle w:val="749"/>
              <w:jc w:val="both"/>
              <w:rPr>
                <w:rFonts w:ascii="宋体" w:hAnsi="宋体"/>
                <w:sz w:val="24"/>
                <w:szCs w:val="24"/>
              </w:rPr>
            </w:pPr>
            <w:r>
              <w:rPr>
                <w:rFonts w:hint="eastAsia" w:ascii="宋体" w:hAnsi="宋体"/>
                <w:sz w:val="24"/>
                <w:szCs w:val="24"/>
              </w:rPr>
              <w:t xml:space="preserve">需同时提供以下证明材料：有效的检定（或校准）证书，自有购置发票、仪器照片，未同时提供上述证明材料或证明材料与供应商不一致、证明材料不清晰、不明确、不符合要求者均不得分。</w:t>
            </w:r>
            <w:r>
              <w:rPr>
                <w:rFonts w:ascii="宋体" w:hAnsi="宋体"/>
                <w:sz w:val="24"/>
                <w:szCs w:val="24"/>
              </w:rPr>
            </w:r>
            <w:r/>
          </w:p>
        </w:tc>
        <w:tc>
          <w:tcPr>
            <w:tcW w:w="709" w:type="dxa"/>
            <w:vAlign w:val="center"/>
            <w:vMerge w:val="continue"/>
            <w:textDirection w:val="lrTb"/>
            <w:noWrap w:val="false"/>
          </w:tcPr>
          <w:p>
            <w:pPr>
              <w:pStyle w:val="749"/>
              <w:jc w:val="center"/>
              <w:rPr>
                <w:rFonts w:ascii="宋体" w:hAnsi="宋体"/>
                <w:sz w:val="24"/>
                <w:szCs w:val="24"/>
              </w:rPr>
            </w:pPr>
            <w:r>
              <w:rPr>
                <w:rFonts w:ascii="宋体" w:hAnsi="宋体"/>
                <w:sz w:val="24"/>
                <w:szCs w:val="24"/>
              </w:rPr>
            </w:r>
            <w:r/>
          </w:p>
        </w:tc>
        <w:tc>
          <w:tcPr>
            <w:tcW w:w="992"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r>
      <w:tr>
        <w:trPr>
          <w:cantSplit/>
          <w:trHeight w:val="416"/>
        </w:trPr>
        <w:tc>
          <w:tcPr>
            <w:tcW w:w="649"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1234"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5171" w:type="dxa"/>
            <w:vAlign w:val="center"/>
            <w:textDirection w:val="lrTb"/>
            <w:noWrap w:val="false"/>
          </w:tcPr>
          <w:p>
            <w:pPr>
              <w:pStyle w:val="749"/>
              <w:jc w:val="both"/>
              <w:spacing w:after="0"/>
              <w:rPr>
                <w:rFonts w:hint="eastAsia" w:ascii="宋体" w:hAnsi="宋体"/>
                <w:sz w:val="24"/>
                <w:szCs w:val="24"/>
              </w:rPr>
            </w:pPr>
            <w:r>
              <w:rPr>
                <w:rFonts w:hint="eastAsia" w:ascii="宋体" w:hAnsi="宋体"/>
                <w:sz w:val="24"/>
                <w:szCs w:val="24"/>
              </w:rPr>
              <w:t xml:space="preserve">4.3气相色谱质谱联用仪。根据投标供应商配置的气相色谱质谱联用仪予以评分：</w:t>
            </w:r>
            <w:r/>
          </w:p>
          <w:p>
            <w:pPr>
              <w:pStyle w:val="749"/>
              <w:jc w:val="both"/>
              <w:spacing w:after="0"/>
              <w:rPr>
                <w:rFonts w:hint="eastAsia" w:ascii="宋体" w:hAnsi="宋体"/>
                <w:sz w:val="24"/>
                <w:szCs w:val="24"/>
                <w:lang w:val="zh-CN"/>
              </w:rPr>
            </w:pPr>
            <w:r>
              <w:rPr>
                <w:rFonts w:hint="eastAsia" w:ascii="宋体" w:hAnsi="宋体"/>
                <w:sz w:val="24"/>
                <w:szCs w:val="24"/>
              </w:rPr>
              <w:t xml:space="preserve">（1）无配备的不得分</w:t>
            </w:r>
            <w:r>
              <w:rPr>
                <w:rFonts w:hint="eastAsia" w:ascii="宋体" w:hAnsi="宋体"/>
                <w:sz w:val="24"/>
                <w:szCs w:val="24"/>
                <w:lang w:val="zh-CN"/>
              </w:rPr>
              <w:t xml:space="preserve">；</w:t>
            </w:r>
            <w:r/>
          </w:p>
          <w:p>
            <w:pPr>
              <w:pStyle w:val="749"/>
              <w:jc w:val="both"/>
              <w:spacing w:after="0"/>
              <w:rPr>
                <w:rFonts w:hint="eastAsia" w:ascii="宋体" w:hAnsi="宋体"/>
                <w:sz w:val="24"/>
                <w:szCs w:val="24"/>
                <w:lang w:val="zh-CN"/>
              </w:rPr>
            </w:pPr>
            <w:r>
              <w:rPr>
                <w:rFonts w:hint="eastAsia" w:ascii="宋体" w:hAnsi="宋体"/>
                <w:sz w:val="24"/>
                <w:szCs w:val="24"/>
              </w:rPr>
              <w:t xml:space="preserve">（2）配备1台得</w:t>
            </w:r>
            <w:r>
              <w:rPr>
                <w:rFonts w:ascii="宋体" w:hAnsi="宋体"/>
                <w:sz w:val="24"/>
                <w:szCs w:val="24"/>
              </w:rPr>
              <w:t xml:space="preserve">1</w:t>
            </w:r>
            <w:r>
              <w:rPr>
                <w:rFonts w:hint="eastAsia" w:ascii="宋体" w:hAnsi="宋体"/>
                <w:sz w:val="24"/>
                <w:szCs w:val="24"/>
              </w:rPr>
              <w:t xml:space="preserve">分</w:t>
            </w:r>
            <w:r>
              <w:rPr>
                <w:rFonts w:ascii="宋体" w:hAnsi="宋体"/>
                <w:sz w:val="24"/>
                <w:szCs w:val="24"/>
                <w:lang w:val="zh-CN"/>
              </w:rPr>
              <w:t xml:space="preserve">；</w:t>
            </w:r>
            <w:r>
              <w:rPr>
                <w:rFonts w:hint="eastAsia" w:ascii="宋体" w:hAnsi="宋体"/>
                <w:sz w:val="24"/>
                <w:szCs w:val="24"/>
                <w:lang w:val="zh-CN"/>
              </w:rPr>
            </w:r>
            <w:r/>
          </w:p>
          <w:p>
            <w:pPr>
              <w:pStyle w:val="749"/>
              <w:jc w:val="both"/>
              <w:spacing w:after="0"/>
              <w:rPr>
                <w:rFonts w:ascii="宋体" w:hAnsi="宋体"/>
                <w:sz w:val="24"/>
                <w:szCs w:val="24"/>
              </w:rPr>
            </w:pPr>
            <w:r>
              <w:rPr>
                <w:rFonts w:hint="eastAsia" w:ascii="宋体" w:hAnsi="宋体"/>
                <w:sz w:val="24"/>
                <w:szCs w:val="24"/>
              </w:rPr>
              <w:t xml:space="preserve">（3）配备2台得</w:t>
            </w:r>
            <w:r>
              <w:rPr>
                <w:rFonts w:ascii="宋体" w:hAnsi="宋体"/>
                <w:sz w:val="24"/>
                <w:szCs w:val="24"/>
              </w:rPr>
              <w:t xml:space="preserve">2</w:t>
            </w:r>
            <w:r>
              <w:rPr>
                <w:rFonts w:hint="eastAsia" w:ascii="宋体" w:hAnsi="宋体"/>
                <w:sz w:val="24"/>
                <w:szCs w:val="24"/>
              </w:rPr>
              <w:t xml:space="preserve">分；</w:t>
            </w:r>
            <w:r>
              <w:rPr>
                <w:rFonts w:ascii="宋体" w:hAnsi="宋体"/>
                <w:sz w:val="24"/>
                <w:szCs w:val="24"/>
              </w:rPr>
            </w:r>
            <w:r/>
          </w:p>
          <w:p>
            <w:pPr>
              <w:pStyle w:val="749"/>
              <w:jc w:val="both"/>
              <w:spacing w:after="0"/>
              <w:rPr>
                <w:rFonts w:hint="eastAsia" w:ascii="宋体" w:hAnsi="宋体"/>
                <w:sz w:val="24"/>
                <w:szCs w:val="24"/>
              </w:rPr>
            </w:pPr>
            <w:r>
              <w:rPr>
                <w:rFonts w:hint="eastAsia" w:ascii="宋体" w:hAnsi="宋体"/>
                <w:sz w:val="24"/>
                <w:szCs w:val="24"/>
              </w:rPr>
              <w:t xml:space="preserve">最多得</w:t>
            </w:r>
            <w:r>
              <w:rPr>
                <w:rFonts w:ascii="宋体" w:hAnsi="宋体"/>
                <w:sz w:val="24"/>
                <w:szCs w:val="24"/>
              </w:rPr>
              <w:t xml:space="preserve">2</w:t>
            </w:r>
            <w:r>
              <w:rPr>
                <w:rFonts w:hint="eastAsia" w:ascii="宋体" w:hAnsi="宋体"/>
                <w:sz w:val="24"/>
                <w:szCs w:val="24"/>
              </w:rPr>
              <w:t xml:space="preserve">分。</w:t>
            </w:r>
            <w:r/>
          </w:p>
          <w:p>
            <w:pPr>
              <w:pStyle w:val="749"/>
              <w:jc w:val="both"/>
              <w:rPr>
                <w:rFonts w:ascii="宋体" w:hAnsi="宋体"/>
                <w:sz w:val="24"/>
                <w:szCs w:val="24"/>
              </w:rPr>
            </w:pPr>
            <w:r>
              <w:rPr>
                <w:rFonts w:hint="eastAsia" w:ascii="宋体" w:hAnsi="宋体"/>
                <w:sz w:val="24"/>
                <w:szCs w:val="24"/>
              </w:rPr>
              <w:t xml:space="preserve">需同时提供以下证明材料：有效的检定（或校准）证书，自有购置发票、仪器照片，未同时提供上述证明材料或证明材料与供应商不一致、证明材料不清晰、不明确、不符合要求者均不得分。</w:t>
            </w:r>
            <w:r>
              <w:rPr>
                <w:rFonts w:ascii="宋体" w:hAnsi="宋体"/>
                <w:sz w:val="24"/>
                <w:szCs w:val="24"/>
              </w:rPr>
            </w:r>
            <w:r/>
          </w:p>
        </w:tc>
        <w:tc>
          <w:tcPr>
            <w:tcW w:w="709"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c>
          <w:tcPr>
            <w:tcW w:w="992" w:type="dxa"/>
            <w:vAlign w:val="center"/>
            <w:vMerge w:val="continue"/>
            <w:textDirection w:val="lrTb"/>
            <w:noWrap w:val="false"/>
          </w:tcPr>
          <w:p>
            <w:pPr>
              <w:pStyle w:val="749"/>
              <w:jc w:val="center"/>
              <w:rPr>
                <w:rFonts w:hint="eastAsia" w:ascii="宋体" w:hAnsi="宋体"/>
                <w:sz w:val="24"/>
                <w:szCs w:val="24"/>
              </w:rPr>
            </w:pPr>
            <w:r>
              <w:rPr>
                <w:rFonts w:hint="eastAsia" w:ascii="宋体" w:hAnsi="宋体"/>
                <w:sz w:val="24"/>
                <w:szCs w:val="24"/>
              </w:rPr>
            </w:r>
            <w:r/>
          </w:p>
        </w:tc>
      </w:tr>
      <w:tr>
        <w:trPr/>
        <w:tc>
          <w:tcPr>
            <w:tcW w:w="64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5</w:t>
            </w:r>
            <w:r/>
          </w:p>
        </w:tc>
        <w:tc>
          <w:tcPr>
            <w:tcW w:w="1234"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实验室能力验证</w:t>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根据供应商实验室能力验证情况评分。</w:t>
            </w:r>
            <w:r/>
          </w:p>
          <w:p>
            <w:pPr>
              <w:pStyle w:val="749"/>
              <w:jc w:val="both"/>
              <w:rPr>
                <w:rFonts w:hint="eastAsia" w:ascii="宋体" w:hAnsi="宋体"/>
                <w:sz w:val="24"/>
                <w:szCs w:val="24"/>
              </w:rPr>
            </w:pPr>
            <w:r>
              <w:rPr>
                <w:rFonts w:hint="eastAsia" w:ascii="宋体" w:hAnsi="宋体"/>
                <w:sz w:val="24"/>
                <w:szCs w:val="24"/>
              </w:rPr>
              <w:t xml:space="preserve">自2023年1月1日以来，供应商参加过相关机构组织的食品检测项目的实验室能</w:t>
            </w:r>
            <w:r>
              <w:rPr>
                <w:rFonts w:hint="eastAsia" w:ascii="宋体" w:hAnsi="宋体"/>
                <w:sz w:val="24"/>
                <w:szCs w:val="24"/>
              </w:rPr>
              <w:t xml:space="preserve">力验证或监管部门组织的盲样考核，并获得合格（满意）结果的，包含农药残留、兽药残留、重金属、真菌毒素、食品添加剂、非法添加、微生物、动物源性成分等8个领域，每个领域有一次合格（满意）结果得0.5分，满分4分。同一领域参加多次的，按一次计算，不重复计分。本项最高得4分。</w:t>
            </w:r>
            <w:r/>
          </w:p>
          <w:p>
            <w:pPr>
              <w:pStyle w:val="749"/>
              <w:jc w:val="both"/>
              <w:rPr>
                <w:rFonts w:ascii="宋体" w:hAnsi="宋体"/>
                <w:sz w:val="24"/>
                <w:szCs w:val="24"/>
              </w:rPr>
            </w:pPr>
            <w:r>
              <w:rPr>
                <w:rFonts w:hint="eastAsia" w:ascii="宋体" w:hAnsi="宋体"/>
                <w:sz w:val="24"/>
                <w:szCs w:val="24"/>
              </w:rPr>
              <w:t xml:space="preserve">注：该评分点需提供能力验证报告或证明结果合格（满意）的证书复印件并加盖公章，证明材料信息与投标人一致，信息不一致或未获得合格（满意）结果的或未提供有效证明文件或证明文件不清晰、不明确、不符合要求的均不得分。</w:t>
            </w:r>
            <w:r>
              <w:rPr>
                <w:rFonts w:ascii="宋体" w:hAnsi="宋体"/>
                <w:sz w:val="24"/>
                <w:szCs w:val="24"/>
              </w:rPr>
            </w:r>
            <w:r/>
          </w:p>
        </w:tc>
        <w:tc>
          <w:tcPr>
            <w:tcW w:w="70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4</w:t>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客观分</w:t>
            </w:r>
            <w:r/>
          </w:p>
        </w:tc>
      </w:tr>
      <w:tr>
        <w:trPr/>
        <w:tc>
          <w:tcPr>
            <w:gridSpan w:val="5"/>
            <w:tcBorders>
              <w:top w:val="single" w:color="000000" w:sz="4" w:space="0"/>
              <w:left w:val="single" w:color="000000" w:sz="4" w:space="0"/>
              <w:bottom w:val="single" w:color="000000" w:sz="4" w:space="0"/>
              <w:right w:val="single" w:color="000000" w:sz="4" w:space="0"/>
            </w:tcBorders>
            <w:tcW w:w="8755" w:type="dxa"/>
            <w:vAlign w:val="center"/>
            <w:textDirection w:val="lrTb"/>
            <w:noWrap w:val="false"/>
          </w:tcPr>
          <w:p>
            <w:pPr>
              <w:pStyle w:val="749"/>
              <w:rPr>
                <w:rFonts w:hint="eastAsia" w:ascii="宋体" w:hAnsi="宋体"/>
                <w:b/>
                <w:bCs/>
                <w:sz w:val="24"/>
                <w:szCs w:val="24"/>
              </w:rPr>
            </w:pPr>
            <w:r>
              <w:rPr>
                <w:rFonts w:hint="eastAsia" w:ascii="宋体" w:hAnsi="宋体"/>
                <w:b/>
                <w:bCs/>
                <w:sz w:val="24"/>
                <w:szCs w:val="24"/>
              </w:rPr>
              <w:t xml:space="preserve">三、商务分</w:t>
            </w:r>
            <w:r/>
          </w:p>
        </w:tc>
      </w:tr>
      <w:tr>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749"/>
              <w:jc w:val="center"/>
              <w:rPr>
                <w:rFonts w:ascii="宋体" w:hAnsi="宋体"/>
                <w:sz w:val="24"/>
                <w:szCs w:val="24"/>
              </w:rPr>
            </w:pPr>
            <w:r/>
            <w:bookmarkStart w:id="121" w:name="OLE_LINK13"/>
            <w:r>
              <w:rPr>
                <w:rFonts w:hint="eastAsia" w:ascii="宋体" w:hAnsi="宋体"/>
                <w:sz w:val="24"/>
                <w:szCs w:val="24"/>
              </w:rPr>
              <w:t xml:space="preserve">分析报告撰写能力</w:t>
            </w:r>
            <w:bookmarkEnd w:id="121"/>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171" w:type="dxa"/>
            <w:vAlign w:val="center"/>
            <w:textDirection w:val="lrTb"/>
            <w:noWrap w:val="false"/>
          </w:tcPr>
          <w:p>
            <w:pPr>
              <w:pStyle w:val="749"/>
              <w:jc w:val="both"/>
              <w:rPr>
                <w:rFonts w:ascii="宋体" w:hAnsi="宋体"/>
                <w:sz w:val="24"/>
                <w:szCs w:val="24"/>
              </w:rPr>
            </w:pPr>
            <w:r>
              <w:rPr>
                <w:rFonts w:ascii="宋体" w:hAnsi="宋体"/>
                <w:sz w:val="24"/>
                <w:szCs w:val="24"/>
              </w:rPr>
              <w:t xml:space="preserve">在工作完成后</w:t>
            </w:r>
            <w:r>
              <w:rPr>
                <w:rFonts w:hint="eastAsia" w:ascii="宋体" w:hAnsi="宋体"/>
                <w:sz w:val="24"/>
                <w:szCs w:val="24"/>
              </w:rPr>
              <w:t xml:space="preserve">需</w:t>
            </w:r>
            <w:r>
              <w:rPr>
                <w:rFonts w:ascii="宋体" w:hAnsi="宋体"/>
                <w:sz w:val="24"/>
                <w:szCs w:val="24"/>
              </w:rPr>
              <w:t xml:space="preserve">按采购人要求提供</w:t>
            </w:r>
            <w:r>
              <w:rPr>
                <w:rFonts w:hint="eastAsia" w:ascii="宋体" w:hAnsi="宋体"/>
                <w:sz w:val="24"/>
                <w:szCs w:val="24"/>
              </w:rPr>
              <w:t xml:space="preserve">执法抽检</w:t>
            </w:r>
            <w:r>
              <w:rPr>
                <w:rFonts w:ascii="宋体" w:hAnsi="宋体"/>
                <w:sz w:val="24"/>
                <w:szCs w:val="24"/>
              </w:rPr>
              <w:t xml:space="preserve">分析报告，包含但不限于任务抽检情况、结果分析、风险警示、工作建议等方面内容。</w:t>
            </w:r>
            <w:r>
              <w:rPr>
                <w:rFonts w:hint="eastAsia" w:ascii="宋体" w:hAnsi="宋体"/>
                <w:sz w:val="24"/>
                <w:szCs w:val="24"/>
              </w:rPr>
              <w:t xml:space="preserve">投标文件中需提供至少一份由投标人撰写的以往已完成并出具的分析报告，评标专家根据分析报告予以评分：</w:t>
            </w:r>
            <w:r>
              <w:rPr>
                <w:rFonts w:ascii="宋体" w:hAnsi="宋体"/>
                <w:sz w:val="24"/>
                <w:szCs w:val="24"/>
              </w:rPr>
            </w:r>
            <w:r/>
          </w:p>
          <w:p>
            <w:pPr>
              <w:pStyle w:val="749"/>
              <w:jc w:val="both"/>
              <w:rPr>
                <w:rFonts w:hint="eastAsia" w:ascii="宋体" w:hAnsi="宋体"/>
                <w:sz w:val="24"/>
                <w:szCs w:val="24"/>
              </w:rPr>
            </w:pPr>
            <w:r>
              <w:rPr>
                <w:rFonts w:hint="eastAsia" w:ascii="宋体" w:hAnsi="宋体"/>
                <w:sz w:val="24"/>
                <w:szCs w:val="24"/>
              </w:rPr>
              <w:t xml:space="preserve">（1）优于需求得10分；</w:t>
            </w:r>
            <w:r/>
          </w:p>
          <w:p>
            <w:pPr>
              <w:pStyle w:val="749"/>
              <w:jc w:val="both"/>
              <w:rPr>
                <w:rFonts w:hint="eastAsia" w:ascii="宋体" w:hAnsi="宋体"/>
                <w:sz w:val="24"/>
                <w:szCs w:val="24"/>
              </w:rPr>
            </w:pPr>
            <w:r>
              <w:rPr>
                <w:rFonts w:hint="eastAsia" w:ascii="宋体" w:hAnsi="宋体"/>
                <w:sz w:val="24"/>
                <w:szCs w:val="24"/>
              </w:rPr>
              <w:t xml:space="preserve">（2）满足需求得7分；</w:t>
            </w:r>
            <w:r/>
          </w:p>
          <w:p>
            <w:pPr>
              <w:pStyle w:val="749"/>
              <w:jc w:val="both"/>
              <w:rPr>
                <w:rFonts w:hint="eastAsia" w:ascii="宋体" w:hAnsi="宋体"/>
                <w:sz w:val="24"/>
                <w:szCs w:val="24"/>
              </w:rPr>
            </w:pPr>
            <w:r>
              <w:rPr>
                <w:rFonts w:hint="eastAsia" w:ascii="宋体" w:hAnsi="宋体"/>
                <w:sz w:val="24"/>
                <w:szCs w:val="24"/>
              </w:rPr>
              <w:t xml:space="preserve">（3）内容有欠缺需进一步修改完善的得4分；</w:t>
            </w:r>
            <w:r/>
          </w:p>
          <w:p>
            <w:pPr>
              <w:pStyle w:val="749"/>
              <w:jc w:val="both"/>
              <w:rPr>
                <w:rFonts w:ascii="宋体" w:hAnsi="宋体"/>
                <w:sz w:val="24"/>
                <w:szCs w:val="24"/>
              </w:rPr>
            </w:pPr>
            <w:r>
              <w:rPr>
                <w:rFonts w:hint="eastAsia" w:ascii="宋体" w:hAnsi="宋体"/>
                <w:sz w:val="24"/>
                <w:szCs w:val="24"/>
              </w:rPr>
              <w:t xml:space="preserve">（4）其他或未提供不得分。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9"/>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主观分</w:t>
            </w:r>
            <w:r/>
          </w:p>
        </w:tc>
      </w:tr>
      <w:tr>
        <w:trPr/>
        <w:tc>
          <w:tcPr>
            <w:tcW w:w="64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2</w:t>
            </w:r>
            <w:r/>
          </w:p>
        </w:tc>
        <w:tc>
          <w:tcPr>
            <w:tcW w:w="1234"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实施方案</w:t>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供应商提供针对本项目的实施方案，包括但不限于抽样、检验、数据上报、分析汇总等各项内容。</w:t>
            </w:r>
            <w:r/>
          </w:p>
          <w:p>
            <w:pPr>
              <w:pStyle w:val="749"/>
              <w:jc w:val="both"/>
              <w:rPr>
                <w:rFonts w:hint="eastAsia" w:ascii="宋体" w:hAnsi="宋体"/>
                <w:sz w:val="24"/>
                <w:szCs w:val="24"/>
              </w:rPr>
            </w:pPr>
            <w:r>
              <w:rPr>
                <w:rFonts w:hint="eastAsia" w:ascii="宋体" w:hAnsi="宋体"/>
                <w:sz w:val="24"/>
                <w:szCs w:val="24"/>
              </w:rPr>
              <w:t xml:space="preserve">（1）优于需求得10分；</w:t>
            </w:r>
            <w:r/>
          </w:p>
          <w:p>
            <w:pPr>
              <w:pStyle w:val="749"/>
              <w:jc w:val="both"/>
              <w:rPr>
                <w:rFonts w:hint="eastAsia" w:ascii="宋体" w:hAnsi="宋体"/>
                <w:sz w:val="24"/>
                <w:szCs w:val="24"/>
              </w:rPr>
            </w:pPr>
            <w:r>
              <w:rPr>
                <w:rFonts w:hint="eastAsia" w:ascii="宋体" w:hAnsi="宋体"/>
                <w:sz w:val="24"/>
                <w:szCs w:val="24"/>
              </w:rPr>
              <w:t xml:space="preserve">（2）满足需求得7分</w:t>
            </w:r>
            <w:r>
              <w:rPr>
                <w:rFonts w:hint="eastAsia" w:ascii="宋体" w:hAnsi="宋体"/>
                <w:sz w:val="24"/>
                <w:szCs w:val="24"/>
              </w:rPr>
              <w:t xml:space="preserve">；</w:t>
            </w:r>
            <w:r/>
          </w:p>
          <w:p>
            <w:pPr>
              <w:pStyle w:val="749"/>
              <w:jc w:val="both"/>
              <w:rPr>
                <w:rFonts w:hint="eastAsia" w:ascii="宋体" w:hAnsi="宋体"/>
                <w:sz w:val="24"/>
                <w:szCs w:val="24"/>
              </w:rPr>
            </w:pPr>
            <w:r>
              <w:rPr>
                <w:rFonts w:hint="eastAsia" w:ascii="宋体" w:hAnsi="宋体"/>
                <w:sz w:val="24"/>
                <w:szCs w:val="24"/>
              </w:rPr>
              <w:t xml:space="preserve">（3）内容有欠缺需进一步修改完善的得4分；</w:t>
            </w:r>
            <w:r/>
          </w:p>
          <w:p>
            <w:pPr>
              <w:pStyle w:val="749"/>
              <w:jc w:val="both"/>
              <w:rPr>
                <w:rFonts w:ascii="宋体" w:hAnsi="宋体"/>
                <w:sz w:val="24"/>
                <w:szCs w:val="24"/>
              </w:rPr>
            </w:pPr>
            <w:r>
              <w:rPr>
                <w:rFonts w:hint="eastAsia" w:ascii="宋体" w:hAnsi="宋体"/>
                <w:sz w:val="24"/>
                <w:szCs w:val="24"/>
              </w:rPr>
              <w:t xml:space="preserve">（4）其他或未提供不得分。</w:t>
            </w:r>
            <w:r>
              <w:rPr>
                <w:rFonts w:ascii="宋体" w:hAnsi="宋体"/>
                <w:sz w:val="24"/>
                <w:szCs w:val="24"/>
              </w:rPr>
            </w:r>
            <w:r/>
          </w:p>
        </w:tc>
        <w:tc>
          <w:tcPr>
            <w:tcW w:w="709" w:type="dxa"/>
            <w:vAlign w:val="center"/>
            <w:textDirection w:val="lrTb"/>
            <w:noWrap w:val="false"/>
          </w:tcPr>
          <w:p>
            <w:pPr>
              <w:pStyle w:val="749"/>
              <w:jc w:val="center"/>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主观分</w:t>
            </w:r>
            <w:r/>
          </w:p>
        </w:tc>
      </w:tr>
      <w:tr>
        <w:trPr/>
        <w:tc>
          <w:tcPr>
            <w:tcW w:w="64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3</w:t>
            </w:r>
            <w:r/>
          </w:p>
        </w:tc>
        <w:tc>
          <w:tcPr>
            <w:tcW w:w="1234"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快速响应方案</w:t>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供应商针对本项目的快速响应方案，包括但不限于保障措施、工作流程、管理制度等各项内容。</w:t>
            </w:r>
            <w:r/>
          </w:p>
          <w:p>
            <w:pPr>
              <w:pStyle w:val="749"/>
              <w:jc w:val="both"/>
              <w:rPr>
                <w:rFonts w:hint="eastAsia" w:ascii="宋体" w:hAnsi="宋体"/>
                <w:sz w:val="24"/>
                <w:szCs w:val="24"/>
              </w:rPr>
            </w:pPr>
            <w:r>
              <w:rPr>
                <w:rFonts w:hint="eastAsia" w:ascii="宋体" w:hAnsi="宋体"/>
                <w:sz w:val="24"/>
                <w:szCs w:val="24"/>
              </w:rPr>
              <w:t xml:space="preserve">（1）优于需求得10分；</w:t>
            </w:r>
            <w:r/>
          </w:p>
          <w:p>
            <w:pPr>
              <w:pStyle w:val="749"/>
              <w:jc w:val="both"/>
              <w:rPr>
                <w:rFonts w:hint="eastAsia" w:ascii="宋体" w:hAnsi="宋体"/>
                <w:sz w:val="24"/>
                <w:szCs w:val="24"/>
              </w:rPr>
            </w:pPr>
            <w:r>
              <w:rPr>
                <w:rFonts w:hint="eastAsia" w:ascii="宋体" w:hAnsi="宋体"/>
                <w:sz w:val="24"/>
                <w:szCs w:val="24"/>
              </w:rPr>
              <w:t xml:space="preserve">（2）满足需求得7分；</w:t>
            </w:r>
            <w:r/>
          </w:p>
          <w:p>
            <w:pPr>
              <w:pStyle w:val="749"/>
              <w:jc w:val="both"/>
              <w:rPr>
                <w:rFonts w:hint="eastAsia" w:ascii="宋体" w:hAnsi="宋体"/>
                <w:sz w:val="24"/>
                <w:szCs w:val="24"/>
              </w:rPr>
            </w:pPr>
            <w:r>
              <w:rPr>
                <w:rFonts w:hint="eastAsia" w:ascii="宋体" w:hAnsi="宋体"/>
                <w:sz w:val="24"/>
                <w:szCs w:val="24"/>
              </w:rPr>
              <w:t xml:space="preserve">（3）内容有欠缺需进一步修改完善的得4分；</w:t>
            </w:r>
            <w:r/>
          </w:p>
          <w:p>
            <w:pPr>
              <w:pStyle w:val="749"/>
              <w:jc w:val="both"/>
              <w:rPr>
                <w:rFonts w:ascii="宋体" w:hAnsi="宋体"/>
                <w:sz w:val="24"/>
                <w:szCs w:val="24"/>
              </w:rPr>
            </w:pPr>
            <w:r>
              <w:rPr>
                <w:rFonts w:hint="eastAsia" w:ascii="宋体" w:hAnsi="宋体"/>
                <w:sz w:val="24"/>
                <w:szCs w:val="24"/>
              </w:rPr>
              <w:t xml:space="preserve">（4）其他或未提供不得分。</w:t>
            </w:r>
            <w:r>
              <w:rPr>
                <w:rFonts w:ascii="宋体" w:hAnsi="宋体"/>
                <w:sz w:val="24"/>
                <w:szCs w:val="24"/>
              </w:rPr>
            </w:r>
            <w:r/>
          </w:p>
        </w:tc>
        <w:tc>
          <w:tcPr>
            <w:tcW w:w="70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10</w:t>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主观分</w:t>
            </w:r>
            <w:r/>
          </w:p>
        </w:tc>
      </w:tr>
      <w:tr>
        <w:trPr/>
        <w:tc>
          <w:tcPr>
            <w:tcW w:w="64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4</w:t>
            </w:r>
            <w:r/>
          </w:p>
        </w:tc>
        <w:tc>
          <w:tcPr>
            <w:tcW w:w="1234"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质量控制方案</w:t>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供应商提供针对本项目的质量控制方案，包括但不限于采样、检验、复核、报告签署等各环节质量控制内容。</w:t>
            </w:r>
            <w:r/>
          </w:p>
          <w:p>
            <w:pPr>
              <w:pStyle w:val="749"/>
              <w:jc w:val="both"/>
              <w:rPr>
                <w:rFonts w:hint="eastAsia" w:ascii="宋体" w:hAnsi="宋体"/>
                <w:sz w:val="24"/>
                <w:szCs w:val="24"/>
              </w:rPr>
            </w:pPr>
            <w:r>
              <w:rPr>
                <w:rFonts w:hint="eastAsia" w:ascii="宋体" w:hAnsi="宋体"/>
                <w:sz w:val="24"/>
                <w:szCs w:val="24"/>
              </w:rPr>
              <w:t xml:space="preserve">（1）优于需求得9分；</w:t>
            </w:r>
            <w:r/>
          </w:p>
          <w:p>
            <w:pPr>
              <w:pStyle w:val="749"/>
              <w:jc w:val="both"/>
              <w:rPr>
                <w:rFonts w:hint="eastAsia" w:ascii="宋体" w:hAnsi="宋体"/>
                <w:sz w:val="24"/>
                <w:szCs w:val="24"/>
              </w:rPr>
            </w:pPr>
            <w:r>
              <w:rPr>
                <w:rFonts w:hint="eastAsia" w:ascii="宋体" w:hAnsi="宋体"/>
                <w:sz w:val="24"/>
                <w:szCs w:val="24"/>
              </w:rPr>
              <w:t xml:space="preserve">（2）满足需求得6分；</w:t>
            </w:r>
            <w:r/>
          </w:p>
          <w:p>
            <w:pPr>
              <w:pStyle w:val="749"/>
              <w:jc w:val="both"/>
              <w:rPr>
                <w:rFonts w:hint="eastAsia" w:ascii="宋体" w:hAnsi="宋体"/>
                <w:sz w:val="24"/>
                <w:szCs w:val="24"/>
              </w:rPr>
            </w:pPr>
            <w:r>
              <w:rPr>
                <w:rFonts w:hint="eastAsia" w:ascii="宋体" w:hAnsi="宋体"/>
                <w:sz w:val="24"/>
                <w:szCs w:val="24"/>
              </w:rPr>
              <w:t xml:space="preserve">（3）内容有欠缺需进一步修改完善的得3分；</w:t>
            </w:r>
            <w:r/>
          </w:p>
          <w:p>
            <w:pPr>
              <w:pStyle w:val="749"/>
              <w:jc w:val="both"/>
              <w:rPr>
                <w:rFonts w:ascii="宋体" w:hAnsi="宋体"/>
                <w:sz w:val="24"/>
                <w:szCs w:val="24"/>
              </w:rPr>
            </w:pPr>
            <w:r>
              <w:rPr>
                <w:rFonts w:hint="eastAsia" w:ascii="宋体" w:hAnsi="宋体"/>
                <w:sz w:val="24"/>
                <w:szCs w:val="24"/>
              </w:rPr>
              <w:t xml:space="preserve">（4）其他或未提供不得分。</w:t>
            </w:r>
            <w:r>
              <w:rPr>
                <w:rFonts w:ascii="宋体" w:hAnsi="宋体"/>
                <w:sz w:val="24"/>
                <w:szCs w:val="24"/>
              </w:rPr>
            </w:r>
            <w:r/>
          </w:p>
        </w:tc>
        <w:tc>
          <w:tcPr>
            <w:tcW w:w="70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9</w:t>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主观分</w:t>
            </w:r>
            <w:r/>
          </w:p>
        </w:tc>
      </w:tr>
      <w:tr>
        <w:trPr/>
        <w:tc>
          <w:tcPr>
            <w:tcW w:w="64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5</w:t>
            </w:r>
            <w:r/>
          </w:p>
        </w:tc>
        <w:tc>
          <w:tcPr>
            <w:tcW w:w="1234"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针对本项目的重点、难点分析及保障措施</w:t>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针对本项目的重点、难点分析及保障措施，包括但不限于任务特点分析、管控措施等各项内容。</w:t>
            </w:r>
            <w:r/>
          </w:p>
          <w:p>
            <w:pPr>
              <w:pStyle w:val="749"/>
              <w:jc w:val="both"/>
              <w:rPr>
                <w:rFonts w:hint="eastAsia" w:ascii="宋体" w:hAnsi="宋体"/>
                <w:sz w:val="24"/>
                <w:szCs w:val="24"/>
              </w:rPr>
            </w:pPr>
            <w:r>
              <w:rPr>
                <w:rFonts w:hint="eastAsia" w:ascii="宋体" w:hAnsi="宋体"/>
                <w:sz w:val="24"/>
                <w:szCs w:val="24"/>
              </w:rPr>
              <w:t xml:space="preserve">（1）优于需求得9分；</w:t>
            </w:r>
            <w:r/>
          </w:p>
          <w:p>
            <w:pPr>
              <w:pStyle w:val="749"/>
              <w:jc w:val="both"/>
              <w:rPr>
                <w:rFonts w:hint="eastAsia" w:ascii="宋体" w:hAnsi="宋体"/>
                <w:sz w:val="24"/>
                <w:szCs w:val="24"/>
              </w:rPr>
            </w:pPr>
            <w:r>
              <w:rPr>
                <w:rFonts w:hint="eastAsia" w:ascii="宋体" w:hAnsi="宋体"/>
                <w:sz w:val="24"/>
                <w:szCs w:val="24"/>
              </w:rPr>
              <w:t xml:space="preserve">（2）满足需求得6分；</w:t>
            </w:r>
            <w:r/>
          </w:p>
          <w:p>
            <w:pPr>
              <w:pStyle w:val="749"/>
              <w:jc w:val="both"/>
              <w:rPr>
                <w:rFonts w:hint="eastAsia" w:ascii="宋体" w:hAnsi="宋体"/>
                <w:sz w:val="24"/>
                <w:szCs w:val="24"/>
              </w:rPr>
            </w:pPr>
            <w:r>
              <w:rPr>
                <w:rFonts w:hint="eastAsia" w:ascii="宋体" w:hAnsi="宋体"/>
                <w:sz w:val="24"/>
                <w:szCs w:val="24"/>
              </w:rPr>
              <w:t xml:space="preserve">（3）内容有欠缺需进一步修改完善的得3分；</w:t>
            </w:r>
            <w:r/>
          </w:p>
          <w:p>
            <w:pPr>
              <w:pStyle w:val="749"/>
              <w:jc w:val="both"/>
              <w:rPr>
                <w:rFonts w:ascii="宋体" w:hAnsi="宋体"/>
                <w:sz w:val="24"/>
                <w:szCs w:val="24"/>
              </w:rPr>
            </w:pPr>
            <w:r>
              <w:rPr>
                <w:rFonts w:hint="eastAsia" w:ascii="宋体" w:hAnsi="宋体"/>
                <w:sz w:val="24"/>
                <w:szCs w:val="24"/>
              </w:rPr>
              <w:t xml:space="preserve">（4）其他或未提供不得分。</w:t>
            </w:r>
            <w:r>
              <w:rPr>
                <w:rFonts w:ascii="宋体" w:hAnsi="宋体"/>
                <w:sz w:val="24"/>
                <w:szCs w:val="24"/>
              </w:rPr>
            </w:r>
            <w:r/>
          </w:p>
        </w:tc>
        <w:tc>
          <w:tcPr>
            <w:tcW w:w="70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9</w:t>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主观分</w:t>
            </w:r>
            <w:r/>
          </w:p>
        </w:tc>
      </w:tr>
      <w:tr>
        <w:trPr/>
        <w:tc>
          <w:tcPr>
            <w:tcW w:w="64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6</w:t>
            </w:r>
            <w:r/>
          </w:p>
        </w:tc>
        <w:tc>
          <w:tcPr>
            <w:tcW w:w="1234"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突发事件应急处置预案</w:t>
            </w:r>
            <w:r/>
          </w:p>
        </w:tc>
        <w:tc>
          <w:tcPr>
            <w:tcW w:w="5171" w:type="dxa"/>
            <w:vAlign w:val="center"/>
            <w:textDirection w:val="lrTb"/>
            <w:noWrap w:val="false"/>
          </w:tcPr>
          <w:p>
            <w:pPr>
              <w:pStyle w:val="749"/>
              <w:jc w:val="both"/>
              <w:rPr>
                <w:rFonts w:hint="eastAsia" w:ascii="宋体" w:hAnsi="宋体"/>
                <w:sz w:val="24"/>
                <w:szCs w:val="24"/>
              </w:rPr>
            </w:pPr>
            <w:r>
              <w:rPr>
                <w:rFonts w:hint="eastAsia" w:ascii="宋体" w:hAnsi="宋体"/>
                <w:sz w:val="24"/>
                <w:szCs w:val="24"/>
              </w:rPr>
              <w:t xml:space="preserve">供应商针对可能出现的各类突发状况拟定应急保障方案，包括抽检、检测过程中可能遇到的各类突发情况，以及对应的应急解决处置措施。</w:t>
            </w:r>
            <w:r/>
          </w:p>
          <w:p>
            <w:pPr>
              <w:pStyle w:val="749"/>
              <w:jc w:val="both"/>
              <w:rPr>
                <w:rFonts w:hint="eastAsia" w:ascii="宋体" w:hAnsi="宋体"/>
                <w:sz w:val="24"/>
                <w:szCs w:val="24"/>
              </w:rPr>
            </w:pPr>
            <w:r>
              <w:rPr>
                <w:rFonts w:hint="eastAsia" w:ascii="宋体" w:hAnsi="宋体"/>
                <w:sz w:val="24"/>
                <w:szCs w:val="24"/>
              </w:rPr>
              <w:t xml:space="preserve">（1）优于需求得9分；</w:t>
            </w:r>
            <w:r/>
          </w:p>
          <w:p>
            <w:pPr>
              <w:pStyle w:val="749"/>
              <w:jc w:val="both"/>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）满足需求得6分；</w:t>
            </w:r>
            <w:r/>
          </w:p>
          <w:p>
            <w:pPr>
              <w:pStyle w:val="749"/>
              <w:jc w:val="both"/>
              <w:rPr>
                <w:rFonts w:hint="eastAsia" w:ascii="宋体" w:hAnsi="宋体"/>
                <w:sz w:val="24"/>
                <w:szCs w:val="24"/>
              </w:rPr>
            </w:pPr>
            <w:r>
              <w:rPr>
                <w:rFonts w:hint="eastAsia" w:ascii="宋体" w:hAnsi="宋体"/>
                <w:sz w:val="24"/>
                <w:szCs w:val="24"/>
              </w:rPr>
              <w:t xml:space="preserve">（3）内容有欠缺需进一步修改完善的得3分；</w:t>
            </w:r>
            <w:r/>
          </w:p>
          <w:p>
            <w:pPr>
              <w:pStyle w:val="749"/>
              <w:jc w:val="both"/>
              <w:rPr>
                <w:rFonts w:ascii="宋体" w:hAnsi="宋体"/>
                <w:sz w:val="24"/>
                <w:szCs w:val="24"/>
              </w:rPr>
            </w:pPr>
            <w:r>
              <w:rPr>
                <w:rFonts w:hint="eastAsia" w:ascii="宋体" w:hAnsi="宋体"/>
                <w:sz w:val="24"/>
                <w:szCs w:val="24"/>
              </w:rPr>
              <w:t xml:space="preserve">（4）其他或未提供不得分。</w:t>
            </w:r>
            <w:r>
              <w:rPr>
                <w:rFonts w:ascii="宋体" w:hAnsi="宋体"/>
                <w:sz w:val="24"/>
                <w:szCs w:val="24"/>
              </w:rPr>
            </w:r>
            <w:r/>
          </w:p>
        </w:tc>
        <w:tc>
          <w:tcPr>
            <w:tcW w:w="709"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9</w:t>
            </w:r>
            <w:r/>
          </w:p>
        </w:tc>
        <w:tc>
          <w:tcPr>
            <w:tcW w:w="992" w:type="dxa"/>
            <w:vAlign w:val="center"/>
            <w:textDirection w:val="lrTb"/>
            <w:noWrap w:val="false"/>
          </w:tcPr>
          <w:p>
            <w:pPr>
              <w:pStyle w:val="749"/>
              <w:jc w:val="center"/>
              <w:rPr>
                <w:rFonts w:hint="eastAsia" w:ascii="宋体" w:hAnsi="宋体"/>
                <w:sz w:val="24"/>
                <w:szCs w:val="24"/>
              </w:rPr>
            </w:pPr>
            <w:r>
              <w:rPr>
                <w:rFonts w:hint="eastAsia" w:ascii="宋体" w:hAnsi="宋体"/>
                <w:sz w:val="24"/>
                <w:szCs w:val="24"/>
              </w:rPr>
              <w:t xml:space="preserve">主观分</w:t>
            </w:r>
            <w:r/>
          </w:p>
        </w:tc>
      </w:tr>
    </w:tbl>
    <w:p>
      <w:pPr>
        <w:pStyle w:val="749"/>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rPr>
          <w:rFonts w:ascii="Arial" w:hAnsi="Arial" w:cs="Arial"/>
          <w:sz w:val="24"/>
          <w:szCs w:val="24"/>
        </w:rPr>
      </w:r>
      <w:r/>
    </w:p>
    <w:p>
      <w:pPr>
        <w:pStyle w:val="749"/>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4、残疾人福利</w:t>
      </w:r>
      <w:r>
        <w:rPr>
          <w:rFonts w:hint="eastAsia" w:ascii="宋体" w:hAnsi="Arial"/>
          <w:sz w:val="24"/>
          <w:szCs w:val="24"/>
        </w:rPr>
        <w:t xml:space="preserve">单位、监狱企业属于小型、微型企业的，不重复享受政策。</w:t>
      </w:r>
      <w:r>
        <w:rPr>
          <w:rFonts w:ascii="宋体" w:hAnsi="Arial"/>
          <w:sz w:val="24"/>
          <w:szCs w:val="24"/>
        </w:rPr>
      </w:r>
      <w:r/>
    </w:p>
    <w:p>
      <w:pPr>
        <w:pStyle w:val="749"/>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49"/>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w:t>
      </w:r>
      <w:r>
        <w:rPr>
          <w:rFonts w:hint="eastAsia" w:ascii="宋体" w:hAnsi="Arial"/>
          <w:sz w:val="24"/>
          <w:szCs w:val="24"/>
        </w:rPr>
        <w:t xml:space="preserve">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49"/>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Arial" w:hAnsi="Arial" w:cs="Arial"/>
          <w:sz w:val="24"/>
          <w:szCs w:val="24"/>
        </w:rPr>
      </w:r>
      <w:r/>
    </w:p>
    <w:p>
      <w:pPr>
        <w:pStyle w:val="749"/>
        <w:ind w:firstLine="480"/>
        <w:spacing w:before="120" w:after="120" w:line="400" w:lineRule="exact"/>
        <w:widowControl w:val="off"/>
        <w:rPr>
          <w:rFonts w:ascii="宋体" w:hAnsi="Arial"/>
          <w:sz w:val="24"/>
          <w:szCs w:val="24"/>
        </w:rPr>
      </w:pP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ascii="宋体" w:hAnsi="Arial"/>
          <w:sz w:val="24"/>
          <w:szCs w:val="24"/>
        </w:rPr>
      </w:r>
      <w:r/>
    </w:p>
    <w:p>
      <w:pPr>
        <w:pStyle w:val="749"/>
        <w:ind w:firstLine="480"/>
        <w:spacing w:before="120" w:after="120" w:line="400" w:lineRule="exact"/>
        <w:widowControl w:val="off"/>
        <w:rPr>
          <w:rFonts w:ascii="宋体" w:hAnsi="Arial"/>
          <w:sz w:val="24"/>
          <w:szCs w:val="24"/>
        </w:rPr>
      </w:pPr>
      <w:r>
        <w:rPr>
          <w:rFonts w:ascii="宋体" w:hAnsi="Arial"/>
          <w:sz w:val="24"/>
          <w:szCs w:val="24"/>
        </w:rPr>
      </w:r>
      <w:r/>
    </w:p>
    <w:p>
      <w:pPr>
        <w:shd w:val="nil" w:color="auto"/>
        <w:rPr>
          <w:rFonts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t xml:space="preserve">        </w:t>
      </w:r>
      <w:r>
        <w:rPr>
          <w:rFonts w:hint="eastAsia" w:ascii="黑体" w:hAnsi="楷体_GB2312" w:eastAsia="黑体"/>
          <w:b w:val="0"/>
          <w:bCs w:val="0"/>
          <w:color w:val="000000"/>
          <w:sz w:val="44"/>
          <w:szCs w:val="44"/>
          <w:highlight w:val="none"/>
        </w:rPr>
      </w:r>
      <w:bookmarkEnd w:id="98"/>
      <w:r/>
      <w:bookmarkEnd w:id="99"/>
      <w:r/>
      <w:bookmarkEnd w:id="100"/>
      <w:r/>
      <w:bookmarkStart w:id="122" w:name="_Toc192946475"/>
      <w:r/>
      <w:bookmarkStart w:id="123" w:name="_Toc17291678"/>
      <w:r/>
      <w:bookmarkStart w:id="124" w:name="_Toc17291090"/>
      <w:r>
        <w:rPr>
          <w:rFonts w:hint="eastAsia" w:ascii="黑体" w:hAnsi="楷体_GB2312" w:eastAsia="黑体"/>
          <w:b w:val="0"/>
          <w:bCs w:val="0"/>
          <w:color w:val="000000"/>
          <w:sz w:val="44"/>
          <w:szCs w:val="44"/>
        </w:rPr>
        <w:t xml:space="preserve">第六章  投标文件格式</w:t>
      </w:r>
      <w:bookmarkEnd w:id="122"/>
      <w:r/>
      <w:bookmarkEnd w:id="123"/>
      <w:r/>
      <w:bookmarkEnd w:id="124"/>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49"/>
        <w:jc w:val="center"/>
        <w:spacing w:after="0" w:line="240" w:lineRule="auto"/>
        <w:widowControl w:val="off"/>
        <w:rPr>
          <w:rFonts w:ascii="宋体"/>
          <w:b/>
          <w:sz w:val="72"/>
        </w:rPr>
      </w:pPr>
      <w:r/>
      <w:bookmarkStart w:id="125" w:name="_Hlt26671244"/>
      <w:r/>
      <w:bookmarkEnd w:id="125"/>
      <w:r/>
      <w:bookmarkStart w:id="126" w:name="_Hlt26955039"/>
      <w:r/>
      <w:bookmarkEnd w:id="126"/>
      <w:r>
        <w:rPr>
          <w:rFonts w:ascii="宋体"/>
          <w:b/>
          <w:sz w:val="72"/>
        </w:rPr>
      </w:r>
      <w:r/>
    </w:p>
    <w:p>
      <w:pPr>
        <w:pStyle w:val="749"/>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49"/>
        <w:jc w:val="center"/>
        <w:spacing w:after="0" w:line="240" w:lineRule="auto"/>
        <w:widowControl w:val="off"/>
        <w:rPr>
          <w:rFonts w:ascii="宋体"/>
          <w:b/>
          <w:sz w:val="72"/>
        </w:rPr>
      </w:pPr>
      <w:r>
        <w:rPr>
          <w:rFonts w:ascii="宋体"/>
          <w:b/>
          <w:sz w:val="72"/>
        </w:rPr>
      </w:r>
      <w:r/>
    </w:p>
    <w:p>
      <w:pPr>
        <w:pStyle w:val="749"/>
        <w:jc w:val="center"/>
        <w:spacing w:after="0" w:line="240" w:lineRule="auto"/>
        <w:widowControl w:val="off"/>
        <w:rPr>
          <w:rFonts w:ascii="宋体"/>
          <w:b/>
          <w:sz w:val="72"/>
        </w:rPr>
      </w:pPr>
      <w:r>
        <w:rPr>
          <w:rFonts w:ascii="宋体"/>
          <w:b/>
          <w:sz w:val="72"/>
        </w:rPr>
      </w:r>
      <w:r/>
    </w:p>
    <w:p>
      <w:pPr>
        <w:pStyle w:val="749"/>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49"/>
        <w:jc w:val="center"/>
        <w:spacing w:after="0" w:line="240" w:lineRule="auto"/>
        <w:widowControl w:val="off"/>
        <w:rPr>
          <w:rFonts w:ascii="宋体"/>
          <w:b/>
          <w:sz w:val="36"/>
        </w:rPr>
      </w:pPr>
      <w:r>
        <w:rPr>
          <w:rFonts w:ascii="宋体"/>
          <w:b/>
          <w:sz w:val="36"/>
        </w:rPr>
      </w:r>
      <w:r/>
    </w:p>
    <w:p>
      <w:pPr>
        <w:pStyle w:val="749"/>
        <w:jc w:val="center"/>
        <w:spacing w:after="0" w:line="240" w:lineRule="auto"/>
        <w:widowControl w:val="off"/>
        <w:rPr>
          <w:rFonts w:ascii="宋体"/>
          <w:b/>
          <w:sz w:val="36"/>
        </w:rPr>
      </w:pPr>
      <w:r>
        <w:rPr>
          <w:rFonts w:ascii="宋体"/>
          <w:b/>
          <w:sz w:val="36"/>
        </w:rPr>
      </w:r>
      <w:r/>
    </w:p>
    <w:p>
      <w:pPr>
        <w:pStyle w:val="749"/>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49"/>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49"/>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rPr>
          <w:rFonts w:ascii="宋体" w:hAnsi="Arial" w:eastAsia="楷体_GB2312"/>
          <w:b/>
          <w:sz w:val="36"/>
          <w:szCs w:val="28"/>
          <w:lang w:val="zh-CN"/>
        </w:rPr>
      </w:r>
      <w:r/>
    </w:p>
    <w:p>
      <w:pPr>
        <w:pStyle w:val="749"/>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pStyle w:val="749"/>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49"/>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49"/>
        <w:jc w:val="center"/>
        <w:spacing w:after="0" w:line="440" w:lineRule="exact"/>
        <w:widowControl w:val="off"/>
        <w:rPr>
          <w:rFonts w:ascii="宋体"/>
          <w:b/>
          <w:bCs/>
          <w:sz w:val="32"/>
          <w:szCs w:val="32"/>
        </w:rPr>
      </w:pPr>
      <w:r>
        <w:rPr>
          <w:rFonts w:ascii="宋体"/>
          <w:b/>
          <w:bCs/>
          <w:sz w:val="32"/>
          <w:szCs w:val="32"/>
        </w:rPr>
      </w:r>
      <w:r/>
    </w:p>
    <w:p>
      <w:pPr>
        <w:pStyle w:val="749"/>
        <w:jc w:val="center"/>
        <w:spacing w:after="0" w:line="440" w:lineRule="exact"/>
        <w:widowControl w:val="off"/>
        <w:rPr>
          <w:rFonts w:ascii="宋体"/>
          <w:b/>
          <w:bCs/>
          <w:sz w:val="32"/>
          <w:szCs w:val="32"/>
        </w:rPr>
      </w:pPr>
      <w:r>
        <w:rPr>
          <w:rFonts w:ascii="宋体"/>
          <w:b/>
          <w:bCs/>
          <w:sz w:val="32"/>
          <w:szCs w:val="32"/>
        </w:rPr>
      </w:r>
      <w:r/>
    </w:p>
    <w:p>
      <w:pPr>
        <w:pStyle w:val="749"/>
        <w:jc w:val="center"/>
        <w:spacing w:after="0" w:line="440" w:lineRule="exact"/>
        <w:widowControl w:val="off"/>
        <w:rPr>
          <w:rFonts w:ascii="宋体"/>
          <w:b/>
          <w:bCs/>
          <w:sz w:val="32"/>
          <w:szCs w:val="32"/>
        </w:rPr>
      </w:pPr>
      <w:r>
        <w:rPr>
          <w:rFonts w:ascii="宋体"/>
          <w:b/>
          <w:bCs/>
          <w:sz w:val="32"/>
          <w:szCs w:val="32"/>
        </w:rPr>
      </w:r>
      <w:r/>
    </w:p>
    <w:p>
      <w:pPr>
        <w:pStyle w:val="749"/>
        <w:jc w:val="center"/>
        <w:spacing w:after="0" w:line="440" w:lineRule="exact"/>
        <w:widowControl w:val="off"/>
        <w:rPr>
          <w:rFonts w:ascii="宋体"/>
          <w:b/>
          <w:bCs/>
          <w:sz w:val="32"/>
          <w:szCs w:val="32"/>
        </w:rPr>
      </w:pPr>
      <w:r>
        <w:rPr>
          <w:rFonts w:ascii="宋体"/>
          <w:b/>
          <w:bCs/>
          <w:sz w:val="32"/>
          <w:szCs w:val="32"/>
        </w:rPr>
      </w:r>
      <w:r/>
    </w:p>
    <w:p>
      <w:pPr>
        <w:pStyle w:val="749"/>
        <w:jc w:val="center"/>
        <w:spacing w:after="0" w:line="440" w:lineRule="exact"/>
        <w:widowControl w:val="off"/>
        <w:rPr>
          <w:rFonts w:ascii="宋体"/>
          <w:b/>
          <w:bCs/>
          <w:sz w:val="32"/>
          <w:szCs w:val="32"/>
        </w:rPr>
      </w:pPr>
      <w:r>
        <w:rPr>
          <w:rFonts w:ascii="宋体"/>
          <w:b/>
          <w:bCs/>
          <w:sz w:val="32"/>
          <w:szCs w:val="32"/>
        </w:rPr>
      </w:r>
      <w:r/>
    </w:p>
    <w:p>
      <w:pPr>
        <w:pStyle w:val="749"/>
        <w:jc w:val="center"/>
        <w:spacing w:after="0" w:line="440" w:lineRule="exact"/>
        <w:widowControl w:val="off"/>
        <w:rPr>
          <w:rFonts w:ascii="宋体"/>
          <w:b/>
          <w:bCs/>
          <w:sz w:val="32"/>
          <w:szCs w:val="32"/>
        </w:rPr>
      </w:pPr>
      <w:r>
        <w:rPr>
          <w:rFonts w:ascii="宋体"/>
          <w:b/>
          <w:bCs/>
          <w:sz w:val="32"/>
          <w:szCs w:val="32"/>
        </w:rPr>
      </w:r>
      <w:r/>
    </w:p>
    <w:p>
      <w:pPr>
        <w:pStyle w:val="749"/>
        <w:jc w:val="center"/>
        <w:spacing w:after="0" w:line="440" w:lineRule="exact"/>
        <w:widowControl w:val="off"/>
        <w:rPr>
          <w:rFonts w:hint="eastAsia" w:ascii="宋体"/>
          <w:b/>
          <w:bCs/>
          <w:sz w:val="32"/>
          <w:szCs w:val="32"/>
        </w:rPr>
      </w:pPr>
      <w:r>
        <w:rPr>
          <w:rFonts w:hint="eastAsia" w:ascii="宋体"/>
          <w:b/>
          <w:bCs/>
          <w:sz w:val="32"/>
          <w:szCs w:val="32"/>
        </w:rPr>
      </w:r>
      <w:r/>
    </w:p>
    <w:p>
      <w:pPr>
        <w:pStyle w:val="749"/>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t xml:space="preserve">投标文件主要目录</w:t>
      </w:r>
      <w:r/>
    </w:p>
    <w:p>
      <w:pPr>
        <w:pStyle w:val="749"/>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49"/>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49"/>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pStyle w:val="749"/>
        <w:ind w:firstLine="480"/>
        <w:jc w:val="both"/>
        <w:spacing w:after="0" w:line="560" w:lineRule="exact"/>
        <w:widowControl w:val="off"/>
        <w:rPr>
          <w:rFonts w:ascii="宋体" w:hAnsi="宋体"/>
          <w:sz w:val="24"/>
          <w:szCs w:val="24"/>
        </w:rPr>
      </w:pPr>
      <w:r>
        <w:rPr>
          <w:rFonts w:hint="eastAsia" w:ascii="宋体" w:hAnsi="宋体"/>
          <w:sz w:val="24"/>
          <w:szCs w:val="24"/>
        </w:rPr>
        <w:t xml:space="preserve">四、投标产品配置及分项报价表</w:t>
      </w:r>
      <w:r>
        <w:rPr>
          <w:rFonts w:ascii="宋体" w:hAnsi="宋体"/>
          <w:sz w:val="24"/>
          <w:szCs w:val="24"/>
        </w:rPr>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五、投入人员一览表</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六、技术（服务）条款响应及偏离表</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七、商务条款响应及偏离表</w:t>
      </w:r>
      <w:r/>
    </w:p>
    <w:p>
      <w:pPr>
        <w:pStyle w:val="749"/>
        <w:ind w:firstLine="480"/>
        <w:jc w:val="both"/>
        <w:spacing w:after="0" w:line="560" w:lineRule="exact"/>
        <w:widowControl w:val="off"/>
        <w:rPr>
          <w:rFonts w:ascii="宋体" w:hAnsi="宋体"/>
          <w:b/>
          <w:sz w:val="24"/>
          <w:szCs w:val="24"/>
        </w:rPr>
      </w:pPr>
      <w:r>
        <w:rPr>
          <w:rFonts w:hint="eastAsia" w:ascii="宋体" w:hAnsi="宋体"/>
          <w:sz w:val="24"/>
          <w:szCs w:val="24"/>
        </w:rPr>
        <w:t xml:space="preserve">八、</w:t>
      </w:r>
      <w:r>
        <w:rPr>
          <w:rFonts w:hint="eastAsia" w:ascii="宋体" w:hAnsi="宋体"/>
          <w:bCs/>
          <w:sz w:val="24"/>
          <w:szCs w:val="24"/>
        </w:rPr>
        <w:t xml:space="preserve">业绩一览表</w:t>
      </w:r>
      <w:r>
        <w:rPr>
          <w:rFonts w:ascii="宋体" w:hAnsi="宋体"/>
          <w:b/>
          <w:sz w:val="24"/>
          <w:szCs w:val="24"/>
        </w:rPr>
      </w:r>
      <w:r/>
    </w:p>
    <w:p>
      <w:pPr>
        <w:pStyle w:val="749"/>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九、</w:t>
      </w:r>
      <w:r>
        <w:rPr>
          <w:rFonts w:hint="eastAsia" w:ascii="宋体" w:hAnsi="宋体"/>
          <w:sz w:val="24"/>
          <w:szCs w:val="24"/>
        </w:rPr>
        <w:t xml:space="preserve">项目需求响应方案</w:t>
      </w:r>
      <w:r/>
    </w:p>
    <w:p>
      <w:pPr>
        <w:pStyle w:val="74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十、供应商认为需提供或采购文件要求的其他证明材料或实施方案</w:t>
      </w:r>
      <w:r/>
    </w:p>
    <w:p>
      <w:pPr>
        <w:pStyle w:val="749"/>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pStyle w:val="749"/>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pStyle w:val="749"/>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49"/>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49"/>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49"/>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49"/>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49"/>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49"/>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49"/>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4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4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4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4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000000" w:sz="4" w:space="0"/>
            </w:tcBorders>
            <w:tcW w:w="1110" w:type="dxa"/>
            <w:vAlign w:val="top"/>
            <w:textDirection w:val="lrTb"/>
            <w:noWrap w:val="false"/>
          </w:tcPr>
          <w:p>
            <w:pPr>
              <w:pStyle w:val="74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4560" w:type="dxa"/>
            <w:vAlign w:val="top"/>
            <w:textDirection w:val="lrTb"/>
            <w:noWrap w:val="false"/>
          </w:tcPr>
          <w:p>
            <w:pPr>
              <w:pStyle w:val="74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3570" w:type="dxa"/>
            <w:vAlign w:val="top"/>
            <w:textDirection w:val="lrTb"/>
            <w:noWrap w:val="false"/>
          </w:tcPr>
          <w:p>
            <w:pPr>
              <w:pStyle w:val="749"/>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49"/>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49"/>
        <w:spacing w:after="0" w:line="240" w:lineRule="auto"/>
        <w:widowControl w:val="off"/>
        <w:rPr>
          <w:rFonts w:ascii="宋体"/>
          <w:sz w:val="21"/>
        </w:rPr>
      </w:pPr>
      <w:r>
        <w:rPr>
          <w:rFonts w:ascii="宋体"/>
          <w:sz w:val="21"/>
        </w:rPr>
      </w:r>
      <w:r/>
    </w:p>
    <w:p>
      <w:pPr>
        <w:pStyle w:val="749"/>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49"/>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49"/>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pStyle w:val="749"/>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pStyle w:val="749"/>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pStyle w:val="749"/>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49"/>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投标文件中支撑材料的页码位置（如无页码可不填写）</w:t>
            </w:r>
            <w:r/>
          </w:p>
        </w:tc>
      </w:tr>
      <w:tr>
        <w:trPr>
          <w:trHeight w:val="820"/>
        </w:trPr>
        <w:tc>
          <w:tcPr>
            <w:gridSpan w:val="4"/>
            <w:tcW w:w="9989"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49"/>
              <w:jc w:val="both"/>
              <w:spacing w:after="0" w:line="240" w:lineRule="auto"/>
              <w:widowControl w:val="off"/>
              <w:rPr>
                <w:rFonts w:hint="eastAsia" w:ascii="宋体" w:hAnsi="宋体"/>
                <w:iCs/>
                <w:color w:val="000000"/>
                <w:sz w:val="24"/>
                <w:szCs w:val="24"/>
              </w:rPr>
            </w:pPr>
            <w:r/>
            <w:bookmarkStart w:id="127" w:name="_Hlk69968653"/>
            <w:r>
              <w:rPr>
                <w:rFonts w:hint="eastAsia" w:ascii="宋体" w:hAnsi="宋体"/>
                <w:iCs/>
                <w:color w:val="000000"/>
                <w:sz w:val="24"/>
                <w:szCs w:val="24"/>
              </w:rPr>
              <w:t xml:space="preserve">1</w:t>
            </w:r>
            <w:r/>
          </w:p>
        </w:tc>
        <w:tc>
          <w:tcPr>
            <w:tcW w:w="6663" w:type="dxa"/>
            <w:vAlign w:val="center"/>
            <w:textDirection w:val="lrTb"/>
            <w:noWrap w:val="false"/>
          </w:tcPr>
          <w:p>
            <w:pPr>
              <w:pStyle w:val="74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4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pStyle w:val="74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02</w:t>
            </w:r>
            <w:r>
              <w:rPr>
                <w:rFonts w:hint="eastAsia" w:ascii="宋体" w:hAnsi="宋体"/>
                <w:color w:val="000000"/>
                <w:sz w:val="24"/>
                <w:szCs w:val="24"/>
              </w:rPr>
              <w:t xml:space="preserve">4年度或2025年度的年度财务状况报告（复印件并加盖公章，成立不满一年</w:t>
            </w:r>
            <w:bookmarkStart w:id="128" w:name="_Hlk108382233"/>
            <w:r>
              <w:rPr>
                <w:rFonts w:hint="eastAsia" w:ascii="宋体" w:hAnsi="宋体"/>
                <w:iCs/>
                <w:color w:val="000000"/>
                <w:sz w:val="24"/>
                <w:szCs w:val="24"/>
              </w:rPr>
              <w:t xml:space="preserve">仅需提供提交投标文件截止之日前的一个月的会计报表</w:t>
            </w:r>
            <w:bookmarkEnd w:id="128"/>
            <w:r>
              <w:rPr>
                <w:rFonts w:hint="eastAsia" w:ascii="宋体" w:hAnsi="宋体"/>
                <w:color w:val="000000"/>
                <w:sz w:val="24"/>
                <w:szCs w:val="24"/>
              </w:rPr>
              <w:t xml:space="preserve">）</w:t>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4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pStyle w:val="74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49"/>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4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w:t>
            </w:r>
            <w:r>
              <w:rPr>
                <w:rFonts w:hint="eastAsia" w:ascii="宋体" w:hAnsi="宋体"/>
                <w:color w:val="000000"/>
                <w:sz w:val="24"/>
                <w:szCs w:val="24"/>
              </w:rPr>
              <w:t xml:space="preserve">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49"/>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49"/>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186"/>
        </w:trPr>
        <w:tc>
          <w:tcPr>
            <w:tcW w:w="993" w:type="dxa"/>
            <w:vAlign w:val="center"/>
            <w:textDirection w:val="lrTb"/>
            <w:noWrap w:val="false"/>
          </w:tcPr>
          <w:p>
            <w:pPr>
              <w:pStyle w:val="749"/>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4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4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pStyle w:val="74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pStyle w:val="749"/>
              <w:spacing w:after="0" w:line="240" w:lineRule="auto"/>
              <w:widowControl w:val="off"/>
              <w:rPr>
                <w:rFonts w:hint="eastAsia" w:ascii="宋体" w:hAnsi="宋体" w:cs="Arial"/>
                <w:sz w:val="24"/>
                <w:szCs w:val="32"/>
                <w:highlight w:val="yellow"/>
              </w:rPr>
            </w:pPr>
            <w:r>
              <w:rPr>
                <w:rFonts w:hint="eastAsia" w:ascii="宋体" w:hAnsi="宋体" w:cs="Arial"/>
                <w:sz w:val="24"/>
                <w:szCs w:val="32"/>
              </w:rPr>
              <w:t xml:space="preserve">8</w:t>
            </w:r>
            <w:r>
              <w:rPr>
                <w:rFonts w:hint="eastAsia" w:ascii="宋体" w:hAnsi="宋体" w:cs="Arial"/>
                <w:sz w:val="24"/>
                <w:szCs w:val="32"/>
                <w:highlight w:val="yellow"/>
              </w:rPr>
            </w:r>
            <w:r/>
          </w:p>
        </w:tc>
        <w:tc>
          <w:tcPr>
            <w:tcW w:w="6663" w:type="dxa"/>
            <w:vAlign w:val="center"/>
            <w:textDirection w:val="lrTb"/>
            <w:noWrap w:val="false"/>
          </w:tcPr>
          <w:p>
            <w:pPr>
              <w:pStyle w:val="749"/>
              <w:spacing w:line="560" w:lineRule="exact"/>
              <w:rPr>
                <w:rFonts w:ascii="宋体" w:hAnsi="宋体"/>
                <w:color w:val="000000"/>
                <w:sz w:val="24"/>
                <w:szCs w:val="24"/>
              </w:rPr>
            </w:pPr>
            <w:r>
              <w:rPr>
                <w:rFonts w:hint="eastAsia" w:ascii="宋体" w:hAnsi="宋体"/>
                <w:color w:val="000000"/>
                <w:sz w:val="24"/>
                <w:szCs w:val="24"/>
              </w:rPr>
              <w:t xml:space="preserve">本项目的特定资格要求：</w:t>
            </w:r>
            <w:r>
              <w:rPr>
                <w:rFonts w:ascii="宋体" w:hAnsi="宋体"/>
                <w:color w:val="000000"/>
                <w:sz w:val="24"/>
                <w:szCs w:val="24"/>
              </w:rPr>
            </w:r>
            <w:r/>
          </w:p>
          <w:p>
            <w:pPr>
              <w:pStyle w:val="749"/>
              <w:spacing w:line="560" w:lineRule="exact"/>
              <w:rPr>
                <w:rFonts w:hint="eastAsia" w:ascii="宋体" w:hAnsi="宋体"/>
                <w:color w:val="000000"/>
                <w:sz w:val="24"/>
                <w:szCs w:val="24"/>
              </w:rPr>
            </w:pPr>
            <w:r>
              <w:rPr>
                <w:rFonts w:hint="eastAsia" w:ascii="宋体" w:hAnsi="宋体"/>
                <w:color w:val="000000"/>
                <w:sz w:val="24"/>
                <w:szCs w:val="24"/>
              </w:rPr>
              <w:t xml:space="preserve">供应商应具备在有效期内的检验检测机构资质认定证书（CMA），CMA 资质附表中的项目应包含国家市场监督管理总局发布的《食品安全监督抽检实施细则（2026年版）》（提供相关认证证书及附表复印件并加盖CA电子公章），全部附表所对应的证书应为同一机构同一证书编号。</w:t>
            </w:r>
            <w:r/>
          </w:p>
          <w:p>
            <w:pPr>
              <w:pStyle w:val="749"/>
              <w:spacing w:line="560" w:lineRule="exact"/>
              <w:rPr>
                <w:rFonts w:hint="eastAsia" w:ascii="宋体" w:hAnsi="宋体"/>
                <w:color w:val="000000"/>
                <w:sz w:val="24"/>
                <w:szCs w:val="24"/>
              </w:rPr>
            </w:pPr>
            <w:r>
              <w:rPr>
                <w:rFonts w:hint="eastAsia" w:ascii="宋体" w:hAnsi="宋体"/>
                <w:color w:val="000000"/>
                <w:sz w:val="24"/>
                <w:szCs w:val="24"/>
              </w:rPr>
              <w:t xml:space="preserve">正值CMA换证期间的，应提供：</w:t>
            </w:r>
            <w:r/>
          </w:p>
          <w:p>
            <w:pPr>
              <w:pStyle w:val="749"/>
              <w:spacing w:line="560" w:lineRule="exact"/>
              <w:rPr>
                <w:rFonts w:hint="eastAsia" w:ascii="宋体" w:hAnsi="宋体"/>
                <w:color w:val="000000"/>
                <w:sz w:val="24"/>
                <w:szCs w:val="24"/>
              </w:rPr>
            </w:pPr>
            <w:r>
              <w:rPr>
                <w:rFonts w:hint="eastAsia" w:ascii="宋体" w:hAnsi="宋体"/>
                <w:color w:val="000000"/>
                <w:sz w:val="24"/>
                <w:szCs w:val="24"/>
              </w:rPr>
              <w:t xml:space="preserve">①旧证复印件和技术机构向发证机关递交的换证申请相关页；</w:t>
            </w:r>
            <w:r/>
          </w:p>
          <w:p>
            <w:pPr>
              <w:pStyle w:val="749"/>
              <w:spacing w:line="560" w:lineRule="exact"/>
              <w:rPr>
                <w:rFonts w:hint="eastAsia" w:ascii="Calibri" w:hAnsi="Calibri"/>
                <w:highlight w:val="yellow"/>
              </w:rPr>
            </w:pPr>
            <w:r>
              <w:rPr>
                <w:rFonts w:hint="eastAsia" w:ascii="宋体" w:hAnsi="宋体"/>
                <w:color w:val="000000"/>
                <w:sz w:val="24"/>
                <w:szCs w:val="24"/>
              </w:rPr>
              <w:t xml:space="preserve">②加盖法人单位公章的承诺书，承诺新证书和检测能力能在旧证有效期届满前下达并持续有效，保证资质能达到本次工作要求。</w:t>
            </w:r>
            <w:r>
              <w:rPr>
                <w:rFonts w:hint="eastAsia" w:ascii="Calibri" w:hAnsi="Calibri"/>
                <w:highlight w:val="yellow"/>
              </w:rPr>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49"/>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rPr>
                <w:rFonts w:hint="eastAsia" w:ascii="宋体" w:hAnsi="宋体"/>
                <w:color w:val="000000"/>
                <w:sz w:val="24"/>
                <w:szCs w:val="24"/>
              </w:rPr>
            </w:r>
            <w:r/>
          </w:p>
        </w:tc>
        <w:tc>
          <w:tcPr>
            <w:tcW w:w="1275"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bookmarkEnd w:id="127"/>
            <w:r/>
            <w:bookmarkStart w:id="129"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vAlign w:val="top"/>
            <w:textDirection w:val="lrTb"/>
            <w:noWrap w:val="false"/>
          </w:tcPr>
          <w:p>
            <w:pPr>
              <w:pStyle w:val="749"/>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4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49"/>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4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49"/>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pStyle w:val="749"/>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pStyle w:val="749"/>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49"/>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49"/>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4</w:t>
            </w:r>
            <w:r>
              <w:rPr>
                <w:rFonts w:hint="eastAsia" w:ascii="宋体" w:hAnsi="宋体"/>
                <w:iCs/>
                <w:color w:val="000000"/>
                <w:sz w:val="24"/>
                <w:szCs w:val="24"/>
              </w:rPr>
            </w:r>
            <w:r/>
          </w:p>
        </w:tc>
        <w:tc>
          <w:tcPr>
            <w:tcW w:w="6663" w:type="dxa"/>
            <w:vAlign w:val="top"/>
            <w:textDirection w:val="lrTb"/>
            <w:noWrap w:val="false"/>
          </w:tcPr>
          <w:p>
            <w:pPr>
              <w:pStyle w:val="749"/>
              <w:jc w:val="both"/>
              <w:spacing w:after="0" w:line="590" w:lineRule="atLeast"/>
              <w:widowControl w:val="off"/>
              <w:rPr>
                <w:rFonts w:hint="eastAsia" w:ascii="宋体" w:hAnsi="宋体"/>
                <w:color w:val="000000"/>
                <w:sz w:val="24"/>
                <w:szCs w:val="24"/>
              </w:rPr>
            </w:pPr>
            <w:r/>
            <w:bookmarkStart w:id="130" w:name="OLE_LINK8"/>
            <w:r/>
            <w:bookmarkStart w:id="131" w:name="_Hlk123886068"/>
            <w:r>
              <w:rPr>
                <w:rFonts w:hint="eastAsia" w:ascii="宋体" w:hAnsi="宋体"/>
                <w:color w:val="000000"/>
                <w:sz w:val="24"/>
                <w:szCs w:val="24"/>
              </w:rPr>
              <w:t xml:space="preserve">不予分包转包</w:t>
            </w:r>
            <w:bookmarkEnd w:id="130"/>
            <w:r>
              <w:rPr>
                <w:rFonts w:hint="eastAsia" w:ascii="宋体" w:hAnsi="宋体"/>
                <w:color w:val="000000"/>
                <w:sz w:val="24"/>
                <w:szCs w:val="24"/>
              </w:rPr>
              <w:t xml:space="preserve">书面承诺函（格式自拟，内容需满足采购文件要求，原件并加盖CA电子公章）</w:t>
            </w:r>
            <w:bookmarkEnd w:id="131"/>
            <w:r>
              <w:rPr>
                <w:rFonts w:hint="eastAsia" w:ascii="宋体" w:hAnsi="宋体"/>
                <w:color w:val="000000"/>
                <w:sz w:val="24"/>
                <w:szCs w:val="24"/>
              </w:rPr>
            </w:r>
            <w:r/>
          </w:p>
        </w:tc>
        <w:tc>
          <w:tcPr>
            <w:tcW w:w="1275"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49"/>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p>
        </w:tc>
        <w:tc>
          <w:tcPr>
            <w:tcW w:w="6663" w:type="dxa"/>
            <w:vAlign w:val="top"/>
            <w:textDirection w:val="lrTb"/>
            <w:noWrap w:val="false"/>
          </w:tcPr>
          <w:p>
            <w:pPr>
              <w:pStyle w:val="749"/>
              <w:spacing w:after="0" w:line="240" w:lineRule="auto"/>
              <w:rPr>
                <w:rFonts w:hint="eastAsia" w:ascii="宋体" w:hAnsi="宋体"/>
                <w:color w:val="000000"/>
                <w:sz w:val="24"/>
                <w:szCs w:val="24"/>
              </w:rPr>
            </w:pPr>
            <w:r>
              <w:rPr>
                <w:rFonts w:hint="eastAsia" w:ascii="宋体" w:hAnsi="宋体" w:cs="宋体"/>
                <w:sz w:val="24"/>
              </w:rPr>
              <w:t xml:space="preserve">保密要求</w:t>
            </w:r>
            <w:r>
              <w:rPr>
                <w:rFonts w:hint="eastAsia" w:ascii="宋体" w:hAnsi="宋体"/>
                <w:color w:val="000000"/>
                <w:sz w:val="24"/>
                <w:szCs w:val="24"/>
              </w:rPr>
              <w:t xml:space="preserve">书面承诺函（格式自拟，内容需满足采购文件要求，原件并加盖CA电子公章）</w:t>
            </w:r>
            <w:r/>
          </w:p>
        </w:tc>
        <w:tc>
          <w:tcPr>
            <w:tcW w:w="1275"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49"/>
              <w:jc w:val="both"/>
              <w:spacing w:after="0" w:line="240" w:lineRule="auto"/>
              <w:widowControl w:val="off"/>
              <w:rPr>
                <w:rFonts w:ascii="宋体" w:hAnsi="宋体" w:cs="Arial"/>
                <w:sz w:val="24"/>
                <w:szCs w:val="24"/>
              </w:rPr>
            </w:pPr>
            <w:r>
              <w:rPr>
                <w:rFonts w:hint="eastAsia" w:ascii="宋体" w:hAnsi="宋体" w:cs="Arial"/>
                <w:sz w:val="24"/>
                <w:szCs w:val="24"/>
              </w:rPr>
              <w:t xml:space="preserve">6</w:t>
            </w:r>
            <w:r>
              <w:rPr>
                <w:rFonts w:ascii="宋体" w:hAnsi="宋体" w:cs="Arial"/>
                <w:sz w:val="24"/>
                <w:szCs w:val="24"/>
              </w:rPr>
            </w:r>
            <w:r/>
          </w:p>
        </w:tc>
        <w:tc>
          <w:tcPr>
            <w:tcW w:w="6663" w:type="dxa"/>
            <w:vAlign w:val="top"/>
            <w:textDirection w:val="lrTb"/>
            <w:noWrap w:val="false"/>
          </w:tcPr>
          <w:p>
            <w:pPr>
              <w:pStyle w:val="749"/>
              <w:spacing w:after="0" w:line="240" w:lineRule="auto"/>
              <w:rPr>
                <w:rFonts w:hint="eastAsia" w:ascii="宋体" w:hAnsi="宋体" w:cs="宋体"/>
                <w:sz w:val="24"/>
              </w:rPr>
            </w:pPr>
            <w:r>
              <w:rPr>
                <w:rFonts w:hint="eastAsia" w:ascii="宋体" w:hAnsi="宋体" w:cs="宋体"/>
                <w:sz w:val="24"/>
              </w:rPr>
              <w:t xml:space="preserve">成果归属要求书面承诺函（格式自拟，内容需满足采购文件要求，原件并加盖CA电子公章）</w:t>
            </w:r>
            <w:r/>
          </w:p>
        </w:tc>
        <w:tc>
          <w:tcPr>
            <w:tcW w:w="1275"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4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top"/>
            <w:textDirection w:val="lrTb"/>
            <w:noWrap w:val="false"/>
          </w:tcPr>
          <w:p>
            <w:pPr>
              <w:pStyle w:val="749"/>
              <w:jc w:val="both"/>
              <w:spacing w:after="0" w:line="590" w:lineRule="atLeast"/>
              <w:widowControl w:val="off"/>
              <w:rPr>
                <w:rFonts w:ascii="宋体" w:hAnsi="宋体"/>
                <w:color w:val="000000"/>
                <w:sz w:val="24"/>
                <w:szCs w:val="24"/>
              </w:rPr>
            </w:pPr>
            <w:r>
              <w:rPr>
                <w:rFonts w:hint="eastAsia" w:ascii="宋体" w:hAnsi="宋体"/>
                <w:color w:val="000000"/>
                <w:sz w:val="24"/>
                <w:szCs w:val="24"/>
              </w:rPr>
              <w:t xml:space="preserve">按评审顺序未在本采购包之前的其他采购包被列为排名第一的拟中标人（供应商无需提交响应材料，由评标委员会根据评标结果确认即可）</w:t>
            </w:r>
            <w:r>
              <w:rPr>
                <w:rFonts w:ascii="宋体" w:hAnsi="宋体"/>
                <w:color w:val="000000"/>
                <w:sz w:val="24"/>
                <w:szCs w:val="24"/>
              </w:rPr>
            </w:r>
            <w:r/>
          </w:p>
        </w:tc>
        <w:tc>
          <w:tcPr>
            <w:tcW w:w="1275"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4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8</w:t>
            </w:r>
            <w:r/>
          </w:p>
        </w:tc>
        <w:tc>
          <w:tcPr>
            <w:tcW w:w="6663" w:type="dxa"/>
            <w:vAlign w:val="top"/>
            <w:textDirection w:val="lrTb"/>
            <w:noWrap w:val="false"/>
          </w:tcPr>
          <w:p>
            <w:pPr>
              <w:pStyle w:val="749"/>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w:t>
            </w:r>
            <w:r>
              <w:rPr>
                <w:rFonts w:hint="eastAsia" w:ascii="宋体" w:hAnsi="宋体"/>
                <w:color w:val="000000"/>
                <w:sz w:val="24"/>
                <w:szCs w:val="24"/>
              </w:rPr>
              <w:t xml:space="preserve">自行添加删减序号与内容）</w:t>
            </w:r>
            <w:r/>
          </w:p>
        </w:tc>
        <w:tc>
          <w:tcPr>
            <w:tcW w:w="1275"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bookmarkEnd w:id="129"/>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pStyle w:val="749"/>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pStyle w:val="749"/>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p>
      <w:pPr>
        <w:pStyle w:val="74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132" w:name="_Hlk69969156"/>
      <w:r>
        <w:rPr>
          <w:rFonts w:hint="eastAsia" w:ascii="宋体" w:hAnsi="宋体"/>
          <w:b/>
          <w:sz w:val="28"/>
          <w:szCs w:val="28"/>
          <w:u w:val="single"/>
        </w:rPr>
        <w:t xml:space="preserve">（自行添加内容）</w:t>
      </w:r>
      <w:bookmarkEnd w:id="132"/>
      <w:r>
        <w:rPr>
          <w:rFonts w:hint="eastAsia" w:ascii="宋体" w:hAnsi="宋体"/>
          <w:b/>
          <w:sz w:val="28"/>
          <w:szCs w:val="28"/>
          <w:u w:val="single"/>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w:t>
      </w:r>
      <w:r>
        <w:rPr>
          <w:rFonts w:ascii="宋体" w:hAnsi="宋体"/>
          <w:b/>
          <w:sz w:val="28"/>
          <w:szCs w:val="28"/>
          <w:u w:val="single"/>
        </w:rPr>
        <w:t xml:space="preserve">02</w:t>
      </w:r>
      <w:r>
        <w:rPr>
          <w:rFonts w:hint="eastAsia" w:ascii="宋体" w:hAnsi="宋体"/>
          <w:b/>
          <w:sz w:val="28"/>
          <w:szCs w:val="28"/>
          <w:u w:val="single"/>
        </w:rPr>
        <w:t xml:space="preserve">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pStyle w:val="74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w:t>
      </w:r>
      <w:r>
        <w:rPr>
          <w:rFonts w:hint="eastAsia" w:ascii="宋体" w:hAnsi="宋体"/>
          <w:b/>
          <w:sz w:val="28"/>
          <w:szCs w:val="28"/>
          <w:u w:val="single"/>
        </w:rPr>
        <w:t xml:space="preserve">的相关材料（距提交响应文件截止之日前的一年内任意一个月的相关证明材料复印件并加盖CA电子公章）</w:t>
      </w:r>
      <w:r/>
    </w:p>
    <w:p>
      <w:pPr>
        <w:pStyle w:val="74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49"/>
        <w:rPr>
          <w:rFonts w:ascii="Arial" w:hAnsi="Arial"/>
        </w:rPr>
      </w:pPr>
      <w:r>
        <w:rPr>
          <w:rFonts w:ascii="Arial" w:hAnsi="Arial"/>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pStyle w:val="749"/>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133" w:name="_Hlk126856116"/>
      <w:r>
        <w:rPr>
          <w:rFonts w:ascii="宋体" w:hAnsi="宋体"/>
          <w:b/>
          <w:sz w:val="28"/>
          <w:szCs w:val="28"/>
          <w:u w:val="single"/>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shd w:val="nil" w:color="auto"/>
        <w:rPr>
          <w:rFonts w:hint="eastAsia" w:ascii="宋体" w:hAnsi="宋体"/>
          <w:b/>
          <w:bCs/>
          <w:sz w:val="28"/>
          <w:szCs w:val="28"/>
          <w:u w:val="single"/>
        </w:rPr>
      </w:pPr>
      <w:r>
        <w:rPr>
          <w:rFonts w:hint="eastAsia" w:ascii="宋体" w:hAnsi="宋体"/>
          <w:b/>
          <w:sz w:val="28"/>
          <w:szCs w:val="28"/>
          <w:highlight w:val="none"/>
          <w:u w:val="single"/>
        </w:rPr>
        <w:br w:type="page" w:clear="all"/>
      </w:r>
      <w:r>
        <w:rPr>
          <w:rFonts w:hint="eastAsia" w:ascii="宋体" w:hAnsi="宋体"/>
          <w:b/>
          <w:sz w:val="28"/>
          <w:szCs w:val="28"/>
          <w:highlight w:val="none"/>
          <w:u w:val="single"/>
        </w:rPr>
      </w:r>
      <w:r/>
    </w:p>
    <w:p>
      <w:pPr>
        <w:pStyle w:val="749"/>
        <w:jc w:val="both"/>
        <w:spacing w:after="0" w:line="360" w:lineRule="auto"/>
        <w:widowControl w:val="off"/>
        <w:rPr>
          <w:rFonts w:hint="eastAsia" w:ascii="宋体" w:hAnsi="宋体"/>
          <w:b/>
          <w:bCs/>
          <w:sz w:val="28"/>
          <w:szCs w:val="28"/>
          <w:highlight w:val="none"/>
          <w:u w:val="single"/>
        </w:rPr>
      </w:pPr>
      <w:r/>
      <w:bookmarkEnd w:id="133"/>
      <w:r>
        <w:rPr>
          <w:rFonts w:hint="eastAsia" w:ascii="宋体" w:hAnsi="宋体"/>
          <w:b/>
          <w:sz w:val="28"/>
          <w:szCs w:val="28"/>
          <w:u w:val="single"/>
        </w:rPr>
        <w:t xml:space="preserve">5、具备履行合同所必需的设备和专业技术能力的书面声明（格式如下，按要求填写，原件并加盖CA电子公章）</w:t>
      </w:r>
      <w:r/>
    </w:p>
    <w:p>
      <w:pPr>
        <w:pStyle w:val="749"/>
        <w:jc w:val="both"/>
        <w:spacing w:before="50" w:after="50" w:line="240" w:lineRule="auto"/>
        <w:widowControl w:val="off"/>
        <w:rPr>
          <w:rFonts w:ascii="Calibri" w:hAnsi="Calibri"/>
          <w:b/>
          <w:sz w:val="30"/>
          <w:szCs w:val="30"/>
        </w:rPr>
      </w:pPr>
      <w:r>
        <w:rPr>
          <w:rFonts w:ascii="Calibri" w:hAnsi="Calibri"/>
          <w:b/>
          <w:sz w:val="30"/>
          <w:szCs w:val="30"/>
        </w:rPr>
      </w:r>
      <w:r/>
    </w:p>
    <w:p>
      <w:pPr>
        <w:pStyle w:val="749"/>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49"/>
        <w:jc w:val="center"/>
        <w:rPr>
          <w:rFonts w:hint="eastAsia" w:ascii="黑体" w:hAnsi="黑体" w:eastAsia="黑体"/>
          <w:sz w:val="30"/>
          <w:szCs w:val="30"/>
        </w:rPr>
      </w:pPr>
      <w:r>
        <w:rPr>
          <w:rFonts w:hint="eastAsia" w:ascii="黑体" w:hAnsi="黑体" w:eastAsia="黑体"/>
          <w:sz w:val="30"/>
          <w:szCs w:val="30"/>
        </w:rPr>
        <w:t xml:space="preserve">声  明</w:t>
      </w:r>
      <w:r/>
    </w:p>
    <w:p>
      <w:pPr>
        <w:pStyle w:val="749"/>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pStyle w:val="749"/>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pStyle w:val="749"/>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pStyle w:val="749"/>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pStyle w:val="749"/>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49"/>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pStyle w:val="749"/>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pStyle w:val="749"/>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pStyle w:val="749"/>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w:t>
      </w:r>
      <w:r>
        <w:rPr>
          <w:rFonts w:hint="eastAsia" w:ascii="宋体" w:hAnsi="宋体"/>
          <w:bCs/>
          <w:sz w:val="24"/>
          <w:szCs w:val="24"/>
        </w:rPr>
        <w:t xml:space="preserve">采购活动前 3 年内，我单位在经营活动中没有因违法经营受到刑事处罚或者责令停产停业、吊销许可证或者执照、较大数额罚款等行政处罚。</w:t>
      </w:r>
      <w:r/>
    </w:p>
    <w:p>
      <w:pPr>
        <w:pStyle w:val="749"/>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pStyle w:val="749"/>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7</w:t>
      </w:r>
      <w:r>
        <w:rPr>
          <w:rFonts w:hint="eastAsia" w:ascii="宋体" w:hAnsi="宋体"/>
          <w:b/>
          <w:sz w:val="28"/>
          <w:szCs w:val="28"/>
          <w:u w:val="single"/>
        </w:rPr>
        <w:t xml:space="preserve">、未被列入失信被执行人、重大税收违法案件当事人名单、政府采购严重违法失信行为记录名单的证明材料（可以不提供，由代理机构现场查询截图留存为准）</w:t>
      </w:r>
      <w:r/>
    </w:p>
    <w:p>
      <w:pPr>
        <w:pStyle w:val="74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749"/>
        <w:ind w:firstLine="420"/>
        <w:jc w:val="both"/>
        <w:spacing w:after="0" w:line="360" w:lineRule="auto"/>
        <w:widowControl w:val="off"/>
        <w:rPr>
          <w:rFonts w:ascii="宋体" w:hAnsi="宋体" w:eastAsia="楷体_GB2312"/>
          <w:sz w:val="21"/>
          <w:szCs w:val="20"/>
        </w:rPr>
      </w:pPr>
      <w:r>
        <w:rPr>
          <w:rFonts w:ascii="宋体" w:hAnsi="宋体" w:eastAsia="楷体_GB2312"/>
          <w:sz w:val="21"/>
          <w:szCs w:val="20"/>
        </w:rPr>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49"/>
        <w:jc w:val="both"/>
        <w:spacing w:after="0" w:line="360" w:lineRule="auto"/>
        <w:widowControl w:val="off"/>
        <w:rPr>
          <w:rFonts w:hint="eastAsia" w:ascii="宋体" w:hAnsi="宋体"/>
          <w:b/>
          <w:sz w:val="28"/>
          <w:szCs w:val="28"/>
          <w:highlight w:val="yellow"/>
          <w:u w:val="single"/>
        </w:rPr>
      </w:pPr>
      <w:r>
        <w:rPr>
          <w:rFonts w:hint="eastAsia" w:ascii="宋体" w:hAnsi="宋体"/>
          <w:b/>
          <w:sz w:val="28"/>
          <w:szCs w:val="28"/>
          <w:highlight w:val="yellow"/>
          <w:u w:val="single"/>
        </w:rPr>
        <w:br w:type="page" w:clear="all"/>
      </w:r>
      <w:r>
        <w:rPr>
          <w:rFonts w:ascii="宋体" w:hAnsi="宋体"/>
          <w:b/>
          <w:sz w:val="28"/>
          <w:szCs w:val="28"/>
          <w:u w:val="single"/>
        </w:rPr>
        <w:t xml:space="preserve">8</w:t>
      </w:r>
      <w:r>
        <w:rPr>
          <w:rFonts w:hint="eastAsia" w:ascii="宋体" w:hAnsi="宋体"/>
          <w:b/>
          <w:sz w:val="28"/>
          <w:szCs w:val="28"/>
          <w:u w:val="single"/>
        </w:rPr>
        <w:t xml:space="preserve">、特定资格要求</w:t>
      </w:r>
      <w:r>
        <w:rPr>
          <w:rFonts w:hint="eastAsia" w:ascii="宋体" w:hAnsi="宋体"/>
          <w:b/>
          <w:sz w:val="28"/>
          <w:szCs w:val="28"/>
          <w:highlight w:val="yellow"/>
          <w:u w:val="single"/>
        </w:rPr>
      </w:r>
      <w:r/>
    </w:p>
    <w:p>
      <w:pPr>
        <w:pStyle w:val="749"/>
        <w:ind w:firstLine="480"/>
        <w:jc w:val="both"/>
        <w:spacing w:after="0" w:line="560" w:lineRule="exact"/>
        <w:widowControl w:val="off"/>
        <w:rPr>
          <w:rFonts w:ascii="宋体" w:hAnsi="宋体"/>
          <w:iCs/>
          <w:sz w:val="24"/>
          <w:szCs w:val="24"/>
        </w:rPr>
      </w:pPr>
      <w:r>
        <w:rPr>
          <w:rFonts w:hint="eastAsia" w:ascii="宋体" w:hAnsi="宋体"/>
          <w:iCs/>
          <w:sz w:val="24"/>
          <w:szCs w:val="24"/>
        </w:rPr>
        <w:t xml:space="preserve">供应商应具备在有效期内的检验检测机构资质认定证书（CMA），CMA 资质附表中的项目</w:t>
      </w:r>
      <w:r>
        <w:rPr>
          <w:rFonts w:hint="eastAsia" w:ascii="宋体" w:hAnsi="宋体"/>
          <w:b/>
          <w:iCs/>
          <w:sz w:val="24"/>
          <w:szCs w:val="24"/>
        </w:rPr>
        <w:t xml:space="preserve">应包含国家市场监督管理总局发布的《食品安全监督抽检实施细则（2026年版）》</w:t>
      </w:r>
      <w:r>
        <w:rPr>
          <w:rFonts w:hint="eastAsia" w:ascii="宋体" w:hAnsi="宋体"/>
          <w:iCs/>
          <w:sz w:val="24"/>
          <w:szCs w:val="24"/>
        </w:rPr>
        <w:t xml:space="preserve">（提供相关认证证书及附表复印件并加盖CA电子公章），全部附表所对应的证书应为同一机构同一证书编号。</w:t>
      </w:r>
      <w:r>
        <w:rPr>
          <w:rFonts w:ascii="宋体" w:hAnsi="宋体"/>
          <w:iCs/>
          <w:sz w:val="24"/>
          <w:szCs w:val="24"/>
        </w:rPr>
      </w:r>
      <w:r/>
    </w:p>
    <w:p>
      <w:pPr>
        <w:pStyle w:val="749"/>
        <w:ind w:firstLine="482"/>
        <w:jc w:val="both"/>
        <w:spacing w:after="0" w:line="560" w:lineRule="exact"/>
        <w:widowControl w:val="off"/>
        <w:rPr>
          <w:rFonts w:hint="eastAsia" w:ascii="宋体" w:hAnsi="宋体"/>
          <w:b/>
          <w:bCs/>
          <w:iCs/>
          <w:sz w:val="24"/>
          <w:szCs w:val="24"/>
        </w:rPr>
      </w:pPr>
      <w:r>
        <w:rPr>
          <w:rFonts w:hint="eastAsia" w:ascii="宋体" w:hAnsi="宋体"/>
          <w:b/>
          <w:bCs/>
          <w:iCs/>
          <w:sz w:val="24"/>
          <w:szCs w:val="24"/>
        </w:rPr>
        <w:t xml:space="preserve">正值CMA换证期间的，应提供：</w:t>
      </w:r>
      <w:r/>
    </w:p>
    <w:p>
      <w:pPr>
        <w:pStyle w:val="749"/>
        <w:ind w:firstLine="482"/>
        <w:jc w:val="both"/>
        <w:spacing w:after="0" w:line="560" w:lineRule="exact"/>
        <w:widowControl w:val="off"/>
        <w:rPr>
          <w:rFonts w:hint="eastAsia" w:ascii="宋体" w:hAnsi="宋体"/>
          <w:b/>
          <w:bCs/>
          <w:iCs/>
          <w:sz w:val="24"/>
          <w:szCs w:val="24"/>
        </w:rPr>
      </w:pPr>
      <w:r>
        <w:rPr>
          <w:rFonts w:hint="eastAsia" w:ascii="宋体" w:hAnsi="宋体"/>
          <w:b/>
          <w:bCs/>
          <w:iCs/>
          <w:sz w:val="24"/>
          <w:szCs w:val="24"/>
        </w:rPr>
        <w:t xml:space="preserve">①旧证复印件和技术机构向发证机关递交的换证申请相关页；</w:t>
      </w:r>
      <w:r/>
    </w:p>
    <w:p>
      <w:pPr>
        <w:pStyle w:val="749"/>
        <w:ind w:firstLine="482"/>
        <w:jc w:val="both"/>
        <w:spacing w:after="0" w:line="360" w:lineRule="auto"/>
        <w:widowControl w:val="off"/>
        <w:rPr>
          <w:rFonts w:ascii="宋体" w:hAnsi="宋体"/>
          <w:b/>
          <w:bCs/>
          <w:iCs/>
          <w:sz w:val="24"/>
          <w:szCs w:val="24"/>
        </w:rPr>
      </w:pPr>
      <w:r>
        <w:rPr>
          <w:rFonts w:hint="eastAsia" w:ascii="宋体" w:hAnsi="宋体"/>
          <w:b/>
          <w:bCs/>
          <w:iCs/>
          <w:sz w:val="24"/>
          <w:szCs w:val="24"/>
        </w:rPr>
        <w:t xml:space="preserve">②加盖法人单位公章的承诺书，承诺新证书和检测能力能在旧证有效期届满前下达并持续有效，保证资质能达到本次工作要求。</w:t>
      </w:r>
      <w:r>
        <w:rPr>
          <w:rFonts w:ascii="宋体" w:hAnsi="宋体"/>
          <w:b/>
          <w:bCs/>
          <w:iCs/>
          <w:sz w:val="24"/>
          <w:szCs w:val="24"/>
        </w:rPr>
      </w:r>
      <w:r/>
    </w:p>
    <w:p>
      <w:pPr>
        <w:pStyle w:val="74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49"/>
        <w:rPr>
          <w:rFonts w:hint="eastAsia" w:ascii="宋体" w:hAnsi="宋体"/>
          <w:b/>
          <w:sz w:val="28"/>
          <w:szCs w:val="28"/>
        </w:rPr>
      </w:pPr>
      <w:r>
        <w:rPr>
          <w:rFonts w:hint="eastAsia" w:ascii="宋体" w:hAnsi="宋体"/>
          <w:b/>
          <w:sz w:val="28"/>
          <w:szCs w:val="28"/>
        </w:rPr>
      </w:r>
      <w:r/>
    </w:p>
    <w:p>
      <w:pPr>
        <w:pStyle w:val="749"/>
        <w:spacing w:after="120" w:line="460" w:lineRule="exact"/>
        <w:rPr>
          <w:rFonts w:hint="eastAsia" w:ascii="宋体" w:hAnsi="宋体"/>
          <w:b/>
          <w:color w:val="000000"/>
          <w:sz w:val="28"/>
          <w:szCs w:val="28"/>
        </w:rPr>
      </w:pPr>
      <w:r>
        <w:rPr>
          <w:rFonts w:hint="eastAsia" w:ascii="宋体" w:hAnsi="宋体"/>
          <w:b/>
          <w:sz w:val="28"/>
          <w:szCs w:val="28"/>
        </w:rPr>
        <w:br w:type="page" w:clear="all"/>
      </w:r>
      <w:r>
        <w:rPr>
          <w:rFonts w:ascii="宋体" w:hAnsi="宋体"/>
          <w:b/>
          <w:sz w:val="28"/>
          <w:szCs w:val="28"/>
        </w:rPr>
        <w:t xml:space="preserve">9</w:t>
      </w:r>
      <w:r>
        <w:rPr>
          <w:rFonts w:hint="eastAsia" w:ascii="宋体" w:hAnsi="宋体"/>
          <w:b/>
          <w:sz w:val="28"/>
          <w:szCs w:val="28"/>
        </w:rPr>
        <w:t xml:space="preserve">、</w:t>
      </w:r>
      <w:bookmarkStart w:id="134" w:name="_Hlk107592330"/>
      <w:r>
        <w:rPr>
          <w:rFonts w:hint="eastAsia" w:ascii="宋体" w:hAnsi="宋体"/>
          <w:b/>
          <w:color w:val="000000"/>
          <w:sz w:val="28"/>
          <w:szCs w:val="28"/>
        </w:rPr>
        <w:t xml:space="preserve">其他资格要求承诺函（格式如下，不得随意更改，加盖公章）</w:t>
      </w:r>
      <w:r/>
    </w:p>
    <w:p>
      <w:pPr>
        <w:pStyle w:val="749"/>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pStyle w:val="749"/>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pStyle w:val="74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w:t>
      </w:r>
      <w:r>
        <w:rPr>
          <w:rFonts w:hint="eastAsia" w:ascii="宋体" w:hAnsi="宋体"/>
          <w:color w:val="000000"/>
          <w:sz w:val="28"/>
          <w:szCs w:val="28"/>
        </w:rPr>
        <w:t xml:space="preserve">位独立参加本项目采购活动，未与其他潜在供应商组成联合体响应。未提供进口产品投标。</w:t>
      </w:r>
      <w:r/>
    </w:p>
    <w:p>
      <w:pPr>
        <w:pStyle w:val="74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pStyle w:val="74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pStyle w:val="74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pStyle w:val="74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pStyle w:val="749"/>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pStyle w:val="749"/>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49"/>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pStyle w:val="749"/>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pStyle w:val="74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49"/>
        <w:jc w:val="both"/>
        <w:spacing w:after="0" w:line="360" w:lineRule="auto"/>
        <w:widowControl w:val="off"/>
        <w:rPr>
          <w:rFonts w:hint="eastAsia" w:ascii="宋体" w:hAnsi="宋体"/>
          <w:b/>
          <w:sz w:val="28"/>
          <w:szCs w:val="28"/>
          <w:u w:val="single"/>
        </w:rPr>
      </w:pPr>
      <w:r/>
      <w:bookmarkEnd w:id="134"/>
      <w:r>
        <w:rPr>
          <w:rFonts w:hint="eastAsia" w:ascii="宋体" w:hAnsi="宋体"/>
          <w:b/>
          <w:sz w:val="28"/>
          <w:szCs w:val="28"/>
          <w:u w:val="single"/>
        </w:rPr>
      </w:r>
      <w:r/>
    </w:p>
    <w:p>
      <w:pPr>
        <w:pStyle w:val="749"/>
        <w:jc w:val="both"/>
        <w:spacing w:after="0" w:line="240" w:lineRule="auto"/>
        <w:widowControl w:val="off"/>
        <w:rPr>
          <w:rFonts w:ascii="宋体"/>
          <w:sz w:val="21"/>
        </w:rPr>
      </w:pPr>
      <w:r>
        <w:rPr>
          <w:rFonts w:ascii="宋体"/>
          <w:sz w:val="21"/>
        </w:rPr>
      </w:r>
      <w:r/>
    </w:p>
    <w:p>
      <w:pPr>
        <w:pStyle w:val="749"/>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t xml:space="preserve">附件（二）符合性检查证明材料</w:t>
      </w:r>
      <w:r/>
    </w:p>
    <w:p>
      <w:pPr>
        <w:pStyle w:val="749"/>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49"/>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49"/>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w:t>
      </w:r>
      <w:r>
        <w:rPr>
          <w:rFonts w:hint="eastAsia"/>
          <w:sz w:val="24"/>
          <w:szCs w:val="24"/>
        </w:rPr>
        <w:t xml:space="preserve">全权处理一切与该项目采购有关的事务。</w:t>
      </w:r>
      <w:r>
        <w:rPr>
          <w:sz w:val="24"/>
          <w:szCs w:val="24"/>
        </w:rPr>
      </w:r>
      <w:r/>
    </w:p>
    <w:p>
      <w:pPr>
        <w:pStyle w:val="749"/>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49"/>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49"/>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49"/>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49"/>
        <w:ind w:firstLine="720"/>
        <w:jc w:val="both"/>
        <w:spacing w:after="62" w:line="360" w:lineRule="auto"/>
        <w:widowControl w:val="off"/>
        <w:tabs>
          <w:tab w:val="left" w:pos="360" w:leader="none"/>
        </w:tabs>
        <w:rPr>
          <w:sz w:val="24"/>
          <w:szCs w:val="24"/>
          <w:u w:val="single"/>
        </w:rPr>
      </w:pPr>
      <w:r>
        <w:rPr>
          <w:sz w:val="24"/>
          <w:szCs w:val="24"/>
          <w:u w:val="single"/>
        </w:rPr>
      </w:r>
      <w:r/>
    </w:p>
    <w:p>
      <w:pPr>
        <w:pStyle w:val="749"/>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rFonts w:hint="eastAsia"/>
          <w:sz w:val="24"/>
          <w:szCs w:val="24"/>
        </w:rPr>
        <w:t xml:space="preserve">_________________________________</w:t>
      </w:r>
      <w:r>
        <w:rPr>
          <w:sz w:val="24"/>
          <w:szCs w:val="24"/>
        </w:rPr>
      </w:r>
      <w:r/>
    </w:p>
    <w:p>
      <w:pPr>
        <w:pStyle w:val="749"/>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49"/>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35" w:name="_格式3__银行出具的资信证明"/>
      <w:r/>
      <w:bookmarkEnd w:id="135"/>
      <w:r/>
      <w:bookmarkStart w:id="136" w:name="_Hlt26955070"/>
      <w:r/>
      <w:bookmarkEnd w:id="136"/>
      <w:r/>
      <w:bookmarkStart w:id="137" w:name="_Hlt26671380"/>
      <w:r/>
      <w:bookmarkEnd w:id="137"/>
      <w:r>
        <w:rPr>
          <w:rFonts w:hint="eastAsia"/>
          <w:sz w:val="24"/>
          <w:szCs w:val="24"/>
          <w:u w:val="single"/>
        </w:rPr>
        <w:t xml:space="preserve">                                         </w:t>
      </w:r>
      <w:r>
        <w:rPr>
          <w:sz w:val="24"/>
          <w:szCs w:val="24"/>
        </w:rPr>
      </w:r>
      <w:r/>
    </w:p>
    <w:p>
      <w:pPr>
        <w:pStyle w:val="749"/>
        <w:jc w:val="both"/>
        <w:spacing w:after="0" w:line="360" w:lineRule="auto"/>
        <w:widowControl w:val="off"/>
        <w:tabs>
          <w:tab w:val="left" w:pos="360" w:leader="none"/>
        </w:tabs>
        <w:rPr>
          <w:sz w:val="24"/>
          <w:szCs w:val="24"/>
        </w:rPr>
      </w:pPr>
      <w:r>
        <w:rPr>
          <w:sz w:val="24"/>
          <w:szCs w:val="24"/>
        </w:rPr>
      </w:r>
      <w:r/>
    </w:p>
    <w:p>
      <w:pPr>
        <w:pStyle w:val="749"/>
        <w:ind w:firstLine="420"/>
        <w:jc w:val="both"/>
        <w:spacing w:after="0" w:line="240" w:lineRule="auto"/>
        <w:widowControl w:val="off"/>
        <w:rPr>
          <w:iCs/>
          <w:sz w:val="24"/>
          <w:szCs w:val="24"/>
          <w:u w:val="single"/>
        </w:rPr>
      </w:pPr>
      <w:r>
        <w:rPr>
          <w:iCs/>
          <w:sz w:val="24"/>
          <w:szCs w:val="24"/>
          <w:u w:val="single"/>
        </w:rPr>
      </w:r>
      <w:r/>
    </w:p>
    <w:p>
      <w:pPr>
        <w:pStyle w:val="749"/>
        <w:ind w:firstLine="420"/>
        <w:jc w:val="both"/>
        <w:spacing w:after="0" w:line="240" w:lineRule="auto"/>
        <w:widowControl w:val="off"/>
        <w:rPr>
          <w:iCs/>
          <w:sz w:val="21"/>
        </w:rPr>
      </w:pPr>
      <w:r>
        <w:rPr>
          <w:iCs/>
          <w:sz w:val="21"/>
        </w:rPr>
      </w:r>
      <w:r/>
    </w:p>
    <w:p>
      <w:pPr>
        <w:pStyle w:val="749"/>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r>
        <w:rPr>
          <w:color w:val="000000"/>
          <w:sz w:val="32"/>
          <w:szCs w:val="32"/>
        </w:rPr>
      </w:r>
      <w:r/>
    </w:p>
    <w:p>
      <w:pPr>
        <w:pStyle w:val="749"/>
        <w:ind w:firstLine="420"/>
        <w:rPr>
          <w:color w:val="000000"/>
          <w:sz w:val="32"/>
          <w:szCs w:val="32"/>
        </w:rPr>
      </w:pPr>
      <w:r>
        <w:rPr>
          <w:color w:val="000000"/>
          <w:sz w:val="32"/>
          <w:szCs w:val="32"/>
        </w:rPr>
      </w:r>
      <w:r/>
    </w:p>
    <w:p>
      <w:pPr>
        <w:pStyle w:val="749"/>
        <w:ind w:firstLine="420"/>
        <w:rPr>
          <w:color w:val="000000"/>
          <w:sz w:val="32"/>
          <w:szCs w:val="32"/>
        </w:rPr>
      </w:pPr>
      <w:r>
        <w:rPr>
          <w:color w:val="000000"/>
          <w:sz w:val="32"/>
          <w:szCs w:val="32"/>
        </w:rPr>
      </w:r>
      <w:r/>
    </w:p>
    <w:p>
      <w:pPr>
        <w:pStyle w:val="749"/>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rPr>
          <w:color w:val="000000"/>
          <w:sz w:val="28"/>
          <w:szCs w:val="28"/>
        </w:rPr>
      </w:r>
      <w:r/>
    </w:p>
    <w:p>
      <w:pPr>
        <w:pStyle w:val="749"/>
        <w:ind w:firstLine="420"/>
        <w:jc w:val="both"/>
        <w:spacing w:after="0" w:line="240" w:lineRule="auto"/>
        <w:widowControl w:val="off"/>
        <w:rPr>
          <w:b/>
          <w:sz w:val="32"/>
          <w:szCs w:val="32"/>
        </w:rPr>
      </w:pPr>
      <w:r>
        <w:rPr>
          <w:b/>
          <w:sz w:val="32"/>
          <w:szCs w:val="32"/>
        </w:rPr>
      </w:r>
      <w:r/>
    </w:p>
    <w:p>
      <w:pPr>
        <w:pStyle w:val="749"/>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pStyle w:val="749"/>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49"/>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w:t>
      </w:r>
      <w:r>
        <w:rPr>
          <w:rFonts w:hint="eastAsia" w:ascii="宋体" w:hAnsi="Arial"/>
          <w:sz w:val="24"/>
        </w:rPr>
        <w:t xml:space="preserve">______（投标人的名称），全权处理本次项目投标的有关事宜。</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49"/>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49"/>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rPr>
          <w:rFonts w:ascii="宋体" w:hAnsi="Arial"/>
          <w:sz w:val="24"/>
        </w:rPr>
      </w:r>
      <w:r/>
    </w:p>
    <w:p>
      <w:pPr>
        <w:pStyle w:val="749"/>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49"/>
        <w:jc w:val="both"/>
        <w:spacing w:after="0" w:line="460" w:lineRule="exact"/>
        <w:widowControl w:val="off"/>
        <w:rPr>
          <w:rFonts w:ascii="宋体"/>
          <w:bCs/>
          <w:sz w:val="24"/>
        </w:rPr>
      </w:pPr>
      <w:r>
        <w:rPr>
          <w:rFonts w:ascii="宋体"/>
          <w:bCs/>
          <w:sz w:val="24"/>
        </w:rPr>
      </w:r>
      <w:r/>
    </w:p>
    <w:p>
      <w:pPr>
        <w:pStyle w:val="749"/>
        <w:jc w:val="center"/>
        <w:spacing w:after="0" w:line="240" w:lineRule="auto"/>
        <w:widowControl w:val="off"/>
        <w:rPr>
          <w:b/>
          <w:sz w:val="32"/>
          <w:szCs w:val="32"/>
        </w:rPr>
      </w:pPr>
      <w:r>
        <w:rPr>
          <w:b/>
          <w:sz w:val="32"/>
          <w:szCs w:val="32"/>
        </w:rPr>
      </w:r>
      <w:r/>
    </w:p>
    <w:p>
      <w:pPr>
        <w:pStyle w:val="749"/>
        <w:jc w:val="center"/>
        <w:spacing w:after="0" w:line="240" w:lineRule="auto"/>
        <w:widowControl w:val="off"/>
        <w:rPr>
          <w:b/>
          <w:sz w:val="32"/>
          <w:szCs w:val="32"/>
        </w:rPr>
      </w:pPr>
      <w:r>
        <w:rPr>
          <w:b/>
          <w:sz w:val="32"/>
          <w:szCs w:val="32"/>
        </w:rPr>
      </w:r>
      <w:r/>
    </w:p>
    <w:p>
      <w:pPr>
        <w:shd w:val="nil" w:color="auto"/>
        <w:rPr>
          <w:rFonts w:hint="eastAsia" w:ascii="宋体" w:hAnsi="宋体"/>
          <w:b/>
          <w:bCs/>
          <w:sz w:val="28"/>
          <w:szCs w:val="28"/>
        </w:rPr>
      </w:pPr>
      <w:r>
        <w:rPr>
          <w:rFonts w:hint="eastAsia" w:ascii="宋体" w:hAnsi="宋体"/>
          <w:b/>
          <w:sz w:val="28"/>
          <w:szCs w:val="28"/>
          <w:highlight w:val="none"/>
        </w:rPr>
        <w:br w:type="page" w:clear="all"/>
      </w: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w:t>
      </w:r>
      <w:r>
        <w:rPr>
          <w:rFonts w:hint="eastAsia" w:ascii="宋体" w:hAnsi="宋体"/>
          <w:b/>
          <w:sz w:val="28"/>
          <w:szCs w:val="28"/>
        </w:rPr>
        <w:t xml:space="preserve">加盖CA电子公章）。</w:t>
      </w:r>
      <w:r>
        <w:rPr>
          <w:rFonts w:hint="eastAsia" w:ascii="宋体" w:hAnsi="宋体"/>
          <w:b/>
          <w:bCs/>
          <w:sz w:val="28"/>
          <w:szCs w:val="28"/>
        </w:rPr>
      </w:r>
      <w:r/>
    </w:p>
    <w:p>
      <w:pPr>
        <w:pStyle w:val="749"/>
        <w:jc w:val="center"/>
        <w:rPr>
          <w:rFonts w:hint="eastAsia" w:ascii="宋体" w:hAnsi="宋体" w:cs="宋体"/>
          <w:b/>
          <w:bCs/>
          <w:sz w:val="48"/>
          <w:szCs w:val="48"/>
        </w:rPr>
      </w:pPr>
      <w:r/>
      <w:bookmarkStart w:id="138" w:name="_Toc192946476"/>
      <w:r>
        <w:rPr>
          <w:rFonts w:ascii="宋体" w:hAnsi="宋体" w:cs="宋体"/>
          <w:b/>
          <w:bCs/>
          <w:sz w:val="48"/>
          <w:szCs w:val="48"/>
        </w:rPr>
        <w:t xml:space="preserve">开标一览表</w:t>
      </w:r>
      <w:bookmarkEnd w:id="138"/>
      <w:r>
        <w:rPr>
          <w:rFonts w:hint="eastAsia" w:ascii="宋体" w:hAnsi="宋体" w:cs="宋体"/>
          <w:b/>
          <w:bCs/>
          <w:sz w:val="48"/>
          <w:szCs w:val="48"/>
        </w:rPr>
        <w:t xml:space="preserve">（单价）</w:t>
      </w:r>
      <w:r/>
    </w:p>
    <w:p>
      <w:pPr>
        <w:pStyle w:val="749"/>
        <w:ind w:firstLine="480"/>
        <w:jc w:val="both"/>
        <w:spacing w:after="0" w:line="240" w:lineRule="auto"/>
        <w:widowControl w:val="off"/>
        <w:rPr>
          <w:rFonts w:hint="eastAsia" w:ascii="宋体" w:hAnsi="宋体"/>
          <w:color w:val="000000"/>
          <w:sz w:val="24"/>
          <w:szCs w:val="24"/>
        </w:rPr>
      </w:pPr>
      <w:r/>
      <w:bookmarkStart w:id="139" w:name="_Hlk176357545"/>
      <w:r>
        <w:rPr>
          <w:rFonts w:hint="eastAsia" w:ascii="宋体" w:hAnsi="宋体"/>
          <w:color w:val="000000"/>
          <w:sz w:val="24"/>
          <w:szCs w:val="24"/>
        </w:rPr>
        <w:t xml:space="preserve">投标人全称（加盖CA电子公章）：</w:t>
      </w:r>
      <w:r/>
    </w:p>
    <w:p>
      <w:pPr>
        <w:pStyle w:val="749"/>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49"/>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49"/>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投标总报价（单价）</w:t>
            </w:r>
            <w:r/>
          </w:p>
        </w:tc>
      </w:tr>
      <w:tr>
        <w:trPr>
          <w:cantSplit/>
          <w:trHeight w:val="612"/>
        </w:trPr>
        <w:tc>
          <w:tcPr>
            <w:tcW w:w="8886" w:type="dxa"/>
            <w:vAlign w:val="center"/>
            <w:textDirection w:val="lrTb"/>
            <w:noWrap w:val="false"/>
          </w:tcPr>
          <w:p>
            <w:pPr>
              <w:pStyle w:val="749"/>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4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49"/>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39"/>
      <w:r>
        <w:rPr>
          <w:rFonts w:hint="eastAsia" w:ascii="宋体" w:hAnsi="宋体"/>
          <w:color w:val="000000"/>
          <w:sz w:val="24"/>
          <w:szCs w:val="24"/>
        </w:rPr>
        <w:t xml:space="preserve">日</w:t>
      </w:r>
      <w:r/>
    </w:p>
    <w:p>
      <w:pPr>
        <w:pStyle w:val="749"/>
        <w:rPr>
          <w:rFonts w:hint="eastAsia" w:ascii="宋体" w:hAnsi="宋体" w:cs="宋体"/>
          <w:b/>
          <w:bCs/>
          <w:sz w:val="28"/>
          <w:szCs w:val="28"/>
        </w:rPr>
      </w:pPr>
      <w:r>
        <w:rPr>
          <w:rFonts w:hint="eastAsia" w:ascii="宋体" w:hAnsi="宋体" w:cs="宋体"/>
          <w:b/>
          <w:bCs/>
          <w:sz w:val="28"/>
          <w:szCs w:val="28"/>
        </w:rPr>
        <w:t xml:space="preserve">注：</w:t>
      </w:r>
      <w:r/>
    </w:p>
    <w:p>
      <w:pPr>
        <w:pStyle w:val="749"/>
        <w:rPr>
          <w:rFonts w:hint="eastAsia" w:ascii="宋体" w:hAnsi="宋体" w:cs="宋体"/>
          <w:b/>
          <w:bCs/>
          <w:sz w:val="28"/>
          <w:szCs w:val="28"/>
        </w:rPr>
      </w:pPr>
      <w:r>
        <w:rPr>
          <w:rFonts w:hint="eastAsia" w:ascii="宋体" w:hAnsi="宋体" w:cs="宋体"/>
          <w:b/>
          <w:bCs/>
          <w:sz w:val="28"/>
          <w:szCs w:val="28"/>
        </w:rPr>
        <w:t xml:space="preserve">1.请仔细阅读本文件“第二章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p>
    <w:p>
      <w:pPr>
        <w:pStyle w:val="749"/>
        <w:rPr>
          <w:rFonts w:hint="eastAsia" w:ascii="宋体" w:hAnsi="宋体" w:cs="宋体"/>
          <w:b/>
          <w:bCs/>
          <w:sz w:val="28"/>
          <w:szCs w:val="28"/>
        </w:rPr>
      </w:pPr>
      <w:r/>
      <w:bookmarkStart w:id="140" w:name="OLE_LINK5"/>
      <w:r>
        <w:rPr>
          <w:rFonts w:hint="eastAsia" w:ascii="宋体" w:hAnsi="宋体" w:cs="宋体"/>
          <w:b/>
          <w:bCs/>
          <w:sz w:val="28"/>
          <w:szCs w:val="28"/>
        </w:rPr>
        <w:t xml:space="preserve">2.投标人投标报价不得超出单项报价合计价最高限价，</w:t>
      </w:r>
      <w:r>
        <w:rPr>
          <w:rFonts w:hint="eastAsia"/>
        </w:rPr>
        <w:t xml:space="preserve"> </w:t>
      </w:r>
      <w:r>
        <w:rPr>
          <w:rFonts w:hint="eastAsia" w:ascii="宋体" w:hAnsi="宋体" w:cs="宋体"/>
          <w:b/>
          <w:bCs/>
          <w:sz w:val="28"/>
          <w:szCs w:val="28"/>
        </w:rPr>
        <w:t xml:space="preserve">最高限价为￥19200.00/批次。</w:t>
      </w:r>
      <w:r/>
    </w:p>
    <w:p>
      <w:pPr>
        <w:pStyle w:val="749"/>
        <w:rPr>
          <w:rFonts w:hint="eastAsia" w:ascii="宋体" w:hAnsi="宋体" w:cs="宋体"/>
          <w:b/>
          <w:bCs/>
          <w:sz w:val="28"/>
          <w:szCs w:val="28"/>
        </w:rPr>
      </w:pPr>
      <w:r>
        <w:rPr>
          <w:rFonts w:hint="eastAsia" w:ascii="宋体" w:hAnsi="宋体" w:cs="宋体"/>
          <w:b/>
          <w:bCs/>
          <w:sz w:val="28"/>
          <w:szCs w:val="28"/>
        </w:rPr>
        <w:t xml:space="preserve">3.此处填写</w:t>
      </w:r>
      <w:r>
        <w:rPr>
          <w:rFonts w:ascii="宋体" w:hAnsi="宋体" w:cs="宋体"/>
          <w:b/>
          <w:bCs/>
          <w:sz w:val="28"/>
          <w:szCs w:val="28"/>
        </w:rPr>
        <w:t xml:space="preserve">“</w:t>
      </w:r>
      <w:r>
        <w:rPr>
          <w:rFonts w:hint="eastAsia" w:ascii="宋体" w:hAnsi="宋体" w:cs="宋体"/>
          <w:b/>
          <w:bCs/>
          <w:sz w:val="28"/>
          <w:szCs w:val="28"/>
        </w:rPr>
        <w:t xml:space="preserve">四、投标产品配置及分项报价表</w:t>
      </w:r>
      <w:r>
        <w:rPr>
          <w:rFonts w:ascii="宋体" w:hAnsi="宋体" w:cs="宋体"/>
          <w:b/>
          <w:bCs/>
          <w:sz w:val="28"/>
          <w:szCs w:val="28"/>
        </w:rPr>
        <w:t xml:space="preserve">”</w:t>
      </w:r>
      <w:r>
        <w:rPr>
          <w:rFonts w:hint="eastAsia" w:ascii="宋体" w:hAnsi="宋体" w:cs="宋体"/>
          <w:b/>
          <w:bCs/>
          <w:sz w:val="28"/>
          <w:szCs w:val="28"/>
        </w:rPr>
        <w:t xml:space="preserve">的</w:t>
      </w:r>
      <w:r>
        <w:rPr>
          <w:rFonts w:ascii="宋体" w:hAnsi="宋体" w:cs="宋体"/>
          <w:b/>
          <w:bCs/>
          <w:sz w:val="28"/>
          <w:szCs w:val="28"/>
        </w:rPr>
        <w:t xml:space="preserve">“</w:t>
      </w:r>
      <w:r>
        <w:rPr>
          <w:rFonts w:hint="eastAsia" w:ascii="宋体" w:hAnsi="宋体" w:cs="宋体"/>
          <w:b/>
          <w:bCs/>
          <w:sz w:val="28"/>
          <w:szCs w:val="28"/>
        </w:rPr>
        <w:t xml:space="preserve">单价报价合计价</w:t>
      </w:r>
      <w:r>
        <w:rPr>
          <w:rFonts w:ascii="宋体" w:hAnsi="宋体" w:cs="宋体"/>
          <w:b/>
          <w:bCs/>
          <w:sz w:val="28"/>
          <w:szCs w:val="28"/>
        </w:rPr>
        <w:t xml:space="preserve">”</w:t>
      </w:r>
      <w:r>
        <w:rPr>
          <w:rFonts w:hint="eastAsia" w:ascii="宋体" w:hAnsi="宋体" w:cs="宋体"/>
          <w:b/>
          <w:bCs/>
          <w:sz w:val="28"/>
          <w:szCs w:val="28"/>
        </w:rPr>
        <w:t xml:space="preserve">,仅用于评审时计算价格分，无实际含义。</w:t>
      </w:r>
      <w:bookmarkEnd w:id="140"/>
      <w:r>
        <w:rPr>
          <w:rFonts w:hint="eastAsia" w:ascii="宋体" w:hAnsi="宋体" w:cs="宋体"/>
          <w:b/>
          <w:bCs/>
          <w:sz w:val="28"/>
          <w:szCs w:val="28"/>
        </w:rPr>
      </w:r>
      <w:r/>
    </w:p>
    <w:p>
      <w:pPr>
        <w:pStyle w:val="749"/>
        <w:ind w:left="492"/>
        <w:jc w:val="both"/>
        <w:spacing w:after="0" w:line="460" w:lineRule="exact"/>
        <w:widowControl w:val="off"/>
        <w:rPr>
          <w:rFonts w:hint="eastAsia" w:ascii="宋体" w:hAnsi="宋体"/>
          <w:b/>
          <w:sz w:val="28"/>
          <w:szCs w:val="28"/>
        </w:rPr>
      </w:pPr>
      <w:r>
        <w:rPr>
          <w:rFonts w:hint="eastAsia" w:ascii="宋体"/>
          <w:b/>
          <w:bCs/>
          <w:sz w:val="24"/>
        </w:rPr>
        <w:br w:type="page" w:clear="all"/>
      </w:r>
      <w:r>
        <w:rPr>
          <w:rFonts w:hint="eastAsia" w:ascii="宋体" w:hAnsi="宋体"/>
          <w:b/>
          <w:sz w:val="28"/>
          <w:szCs w:val="28"/>
        </w:rPr>
        <w:t xml:space="preserve">4</w:t>
      </w:r>
      <w:r>
        <w:rPr>
          <w:rFonts w:ascii="宋体" w:hAnsi="宋体"/>
          <w:b/>
          <w:sz w:val="28"/>
          <w:szCs w:val="28"/>
        </w:rPr>
        <w:t xml:space="preserve">.</w:t>
      </w:r>
      <w:r>
        <w:rPr>
          <w:rFonts w:hint="eastAsia" w:ascii="宋体" w:hAnsi="宋体"/>
          <w:color w:val="000000"/>
          <w:sz w:val="24"/>
          <w:szCs w:val="24"/>
        </w:rPr>
        <w:t xml:space="preserve"> </w:t>
      </w:r>
      <w:r>
        <w:rPr>
          <w:rFonts w:hint="eastAsia" w:ascii="宋体" w:hAnsi="宋体"/>
          <w:b/>
          <w:sz w:val="28"/>
          <w:szCs w:val="28"/>
        </w:rPr>
        <w:t xml:space="preserve">不予分包转包承诺函（格式自拟，内容需满足采购文件要求，原件并</w:t>
      </w:r>
      <w:bookmarkStart w:id="141" w:name="_Hlk190782954"/>
      <w:r>
        <w:rPr>
          <w:rFonts w:hint="eastAsia" w:ascii="宋体" w:hAnsi="宋体"/>
          <w:b/>
          <w:sz w:val="28"/>
          <w:szCs w:val="28"/>
        </w:rPr>
        <w:t xml:space="preserve">加盖CA电子公章</w:t>
      </w:r>
      <w:bookmarkEnd w:id="141"/>
      <w:r>
        <w:rPr>
          <w:rFonts w:hint="eastAsia" w:ascii="宋体" w:hAnsi="宋体"/>
          <w:b/>
          <w:sz w:val="28"/>
          <w:szCs w:val="28"/>
        </w:rPr>
        <w:t xml:space="preserve">）</w:t>
      </w:r>
      <w:r/>
    </w:p>
    <w:p>
      <w:pPr>
        <w:pStyle w:val="749"/>
        <w:ind w:firstLine="492"/>
        <w:jc w:val="both"/>
        <w:spacing w:after="0" w:line="460" w:lineRule="exact"/>
        <w:widowControl w:val="off"/>
        <w:rPr>
          <w:rFonts w:hint="eastAsia" w:ascii="宋体" w:hAnsi="宋体"/>
          <w:b/>
          <w:sz w:val="28"/>
          <w:szCs w:val="28"/>
        </w:rPr>
      </w:pPr>
      <w:r/>
      <w:bookmarkStart w:id="142" w:name="_Hlk99436655"/>
      <w:r>
        <w:rPr>
          <w:rFonts w:hint="eastAsia" w:ascii="宋体" w:hAnsi="宋体"/>
          <w:b/>
          <w:sz w:val="28"/>
          <w:szCs w:val="28"/>
        </w:rPr>
        <w:t xml:space="preserve">…（自行添加内容）</w:t>
      </w:r>
      <w:bookmarkEnd w:id="142"/>
      <w:r>
        <w:rPr>
          <w:rFonts w:hint="eastAsia" w:ascii="宋体" w:hAnsi="宋体"/>
          <w:b/>
          <w:sz w:val="28"/>
          <w:szCs w:val="28"/>
        </w:rPr>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w:t>
      </w:r>
      <w:r>
        <w:rPr>
          <w:rFonts w:ascii="宋体" w:hAnsi="宋体"/>
          <w:b/>
          <w:sz w:val="28"/>
          <w:szCs w:val="28"/>
        </w:rPr>
        <w:t xml:space="preserve">.</w:t>
      </w:r>
      <w:r>
        <w:rPr>
          <w:rFonts w:hint="eastAsia" w:ascii="宋体" w:hAnsi="宋体"/>
          <w:b/>
          <w:sz w:val="28"/>
          <w:szCs w:val="28"/>
        </w:rPr>
        <w:t xml:space="preserve">保</w:t>
      </w:r>
      <w:r>
        <w:rPr>
          <w:rFonts w:hint="eastAsia" w:ascii="宋体" w:hAnsi="宋体"/>
          <w:b/>
          <w:sz w:val="28"/>
          <w:szCs w:val="28"/>
        </w:rPr>
        <w:t xml:space="preserve">密承诺函（格式自拟，内容需满足采购文件要求，原件并加盖CA电子公章）</w:t>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6.成果归属要求书面承诺函（格式自拟，内容需满足采购文件要求，原件并加盖CA电子公章）</w:t>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49"/>
        <w:ind w:firstLine="492"/>
        <w:jc w:val="both"/>
        <w:spacing w:after="0" w:line="460" w:lineRule="exact"/>
        <w:widowControl w:val="off"/>
        <w:rPr>
          <w:rFonts w:ascii="宋体" w:hAnsi="宋体"/>
          <w:b/>
          <w:sz w:val="28"/>
          <w:szCs w:val="28"/>
        </w:rPr>
      </w:pPr>
      <w:r>
        <w:rPr>
          <w:rFonts w:hint="eastAsia" w:ascii="宋体" w:hAnsi="宋体"/>
          <w:b/>
          <w:sz w:val="28"/>
          <w:szCs w:val="28"/>
        </w:rPr>
        <w:t xml:space="preserve">7.</w:t>
      </w:r>
      <w:r>
        <w:rPr>
          <w:rFonts w:hint="eastAsia" w:ascii="宋体" w:hAnsi="宋体"/>
          <w:color w:val="000000"/>
          <w:sz w:val="24"/>
          <w:szCs w:val="24"/>
        </w:rPr>
        <w:t xml:space="preserve"> </w:t>
      </w:r>
      <w:r>
        <w:rPr>
          <w:rFonts w:hint="eastAsia" w:ascii="宋体" w:hAnsi="宋体"/>
          <w:b/>
          <w:sz w:val="28"/>
          <w:szCs w:val="28"/>
        </w:rPr>
        <w:t xml:space="preserve">按评审顺序未在本采购包之前的其他采购包被列为排名第一的拟中标人（供应商无需提交响应材料，由评标委员会根据评标结果确认即可）</w:t>
      </w:r>
      <w:r>
        <w:rPr>
          <w:rFonts w:ascii="宋体" w:hAnsi="宋体"/>
          <w:b/>
          <w:sz w:val="28"/>
          <w:szCs w:val="28"/>
        </w:rPr>
      </w:r>
      <w:r/>
    </w:p>
    <w:p>
      <w:pPr>
        <w:pStyle w:val="749"/>
        <w:ind w:firstLine="492"/>
        <w:jc w:val="both"/>
        <w:spacing w:after="0" w:line="460" w:lineRule="exact"/>
        <w:widowControl w:val="off"/>
        <w:rPr>
          <w:rFonts w:ascii="宋体" w:hAnsi="宋体"/>
          <w:b/>
          <w:sz w:val="28"/>
          <w:szCs w:val="28"/>
        </w:rPr>
      </w:pPr>
      <w:r>
        <w:rPr>
          <w:rFonts w:ascii="宋体" w:hAnsi="宋体"/>
          <w:b/>
          <w:sz w:val="28"/>
          <w:szCs w:val="28"/>
        </w:rPr>
      </w:r>
      <w:r/>
    </w:p>
    <w:p>
      <w:pPr>
        <w:pStyle w:val="762"/>
        <w:rPr>
          <w:rFonts w:hint="eastAsia"/>
        </w:rPr>
      </w:pPr>
      <w:r>
        <w:rPr>
          <w:rFonts w:hint="eastAsia"/>
        </w:rPr>
      </w:r>
      <w:r/>
    </w:p>
    <w:p>
      <w:pPr>
        <w:pStyle w:val="74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p>
    <w:p>
      <w:pPr>
        <w:pStyle w:val="749"/>
        <w:jc w:val="center"/>
        <w:spacing w:after="0" w:line="240" w:lineRule="auto"/>
        <w:widowControl w:val="off"/>
        <w:rPr>
          <w:sz w:val="44"/>
          <w:szCs w:val="24"/>
        </w:rPr>
      </w:pPr>
      <w:r>
        <w:rPr>
          <w:rFonts w:hint="eastAsia" w:ascii="黑体" w:hAnsi="黑体" w:eastAsia="黑体"/>
          <w:color w:val="000000"/>
          <w:sz w:val="30"/>
          <w:szCs w:val="30"/>
        </w:rPr>
        <w:br w:type="page" w:clear="all"/>
        <w:t xml:space="preserve">三、非实质性资信证明文件目录</w:t>
      </w:r>
      <w:r>
        <w:rPr>
          <w:rFonts w:hint="eastAsia"/>
          <w:sz w:val="44"/>
          <w:szCs w:val="24"/>
        </w:rPr>
        <w:t xml:space="preserve"> </w:t>
      </w:r>
      <w:r>
        <w:rPr>
          <w:sz w:val="44"/>
          <w:szCs w:val="24"/>
        </w:rPr>
        <w:t xml:space="preserve">  </w:t>
      </w:r>
      <w:r/>
    </w:p>
    <w:p>
      <w:pPr>
        <w:pStyle w:val="749"/>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49"/>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49"/>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49"/>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pStyle w:val="749"/>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pStyle w:val="749"/>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pStyle w:val="749"/>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pStyle w:val="749"/>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pStyle w:val="749"/>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pStyle w:val="749"/>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pStyle w:val="749"/>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49"/>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49"/>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3"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（备注：1、投标供应商如不提供此声明函，价格将不做相应扣除。2、服务提供商必须是小型、微型企业方可享受价格折扣，否则不予享受。3、此声明函将随中标结果同时公告，接受社会监督）。</w:t>
      </w:r>
      <w:r/>
    </w:p>
    <w:p>
      <w:pPr>
        <w:pStyle w:val="749"/>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49"/>
        <w:jc w:val="both"/>
        <w:spacing w:after="0" w:line="560" w:lineRule="exact"/>
        <w:widowControl w:val="off"/>
        <w:rPr>
          <w:rFonts w:hint="eastAsia" w:ascii="宋体" w:hAnsi="宋体"/>
          <w:sz w:val="24"/>
          <w:szCs w:val="24"/>
        </w:rPr>
      </w:pPr>
      <w:r>
        <w:rPr>
          <w:rFonts w:hint="eastAsia" w:ascii="宋体" w:hAnsi="宋体"/>
          <w:sz w:val="24"/>
          <w:szCs w:val="24"/>
        </w:rPr>
      </w:r>
      <w:r/>
    </w:p>
    <w:p>
      <w:pPr>
        <w:pStyle w:val="749"/>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br w:type="page" w:clear="all"/>
        <w:t xml:space="preserve">2、《残疾人福利性单位声明函》（格式如下，请按要求填写，原件并加盖CA电子公章）</w:t>
      </w:r>
      <w:r>
        <w:rPr>
          <w:rFonts w:hint="eastAsia" w:ascii="黑体" w:hAnsi="黑体" w:eastAsia="黑体"/>
          <w:b/>
          <w:bCs/>
          <w:color w:val="4bacc6"/>
          <w:sz w:val="28"/>
          <w:szCs w:val="28"/>
        </w:rPr>
      </w:r>
      <w:r/>
    </w:p>
    <w:p>
      <w:pPr>
        <w:pStyle w:val="749"/>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pStyle w:val="749"/>
        <w:jc w:val="both"/>
        <w:spacing w:after="0" w:line="240" w:lineRule="auto"/>
        <w:widowControl w:val="off"/>
        <w:rPr>
          <w:sz w:val="21"/>
          <w:szCs w:val="21"/>
        </w:rPr>
      </w:pPr>
      <w:r>
        <w:rPr>
          <w:sz w:val="21"/>
          <w:szCs w:val="21"/>
        </w:rPr>
      </w:r>
      <w:r/>
    </w:p>
    <w:p>
      <w:pPr>
        <w:pStyle w:val="74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w:t>
      </w:r>
      <w:r>
        <w:rPr>
          <w:rFonts w:hint="eastAsia" w:ascii="宋体" w:hAnsi="宋体"/>
          <w:sz w:val="24"/>
          <w:szCs w:val="21"/>
        </w:rPr>
        <w:t xml:space="preserve">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pStyle w:val="74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pStyle w:val="74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49"/>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4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p>
    <w:p>
      <w:pPr>
        <w:pStyle w:val="749"/>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49"/>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749"/>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602"/>
        <w:jc w:val="both"/>
        <w:spacing w:before="50" w:after="50" w:line="240" w:lineRule="auto"/>
        <w:widowControl w:val="off"/>
        <w:rPr>
          <w:rFonts w:hint="eastAsia" w:ascii="宋体" w:hAnsi="宋体"/>
          <w:b/>
          <w:bCs/>
          <w:sz w:val="24"/>
          <w:szCs w:val="24"/>
        </w:rPr>
      </w:pPr>
      <w:r>
        <w:rPr>
          <w:b/>
          <w:sz w:val="30"/>
          <w:szCs w:val="30"/>
        </w:rPr>
        <w:br w:type="page" w:clear="all"/>
        <w:t xml:space="preserve">3</w:t>
      </w:r>
      <w:r>
        <w:rPr>
          <w:rFonts w:hint="eastAsia"/>
          <w:b/>
          <w:sz w:val="30"/>
          <w:szCs w:val="30"/>
        </w:rPr>
        <w:t xml:space="preserve">、其他非实质性资信证明文件（如有）</w:t>
      </w: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49"/>
        <w:jc w:val="center"/>
        <w:spacing w:line="360" w:lineRule="auto"/>
        <w:rPr>
          <w:b/>
          <w:sz w:val="32"/>
          <w:szCs w:val="32"/>
        </w:rPr>
      </w:pPr>
      <w:r>
        <w:rPr>
          <w:b/>
          <w:sz w:val="32"/>
          <w:szCs w:val="32"/>
        </w:rPr>
        <w:br w:type="page" w:clear="all"/>
      </w:r>
      <w:r>
        <w:rPr>
          <w:rFonts w:hint="eastAsia"/>
          <w:b/>
          <w:sz w:val="32"/>
          <w:szCs w:val="32"/>
        </w:rPr>
        <w:t xml:space="preserve">四、投标产品配置及分项报价表</w:t>
      </w:r>
      <w:r>
        <w:rPr>
          <w:b/>
          <w:sz w:val="32"/>
          <w:szCs w:val="32"/>
        </w:rPr>
      </w:r>
      <w:r/>
    </w:p>
    <w:p>
      <w:pPr>
        <w:pStyle w:val="749"/>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t xml:space="preserve">           </w:t>
      </w:r>
      <w:r/>
    </w:p>
    <w:p>
      <w:pPr>
        <w:pStyle w:val="749"/>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pStyle w:val="749"/>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tbl>
      <w:tblPr>
        <w:tblpPr w:horzAnchor="page" w:tblpX="1841" w:vertAnchor="text" w:tblpY="284" w:leftFromText="180" w:topFromText="0" w:rightFromText="180" w:bottomFromText="0"/>
        <w:tblW w:w="9731" w:type="dxa"/>
        <w:tblInd w:w="0" w:type="dxa"/>
        <w:tblLayout w:type="autofit"/>
        <w:tblCellMar>
          <w:left w:w="108" w:type="dxa"/>
          <w:top w:w="0" w:type="dxa"/>
          <w:right w:w="108" w:type="dxa"/>
          <w:bottom w:w="0" w:type="dxa"/>
        </w:tblCellMar>
        <w:tblLook w:val="04A0" w:firstRow="1" w:lastRow="0" w:firstColumn="1" w:lastColumn="0" w:noHBand="0" w:noVBand="1"/>
      </w:tblPr>
      <w:tblGrid>
        <w:gridCol w:w="870"/>
        <w:gridCol w:w="4483"/>
        <w:gridCol w:w="2268"/>
        <w:gridCol w:w="2110"/>
      </w:tblGrid>
      <w:tr>
        <w:trPr>
          <w:trHeight w:val="74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49"/>
              <w:jc w:val="both"/>
              <w:spacing w:after="0" w:line="360" w:lineRule="auto"/>
              <w:widowControl w:val="off"/>
              <w:rPr>
                <w:rFonts w:hint="eastAsia" w:ascii="宋体" w:hAnsi="宋体"/>
                <w:color w:val="000000"/>
                <w:sz w:val="24"/>
                <w:szCs w:val="24"/>
              </w:rPr>
              <w:framePr w:hSpace="180" w:wrap="around" w:vAnchor="text" w:hAnchor="page" w:x="1841" w:y="284"/>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tcPr>
          <w:p>
            <w:pPr>
              <w:pStyle w:val="749"/>
              <w:jc w:val="both"/>
              <w:spacing w:after="0" w:line="360" w:lineRule="auto"/>
              <w:widowControl w:val="off"/>
              <w:rPr>
                <w:rFonts w:hint="eastAsia" w:ascii="宋体" w:hAnsi="宋体"/>
                <w:color w:val="000000"/>
                <w:sz w:val="24"/>
                <w:szCs w:val="24"/>
              </w:rPr>
              <w:framePr w:hSpace="180" w:wrap="around" w:vAnchor="text" w:hAnchor="page" w:x="1841" w:y="284"/>
            </w:pPr>
            <w:r>
              <w:rPr>
                <w:rFonts w:hint="eastAsia" w:ascii="宋体" w:hAnsi="宋体"/>
                <w:color w:val="000000"/>
                <w:sz w:val="24"/>
                <w:szCs w:val="24"/>
              </w:rPr>
              <w:t xml:space="preserve">食品大类</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hint="eastAsia" w:ascii="宋体" w:hAnsi="宋体"/>
                <w:color w:val="000000"/>
                <w:sz w:val="24"/>
                <w:szCs w:val="24"/>
              </w:rPr>
              <w:t xml:space="preserve">单价限价</w:t>
            </w:r>
            <w:r>
              <w:rPr>
                <w:rFonts w:ascii="宋体" w:hAnsi="宋体"/>
                <w:color w:val="000000"/>
                <w:sz w:val="24"/>
                <w:szCs w:val="24"/>
              </w:rPr>
            </w:r>
            <w:r/>
          </w:p>
          <w:p>
            <w:pPr>
              <w:pStyle w:val="749"/>
              <w:jc w:val="both"/>
              <w:spacing w:after="0" w:line="360" w:lineRule="auto"/>
              <w:widowControl w:val="off"/>
              <w:rPr>
                <w:rFonts w:hint="eastAsia" w:ascii="宋体" w:hAnsi="宋体"/>
                <w:color w:val="000000"/>
                <w:sz w:val="24"/>
                <w:szCs w:val="24"/>
              </w:rPr>
              <w:framePr w:hSpace="180" w:wrap="around" w:vAnchor="text" w:hAnchor="page" w:x="1841" w:y="284"/>
            </w:pPr>
            <w:r>
              <w:rPr>
                <w:rFonts w:hint="eastAsia" w:ascii="宋体" w:hAnsi="宋体"/>
                <w:color w:val="000000"/>
                <w:sz w:val="24"/>
                <w:szCs w:val="24"/>
              </w:rPr>
              <w:t xml:space="preserve">（元/批次）</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hint="eastAsia" w:ascii="宋体" w:hAnsi="宋体"/>
                <w:color w:val="000000"/>
                <w:sz w:val="24"/>
                <w:szCs w:val="24"/>
              </w:rPr>
              <w:t xml:space="preserve">投标报价</w:t>
            </w:r>
            <w:r>
              <w:rPr>
                <w:rFonts w:ascii="宋体" w:hAnsi="宋体"/>
                <w:color w:val="000000"/>
                <w:sz w:val="24"/>
                <w:szCs w:val="24"/>
              </w:rPr>
            </w:r>
            <w:r/>
          </w:p>
          <w:p>
            <w:pPr>
              <w:pStyle w:val="749"/>
              <w:jc w:val="both"/>
              <w:spacing w:after="0" w:line="360" w:lineRule="auto"/>
              <w:widowControl w:val="off"/>
              <w:rPr>
                <w:rFonts w:hint="eastAsia" w:ascii="宋体" w:hAnsi="宋体"/>
                <w:color w:val="000000"/>
                <w:sz w:val="24"/>
                <w:szCs w:val="24"/>
              </w:rPr>
              <w:framePr w:hSpace="180" w:wrap="around" w:vAnchor="text" w:hAnchor="page" w:x="1841" w:y="284"/>
            </w:pPr>
            <w:r>
              <w:rPr>
                <w:rFonts w:hint="eastAsia" w:ascii="宋体" w:hAnsi="宋体"/>
                <w:color w:val="000000"/>
                <w:sz w:val="24"/>
                <w:szCs w:val="24"/>
              </w:rPr>
              <w:t xml:space="preserve">（元/批次）</w:t>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肉制品</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1700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1700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酒类</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饮料</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糖果制品</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1700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豆制品</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糕点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饼干</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速冻食品</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1400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餐饮食品</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1500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564"/>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食用农产品</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2197"/>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果冻、含茶制品和代用茶、饼干、咖啡、水果制品</w:t>
            </w:r>
            <w:r>
              <w:rPr>
                <w:rFonts w:hint="eastAsia" w:ascii="宋体" w:hAnsi="宋体"/>
                <w:color w:val="000000"/>
                <w:sz w:val="24"/>
                <w:szCs w:val="24"/>
              </w:rPr>
              <w:t xml:space="preserve">及其他</w:t>
            </w:r>
            <w:r>
              <w:rPr>
                <w:rFonts w:ascii="宋体" w:hAnsi="宋体"/>
                <w:color w:val="000000"/>
                <w:sz w:val="24"/>
                <w:szCs w:val="24"/>
              </w:rPr>
              <w:t xml:space="preserve">食品（含与上述基质相同的保健食品及片剂、胶囊、软胶囊等剂型）</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2110" w:type="dxa"/>
            <w:vAlign w:val="top"/>
            <w:textDirection w:val="lrTb"/>
            <w:noWrap w:val="false"/>
          </w:tcPr>
          <w:p>
            <w:pPr>
              <w:pStyle w:val="749"/>
              <w:jc w:val="both"/>
              <w:spacing w:after="0" w:line="360" w:lineRule="auto"/>
              <w:widowControl w:val="off"/>
              <w:rPr>
                <w:rFonts w:ascii="宋体" w:hAnsi="宋体"/>
                <w:color w:val="000000"/>
                <w:sz w:val="24"/>
                <w:szCs w:val="24"/>
              </w:rPr>
              <w:framePr w:hSpace="180" w:wrap="around" w:vAnchor="text" w:hAnchor="page" w:x="1841" w:y="284"/>
            </w:pPr>
            <w:r>
              <w:rPr>
                <w:rFonts w:ascii="宋体" w:hAnsi="宋体"/>
                <w:color w:val="000000"/>
                <w:sz w:val="24"/>
                <w:szCs w:val="24"/>
              </w:rPr>
            </w:r>
            <w:r/>
          </w:p>
        </w:tc>
      </w:tr>
      <w:tr>
        <w:trPr>
          <w:trHeight w:val="1167"/>
        </w:trPr>
        <w:tc>
          <w:tcPr>
            <w:gridSpan w:val="2"/>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749"/>
              <w:jc w:val="both"/>
              <w:spacing w:after="0" w:line="360" w:lineRule="auto"/>
              <w:widowControl w:val="off"/>
              <w:rPr>
                <w:rFonts w:ascii="宋体" w:hAnsi="宋体"/>
                <w:b/>
                <w:bCs/>
                <w:color w:val="000000"/>
                <w:sz w:val="28"/>
                <w:szCs w:val="28"/>
              </w:rPr>
              <w:framePr w:hSpace="180" w:wrap="around" w:vAnchor="text" w:hAnchor="page" w:x="1841" w:y="284"/>
            </w:pPr>
            <w:r>
              <w:rPr>
                <w:rFonts w:hint="eastAsia" w:ascii="宋体" w:hAnsi="宋体"/>
                <w:b/>
                <w:bCs/>
                <w:color w:val="000000"/>
                <w:sz w:val="28"/>
                <w:szCs w:val="28"/>
              </w:rPr>
              <w:t xml:space="preserve">单价报价合计价</w:t>
            </w:r>
            <w:r>
              <w:rPr>
                <w:rFonts w:ascii="宋体" w:hAnsi="宋体"/>
                <w:b/>
                <w:bCs/>
                <w:color w:val="000000"/>
                <w:sz w:val="28"/>
                <w:szCs w:val="28"/>
              </w:rPr>
            </w:r>
            <w:r/>
          </w:p>
          <w:p>
            <w:pPr>
              <w:pStyle w:val="762"/>
              <w:ind w:firstLine="0"/>
              <w:rPr>
                <w:b/>
                <w:bCs/>
                <w:color w:val="000000"/>
                <w:sz w:val="28"/>
                <w:szCs w:val="28"/>
              </w:rPr>
              <w:framePr w:hSpace="180" w:wrap="around" w:vAnchor="text" w:hAnchor="page" w:x="1841" w:y="284"/>
            </w:pPr>
            <w:r>
              <w:rPr>
                <w:rFonts w:hint="eastAsia"/>
                <w:b/>
                <w:bCs/>
                <w:color w:val="000000"/>
                <w:sz w:val="28"/>
                <w:szCs w:val="28"/>
              </w:rPr>
              <w:t xml:space="preserve">注：</w:t>
            </w:r>
            <w:r>
              <w:rPr>
                <w:b/>
                <w:bCs/>
                <w:color w:val="000000"/>
                <w:sz w:val="28"/>
                <w:szCs w:val="28"/>
              </w:rPr>
            </w:r>
            <w:r/>
          </w:p>
          <w:p>
            <w:pPr>
              <w:pStyle w:val="762"/>
              <w:ind w:firstLine="0"/>
              <w:rPr>
                <w:b/>
                <w:bCs/>
                <w:color w:val="000000"/>
                <w:sz w:val="28"/>
                <w:szCs w:val="28"/>
              </w:rPr>
              <w:framePr w:hSpace="180" w:wrap="around" w:vAnchor="text" w:hAnchor="page" w:x="1841" w:y="284"/>
            </w:pPr>
            <w:r>
              <w:rPr>
                <w:rFonts w:hint="eastAsia"/>
                <w:b/>
                <w:bCs/>
                <w:color w:val="000000"/>
                <w:sz w:val="28"/>
                <w:szCs w:val="28"/>
              </w:rPr>
              <w:t xml:space="preserve">（1）此处报价填写序号1-12单批次报价之和；</w:t>
            </w:r>
            <w:r>
              <w:rPr>
                <w:b/>
                <w:bCs/>
                <w:color w:val="000000"/>
                <w:sz w:val="28"/>
                <w:szCs w:val="28"/>
              </w:rPr>
            </w:r>
            <w:r/>
          </w:p>
          <w:p>
            <w:pPr>
              <w:pStyle w:val="762"/>
              <w:ind w:firstLine="0"/>
              <w:rPr>
                <w:b/>
                <w:bCs/>
                <w:color w:val="000000"/>
                <w:sz w:val="28"/>
                <w:szCs w:val="28"/>
              </w:rPr>
              <w:framePr w:hSpace="180" w:wrap="around" w:vAnchor="text" w:hAnchor="page" w:x="1841" w:y="284"/>
            </w:pPr>
            <w:r>
              <w:rPr>
                <w:rFonts w:hint="eastAsia"/>
                <w:b/>
                <w:bCs/>
                <w:color w:val="000000"/>
                <w:sz w:val="28"/>
                <w:szCs w:val="28"/>
              </w:rPr>
              <w:t xml:space="preserve">（2）单项报价合计价最高限价为￥19200.00/批次，均包含样品购置费；</w:t>
            </w:r>
            <w:r>
              <w:rPr>
                <w:b/>
                <w:bCs/>
                <w:color w:val="000000"/>
                <w:sz w:val="28"/>
                <w:szCs w:val="28"/>
              </w:rPr>
            </w:r>
            <w:r/>
          </w:p>
          <w:p>
            <w:pPr>
              <w:pStyle w:val="762"/>
              <w:ind w:firstLine="0"/>
              <w:rPr>
                <w:b/>
                <w:bCs/>
                <w:color w:val="000000"/>
                <w:sz w:val="28"/>
                <w:szCs w:val="28"/>
              </w:rPr>
              <w:framePr w:hSpace="180" w:wrap="around" w:vAnchor="text" w:hAnchor="page" w:x="1841" w:y="284"/>
            </w:pPr>
            <w:r>
              <w:rPr>
                <w:rFonts w:hint="eastAsia"/>
                <w:b/>
                <w:bCs/>
                <w:color w:val="000000"/>
                <w:sz w:val="28"/>
                <w:szCs w:val="28"/>
              </w:rPr>
              <w:t xml:space="preserve">（3）此处报价请填入《开标一览表》，仅用于评审时计算价格分，无实际含义。</w:t>
            </w:r>
            <w:r>
              <w:rPr>
                <w:b/>
                <w:bCs/>
                <w:color w:val="000000"/>
                <w:sz w:val="28"/>
                <w:szCs w:val="28"/>
              </w:rPr>
            </w:r>
            <w:r/>
          </w:p>
          <w:p>
            <w:pPr>
              <w:pStyle w:val="762"/>
              <w:ind w:firstLine="0"/>
              <w:rPr>
                <w:rFonts w:hint="eastAsia"/>
                <w:b/>
                <w:bCs/>
                <w:color w:val="000000"/>
                <w:sz w:val="28"/>
                <w:szCs w:val="28"/>
              </w:rPr>
              <w:framePr w:hSpace="180" w:wrap="around" w:vAnchor="text" w:hAnchor="page" w:x="1841" w:y="284"/>
            </w:pPr>
            <w:r>
              <w:rPr>
                <w:rFonts w:hint="eastAsia"/>
                <w:b/>
                <w:bCs/>
                <w:color w:val="000000"/>
                <w:sz w:val="28"/>
                <w:szCs w:val="28"/>
              </w:rPr>
              <w:t xml:space="preserve">(4)投标人单批次抽检投标报价不得超出单批次最高限价，也不得超过单项报价合计价最高限价,否则投标无效。</w:t>
            </w:r>
            <w:r/>
          </w:p>
        </w:tc>
        <w:tc>
          <w:tcPr>
            <w:gridSpan w:val="2"/>
            <w:tcBorders>
              <w:top w:val="single" w:color="000000" w:sz="4" w:space="0"/>
              <w:left w:val="single" w:color="000000" w:sz="4" w:space="0"/>
              <w:bottom w:val="single" w:color="000000" w:sz="4" w:space="0"/>
              <w:right w:val="single" w:color="000000" w:sz="4" w:space="0"/>
            </w:tcBorders>
            <w:tcW w:w="4378" w:type="dxa"/>
            <w:vAlign w:val="center"/>
            <w:textDirection w:val="lrTb"/>
            <w:noWrap w:val="false"/>
          </w:tcPr>
          <w:p>
            <w:pPr>
              <w:pStyle w:val="749"/>
              <w:jc w:val="center"/>
              <w:spacing w:after="160" w:line="440" w:lineRule="exact"/>
              <w:rPr>
                <w:rFonts w:hint="eastAsia"/>
                <w:color w:val="000000"/>
                <w:sz w:val="28"/>
                <w:szCs w:val="28"/>
                <w:lang w:bidi="ar"/>
              </w:rPr>
              <w:framePr w:hSpace="180" w:wrap="around" w:vAnchor="text" w:hAnchor="page" w:x="1841" w:y="284"/>
            </w:pPr>
            <w:r>
              <w:rPr>
                <w:rFonts w:hint="eastAsia"/>
                <w:color w:val="000000"/>
                <w:sz w:val="28"/>
                <w:szCs w:val="28"/>
                <w:lang w:bidi="ar"/>
              </w:rPr>
              <w:t xml:space="preserve">人民币每批次</w:t>
            </w:r>
            <w:r/>
          </w:p>
          <w:p>
            <w:pPr>
              <w:pStyle w:val="749"/>
              <w:jc w:val="center"/>
              <w:spacing w:after="160" w:line="440" w:lineRule="exact"/>
              <w:rPr>
                <w:rFonts w:hint="eastAsia"/>
                <w:lang w:bidi="ar"/>
              </w:rPr>
              <w:framePr w:hSpace="180" w:wrap="around" w:vAnchor="text" w:hAnchor="page" w:x="1841" w:y="284"/>
            </w:pPr>
            <w:r>
              <w:rPr>
                <w:rFonts w:hint="eastAsia"/>
                <w:color w:val="000000"/>
                <w:sz w:val="28"/>
                <w:szCs w:val="28"/>
                <w:lang w:bidi="ar"/>
              </w:rPr>
              <w:t xml:space="preserve">￥</w:t>
            </w:r>
            <w:r>
              <w:rPr>
                <w:rFonts w:hint="eastAsia"/>
                <w:color w:val="000000"/>
                <w:sz w:val="28"/>
                <w:szCs w:val="28"/>
                <w:u w:val="single"/>
                <w:lang w:bidi="ar"/>
              </w:rPr>
              <w:t xml:space="preserve">                 </w:t>
            </w:r>
            <w:r>
              <w:rPr>
                <w:rFonts w:hint="eastAsia"/>
                <w:color w:val="000000"/>
                <w:sz w:val="28"/>
                <w:szCs w:val="28"/>
                <w:lang w:bidi="ar"/>
              </w:rPr>
              <w:t xml:space="preserve">/批次</w:t>
            </w:r>
            <w:r>
              <w:rPr>
                <w:rFonts w:hint="eastAsia"/>
                <w:lang w:bidi="ar"/>
              </w:rPr>
            </w:r>
            <w:r/>
          </w:p>
        </w:tc>
      </w:tr>
    </w:tbl>
    <w:p>
      <w:pPr>
        <w:pStyle w:val="749"/>
        <w:jc w:val="center"/>
        <w:spacing w:line="360" w:lineRule="auto"/>
        <w:rPr>
          <w:rFonts w:hint="eastAsia" w:ascii="黑体" w:hAnsi="黑体" w:eastAsia="黑体"/>
          <w:b/>
          <w:sz w:val="32"/>
          <w:szCs w:val="32"/>
        </w:rPr>
      </w:pPr>
      <w:r>
        <w:rPr>
          <w:b/>
          <w:sz w:val="32"/>
          <w:szCs w:val="32"/>
        </w:rPr>
        <w:br w:type="page" w:clear="all"/>
      </w:r>
      <w:r>
        <w:rPr>
          <w:rFonts w:hint="eastAsia"/>
          <w:b/>
          <w:sz w:val="32"/>
          <w:szCs w:val="32"/>
        </w:rPr>
        <w:t xml:space="preserve">五、投入人员一览表</w:t>
      </w:r>
      <w:r>
        <w:rPr>
          <w:rFonts w:hint="eastAsia" w:ascii="黑体" w:hAnsi="黑体" w:eastAsia="黑体"/>
          <w:b/>
          <w:sz w:val="32"/>
          <w:szCs w:val="32"/>
        </w:rPr>
      </w:r>
      <w:r/>
    </w:p>
    <w:p>
      <w:pPr>
        <w:pStyle w:val="749"/>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49"/>
        <w:ind w:firstLine="480"/>
        <w:jc w:val="both"/>
        <w:spacing w:after="0" w:line="360" w:lineRule="auto"/>
        <w:widowControl w:val="off"/>
        <w:rPr>
          <w:rFonts w:hint="eastAsia" w:ascii="宋体" w:hAnsi="宋体"/>
          <w:color w:val="000000"/>
          <w:sz w:val="24"/>
          <w:szCs w:val="24"/>
        </w:rPr>
      </w:pPr>
      <w:r/>
      <w:bookmarkStart w:id="143" w:name="_Hlk231460111"/>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t xml:space="preserve">                </w:t>
      </w:r>
      <w:r/>
    </w:p>
    <w:p>
      <w:pPr>
        <w:pStyle w:val="749"/>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pStyle w:val="749"/>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p>
      <w:pPr>
        <w:pStyle w:val="749"/>
        <w:ind w:firstLine="480"/>
        <w:jc w:val="both"/>
        <w:spacing w:after="0" w:line="360" w:lineRule="auto"/>
        <w:widowControl w:val="off"/>
        <w:rPr>
          <w:rFonts w:hint="eastAsia" w:ascii="宋体" w:hAnsi="宋体"/>
          <w:color w:val="000000"/>
          <w:sz w:val="24"/>
          <w:szCs w:val="24"/>
        </w:rPr>
      </w:pPr>
      <w:r/>
      <w:bookmarkEnd w:id="143"/>
      <w:r>
        <w:rPr>
          <w:rFonts w:hint="eastAsia" w:ascii="宋体" w:hAnsi="宋体"/>
          <w:color w:val="000000"/>
          <w:sz w:val="24"/>
          <w:szCs w:val="24"/>
        </w:rPr>
      </w:r>
      <w:r/>
    </w:p>
    <w:tbl>
      <w:tblPr>
        <w:tblW w:w="83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pStyle w:val="74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49"/>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p>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pStyle w:val="749"/>
        <w:jc w:val="center"/>
        <w:spacing w:after="0" w:line="240" w:lineRule="auto"/>
        <w:widowControl w:val="off"/>
        <w:rPr>
          <w:rFonts w:ascii="黑体" w:eastAsia="黑体"/>
          <w:b/>
          <w:sz w:val="36"/>
        </w:rPr>
      </w:pPr>
      <w:r>
        <w:rPr>
          <w:rFonts w:ascii="黑体" w:eastAsia="黑体"/>
          <w:b/>
          <w:sz w:val="36"/>
        </w:rPr>
      </w:r>
      <w:r/>
    </w:p>
    <w:p>
      <w:pPr>
        <w:pStyle w:val="749"/>
        <w:jc w:val="center"/>
        <w:spacing w:after="0" w:line="240" w:lineRule="auto"/>
        <w:widowControl w:val="off"/>
        <w:rPr>
          <w:rFonts w:ascii="黑体" w:eastAsia="黑体"/>
          <w:b/>
          <w:sz w:val="36"/>
        </w:rPr>
      </w:pPr>
      <w:r>
        <w:rPr>
          <w:rFonts w:ascii="黑体" w:eastAsia="黑体"/>
          <w:b/>
          <w:sz w:val="36"/>
        </w:rPr>
      </w:r>
      <w:r/>
    </w:p>
    <w:p>
      <w:pPr>
        <w:pStyle w:val="749"/>
        <w:jc w:val="center"/>
        <w:spacing w:after="0" w:line="240" w:lineRule="auto"/>
        <w:widowControl w:val="off"/>
        <w:rPr>
          <w:rFonts w:ascii="黑体" w:eastAsia="黑体"/>
          <w:b/>
          <w:sz w:val="36"/>
        </w:rPr>
      </w:pPr>
      <w:r>
        <w:rPr>
          <w:rFonts w:ascii="黑体" w:eastAsia="黑体"/>
          <w:b/>
          <w:sz w:val="36"/>
        </w:rPr>
      </w:r>
      <w:r/>
    </w:p>
    <w:p>
      <w:pPr>
        <w:pStyle w:val="749"/>
        <w:jc w:val="center"/>
        <w:spacing w:after="0" w:line="240" w:lineRule="auto"/>
        <w:widowControl w:val="off"/>
        <w:rPr>
          <w:rFonts w:ascii="黑体" w:eastAsia="黑体"/>
          <w:b/>
          <w:sz w:val="36"/>
        </w:rPr>
      </w:pPr>
      <w:r>
        <w:rPr>
          <w:rFonts w:ascii="黑体" w:eastAsia="黑体"/>
          <w:b/>
          <w:sz w:val="36"/>
        </w:rPr>
      </w:r>
      <w:r/>
    </w:p>
    <w:p>
      <w:pPr>
        <w:pStyle w:val="749"/>
        <w:jc w:val="center"/>
        <w:spacing w:after="0" w:line="240" w:lineRule="auto"/>
        <w:widowControl w:val="off"/>
        <w:rPr>
          <w:rFonts w:ascii="黑体" w:eastAsia="黑体"/>
          <w:b/>
          <w:sz w:val="36"/>
        </w:rPr>
      </w:pPr>
      <w:r>
        <w:rPr>
          <w:rFonts w:ascii="黑体" w:eastAsia="黑体"/>
          <w:b/>
          <w:sz w:val="36"/>
        </w:rPr>
      </w:r>
      <w:r/>
    </w:p>
    <w:p>
      <w:pPr>
        <w:pStyle w:val="749"/>
        <w:jc w:val="center"/>
        <w:spacing w:after="0" w:line="240" w:lineRule="auto"/>
        <w:widowControl w:val="off"/>
        <w:rPr>
          <w:rFonts w:hint="eastAsia" w:hAnsi="宋体" w:eastAsia="幼圆" w:cs="Arial"/>
          <w:b/>
          <w:bCs/>
          <w:sz w:val="32"/>
          <w:szCs w:val="32"/>
        </w:rPr>
      </w:pPr>
      <w:r>
        <w:rPr>
          <w:b/>
          <w:sz w:val="32"/>
          <w:szCs w:val="32"/>
        </w:rPr>
        <w:br w:type="page" w:clear="all"/>
      </w:r>
      <w:r>
        <w:rPr>
          <w:rFonts w:hint="eastAsia"/>
          <w:b/>
          <w:sz w:val="32"/>
          <w:szCs w:val="32"/>
        </w:rPr>
        <w:t xml:space="preserve">六、技术（服务）条款响应及偏离表</w:t>
      </w:r>
      <w:r>
        <w:rPr>
          <w:rFonts w:hint="eastAsia" w:hAnsi="宋体" w:eastAsia="幼圆" w:cs="Arial"/>
          <w:b/>
          <w:bCs/>
          <w:sz w:val="32"/>
          <w:szCs w:val="32"/>
        </w:rPr>
      </w:r>
      <w:r/>
    </w:p>
    <w:p>
      <w:pPr>
        <w:pStyle w:val="749"/>
        <w:jc w:val="both"/>
        <w:spacing w:after="0" w:line="240" w:lineRule="auto"/>
        <w:widowControl w:val="off"/>
        <w:rPr>
          <w:sz w:val="28"/>
          <w:szCs w:val="28"/>
        </w:rPr>
      </w:pPr>
      <w:r>
        <w:rPr>
          <w:rFonts w:hint="eastAsia"/>
          <w:sz w:val="28"/>
          <w:szCs w:val="28"/>
        </w:rPr>
        <w:t xml:space="preserve">项目名称： </w:t>
      </w:r>
      <w:r>
        <w:rPr>
          <w:sz w:val="28"/>
          <w:szCs w:val="28"/>
        </w:rPr>
        <w:t xml:space="preserve">                                      </w:t>
      </w:r>
      <w:r/>
    </w:p>
    <w:p>
      <w:pPr>
        <w:pStyle w:val="749"/>
        <w:jc w:val="both"/>
        <w:spacing w:after="0" w:line="240" w:lineRule="auto"/>
        <w:widowControl w:val="off"/>
        <w:rPr>
          <w:sz w:val="28"/>
          <w:szCs w:val="28"/>
        </w:rPr>
      </w:pPr>
      <w:r>
        <w:rPr>
          <w:rFonts w:hint="eastAsia"/>
          <w:sz w:val="28"/>
          <w:szCs w:val="28"/>
        </w:rPr>
        <w:t xml:space="preserve">项目编号：</w:t>
      </w:r>
      <w:r>
        <w:rPr>
          <w:sz w:val="28"/>
          <w:szCs w:val="28"/>
        </w:rPr>
      </w:r>
      <w:r/>
    </w:p>
    <w:p>
      <w:pPr>
        <w:pStyle w:val="749"/>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rPr>
          <w:rFonts w:ascii="楷体_GB2312" w:hAnsi="Arial" w:eastAsia="楷体_GB2312"/>
          <w:sz w:val="28"/>
          <w:szCs w:val="28"/>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pStyle w:val="749"/>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49"/>
        <w:rPr>
          <w:rFonts w:ascii="宋体"/>
          <w:sz w:val="24"/>
          <w:szCs w:val="24"/>
        </w:rPr>
      </w:pPr>
      <w:r>
        <w:rPr>
          <w:rFonts w:hint="eastAsia" w:ascii="宋体"/>
          <w:sz w:val="24"/>
          <w:szCs w:val="24"/>
        </w:rPr>
        <w:t xml:space="preserve">                                       </w:t>
      </w:r>
      <w:r>
        <w:rPr>
          <w:rFonts w:ascii="宋体"/>
          <w:sz w:val="24"/>
          <w:szCs w:val="24"/>
        </w:rPr>
      </w:r>
      <w:r/>
    </w:p>
    <w:p>
      <w:pPr>
        <w:pStyle w:val="749"/>
        <w:ind w:firstLine="3640"/>
        <w:rPr>
          <w:rFonts w:ascii="宋体"/>
          <w:sz w:val="28"/>
          <w:szCs w:val="28"/>
        </w:rPr>
      </w:pPr>
      <w:r>
        <w:rPr>
          <w:rFonts w:hint="eastAsia" w:ascii="宋体"/>
          <w:sz w:val="28"/>
          <w:szCs w:val="28"/>
        </w:rPr>
        <w:t xml:space="preserve">供应商名称(加盖CA电子公章)：</w:t>
      </w:r>
      <w:r>
        <w:rPr>
          <w:rFonts w:ascii="宋体"/>
          <w:sz w:val="28"/>
          <w:szCs w:val="28"/>
        </w:rPr>
      </w:r>
      <w:r/>
    </w:p>
    <w:p>
      <w:pPr>
        <w:pStyle w:val="749"/>
        <w:ind w:firstLine="5600"/>
        <w:rPr>
          <w:rFonts w:ascii="宋体"/>
          <w:sz w:val="28"/>
          <w:szCs w:val="28"/>
        </w:rPr>
      </w:pPr>
      <w:r>
        <w:rPr>
          <w:rFonts w:hint="eastAsia" w:ascii="宋体"/>
          <w:sz w:val="28"/>
          <w:szCs w:val="28"/>
        </w:rPr>
        <w:t xml:space="preserve">日期：</w:t>
      </w:r>
      <w:r>
        <w:rPr>
          <w:rFonts w:ascii="宋体"/>
          <w:sz w:val="28"/>
          <w:szCs w:val="28"/>
        </w:rPr>
      </w:r>
      <w:r/>
    </w:p>
    <w:p>
      <w:pPr>
        <w:pStyle w:val="749"/>
        <w:jc w:val="center"/>
        <w:spacing w:after="0" w:line="480" w:lineRule="auto"/>
        <w:widowControl w:val="off"/>
        <w:rPr>
          <w:b/>
          <w:sz w:val="32"/>
          <w:szCs w:val="32"/>
        </w:rPr>
      </w:pPr>
      <w:r>
        <w:rPr>
          <w:b/>
          <w:sz w:val="32"/>
          <w:szCs w:val="32"/>
        </w:rPr>
        <w:br w:type="page" w:clear="all"/>
      </w:r>
      <w:r>
        <w:rPr>
          <w:rFonts w:hint="eastAsia"/>
          <w:b/>
          <w:sz w:val="32"/>
          <w:szCs w:val="32"/>
        </w:rPr>
        <w:t xml:space="preserve">七、商务条款响应及偏离表</w:t>
      </w:r>
      <w:r>
        <w:rPr>
          <w:b/>
          <w:sz w:val="32"/>
          <w:szCs w:val="32"/>
        </w:rPr>
      </w:r>
      <w:r/>
    </w:p>
    <w:p>
      <w:pPr>
        <w:pStyle w:val="749"/>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49"/>
        <w:jc w:val="both"/>
        <w:spacing w:after="0" w:line="360" w:lineRule="auto"/>
        <w:widowControl w:val="off"/>
        <w:rPr>
          <w:sz w:val="24"/>
          <w:szCs w:val="24"/>
        </w:rPr>
      </w:pPr>
      <w:r>
        <w:rPr>
          <w:rFonts w:hint="eastAsia"/>
          <w:sz w:val="24"/>
          <w:szCs w:val="24"/>
        </w:rPr>
        <w:t xml:space="preserve">项目编号：</w:t>
      </w:r>
      <w:r>
        <w:rPr>
          <w:sz w:val="24"/>
          <w:szCs w:val="24"/>
        </w:rPr>
      </w:r>
      <w:r/>
    </w:p>
    <w:p>
      <w:pPr>
        <w:pStyle w:val="749"/>
        <w:jc w:val="both"/>
        <w:spacing w:after="0" w:line="360" w:lineRule="auto"/>
        <w:widowControl w:val="off"/>
        <w:rPr>
          <w:sz w:val="24"/>
          <w:szCs w:val="24"/>
        </w:rPr>
      </w:pPr>
      <w:r>
        <w:rPr>
          <w:rFonts w:hint="eastAsia"/>
          <w:sz w:val="24"/>
          <w:szCs w:val="24"/>
        </w:rPr>
        <w:t xml:space="preserve">采购包号：</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4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4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49"/>
        <w:ind w:right="1320"/>
        <w:jc w:val="right"/>
        <w:spacing w:after="0" w:line="360" w:lineRule="auto"/>
        <w:widowControl w:val="off"/>
        <w:rPr>
          <w:sz w:val="28"/>
          <w:szCs w:val="28"/>
        </w:rPr>
      </w:pPr>
      <w:r/>
      <w:bookmarkStart w:id="144" w:name="_Hlk190783066"/>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bookmarkEnd w:id="144"/>
      <w:r>
        <w:rPr>
          <w:sz w:val="28"/>
          <w:szCs w:val="28"/>
          <w:lang w:val="zh-CN"/>
        </w:rPr>
        <w:t xml:space="preserve">                    </w:t>
      </w:r>
      <w:r>
        <w:rPr>
          <w:sz w:val="28"/>
          <w:szCs w:val="28"/>
        </w:rPr>
      </w:r>
      <w:r/>
    </w:p>
    <w:p>
      <w:pPr>
        <w:pStyle w:val="749"/>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rPr>
          <w:sz w:val="28"/>
          <w:szCs w:val="28"/>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jc w:val="both"/>
        <w:spacing w:after="0" w:line="240" w:lineRule="auto"/>
        <w:widowControl w:val="off"/>
        <w:rPr>
          <w:sz w:val="21"/>
        </w:rPr>
      </w:pPr>
      <w:r>
        <w:rPr>
          <w:sz w:val="21"/>
        </w:rPr>
      </w:r>
      <w:r/>
    </w:p>
    <w:p>
      <w:pPr>
        <w:pStyle w:val="749"/>
        <w:ind w:firstLine="420"/>
        <w:jc w:val="both"/>
        <w:spacing w:after="0" w:line="240" w:lineRule="auto"/>
        <w:widowControl w:val="off"/>
        <w:rPr>
          <w:sz w:val="21"/>
        </w:rPr>
      </w:pPr>
      <w:r>
        <w:rPr>
          <w:sz w:val="21"/>
        </w:rPr>
      </w:r>
      <w:r/>
    </w:p>
    <w:p>
      <w:pPr>
        <w:pStyle w:val="749"/>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br w:type="page" w:clear="all"/>
        <w:t xml:space="preserve">八、业绩一览表</w:t>
      </w:r>
      <w:r>
        <w:rPr>
          <w:rFonts w:ascii="黑体" w:hAnsi="黑体" w:eastAsia="黑体"/>
          <w:b/>
          <w:color w:val="000000"/>
          <w:sz w:val="32"/>
          <w:szCs w:val="32"/>
        </w:rPr>
      </w:r>
      <w:r/>
    </w:p>
    <w:p>
      <w:pPr>
        <w:pStyle w:val="749"/>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49"/>
        <w:jc w:val="both"/>
        <w:spacing w:after="0" w:line="360" w:lineRule="auto"/>
        <w:widowControl w:val="off"/>
        <w:rPr>
          <w:sz w:val="24"/>
          <w:szCs w:val="24"/>
        </w:rPr>
      </w:pPr>
      <w:r>
        <w:rPr>
          <w:rFonts w:hint="eastAsia"/>
          <w:sz w:val="24"/>
          <w:szCs w:val="24"/>
        </w:rPr>
        <w:t xml:space="preserve">项目编号</w:t>
      </w:r>
      <w:r>
        <w:rPr>
          <w:rFonts w:hint="eastAsia"/>
          <w:sz w:val="24"/>
          <w:szCs w:val="24"/>
        </w:rPr>
        <w:t xml:space="preserve">：</w:t>
      </w:r>
      <w:r>
        <w:rPr>
          <w:sz w:val="24"/>
          <w:szCs w:val="24"/>
        </w:rPr>
      </w:r>
      <w:r/>
    </w:p>
    <w:p>
      <w:pPr>
        <w:pStyle w:val="749"/>
        <w:jc w:val="both"/>
        <w:spacing w:after="0" w:line="360" w:lineRule="auto"/>
        <w:widowControl w:val="off"/>
        <w:rPr>
          <w:rFonts w:hint="eastAsia" w:ascii="黑体" w:hAnsi="黑体" w:eastAsia="黑体"/>
          <w:b/>
          <w:color w:val="000000"/>
          <w:sz w:val="32"/>
          <w:szCs w:val="32"/>
        </w:rPr>
      </w:pPr>
      <w:r>
        <w:rPr>
          <w:rFonts w:hint="eastAsia"/>
          <w:sz w:val="24"/>
          <w:szCs w:val="24"/>
        </w:rPr>
        <w:t xml:space="preserve">采购包号：</w:t>
      </w:r>
      <w:r>
        <w:rPr>
          <w:rFonts w:hint="eastAsia" w:ascii="黑体" w:hAnsi="黑体" w:eastAsia="黑体"/>
          <w:b/>
          <w:color w:val="000000"/>
          <w:sz w:val="32"/>
          <w:szCs w:val="32"/>
        </w:rPr>
      </w:r>
      <w:r/>
    </w:p>
    <w:tbl>
      <w:tblPr>
        <w:tblW w:w="5086"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571"/>
        <w:gridCol w:w="1983"/>
        <w:gridCol w:w="1703"/>
        <w:gridCol w:w="1345"/>
        <w:gridCol w:w="1085"/>
      </w:tblGrid>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pStyle w:val="749"/>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pStyle w:val="74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49"/>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pStyle w:val="749"/>
        <w:ind w:right="1320"/>
        <w:jc w:val="right"/>
        <w:spacing w:after="0" w:line="360" w:lineRule="auto"/>
        <w:widowControl w:val="off"/>
        <w:rPr>
          <w:rFonts w:ascii="宋体"/>
          <w:sz w:val="28"/>
          <w:szCs w:val="28"/>
          <w:lang w:val="zh-CN"/>
        </w:rPr>
      </w:pPr>
      <w:r>
        <w:rPr>
          <w:rFonts w:ascii="宋体"/>
          <w:sz w:val="28"/>
          <w:szCs w:val="28"/>
          <w:lang w:val="zh-CN"/>
        </w:rPr>
      </w:r>
      <w:r/>
    </w:p>
    <w:p>
      <w:pPr>
        <w:pStyle w:val="749"/>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49"/>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49"/>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49"/>
        <w:jc w:val="center"/>
        <w:spacing w:after="0" w:line="240" w:lineRule="auto"/>
        <w:widowControl w:val="off"/>
        <w:rPr>
          <w:sz w:val="21"/>
        </w:rPr>
      </w:pPr>
      <w:r>
        <w:rPr>
          <w:rFonts w:hint="eastAsia" w:ascii="黑体" w:hAnsi="黑体" w:eastAsia="黑体"/>
          <w:b/>
          <w:color w:val="000000"/>
          <w:sz w:val="32"/>
          <w:szCs w:val="32"/>
        </w:rPr>
        <w:br w:type="page" w:clear="all"/>
        <w:t xml:space="preserve">九、项目需求响应方案</w:t>
      </w:r>
      <w:r>
        <w:rPr>
          <w:sz w:val="21"/>
        </w:rPr>
      </w:r>
      <w:r/>
    </w:p>
    <w:p>
      <w:pPr>
        <w:pStyle w:val="749"/>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4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4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4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4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4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4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4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49"/>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p>
      <w:pPr>
        <w:pStyle w:val="749"/>
        <w:spacing w:after="0" w:line="440" w:lineRule="exact"/>
        <w:widowControl w:val="off"/>
        <w:rPr>
          <w:rFonts w:ascii="宋体"/>
          <w:b/>
          <w:bCs/>
          <w:sz w:val="32"/>
          <w:szCs w:val="32"/>
        </w:rPr>
      </w:pPr>
      <w:r>
        <w:rPr>
          <w:rFonts w:ascii="宋体"/>
          <w:b/>
          <w:bCs/>
          <w:sz w:val="32"/>
          <w:szCs w:val="32"/>
        </w:rPr>
      </w:r>
      <w:r/>
    </w:p>
    <w:p>
      <w:pPr>
        <w:pStyle w:val="749"/>
        <w:jc w:val="center"/>
        <w:spacing w:after="0" w:line="240" w:lineRule="auto"/>
        <w:widowControl w:val="off"/>
        <w:rPr>
          <w:rFonts w:ascii="宋体"/>
          <w:b/>
          <w:bCs/>
          <w:sz w:val="32"/>
          <w:szCs w:val="32"/>
        </w:rPr>
      </w:pPr>
      <w:r>
        <w:rPr>
          <w:rFonts w:ascii="宋体"/>
          <w:b/>
          <w:bCs/>
          <w:sz w:val="32"/>
          <w:szCs w:val="32"/>
        </w:r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华文细黑">
    <w:panose1 w:val="02010600040101010101"/>
  </w:font>
  <w:font w:name="KNLe">
    <w:panose1 w:val="020B0503020202020204"/>
  </w:font>
  <w:font w:name="Arail">
    <w:panose1 w:val="020B0503020202020204"/>
  </w:font>
  <w:font w:name="Ari">
    <w:panose1 w:val="020B0606020202030204"/>
  </w:font>
  <w:font w:name="黑体">
    <w:panose1 w:val="02010609060101010101"/>
  </w:font>
  <w:font w:name="幼圆">
    <w:panose1 w:val="02010509060101010101"/>
  </w:font>
  <w:font w:name="仿宋">
    <w:panose1 w:val="02010609060101010101"/>
  </w:font>
  <w:font w:name="等线">
    <w:panose1 w:val="02010600030101010101"/>
  </w:font>
  <w:font w:name="Tahoma">
    <w:panose1 w:val="020B0604030504040204"/>
  </w:font>
  <w:font w:name="仿宋_GB2312">
    <w:panose1 w:val="02010609060101010101"/>
  </w:font>
  <w:font w:name="Verdan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Consolas">
    <w:panose1 w:val="020B060902020403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left="860" w:hanging="420"/>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806"/>
      <w:rPr>
        <w:rFonts w:hint="eastAsia"/>
      </w:rPr>
    </w:pPr>
    <w:r>
      <w:rPr>
        <w:rFonts w:hint="eastAsia"/>
      </w:rPr>
      <w:t xml:space="preserve">南京小旸树招标代理有限公司                                    NJXYS-</w:t>
    </w:r>
    <w:r>
      <w:t xml:space="preserve">2026140G</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left="860" w:hanging="420"/>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49"/>
      <w:spacing w:line="196" w:lineRule="auto"/>
      <w:rPr>
        <w:rFonts w:hint="eastAsia" w:eastAsia="Times New Roman"/>
        <w:sz w:val="17"/>
        <w:szCs w:val="17"/>
      </w:rPr>
    </w:pPr>
    <w:r>
      <w:rPr>
        <w:rFonts w:hint="eastAsia" w:ascii="宋体" w:hAnsi="宋体" w:cs="宋体"/>
        <w:sz w:val="17"/>
        <w:szCs w:val="17"/>
      </w:rPr>
      <w:t xml:space="preserve">南京小旸树招标代理有限公司                                                   NJXYS-</w:t>
    </w:r>
    <w:bookmarkStart w:id="145" w:name="OLE_LINK18"/>
    <w:r>
      <w:rPr>
        <w:rFonts w:ascii="宋体" w:hAnsi="宋体" w:cs="宋体"/>
        <w:sz w:val="17"/>
        <w:szCs w:val="17"/>
      </w:rPr>
      <w:t xml:space="preserve">2026140G</w:t>
    </w:r>
    <w:bookmarkEnd w:id="145"/>
    <w:r>
      <w:rPr>
        <w:rFonts w:hint="eastAsia" w:eastAsia="Times New Roman"/>
        <w:sz w:val="17"/>
        <w:szCs w:val="17"/>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49"/>
        <w:ind w:left="756" w:hanging="756"/>
      </w:pPr>
    </w:lvl>
    <w:lvl w:ilvl="1">
      <w:start w:val="1"/>
      <w:numFmt w:val="lowerLetter"/>
      <w:isLgl w:val="false"/>
      <w:suff w:val="tab"/>
      <w:lvlText w:val="%2)"/>
      <w:lvlJc w:val="left"/>
      <w:pPr>
        <w:pStyle w:val="749"/>
        <w:ind w:left="840" w:hanging="420"/>
      </w:pPr>
    </w:lvl>
    <w:lvl w:ilvl="2">
      <w:start w:val="1"/>
      <w:numFmt w:val="lowerRoman"/>
      <w:isLgl w:val="false"/>
      <w:suff w:val="tab"/>
      <w:lvlText w:val="%3."/>
      <w:lvlJc w:val="right"/>
      <w:pPr>
        <w:pStyle w:val="749"/>
        <w:ind w:left="1260" w:hanging="420"/>
      </w:pPr>
    </w:lvl>
    <w:lvl w:ilvl="3">
      <w:start w:val="1"/>
      <w:numFmt w:val="decimal"/>
      <w:isLgl w:val="false"/>
      <w:suff w:val="tab"/>
      <w:lvlText w:val="%4."/>
      <w:lvlJc w:val="left"/>
      <w:pPr>
        <w:pStyle w:val="749"/>
        <w:ind w:left="1680" w:hanging="420"/>
      </w:pPr>
    </w:lvl>
    <w:lvl w:ilvl="4">
      <w:start w:val="1"/>
      <w:numFmt w:val="lowerLetter"/>
      <w:isLgl w:val="false"/>
      <w:suff w:val="tab"/>
      <w:lvlText w:val="%5)"/>
      <w:lvlJc w:val="left"/>
      <w:pPr>
        <w:pStyle w:val="749"/>
        <w:ind w:left="2100" w:hanging="420"/>
      </w:pPr>
    </w:lvl>
    <w:lvl w:ilvl="5">
      <w:start w:val="1"/>
      <w:numFmt w:val="lowerRoman"/>
      <w:pStyle w:val="1077"/>
      <w:isLgl w:val="false"/>
      <w:suff w:val="tab"/>
      <w:lvlText w:val="%6."/>
      <w:lvlJc w:val="right"/>
      <w:pPr>
        <w:pStyle w:val="749"/>
        <w:ind w:left="2520" w:hanging="420"/>
      </w:pPr>
    </w:lvl>
    <w:lvl w:ilvl="6">
      <w:start w:val="1"/>
      <w:numFmt w:val="decimal"/>
      <w:pStyle w:val="1078"/>
      <w:isLgl w:val="false"/>
      <w:suff w:val="tab"/>
      <w:lvlText w:val="%7."/>
      <w:lvlJc w:val="left"/>
      <w:pPr>
        <w:pStyle w:val="749"/>
        <w:ind w:left="2940" w:hanging="420"/>
      </w:pPr>
    </w:lvl>
    <w:lvl w:ilvl="7">
      <w:start w:val="1"/>
      <w:numFmt w:val="lowerLetter"/>
      <w:pStyle w:val="1079"/>
      <w:isLgl w:val="false"/>
      <w:suff w:val="tab"/>
      <w:lvlText w:val="%8)"/>
      <w:lvlJc w:val="left"/>
      <w:pPr>
        <w:pStyle w:val="749"/>
        <w:ind w:left="3360" w:hanging="420"/>
      </w:pPr>
    </w:lvl>
    <w:lvl w:ilvl="8">
      <w:start w:val="1"/>
      <w:numFmt w:val="lowerRoman"/>
      <w:pStyle w:val="1080"/>
      <w:isLgl w:val="false"/>
      <w:suff w:val="tab"/>
      <w:lvlText w:val="%9."/>
      <w:lvlJc w:val="right"/>
      <w:pPr>
        <w:pStyle w:val="749"/>
        <w:ind w:left="3780" w:hanging="420"/>
      </w:pPr>
    </w:lvl>
  </w:abstractNum>
  <w:abstractNum w:abstractNumId="2">
    <w:multiLevelType w:val="hybridMultilevel"/>
    <w:lvl w:ilvl="0">
      <w:start w:val="1"/>
      <w:numFmt w:val="chineseCountingThousand"/>
      <w:pStyle w:val="1369"/>
      <w:isLgl w:val="false"/>
      <w:suff w:val="tab"/>
      <w:lvlText w:val="%1"/>
      <w:lvlJc w:val="left"/>
      <w:pPr>
        <w:pStyle w:val="749"/>
        <w:ind w:left="425" w:hanging="425"/>
      </w:pPr>
      <w:rPr>
        <w:rFonts w:hint="eastAsia" w:ascii="Arial Unicode MS" w:hAnsi="Arial Unicode MS" w:eastAsia="微软雅黑"/>
        <w:b/>
        <w:bCs/>
        <w:i w:val="0"/>
        <w:iCs w:val="0"/>
      </w:rPr>
    </w:lvl>
    <w:lvl w:ilvl="1">
      <w:start w:val="1"/>
      <w:numFmt w:val="decimal"/>
      <w:isLgl w:val="false"/>
      <w:suff w:val="tab"/>
      <w:lvlText w:val="%1.%2"/>
      <w:lvlJc w:val="left"/>
      <w:pPr>
        <w:pStyle w:val="749"/>
        <w:ind w:left="425" w:hanging="425"/>
      </w:pPr>
      <w:rPr>
        <w:rFonts w:hint="eastAsia" w:ascii="Arial Unicode MS" w:hAnsi="Arial Unicode MS" w:eastAsia="微软雅黑"/>
        <w:b/>
        <w:bCs/>
        <w:i w:val="0"/>
        <w:iCs w:val="0"/>
      </w:rPr>
    </w:lvl>
    <w:lvl w:ilvl="2">
      <w:start w:val="1"/>
      <w:numFmt w:val="decimal"/>
      <w:isLgl w:val="false"/>
      <w:suff w:val="tab"/>
      <w:lvlText w:val="%1.%2.%3"/>
      <w:lvlJc w:val="left"/>
      <w:pPr>
        <w:pStyle w:val="749"/>
        <w:ind w:left="425" w:hanging="425"/>
      </w:pPr>
      <w:rPr>
        <w:rFonts w:hint="eastAsia" w:ascii="Arial Unicode MS" w:hAnsi="Arial Unicode MS" w:eastAsia="微软雅黑"/>
        <w:b/>
        <w:bCs/>
        <w:i w:val="0"/>
        <w:iCs w:val="0"/>
      </w:rPr>
    </w:lvl>
    <w:lvl w:ilvl="3">
      <w:start w:val="1"/>
      <w:numFmt w:val="decimal"/>
      <w:isLgl w:val="false"/>
      <w:suff w:val="tab"/>
      <w:lvlText w:val="%1.%2.%3.%4"/>
      <w:lvlJc w:val="left"/>
      <w:pPr>
        <w:pStyle w:val="749"/>
        <w:ind w:left="425" w:hanging="425"/>
      </w:pPr>
      <w:rPr>
        <w:rFonts w:hint="eastAsia" w:ascii="Arial Unicode MS" w:hAnsi="Arial Unicode MS" w:eastAsia="微软雅黑"/>
        <w:b/>
        <w:bCs/>
        <w:i w:val="0"/>
        <w:iCs w:val="0"/>
      </w:rPr>
    </w:lvl>
    <w:lvl w:ilvl="4">
      <w:start w:val="1"/>
      <w:numFmt w:val="decimal"/>
      <w:isLgl w:val="false"/>
      <w:suff w:val="tab"/>
      <w:lvlText w:val="%1.%2.%3.%4.%5"/>
      <w:lvlJc w:val="left"/>
      <w:pPr>
        <w:pStyle w:val="749"/>
        <w:ind w:left="425" w:hanging="425"/>
      </w:pPr>
      <w:rPr>
        <w:rFonts w:hint="eastAsia" w:ascii="Arial Unicode MS" w:hAnsi="Arial Unicode MS" w:eastAsia="微软雅黑"/>
        <w:b/>
        <w:bCs/>
        <w:i w:val="0"/>
        <w:iCs w:val="0"/>
      </w:rPr>
    </w:lvl>
    <w:lvl w:ilvl="5">
      <w:start w:val="1"/>
      <w:numFmt w:val="decimal"/>
      <w:isLgl w:val="false"/>
      <w:suff w:val="tab"/>
      <w:lvlText w:val="%1.%2.%3.%4.%5.%6"/>
      <w:lvlJc w:val="left"/>
      <w:pPr>
        <w:pStyle w:val="749"/>
        <w:ind w:left="425" w:hanging="425"/>
      </w:pPr>
      <w:rPr>
        <w:rFonts w:hint="eastAsia"/>
      </w:rPr>
    </w:lvl>
    <w:lvl w:ilvl="6">
      <w:start w:val="1"/>
      <w:numFmt w:val="decimal"/>
      <w:isLgl w:val="false"/>
      <w:suff w:val="tab"/>
      <w:lvlText w:val="%1.%2.%3.%4.%5.%6.%7"/>
      <w:lvlJc w:val="left"/>
      <w:pPr>
        <w:pStyle w:val="749"/>
        <w:ind w:left="425" w:hanging="425"/>
      </w:pPr>
      <w:rPr>
        <w:rFonts w:hint="eastAsia"/>
      </w:rPr>
    </w:lvl>
    <w:lvl w:ilvl="7">
      <w:start w:val="1"/>
      <w:numFmt w:val="decimal"/>
      <w:isLgl w:val="false"/>
      <w:suff w:val="tab"/>
      <w:lvlText w:val="%1.%2.%3.%4.%5.%6.%7.%8"/>
      <w:lvlJc w:val="left"/>
      <w:pPr>
        <w:pStyle w:val="749"/>
        <w:ind w:left="425" w:hanging="425"/>
      </w:pPr>
      <w:rPr>
        <w:rFonts w:hint="eastAsia"/>
      </w:rPr>
    </w:lvl>
    <w:lvl w:ilvl="8">
      <w:start w:val="1"/>
      <w:numFmt w:val="decimal"/>
      <w:isLgl w:val="false"/>
      <w:suff w:val="tab"/>
      <w:lvlText w:val="%1.%2.%3.%4.%5.%6.%7.%8.%9"/>
      <w:lvlJc w:val="left"/>
      <w:pPr>
        <w:pStyle w:val="749"/>
        <w:ind w:left="425" w:hanging="425"/>
      </w:pPr>
      <w:rPr>
        <w:rFonts w:hint="eastAsia"/>
      </w:rPr>
    </w:lvl>
  </w:abstractNum>
  <w:abstractNum w:abstractNumId="3">
    <w:multiLevelType w:val="hybridMultilevel"/>
    <w:lvl w:ilvl="0">
      <w:start w:val="1"/>
      <w:numFmt w:val="decimal"/>
      <w:pStyle w:val="1377"/>
      <w:isLgl w:val="false"/>
      <w:suff w:val="nothing"/>
      <w:lvlText w:val="%1　"/>
      <w:lvlJc w:val="left"/>
      <w:pPr>
        <w:pStyle w:val="749"/>
        <w:ind w:left="0" w:firstLine="0"/>
      </w:pPr>
      <w:rPr>
        <w:rFonts w:hint="eastAsia" w:ascii="黑体" w:hAnsi="Times New Roman" w:eastAsia="黑体"/>
        <w:b w:val="0"/>
        <w:i w:val="0"/>
        <w:sz w:val="21"/>
        <w:szCs w:val="21"/>
      </w:rPr>
    </w:lvl>
    <w:lvl w:ilvl="1">
      <w:start w:val="1"/>
      <w:numFmt w:val="decimal"/>
      <w:pStyle w:val="1312"/>
      <w:isLgl w:val="false"/>
      <w:suff w:val="nothing"/>
      <w:lvlText w:val="%1.%2　"/>
      <w:lvlJc w:val="left"/>
      <w:pPr>
        <w:pStyle w:val="749"/>
        <w:ind w:left="540" w:firstLine="0"/>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pStyle w:val="749"/>
        <w:ind w:left="2730" w:firstLine="0"/>
      </w:pPr>
      <w:rPr>
        <w:rFonts w:hint="eastAsia" w:ascii="黑体" w:hAnsi="Times New Roman" w:eastAsia="黑体"/>
        <w:b w:val="0"/>
        <w:i w:val="0"/>
        <w:sz w:val="21"/>
      </w:rPr>
    </w:lvl>
    <w:lvl w:ilvl="3">
      <w:start w:val="1"/>
      <w:numFmt w:val="decimal"/>
      <w:isLgl w:val="false"/>
      <w:suff w:val="nothing"/>
      <w:lvlText w:val="%1.%2.%3.%4　"/>
      <w:lvlJc w:val="left"/>
      <w:pPr>
        <w:pStyle w:val="749"/>
        <w:ind w:left="735" w:firstLine="0"/>
      </w:pPr>
      <w:rPr>
        <w:rFonts w:hint="eastAsia" w:ascii="黑体" w:hAnsi="Times New Roman" w:eastAsia="黑体"/>
        <w:b w:val="0"/>
        <w:i w:val="0"/>
        <w:sz w:val="21"/>
      </w:rPr>
    </w:lvl>
    <w:lvl w:ilvl="4">
      <w:start w:val="1"/>
      <w:numFmt w:val="decimal"/>
      <w:isLgl w:val="false"/>
      <w:suff w:val="nothing"/>
      <w:lvlText w:val="%1.%2.%3.%4.%5　"/>
      <w:lvlJc w:val="left"/>
      <w:pPr>
        <w:pStyle w:val="749"/>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49"/>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49"/>
        <w:ind w:left="0" w:firstLine="0"/>
      </w:pPr>
      <w:rPr>
        <w:rFonts w:hint="eastAsia" w:ascii="黑体" w:hAnsi="Times New Roman" w:eastAsia="黑体"/>
        <w:b w:val="0"/>
        <w:i w:val="0"/>
        <w:sz w:val="21"/>
      </w:rPr>
    </w:lvl>
    <w:lvl w:ilvl="7">
      <w:start w:val="1"/>
      <w:numFmt w:val="decimal"/>
      <w:isLgl w:val="false"/>
      <w:suff w:val="tab"/>
      <w:lvlText w:val="%1.%2.%3.%4.%5.%6.%7.%8"/>
      <w:lvlJc w:val="left"/>
      <w:pPr>
        <w:pStyle w:val="749"/>
        <w:ind w:left="3969" w:hanging="1418"/>
        <w:tabs>
          <w:tab w:val="num" w:pos="4351" w:leader="none"/>
        </w:tabs>
      </w:pPr>
      <w:rPr>
        <w:rFonts w:hint="eastAsia"/>
      </w:rPr>
    </w:lvl>
    <w:lvl w:ilvl="8">
      <w:start w:val="1"/>
      <w:numFmt w:val="decimal"/>
      <w:isLgl w:val="false"/>
      <w:suff w:val="tab"/>
      <w:lvlText w:val="%1.%2.%3.%4.%5.%6.%7.%8.%9"/>
      <w:lvlJc w:val="left"/>
      <w:pPr>
        <w:pStyle w:val="749"/>
        <w:ind w:left="4677" w:hanging="1700"/>
        <w:tabs>
          <w:tab w:val="num" w:pos="4777" w:leader="none"/>
        </w:tabs>
      </w:pPr>
      <w:rPr>
        <w:rFonts w:hint="eastAsia"/>
      </w:rPr>
    </w:lvl>
  </w:abstractNum>
  <w:abstractNum w:abstractNumId="4">
    <w:multiLevelType w:val="hybridMultilevel"/>
    <w:lvl w:ilvl="0">
      <w:start w:val="5"/>
      <w:numFmt w:val="chineseCounting"/>
      <w:isLgl w:val="false"/>
      <w:suff w:val="nothing"/>
      <w:lvlText w:val="%1、"/>
      <w:lvlJc w:val="left"/>
      <w:pPr>
        <w:pStyle w:val="7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53"/>
      <w:isLgl w:val="false"/>
      <w:suff w:val="tab"/>
      <w:lvlText w:val="%1."/>
      <w:lvlJc w:val="left"/>
      <w:pPr>
        <w:pStyle w:val="749"/>
        <w:ind w:left="720" w:hanging="720"/>
        <w:tabs>
          <w:tab w:val="num" w:pos="720" w:leader="none"/>
        </w:tabs>
      </w:pPr>
    </w:lvl>
    <w:lvl w:ilvl="1">
      <w:start w:val="1"/>
      <w:numFmt w:val="decimal"/>
      <w:isLgl w:val="false"/>
      <w:suff w:val="tab"/>
      <w:lvlText w:val="%2."/>
      <w:lvlJc w:val="left"/>
      <w:pPr>
        <w:pStyle w:val="749"/>
        <w:ind w:left="1440" w:hanging="720"/>
        <w:tabs>
          <w:tab w:val="num" w:pos="1440" w:leader="none"/>
        </w:tabs>
      </w:pPr>
    </w:lvl>
    <w:lvl w:ilvl="2">
      <w:start w:val="1"/>
      <w:numFmt w:val="decimal"/>
      <w:isLgl w:val="false"/>
      <w:suff w:val="tab"/>
      <w:lvlText w:val="%3."/>
      <w:lvlJc w:val="left"/>
      <w:pPr>
        <w:pStyle w:val="749"/>
        <w:ind w:left="2160" w:hanging="720"/>
        <w:tabs>
          <w:tab w:val="num" w:pos="2160" w:leader="none"/>
        </w:tabs>
      </w:pPr>
    </w:lvl>
    <w:lvl w:ilvl="3">
      <w:start w:val="1"/>
      <w:numFmt w:val="decimal"/>
      <w:isLgl w:val="false"/>
      <w:suff w:val="tab"/>
      <w:lvlText w:val="%4."/>
      <w:lvlJc w:val="left"/>
      <w:pPr>
        <w:pStyle w:val="749"/>
        <w:ind w:left="2880" w:hanging="720"/>
        <w:tabs>
          <w:tab w:val="num" w:pos="2880" w:leader="none"/>
        </w:tabs>
      </w:pPr>
    </w:lvl>
    <w:lvl w:ilvl="4">
      <w:start w:val="1"/>
      <w:numFmt w:val="decimal"/>
      <w:isLgl w:val="false"/>
      <w:suff w:val="tab"/>
      <w:lvlText w:val="%5."/>
      <w:lvlJc w:val="left"/>
      <w:pPr>
        <w:pStyle w:val="749"/>
        <w:ind w:left="3600" w:hanging="720"/>
        <w:tabs>
          <w:tab w:val="num" w:pos="3600" w:leader="none"/>
        </w:tabs>
      </w:pPr>
    </w:lvl>
    <w:lvl w:ilvl="5">
      <w:start w:val="1"/>
      <w:numFmt w:val="decimal"/>
      <w:isLgl w:val="false"/>
      <w:suff w:val="tab"/>
      <w:lvlText w:val="%6."/>
      <w:lvlJc w:val="left"/>
      <w:pPr>
        <w:pStyle w:val="749"/>
        <w:ind w:left="4320" w:hanging="720"/>
        <w:tabs>
          <w:tab w:val="num" w:pos="4320" w:leader="none"/>
        </w:tabs>
      </w:pPr>
    </w:lvl>
    <w:lvl w:ilvl="6">
      <w:start w:val="1"/>
      <w:numFmt w:val="decimal"/>
      <w:isLgl w:val="false"/>
      <w:suff w:val="tab"/>
      <w:lvlText w:val="%7."/>
      <w:lvlJc w:val="left"/>
      <w:pPr>
        <w:pStyle w:val="749"/>
        <w:ind w:left="5040" w:hanging="720"/>
        <w:tabs>
          <w:tab w:val="num" w:pos="5040" w:leader="none"/>
        </w:tabs>
      </w:pPr>
    </w:lvl>
    <w:lvl w:ilvl="7">
      <w:start w:val="1"/>
      <w:numFmt w:val="decimal"/>
      <w:isLgl w:val="false"/>
      <w:suff w:val="tab"/>
      <w:lvlText w:val="%8."/>
      <w:lvlJc w:val="left"/>
      <w:pPr>
        <w:pStyle w:val="749"/>
        <w:ind w:left="5760" w:hanging="720"/>
        <w:tabs>
          <w:tab w:val="num" w:pos="5760" w:leader="none"/>
        </w:tabs>
      </w:pPr>
    </w:lvl>
    <w:lvl w:ilvl="8">
      <w:start w:val="1"/>
      <w:numFmt w:val="decimal"/>
      <w:isLgl w:val="false"/>
      <w:suff w:val="tab"/>
      <w:lvlText w:val="%9."/>
      <w:lvlJc w:val="left"/>
      <w:pPr>
        <w:pStyle w:val="749"/>
        <w:ind w:left="6480" w:hanging="720"/>
        <w:tabs>
          <w:tab w:val="num" w:pos="6480" w:leader="none"/>
        </w:tabs>
      </w:p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749"/>
    <w:next w:val="749"/>
    <w:link w:val="711"/>
    <w:uiPriority w:val="9"/>
    <w:qFormat/>
    <w:pPr>
      <w:keepLines/>
      <w:keepNext/>
      <w:spacing w:before="480" w:after="200"/>
      <w:outlineLvl w:val="0"/>
    </w:pPr>
    <w:rPr>
      <w:rFonts w:ascii="Arial" w:hAnsi="Arial" w:eastAsia="Arial" w:cs="Arial"/>
      <w:sz w:val="40"/>
      <w:szCs w:val="40"/>
    </w:rPr>
  </w:style>
  <w:style w:type="character" w:styleId="711">
    <w:name w:val="Heading 1 Char"/>
    <w:link w:val="710"/>
    <w:uiPriority w:val="9"/>
    <w:rPr>
      <w:rFonts w:ascii="Arial" w:hAnsi="Arial" w:eastAsia="Arial" w:cs="Arial"/>
      <w:sz w:val="40"/>
      <w:szCs w:val="40"/>
    </w:rPr>
  </w:style>
  <w:style w:type="paragraph" w:styleId="712">
    <w:name w:val="Heading 2"/>
    <w:basedOn w:val="749"/>
    <w:next w:val="749"/>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link w:val="712"/>
    <w:uiPriority w:val="9"/>
    <w:rPr>
      <w:rFonts w:ascii="Arial" w:hAnsi="Arial" w:eastAsia="Arial" w:cs="Arial"/>
      <w:sz w:val="34"/>
    </w:rPr>
  </w:style>
  <w:style w:type="paragraph" w:styleId="714">
    <w:name w:val="Heading 3"/>
    <w:basedOn w:val="749"/>
    <w:next w:val="749"/>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link w:val="714"/>
    <w:uiPriority w:val="9"/>
    <w:rPr>
      <w:rFonts w:ascii="Arial" w:hAnsi="Arial" w:eastAsia="Arial" w:cs="Arial"/>
      <w:sz w:val="30"/>
      <w:szCs w:val="30"/>
    </w:rPr>
  </w:style>
  <w:style w:type="paragraph" w:styleId="716">
    <w:name w:val="Heading 4"/>
    <w:basedOn w:val="749"/>
    <w:next w:val="749"/>
    <w:link w:val="1277"/>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49"/>
    <w:next w:val="749"/>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749"/>
    <w:next w:val="749"/>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749"/>
    <w:next w:val="749"/>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749"/>
    <w:next w:val="749"/>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749"/>
    <w:next w:val="749"/>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749"/>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749"/>
    <w:next w:val="749"/>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749"/>
    <w:next w:val="749"/>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749"/>
    <w:next w:val="749"/>
    <w:link w:val="734"/>
    <w:uiPriority w:val="29"/>
    <w:qFormat/>
    <w:pPr>
      <w:ind w:left="720" w:right="720"/>
    </w:pPr>
    <w:rPr>
      <w:i/>
    </w:rPr>
  </w:style>
  <w:style w:type="character" w:styleId="734">
    <w:name w:val="Quote Char"/>
    <w:link w:val="733"/>
    <w:uiPriority w:val="29"/>
    <w:rPr>
      <w:i/>
    </w:rPr>
  </w:style>
  <w:style w:type="paragraph" w:styleId="735">
    <w:name w:val="Intense Quote"/>
    <w:basedOn w:val="749"/>
    <w:next w:val="749"/>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749"/>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749"/>
    <w:link w:val="936"/>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749"/>
    <w:next w:val="749"/>
    <w:uiPriority w:val="35"/>
    <w:semiHidden/>
    <w:unhideWhenUsed/>
    <w:qFormat/>
    <w:pPr>
      <w:spacing w:line="276" w:lineRule="auto"/>
    </w:pPr>
    <w:rPr>
      <w:b/>
      <w:bCs/>
      <w:color w:val="4f81bd" w:themeColor="accent1"/>
      <w:sz w:val="18"/>
      <w:szCs w:val="18"/>
    </w:rPr>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Hyperlink"/>
    <w:uiPriority w:val="99"/>
    <w:unhideWhenUsed/>
    <w:rPr>
      <w:color w:val="0000ff" w:themeColor="hyperlink"/>
      <w:u w:val="single"/>
    </w:rPr>
  </w:style>
  <w:style w:type="paragraph" w:styleId="744">
    <w:name w:val="footnote text"/>
    <w:basedOn w:val="749"/>
    <w:link w:val="1069"/>
    <w:uiPriority w:val="99"/>
    <w:semiHidden/>
    <w:unhideWhenUsed/>
    <w:pPr>
      <w:spacing w:after="40" w:line="240" w:lineRule="auto"/>
    </w:pPr>
    <w:rPr>
      <w:sz w:val="18"/>
    </w:rPr>
  </w:style>
  <w:style w:type="character" w:styleId="745">
    <w:name w:val="footnote reference"/>
    <w:uiPriority w:val="99"/>
    <w:unhideWhenUsed/>
    <w:rPr>
      <w:vertAlign w:val="superscript"/>
    </w:rPr>
  </w:style>
  <w:style w:type="paragraph" w:styleId="746">
    <w:name w:val="endnote text"/>
    <w:basedOn w:val="749"/>
    <w:link w:val="1070"/>
    <w:uiPriority w:val="99"/>
    <w:semiHidden/>
    <w:unhideWhenUsed/>
    <w:pPr>
      <w:spacing w:after="0" w:line="240" w:lineRule="auto"/>
    </w:pPr>
    <w:rPr>
      <w:sz w:val="20"/>
    </w:rPr>
  </w:style>
  <w:style w:type="character" w:styleId="747">
    <w:name w:val="endnote reference"/>
    <w:uiPriority w:val="99"/>
    <w:semiHidden/>
    <w:unhideWhenUsed/>
    <w:rPr>
      <w:vertAlign w:val="superscript"/>
    </w:rPr>
  </w:style>
  <w:style w:type="paragraph" w:styleId="748">
    <w:name w:val="table of figures"/>
    <w:basedOn w:val="749"/>
    <w:next w:val="749"/>
    <w:uiPriority w:val="99"/>
    <w:unhideWhenUsed/>
    <w:pPr>
      <w:spacing w:after="0" w:afterAutospacing="0"/>
    </w:pPr>
  </w:style>
  <w:style w:type="paragraph" w:styleId="749" w:default="1">
    <w:name w:val="Normal"/>
    <w:next w:val="762"/>
    <w:link w:val="749"/>
    <w:qFormat/>
    <w:pPr>
      <w:spacing w:after="200" w:line="276" w:lineRule="auto"/>
    </w:pPr>
    <w:rPr>
      <w:sz w:val="22"/>
      <w:szCs w:val="22"/>
      <w:lang w:val="en-US" w:eastAsia="zh-CN" w:bidi="ar-SA"/>
    </w:rPr>
  </w:style>
  <w:style w:type="paragraph" w:styleId="750">
    <w:name w:val="标题 1"/>
    <w:basedOn w:val="749"/>
    <w:next w:val="749"/>
    <w:link w:val="768"/>
    <w:uiPriority w:val="99"/>
    <w:qFormat/>
    <w:pPr>
      <w:keepLines/>
      <w:keepNext/>
      <w:spacing w:before="480" w:after="0"/>
      <w:outlineLvl w:val="0"/>
    </w:pPr>
    <w:rPr>
      <w:rFonts w:ascii="Cambria" w:hAnsi="Cambria"/>
      <w:b/>
      <w:bCs/>
      <w:color w:val="366091"/>
      <w:sz w:val="28"/>
      <w:szCs w:val="28"/>
    </w:rPr>
  </w:style>
  <w:style w:type="paragraph" w:styleId="751">
    <w:name w:val="标题 2"/>
    <w:basedOn w:val="749"/>
    <w:next w:val="749"/>
    <w:link w:val="769"/>
    <w:qFormat/>
    <w:pPr>
      <w:keepLines/>
      <w:keepNext/>
      <w:spacing w:before="200" w:after="0"/>
      <w:outlineLvl w:val="1"/>
    </w:pPr>
    <w:rPr>
      <w:rFonts w:ascii="Cambria" w:hAnsi="Cambria"/>
      <w:b/>
      <w:bCs/>
      <w:color w:val="4f81bd"/>
      <w:sz w:val="26"/>
      <w:szCs w:val="26"/>
    </w:rPr>
  </w:style>
  <w:style w:type="paragraph" w:styleId="752">
    <w:name w:val="标题 3"/>
    <w:basedOn w:val="749"/>
    <w:next w:val="749"/>
    <w:link w:val="770"/>
    <w:qFormat/>
    <w:pPr>
      <w:keepLines/>
      <w:keepNext/>
      <w:spacing w:before="200" w:after="0"/>
      <w:outlineLvl w:val="2"/>
    </w:pPr>
    <w:rPr>
      <w:rFonts w:ascii="Cambria" w:hAnsi="Cambria"/>
      <w:b/>
      <w:bCs/>
      <w:color w:val="4f81bd"/>
      <w:sz w:val="20"/>
      <w:szCs w:val="20"/>
    </w:rPr>
  </w:style>
  <w:style w:type="paragraph" w:styleId="753">
    <w:name w:val="标题 4"/>
    <w:basedOn w:val="749"/>
    <w:next w:val="749"/>
    <w:link w:val="771"/>
    <w:qFormat/>
    <w:pPr>
      <w:keepLines/>
      <w:keepNext/>
      <w:spacing w:before="200" w:after="0"/>
      <w:outlineLvl w:val="3"/>
    </w:pPr>
    <w:rPr>
      <w:rFonts w:ascii="Cambria" w:hAnsi="Cambria"/>
      <w:b/>
      <w:bCs/>
      <w:i/>
      <w:iCs/>
      <w:color w:val="4f81bd"/>
      <w:sz w:val="20"/>
      <w:szCs w:val="20"/>
    </w:rPr>
  </w:style>
  <w:style w:type="paragraph" w:styleId="754">
    <w:name w:val="标题 5"/>
    <w:basedOn w:val="749"/>
    <w:next w:val="749"/>
    <w:link w:val="772"/>
    <w:qFormat/>
    <w:pPr>
      <w:keepLines/>
      <w:keepNext/>
      <w:spacing w:before="200" w:after="0"/>
      <w:outlineLvl w:val="4"/>
    </w:pPr>
    <w:rPr>
      <w:rFonts w:ascii="Cambria" w:hAnsi="Cambria"/>
      <w:color w:val="244061"/>
      <w:sz w:val="20"/>
      <w:szCs w:val="20"/>
    </w:rPr>
  </w:style>
  <w:style w:type="paragraph" w:styleId="755">
    <w:name w:val="标题 6"/>
    <w:basedOn w:val="749"/>
    <w:next w:val="749"/>
    <w:link w:val="773"/>
    <w:uiPriority w:val="99"/>
    <w:qFormat/>
    <w:pPr>
      <w:keepLines/>
      <w:keepNext/>
      <w:spacing w:before="200" w:after="0"/>
      <w:outlineLvl w:val="5"/>
    </w:pPr>
    <w:rPr>
      <w:rFonts w:ascii="Cambria" w:hAnsi="Cambria"/>
      <w:i/>
      <w:iCs/>
      <w:color w:val="244061"/>
      <w:sz w:val="20"/>
      <w:szCs w:val="20"/>
    </w:rPr>
  </w:style>
  <w:style w:type="paragraph" w:styleId="756">
    <w:name w:val="标题 7"/>
    <w:basedOn w:val="749"/>
    <w:next w:val="749"/>
    <w:link w:val="774"/>
    <w:uiPriority w:val="99"/>
    <w:qFormat/>
    <w:pPr>
      <w:keepLines/>
      <w:keepNext/>
      <w:spacing w:before="200" w:after="0"/>
      <w:outlineLvl w:val="6"/>
    </w:pPr>
    <w:rPr>
      <w:rFonts w:ascii="Cambria" w:hAnsi="Cambria"/>
      <w:i/>
      <w:iCs/>
      <w:color w:val="3f3f3f"/>
      <w:sz w:val="20"/>
      <w:szCs w:val="20"/>
    </w:rPr>
  </w:style>
  <w:style w:type="paragraph" w:styleId="757">
    <w:name w:val="标题 8"/>
    <w:basedOn w:val="749"/>
    <w:next w:val="749"/>
    <w:link w:val="775"/>
    <w:qFormat/>
    <w:pPr>
      <w:keepLines/>
      <w:keepNext/>
      <w:spacing w:before="200" w:after="0"/>
      <w:outlineLvl w:val="7"/>
    </w:pPr>
    <w:rPr>
      <w:rFonts w:ascii="Cambria" w:hAnsi="Cambria"/>
      <w:color w:val="4f81bd"/>
      <w:sz w:val="20"/>
      <w:szCs w:val="20"/>
    </w:rPr>
  </w:style>
  <w:style w:type="paragraph" w:styleId="758">
    <w:name w:val="标题 9"/>
    <w:basedOn w:val="749"/>
    <w:next w:val="749"/>
    <w:link w:val="776"/>
    <w:uiPriority w:val="99"/>
    <w:qFormat/>
    <w:pPr>
      <w:keepLines/>
      <w:keepNext/>
      <w:spacing w:before="200" w:after="0"/>
      <w:outlineLvl w:val="8"/>
    </w:pPr>
    <w:rPr>
      <w:rFonts w:ascii="Cambria" w:hAnsi="Cambria"/>
      <w:i/>
      <w:iCs/>
      <w:color w:val="3f3f3f"/>
      <w:sz w:val="20"/>
      <w:szCs w:val="20"/>
    </w:rPr>
  </w:style>
  <w:style w:type="character" w:styleId="759">
    <w:name w:val="默认段落字体"/>
    <w:next w:val="759"/>
    <w:link w:val="749"/>
    <w:uiPriority w:val="1"/>
    <w:unhideWhenUsed/>
  </w:style>
  <w:style w:type="table" w:styleId="760">
    <w:name w:val="普通表格"/>
    <w:next w:val="760"/>
    <w:link w:val="749"/>
    <w:uiPriority w:val="99"/>
    <w:unhideWhenUsed/>
    <w:tblPr/>
  </w:style>
  <w:style w:type="numbering" w:styleId="761">
    <w:name w:val="无列表"/>
    <w:next w:val="761"/>
    <w:link w:val="749"/>
    <w:uiPriority w:val="99"/>
    <w:semiHidden/>
    <w:unhideWhenUsed/>
  </w:style>
  <w:style w:type="paragraph" w:styleId="762">
    <w:name w:val="正文文本首行缩进 2"/>
    <w:basedOn w:val="763"/>
    <w:next w:val="762"/>
    <w:link w:val="765"/>
    <w:qFormat/>
    <w:pPr>
      <w:ind w:firstLine="420"/>
      <w:spacing w:line="360" w:lineRule="auto"/>
    </w:pPr>
    <w:rPr>
      <w:rFonts w:ascii="宋体" w:hAnsi="宋体" w:eastAsia="宋体"/>
      <w:sz w:val="21"/>
      <w:szCs w:val="20"/>
    </w:rPr>
  </w:style>
  <w:style w:type="paragraph" w:styleId="763">
    <w:name w:val="正文文本缩进"/>
    <w:basedOn w:val="749"/>
    <w:next w:val="763"/>
    <w:link w:val="764"/>
    <w:uiPriority w:val="99"/>
    <w:qFormat/>
    <w:pPr>
      <w:ind w:firstLine="645"/>
      <w:jc w:val="both"/>
      <w:spacing w:after="0" w:line="240" w:lineRule="auto"/>
      <w:widowControl w:val="off"/>
    </w:pPr>
    <w:rPr>
      <w:rFonts w:ascii="楷体_GB2312" w:hAnsi="Times New Roman" w:eastAsia="楷体_GB2312"/>
      <w:sz w:val="32"/>
      <w:szCs w:val="32"/>
    </w:rPr>
  </w:style>
  <w:style w:type="character" w:styleId="764">
    <w:name w:val="正文文本缩进 字符"/>
    <w:next w:val="764"/>
    <w:link w:val="763"/>
    <w:uiPriority w:val="99"/>
    <w:qFormat/>
    <w:rPr>
      <w:rFonts w:ascii="楷体_GB2312" w:hAnsi="Times New Roman" w:eastAsia="楷体_GB2312" w:cs="Times New Roman"/>
      <w:sz w:val="32"/>
      <w:szCs w:val="32"/>
    </w:rPr>
  </w:style>
  <w:style w:type="character" w:styleId="765">
    <w:name w:val="正文文本首行缩进 2 字符"/>
    <w:next w:val="765"/>
    <w:link w:val="762"/>
    <w:uiPriority w:val="99"/>
    <w:qFormat/>
    <w:rPr>
      <w:rFonts w:ascii="宋体" w:hAnsi="宋体" w:eastAsia="宋体" w:cs="Times New Roman"/>
      <w:sz w:val="21"/>
      <w:szCs w:val="20"/>
    </w:rPr>
  </w:style>
  <w:style w:type="paragraph" w:styleId="766">
    <w:name w:val="宏文本"/>
    <w:next w:val="766"/>
    <w:link w:val="767"/>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lang w:val="en-US" w:eastAsia="zh-CN" w:bidi="ar-SA"/>
    </w:rPr>
  </w:style>
  <w:style w:type="character" w:styleId="767">
    <w:name w:val="宏文本 字符2"/>
    <w:next w:val="767"/>
    <w:link w:val="766"/>
    <w:qFormat/>
    <w:rPr>
      <w:rFonts w:ascii="Courier New" w:hAnsi="Courier New" w:cs="Calibri"/>
    </w:rPr>
  </w:style>
  <w:style w:type="character" w:styleId="768">
    <w:name w:val="标题 1 字符"/>
    <w:next w:val="768"/>
    <w:link w:val="750"/>
    <w:qFormat/>
    <w:rPr>
      <w:rFonts w:ascii="Cambria" w:hAnsi="Cambria" w:eastAsia="宋体" w:cs="Times New Roman"/>
      <w:b/>
      <w:bCs/>
      <w:color w:val="366091"/>
      <w:sz w:val="28"/>
      <w:szCs w:val="28"/>
    </w:rPr>
  </w:style>
  <w:style w:type="character" w:styleId="769">
    <w:name w:val="标题 2 字符"/>
    <w:next w:val="769"/>
    <w:link w:val="751"/>
    <w:qFormat/>
    <w:rPr>
      <w:rFonts w:ascii="Cambria" w:hAnsi="Cambria" w:eastAsia="宋体" w:cs="Times New Roman"/>
      <w:b/>
      <w:bCs/>
      <w:color w:val="4f81bd"/>
      <w:sz w:val="26"/>
      <w:szCs w:val="26"/>
    </w:rPr>
  </w:style>
  <w:style w:type="character" w:styleId="770">
    <w:name w:val="标题 3 字符"/>
    <w:next w:val="770"/>
    <w:link w:val="752"/>
    <w:qFormat/>
    <w:rPr>
      <w:rFonts w:ascii="Cambria" w:hAnsi="Cambria" w:eastAsia="宋体" w:cs="Times New Roman"/>
      <w:b/>
      <w:bCs/>
      <w:color w:val="4f81bd"/>
    </w:rPr>
  </w:style>
  <w:style w:type="character" w:styleId="771">
    <w:name w:val="标题 4 字符"/>
    <w:next w:val="771"/>
    <w:link w:val="753"/>
    <w:uiPriority w:val="99"/>
    <w:qFormat/>
    <w:rPr>
      <w:rFonts w:ascii="Cambria" w:hAnsi="Cambria" w:eastAsia="宋体" w:cs="Times New Roman"/>
      <w:b/>
      <w:bCs/>
      <w:i/>
      <w:iCs/>
      <w:color w:val="4f81bd"/>
    </w:rPr>
  </w:style>
  <w:style w:type="character" w:styleId="772">
    <w:name w:val="标题 5 字符"/>
    <w:next w:val="772"/>
    <w:link w:val="754"/>
    <w:uiPriority w:val="99"/>
    <w:qFormat/>
    <w:rPr>
      <w:rFonts w:ascii="Cambria" w:hAnsi="Cambria" w:eastAsia="宋体" w:cs="Times New Roman"/>
      <w:color w:val="244061"/>
    </w:rPr>
  </w:style>
  <w:style w:type="character" w:styleId="773">
    <w:name w:val="标题 6 字符"/>
    <w:next w:val="773"/>
    <w:link w:val="755"/>
    <w:uiPriority w:val="99"/>
    <w:qFormat/>
    <w:rPr>
      <w:rFonts w:ascii="Cambria" w:hAnsi="Cambria" w:eastAsia="宋体" w:cs="Times New Roman"/>
      <w:i/>
      <w:iCs/>
      <w:color w:val="244061"/>
    </w:rPr>
  </w:style>
  <w:style w:type="character" w:styleId="774">
    <w:name w:val="标题 7 字符"/>
    <w:next w:val="774"/>
    <w:link w:val="756"/>
    <w:uiPriority w:val="99"/>
    <w:qFormat/>
    <w:rPr>
      <w:rFonts w:ascii="Cambria" w:hAnsi="Cambria" w:eastAsia="宋体" w:cs="Times New Roman"/>
      <w:i/>
      <w:iCs/>
      <w:color w:val="3f3f3f"/>
    </w:rPr>
  </w:style>
  <w:style w:type="character" w:styleId="775">
    <w:name w:val="标题 8 字符"/>
    <w:next w:val="775"/>
    <w:link w:val="757"/>
    <w:uiPriority w:val="99"/>
    <w:qFormat/>
    <w:rPr>
      <w:rFonts w:ascii="Cambria" w:hAnsi="Cambria" w:eastAsia="宋体" w:cs="Times New Roman"/>
      <w:color w:val="4f81bd"/>
      <w:sz w:val="20"/>
      <w:szCs w:val="20"/>
    </w:rPr>
  </w:style>
  <w:style w:type="character" w:styleId="776">
    <w:name w:val="标题 9 字符"/>
    <w:next w:val="776"/>
    <w:link w:val="758"/>
    <w:uiPriority w:val="99"/>
    <w:qFormat/>
    <w:rPr>
      <w:rFonts w:ascii="Cambria" w:hAnsi="Cambria" w:eastAsia="宋体" w:cs="Times New Roman"/>
      <w:i/>
      <w:iCs/>
      <w:color w:val="3f3f3f"/>
      <w:sz w:val="20"/>
      <w:szCs w:val="20"/>
    </w:rPr>
  </w:style>
  <w:style w:type="paragraph" w:styleId="777">
    <w:name w:val="列表 3"/>
    <w:basedOn w:val="749"/>
    <w:next w:val="777"/>
    <w:link w:val="749"/>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78">
    <w:name w:val="toc 7"/>
    <w:basedOn w:val="749"/>
    <w:next w:val="749"/>
    <w:link w:val="749"/>
    <w:uiPriority w:val="39"/>
    <w:unhideWhenUsed/>
    <w:pPr>
      <w:ind w:left="1701"/>
      <w:spacing w:after="57" w:line="240" w:lineRule="auto"/>
    </w:pPr>
    <w:rPr>
      <w:rFonts w:ascii="Times New Roman" w:hAnsi="Times New Roman"/>
      <w:sz w:val="20"/>
      <w:szCs w:val="20"/>
    </w:rPr>
  </w:style>
  <w:style w:type="paragraph" w:styleId="779">
    <w:name w:val="正文缩进"/>
    <w:basedOn w:val="749"/>
    <w:next w:val="779"/>
    <w:link w:val="780"/>
    <w:unhideWhenUsed/>
    <w:qFormat/>
    <w:pPr>
      <w:ind w:firstLine="420"/>
      <w:jc w:val="both"/>
      <w:spacing w:after="0" w:line="240" w:lineRule="auto"/>
      <w:widowControl w:val="off"/>
    </w:pPr>
    <w:rPr>
      <w:sz w:val="21"/>
      <w:szCs w:val="20"/>
    </w:rPr>
  </w:style>
  <w:style w:type="character" w:styleId="780">
    <w:name w:val="正文缩进 字符1"/>
    <w:next w:val="780"/>
    <w:link w:val="779"/>
    <w:qFormat/>
    <w:rPr>
      <w:sz w:val="21"/>
    </w:rPr>
  </w:style>
  <w:style w:type="paragraph" w:styleId="781">
    <w:name w:val="题注"/>
    <w:basedOn w:val="749"/>
    <w:next w:val="749"/>
    <w:link w:val="749"/>
    <w:qFormat/>
    <w:pPr>
      <w:spacing w:line="240" w:lineRule="auto"/>
    </w:pPr>
    <w:rPr>
      <w:b/>
      <w:bCs/>
      <w:color w:val="4f81bd"/>
      <w:sz w:val="18"/>
      <w:szCs w:val="18"/>
    </w:rPr>
  </w:style>
  <w:style w:type="paragraph" w:styleId="782">
    <w:name w:val="文档结构图"/>
    <w:basedOn w:val="749"/>
    <w:next w:val="782"/>
    <w:link w:val="783"/>
    <w:uiPriority w:val="99"/>
    <w:qFormat/>
    <w:pPr>
      <w:jc w:val="both"/>
      <w:spacing w:after="0" w:line="240" w:lineRule="auto"/>
      <w:shd w:val="clear" w:color="auto" w:fill="000080"/>
      <w:widowControl w:val="off"/>
    </w:pPr>
    <w:rPr>
      <w:rFonts w:ascii="Times New Roman" w:hAnsi="Times New Roman"/>
      <w:sz w:val="21"/>
      <w:szCs w:val="21"/>
    </w:rPr>
  </w:style>
  <w:style w:type="character" w:styleId="783">
    <w:name w:val="文档结构图 字符"/>
    <w:next w:val="783"/>
    <w:link w:val="782"/>
    <w:uiPriority w:val="99"/>
    <w:qFormat/>
    <w:rPr>
      <w:rFonts w:ascii="Times New Roman" w:hAnsi="Times New Roman" w:eastAsia="宋体" w:cs="Times New Roman"/>
      <w:sz w:val="21"/>
      <w:szCs w:val="21"/>
      <w:shd w:val="clear" w:color="auto" w:fill="000080"/>
    </w:rPr>
  </w:style>
  <w:style w:type="paragraph" w:styleId="784">
    <w:name w:val="批注文字"/>
    <w:basedOn w:val="749"/>
    <w:next w:val="784"/>
    <w:link w:val="785"/>
    <w:qFormat/>
    <w:pPr>
      <w:spacing w:after="0" w:line="240" w:lineRule="auto"/>
      <w:widowControl w:val="off"/>
    </w:pPr>
    <w:rPr>
      <w:rFonts w:ascii="Times New Roman" w:hAnsi="Times New Roman"/>
      <w:sz w:val="21"/>
      <w:szCs w:val="21"/>
    </w:rPr>
  </w:style>
  <w:style w:type="character" w:styleId="785">
    <w:name w:val="批注文字 字符"/>
    <w:next w:val="785"/>
    <w:link w:val="784"/>
    <w:qFormat/>
    <w:rPr>
      <w:rFonts w:ascii="Times New Roman" w:hAnsi="Times New Roman" w:eastAsia="宋体" w:cs="Times New Roman"/>
      <w:sz w:val="21"/>
      <w:szCs w:val="21"/>
    </w:rPr>
  </w:style>
  <w:style w:type="paragraph" w:styleId="786">
    <w:name w:val="正文文本 3"/>
    <w:basedOn w:val="749"/>
    <w:next w:val="786"/>
    <w:link w:val="787"/>
    <w:uiPriority w:val="99"/>
    <w:qFormat/>
    <w:pPr>
      <w:jc w:val="both"/>
      <w:spacing w:after="0" w:line="240" w:lineRule="auto"/>
      <w:widowControl w:val="off"/>
    </w:pPr>
    <w:rPr>
      <w:rFonts w:ascii="仿宋_GB2312" w:hAnsi="Arial" w:eastAsia="仿宋_GB2312"/>
      <w:sz w:val="32"/>
      <w:szCs w:val="32"/>
    </w:rPr>
  </w:style>
  <w:style w:type="character" w:styleId="787">
    <w:name w:val="正文文本 3 字符"/>
    <w:next w:val="787"/>
    <w:link w:val="786"/>
    <w:uiPriority w:val="99"/>
    <w:qFormat/>
    <w:rPr>
      <w:rFonts w:ascii="仿宋_GB2312" w:hAnsi="Arial" w:eastAsia="仿宋_GB2312" w:cs="Times New Roman"/>
      <w:sz w:val="32"/>
      <w:szCs w:val="32"/>
    </w:rPr>
  </w:style>
  <w:style w:type="paragraph" w:styleId="788">
    <w:name w:val="正文文本"/>
    <w:basedOn w:val="749"/>
    <w:next w:val="788"/>
    <w:link w:val="789"/>
    <w:qFormat/>
    <w:pPr>
      <w:jc w:val="both"/>
      <w:spacing w:after="0" w:line="240" w:lineRule="auto"/>
      <w:widowControl w:val="off"/>
    </w:pPr>
    <w:rPr>
      <w:rFonts w:ascii="楷体_GB2312" w:hAnsi="Arial" w:eastAsia="楷体_GB2312"/>
      <w:sz w:val="28"/>
      <w:szCs w:val="28"/>
    </w:rPr>
  </w:style>
  <w:style w:type="character" w:styleId="789">
    <w:name w:val="正文文本 字符"/>
    <w:next w:val="789"/>
    <w:link w:val="788"/>
    <w:qFormat/>
    <w:rPr>
      <w:rFonts w:ascii="楷体_GB2312" w:hAnsi="Arial" w:eastAsia="楷体_GB2312" w:cs="Times New Roman"/>
      <w:sz w:val="28"/>
      <w:szCs w:val="28"/>
    </w:rPr>
  </w:style>
  <w:style w:type="paragraph" w:styleId="790">
    <w:name w:val="列表 2"/>
    <w:basedOn w:val="749"/>
    <w:next w:val="790"/>
    <w:link w:val="749"/>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91">
    <w:name w:val="文本块"/>
    <w:basedOn w:val="749"/>
    <w:next w:val="791"/>
    <w:link w:val="749"/>
    <w:uiPriority w:val="99"/>
    <w:unhideWhenUsed/>
    <w:qFormat/>
    <w:pPr>
      <w:ind w:left="1440" w:right="1440"/>
      <w:jc w:val="both"/>
      <w:spacing w:after="120" w:line="278" w:lineRule="auto"/>
      <w:widowControl w:val="off"/>
    </w:pPr>
    <w:rPr>
      <w:rFonts w:cs="Calibri"/>
      <w:sz w:val="21"/>
      <w:szCs w:val="21"/>
    </w:rPr>
  </w:style>
  <w:style w:type="paragraph" w:styleId="792">
    <w:name w:val="索引 4"/>
    <w:basedOn w:val="749"/>
    <w:next w:val="749"/>
    <w:link w:val="749"/>
    <w:unhideWhenUsed/>
    <w:qFormat/>
    <w:pPr>
      <w:ind w:left="600"/>
    </w:pPr>
  </w:style>
  <w:style w:type="paragraph" w:styleId="793">
    <w:name w:val="toc 5"/>
    <w:basedOn w:val="749"/>
    <w:next w:val="749"/>
    <w:link w:val="749"/>
    <w:uiPriority w:val="39"/>
    <w:unhideWhenUsed/>
    <w:pPr>
      <w:ind w:left="1134"/>
      <w:spacing w:after="57" w:line="240" w:lineRule="auto"/>
    </w:pPr>
    <w:rPr>
      <w:rFonts w:ascii="Times New Roman" w:hAnsi="Times New Roman"/>
      <w:sz w:val="20"/>
      <w:szCs w:val="20"/>
    </w:rPr>
  </w:style>
  <w:style w:type="paragraph" w:styleId="794">
    <w:name w:val="toc 3"/>
    <w:basedOn w:val="749"/>
    <w:next w:val="749"/>
    <w:link w:val="749"/>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95">
    <w:name w:val="纯文本"/>
    <w:basedOn w:val="749"/>
    <w:next w:val="795"/>
    <w:link w:val="796"/>
    <w:qFormat/>
    <w:pPr>
      <w:jc w:val="both"/>
      <w:spacing w:after="0" w:line="240" w:lineRule="auto"/>
      <w:widowControl w:val="off"/>
    </w:pPr>
    <w:rPr>
      <w:rFonts w:ascii="宋体" w:hAnsi="Courier New"/>
      <w:sz w:val="21"/>
      <w:szCs w:val="21"/>
    </w:rPr>
  </w:style>
  <w:style w:type="character" w:styleId="796">
    <w:name w:val="纯文本 字符"/>
    <w:next w:val="796"/>
    <w:link w:val="795"/>
    <w:qFormat/>
    <w:rPr>
      <w:rFonts w:ascii="宋体" w:hAnsi="Courier New" w:eastAsia="宋体" w:cs="Times New Roman"/>
      <w:sz w:val="21"/>
      <w:szCs w:val="21"/>
    </w:rPr>
  </w:style>
  <w:style w:type="paragraph" w:styleId="797">
    <w:name w:val="toc 8"/>
    <w:basedOn w:val="749"/>
    <w:next w:val="749"/>
    <w:link w:val="749"/>
    <w:uiPriority w:val="39"/>
    <w:unhideWhenUsed/>
    <w:pPr>
      <w:ind w:left="1984"/>
      <w:spacing w:after="57" w:line="240" w:lineRule="auto"/>
    </w:pPr>
    <w:rPr>
      <w:rFonts w:ascii="Times New Roman" w:hAnsi="Times New Roman"/>
      <w:sz w:val="20"/>
      <w:szCs w:val="20"/>
    </w:rPr>
  </w:style>
  <w:style w:type="paragraph" w:styleId="798">
    <w:name w:val="日期"/>
    <w:basedOn w:val="749"/>
    <w:next w:val="749"/>
    <w:link w:val="799"/>
    <w:uiPriority w:val="99"/>
    <w:qFormat/>
    <w:pPr>
      <w:jc w:val="both"/>
      <w:spacing w:after="0" w:line="240" w:lineRule="auto"/>
      <w:widowControl w:val="off"/>
    </w:pPr>
    <w:rPr>
      <w:rFonts w:ascii="Times New Roman" w:hAnsi="Times New Roman"/>
      <w:sz w:val="24"/>
      <w:szCs w:val="24"/>
    </w:rPr>
  </w:style>
  <w:style w:type="character" w:styleId="799">
    <w:name w:val="日期 字符"/>
    <w:next w:val="799"/>
    <w:link w:val="798"/>
    <w:uiPriority w:val="99"/>
    <w:qFormat/>
    <w:rPr>
      <w:rFonts w:ascii="Times New Roman" w:hAnsi="Times New Roman" w:eastAsia="宋体" w:cs="Times New Roman"/>
      <w:sz w:val="24"/>
      <w:szCs w:val="24"/>
    </w:rPr>
  </w:style>
  <w:style w:type="paragraph" w:styleId="800">
    <w:name w:val="正文文本缩进 2"/>
    <w:basedOn w:val="749"/>
    <w:next w:val="800"/>
    <w:link w:val="801"/>
    <w:uiPriority w:val="99"/>
    <w:qFormat/>
    <w:pPr>
      <w:ind w:left="630" w:firstLine="645"/>
      <w:jc w:val="both"/>
      <w:spacing w:after="0" w:line="240" w:lineRule="auto"/>
      <w:widowControl w:val="off"/>
    </w:pPr>
    <w:rPr>
      <w:rFonts w:ascii="Arial" w:hAnsi="Arial" w:eastAsia="仿宋_GB2312"/>
      <w:sz w:val="32"/>
      <w:szCs w:val="32"/>
    </w:rPr>
  </w:style>
  <w:style w:type="character" w:styleId="801">
    <w:name w:val="正文文本缩进 2 字符"/>
    <w:next w:val="801"/>
    <w:link w:val="800"/>
    <w:uiPriority w:val="99"/>
    <w:qFormat/>
    <w:rPr>
      <w:rFonts w:ascii="Arial" w:hAnsi="Arial" w:eastAsia="仿宋_GB2312" w:cs="Arial"/>
      <w:sz w:val="32"/>
      <w:szCs w:val="32"/>
    </w:rPr>
  </w:style>
  <w:style w:type="paragraph" w:styleId="802">
    <w:name w:val="尾注文本"/>
    <w:basedOn w:val="749"/>
    <w:next w:val="802"/>
    <w:link w:val="803"/>
    <w:uiPriority w:val="99"/>
    <w:unhideWhenUsed/>
    <w:pPr>
      <w:spacing w:after="0" w:line="240" w:lineRule="auto"/>
    </w:pPr>
    <w:rPr>
      <w:rFonts w:ascii="Times New Roman" w:hAnsi="Times New Roman"/>
      <w:sz w:val="20"/>
      <w:szCs w:val="20"/>
    </w:rPr>
  </w:style>
  <w:style w:type="character" w:styleId="803">
    <w:name w:val="尾注文本 字符"/>
    <w:next w:val="803"/>
    <w:link w:val="802"/>
    <w:uiPriority w:val="99"/>
    <w:rPr>
      <w:rFonts w:ascii="Times New Roman" w:hAnsi="Times New Roman"/>
    </w:rPr>
  </w:style>
  <w:style w:type="paragraph" w:styleId="804">
    <w:name w:val="批注框文本"/>
    <w:basedOn w:val="749"/>
    <w:next w:val="804"/>
    <w:link w:val="805"/>
    <w:unhideWhenUsed/>
    <w:qFormat/>
    <w:pPr>
      <w:jc w:val="both"/>
      <w:spacing w:after="0" w:line="240" w:lineRule="auto"/>
      <w:widowControl w:val="off"/>
    </w:pPr>
    <w:rPr>
      <w:sz w:val="18"/>
      <w:szCs w:val="18"/>
    </w:rPr>
  </w:style>
  <w:style w:type="character" w:styleId="805">
    <w:name w:val="批注框文本 字符"/>
    <w:next w:val="805"/>
    <w:link w:val="804"/>
    <w:qFormat/>
    <w:rPr>
      <w:sz w:val="18"/>
      <w:szCs w:val="18"/>
    </w:rPr>
  </w:style>
  <w:style w:type="paragraph" w:styleId="806">
    <w:name w:val="页脚"/>
    <w:basedOn w:val="749"/>
    <w:next w:val="806"/>
    <w:link w:val="807"/>
    <w:uiPriority w:val="99"/>
    <w:unhideWhenUsed/>
    <w:qFormat/>
    <w:pPr>
      <w:spacing w:line="240" w:lineRule="auto"/>
      <w:tabs>
        <w:tab w:val="center" w:pos="4153" w:leader="none"/>
        <w:tab w:val="right" w:pos="8306" w:leader="none"/>
      </w:tabs>
    </w:pPr>
    <w:rPr>
      <w:sz w:val="18"/>
      <w:szCs w:val="18"/>
    </w:rPr>
  </w:style>
  <w:style w:type="character" w:styleId="807">
    <w:name w:val="页脚 字符1"/>
    <w:next w:val="807"/>
    <w:link w:val="806"/>
    <w:qFormat/>
    <w:rPr>
      <w:sz w:val="18"/>
      <w:szCs w:val="18"/>
    </w:rPr>
  </w:style>
  <w:style w:type="paragraph" w:styleId="808">
    <w:name w:val="寄信人地址"/>
    <w:basedOn w:val="749"/>
    <w:next w:val="808"/>
    <w:link w:val="749"/>
    <w:qFormat/>
    <w:pPr>
      <w:jc w:val="both"/>
      <w:spacing w:after="160" w:line="278" w:lineRule="auto"/>
      <w:widowControl w:val="off"/>
    </w:pPr>
    <w:rPr>
      <w:rFonts w:ascii="Arial" w:hAnsi="Arial" w:cs="Calibri"/>
      <w:sz w:val="21"/>
      <w:szCs w:val="21"/>
    </w:rPr>
  </w:style>
  <w:style w:type="paragraph" w:styleId="809">
    <w:name w:val="页眉"/>
    <w:basedOn w:val="749"/>
    <w:next w:val="809"/>
    <w:link w:val="810"/>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810">
    <w:name w:val="页眉 字符1"/>
    <w:next w:val="810"/>
    <w:link w:val="809"/>
    <w:uiPriority w:val="99"/>
    <w:qFormat/>
    <w:rPr>
      <w:sz w:val="18"/>
      <w:szCs w:val="18"/>
    </w:rPr>
  </w:style>
  <w:style w:type="paragraph" w:styleId="811">
    <w:name w:val="toc 1"/>
    <w:basedOn w:val="749"/>
    <w:next w:val="749"/>
    <w:link w:val="749"/>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812">
    <w:name w:val="toc 4"/>
    <w:basedOn w:val="749"/>
    <w:next w:val="749"/>
    <w:link w:val="749"/>
    <w:uiPriority w:val="39"/>
    <w:unhideWhenUsed/>
    <w:pPr>
      <w:ind w:left="850"/>
      <w:spacing w:after="57" w:line="240" w:lineRule="auto"/>
    </w:pPr>
    <w:rPr>
      <w:rFonts w:ascii="Times New Roman" w:hAnsi="Times New Roman"/>
      <w:sz w:val="20"/>
      <w:szCs w:val="20"/>
    </w:rPr>
  </w:style>
  <w:style w:type="paragraph" w:styleId="813">
    <w:name w:val="副标题"/>
    <w:basedOn w:val="749"/>
    <w:next w:val="749"/>
    <w:link w:val="814"/>
    <w:uiPriority w:val="99"/>
    <w:qFormat/>
    <w:rPr>
      <w:rFonts w:ascii="Cambria" w:hAnsi="Cambria"/>
      <w:i/>
      <w:iCs/>
      <w:color w:val="4f81bd"/>
      <w:spacing w:val="15"/>
      <w:sz w:val="24"/>
      <w:szCs w:val="24"/>
    </w:rPr>
  </w:style>
  <w:style w:type="character" w:styleId="814">
    <w:name w:val="副标题 字符"/>
    <w:next w:val="814"/>
    <w:link w:val="813"/>
    <w:uiPriority w:val="99"/>
    <w:qFormat/>
    <w:rPr>
      <w:rFonts w:ascii="Cambria" w:hAnsi="Cambria" w:eastAsia="宋体" w:cs="Times New Roman"/>
      <w:i/>
      <w:iCs/>
      <w:color w:val="4f81bd"/>
      <w:spacing w:val="15"/>
      <w:sz w:val="24"/>
      <w:szCs w:val="24"/>
    </w:rPr>
  </w:style>
  <w:style w:type="paragraph" w:styleId="815">
    <w:name w:val="列表"/>
    <w:basedOn w:val="749"/>
    <w:next w:val="815"/>
    <w:link w:val="749"/>
    <w:qFormat/>
    <w:pPr>
      <w:ind w:left="200" w:hanging="200"/>
      <w:jc w:val="both"/>
      <w:spacing w:after="0" w:line="240" w:lineRule="auto"/>
      <w:widowControl w:val="off"/>
    </w:pPr>
    <w:rPr>
      <w:rFonts w:ascii="Times New Roman" w:hAnsi="Times New Roman" w:eastAsia="宋体" w:cs="Times New Roman"/>
      <w:sz w:val="21"/>
      <w:szCs w:val="21"/>
    </w:rPr>
  </w:style>
  <w:style w:type="paragraph" w:styleId="816">
    <w:name w:val="脚注文本"/>
    <w:basedOn w:val="749"/>
    <w:next w:val="816"/>
    <w:link w:val="817"/>
    <w:uiPriority w:val="99"/>
    <w:unhideWhenUsed/>
    <w:qFormat/>
    <w:pPr>
      <w:spacing w:after="40" w:line="240" w:lineRule="auto"/>
    </w:pPr>
    <w:rPr>
      <w:rFonts w:ascii="Times New Roman" w:hAnsi="Times New Roman"/>
      <w:sz w:val="18"/>
      <w:szCs w:val="20"/>
    </w:rPr>
  </w:style>
  <w:style w:type="character" w:styleId="817">
    <w:name w:val="脚注文本 字符"/>
    <w:next w:val="817"/>
    <w:link w:val="816"/>
    <w:uiPriority w:val="99"/>
    <w:rPr>
      <w:rFonts w:ascii="Times New Roman" w:hAnsi="Times New Roman"/>
      <w:sz w:val="18"/>
    </w:rPr>
  </w:style>
  <w:style w:type="paragraph" w:styleId="818">
    <w:name w:val="toc 6"/>
    <w:basedOn w:val="749"/>
    <w:next w:val="749"/>
    <w:link w:val="749"/>
    <w:uiPriority w:val="39"/>
    <w:unhideWhenUsed/>
    <w:pPr>
      <w:ind w:left="1417"/>
      <w:spacing w:after="57" w:line="240" w:lineRule="auto"/>
    </w:pPr>
    <w:rPr>
      <w:rFonts w:ascii="Times New Roman" w:hAnsi="Times New Roman"/>
      <w:sz w:val="20"/>
      <w:szCs w:val="20"/>
    </w:rPr>
  </w:style>
  <w:style w:type="paragraph" w:styleId="819">
    <w:name w:val="正文文本缩进 3"/>
    <w:basedOn w:val="749"/>
    <w:next w:val="819"/>
    <w:link w:val="820"/>
    <w:uiPriority w:val="99"/>
    <w:qFormat/>
    <w:pPr>
      <w:ind w:left="645" w:firstLine="645"/>
      <w:jc w:val="both"/>
      <w:spacing w:after="0" w:line="240" w:lineRule="auto"/>
      <w:widowControl w:val="off"/>
    </w:pPr>
    <w:rPr>
      <w:rFonts w:ascii="Arial" w:hAnsi="Arial" w:eastAsia="仿宋_GB2312"/>
      <w:color w:val="ffff00"/>
      <w:sz w:val="32"/>
      <w:szCs w:val="32"/>
    </w:rPr>
  </w:style>
  <w:style w:type="character" w:styleId="820">
    <w:name w:val="正文文本缩进 3 字符"/>
    <w:next w:val="820"/>
    <w:link w:val="819"/>
    <w:uiPriority w:val="99"/>
    <w:qFormat/>
    <w:rPr>
      <w:rFonts w:ascii="Arial" w:hAnsi="Arial" w:eastAsia="仿宋_GB2312" w:cs="Arial"/>
      <w:color w:val="ffff00"/>
      <w:sz w:val="32"/>
      <w:szCs w:val="32"/>
    </w:rPr>
  </w:style>
  <w:style w:type="paragraph" w:styleId="821">
    <w:name w:val="图表目录"/>
    <w:basedOn w:val="749"/>
    <w:next w:val="749"/>
    <w:link w:val="749"/>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822">
    <w:name w:val="toc 2"/>
    <w:basedOn w:val="749"/>
    <w:next w:val="749"/>
    <w:link w:val="749"/>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823">
    <w:name w:val="toc 9"/>
    <w:basedOn w:val="749"/>
    <w:next w:val="749"/>
    <w:link w:val="749"/>
    <w:uiPriority w:val="39"/>
    <w:unhideWhenUsed/>
    <w:pPr>
      <w:ind w:left="2268"/>
      <w:spacing w:after="57" w:line="240" w:lineRule="auto"/>
    </w:pPr>
    <w:rPr>
      <w:rFonts w:ascii="Times New Roman" w:hAnsi="Times New Roman"/>
      <w:sz w:val="20"/>
      <w:szCs w:val="20"/>
    </w:rPr>
  </w:style>
  <w:style w:type="paragraph" w:styleId="824">
    <w:name w:val="正文文本 2"/>
    <w:basedOn w:val="749"/>
    <w:next w:val="824"/>
    <w:link w:val="825"/>
    <w:qFormat/>
    <w:pPr>
      <w:jc w:val="center"/>
      <w:spacing w:after="0" w:line="240" w:lineRule="auto"/>
    </w:pPr>
    <w:rPr>
      <w:rFonts w:ascii="楷体_GB2312" w:hAnsi="Times New Roman" w:eastAsia="楷体_GB2312"/>
      <w:sz w:val="28"/>
      <w:szCs w:val="28"/>
    </w:rPr>
  </w:style>
  <w:style w:type="character" w:styleId="825">
    <w:name w:val="正文文本 2 字符"/>
    <w:next w:val="825"/>
    <w:link w:val="824"/>
    <w:qFormat/>
    <w:rPr>
      <w:rFonts w:ascii="楷体_GB2312" w:hAnsi="Times New Roman" w:eastAsia="楷体_GB2312" w:cs="Times New Roman"/>
      <w:sz w:val="28"/>
      <w:szCs w:val="28"/>
    </w:rPr>
  </w:style>
  <w:style w:type="paragraph" w:styleId="826">
    <w:name w:val="HTML 预设格式"/>
    <w:basedOn w:val="749"/>
    <w:next w:val="826"/>
    <w:link w:val="827"/>
    <w:uiPriority w:val="99"/>
    <w:qFormat/>
    <w:pPr>
      <w:spacing w:after="160" w:line="278"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827">
    <w:name w:val="HTML 预设格式 字符1"/>
    <w:next w:val="827"/>
    <w:link w:val="826"/>
    <w:uiPriority w:val="99"/>
    <w:qFormat/>
    <w:rPr>
      <w:rFonts w:ascii="宋体" w:hAnsi="宋体" w:cs="宋体"/>
      <w:sz w:val="24"/>
      <w:szCs w:val="24"/>
    </w:rPr>
  </w:style>
  <w:style w:type="paragraph" w:styleId="828">
    <w:name w:val="普通(网站)"/>
    <w:basedOn w:val="749"/>
    <w:next w:val="828"/>
    <w:link w:val="749"/>
    <w:uiPriority w:val="99"/>
    <w:qFormat/>
    <w:pPr>
      <w:spacing w:before="100" w:beforeAutospacing="1" w:after="100" w:afterAutospacing="1" w:line="240" w:lineRule="auto"/>
    </w:pPr>
    <w:rPr>
      <w:rFonts w:ascii="宋体" w:hAnsi="宋体" w:eastAsia="宋体" w:cs="宋体"/>
      <w:sz w:val="24"/>
      <w:szCs w:val="24"/>
    </w:rPr>
  </w:style>
  <w:style w:type="paragraph" w:styleId="829">
    <w:name w:val="索引 1"/>
    <w:basedOn w:val="749"/>
    <w:next w:val="749"/>
    <w:link w:val="749"/>
    <w:qFormat/>
    <w:pPr>
      <w:jc w:val="both"/>
      <w:spacing w:after="0" w:line="240" w:lineRule="atLeast"/>
      <w:widowControl w:val="off"/>
    </w:pPr>
    <w:rPr>
      <w:rFonts w:ascii="Times New Roman" w:hAnsi="Times New Roman" w:eastAsia="宋体" w:cs="Times New Roman"/>
      <w:b/>
      <w:bCs/>
      <w:sz w:val="21"/>
      <w:szCs w:val="21"/>
    </w:rPr>
  </w:style>
  <w:style w:type="paragraph" w:styleId="830">
    <w:name w:val="标题"/>
    <w:basedOn w:val="749"/>
    <w:next w:val="749"/>
    <w:link w:val="831"/>
    <w:uiPriority w:val="99"/>
    <w:qFormat/>
    <w:pPr>
      <w:contextualSpacing/>
      <w:spacing w:after="300" w:line="240" w:lineRule="auto"/>
      <w:pBdr>
        <w:bottom w:val="single" w:color="4F81BD" w:sz="8" w:space="4"/>
      </w:pBdr>
    </w:pPr>
    <w:rPr>
      <w:rFonts w:ascii="Cambria" w:hAnsi="Cambria"/>
      <w:color w:val="17365d"/>
      <w:spacing w:val="5"/>
      <w:sz w:val="52"/>
      <w:szCs w:val="52"/>
    </w:rPr>
  </w:style>
  <w:style w:type="character" w:styleId="831">
    <w:name w:val="标题 字符"/>
    <w:next w:val="831"/>
    <w:link w:val="830"/>
    <w:uiPriority w:val="99"/>
    <w:qFormat/>
    <w:rPr>
      <w:rFonts w:ascii="Cambria" w:hAnsi="Cambria" w:eastAsia="宋体" w:cs="Times New Roman"/>
      <w:color w:val="17365d"/>
      <w:spacing w:val="5"/>
      <w:sz w:val="52"/>
      <w:szCs w:val="52"/>
    </w:rPr>
  </w:style>
  <w:style w:type="paragraph" w:styleId="832">
    <w:name w:val="批注主题"/>
    <w:basedOn w:val="784"/>
    <w:next w:val="784"/>
    <w:link w:val="833"/>
    <w:uiPriority w:val="99"/>
    <w:qFormat/>
    <w:rPr>
      <w:b/>
      <w:bCs/>
    </w:rPr>
  </w:style>
  <w:style w:type="character" w:styleId="833">
    <w:name w:val="批注主题 字符"/>
    <w:next w:val="833"/>
    <w:link w:val="832"/>
    <w:uiPriority w:val="99"/>
    <w:qFormat/>
    <w:rPr>
      <w:rFonts w:ascii="Times New Roman" w:hAnsi="Times New Roman" w:eastAsia="宋体" w:cs="Times New Roman"/>
      <w:b/>
      <w:bCs/>
      <w:sz w:val="21"/>
      <w:szCs w:val="21"/>
    </w:rPr>
  </w:style>
  <w:style w:type="paragraph" w:styleId="834">
    <w:name w:val="正文文本首行缩进"/>
    <w:basedOn w:val="749"/>
    <w:next w:val="834"/>
    <w:link w:val="835"/>
    <w:qFormat/>
    <w:pPr>
      <w:ind w:firstLine="200"/>
      <w:jc w:val="both"/>
      <w:spacing w:after="0" w:line="360" w:lineRule="auto"/>
      <w:widowControl w:val="off"/>
    </w:pPr>
    <w:rPr>
      <w:rFonts w:ascii="仿宋_GB2312" w:hAnsi="Times New Roman" w:eastAsia="仿宋_GB2312"/>
      <w:sz w:val="30"/>
      <w:szCs w:val="30"/>
    </w:rPr>
  </w:style>
  <w:style w:type="character" w:styleId="835">
    <w:name w:val="正文文本首行缩进 字符"/>
    <w:next w:val="835"/>
    <w:link w:val="834"/>
    <w:qFormat/>
    <w:rPr>
      <w:rFonts w:ascii="仿宋_GB2312" w:hAnsi="Times New Roman" w:eastAsia="仿宋_GB2312" w:cs="Times New Roman"/>
      <w:sz w:val="30"/>
      <w:szCs w:val="30"/>
    </w:rPr>
  </w:style>
  <w:style w:type="table" w:styleId="836">
    <w:name w:val="网格型"/>
    <w:basedOn w:val="760"/>
    <w:next w:val="836"/>
    <w:link w:val="749"/>
    <w:uiPriority w:val="39"/>
    <w:qFormat/>
    <w:rPr>
      <w:sz w:val="21"/>
    </w:rPr>
    <w:tblPr/>
  </w:style>
  <w:style w:type="character" w:styleId="837">
    <w:name w:val="要点"/>
    <w:next w:val="837"/>
    <w:link w:val="749"/>
    <w:qFormat/>
    <w:rPr>
      <w:b/>
      <w:bCs/>
    </w:rPr>
  </w:style>
  <w:style w:type="character" w:styleId="838">
    <w:name w:val="尾注引用"/>
    <w:next w:val="838"/>
    <w:link w:val="749"/>
    <w:uiPriority w:val="99"/>
    <w:unhideWhenUsed/>
    <w:rPr>
      <w:vertAlign w:val="superscript"/>
    </w:rPr>
  </w:style>
  <w:style w:type="character" w:styleId="839">
    <w:name w:val="页码"/>
    <w:next w:val="839"/>
    <w:link w:val="749"/>
    <w:qFormat/>
  </w:style>
  <w:style w:type="character" w:styleId="840">
    <w:name w:val="访问过的超链接"/>
    <w:next w:val="840"/>
    <w:link w:val="749"/>
    <w:qFormat/>
    <w:rPr>
      <w:color w:val="800080"/>
      <w:u w:val="single"/>
    </w:rPr>
  </w:style>
  <w:style w:type="character" w:styleId="841">
    <w:name w:val="强调"/>
    <w:next w:val="841"/>
    <w:link w:val="749"/>
    <w:qFormat/>
    <w:rPr>
      <w:i/>
      <w:iCs/>
    </w:rPr>
  </w:style>
  <w:style w:type="character" w:styleId="842">
    <w:name w:val="HTML 定义"/>
    <w:next w:val="842"/>
    <w:link w:val="749"/>
    <w:unhideWhenUsed/>
    <w:qFormat/>
    <w:rPr>
      <w:rFonts w:ascii="Times New Roman" w:hAnsi="Times New Roman" w:eastAsia="宋体" w:cs="Times New Roman"/>
      <w:i/>
      <w:iCs/>
    </w:rPr>
  </w:style>
  <w:style w:type="character" w:styleId="843">
    <w:name w:val="HTML 变量"/>
    <w:next w:val="843"/>
    <w:link w:val="749"/>
    <w:qFormat/>
    <w:rPr>
      <w:rFonts w:ascii="Times New Roman" w:hAnsi="Times New Roman" w:eastAsia="宋体" w:cs="Times New Roman"/>
    </w:rPr>
  </w:style>
  <w:style w:type="character" w:styleId="844">
    <w:name w:val="超链接"/>
    <w:next w:val="844"/>
    <w:link w:val="749"/>
    <w:qFormat/>
    <w:rPr>
      <w:color w:val="0000ff"/>
      <w:u w:val="single"/>
    </w:rPr>
  </w:style>
  <w:style w:type="character" w:styleId="845">
    <w:name w:val="HTML 代码"/>
    <w:next w:val="845"/>
    <w:link w:val="749"/>
    <w:unhideWhenUsed/>
    <w:qFormat/>
    <w:rPr>
      <w:rFonts w:ascii="Consolas" w:hAnsi="Consolas" w:eastAsia="Consolas" w:cs="Consolas"/>
      <w:color w:val="c7254e"/>
      <w:sz w:val="21"/>
      <w:szCs w:val="21"/>
      <w:shd w:val="clear" w:color="auto" w:fill="f9f2f4"/>
    </w:rPr>
  </w:style>
  <w:style w:type="character" w:styleId="846">
    <w:name w:val="批注引用"/>
    <w:next w:val="846"/>
    <w:link w:val="749"/>
    <w:qFormat/>
    <w:rPr>
      <w:sz w:val="21"/>
      <w:szCs w:val="21"/>
    </w:rPr>
  </w:style>
  <w:style w:type="character" w:styleId="847">
    <w:name w:val="HTML 引文"/>
    <w:next w:val="847"/>
    <w:link w:val="749"/>
    <w:qFormat/>
    <w:rPr>
      <w:rFonts w:ascii="Times New Roman" w:hAnsi="Times New Roman" w:eastAsia="宋体" w:cs="Times New Roman"/>
      <w:color w:val="008000"/>
    </w:rPr>
  </w:style>
  <w:style w:type="character" w:styleId="848">
    <w:name w:val="脚注引用"/>
    <w:next w:val="848"/>
    <w:link w:val="749"/>
    <w:uiPriority w:val="99"/>
    <w:unhideWhenUsed/>
    <w:rPr>
      <w:vertAlign w:val="superscript"/>
    </w:rPr>
  </w:style>
  <w:style w:type="character" w:styleId="849">
    <w:name w:val="HTML 键盘"/>
    <w:next w:val="849"/>
    <w:link w:val="749"/>
    <w:unhideWhenUsed/>
    <w:qFormat/>
    <w:rPr>
      <w:rFonts w:ascii="Consolas" w:hAnsi="Consolas" w:eastAsia="Consolas" w:cs="Consolas"/>
      <w:color w:val="ffffff"/>
      <w:sz w:val="21"/>
      <w:szCs w:val="21"/>
      <w:shd w:val="clear" w:color="auto" w:fill="333333"/>
    </w:rPr>
  </w:style>
  <w:style w:type="character" w:styleId="850">
    <w:name w:val="HTML 样本"/>
    <w:next w:val="850"/>
    <w:link w:val="749"/>
    <w:unhideWhenUsed/>
    <w:qFormat/>
    <w:rPr>
      <w:rFonts w:ascii="Consolas" w:hAnsi="Consolas" w:eastAsia="Consolas" w:cs="Consolas"/>
      <w:sz w:val="21"/>
      <w:szCs w:val="21"/>
    </w:rPr>
  </w:style>
  <w:style w:type="character" w:styleId="851">
    <w:name w:val="页脚 字符"/>
    <w:next w:val="851"/>
    <w:link w:val="749"/>
    <w:uiPriority w:val="99"/>
    <w:qFormat/>
    <w:rPr>
      <w:sz w:val="18"/>
      <w:szCs w:val="18"/>
    </w:rPr>
  </w:style>
  <w:style w:type="character" w:styleId="852">
    <w:name w:val="列出段落 Char,Bullet List Char,numbered Char,FooterText Char,List Paragraph1 Char,Paragraphe de liste1 Char"/>
    <w:next w:val="852"/>
    <w:link w:val="853"/>
    <w:uiPriority w:val="99"/>
    <w:qFormat/>
    <w:rPr>
      <w:rFonts w:ascii="Calibri" w:hAnsi="Calibri"/>
      <w:sz w:val="24"/>
      <w:szCs w:val="24"/>
      <w:lang w:eastAsia="en-US" w:bidi="en-US"/>
    </w:rPr>
  </w:style>
  <w:style w:type="paragraph" w:styleId="853">
    <w:name w:val="列出段落1"/>
    <w:basedOn w:val="749"/>
    <w:next w:val="853"/>
    <w:link w:val="852"/>
    <w:uiPriority w:val="99"/>
    <w:qFormat/>
    <w:pPr>
      <w:contextualSpacing/>
      <w:ind w:left="720"/>
    </w:pPr>
    <w:rPr>
      <w:sz w:val="24"/>
      <w:szCs w:val="24"/>
      <w:lang w:eastAsia="en-US" w:bidi="en-US"/>
    </w:rPr>
  </w:style>
  <w:style w:type="character" w:styleId="854">
    <w:name w:val="font5 Char"/>
    <w:next w:val="854"/>
    <w:link w:val="749"/>
    <w:qFormat/>
    <w:rPr>
      <w:rFonts w:ascii="宋体" w:hAnsi="宋体" w:eastAsia="宋体"/>
      <w:sz w:val="28"/>
      <w:szCs w:val="28"/>
      <w:lang w:val="en-US" w:eastAsia="zh-CN" w:bidi="ar-SA"/>
    </w:rPr>
  </w:style>
  <w:style w:type="character" w:styleId="855">
    <w:name w:val="无间隔 Char"/>
    <w:next w:val="855"/>
    <w:link w:val="856"/>
    <w:uiPriority w:val="1"/>
    <w:qFormat/>
    <w:rPr>
      <w:sz w:val="22"/>
      <w:szCs w:val="22"/>
      <w:lang w:val="en-US" w:eastAsia="zh-CN" w:bidi="ar-SA"/>
    </w:rPr>
  </w:style>
  <w:style w:type="paragraph" w:styleId="856">
    <w:name w:val="无间隔1"/>
    <w:next w:val="856"/>
    <w:link w:val="855"/>
    <w:uiPriority w:val="99"/>
    <w:qFormat/>
    <w:rPr>
      <w:sz w:val="22"/>
      <w:szCs w:val="22"/>
      <w:lang w:val="en-US" w:eastAsia="zh-CN" w:bidi="ar-SA"/>
    </w:rPr>
  </w:style>
  <w:style w:type="character" w:styleId="857">
    <w:name w:val="引用 Char"/>
    <w:next w:val="857"/>
    <w:link w:val="858"/>
    <w:uiPriority w:val="99"/>
    <w:qFormat/>
    <w:rPr>
      <w:i/>
      <w:iCs/>
      <w:color w:val="000000"/>
    </w:rPr>
  </w:style>
  <w:style w:type="paragraph" w:styleId="858">
    <w:name w:val="引用1"/>
    <w:basedOn w:val="749"/>
    <w:next w:val="749"/>
    <w:link w:val="857"/>
    <w:uiPriority w:val="99"/>
    <w:qFormat/>
    <w:rPr>
      <w:i/>
      <w:iCs/>
      <w:color w:val="000000"/>
      <w:sz w:val="20"/>
      <w:szCs w:val="20"/>
    </w:rPr>
  </w:style>
  <w:style w:type="character" w:styleId="859">
    <w:name w:val="明显引用 Char"/>
    <w:next w:val="859"/>
    <w:link w:val="860"/>
    <w:uiPriority w:val="99"/>
    <w:qFormat/>
    <w:rPr>
      <w:b/>
      <w:bCs/>
      <w:i/>
      <w:iCs/>
      <w:color w:val="4f81bd"/>
    </w:rPr>
  </w:style>
  <w:style w:type="paragraph" w:styleId="860">
    <w:name w:val="明显引用1"/>
    <w:basedOn w:val="749"/>
    <w:next w:val="749"/>
    <w:link w:val="859"/>
    <w:uiPriority w:val="99"/>
    <w:qFormat/>
    <w:pPr>
      <w:ind w:left="936" w:right="936"/>
      <w:spacing w:before="200" w:after="280"/>
      <w:pBdr>
        <w:bottom w:val="single" w:color="4F81BD" w:sz="4" w:space="4"/>
      </w:pBdr>
    </w:pPr>
    <w:rPr>
      <w:b/>
      <w:bCs/>
      <w:i/>
      <w:iCs/>
      <w:color w:val="4f81bd"/>
      <w:sz w:val="20"/>
      <w:szCs w:val="20"/>
    </w:rPr>
  </w:style>
  <w:style w:type="character" w:styleId="861">
    <w:name w:val="不明显强调1"/>
    <w:next w:val="861"/>
    <w:link w:val="749"/>
    <w:uiPriority w:val="99"/>
    <w:qFormat/>
    <w:rPr>
      <w:i/>
      <w:iCs/>
      <w:color w:val="7e7e7e"/>
    </w:rPr>
  </w:style>
  <w:style w:type="character" w:styleId="862">
    <w:name w:val="明显强调1"/>
    <w:next w:val="862"/>
    <w:link w:val="749"/>
    <w:uiPriority w:val="99"/>
    <w:qFormat/>
    <w:rPr>
      <w:b/>
      <w:bCs/>
      <w:i/>
      <w:iCs/>
      <w:color w:val="4f81bd"/>
    </w:rPr>
  </w:style>
  <w:style w:type="character" w:styleId="863">
    <w:name w:val="不明显参考1"/>
    <w:next w:val="863"/>
    <w:link w:val="749"/>
    <w:uiPriority w:val="99"/>
    <w:qFormat/>
    <w:rPr>
      <w:smallCaps/>
      <w:color w:val="c0504d"/>
      <w:u w:val="single"/>
    </w:rPr>
  </w:style>
  <w:style w:type="character" w:styleId="864">
    <w:name w:val="明显参考1"/>
    <w:next w:val="864"/>
    <w:link w:val="749"/>
    <w:uiPriority w:val="99"/>
    <w:qFormat/>
    <w:rPr>
      <w:b/>
      <w:bCs/>
      <w:smallCaps/>
      <w:color w:val="c0504d"/>
      <w:spacing w:val="5"/>
      <w:u w:val="single"/>
    </w:rPr>
  </w:style>
  <w:style w:type="character" w:styleId="865">
    <w:name w:val="书籍标题1"/>
    <w:next w:val="865"/>
    <w:link w:val="749"/>
    <w:uiPriority w:val="99"/>
    <w:qFormat/>
    <w:rPr>
      <w:b/>
      <w:bCs/>
      <w:smallCaps/>
      <w:spacing w:val="5"/>
    </w:rPr>
  </w:style>
  <w:style w:type="character" w:styleId="866">
    <w:name w:val="纯文本 Char"/>
    <w:next w:val="866"/>
    <w:link w:val="749"/>
    <w:qFormat/>
    <w:rPr>
      <w:rFonts w:ascii="宋体" w:hAnsi="Courier New" w:eastAsia="宋体" w:cs="Courier New"/>
      <w:sz w:val="21"/>
      <w:szCs w:val="21"/>
    </w:rPr>
  </w:style>
  <w:style w:type="character" w:styleId="867">
    <w:name w:val="fontstyle01"/>
    <w:next w:val="867"/>
    <w:link w:val="749"/>
    <w:qFormat/>
    <w:rPr>
      <w:rFonts w:ascii="FZSSK--GBK1-0" w:hAnsi="FZSSK--GBK1-0"/>
      <w:color w:val="242021"/>
      <w:sz w:val="24"/>
      <w:szCs w:val="24"/>
    </w:rPr>
  </w:style>
  <w:style w:type="character" w:styleId="868">
    <w:name w:val="页眉 字符"/>
    <w:next w:val="868"/>
    <w:link w:val="749"/>
    <w:uiPriority w:val="99"/>
    <w:qFormat/>
    <w:rPr>
      <w:sz w:val="18"/>
      <w:szCs w:val="18"/>
    </w:rPr>
  </w:style>
  <w:style w:type="character" w:styleId="869">
    <w:name w:val="正文缩进 字符"/>
    <w:next w:val="869"/>
    <w:link w:val="749"/>
    <w:qFormat/>
    <w:rPr>
      <w:sz w:val="21"/>
      <w:szCs w:val="21"/>
    </w:rPr>
  </w:style>
  <w:style w:type="character" w:styleId="870">
    <w:name w:val="二级目录 Char"/>
    <w:next w:val="870"/>
    <w:link w:val="871"/>
    <w:qFormat/>
    <w:rPr>
      <w:b/>
      <w:sz w:val="30"/>
      <w:szCs w:val="28"/>
      <w:lang w:val="en-US" w:eastAsia="zh-CN" w:bidi="ar-SA"/>
    </w:rPr>
  </w:style>
  <w:style w:type="paragraph" w:styleId="871">
    <w:name w:val="二级目录"/>
    <w:next w:val="749"/>
    <w:link w:val="870"/>
    <w:qFormat/>
    <w:pPr>
      <w:ind w:left="907" w:hanging="907"/>
      <w:tabs>
        <w:tab w:val="left" w:pos="907" w:leader="none"/>
        <w:tab w:val="left" w:pos="1145" w:leader="none"/>
      </w:tabs>
      <w:outlineLvl w:val="1"/>
    </w:pPr>
    <w:rPr>
      <w:b/>
      <w:sz w:val="30"/>
      <w:szCs w:val="28"/>
      <w:lang w:val="en-US" w:eastAsia="zh-CN" w:bidi="ar-SA"/>
    </w:rPr>
  </w:style>
  <w:style w:type="character" w:styleId="872">
    <w:name w:val="Table Sub Section Char"/>
    <w:next w:val="872"/>
    <w:link w:val="873"/>
    <w:qFormat/>
    <w:rPr>
      <w:rFonts w:ascii="Arial" w:hAnsi="Arial" w:eastAsia="宋体" w:cs="Times New Roman"/>
      <w:b/>
      <w:color w:val="0f0f0f"/>
      <w:sz w:val="20"/>
      <w:szCs w:val="20"/>
      <w:lang w:eastAsia="en-US"/>
    </w:rPr>
  </w:style>
  <w:style w:type="paragraph" w:styleId="873">
    <w:name w:val="Table Sub Section"/>
    <w:basedOn w:val="749"/>
    <w:next w:val="873"/>
    <w:link w:val="872"/>
    <w:qFormat/>
    <w:pPr>
      <w:keepNext/>
      <w:spacing w:before="160" w:after="160"/>
    </w:pPr>
    <w:rPr>
      <w:rFonts w:ascii="Arial" w:hAnsi="Arial"/>
      <w:b/>
      <w:color w:val="0f0f0f"/>
      <w:sz w:val="20"/>
      <w:szCs w:val="20"/>
      <w:lang w:eastAsia="en-US"/>
    </w:rPr>
  </w:style>
  <w:style w:type="paragraph" w:styleId="874">
    <w:name w:val="4"/>
    <w:basedOn w:val="749"/>
    <w:next w:val="819"/>
    <w:link w:val="749"/>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75">
    <w:name w:val="列出段落21"/>
    <w:basedOn w:val="749"/>
    <w:next w:val="875"/>
    <w:link w:val="749"/>
    <w:qFormat/>
    <w:pPr>
      <w:ind w:firstLine="420"/>
      <w:jc w:val="both"/>
      <w:spacing w:after="0" w:line="240" w:lineRule="auto"/>
      <w:widowControl w:val="off"/>
    </w:pPr>
    <w:rPr>
      <w:rFonts w:ascii="Calibri" w:hAnsi="Calibri" w:eastAsia="宋体" w:cs="Times New Roman"/>
      <w:sz w:val="21"/>
    </w:rPr>
  </w:style>
  <w:style w:type="paragraph" w:styleId="876">
    <w:name w:val="table_lines"/>
    <w:basedOn w:val="749"/>
    <w:next w:val="876"/>
    <w:link w:val="749"/>
    <w:qFormat/>
    <w:pPr>
      <w:spacing w:after="0" w:line="240" w:lineRule="auto"/>
    </w:pPr>
    <w:rPr>
      <w:rFonts w:ascii="Times New Roman" w:hAnsi="Times New Roman" w:eastAsia="宋体" w:cs="Times New Roman"/>
      <w:sz w:val="20"/>
      <w:szCs w:val="20"/>
      <w:lang w:val="de-DE" w:eastAsia="de-DE"/>
    </w:rPr>
  </w:style>
  <w:style w:type="paragraph" w:styleId="877">
    <w:name w:val="font7"/>
    <w:basedOn w:val="749"/>
    <w:next w:val="877"/>
    <w:link w:val="749"/>
    <w:qFormat/>
    <w:pPr>
      <w:spacing w:before="100" w:beforeAutospacing="1" w:after="100" w:afterAutospacing="1" w:line="240" w:lineRule="auto"/>
    </w:pPr>
    <w:rPr>
      <w:rFonts w:hint="eastAsia" w:ascii="宋体" w:hAnsi="宋体" w:eastAsia="宋体" w:cs="Times New Roman"/>
      <w:sz w:val="18"/>
      <w:szCs w:val="18"/>
    </w:rPr>
  </w:style>
  <w:style w:type="paragraph" w:styleId="878">
    <w:name w:val="xl24"/>
    <w:basedOn w:val="749"/>
    <w:next w:val="878"/>
    <w:link w:val="749"/>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9">
    <w:name w:val="列出段落2"/>
    <w:basedOn w:val="749"/>
    <w:next w:val="879"/>
    <w:link w:val="749"/>
    <w:uiPriority w:val="99"/>
    <w:qFormat/>
    <w:pPr>
      <w:contextualSpacing/>
      <w:ind w:left="720"/>
    </w:pPr>
  </w:style>
  <w:style w:type="paragraph" w:styleId="880">
    <w:name w:val="xl30"/>
    <w:basedOn w:val="749"/>
    <w:next w:val="880"/>
    <w:link w:val="749"/>
    <w:qFormat/>
    <w:pPr>
      <w:jc w:val="center"/>
      <w:spacing w:before="100" w:beforeAutospacing="1" w:after="100" w:afterAutospacing="1" w:line="240" w:lineRule="auto"/>
    </w:pPr>
    <w:rPr>
      <w:rFonts w:ascii="宋体" w:hAnsi="宋体" w:eastAsia="宋体" w:cs="Times New Roman"/>
      <w:b/>
      <w:bCs/>
      <w:sz w:val="36"/>
      <w:szCs w:val="36"/>
    </w:rPr>
  </w:style>
  <w:style w:type="paragraph" w:styleId="881">
    <w:name w:val="xl27"/>
    <w:basedOn w:val="749"/>
    <w:next w:val="881"/>
    <w:link w:val="749"/>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2">
    <w:name w:val="Char"/>
    <w:basedOn w:val="782"/>
    <w:next w:val="882"/>
    <w:link w:val="749"/>
    <w:qFormat/>
    <w:rPr>
      <w:rFonts w:ascii="Tahoma" w:hAnsi="Tahoma"/>
      <w:sz w:val="24"/>
      <w:szCs w:val="24"/>
    </w:rPr>
  </w:style>
  <w:style w:type="paragraph" w:styleId="883">
    <w:name w:val="font6"/>
    <w:basedOn w:val="749"/>
    <w:next w:val="883"/>
    <w:link w:val="749"/>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84">
    <w:name w:val="table_1stline"/>
    <w:basedOn w:val="749"/>
    <w:next w:val="884"/>
    <w:link w:val="749"/>
    <w:qFormat/>
    <w:pPr>
      <w:spacing w:before="120" w:after="0" w:line="240" w:lineRule="auto"/>
    </w:pPr>
    <w:rPr>
      <w:rFonts w:ascii="Times New Roman" w:hAnsi="Times New Roman" w:eastAsia="宋体" w:cs="Times New Roman"/>
      <w:bCs/>
      <w:sz w:val="20"/>
      <w:szCs w:val="20"/>
      <w:lang w:val="de-DE" w:eastAsia="de-DE"/>
    </w:rPr>
  </w:style>
  <w:style w:type="paragraph" w:styleId="885">
    <w:name w:val="font5"/>
    <w:basedOn w:val="749"/>
    <w:next w:val="885"/>
    <w:link w:val="749"/>
    <w:qFormat/>
    <w:pPr>
      <w:spacing w:before="100" w:beforeAutospacing="1" w:after="100" w:afterAutospacing="1" w:line="240" w:lineRule="auto"/>
    </w:pPr>
    <w:rPr>
      <w:rFonts w:hint="eastAsia" w:ascii="宋体" w:hAnsi="宋体" w:eastAsia="宋体" w:cs="Times New Roman"/>
      <w:sz w:val="28"/>
      <w:szCs w:val="28"/>
    </w:rPr>
  </w:style>
  <w:style w:type="paragraph" w:styleId="886">
    <w:name w:val="Char Char Char Char Char Char Char Char"/>
    <w:basedOn w:val="749"/>
    <w:next w:val="886"/>
    <w:link w:val="749"/>
    <w:qFormat/>
    <w:pPr>
      <w:spacing w:after="160" w:line="240" w:lineRule="exact"/>
    </w:pPr>
    <w:rPr>
      <w:rFonts w:ascii="Verdana" w:hAnsi="Verdana" w:eastAsia="宋体" w:cs="Times New Roman"/>
      <w:sz w:val="20"/>
      <w:szCs w:val="20"/>
      <w:lang w:eastAsia="en-US"/>
    </w:rPr>
  </w:style>
  <w:style w:type="paragraph" w:styleId="887">
    <w:name w:val="TOC 标题1"/>
    <w:basedOn w:val="750"/>
    <w:next w:val="749"/>
    <w:link w:val="749"/>
    <w:uiPriority w:val="99"/>
    <w:unhideWhenUsed/>
    <w:qFormat/>
    <w:pPr>
      <w:outlineLvl w:val="9"/>
    </w:pPr>
  </w:style>
  <w:style w:type="paragraph" w:styleId="888">
    <w:name w:val="xl29"/>
    <w:basedOn w:val="749"/>
    <w:next w:val="888"/>
    <w:link w:val="749"/>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89">
    <w:name w:val="Char Char Char Char"/>
    <w:basedOn w:val="782"/>
    <w:next w:val="889"/>
    <w:link w:val="749"/>
    <w:qFormat/>
    <w:pPr>
      <w:spacing w:line="360" w:lineRule="auto"/>
    </w:pPr>
    <w:rPr>
      <w:rFonts w:ascii="Tahoma" w:hAnsi="Tahoma"/>
      <w:sz w:val="24"/>
      <w:szCs w:val="24"/>
    </w:rPr>
  </w:style>
  <w:style w:type="paragraph" w:styleId="890">
    <w:name w:val="列表段落"/>
    <w:basedOn w:val="749"/>
    <w:next w:val="890"/>
    <w:link w:val="749"/>
    <w:uiPriority w:val="34"/>
    <w:qFormat/>
    <w:pPr>
      <w:ind w:firstLine="420"/>
    </w:pPr>
  </w:style>
  <w:style w:type="paragraph" w:styleId="891">
    <w:name w:val="修订1"/>
    <w:next w:val="891"/>
    <w:link w:val="749"/>
    <w:uiPriority w:val="99"/>
    <w:qFormat/>
    <w:rPr>
      <w:sz w:val="22"/>
      <w:szCs w:val="22"/>
      <w:lang w:val="en-US" w:eastAsia="zh-CN" w:bidi="ar-SA"/>
    </w:rPr>
  </w:style>
  <w:style w:type="paragraph" w:styleId="892">
    <w:name w:val="普通 (Web)"/>
    <w:basedOn w:val="749"/>
    <w:next w:val="892"/>
    <w:link w:val="749"/>
    <w:qFormat/>
    <w:pPr>
      <w:spacing w:before="100" w:beforeAutospacing="1" w:after="100" w:afterAutospacing="1" w:line="240" w:lineRule="auto"/>
    </w:pPr>
    <w:rPr>
      <w:rFonts w:ascii="宋体" w:hAnsi="宋体" w:eastAsia="宋体" w:cs="Times New Roman"/>
      <w:sz w:val="24"/>
      <w:szCs w:val="24"/>
    </w:rPr>
  </w:style>
  <w:style w:type="paragraph" w:styleId="893">
    <w:name w:val="标题3"/>
    <w:basedOn w:val="749"/>
    <w:next w:val="749"/>
    <w:link w:val="749"/>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94">
    <w:name w:val="标题1"/>
    <w:basedOn w:val="749"/>
    <w:next w:val="749"/>
    <w:link w:val="749"/>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95">
    <w:name w:val="样式2"/>
    <w:basedOn w:val="749"/>
    <w:next w:val="895"/>
    <w:link w:val="749"/>
    <w:qFormat/>
    <w:pPr>
      <w:jc w:val="center"/>
      <w:spacing w:after="0" w:line="240" w:lineRule="auto"/>
      <w:widowControl w:val="off"/>
    </w:pPr>
    <w:rPr>
      <w:rFonts w:ascii="Calibri" w:hAnsi="Calibri" w:eastAsia="宋体" w:cs="Times New Roman"/>
      <w:b/>
      <w:sz w:val="44"/>
      <w:szCs w:val="44"/>
    </w:rPr>
  </w:style>
  <w:style w:type="paragraph" w:styleId="896">
    <w:name w:val="附录1"/>
    <w:next w:val="896"/>
    <w:link w:val="749"/>
    <w:qFormat/>
    <w:pPr>
      <w:ind w:left="907" w:hanging="907"/>
      <w:spacing w:before="240" w:line="600" w:lineRule="atLeast"/>
      <w:tabs>
        <w:tab w:val="left" w:pos="907" w:leader="none"/>
      </w:tabs>
    </w:pPr>
    <w:rPr>
      <w:b/>
      <w:i/>
      <w:sz w:val="28"/>
      <w:lang w:val="en-US" w:eastAsia="zh-CN" w:bidi="ar-SA"/>
    </w:rPr>
  </w:style>
  <w:style w:type="paragraph" w:styleId="897">
    <w:name w:val="样式1"/>
    <w:basedOn w:val="749"/>
    <w:next w:val="897"/>
    <w:link w:val="749"/>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898">
    <w:name w:val="普通正文"/>
    <w:basedOn w:val="749"/>
    <w:next w:val="898"/>
    <w:link w:val="899"/>
    <w:uiPriority w:val="99"/>
    <w:qFormat/>
    <w:pPr>
      <w:ind w:firstLine="480"/>
      <w:spacing w:before="120" w:after="120" w:line="360" w:lineRule="auto"/>
      <w:widowControl w:val="off"/>
    </w:pPr>
    <w:rPr>
      <w:rFonts w:ascii="Arial" w:hAnsi="Arial"/>
      <w:sz w:val="24"/>
      <w:szCs w:val="24"/>
    </w:rPr>
  </w:style>
  <w:style w:type="character" w:styleId="899">
    <w:name w:val="普通正文 Char"/>
    <w:next w:val="899"/>
    <w:link w:val="898"/>
    <w:qFormat/>
    <w:rPr>
      <w:rFonts w:ascii="Arial" w:hAnsi="Arial"/>
      <w:sz w:val="24"/>
      <w:szCs w:val="24"/>
    </w:rPr>
  </w:style>
  <w:style w:type="paragraph" w:styleId="900">
    <w:name w:val="Body Text(ch)"/>
    <w:basedOn w:val="749"/>
    <w:next w:val="788"/>
    <w:link w:val="749"/>
    <w:qFormat/>
    <w:pPr>
      <w:jc w:val="both"/>
      <w:spacing w:after="120" w:line="240" w:lineRule="auto"/>
      <w:widowControl w:val="off"/>
    </w:pPr>
    <w:rPr>
      <w:rFonts w:ascii="宋体" w:hAnsi="Arial" w:eastAsia="宋体" w:cs="Times New Roman"/>
      <w:bCs/>
      <w:iCs/>
      <w:sz w:val="21"/>
      <w:szCs w:val="24"/>
    </w:rPr>
  </w:style>
  <w:style w:type="paragraph" w:styleId="901">
    <w:name w:val="彩色列表 - 强调文字颜色 11"/>
    <w:basedOn w:val="749"/>
    <w:next w:val="901"/>
    <w:link w:val="749"/>
    <w:qFormat/>
    <w:pPr>
      <w:contextualSpacing/>
      <w:ind w:left="720"/>
      <w:spacing w:before="100" w:after="100"/>
    </w:pPr>
    <w:rPr>
      <w:rFonts w:ascii="Arial" w:hAnsi="Arial" w:eastAsia="宋体" w:cs="Arial"/>
      <w:color w:val="0f0f0f"/>
      <w:sz w:val="20"/>
      <w:szCs w:val="20"/>
      <w:lang w:eastAsia="en-US"/>
    </w:rPr>
  </w:style>
  <w:style w:type="paragraph" w:styleId="902">
    <w:name w:val="图标"/>
    <w:basedOn w:val="749"/>
    <w:next w:val="749"/>
    <w:link w:val="749"/>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903">
    <w:name w:val="xl25"/>
    <w:basedOn w:val="749"/>
    <w:next w:val="903"/>
    <w:link w:val="749"/>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04">
    <w:name w:val="xl26"/>
    <w:basedOn w:val="749"/>
    <w:next w:val="904"/>
    <w:link w:val="749"/>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5">
    <w:name w:val="xl28"/>
    <w:basedOn w:val="749"/>
    <w:next w:val="905"/>
    <w:link w:val="749"/>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6">
    <w:name w:val="Char Char Char Char Char Char Char Char Char Char"/>
    <w:basedOn w:val="749"/>
    <w:next w:val="906"/>
    <w:link w:val="749"/>
    <w:qFormat/>
    <w:pPr>
      <w:jc w:val="both"/>
      <w:spacing w:after="0" w:line="360" w:lineRule="auto"/>
      <w:widowControl w:val="off"/>
    </w:pPr>
    <w:rPr>
      <w:rFonts w:ascii="Times New Roman" w:hAnsi="Times New Roman" w:eastAsia="宋体" w:cs="Times New Roman"/>
      <w:sz w:val="24"/>
      <w:szCs w:val="20"/>
    </w:rPr>
  </w:style>
  <w:style w:type="paragraph" w:styleId="907">
    <w:name w:val="纯文本1"/>
    <w:basedOn w:val="749"/>
    <w:next w:val="907"/>
    <w:link w:val="749"/>
    <w:qFormat/>
    <w:pPr>
      <w:jc w:val="both"/>
      <w:spacing w:after="0" w:line="240" w:lineRule="auto"/>
      <w:widowControl w:val="off"/>
    </w:pPr>
    <w:rPr>
      <w:rFonts w:ascii="宋体" w:hAnsi="Courier New" w:eastAsia="楷体_GB2312" w:cs="Times New Roman"/>
      <w:sz w:val="28"/>
      <w:szCs w:val="20"/>
    </w:rPr>
  </w:style>
  <w:style w:type="table" w:styleId="908">
    <w:name w:val="网格型11"/>
    <w:basedOn w:val="760"/>
    <w:next w:val="908"/>
    <w:link w:val="749"/>
    <w:uiPriority w:val="59"/>
    <w:qFormat/>
    <w:rPr>
      <w:rFonts w:ascii="等线" w:hAnsi="等线" w:eastAsia="等线"/>
      <w:sz w:val="21"/>
    </w:rPr>
    <w:tblPr/>
  </w:style>
  <w:style w:type="table" w:styleId="909">
    <w:name w:val="网格型51"/>
    <w:basedOn w:val="760"/>
    <w:next w:val="909"/>
    <w:link w:val="749"/>
    <w:uiPriority w:val="59"/>
    <w:qFormat/>
    <w:rPr>
      <w:rFonts w:ascii="Times New Roman" w:hAnsi="Times New Roman"/>
    </w:rPr>
    <w:tblPr/>
  </w:style>
  <w:style w:type="table" w:styleId="910">
    <w:name w:val="网格型2"/>
    <w:basedOn w:val="760"/>
    <w:next w:val="910"/>
    <w:link w:val="749"/>
    <w:uiPriority w:val="39"/>
    <w:qFormat/>
    <w:rPr>
      <w:rFonts w:ascii="等线" w:hAnsi="等线" w:eastAsia="等线"/>
      <w:sz w:val="21"/>
    </w:rPr>
    <w:tblPr/>
  </w:style>
  <w:style w:type="table" w:styleId="911">
    <w:name w:val="网格型7"/>
    <w:basedOn w:val="760"/>
    <w:next w:val="911"/>
    <w:link w:val="749"/>
    <w:uiPriority w:val="59"/>
    <w:qFormat/>
    <w:rPr>
      <w:rFonts w:ascii="Times New Roman" w:hAnsi="Times New Roman"/>
    </w:rPr>
    <w:tblPr/>
  </w:style>
  <w:style w:type="table" w:styleId="912">
    <w:name w:val="网格型1"/>
    <w:basedOn w:val="760"/>
    <w:next w:val="912"/>
    <w:link w:val="749"/>
    <w:uiPriority w:val="59"/>
    <w:qFormat/>
    <w:rPr>
      <w:sz w:val="21"/>
    </w:rPr>
    <w:tblPr/>
  </w:style>
  <w:style w:type="table" w:styleId="913">
    <w:name w:val="网格型21"/>
    <w:basedOn w:val="760"/>
    <w:next w:val="913"/>
    <w:link w:val="749"/>
    <w:uiPriority w:val="59"/>
    <w:qFormat/>
    <w:rPr>
      <w:sz w:val="21"/>
    </w:rPr>
    <w:tblPr/>
  </w:style>
  <w:style w:type="table" w:styleId="914">
    <w:name w:val="网格型10"/>
    <w:basedOn w:val="760"/>
    <w:next w:val="914"/>
    <w:link w:val="749"/>
    <w:uiPriority w:val="39"/>
    <w:qFormat/>
    <w:rPr>
      <w:rFonts w:ascii="Times New Roman" w:hAnsi="Times New Roman"/>
    </w:rPr>
    <w:tblPr/>
  </w:style>
  <w:style w:type="table" w:styleId="915">
    <w:name w:val="网格型3"/>
    <w:basedOn w:val="760"/>
    <w:next w:val="915"/>
    <w:link w:val="749"/>
    <w:qFormat/>
    <w:pPr>
      <w:jc w:val="both"/>
      <w:widowControl w:val="off"/>
    </w:pPr>
    <w:rPr>
      <w:rFonts w:ascii="Times New Roman" w:hAnsi="Times New Roman"/>
    </w:rPr>
    <w:tblPr/>
  </w:style>
  <w:style w:type="table" w:styleId="916">
    <w:name w:val="网格型12"/>
    <w:basedOn w:val="760"/>
    <w:next w:val="916"/>
    <w:link w:val="749"/>
    <w:uiPriority w:val="39"/>
    <w:qFormat/>
    <w:rPr>
      <w:rFonts w:ascii="Times New Roman" w:hAnsi="Times New Roman"/>
    </w:rPr>
    <w:tblPr/>
  </w:style>
  <w:style w:type="table" w:styleId="917">
    <w:name w:val="网格型4"/>
    <w:basedOn w:val="760"/>
    <w:next w:val="917"/>
    <w:link w:val="749"/>
    <w:uiPriority w:val="59"/>
    <w:qFormat/>
    <w:tblPr/>
  </w:style>
  <w:style w:type="table" w:styleId="918">
    <w:name w:val="网格型5"/>
    <w:basedOn w:val="760"/>
    <w:next w:val="918"/>
    <w:link w:val="749"/>
    <w:uiPriority w:val="59"/>
    <w:qFormat/>
    <w:rPr>
      <w:rFonts w:ascii="Times New Roman" w:hAnsi="Times New Roman"/>
    </w:rPr>
    <w:tblPr/>
  </w:style>
  <w:style w:type="table" w:styleId="919">
    <w:name w:val="网格型6"/>
    <w:basedOn w:val="760"/>
    <w:next w:val="919"/>
    <w:link w:val="749"/>
    <w:uiPriority w:val="59"/>
    <w:qFormat/>
    <w:rPr>
      <w:rFonts w:ascii="Times New Roman" w:hAnsi="Times New Roman"/>
    </w:rPr>
    <w:tblPr/>
  </w:style>
  <w:style w:type="table" w:styleId="920">
    <w:name w:val="网格型8"/>
    <w:basedOn w:val="760"/>
    <w:next w:val="920"/>
    <w:link w:val="749"/>
    <w:uiPriority w:val="59"/>
    <w:qFormat/>
    <w:pPr>
      <w:jc w:val="both"/>
      <w:widowControl w:val="off"/>
    </w:pPr>
    <w:tblPr/>
  </w:style>
  <w:style w:type="table" w:styleId="921">
    <w:name w:val="网格型9"/>
    <w:basedOn w:val="760"/>
    <w:next w:val="921"/>
    <w:link w:val="749"/>
    <w:uiPriority w:val="39"/>
    <w:qFormat/>
    <w:pPr>
      <w:jc w:val="both"/>
      <w:widowControl w:val="off"/>
    </w:pPr>
    <w:tblPr/>
  </w:style>
  <w:style w:type="table" w:styleId="922">
    <w:name w:val="网格型13"/>
    <w:basedOn w:val="760"/>
    <w:next w:val="922"/>
    <w:link w:val="749"/>
    <w:uiPriority w:val="39"/>
    <w:qFormat/>
    <w:rPr>
      <w:rFonts w:ascii="Times New Roman" w:hAnsi="Times New Roman"/>
    </w:rPr>
    <w:tblPr/>
  </w:style>
  <w:style w:type="table" w:styleId="923">
    <w:name w:val="网格型14"/>
    <w:basedOn w:val="760"/>
    <w:next w:val="923"/>
    <w:link w:val="749"/>
    <w:uiPriority w:val="39"/>
    <w:qFormat/>
    <w:rPr>
      <w:rFonts w:ascii="Times New Roman" w:hAnsi="Times New Roman"/>
    </w:rPr>
    <w:tblPr/>
  </w:style>
  <w:style w:type="table" w:styleId="924">
    <w:name w:val="网格型15"/>
    <w:basedOn w:val="760"/>
    <w:next w:val="924"/>
    <w:link w:val="749"/>
    <w:uiPriority w:val="39"/>
    <w:qFormat/>
    <w:rPr>
      <w:rFonts w:ascii="Times New Roman" w:hAnsi="Times New Roman"/>
    </w:rPr>
    <w:tblPr/>
  </w:style>
  <w:style w:type="table" w:styleId="925">
    <w:name w:val="网格型16"/>
    <w:basedOn w:val="760"/>
    <w:next w:val="925"/>
    <w:link w:val="749"/>
    <w:uiPriority w:val="39"/>
    <w:qFormat/>
    <w:rPr>
      <w:rFonts w:ascii="Times New Roman" w:hAnsi="Times New Roman"/>
    </w:rPr>
    <w:tblPr/>
  </w:style>
  <w:style w:type="table" w:styleId="926">
    <w:name w:val="网格型17"/>
    <w:basedOn w:val="760"/>
    <w:next w:val="926"/>
    <w:link w:val="749"/>
    <w:uiPriority w:val="39"/>
    <w:qFormat/>
    <w:rPr>
      <w:rFonts w:ascii="Times New Roman" w:hAnsi="Times New Roman"/>
    </w:rPr>
    <w:tblPr/>
  </w:style>
  <w:style w:type="paragraph" w:styleId="927">
    <w:name w:val="修订"/>
    <w:next w:val="927"/>
    <w:link w:val="749"/>
    <w:uiPriority w:val="99"/>
    <w:unhideWhenUsed/>
    <w:rPr>
      <w:sz w:val="22"/>
      <w:szCs w:val="22"/>
      <w:lang w:val="en-US" w:eastAsia="zh-CN" w:bidi="ar-SA"/>
    </w:rPr>
  </w:style>
  <w:style w:type="table" w:styleId="928">
    <w:name w:val="网格型18"/>
    <w:basedOn w:val="760"/>
    <w:next w:val="928"/>
    <w:link w:val="749"/>
    <w:uiPriority w:val="59"/>
    <w:qFormat/>
    <w:rPr>
      <w:rFonts w:ascii="Times New Roman" w:hAnsi="Times New Roman"/>
      <w:sz w:val="21"/>
    </w:rPr>
    <w:tblPr/>
  </w:style>
  <w:style w:type="character" w:styleId="929">
    <w:name w:val="未处理的提及"/>
    <w:next w:val="929"/>
    <w:link w:val="749"/>
    <w:uiPriority w:val="99"/>
    <w:unhideWhenUsed/>
    <w:rPr>
      <w:color w:val="605e5c"/>
      <w:shd w:val="clear" w:color="auto" w:fill="e1dfdd"/>
    </w:rPr>
  </w:style>
  <w:style w:type="table" w:styleId="930">
    <w:name w:val="网格型19"/>
    <w:basedOn w:val="760"/>
    <w:next w:val="930"/>
    <w:link w:val="749"/>
    <w:uiPriority w:val="59"/>
    <w:qFormat/>
    <w:rPr>
      <w:rFonts w:ascii="Times New Roman" w:hAnsi="Times New Roman"/>
    </w:rPr>
    <w:tblPr/>
  </w:style>
  <w:style w:type="table" w:styleId="931">
    <w:name w:val="网格型91"/>
    <w:basedOn w:val="760"/>
    <w:next w:val="931"/>
    <w:link w:val="749"/>
    <w:uiPriority w:val="59"/>
    <w:qFormat/>
    <w:rPr>
      <w:rFonts w:ascii="Times New Roman" w:hAnsi="Times New Roman"/>
      <w:sz w:val="21"/>
    </w:rPr>
    <w:tblPr/>
  </w:style>
  <w:style w:type="paragraph" w:styleId="932">
    <w:name w:val="List Paragraph1"/>
    <w:basedOn w:val="749"/>
    <w:next w:val="932"/>
    <w:link w:val="749"/>
    <w:uiPriority w:val="99"/>
    <w:qFormat/>
    <w:pPr>
      <w:ind w:firstLine="420"/>
      <w:jc w:val="both"/>
      <w:spacing w:after="0" w:line="240" w:lineRule="auto"/>
      <w:widowControl w:val="off"/>
    </w:pPr>
    <w:rPr>
      <w:rFonts w:cs="Calibri"/>
      <w:sz w:val="21"/>
      <w:szCs w:val="21"/>
    </w:rPr>
  </w:style>
  <w:style w:type="paragraph" w:styleId="933">
    <w:name w:val="正文缩进1"/>
    <w:basedOn w:val="749"/>
    <w:next w:val="933"/>
    <w:link w:val="934"/>
    <w:qFormat/>
    <w:pPr>
      <w:ind w:firstLine="420"/>
      <w:jc w:val="both"/>
      <w:spacing w:after="0" w:line="240" w:lineRule="auto"/>
      <w:widowControl w:val="off"/>
    </w:pPr>
    <w:rPr>
      <w:b/>
      <w:bCs/>
      <w:sz w:val="24"/>
      <w:szCs w:val="24"/>
    </w:rPr>
  </w:style>
  <w:style w:type="character" w:styleId="934">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34"/>
    <w:link w:val="933"/>
    <w:qFormat/>
    <w:rPr>
      <w:rFonts w:cs="Calibri"/>
      <w:b/>
      <w:bCs/>
      <w:sz w:val="24"/>
      <w:szCs w:val="24"/>
    </w:rPr>
  </w:style>
  <w:style w:type="table" w:styleId="935">
    <w:name w:val="网格型20"/>
    <w:next w:val="935"/>
    <w:link w:val="749"/>
    <w:uiPriority w:val="59"/>
    <w:rPr>
      <w:lang w:val="en-US" w:eastAsia="zh-CN" w:bidi="ar-SA"/>
    </w:rPr>
    <w:tblPr/>
  </w:style>
  <w:style w:type="character" w:styleId="936">
    <w:name w:val="Caption Char"/>
    <w:next w:val="936"/>
    <w:link w:val="749"/>
    <w:uiPriority w:val="99"/>
    <w:qFormat/>
  </w:style>
  <w:style w:type="character" w:styleId="937">
    <w:name w:val="redfilefwwh"/>
    <w:next w:val="937"/>
    <w:link w:val="749"/>
    <w:rPr>
      <w:color w:val="ba2636"/>
      <w:sz w:val="18"/>
      <w:szCs w:val="18"/>
    </w:rPr>
  </w:style>
  <w:style w:type="character" w:styleId="938">
    <w:name w:val="默认段落字体1"/>
    <w:next w:val="938"/>
    <w:link w:val="749"/>
    <w:semiHidden/>
  </w:style>
  <w:style w:type="paragraph" w:styleId="939">
    <w:name w:val="无间隔"/>
    <w:basedOn w:val="749"/>
    <w:next w:val="939"/>
    <w:link w:val="749"/>
    <w:uiPriority w:val="99"/>
    <w:qFormat/>
    <w:pPr>
      <w:spacing w:after="0" w:line="240" w:lineRule="auto"/>
    </w:pPr>
    <w:rPr>
      <w:rFonts w:ascii="Times New Roman" w:hAnsi="Times New Roman"/>
      <w:sz w:val="20"/>
      <w:szCs w:val="20"/>
    </w:rPr>
  </w:style>
  <w:style w:type="paragraph" w:styleId="940">
    <w:name w:val="引用"/>
    <w:basedOn w:val="749"/>
    <w:next w:val="749"/>
    <w:link w:val="941"/>
    <w:uiPriority w:val="29"/>
    <w:qFormat/>
    <w:pPr>
      <w:ind w:left="720" w:right="720"/>
      <w:spacing w:after="0" w:line="240" w:lineRule="auto"/>
    </w:pPr>
    <w:rPr>
      <w:rFonts w:ascii="Times New Roman" w:hAnsi="Times New Roman"/>
      <w:i/>
      <w:sz w:val="20"/>
      <w:szCs w:val="20"/>
    </w:rPr>
  </w:style>
  <w:style w:type="character" w:styleId="941">
    <w:name w:val="引用 字符"/>
    <w:next w:val="941"/>
    <w:link w:val="940"/>
    <w:uiPriority w:val="29"/>
    <w:rPr>
      <w:rFonts w:ascii="Times New Roman" w:hAnsi="Times New Roman"/>
      <w:i/>
    </w:rPr>
  </w:style>
  <w:style w:type="paragraph" w:styleId="942">
    <w:name w:val="明显引用"/>
    <w:basedOn w:val="749"/>
    <w:next w:val="749"/>
    <w:link w:val="943"/>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943">
    <w:name w:val="明显引用 字符"/>
    <w:next w:val="943"/>
    <w:link w:val="942"/>
    <w:uiPriority w:val="30"/>
    <w:qFormat/>
    <w:rPr>
      <w:rFonts w:ascii="Times New Roman" w:hAnsi="Times New Roman"/>
      <w:i/>
      <w:shd w:val="clear" w:color="auto" w:fill="f2f2f2"/>
    </w:rPr>
  </w:style>
  <w:style w:type="table" w:styleId="944">
    <w:name w:val="Table Grid Light"/>
    <w:next w:val="944"/>
    <w:link w:val="749"/>
    <w:uiPriority w:val="59"/>
    <w:rPr>
      <w:lang w:val="en-US" w:eastAsia="zh-CN" w:bidi="ar-SA"/>
    </w:rPr>
    <w:tblPr/>
  </w:style>
  <w:style w:type="table" w:styleId="945">
    <w:name w:val="Plain Table 1"/>
    <w:next w:val="945"/>
    <w:link w:val="749"/>
    <w:uiPriority w:val="59"/>
    <w:qFormat/>
    <w:rPr>
      <w:lang w:val="en-US" w:eastAsia="zh-CN" w:bidi="ar-SA"/>
    </w:rPr>
    <w:tblPr/>
  </w:style>
  <w:style w:type="table" w:styleId="946">
    <w:name w:val="Plain Table 2"/>
    <w:next w:val="946"/>
    <w:link w:val="749"/>
    <w:uiPriority w:val="59"/>
    <w:rPr>
      <w:lang w:val="en-US" w:eastAsia="zh-CN" w:bidi="ar-SA"/>
    </w:rPr>
    <w:tblPr/>
  </w:style>
  <w:style w:type="table" w:styleId="947">
    <w:name w:val="Plain Table 3"/>
    <w:next w:val="947"/>
    <w:link w:val="749"/>
    <w:uiPriority w:val="99"/>
    <w:rPr>
      <w:lang w:val="en-US" w:eastAsia="zh-CN" w:bidi="ar-SA"/>
    </w:rPr>
    <w:tblPr/>
  </w:style>
  <w:style w:type="table" w:styleId="948">
    <w:name w:val="Plain Table 4"/>
    <w:next w:val="948"/>
    <w:link w:val="749"/>
    <w:uiPriority w:val="99"/>
    <w:rPr>
      <w:lang w:val="en-US" w:eastAsia="zh-CN" w:bidi="ar-SA"/>
    </w:rPr>
    <w:tblPr/>
  </w:style>
  <w:style w:type="table" w:styleId="949">
    <w:name w:val="Plain Table 5"/>
    <w:next w:val="949"/>
    <w:link w:val="749"/>
    <w:uiPriority w:val="99"/>
    <w:rPr>
      <w:lang w:val="en-US" w:eastAsia="zh-CN" w:bidi="ar-SA"/>
    </w:rPr>
    <w:tblPr/>
  </w:style>
  <w:style w:type="table" w:styleId="950">
    <w:name w:val="Grid Table 1 Light"/>
    <w:next w:val="950"/>
    <w:link w:val="749"/>
    <w:uiPriority w:val="99"/>
    <w:qFormat/>
    <w:rPr>
      <w:lang w:val="en-US" w:eastAsia="zh-CN" w:bidi="ar-SA"/>
    </w:rPr>
    <w:tblPr/>
  </w:style>
  <w:style w:type="table" w:styleId="951">
    <w:name w:val="Grid Table 1 Light - Accent 1"/>
    <w:next w:val="951"/>
    <w:link w:val="749"/>
    <w:uiPriority w:val="99"/>
    <w:rPr>
      <w:lang w:val="en-US" w:eastAsia="zh-CN" w:bidi="ar-SA"/>
    </w:rPr>
    <w:tblPr/>
  </w:style>
  <w:style w:type="table" w:styleId="952">
    <w:name w:val="Grid Table 1 Light - Accent 2"/>
    <w:next w:val="952"/>
    <w:link w:val="749"/>
    <w:uiPriority w:val="99"/>
    <w:rPr>
      <w:lang w:val="en-US" w:eastAsia="zh-CN" w:bidi="ar-SA"/>
    </w:rPr>
    <w:tblPr/>
  </w:style>
  <w:style w:type="table" w:styleId="953">
    <w:name w:val="Grid Table 1 Light - Accent 3"/>
    <w:next w:val="953"/>
    <w:link w:val="749"/>
    <w:uiPriority w:val="99"/>
    <w:rPr>
      <w:lang w:val="en-US" w:eastAsia="zh-CN" w:bidi="ar-SA"/>
    </w:rPr>
    <w:tblPr/>
  </w:style>
  <w:style w:type="table" w:styleId="954">
    <w:name w:val="Grid Table 1 Light - Accent 4"/>
    <w:next w:val="954"/>
    <w:link w:val="749"/>
    <w:uiPriority w:val="99"/>
    <w:rPr>
      <w:lang w:val="en-US" w:eastAsia="zh-CN" w:bidi="ar-SA"/>
    </w:rPr>
    <w:tblPr/>
  </w:style>
  <w:style w:type="table" w:styleId="955">
    <w:name w:val="Grid Table 1 Light - Accent 5"/>
    <w:next w:val="955"/>
    <w:link w:val="749"/>
    <w:uiPriority w:val="99"/>
    <w:rPr>
      <w:lang w:val="en-US" w:eastAsia="zh-CN" w:bidi="ar-SA"/>
    </w:rPr>
    <w:tblPr/>
  </w:style>
  <w:style w:type="table" w:styleId="956">
    <w:name w:val="Grid Table 1 Light - Accent 6"/>
    <w:next w:val="956"/>
    <w:link w:val="749"/>
    <w:uiPriority w:val="99"/>
    <w:rPr>
      <w:lang w:val="en-US" w:eastAsia="zh-CN" w:bidi="ar-SA"/>
    </w:rPr>
    <w:tblPr/>
  </w:style>
  <w:style w:type="table" w:styleId="957">
    <w:name w:val="Grid Table 2"/>
    <w:next w:val="957"/>
    <w:link w:val="749"/>
    <w:uiPriority w:val="99"/>
    <w:rPr>
      <w:lang w:val="en-US" w:eastAsia="zh-CN" w:bidi="ar-SA"/>
    </w:rPr>
    <w:tblPr/>
  </w:style>
  <w:style w:type="table" w:styleId="958">
    <w:name w:val="Grid Table 2 - Accent 1"/>
    <w:next w:val="958"/>
    <w:link w:val="749"/>
    <w:uiPriority w:val="99"/>
    <w:qFormat/>
    <w:rPr>
      <w:lang w:val="en-US" w:eastAsia="zh-CN" w:bidi="ar-SA"/>
    </w:rPr>
    <w:tblPr/>
  </w:style>
  <w:style w:type="table" w:styleId="959">
    <w:name w:val="Grid Table 2 - Accent 2"/>
    <w:next w:val="959"/>
    <w:link w:val="749"/>
    <w:uiPriority w:val="99"/>
    <w:rPr>
      <w:lang w:val="en-US" w:eastAsia="zh-CN" w:bidi="ar-SA"/>
    </w:rPr>
    <w:tblPr/>
  </w:style>
  <w:style w:type="table" w:styleId="960">
    <w:name w:val="Grid Table 2 - Accent 3"/>
    <w:next w:val="960"/>
    <w:link w:val="749"/>
    <w:uiPriority w:val="99"/>
    <w:rPr>
      <w:lang w:val="en-US" w:eastAsia="zh-CN" w:bidi="ar-SA"/>
    </w:rPr>
    <w:tblPr/>
  </w:style>
  <w:style w:type="table" w:styleId="961">
    <w:name w:val="Grid Table 2 - Accent 4"/>
    <w:next w:val="961"/>
    <w:link w:val="749"/>
    <w:uiPriority w:val="99"/>
    <w:rPr>
      <w:lang w:val="en-US" w:eastAsia="zh-CN" w:bidi="ar-SA"/>
    </w:rPr>
    <w:tblPr/>
  </w:style>
  <w:style w:type="table" w:styleId="962">
    <w:name w:val="Grid Table 2 - Accent 5"/>
    <w:next w:val="962"/>
    <w:link w:val="749"/>
    <w:uiPriority w:val="99"/>
    <w:rPr>
      <w:lang w:val="en-US" w:eastAsia="zh-CN" w:bidi="ar-SA"/>
    </w:rPr>
    <w:tblPr/>
  </w:style>
  <w:style w:type="table" w:styleId="963">
    <w:name w:val="Grid Table 2 - Accent 6"/>
    <w:next w:val="963"/>
    <w:link w:val="749"/>
    <w:uiPriority w:val="99"/>
    <w:rPr>
      <w:lang w:val="en-US" w:eastAsia="zh-CN" w:bidi="ar-SA"/>
    </w:rPr>
    <w:tblPr/>
  </w:style>
  <w:style w:type="table" w:styleId="964">
    <w:name w:val="Grid Table 3"/>
    <w:next w:val="964"/>
    <w:link w:val="749"/>
    <w:uiPriority w:val="99"/>
    <w:qFormat/>
    <w:rPr>
      <w:lang w:val="en-US" w:eastAsia="zh-CN" w:bidi="ar-SA"/>
    </w:rPr>
    <w:tblPr/>
  </w:style>
  <w:style w:type="table" w:styleId="965">
    <w:name w:val="Grid Table 3 - Accent 1"/>
    <w:next w:val="965"/>
    <w:link w:val="749"/>
    <w:uiPriority w:val="99"/>
    <w:rPr>
      <w:lang w:val="en-US" w:eastAsia="zh-CN" w:bidi="ar-SA"/>
    </w:rPr>
    <w:tblPr/>
  </w:style>
  <w:style w:type="table" w:styleId="966">
    <w:name w:val="Grid Table 3 - Accent 2"/>
    <w:next w:val="966"/>
    <w:link w:val="749"/>
    <w:uiPriority w:val="99"/>
    <w:rPr>
      <w:lang w:val="en-US" w:eastAsia="zh-CN" w:bidi="ar-SA"/>
    </w:rPr>
    <w:tblPr/>
  </w:style>
  <w:style w:type="table" w:styleId="967">
    <w:name w:val="Grid Table 3 - Accent 3"/>
    <w:next w:val="967"/>
    <w:link w:val="749"/>
    <w:uiPriority w:val="99"/>
    <w:rPr>
      <w:lang w:val="en-US" w:eastAsia="zh-CN" w:bidi="ar-SA"/>
    </w:rPr>
    <w:tblPr/>
  </w:style>
  <w:style w:type="table" w:styleId="968">
    <w:name w:val="Grid Table 3 - Accent 4"/>
    <w:next w:val="968"/>
    <w:link w:val="749"/>
    <w:uiPriority w:val="99"/>
    <w:rPr>
      <w:lang w:val="en-US" w:eastAsia="zh-CN" w:bidi="ar-SA"/>
    </w:rPr>
    <w:tblPr/>
  </w:style>
  <w:style w:type="table" w:styleId="969">
    <w:name w:val="Grid Table 3 - Accent 5"/>
    <w:next w:val="969"/>
    <w:link w:val="749"/>
    <w:uiPriority w:val="99"/>
    <w:qFormat/>
    <w:rPr>
      <w:lang w:val="en-US" w:eastAsia="zh-CN" w:bidi="ar-SA"/>
    </w:rPr>
    <w:tblPr/>
  </w:style>
  <w:style w:type="table" w:styleId="970">
    <w:name w:val="Grid Table 3 - Accent 6"/>
    <w:next w:val="970"/>
    <w:link w:val="749"/>
    <w:uiPriority w:val="99"/>
    <w:rPr>
      <w:lang w:val="en-US" w:eastAsia="zh-CN" w:bidi="ar-SA"/>
    </w:rPr>
    <w:tblPr/>
  </w:style>
  <w:style w:type="table" w:styleId="971">
    <w:name w:val="Grid Table 4"/>
    <w:next w:val="971"/>
    <w:link w:val="749"/>
    <w:uiPriority w:val="59"/>
    <w:rPr>
      <w:lang w:val="en-US" w:eastAsia="zh-CN" w:bidi="ar-SA"/>
    </w:rPr>
    <w:tblPr/>
  </w:style>
  <w:style w:type="table" w:styleId="972">
    <w:name w:val="Grid Table 4 - Accent 1"/>
    <w:next w:val="972"/>
    <w:link w:val="749"/>
    <w:uiPriority w:val="59"/>
    <w:rPr>
      <w:lang w:val="en-US" w:eastAsia="zh-CN" w:bidi="ar-SA"/>
    </w:rPr>
    <w:tblPr/>
  </w:style>
  <w:style w:type="table" w:styleId="973">
    <w:name w:val="Grid Table 4 - Accent 2"/>
    <w:next w:val="973"/>
    <w:link w:val="749"/>
    <w:uiPriority w:val="59"/>
    <w:qFormat/>
    <w:rPr>
      <w:lang w:val="en-US" w:eastAsia="zh-CN" w:bidi="ar-SA"/>
    </w:rPr>
    <w:tblPr/>
  </w:style>
  <w:style w:type="table" w:styleId="974">
    <w:name w:val="Grid Table 4 - Accent 3"/>
    <w:next w:val="974"/>
    <w:link w:val="749"/>
    <w:uiPriority w:val="59"/>
    <w:rPr>
      <w:lang w:val="en-US" w:eastAsia="zh-CN" w:bidi="ar-SA"/>
    </w:rPr>
    <w:tblPr/>
  </w:style>
  <w:style w:type="table" w:styleId="975">
    <w:name w:val="Grid Table 4 - Accent 4"/>
    <w:next w:val="975"/>
    <w:link w:val="749"/>
    <w:uiPriority w:val="59"/>
    <w:rPr>
      <w:lang w:val="en-US" w:eastAsia="zh-CN" w:bidi="ar-SA"/>
    </w:rPr>
    <w:tblPr/>
  </w:style>
  <w:style w:type="table" w:styleId="976">
    <w:name w:val="Grid Table 4 - Accent 5"/>
    <w:next w:val="976"/>
    <w:link w:val="749"/>
    <w:uiPriority w:val="59"/>
    <w:rPr>
      <w:lang w:val="en-US" w:eastAsia="zh-CN" w:bidi="ar-SA"/>
    </w:rPr>
    <w:tblPr/>
  </w:style>
  <w:style w:type="table" w:styleId="977">
    <w:name w:val="Grid Table 4 - Accent 6"/>
    <w:next w:val="977"/>
    <w:link w:val="749"/>
    <w:uiPriority w:val="59"/>
    <w:rPr>
      <w:lang w:val="en-US" w:eastAsia="zh-CN" w:bidi="ar-SA"/>
    </w:rPr>
    <w:tblPr/>
  </w:style>
  <w:style w:type="table" w:styleId="978">
    <w:name w:val="Grid Table 5 Dark"/>
    <w:next w:val="978"/>
    <w:link w:val="749"/>
    <w:uiPriority w:val="99"/>
    <w:qFormat/>
    <w:rPr>
      <w:lang w:val="en-US" w:eastAsia="zh-CN" w:bidi="ar-SA"/>
    </w:rPr>
    <w:tblPr/>
  </w:style>
  <w:style w:type="table" w:styleId="979">
    <w:name w:val="Grid Table 5 Dark- Accent 1"/>
    <w:next w:val="979"/>
    <w:link w:val="749"/>
    <w:uiPriority w:val="99"/>
    <w:rPr>
      <w:lang w:val="en-US" w:eastAsia="zh-CN" w:bidi="ar-SA"/>
    </w:rPr>
    <w:tblPr/>
  </w:style>
  <w:style w:type="table" w:styleId="980">
    <w:name w:val="Grid Table 5 Dark - Accent 2"/>
    <w:next w:val="980"/>
    <w:link w:val="749"/>
    <w:uiPriority w:val="99"/>
    <w:rPr>
      <w:lang w:val="en-US" w:eastAsia="zh-CN" w:bidi="ar-SA"/>
    </w:rPr>
    <w:tblPr/>
  </w:style>
  <w:style w:type="table" w:styleId="981">
    <w:name w:val="Grid Table 5 Dark - Accent 3"/>
    <w:next w:val="981"/>
    <w:link w:val="749"/>
    <w:uiPriority w:val="99"/>
    <w:rPr>
      <w:lang w:val="en-US" w:eastAsia="zh-CN" w:bidi="ar-SA"/>
    </w:rPr>
    <w:tblPr/>
  </w:style>
  <w:style w:type="table" w:styleId="982">
    <w:name w:val="Grid Table 5 Dark- Accent 4"/>
    <w:next w:val="982"/>
    <w:link w:val="749"/>
    <w:uiPriority w:val="99"/>
    <w:rPr>
      <w:lang w:val="en-US" w:eastAsia="zh-CN" w:bidi="ar-SA"/>
    </w:rPr>
    <w:tblPr/>
  </w:style>
  <w:style w:type="table" w:styleId="983">
    <w:name w:val="Grid Table 5 Dark - Accent 5"/>
    <w:next w:val="983"/>
    <w:link w:val="749"/>
    <w:uiPriority w:val="99"/>
    <w:rPr>
      <w:lang w:val="en-US" w:eastAsia="zh-CN" w:bidi="ar-SA"/>
    </w:rPr>
    <w:tblPr/>
  </w:style>
  <w:style w:type="table" w:styleId="984">
    <w:name w:val="Grid Table 5 Dark - Accent 6"/>
    <w:next w:val="984"/>
    <w:link w:val="749"/>
    <w:uiPriority w:val="99"/>
    <w:rPr>
      <w:lang w:val="en-US" w:eastAsia="zh-CN" w:bidi="ar-SA"/>
    </w:rPr>
    <w:tblPr/>
  </w:style>
  <w:style w:type="table" w:styleId="985">
    <w:name w:val="Grid Table 6 Colorful"/>
    <w:next w:val="985"/>
    <w:link w:val="749"/>
    <w:uiPriority w:val="99"/>
    <w:rPr>
      <w:lang w:val="en-US" w:eastAsia="zh-CN" w:bidi="ar-SA"/>
    </w:rPr>
    <w:tblPr/>
  </w:style>
  <w:style w:type="table" w:styleId="986">
    <w:name w:val="Grid Table 6 Colorful - Accent 1"/>
    <w:next w:val="986"/>
    <w:link w:val="749"/>
    <w:uiPriority w:val="99"/>
    <w:rPr>
      <w:lang w:val="en-US" w:eastAsia="zh-CN" w:bidi="ar-SA"/>
    </w:rPr>
    <w:tblPr/>
  </w:style>
  <w:style w:type="table" w:styleId="987">
    <w:name w:val="Grid Table 6 Colorful - Accent 2"/>
    <w:next w:val="987"/>
    <w:link w:val="749"/>
    <w:uiPriority w:val="99"/>
    <w:qFormat/>
    <w:rPr>
      <w:lang w:val="en-US" w:eastAsia="zh-CN" w:bidi="ar-SA"/>
    </w:rPr>
    <w:tblPr/>
  </w:style>
  <w:style w:type="table" w:styleId="988">
    <w:name w:val="Grid Table 6 Colorful - Accent 3"/>
    <w:next w:val="988"/>
    <w:link w:val="749"/>
    <w:uiPriority w:val="99"/>
    <w:rPr>
      <w:lang w:val="en-US" w:eastAsia="zh-CN" w:bidi="ar-SA"/>
    </w:rPr>
    <w:tblPr/>
  </w:style>
  <w:style w:type="table" w:styleId="989">
    <w:name w:val="Grid Table 6 Colorful - Accent 4"/>
    <w:next w:val="989"/>
    <w:link w:val="749"/>
    <w:uiPriority w:val="99"/>
    <w:rPr>
      <w:lang w:val="en-US" w:eastAsia="zh-CN" w:bidi="ar-SA"/>
    </w:rPr>
    <w:tblPr/>
  </w:style>
  <w:style w:type="table" w:styleId="990">
    <w:name w:val="Grid Table 6 Colorful - Accent 5"/>
    <w:next w:val="990"/>
    <w:link w:val="749"/>
    <w:uiPriority w:val="99"/>
    <w:rPr>
      <w:lang w:val="en-US" w:eastAsia="zh-CN" w:bidi="ar-SA"/>
    </w:rPr>
    <w:tblPr/>
  </w:style>
  <w:style w:type="table" w:styleId="991">
    <w:name w:val="Grid Table 6 Colorful - Accent 6"/>
    <w:next w:val="991"/>
    <w:link w:val="749"/>
    <w:uiPriority w:val="99"/>
    <w:rPr>
      <w:lang w:val="en-US" w:eastAsia="zh-CN" w:bidi="ar-SA"/>
    </w:rPr>
    <w:tblPr/>
  </w:style>
  <w:style w:type="table" w:styleId="992">
    <w:name w:val="Grid Table 7 Colorful"/>
    <w:next w:val="992"/>
    <w:link w:val="749"/>
    <w:uiPriority w:val="99"/>
    <w:rPr>
      <w:lang w:val="en-US" w:eastAsia="zh-CN" w:bidi="ar-SA"/>
    </w:rPr>
    <w:tblPr/>
  </w:style>
  <w:style w:type="table" w:styleId="993">
    <w:name w:val="Grid Table 7 Colorful - Accent 1"/>
    <w:next w:val="993"/>
    <w:link w:val="749"/>
    <w:uiPriority w:val="99"/>
    <w:rPr>
      <w:lang w:val="en-US" w:eastAsia="zh-CN" w:bidi="ar-SA"/>
    </w:rPr>
    <w:tblPr/>
  </w:style>
  <w:style w:type="table" w:styleId="994">
    <w:name w:val="Grid Table 7 Colorful - Accent 2"/>
    <w:next w:val="994"/>
    <w:link w:val="749"/>
    <w:uiPriority w:val="99"/>
    <w:rPr>
      <w:lang w:val="en-US" w:eastAsia="zh-CN" w:bidi="ar-SA"/>
    </w:rPr>
    <w:tblPr/>
  </w:style>
  <w:style w:type="table" w:styleId="995">
    <w:name w:val="Grid Table 7 Colorful - Accent 3"/>
    <w:next w:val="995"/>
    <w:link w:val="749"/>
    <w:uiPriority w:val="99"/>
    <w:rPr>
      <w:lang w:val="en-US" w:eastAsia="zh-CN" w:bidi="ar-SA"/>
    </w:rPr>
    <w:tblPr/>
  </w:style>
  <w:style w:type="table" w:styleId="996">
    <w:name w:val="Grid Table 7 Colorful - Accent 4"/>
    <w:next w:val="996"/>
    <w:link w:val="749"/>
    <w:uiPriority w:val="99"/>
    <w:rPr>
      <w:lang w:val="en-US" w:eastAsia="zh-CN" w:bidi="ar-SA"/>
    </w:rPr>
    <w:tblPr/>
  </w:style>
  <w:style w:type="table" w:styleId="997">
    <w:name w:val="Grid Table 7 Colorful - Accent 5"/>
    <w:next w:val="997"/>
    <w:link w:val="749"/>
    <w:uiPriority w:val="99"/>
    <w:rPr>
      <w:lang w:val="en-US" w:eastAsia="zh-CN" w:bidi="ar-SA"/>
    </w:rPr>
    <w:tblPr/>
  </w:style>
  <w:style w:type="table" w:styleId="998">
    <w:name w:val="Grid Table 7 Colorful - Accent 6"/>
    <w:next w:val="998"/>
    <w:link w:val="749"/>
    <w:uiPriority w:val="99"/>
    <w:rPr>
      <w:lang w:val="en-US" w:eastAsia="zh-CN" w:bidi="ar-SA"/>
    </w:rPr>
    <w:tblPr/>
  </w:style>
  <w:style w:type="table" w:styleId="999">
    <w:name w:val="List Table 1 Light"/>
    <w:next w:val="999"/>
    <w:link w:val="749"/>
    <w:uiPriority w:val="99"/>
    <w:rPr>
      <w:lang w:val="en-US" w:eastAsia="zh-CN" w:bidi="ar-SA"/>
    </w:rPr>
    <w:tblPr/>
  </w:style>
  <w:style w:type="table" w:styleId="1000">
    <w:name w:val="List Table 1 Light - Accent 1"/>
    <w:next w:val="1000"/>
    <w:link w:val="749"/>
    <w:uiPriority w:val="99"/>
    <w:rPr>
      <w:lang w:val="en-US" w:eastAsia="zh-CN" w:bidi="ar-SA"/>
    </w:rPr>
    <w:tblPr/>
  </w:style>
  <w:style w:type="table" w:styleId="1001">
    <w:name w:val="List Table 1 Light - Accent 2"/>
    <w:next w:val="1001"/>
    <w:link w:val="749"/>
    <w:uiPriority w:val="99"/>
    <w:rPr>
      <w:lang w:val="en-US" w:eastAsia="zh-CN" w:bidi="ar-SA"/>
    </w:rPr>
    <w:tblPr/>
  </w:style>
  <w:style w:type="table" w:styleId="1002">
    <w:name w:val="List Table 1 Light - Accent 3"/>
    <w:next w:val="1002"/>
    <w:link w:val="749"/>
    <w:uiPriority w:val="99"/>
    <w:rPr>
      <w:lang w:val="en-US" w:eastAsia="zh-CN" w:bidi="ar-SA"/>
    </w:rPr>
    <w:tblPr/>
  </w:style>
  <w:style w:type="table" w:styleId="1003">
    <w:name w:val="List Table 1 Light - Accent 4"/>
    <w:next w:val="1003"/>
    <w:link w:val="749"/>
    <w:uiPriority w:val="99"/>
    <w:qFormat/>
    <w:rPr>
      <w:lang w:val="en-US" w:eastAsia="zh-CN" w:bidi="ar-SA"/>
    </w:rPr>
    <w:tblPr/>
  </w:style>
  <w:style w:type="table" w:styleId="1004">
    <w:name w:val="List Table 1 Light - Accent 5"/>
    <w:next w:val="1004"/>
    <w:link w:val="749"/>
    <w:uiPriority w:val="99"/>
    <w:rPr>
      <w:lang w:val="en-US" w:eastAsia="zh-CN" w:bidi="ar-SA"/>
    </w:rPr>
    <w:tblPr/>
  </w:style>
  <w:style w:type="table" w:styleId="1005">
    <w:name w:val="List Table 1 Light - Accent 6"/>
    <w:next w:val="1005"/>
    <w:link w:val="749"/>
    <w:uiPriority w:val="99"/>
    <w:qFormat/>
    <w:rPr>
      <w:lang w:val="en-US" w:eastAsia="zh-CN" w:bidi="ar-SA"/>
    </w:rPr>
    <w:tblPr/>
  </w:style>
  <w:style w:type="table" w:styleId="1006">
    <w:name w:val="List Table 2"/>
    <w:next w:val="1006"/>
    <w:link w:val="749"/>
    <w:uiPriority w:val="99"/>
    <w:rPr>
      <w:lang w:val="en-US" w:eastAsia="zh-CN" w:bidi="ar-SA"/>
    </w:rPr>
    <w:tblPr/>
  </w:style>
  <w:style w:type="table" w:styleId="1007">
    <w:name w:val="List Table 2 - Accent 1"/>
    <w:next w:val="1007"/>
    <w:link w:val="749"/>
    <w:uiPriority w:val="99"/>
    <w:rPr>
      <w:lang w:val="en-US" w:eastAsia="zh-CN" w:bidi="ar-SA"/>
    </w:rPr>
    <w:tblPr/>
  </w:style>
  <w:style w:type="table" w:styleId="1008">
    <w:name w:val="List Table 2 - Accent 2"/>
    <w:next w:val="1008"/>
    <w:link w:val="749"/>
    <w:uiPriority w:val="99"/>
    <w:rPr>
      <w:lang w:val="en-US" w:eastAsia="zh-CN" w:bidi="ar-SA"/>
    </w:rPr>
    <w:tblPr/>
  </w:style>
  <w:style w:type="table" w:styleId="1009">
    <w:name w:val="List Table 2 - Accent 3"/>
    <w:next w:val="1009"/>
    <w:link w:val="749"/>
    <w:uiPriority w:val="99"/>
    <w:rPr>
      <w:lang w:val="en-US" w:eastAsia="zh-CN" w:bidi="ar-SA"/>
    </w:rPr>
    <w:tblPr/>
  </w:style>
  <w:style w:type="table" w:styleId="1010">
    <w:name w:val="List Table 2 - Accent 4"/>
    <w:next w:val="1010"/>
    <w:link w:val="749"/>
    <w:uiPriority w:val="99"/>
    <w:rPr>
      <w:lang w:val="en-US" w:eastAsia="zh-CN" w:bidi="ar-SA"/>
    </w:rPr>
    <w:tblPr/>
  </w:style>
  <w:style w:type="table" w:styleId="1011">
    <w:name w:val="List Table 2 - Accent 5"/>
    <w:next w:val="1011"/>
    <w:link w:val="749"/>
    <w:uiPriority w:val="99"/>
    <w:rPr>
      <w:lang w:val="en-US" w:eastAsia="zh-CN" w:bidi="ar-SA"/>
    </w:rPr>
    <w:tblPr/>
  </w:style>
  <w:style w:type="table" w:styleId="1012">
    <w:name w:val="List Table 2 - Accent 6"/>
    <w:next w:val="1012"/>
    <w:link w:val="749"/>
    <w:uiPriority w:val="99"/>
    <w:rPr>
      <w:lang w:val="en-US" w:eastAsia="zh-CN" w:bidi="ar-SA"/>
    </w:rPr>
    <w:tblPr/>
  </w:style>
  <w:style w:type="table" w:styleId="1013">
    <w:name w:val="List Table 3"/>
    <w:next w:val="1013"/>
    <w:link w:val="749"/>
    <w:uiPriority w:val="99"/>
    <w:rPr>
      <w:lang w:val="en-US" w:eastAsia="zh-CN" w:bidi="ar-SA"/>
    </w:rPr>
    <w:tblPr/>
  </w:style>
  <w:style w:type="table" w:styleId="1014">
    <w:name w:val="List Table 3 - Accent 1"/>
    <w:next w:val="1014"/>
    <w:link w:val="749"/>
    <w:uiPriority w:val="99"/>
    <w:rPr>
      <w:lang w:val="en-US" w:eastAsia="zh-CN" w:bidi="ar-SA"/>
    </w:rPr>
    <w:tblPr/>
  </w:style>
  <w:style w:type="table" w:styleId="1015">
    <w:name w:val="List Table 3 - Accent 2"/>
    <w:next w:val="1015"/>
    <w:link w:val="749"/>
    <w:uiPriority w:val="99"/>
    <w:rPr>
      <w:lang w:val="en-US" w:eastAsia="zh-CN" w:bidi="ar-SA"/>
    </w:rPr>
    <w:tblPr/>
  </w:style>
  <w:style w:type="table" w:styleId="1016">
    <w:name w:val="List Table 3 - Accent 3"/>
    <w:next w:val="1016"/>
    <w:link w:val="749"/>
    <w:uiPriority w:val="99"/>
    <w:rPr>
      <w:lang w:val="en-US" w:eastAsia="zh-CN" w:bidi="ar-SA"/>
    </w:rPr>
    <w:tblPr/>
  </w:style>
  <w:style w:type="table" w:styleId="1017">
    <w:name w:val="List Table 3 - Accent 4"/>
    <w:next w:val="1017"/>
    <w:link w:val="749"/>
    <w:uiPriority w:val="99"/>
    <w:qFormat/>
    <w:rPr>
      <w:lang w:val="en-US" w:eastAsia="zh-CN" w:bidi="ar-SA"/>
    </w:rPr>
    <w:tblPr/>
  </w:style>
  <w:style w:type="table" w:styleId="1018">
    <w:name w:val="List Table 3 - Accent 5"/>
    <w:next w:val="1018"/>
    <w:link w:val="749"/>
    <w:uiPriority w:val="99"/>
    <w:rPr>
      <w:lang w:val="en-US" w:eastAsia="zh-CN" w:bidi="ar-SA"/>
    </w:rPr>
    <w:tblPr/>
  </w:style>
  <w:style w:type="table" w:styleId="1019">
    <w:name w:val="List Table 3 - Accent 6"/>
    <w:next w:val="1019"/>
    <w:link w:val="749"/>
    <w:uiPriority w:val="99"/>
    <w:rPr>
      <w:lang w:val="en-US" w:eastAsia="zh-CN" w:bidi="ar-SA"/>
    </w:rPr>
    <w:tblPr/>
  </w:style>
  <w:style w:type="table" w:styleId="1020">
    <w:name w:val="List Table 4"/>
    <w:next w:val="1020"/>
    <w:link w:val="749"/>
    <w:uiPriority w:val="99"/>
    <w:qFormat/>
    <w:rPr>
      <w:lang w:val="en-US" w:eastAsia="zh-CN" w:bidi="ar-SA"/>
    </w:rPr>
    <w:tblPr/>
  </w:style>
  <w:style w:type="table" w:styleId="1021">
    <w:name w:val="List Table 4 - Accent 1"/>
    <w:next w:val="1021"/>
    <w:link w:val="749"/>
    <w:uiPriority w:val="99"/>
    <w:rPr>
      <w:lang w:val="en-US" w:eastAsia="zh-CN" w:bidi="ar-SA"/>
    </w:rPr>
    <w:tblPr/>
  </w:style>
  <w:style w:type="table" w:styleId="1022">
    <w:name w:val="List Table 4 - Accent 2"/>
    <w:next w:val="1022"/>
    <w:link w:val="749"/>
    <w:uiPriority w:val="99"/>
    <w:rPr>
      <w:lang w:val="en-US" w:eastAsia="zh-CN" w:bidi="ar-SA"/>
    </w:rPr>
    <w:tblPr/>
  </w:style>
  <w:style w:type="table" w:styleId="1023">
    <w:name w:val="List Table 4 - Accent 3"/>
    <w:next w:val="1023"/>
    <w:link w:val="749"/>
    <w:uiPriority w:val="99"/>
    <w:rPr>
      <w:lang w:val="en-US" w:eastAsia="zh-CN" w:bidi="ar-SA"/>
    </w:rPr>
    <w:tblPr/>
  </w:style>
  <w:style w:type="table" w:styleId="1024">
    <w:name w:val="List Table 4 - Accent 4"/>
    <w:next w:val="1024"/>
    <w:link w:val="749"/>
    <w:uiPriority w:val="99"/>
    <w:qFormat/>
    <w:rPr>
      <w:lang w:val="en-US" w:eastAsia="zh-CN" w:bidi="ar-SA"/>
    </w:rPr>
    <w:tblPr/>
  </w:style>
  <w:style w:type="table" w:styleId="1025">
    <w:name w:val="List Table 4 - Accent 5"/>
    <w:next w:val="1025"/>
    <w:link w:val="749"/>
    <w:uiPriority w:val="99"/>
    <w:qFormat/>
    <w:rPr>
      <w:lang w:val="en-US" w:eastAsia="zh-CN" w:bidi="ar-SA"/>
    </w:rPr>
    <w:tblPr/>
  </w:style>
  <w:style w:type="table" w:styleId="1026">
    <w:name w:val="List Table 4 - Accent 6"/>
    <w:next w:val="1026"/>
    <w:link w:val="749"/>
    <w:uiPriority w:val="99"/>
    <w:rPr>
      <w:lang w:val="en-US" w:eastAsia="zh-CN" w:bidi="ar-SA"/>
    </w:rPr>
    <w:tblPr/>
  </w:style>
  <w:style w:type="table" w:styleId="1027">
    <w:name w:val="List Table 5 Dark"/>
    <w:next w:val="1027"/>
    <w:link w:val="749"/>
    <w:uiPriority w:val="99"/>
    <w:rPr>
      <w:lang w:val="en-US" w:eastAsia="zh-CN" w:bidi="ar-SA"/>
    </w:rPr>
    <w:tblPr/>
  </w:style>
  <w:style w:type="table" w:styleId="1028">
    <w:name w:val="List Table 5 Dark - Accent 1"/>
    <w:next w:val="1028"/>
    <w:link w:val="749"/>
    <w:uiPriority w:val="99"/>
    <w:rPr>
      <w:lang w:val="en-US" w:eastAsia="zh-CN" w:bidi="ar-SA"/>
    </w:rPr>
    <w:tblPr/>
  </w:style>
  <w:style w:type="table" w:styleId="1029">
    <w:name w:val="List Table 5 Dark - Accent 2"/>
    <w:next w:val="1029"/>
    <w:link w:val="749"/>
    <w:uiPriority w:val="99"/>
    <w:rPr>
      <w:lang w:val="en-US" w:eastAsia="zh-CN" w:bidi="ar-SA"/>
    </w:rPr>
    <w:tblPr/>
  </w:style>
  <w:style w:type="table" w:styleId="1030">
    <w:name w:val="List Table 5 Dark - Accent 3"/>
    <w:next w:val="1030"/>
    <w:link w:val="749"/>
    <w:uiPriority w:val="99"/>
    <w:rPr>
      <w:lang w:val="en-US" w:eastAsia="zh-CN" w:bidi="ar-SA"/>
    </w:rPr>
    <w:tblPr/>
  </w:style>
  <w:style w:type="table" w:styleId="1031">
    <w:name w:val="List Table 5 Dark - Accent 4"/>
    <w:next w:val="1031"/>
    <w:link w:val="749"/>
    <w:uiPriority w:val="99"/>
    <w:rPr>
      <w:lang w:val="en-US" w:eastAsia="zh-CN" w:bidi="ar-SA"/>
    </w:rPr>
    <w:tblPr/>
  </w:style>
  <w:style w:type="table" w:styleId="1032">
    <w:name w:val="List Table 5 Dark - Accent 5"/>
    <w:next w:val="1032"/>
    <w:link w:val="749"/>
    <w:uiPriority w:val="99"/>
    <w:rPr>
      <w:lang w:val="en-US" w:eastAsia="zh-CN" w:bidi="ar-SA"/>
    </w:rPr>
    <w:tblPr/>
  </w:style>
  <w:style w:type="table" w:styleId="1033">
    <w:name w:val="List Table 5 Dark - Accent 6"/>
    <w:next w:val="1033"/>
    <w:link w:val="749"/>
    <w:uiPriority w:val="99"/>
    <w:rPr>
      <w:lang w:val="en-US" w:eastAsia="zh-CN" w:bidi="ar-SA"/>
    </w:rPr>
    <w:tblPr/>
  </w:style>
  <w:style w:type="table" w:styleId="1034">
    <w:name w:val="List Table 6 Colorful"/>
    <w:next w:val="1034"/>
    <w:link w:val="749"/>
    <w:uiPriority w:val="99"/>
    <w:rPr>
      <w:lang w:val="en-US" w:eastAsia="zh-CN" w:bidi="ar-SA"/>
    </w:rPr>
    <w:tblPr/>
  </w:style>
  <w:style w:type="table" w:styleId="1035">
    <w:name w:val="List Table 6 Colorful - Accent 1"/>
    <w:next w:val="1035"/>
    <w:link w:val="749"/>
    <w:uiPriority w:val="99"/>
    <w:rPr>
      <w:lang w:val="en-US" w:eastAsia="zh-CN" w:bidi="ar-SA"/>
    </w:rPr>
    <w:tblPr/>
  </w:style>
  <w:style w:type="table" w:styleId="1036">
    <w:name w:val="List Table 6 Colorful - Accent 2"/>
    <w:next w:val="1036"/>
    <w:link w:val="749"/>
    <w:uiPriority w:val="99"/>
    <w:rPr>
      <w:lang w:val="en-US" w:eastAsia="zh-CN" w:bidi="ar-SA"/>
    </w:rPr>
    <w:tblPr/>
  </w:style>
  <w:style w:type="table" w:styleId="1037">
    <w:name w:val="List Table 6 Colorful - Accent 3"/>
    <w:next w:val="1037"/>
    <w:link w:val="749"/>
    <w:uiPriority w:val="99"/>
    <w:rPr>
      <w:lang w:val="en-US" w:eastAsia="zh-CN" w:bidi="ar-SA"/>
    </w:rPr>
    <w:tblPr/>
  </w:style>
  <w:style w:type="table" w:styleId="1038">
    <w:name w:val="List Table 6 Colorful - Accent 4"/>
    <w:next w:val="1038"/>
    <w:link w:val="749"/>
    <w:uiPriority w:val="99"/>
    <w:rPr>
      <w:lang w:val="en-US" w:eastAsia="zh-CN" w:bidi="ar-SA"/>
    </w:rPr>
    <w:tblPr/>
  </w:style>
  <w:style w:type="table" w:styleId="1039">
    <w:name w:val="List Table 6 Colorful - Accent 5"/>
    <w:next w:val="1039"/>
    <w:link w:val="749"/>
    <w:uiPriority w:val="99"/>
    <w:rPr>
      <w:lang w:val="en-US" w:eastAsia="zh-CN" w:bidi="ar-SA"/>
    </w:rPr>
    <w:tblPr/>
  </w:style>
  <w:style w:type="table" w:styleId="1040">
    <w:name w:val="List Table 6 Colorful - Accent 6"/>
    <w:next w:val="1040"/>
    <w:link w:val="749"/>
    <w:uiPriority w:val="99"/>
    <w:rPr>
      <w:lang w:val="en-US" w:eastAsia="zh-CN" w:bidi="ar-SA"/>
    </w:rPr>
    <w:tblPr/>
  </w:style>
  <w:style w:type="table" w:styleId="1041">
    <w:name w:val="List Table 7 Colorful"/>
    <w:next w:val="1041"/>
    <w:link w:val="749"/>
    <w:uiPriority w:val="99"/>
    <w:rPr>
      <w:lang w:val="en-US" w:eastAsia="zh-CN" w:bidi="ar-SA"/>
    </w:rPr>
    <w:tblPr/>
  </w:style>
  <w:style w:type="table" w:styleId="1042">
    <w:name w:val="List Table 7 Colorful - Accent 1"/>
    <w:next w:val="1042"/>
    <w:link w:val="749"/>
    <w:uiPriority w:val="99"/>
    <w:rPr>
      <w:lang w:val="en-US" w:eastAsia="zh-CN" w:bidi="ar-SA"/>
    </w:rPr>
    <w:tblPr/>
  </w:style>
  <w:style w:type="table" w:styleId="1043">
    <w:name w:val="List Table 7 Colorful - Accent 2"/>
    <w:next w:val="1043"/>
    <w:link w:val="749"/>
    <w:uiPriority w:val="99"/>
    <w:rPr>
      <w:lang w:val="en-US" w:eastAsia="zh-CN" w:bidi="ar-SA"/>
    </w:rPr>
    <w:tblPr/>
  </w:style>
  <w:style w:type="table" w:styleId="1044">
    <w:name w:val="List Table 7 Colorful - Accent 3"/>
    <w:next w:val="1044"/>
    <w:link w:val="749"/>
    <w:uiPriority w:val="99"/>
    <w:rPr>
      <w:lang w:val="en-US" w:eastAsia="zh-CN" w:bidi="ar-SA"/>
    </w:rPr>
    <w:tblPr/>
  </w:style>
  <w:style w:type="table" w:styleId="1045">
    <w:name w:val="List Table 7 Colorful - Accent 4"/>
    <w:next w:val="1045"/>
    <w:link w:val="749"/>
    <w:uiPriority w:val="99"/>
    <w:rPr>
      <w:lang w:val="en-US" w:eastAsia="zh-CN" w:bidi="ar-SA"/>
    </w:rPr>
    <w:tblPr/>
  </w:style>
  <w:style w:type="table" w:styleId="1046">
    <w:name w:val="List Table 7 Colorful - Accent 5"/>
    <w:next w:val="1046"/>
    <w:link w:val="749"/>
    <w:uiPriority w:val="99"/>
    <w:rPr>
      <w:lang w:val="en-US" w:eastAsia="zh-CN" w:bidi="ar-SA"/>
    </w:rPr>
    <w:tblPr/>
  </w:style>
  <w:style w:type="table" w:styleId="1047">
    <w:name w:val="List Table 7 Colorful - Accent 6"/>
    <w:next w:val="1047"/>
    <w:link w:val="749"/>
    <w:uiPriority w:val="99"/>
    <w:rPr>
      <w:lang w:val="en-US" w:eastAsia="zh-CN" w:bidi="ar-SA"/>
    </w:rPr>
    <w:tblPr/>
  </w:style>
  <w:style w:type="table" w:styleId="1048">
    <w:name w:val="Lined - Accent"/>
    <w:next w:val="1048"/>
    <w:link w:val="749"/>
    <w:uiPriority w:val="99"/>
    <w:rPr>
      <w:color w:val="404040"/>
      <w:lang w:val="en-US" w:eastAsia="zh-CN" w:bidi="ar-SA"/>
    </w:rPr>
    <w:tblPr/>
  </w:style>
  <w:style w:type="table" w:styleId="1049">
    <w:name w:val="Lined - Accent 1"/>
    <w:next w:val="1049"/>
    <w:link w:val="749"/>
    <w:uiPriority w:val="99"/>
    <w:rPr>
      <w:color w:val="404040"/>
      <w:lang w:val="en-US" w:eastAsia="zh-CN" w:bidi="ar-SA"/>
    </w:rPr>
    <w:tblPr/>
  </w:style>
  <w:style w:type="table" w:styleId="1050">
    <w:name w:val="Lined - Accent 2"/>
    <w:next w:val="1050"/>
    <w:link w:val="749"/>
    <w:uiPriority w:val="99"/>
    <w:rPr>
      <w:color w:val="404040"/>
      <w:lang w:val="en-US" w:eastAsia="zh-CN" w:bidi="ar-SA"/>
    </w:rPr>
    <w:tblPr/>
  </w:style>
  <w:style w:type="table" w:styleId="1051">
    <w:name w:val="Lined - Accent 3"/>
    <w:next w:val="1051"/>
    <w:link w:val="749"/>
    <w:uiPriority w:val="99"/>
    <w:rPr>
      <w:color w:val="404040"/>
      <w:lang w:val="en-US" w:eastAsia="zh-CN" w:bidi="ar-SA"/>
    </w:rPr>
    <w:tblPr/>
  </w:style>
  <w:style w:type="table" w:styleId="1052">
    <w:name w:val="Lined - Accent 4"/>
    <w:next w:val="1052"/>
    <w:link w:val="749"/>
    <w:uiPriority w:val="99"/>
    <w:rPr>
      <w:color w:val="404040"/>
      <w:lang w:val="en-US" w:eastAsia="zh-CN" w:bidi="ar-SA"/>
    </w:rPr>
    <w:tblPr/>
  </w:style>
  <w:style w:type="table" w:styleId="1053">
    <w:name w:val="Lined - Accent 5"/>
    <w:next w:val="1053"/>
    <w:link w:val="749"/>
    <w:uiPriority w:val="99"/>
    <w:rPr>
      <w:color w:val="404040"/>
      <w:lang w:val="en-US" w:eastAsia="zh-CN" w:bidi="ar-SA"/>
    </w:rPr>
    <w:tblPr/>
  </w:style>
  <w:style w:type="table" w:styleId="1054">
    <w:name w:val="Lined - Accent 6"/>
    <w:next w:val="1054"/>
    <w:link w:val="749"/>
    <w:uiPriority w:val="99"/>
    <w:rPr>
      <w:color w:val="404040"/>
      <w:lang w:val="en-US" w:eastAsia="zh-CN" w:bidi="ar-SA"/>
    </w:rPr>
    <w:tblPr/>
  </w:style>
  <w:style w:type="table" w:styleId="1055">
    <w:name w:val="Bordered &amp; Lined - Accent"/>
    <w:next w:val="1055"/>
    <w:link w:val="749"/>
    <w:uiPriority w:val="99"/>
    <w:rPr>
      <w:color w:val="404040"/>
      <w:lang w:val="en-US" w:eastAsia="zh-CN" w:bidi="ar-SA"/>
    </w:rPr>
    <w:tblPr/>
  </w:style>
  <w:style w:type="table" w:styleId="1056">
    <w:name w:val="Bordered &amp; Lined - Accent 1"/>
    <w:next w:val="1056"/>
    <w:link w:val="749"/>
    <w:uiPriority w:val="99"/>
    <w:rPr>
      <w:color w:val="404040"/>
      <w:lang w:val="en-US" w:eastAsia="zh-CN" w:bidi="ar-SA"/>
    </w:rPr>
    <w:tblPr/>
  </w:style>
  <w:style w:type="table" w:styleId="1057">
    <w:name w:val="Bordered &amp; Lined - Accent 2"/>
    <w:next w:val="1057"/>
    <w:link w:val="749"/>
    <w:uiPriority w:val="99"/>
    <w:rPr>
      <w:color w:val="404040"/>
      <w:lang w:val="en-US" w:eastAsia="zh-CN" w:bidi="ar-SA"/>
    </w:rPr>
    <w:tblPr/>
  </w:style>
  <w:style w:type="table" w:styleId="1058">
    <w:name w:val="Bordered &amp; Lined - Accent 3"/>
    <w:next w:val="1058"/>
    <w:link w:val="749"/>
    <w:uiPriority w:val="99"/>
    <w:rPr>
      <w:color w:val="404040"/>
      <w:lang w:val="en-US" w:eastAsia="zh-CN" w:bidi="ar-SA"/>
    </w:rPr>
    <w:tblPr/>
  </w:style>
  <w:style w:type="table" w:styleId="1059">
    <w:name w:val="Bordered &amp; Lined - Accent 4"/>
    <w:next w:val="1059"/>
    <w:link w:val="749"/>
    <w:uiPriority w:val="99"/>
    <w:rPr>
      <w:color w:val="404040"/>
      <w:lang w:val="en-US" w:eastAsia="zh-CN" w:bidi="ar-SA"/>
    </w:rPr>
    <w:tblPr/>
  </w:style>
  <w:style w:type="table" w:styleId="1060">
    <w:name w:val="Bordered &amp; Lined - Accent 5"/>
    <w:next w:val="1060"/>
    <w:link w:val="749"/>
    <w:uiPriority w:val="99"/>
    <w:rPr>
      <w:color w:val="404040"/>
      <w:lang w:val="en-US" w:eastAsia="zh-CN" w:bidi="ar-SA"/>
    </w:rPr>
    <w:tblPr/>
  </w:style>
  <w:style w:type="table" w:styleId="1061">
    <w:name w:val="Bordered &amp; Lined - Accent 6"/>
    <w:next w:val="1061"/>
    <w:link w:val="749"/>
    <w:uiPriority w:val="99"/>
    <w:rPr>
      <w:color w:val="404040"/>
      <w:lang w:val="en-US" w:eastAsia="zh-CN" w:bidi="ar-SA"/>
    </w:rPr>
    <w:tblPr/>
  </w:style>
  <w:style w:type="table" w:styleId="1062">
    <w:name w:val="Bordered"/>
    <w:next w:val="1062"/>
    <w:link w:val="749"/>
    <w:uiPriority w:val="99"/>
    <w:rPr>
      <w:lang w:val="en-US" w:eastAsia="zh-CN" w:bidi="ar-SA"/>
    </w:rPr>
    <w:tblPr/>
  </w:style>
  <w:style w:type="table" w:styleId="1063">
    <w:name w:val="Bordered - Accent 1"/>
    <w:next w:val="1063"/>
    <w:link w:val="749"/>
    <w:uiPriority w:val="99"/>
    <w:rPr>
      <w:lang w:val="en-US" w:eastAsia="zh-CN" w:bidi="ar-SA"/>
    </w:rPr>
    <w:tblPr/>
  </w:style>
  <w:style w:type="table" w:styleId="1064">
    <w:name w:val="Bordered - Accent 2"/>
    <w:next w:val="1064"/>
    <w:link w:val="749"/>
    <w:uiPriority w:val="99"/>
    <w:rPr>
      <w:lang w:val="en-US" w:eastAsia="zh-CN" w:bidi="ar-SA"/>
    </w:rPr>
    <w:tblPr/>
  </w:style>
  <w:style w:type="table" w:styleId="1065">
    <w:name w:val="Bordered - Accent 3"/>
    <w:next w:val="1065"/>
    <w:link w:val="749"/>
    <w:uiPriority w:val="99"/>
    <w:rPr>
      <w:lang w:val="en-US" w:eastAsia="zh-CN" w:bidi="ar-SA"/>
    </w:rPr>
    <w:tblPr/>
  </w:style>
  <w:style w:type="table" w:styleId="1066">
    <w:name w:val="Bordered - Accent 4"/>
    <w:next w:val="1066"/>
    <w:link w:val="749"/>
    <w:uiPriority w:val="99"/>
    <w:rPr>
      <w:lang w:val="en-US" w:eastAsia="zh-CN" w:bidi="ar-SA"/>
    </w:rPr>
    <w:tblPr/>
  </w:style>
  <w:style w:type="table" w:styleId="1067">
    <w:name w:val="Bordered - Accent 5"/>
    <w:next w:val="1067"/>
    <w:link w:val="749"/>
    <w:uiPriority w:val="99"/>
    <w:rPr>
      <w:lang w:val="en-US" w:eastAsia="zh-CN" w:bidi="ar-SA"/>
    </w:rPr>
    <w:tblPr/>
  </w:style>
  <w:style w:type="table" w:styleId="1068">
    <w:name w:val="Bordered - Accent 6"/>
    <w:next w:val="1068"/>
    <w:link w:val="749"/>
    <w:uiPriority w:val="99"/>
    <w:rPr>
      <w:lang w:val="en-US" w:eastAsia="zh-CN" w:bidi="ar-SA"/>
    </w:rPr>
    <w:tblPr/>
  </w:style>
  <w:style w:type="character" w:styleId="1069">
    <w:name w:val="Footnote Text Char"/>
    <w:next w:val="1069"/>
    <w:link w:val="749"/>
    <w:uiPriority w:val="99"/>
    <w:rPr>
      <w:sz w:val="18"/>
    </w:rPr>
  </w:style>
  <w:style w:type="character" w:styleId="1070">
    <w:name w:val="Endnote Text Char"/>
    <w:next w:val="1070"/>
    <w:link w:val="749"/>
    <w:uiPriority w:val="99"/>
    <w:rPr>
      <w:sz w:val="20"/>
    </w:rPr>
  </w:style>
  <w:style w:type="paragraph" w:styleId="1071">
    <w:name w:val="TOC Heading"/>
    <w:next w:val="1071"/>
    <w:link w:val="749"/>
    <w:uiPriority w:val="39"/>
    <w:unhideWhenUsed/>
    <w:rPr>
      <w:lang w:val="en-US" w:eastAsia="zh-CN" w:bidi="ar-SA"/>
    </w:rPr>
  </w:style>
  <w:style w:type="paragraph" w:styleId="1072">
    <w:name w:val="标题 11"/>
    <w:basedOn w:val="749"/>
    <w:next w:val="749"/>
    <w:link w:val="749"/>
    <w:uiPriority w:val="99"/>
    <w:qFormat/>
    <w:pPr>
      <w:jc w:val="center"/>
      <w:keepNext/>
      <w:spacing w:after="0" w:line="240" w:lineRule="auto"/>
      <w:outlineLvl w:val="0"/>
    </w:pPr>
    <w:rPr>
      <w:rFonts w:ascii="楷体_GB2312" w:hAnsi="Times New Roman" w:eastAsia="楷体_GB2312"/>
      <w:sz w:val="28"/>
      <w:szCs w:val="28"/>
    </w:rPr>
  </w:style>
  <w:style w:type="paragraph" w:styleId="1073">
    <w:name w:val="标题 21"/>
    <w:basedOn w:val="749"/>
    <w:next w:val="933"/>
    <w:link w:val="749"/>
    <w:uiPriority w:val="1"/>
    <w:qFormat/>
    <w:pPr>
      <w:jc w:val="center"/>
      <w:keepLines/>
      <w:keepNext/>
      <w:spacing w:before="260" w:after="260" w:line="416" w:lineRule="auto"/>
      <w:outlineLvl w:val="1"/>
    </w:pPr>
    <w:rPr>
      <w:rFonts w:ascii="Arial" w:hAnsi="Arial" w:eastAsia="幼圆" w:cs="Arial"/>
      <w:b/>
      <w:bCs/>
      <w:sz w:val="44"/>
      <w:szCs w:val="44"/>
    </w:rPr>
  </w:style>
  <w:style w:type="paragraph" w:styleId="1074">
    <w:name w:val="标题 31"/>
    <w:basedOn w:val="749"/>
    <w:next w:val="933"/>
    <w:link w:val="749"/>
    <w:qFormat/>
    <w:pPr>
      <w:keepLines/>
      <w:keepNext/>
      <w:spacing w:before="260" w:after="260" w:line="416" w:lineRule="auto"/>
      <w:outlineLvl w:val="2"/>
    </w:pPr>
    <w:rPr>
      <w:rFonts w:ascii="Times New Roman" w:hAnsi="Times New Roman"/>
      <w:b/>
      <w:bCs/>
      <w:sz w:val="32"/>
      <w:szCs w:val="32"/>
    </w:rPr>
  </w:style>
  <w:style w:type="paragraph" w:styleId="1075">
    <w:name w:val="标题 41"/>
    <w:basedOn w:val="749"/>
    <w:next w:val="933"/>
    <w:link w:val="749"/>
    <w:qFormat/>
    <w:pPr>
      <w:keepLines/>
      <w:keepNext/>
      <w:spacing w:before="280" w:after="290" w:line="376" w:lineRule="auto"/>
      <w:outlineLvl w:val="3"/>
    </w:pPr>
    <w:rPr>
      <w:rFonts w:ascii="Arial" w:hAnsi="Arial" w:eastAsia="黑体" w:cs="Arial"/>
      <w:b/>
      <w:bCs/>
      <w:sz w:val="28"/>
      <w:szCs w:val="28"/>
    </w:rPr>
  </w:style>
  <w:style w:type="paragraph" w:styleId="1076">
    <w:name w:val="标题 51"/>
    <w:basedOn w:val="749"/>
    <w:next w:val="933"/>
    <w:link w:val="749"/>
    <w:qFormat/>
    <w:pPr>
      <w:keepNext/>
      <w:spacing w:after="0" w:line="240" w:lineRule="auto"/>
      <w:outlineLvl w:val="4"/>
    </w:pPr>
    <w:rPr>
      <w:rFonts w:ascii="宋体" w:hAnsi="Times New Roman"/>
      <w:color w:val="000000"/>
      <w:sz w:val="28"/>
      <w:szCs w:val="28"/>
    </w:rPr>
  </w:style>
  <w:style w:type="paragraph" w:styleId="1077">
    <w:name w:val="标题 61"/>
    <w:basedOn w:val="749"/>
    <w:next w:val="749"/>
    <w:link w:val="749"/>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8">
    <w:name w:val="标题 71"/>
    <w:basedOn w:val="749"/>
    <w:next w:val="749"/>
    <w:link w:val="74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79">
    <w:name w:val="标题 81"/>
    <w:basedOn w:val="749"/>
    <w:next w:val="749"/>
    <w:link w:val="749"/>
    <w:qFormat/>
    <w:pPr>
      <w:numPr>
        <w:ilvl w:val="7"/>
        <w:numId w:val="1"/>
      </w:numPr>
      <w:keepLines/>
      <w:keepNext/>
      <w:spacing w:before="240" w:after="64" w:line="320" w:lineRule="auto"/>
      <w:outlineLvl w:val="7"/>
    </w:pPr>
    <w:rPr>
      <w:rFonts w:ascii="Arial" w:hAnsi="Arial" w:eastAsia="黑体"/>
      <w:sz w:val="24"/>
      <w:szCs w:val="24"/>
    </w:rPr>
  </w:style>
  <w:style w:type="paragraph" w:styleId="1080">
    <w:name w:val="标题 91"/>
    <w:basedOn w:val="749"/>
    <w:next w:val="749"/>
    <w:link w:val="749"/>
    <w:qFormat/>
    <w:pPr>
      <w:numPr>
        <w:ilvl w:val="8"/>
        <w:numId w:val="1"/>
      </w:numPr>
      <w:keepLines/>
      <w:keepNext/>
      <w:spacing w:before="240" w:after="64" w:line="320" w:lineRule="auto"/>
      <w:outlineLvl w:val="8"/>
    </w:pPr>
    <w:rPr>
      <w:rFonts w:ascii="Arial" w:hAnsi="Arial" w:eastAsia="黑体"/>
      <w:sz w:val="20"/>
      <w:szCs w:val="20"/>
    </w:rPr>
  </w:style>
  <w:style w:type="table" w:styleId="1081">
    <w:name w:val="普通表格1"/>
    <w:next w:val="1081"/>
    <w:link w:val="749"/>
    <w:semiHidden/>
    <w:rPr>
      <w:lang w:val="en-US" w:eastAsia="zh-CN" w:bidi="ar-SA"/>
    </w:rPr>
    <w:tblPr/>
  </w:style>
  <w:style w:type="paragraph" w:styleId="1082">
    <w:name w:val="正文文本1"/>
    <w:basedOn w:val="749"/>
    <w:next w:val="1082"/>
    <w:link w:val="749"/>
    <w:pPr>
      <w:spacing w:after="0" w:line="240" w:lineRule="auto"/>
    </w:pPr>
    <w:rPr>
      <w:rFonts w:ascii="楷体_GB2312" w:hAnsi="Arial" w:eastAsia="楷体_GB2312"/>
      <w:sz w:val="28"/>
      <w:szCs w:val="28"/>
    </w:rPr>
  </w:style>
  <w:style w:type="paragraph" w:styleId="1083">
    <w:name w:val="列表 31"/>
    <w:basedOn w:val="749"/>
    <w:next w:val="1083"/>
    <w:link w:val="749"/>
    <w:pPr>
      <w:ind w:left="100" w:hanging="200"/>
      <w:spacing w:after="0" w:line="240" w:lineRule="auto"/>
    </w:pPr>
    <w:rPr>
      <w:rFonts w:ascii="Times New Roman" w:hAnsi="Times New Roman"/>
      <w:sz w:val="20"/>
      <w:szCs w:val="20"/>
    </w:rPr>
  </w:style>
  <w:style w:type="paragraph" w:styleId="1084">
    <w:name w:val="目录 71"/>
    <w:basedOn w:val="749"/>
    <w:next w:val="749"/>
    <w:link w:val="749"/>
    <w:semiHidden/>
    <w:pPr>
      <w:ind w:left="1260"/>
      <w:spacing w:after="0" w:line="240" w:lineRule="auto"/>
    </w:pPr>
    <w:rPr>
      <w:rFonts w:ascii="Times New Roman" w:hAnsi="Times New Roman"/>
      <w:sz w:val="20"/>
      <w:szCs w:val="20"/>
    </w:rPr>
  </w:style>
  <w:style w:type="paragraph" w:styleId="1085">
    <w:name w:val="文档结构图1"/>
    <w:basedOn w:val="749"/>
    <w:next w:val="1085"/>
    <w:link w:val="749"/>
    <w:semiHidden/>
    <w:pPr>
      <w:spacing w:after="0" w:line="240" w:lineRule="auto"/>
      <w:shd w:val="clear" w:color="auto" w:fill="000080"/>
    </w:pPr>
    <w:rPr>
      <w:rFonts w:ascii="Times New Roman" w:hAnsi="Times New Roman"/>
      <w:sz w:val="20"/>
      <w:szCs w:val="20"/>
    </w:rPr>
  </w:style>
  <w:style w:type="paragraph" w:styleId="1086">
    <w:name w:val="批注文字1"/>
    <w:basedOn w:val="749"/>
    <w:next w:val="1086"/>
    <w:link w:val="749"/>
    <w:semiHidden/>
    <w:pPr>
      <w:spacing w:after="0" w:line="240" w:lineRule="auto"/>
    </w:pPr>
    <w:rPr>
      <w:rFonts w:ascii="Times New Roman" w:hAnsi="Times New Roman"/>
      <w:sz w:val="20"/>
      <w:szCs w:val="20"/>
    </w:rPr>
  </w:style>
  <w:style w:type="paragraph" w:styleId="1087">
    <w:name w:val="正文文本 31"/>
    <w:basedOn w:val="749"/>
    <w:next w:val="1087"/>
    <w:link w:val="749"/>
    <w:pPr>
      <w:spacing w:after="0" w:line="240" w:lineRule="auto"/>
    </w:pPr>
    <w:rPr>
      <w:rFonts w:ascii="仿宋_GB2312" w:hAnsi="Arial" w:eastAsia="仿宋_GB2312"/>
      <w:sz w:val="32"/>
      <w:szCs w:val="32"/>
    </w:rPr>
  </w:style>
  <w:style w:type="paragraph" w:styleId="1088">
    <w:name w:val="正文文本缩进1"/>
    <w:basedOn w:val="749"/>
    <w:next w:val="1088"/>
    <w:link w:val="749"/>
    <w:pPr>
      <w:ind w:firstLine="645"/>
      <w:spacing w:after="0" w:line="240" w:lineRule="auto"/>
    </w:pPr>
    <w:rPr>
      <w:rFonts w:ascii="楷体_GB2312" w:hAnsi="Times New Roman" w:eastAsia="楷体_GB2312"/>
      <w:sz w:val="32"/>
      <w:szCs w:val="32"/>
    </w:rPr>
  </w:style>
  <w:style w:type="paragraph" w:styleId="1089">
    <w:name w:val="列表 21"/>
    <w:basedOn w:val="749"/>
    <w:next w:val="1089"/>
    <w:link w:val="749"/>
    <w:pPr>
      <w:ind w:left="100" w:hanging="200"/>
      <w:spacing w:after="0" w:line="240" w:lineRule="auto"/>
    </w:pPr>
    <w:rPr>
      <w:rFonts w:ascii="Times New Roman" w:hAnsi="Times New Roman"/>
      <w:sz w:val="20"/>
      <w:szCs w:val="20"/>
    </w:rPr>
  </w:style>
  <w:style w:type="paragraph" w:styleId="1090">
    <w:name w:val="索引 41"/>
    <w:basedOn w:val="749"/>
    <w:next w:val="749"/>
    <w:link w:val="749"/>
    <w:uiPriority w:val="99"/>
    <w:unhideWhenUsed/>
    <w:qFormat/>
    <w:pPr>
      <w:ind w:left="600"/>
      <w:spacing w:after="0" w:line="240" w:lineRule="auto"/>
    </w:pPr>
    <w:rPr>
      <w:rFonts w:ascii="Times New Roman" w:hAnsi="Times New Roman"/>
      <w:sz w:val="20"/>
      <w:szCs w:val="20"/>
    </w:rPr>
  </w:style>
  <w:style w:type="paragraph" w:styleId="1091">
    <w:name w:val="目录 51"/>
    <w:basedOn w:val="749"/>
    <w:next w:val="749"/>
    <w:link w:val="749"/>
    <w:semiHidden/>
    <w:pPr>
      <w:ind w:left="840"/>
      <w:spacing w:after="0" w:line="240" w:lineRule="auto"/>
    </w:pPr>
    <w:rPr>
      <w:rFonts w:ascii="Times New Roman" w:hAnsi="Times New Roman"/>
      <w:sz w:val="20"/>
      <w:szCs w:val="20"/>
    </w:rPr>
  </w:style>
  <w:style w:type="paragraph" w:styleId="1092">
    <w:name w:val="目录 31"/>
    <w:basedOn w:val="749"/>
    <w:next w:val="749"/>
    <w:link w:val="749"/>
    <w:semiHidden/>
    <w:pPr>
      <w:ind w:left="420"/>
      <w:spacing w:after="0" w:line="240" w:lineRule="auto"/>
    </w:pPr>
    <w:rPr>
      <w:rFonts w:ascii="Times New Roman" w:hAnsi="Times New Roman"/>
      <w:i/>
      <w:iCs/>
      <w:sz w:val="20"/>
      <w:szCs w:val="24"/>
    </w:rPr>
  </w:style>
  <w:style w:type="paragraph" w:styleId="1093">
    <w:name w:val="目录 81"/>
    <w:basedOn w:val="749"/>
    <w:next w:val="749"/>
    <w:link w:val="749"/>
    <w:semiHidden/>
    <w:pPr>
      <w:ind w:left="1470"/>
      <w:spacing w:after="0" w:line="240" w:lineRule="auto"/>
    </w:pPr>
    <w:rPr>
      <w:rFonts w:ascii="Times New Roman" w:hAnsi="Times New Roman"/>
      <w:sz w:val="20"/>
      <w:szCs w:val="20"/>
    </w:rPr>
  </w:style>
  <w:style w:type="paragraph" w:styleId="1094">
    <w:name w:val="日期1"/>
    <w:basedOn w:val="749"/>
    <w:next w:val="749"/>
    <w:link w:val="749"/>
    <w:pPr>
      <w:spacing w:after="0" w:line="240" w:lineRule="auto"/>
    </w:pPr>
    <w:rPr>
      <w:rFonts w:ascii="Times New Roman" w:hAnsi="Times New Roman"/>
      <w:sz w:val="24"/>
      <w:szCs w:val="24"/>
    </w:rPr>
  </w:style>
  <w:style w:type="paragraph" w:styleId="1095">
    <w:name w:val="正文文本缩进 21"/>
    <w:basedOn w:val="749"/>
    <w:next w:val="1095"/>
    <w:link w:val="749"/>
    <w:pPr>
      <w:ind w:left="630" w:firstLine="645"/>
      <w:spacing w:after="0" w:line="240" w:lineRule="auto"/>
    </w:pPr>
    <w:rPr>
      <w:rFonts w:ascii="Arial" w:hAnsi="Arial" w:eastAsia="仿宋_GB2312" w:cs="Arial"/>
      <w:sz w:val="32"/>
      <w:szCs w:val="32"/>
    </w:rPr>
  </w:style>
  <w:style w:type="paragraph" w:styleId="1096">
    <w:name w:val="批注框文本1"/>
    <w:basedOn w:val="749"/>
    <w:next w:val="1096"/>
    <w:link w:val="749"/>
    <w:semiHidden/>
    <w:pPr>
      <w:spacing w:after="0" w:line="240" w:lineRule="auto"/>
    </w:pPr>
    <w:rPr>
      <w:rFonts w:ascii="Times New Roman" w:hAnsi="Times New Roman"/>
      <w:sz w:val="18"/>
      <w:szCs w:val="18"/>
    </w:rPr>
  </w:style>
  <w:style w:type="paragraph" w:styleId="1097">
    <w:name w:val="页脚1"/>
    <w:basedOn w:val="749"/>
    <w:next w:val="1097"/>
    <w:link w:val="749"/>
    <w:pPr>
      <w:spacing w:after="0" w:line="240" w:lineRule="auto"/>
      <w:tabs>
        <w:tab w:val="center" w:pos="4153" w:leader="none"/>
        <w:tab w:val="right" w:pos="8306" w:leader="none"/>
      </w:tabs>
    </w:pPr>
    <w:rPr>
      <w:rFonts w:ascii="Times New Roman" w:hAnsi="Times New Roman"/>
      <w:sz w:val="18"/>
      <w:szCs w:val="18"/>
    </w:rPr>
  </w:style>
  <w:style w:type="paragraph" w:styleId="1098">
    <w:name w:val="页眉1"/>
    <w:basedOn w:val="749"/>
    <w:next w:val="1098"/>
    <w:link w:val="749"/>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099">
    <w:name w:val="目录 11"/>
    <w:basedOn w:val="749"/>
    <w:next w:val="749"/>
    <w:link w:val="749"/>
    <w:semiHidden/>
    <w:pPr>
      <w:spacing w:before="120" w:after="120" w:line="400" w:lineRule="exact"/>
      <w:tabs>
        <w:tab w:val="right" w:pos="8720" w:leader="dot"/>
      </w:tabs>
    </w:pPr>
    <w:rPr>
      <w:rFonts w:ascii="宋体" w:hAnsi="宋体"/>
      <w:caps/>
      <w:sz w:val="24"/>
      <w:szCs w:val="24"/>
    </w:rPr>
  </w:style>
  <w:style w:type="paragraph" w:styleId="1100">
    <w:name w:val="目录 41"/>
    <w:basedOn w:val="749"/>
    <w:next w:val="749"/>
    <w:link w:val="749"/>
    <w:semiHidden/>
    <w:pPr>
      <w:ind w:left="630"/>
      <w:spacing w:after="0" w:line="240" w:lineRule="auto"/>
    </w:pPr>
    <w:rPr>
      <w:rFonts w:ascii="Times New Roman" w:hAnsi="Times New Roman"/>
      <w:sz w:val="20"/>
      <w:szCs w:val="20"/>
    </w:rPr>
  </w:style>
  <w:style w:type="paragraph" w:styleId="1101">
    <w:name w:val="列表1"/>
    <w:basedOn w:val="749"/>
    <w:next w:val="1101"/>
    <w:link w:val="749"/>
    <w:pPr>
      <w:ind w:left="200" w:hanging="200"/>
      <w:spacing w:after="0" w:line="240" w:lineRule="auto"/>
    </w:pPr>
    <w:rPr>
      <w:rFonts w:ascii="Times New Roman" w:hAnsi="Times New Roman"/>
      <w:sz w:val="20"/>
      <w:szCs w:val="20"/>
    </w:rPr>
  </w:style>
  <w:style w:type="paragraph" w:styleId="1102">
    <w:name w:val="目录 61"/>
    <w:basedOn w:val="749"/>
    <w:next w:val="749"/>
    <w:link w:val="749"/>
    <w:semiHidden/>
    <w:pPr>
      <w:ind w:left="1050"/>
      <w:spacing w:after="0" w:line="240" w:lineRule="auto"/>
    </w:pPr>
    <w:rPr>
      <w:rFonts w:ascii="Times New Roman" w:hAnsi="Times New Roman"/>
      <w:sz w:val="20"/>
      <w:szCs w:val="20"/>
    </w:rPr>
  </w:style>
  <w:style w:type="paragraph" w:styleId="1103">
    <w:name w:val="正文文本缩进 31"/>
    <w:basedOn w:val="749"/>
    <w:next w:val="1103"/>
    <w:link w:val="749"/>
    <w:pPr>
      <w:ind w:left="645" w:firstLine="645"/>
      <w:spacing w:after="0" w:line="240" w:lineRule="auto"/>
    </w:pPr>
    <w:rPr>
      <w:rFonts w:ascii="Arial" w:hAnsi="Arial" w:eastAsia="仿宋_GB2312" w:cs="Arial"/>
      <w:color w:val="ffff00"/>
      <w:sz w:val="32"/>
      <w:szCs w:val="32"/>
    </w:rPr>
  </w:style>
  <w:style w:type="paragraph" w:styleId="1104">
    <w:name w:val="图表目录1"/>
    <w:basedOn w:val="749"/>
    <w:next w:val="749"/>
    <w:link w:val="749"/>
    <w:semiHidden/>
    <w:pPr>
      <w:ind w:left="840" w:hanging="420"/>
      <w:spacing w:after="0" w:line="240" w:lineRule="auto"/>
    </w:pPr>
    <w:rPr>
      <w:rFonts w:ascii="Times New Roman" w:hAnsi="Times New Roman"/>
      <w:sz w:val="20"/>
      <w:szCs w:val="20"/>
    </w:rPr>
  </w:style>
  <w:style w:type="paragraph" w:styleId="1105">
    <w:name w:val="目录 21"/>
    <w:basedOn w:val="749"/>
    <w:next w:val="749"/>
    <w:link w:val="749"/>
    <w:semiHidden/>
    <w:pPr>
      <w:ind w:left="210"/>
      <w:spacing w:after="0" w:line="240" w:lineRule="auto"/>
    </w:pPr>
    <w:rPr>
      <w:rFonts w:ascii="Times New Roman" w:hAnsi="Times New Roman"/>
      <w:smallCaps/>
      <w:sz w:val="20"/>
      <w:szCs w:val="24"/>
    </w:rPr>
  </w:style>
  <w:style w:type="paragraph" w:styleId="1106">
    <w:name w:val="目录 91"/>
    <w:basedOn w:val="749"/>
    <w:next w:val="749"/>
    <w:link w:val="749"/>
    <w:semiHidden/>
    <w:pPr>
      <w:ind w:left="1680"/>
      <w:spacing w:after="0" w:line="240" w:lineRule="auto"/>
    </w:pPr>
    <w:rPr>
      <w:rFonts w:ascii="Times New Roman" w:hAnsi="Times New Roman"/>
      <w:sz w:val="20"/>
      <w:szCs w:val="20"/>
    </w:rPr>
  </w:style>
  <w:style w:type="paragraph" w:styleId="1107">
    <w:name w:val="正文文本 21"/>
    <w:basedOn w:val="749"/>
    <w:next w:val="1107"/>
    <w:link w:val="749"/>
    <w:pPr>
      <w:jc w:val="center"/>
      <w:spacing w:after="0" w:line="240" w:lineRule="auto"/>
    </w:pPr>
    <w:rPr>
      <w:rFonts w:ascii="楷体_GB2312" w:hAnsi="Times New Roman" w:eastAsia="楷体_GB2312"/>
      <w:sz w:val="28"/>
      <w:szCs w:val="28"/>
    </w:rPr>
  </w:style>
  <w:style w:type="paragraph" w:styleId="1108">
    <w:name w:val="普通(网站)1"/>
    <w:basedOn w:val="749"/>
    <w:next w:val="1108"/>
    <w:link w:val="749"/>
    <w:uiPriority w:val="99"/>
    <w:pPr>
      <w:spacing w:before="100" w:beforeAutospacing="1" w:after="100" w:afterAutospacing="1" w:line="240" w:lineRule="auto"/>
    </w:pPr>
    <w:rPr>
      <w:rFonts w:ascii="宋体" w:hAnsi="宋体" w:cs="宋体"/>
      <w:sz w:val="24"/>
      <w:szCs w:val="24"/>
    </w:rPr>
  </w:style>
  <w:style w:type="paragraph" w:styleId="1109">
    <w:name w:val="索引 11"/>
    <w:basedOn w:val="749"/>
    <w:next w:val="749"/>
    <w:link w:val="749"/>
    <w:semiHidden/>
    <w:pPr>
      <w:spacing w:after="0" w:line="240" w:lineRule="atLeast"/>
    </w:pPr>
    <w:rPr>
      <w:rFonts w:ascii="Times New Roman" w:hAnsi="Times New Roman"/>
      <w:b/>
      <w:bCs/>
      <w:sz w:val="20"/>
      <w:szCs w:val="20"/>
    </w:rPr>
  </w:style>
  <w:style w:type="paragraph" w:styleId="1110">
    <w:name w:val="批注主题1"/>
    <w:basedOn w:val="1086"/>
    <w:next w:val="1086"/>
    <w:link w:val="749"/>
    <w:semiHidden/>
    <w:rPr>
      <w:b/>
      <w:bCs/>
    </w:rPr>
  </w:style>
  <w:style w:type="paragraph" w:styleId="1111">
    <w:name w:val="正文首行缩进1"/>
    <w:basedOn w:val="749"/>
    <w:next w:val="1111"/>
    <w:link w:val="749"/>
    <w:pPr>
      <w:ind w:firstLine="200"/>
      <w:spacing w:after="0" w:line="360" w:lineRule="auto"/>
    </w:pPr>
    <w:rPr>
      <w:rFonts w:ascii="仿宋_GB2312" w:hAnsi="Times New Roman" w:eastAsia="仿宋_GB2312"/>
      <w:sz w:val="30"/>
      <w:szCs w:val="30"/>
    </w:rPr>
  </w:style>
  <w:style w:type="paragraph" w:styleId="1112">
    <w:name w:val="正文首行缩进 21"/>
    <w:basedOn w:val="1088"/>
    <w:next w:val="1112"/>
    <w:link w:val="749"/>
    <w:pPr>
      <w:ind w:firstLine="420"/>
      <w:spacing w:line="360" w:lineRule="auto"/>
    </w:pPr>
    <w:rPr>
      <w:rFonts w:ascii="宋体" w:hAnsi="宋体" w:eastAsia="宋体"/>
      <w:sz w:val="21"/>
      <w:szCs w:val="20"/>
    </w:rPr>
  </w:style>
  <w:style w:type="table" w:styleId="1113">
    <w:name w:val="网格型110"/>
    <w:basedOn w:val="1081"/>
    <w:next w:val="1113"/>
    <w:link w:val="749"/>
    <w:qFormat/>
    <w:pPr>
      <w:jc w:val="both"/>
      <w:widowControl w:val="off"/>
    </w:pPr>
    <w:tblPr/>
  </w:style>
  <w:style w:type="character" w:styleId="1114">
    <w:name w:val="要点1"/>
    <w:next w:val="1114"/>
    <w:link w:val="749"/>
    <w:qFormat/>
    <w:rPr>
      <w:b/>
      <w:bCs/>
    </w:rPr>
  </w:style>
  <w:style w:type="character" w:styleId="1115">
    <w:name w:val="页码1"/>
    <w:next w:val="1115"/>
    <w:link w:val="749"/>
  </w:style>
  <w:style w:type="character" w:styleId="1116">
    <w:name w:val="已访问的超链接1"/>
    <w:next w:val="1116"/>
    <w:link w:val="749"/>
    <w:rPr>
      <w:rFonts w:hint="eastAsia" w:ascii="微软雅黑" w:hAnsi="微软雅黑" w:eastAsia="微软雅黑" w:cs="微软雅黑"/>
      <w:color w:val="02396f"/>
      <w:u w:val="single"/>
    </w:rPr>
  </w:style>
  <w:style w:type="character" w:styleId="1117">
    <w:name w:val="超链接1"/>
    <w:next w:val="1117"/>
    <w:link w:val="749"/>
    <w:rPr>
      <w:rFonts w:hint="eastAsia" w:ascii="微软雅黑" w:hAnsi="微软雅黑" w:eastAsia="微软雅黑" w:cs="微软雅黑"/>
      <w:color w:val="02396f"/>
      <w:u w:val="single"/>
    </w:rPr>
  </w:style>
  <w:style w:type="character" w:styleId="1118">
    <w:name w:val="批注引用1"/>
    <w:next w:val="1118"/>
    <w:link w:val="749"/>
    <w:semiHidden/>
    <w:rPr>
      <w:sz w:val="21"/>
      <w:szCs w:val="21"/>
    </w:rPr>
  </w:style>
  <w:style w:type="paragraph" w:styleId="1119">
    <w:name w:val=" Char"/>
    <w:basedOn w:val="1085"/>
    <w:next w:val="1119"/>
    <w:link w:val="749"/>
    <w:rPr>
      <w:rFonts w:ascii="Tahoma" w:hAnsi="Tahoma"/>
      <w:sz w:val="24"/>
      <w:szCs w:val="24"/>
    </w:rPr>
  </w:style>
  <w:style w:type="paragraph" w:styleId="1120">
    <w:name w:val=" Char Char Char Char"/>
    <w:basedOn w:val="1085"/>
    <w:next w:val="1120"/>
    <w:link w:val="749"/>
    <w:pPr>
      <w:spacing w:line="360" w:lineRule="auto"/>
    </w:pPr>
    <w:rPr>
      <w:rFonts w:ascii="Tahoma" w:hAnsi="Tahoma"/>
      <w:sz w:val="24"/>
      <w:szCs w:val="24"/>
    </w:rPr>
  </w:style>
  <w:style w:type="paragraph" w:styleId="1121">
    <w:name w:val="列出段落"/>
    <w:basedOn w:val="749"/>
    <w:next w:val="1121"/>
    <w:link w:val="749"/>
    <w:qFormat/>
    <w:pPr>
      <w:contextualSpacing/>
      <w:ind w:left="720"/>
      <w:spacing w:after="0" w:line="240" w:lineRule="auto"/>
    </w:pPr>
    <w:rPr>
      <w:sz w:val="24"/>
      <w:szCs w:val="24"/>
      <w:lang w:eastAsia="en-US" w:bidi="en-US"/>
    </w:rPr>
  </w:style>
  <w:style w:type="paragraph" w:styleId="1122">
    <w:name w:val=" Char Char Char Char Char Char Char Char Char Char"/>
    <w:basedOn w:val="749"/>
    <w:next w:val="1122"/>
    <w:link w:val="749"/>
    <w:pPr>
      <w:spacing w:after="0" w:line="360" w:lineRule="auto"/>
    </w:pPr>
    <w:rPr>
      <w:rFonts w:ascii="Times New Roman" w:hAnsi="Times New Roman"/>
      <w:sz w:val="24"/>
      <w:szCs w:val="20"/>
    </w:rPr>
  </w:style>
  <w:style w:type="paragraph" w:styleId="1123">
    <w:name w:val=" Char Char Char Char Char Char Char Char"/>
    <w:basedOn w:val="749"/>
    <w:next w:val="1123"/>
    <w:link w:val="749"/>
    <w:pPr>
      <w:spacing w:after="160" w:line="240" w:lineRule="exact"/>
    </w:pPr>
    <w:rPr>
      <w:rFonts w:ascii="Verdana" w:hAnsi="Verdana"/>
      <w:sz w:val="20"/>
      <w:szCs w:val="20"/>
      <w:lang w:eastAsia="en-US"/>
    </w:rPr>
  </w:style>
  <w:style w:type="character" w:styleId="1124">
    <w:name w:val="font21"/>
    <w:next w:val="1124"/>
    <w:link w:val="749"/>
    <w:qFormat/>
    <w:rPr>
      <w:rFonts w:hint="eastAsia" w:ascii="微软雅黑" w:hAnsi="微软雅黑" w:eastAsia="微软雅黑" w:cs="微软雅黑"/>
      <w:i w:val="0"/>
      <w:iCs w:val="0"/>
      <w:color w:val="000000"/>
      <w:sz w:val="18"/>
      <w:szCs w:val="18"/>
      <w:u w:val="none"/>
    </w:rPr>
  </w:style>
  <w:style w:type="character" w:styleId="1125">
    <w:name w:val="prev2"/>
    <w:next w:val="1125"/>
    <w:link w:val="749"/>
    <w:rPr>
      <w:rFonts w:ascii="微软雅黑" w:hAnsi="微软雅黑" w:eastAsia="微软雅黑" w:cs="微软雅黑"/>
      <w:sz w:val="21"/>
      <w:szCs w:val="21"/>
    </w:rPr>
  </w:style>
  <w:style w:type="character" w:styleId="1126">
    <w:name w:val="next"/>
    <w:next w:val="1126"/>
    <w:link w:val="749"/>
    <w:rPr>
      <w:rFonts w:hint="eastAsia" w:ascii="微软雅黑" w:hAnsi="微软雅黑" w:eastAsia="微软雅黑" w:cs="微软雅黑"/>
      <w:sz w:val="21"/>
      <w:szCs w:val="21"/>
    </w:rPr>
  </w:style>
  <w:style w:type="character" w:styleId="1127">
    <w:name w:val="next1"/>
    <w:next w:val="1127"/>
    <w:link w:val="749"/>
    <w:rPr>
      <w:color w:val="888888"/>
    </w:rPr>
  </w:style>
  <w:style w:type="character" w:styleId="1128">
    <w:name w:val="gjfg"/>
    <w:next w:val="1128"/>
    <w:link w:val="749"/>
  </w:style>
  <w:style w:type="character" w:styleId="1129">
    <w:name w:val="displayarti"/>
    <w:next w:val="1129"/>
    <w:link w:val="749"/>
    <w:rPr>
      <w:color w:val="ffffff"/>
      <w:shd w:val="clear" w:color="auto" w:fill="a00000"/>
    </w:rPr>
  </w:style>
  <w:style w:type="character" w:styleId="1130">
    <w:name w:val="qxdate"/>
    <w:next w:val="1130"/>
    <w:link w:val="749"/>
    <w:rPr>
      <w:color w:val="333333"/>
      <w:sz w:val="18"/>
      <w:szCs w:val="18"/>
    </w:rPr>
  </w:style>
  <w:style w:type="character" w:styleId="1131">
    <w:name w:val="cfdate"/>
    <w:next w:val="1131"/>
    <w:link w:val="749"/>
    <w:rPr>
      <w:color w:val="333333"/>
      <w:sz w:val="18"/>
      <w:szCs w:val="18"/>
    </w:rPr>
  </w:style>
  <w:style w:type="character" w:styleId="1132">
    <w:name w:val="redfilenumber"/>
    <w:next w:val="1132"/>
    <w:link w:val="749"/>
    <w:rPr>
      <w:color w:val="ba2636"/>
      <w:sz w:val="18"/>
      <w:szCs w:val="18"/>
    </w:rPr>
  </w:style>
  <w:style w:type="paragraph" w:styleId="1133">
    <w:name w:val="首行缩进"/>
    <w:basedOn w:val="749"/>
    <w:next w:val="1133"/>
    <w:link w:val="749"/>
    <w:qFormat/>
    <w:pPr>
      <w:ind w:firstLine="420"/>
      <w:spacing w:after="0" w:line="360" w:lineRule="auto"/>
    </w:pPr>
    <w:rPr>
      <w:rFonts w:ascii="Times New Roman" w:hAnsi="Times New Roman"/>
      <w:sz w:val="20"/>
      <w:szCs w:val="20"/>
    </w:rPr>
  </w:style>
  <w:style w:type="paragraph" w:styleId="1134">
    <w:name w:val="正文1"/>
    <w:next w:val="1134"/>
    <w:link w:val="749"/>
    <w:uiPriority w:val="99"/>
    <w:qFormat/>
    <w:pPr>
      <w:spacing w:after="200" w:line="276" w:lineRule="auto"/>
    </w:pPr>
    <w:rPr>
      <w:sz w:val="22"/>
      <w:szCs w:val="22"/>
      <w:lang w:val="en-US" w:eastAsia="en-US" w:bidi="ar-SA"/>
    </w:rPr>
  </w:style>
  <w:style w:type="table" w:styleId="1135">
    <w:name w:val="网格型92"/>
    <w:basedOn w:val="760"/>
    <w:next w:val="1135"/>
    <w:link w:val="749"/>
    <w:uiPriority w:val="59"/>
    <w:qFormat/>
    <w:rPr>
      <w:rFonts w:ascii="Times New Roman" w:hAnsi="Times New Roman"/>
      <w:sz w:val="21"/>
    </w:rPr>
    <w:tblPr/>
  </w:style>
  <w:style w:type="character" w:styleId="1136">
    <w:name w:val="明显强调"/>
    <w:next w:val="1136"/>
    <w:link w:val="749"/>
    <w:uiPriority w:val="21"/>
    <w:qFormat/>
    <w:rPr>
      <w:i/>
      <w:iCs/>
      <w:color w:val="0f4761"/>
    </w:rPr>
  </w:style>
  <w:style w:type="character" w:styleId="1137">
    <w:name w:val="宏文本 字符"/>
    <w:next w:val="1137"/>
    <w:link w:val="749"/>
    <w:qFormat/>
    <w:rPr>
      <w:rFonts w:ascii="Courier New" w:hAnsi="Courier New" w:cs="Courier New"/>
      <w:sz w:val="24"/>
      <w:szCs w:val="24"/>
    </w:rPr>
  </w:style>
  <w:style w:type="character" w:styleId="1138">
    <w:name w:val="HTML 预设格式 字符"/>
    <w:next w:val="1138"/>
    <w:link w:val="749"/>
    <w:uiPriority w:val="99"/>
    <w:semiHidden/>
    <w:qFormat/>
    <w:rPr>
      <w:rFonts w:ascii="Courier New" w:hAnsi="Courier New" w:cs="Courier New"/>
    </w:rPr>
  </w:style>
  <w:style w:type="table" w:styleId="1139">
    <w:name w:val="网格型22"/>
    <w:basedOn w:val="760"/>
    <w:next w:val="1139"/>
    <w:link w:val="749"/>
    <w:uiPriority w:val="39"/>
    <w:qFormat/>
    <w:pPr>
      <w:spacing w:after="160" w:line="278" w:lineRule="auto"/>
    </w:pPr>
    <w:rPr>
      <w:rFonts w:ascii="Calibri" w:hAnsi="Calibri" w:cs="Calibri"/>
    </w:rPr>
    <w:tblPr/>
  </w:style>
  <w:style w:type="character" w:styleId="1140">
    <w:name w:val="标题 1 字符2"/>
    <w:next w:val="1140"/>
    <w:link w:val="749"/>
    <w:uiPriority w:val="99"/>
    <w:qFormat/>
    <w:rPr>
      <w:rFonts w:ascii="Times New Roman" w:hAnsi="Times New Roman" w:eastAsia="宋体" w:cs="Calibri"/>
      <w:b/>
      <w:bCs/>
      <w:sz w:val="32"/>
      <w:szCs w:val="32"/>
    </w:rPr>
  </w:style>
  <w:style w:type="character" w:styleId="1141">
    <w:name w:val="标题 2 字符1"/>
    <w:next w:val="1141"/>
    <w:link w:val="749"/>
    <w:qFormat/>
    <w:rPr>
      <w:rFonts w:ascii="Cambria" w:hAnsi="Cambria" w:eastAsia="宋体" w:cs="Cambria"/>
      <w:b/>
      <w:bCs/>
      <w:sz w:val="32"/>
      <w:szCs w:val="32"/>
    </w:rPr>
  </w:style>
  <w:style w:type="character" w:styleId="1142">
    <w:name w:val="标题 3 字符1"/>
    <w:next w:val="1142"/>
    <w:link w:val="749"/>
    <w:qFormat/>
    <w:rPr>
      <w:rFonts w:ascii="Calibri" w:hAnsi="Calibri" w:eastAsia="宋体" w:cs="Calibri"/>
      <w:b/>
      <w:bCs/>
      <w:sz w:val="32"/>
      <w:szCs w:val="32"/>
    </w:rPr>
  </w:style>
  <w:style w:type="character" w:styleId="1143">
    <w:name w:val="标题 4 字符1"/>
    <w:next w:val="1143"/>
    <w:link w:val="749"/>
    <w:qFormat/>
    <w:rPr>
      <w:rFonts w:ascii="Cambria" w:hAnsi="Cambria" w:eastAsia="宋体" w:cs="Cambria"/>
      <w:b/>
      <w:bCs/>
      <w:sz w:val="28"/>
      <w:szCs w:val="28"/>
    </w:rPr>
  </w:style>
  <w:style w:type="character" w:styleId="1144">
    <w:name w:val="标题 5 字符1"/>
    <w:next w:val="1144"/>
    <w:link w:val="749"/>
    <w:qFormat/>
    <w:rPr>
      <w:rFonts w:ascii="Calibri" w:hAnsi="Calibri" w:eastAsia="宋体" w:cs="Calibri"/>
      <w:b/>
      <w:bCs/>
      <w:sz w:val="28"/>
      <w:szCs w:val="28"/>
    </w:rPr>
  </w:style>
  <w:style w:type="character" w:styleId="1145">
    <w:name w:val="标题 6 字符1"/>
    <w:next w:val="1145"/>
    <w:link w:val="749"/>
    <w:uiPriority w:val="99"/>
    <w:qFormat/>
    <w:rPr>
      <w:rFonts w:ascii="Cambria" w:hAnsi="Cambria" w:eastAsia="宋体" w:cs="Cambria"/>
      <w:b/>
      <w:bCs/>
      <w:sz w:val="24"/>
      <w:szCs w:val="24"/>
    </w:rPr>
  </w:style>
  <w:style w:type="character" w:styleId="1146">
    <w:name w:val="标题 7 字符1"/>
    <w:next w:val="1146"/>
    <w:link w:val="749"/>
    <w:uiPriority w:val="99"/>
    <w:qFormat/>
    <w:rPr>
      <w:rFonts w:ascii="Calibri" w:hAnsi="Calibri" w:eastAsia="宋体" w:cs="Calibri"/>
      <w:b/>
      <w:bCs/>
      <w:sz w:val="24"/>
      <w:szCs w:val="24"/>
    </w:rPr>
  </w:style>
  <w:style w:type="character" w:styleId="1147">
    <w:name w:val="标题 8 字符1"/>
    <w:next w:val="1147"/>
    <w:link w:val="749"/>
    <w:qFormat/>
    <w:rPr>
      <w:rFonts w:ascii="Cambria" w:hAnsi="Cambria" w:eastAsia="宋体" w:cs="Cambria"/>
      <w:sz w:val="24"/>
      <w:szCs w:val="24"/>
    </w:rPr>
  </w:style>
  <w:style w:type="character" w:styleId="1148">
    <w:name w:val="标题 9 字符1"/>
    <w:next w:val="1148"/>
    <w:link w:val="749"/>
    <w:uiPriority w:val="99"/>
    <w:qFormat/>
    <w:rPr>
      <w:rFonts w:ascii="Cambria" w:hAnsi="Cambria" w:eastAsia="宋体" w:cs="Cambria"/>
      <w:szCs w:val="21"/>
    </w:rPr>
  </w:style>
  <w:style w:type="paragraph" w:styleId="1149">
    <w:name w:val="_Style 38"/>
    <w:basedOn w:val="749"/>
    <w:next w:val="890"/>
    <w:link w:val="1150"/>
    <w:qFormat/>
    <w:pPr>
      <w:ind w:firstLine="420"/>
      <w:jc w:val="both"/>
      <w:spacing w:after="160" w:line="278" w:lineRule="auto"/>
      <w:widowControl w:val="off"/>
    </w:pPr>
    <w:rPr>
      <w:rFonts w:ascii="等线" w:hAnsi="等线" w:eastAsia="等线"/>
      <w:sz w:val="21"/>
    </w:rPr>
  </w:style>
  <w:style w:type="character" w:styleId="1150">
    <w:name w:val="正文首行缩进 2 Char"/>
    <w:next w:val="1150"/>
    <w:link w:val="1149"/>
    <w:rPr>
      <w:rFonts w:ascii="等线" w:hAnsi="等线" w:eastAsia="等线"/>
      <w:sz w:val="21"/>
      <w:szCs w:val="22"/>
    </w:rPr>
  </w:style>
  <w:style w:type="character" w:styleId="1151">
    <w:name w:val="文档结构图 字符1"/>
    <w:next w:val="1151"/>
    <w:link w:val="749"/>
    <w:uiPriority w:val="99"/>
    <w:qFormat/>
    <w:rPr>
      <w:rFonts w:ascii="宋体" w:hAnsi="Calibri" w:eastAsia="宋体" w:cs="宋体"/>
      <w:sz w:val="18"/>
      <w:szCs w:val="18"/>
    </w:rPr>
  </w:style>
  <w:style w:type="character" w:styleId="1152">
    <w:name w:val="批注文字 字符1"/>
    <w:next w:val="1152"/>
    <w:link w:val="749"/>
    <w:qFormat/>
    <w:rPr>
      <w:rFonts w:ascii="Calibri" w:hAnsi="Calibri" w:eastAsia="宋体" w:cs="Calibri"/>
      <w:szCs w:val="21"/>
    </w:rPr>
  </w:style>
  <w:style w:type="character" w:styleId="1153">
    <w:name w:val="正文文本 3 字符1"/>
    <w:next w:val="1153"/>
    <w:link w:val="749"/>
    <w:uiPriority w:val="99"/>
    <w:qFormat/>
    <w:rPr>
      <w:rFonts w:ascii="宋体" w:hAnsi="Calibri" w:eastAsia="宋体" w:cs="宋体"/>
      <w:sz w:val="24"/>
      <w:szCs w:val="24"/>
    </w:rPr>
  </w:style>
  <w:style w:type="character" w:styleId="1154">
    <w:name w:val="正文文本 字符1"/>
    <w:next w:val="1154"/>
    <w:link w:val="749"/>
    <w:qFormat/>
    <w:rPr>
      <w:rFonts w:ascii="Calibri" w:hAnsi="Calibri" w:eastAsia="幼圆" w:cs="Calibri"/>
      <w:b/>
      <w:bCs/>
      <w:sz w:val="44"/>
      <w:szCs w:val="44"/>
    </w:rPr>
  </w:style>
  <w:style w:type="character" w:styleId="1155">
    <w:name w:val="正文文本缩进 字符1"/>
    <w:next w:val="1155"/>
    <w:link w:val="749"/>
    <w:uiPriority w:val="99"/>
    <w:qFormat/>
    <w:rPr>
      <w:rFonts w:ascii="Calibri" w:hAnsi="Calibri" w:eastAsia="宋体" w:cs="Calibri"/>
      <w:szCs w:val="21"/>
    </w:rPr>
  </w:style>
  <w:style w:type="character" w:styleId="1156">
    <w:name w:val="纯文本 字符1"/>
    <w:next w:val="1156"/>
    <w:link w:val="749"/>
    <w:qFormat/>
    <w:rPr>
      <w:rFonts w:ascii="Ari" w:hAnsi="Calibri" w:eastAsia="宋体" w:cs="Ari"/>
      <w:sz w:val="20"/>
      <w:szCs w:val="20"/>
    </w:rPr>
  </w:style>
  <w:style w:type="character" w:styleId="1157">
    <w:name w:val="日期 字符1"/>
    <w:next w:val="1157"/>
    <w:link w:val="749"/>
    <w:uiPriority w:val="99"/>
    <w:qFormat/>
    <w:rPr>
      <w:rFonts w:ascii="Calibri" w:hAnsi="Calibri" w:eastAsia="宋体" w:cs="Calibri"/>
      <w:szCs w:val="21"/>
    </w:rPr>
  </w:style>
  <w:style w:type="character" w:styleId="1158">
    <w:name w:val="正文文本缩进 2 字符1"/>
    <w:next w:val="1158"/>
    <w:link w:val="749"/>
    <w:uiPriority w:val="99"/>
    <w:qFormat/>
    <w:rPr>
      <w:rFonts w:ascii="宋体" w:hAnsi="Calibri" w:eastAsia="宋体" w:cs="宋体"/>
      <w:sz w:val="20"/>
      <w:szCs w:val="20"/>
    </w:rPr>
  </w:style>
  <w:style w:type="character" w:styleId="1159">
    <w:name w:val="批注框文本 字符1"/>
    <w:next w:val="1159"/>
    <w:link w:val="749"/>
    <w:qFormat/>
    <w:rPr>
      <w:rFonts w:ascii="Calibri" w:hAnsi="Calibri" w:eastAsia="宋体" w:cs="Calibri"/>
      <w:sz w:val="18"/>
      <w:szCs w:val="18"/>
    </w:rPr>
  </w:style>
  <w:style w:type="character" w:styleId="1160">
    <w:name w:val="页脚 Char2"/>
    <w:next w:val="1160"/>
    <w:link w:val="749"/>
    <w:qFormat/>
    <w:rPr>
      <w:rFonts w:cs="Calibri"/>
      <w:sz w:val="18"/>
      <w:szCs w:val="18"/>
    </w:rPr>
  </w:style>
  <w:style w:type="character" w:styleId="1161">
    <w:name w:val="页眉 Char"/>
    <w:next w:val="1161"/>
    <w:link w:val="749"/>
    <w:qFormat/>
    <w:rPr>
      <w:rFonts w:cs="Calibri"/>
      <w:sz w:val="18"/>
      <w:szCs w:val="18"/>
    </w:rPr>
  </w:style>
  <w:style w:type="character" w:styleId="1162">
    <w:name w:val="副标题 字符1"/>
    <w:next w:val="1162"/>
    <w:link w:val="749"/>
    <w:uiPriority w:val="99"/>
    <w:qFormat/>
    <w:rPr>
      <w:rFonts w:ascii="Cambria" w:hAnsi="Cambria" w:eastAsia="宋体" w:cs="Cambria"/>
      <w:b/>
      <w:bCs/>
      <w:sz w:val="32"/>
      <w:szCs w:val="32"/>
    </w:rPr>
  </w:style>
  <w:style w:type="character" w:styleId="1163">
    <w:name w:val="正文文本缩进 3 字符1"/>
    <w:next w:val="1163"/>
    <w:link w:val="749"/>
    <w:uiPriority w:val="99"/>
    <w:qFormat/>
    <w:rPr>
      <w:rFonts w:ascii="Calibri" w:hAnsi="Calibri" w:eastAsia="宋体" w:cs="Calibri"/>
      <w:sz w:val="16"/>
      <w:szCs w:val="16"/>
    </w:rPr>
  </w:style>
  <w:style w:type="character" w:styleId="1164">
    <w:name w:val="标题 字符1"/>
    <w:next w:val="1164"/>
    <w:link w:val="749"/>
    <w:uiPriority w:val="99"/>
    <w:qFormat/>
    <w:rPr>
      <w:rFonts w:ascii="Arial" w:hAnsi="Arial" w:eastAsia="宋体" w:cs="Arial"/>
      <w:b/>
      <w:bCs/>
      <w:sz w:val="32"/>
      <w:szCs w:val="32"/>
    </w:rPr>
  </w:style>
  <w:style w:type="character" w:styleId="1165">
    <w:name w:val="批注主题 字符1"/>
    <w:next w:val="1165"/>
    <w:link w:val="749"/>
    <w:uiPriority w:val="99"/>
    <w:qFormat/>
    <w:rPr>
      <w:rFonts w:ascii="Calibri" w:hAnsi="Calibri" w:eastAsia="宋体" w:cs="Calibri"/>
      <w:b/>
      <w:bCs/>
      <w:szCs w:val="21"/>
    </w:rPr>
  </w:style>
  <w:style w:type="character" w:styleId="1166">
    <w:name w:val="标题 1 Char_0"/>
    <w:next w:val="1166"/>
    <w:link w:val="1167"/>
    <w:uiPriority w:val="99"/>
    <w:qFormat/>
    <w:rPr>
      <w:b/>
      <w:bCs/>
      <w:sz w:val="44"/>
      <w:szCs w:val="44"/>
    </w:rPr>
  </w:style>
  <w:style w:type="paragraph" w:styleId="1167">
    <w:name w:val="标题 1_0"/>
    <w:basedOn w:val="1168"/>
    <w:next w:val="1168"/>
    <w:link w:val="1166"/>
    <w:uiPriority w:val="99"/>
    <w:qFormat/>
    <w:pPr>
      <w:keepLines/>
      <w:keepNext/>
      <w:spacing w:before="340" w:after="330" w:line="578" w:lineRule="auto"/>
      <w:outlineLvl w:val="0"/>
    </w:pPr>
    <w:rPr>
      <w:rFonts w:cs="Times New Roman"/>
      <w:b/>
      <w:bCs/>
      <w:sz w:val="44"/>
      <w:szCs w:val="44"/>
    </w:rPr>
  </w:style>
  <w:style w:type="paragraph" w:styleId="1168">
    <w:name w:val="正文_0"/>
    <w:next w:val="1168"/>
    <w:link w:val="749"/>
    <w:uiPriority w:val="99"/>
    <w:qFormat/>
    <w:pPr>
      <w:jc w:val="both"/>
      <w:spacing w:after="160" w:line="278" w:lineRule="auto"/>
      <w:widowControl w:val="off"/>
    </w:pPr>
    <w:rPr>
      <w:rFonts w:cs="Calibri"/>
      <w:sz w:val="21"/>
      <w:szCs w:val="21"/>
      <w:lang w:val="en-US" w:eastAsia="zh-CN" w:bidi="ar-SA"/>
    </w:rPr>
  </w:style>
  <w:style w:type="character" w:styleId="1169">
    <w:name w:val="last-child"/>
    <w:next w:val="1169"/>
    <w:link w:val="749"/>
    <w:qFormat/>
    <w:rPr>
      <w:rFonts w:ascii="Times New Roman" w:hAnsi="Times New Roman" w:eastAsia="宋体" w:cs="Times New Roman"/>
    </w:rPr>
  </w:style>
  <w:style w:type="character" w:styleId="1170">
    <w:name w:val="font81"/>
    <w:next w:val="1170"/>
    <w:link w:val="749"/>
    <w:rPr>
      <w:rFonts w:ascii="Times New Roman" w:hAnsi="Times New Roman" w:cs="Times New Roman"/>
      <w:color w:val="ff0000"/>
      <w:sz w:val="24"/>
      <w:szCs w:val="24"/>
      <w:u w:val="none"/>
    </w:rPr>
  </w:style>
  <w:style w:type="character" w:styleId="1171">
    <w:name w:val="font31"/>
    <w:next w:val="1171"/>
    <w:link w:val="749"/>
    <w:qFormat/>
    <w:rPr>
      <w:rFonts w:ascii="宋体" w:hAnsi="宋体" w:eastAsia="宋体" w:cs="宋体"/>
      <w:color w:val="000000"/>
      <w:sz w:val="20"/>
      <w:szCs w:val="20"/>
      <w:u w:val="none"/>
    </w:rPr>
  </w:style>
  <w:style w:type="character" w:styleId="1172">
    <w:name w:val="ant-typography-ellipsis-single-line"/>
    <w:next w:val="1172"/>
    <w:link w:val="749"/>
    <w:qFormat/>
    <w:rPr>
      <w:rFonts w:ascii="Times New Roman" w:hAnsi="Times New Roman" w:eastAsia="宋体" w:cs="Times New Roman"/>
    </w:rPr>
  </w:style>
  <w:style w:type="character" w:styleId="1173">
    <w:name w:val="zcf_title"/>
    <w:next w:val="1173"/>
    <w:link w:val="749"/>
    <w:qFormat/>
    <w:rPr>
      <w:rFonts w:ascii="Times New Roman" w:hAnsi="Times New Roman" w:eastAsia="宋体" w:cs="Times New Roman"/>
      <w:color w:val="f25618"/>
      <w:sz w:val="36"/>
      <w:szCs w:val="36"/>
      <w:shd w:val="clear" w:color="auto" w:fill="ffffff"/>
    </w:rPr>
  </w:style>
  <w:style w:type="character" w:styleId="1174">
    <w:name w:val="label10"/>
    <w:next w:val="1174"/>
    <w:link w:val="749"/>
    <w:qFormat/>
    <w:rPr>
      <w:rFonts w:ascii="Times New Roman" w:hAnsi="Times New Roman" w:eastAsia="宋体" w:cs="Times New Roman"/>
      <w:color w:val="1cc09f"/>
      <w:shd w:val="clear" w:color="auto" w:fill="ffffff"/>
    </w:rPr>
  </w:style>
  <w:style w:type="character" w:styleId="1175">
    <w:name w:val="font41"/>
    <w:next w:val="1175"/>
    <w:link w:val="749"/>
    <w:qFormat/>
    <w:rPr>
      <w:rFonts w:hint="eastAsia" w:ascii="宋体" w:hAnsi="宋体" w:eastAsia="宋体" w:cs="宋体"/>
      <w:color w:val="000000"/>
      <w:sz w:val="21"/>
      <w:szCs w:val="21"/>
      <w:u w:val="none"/>
    </w:rPr>
  </w:style>
  <w:style w:type="character" w:styleId="1176">
    <w:name w:val="polysemyred"/>
    <w:next w:val="1176"/>
    <w:link w:val="749"/>
    <w:qFormat/>
    <w:rPr>
      <w:rFonts w:ascii="Times New Roman" w:hAnsi="Times New Roman" w:eastAsia="宋体" w:cs="Times New Roman"/>
      <w:color w:val="ff6666"/>
      <w:sz w:val="18"/>
      <w:szCs w:val="18"/>
    </w:rPr>
  </w:style>
  <w:style w:type="character" w:styleId="1177">
    <w:name w:val="批注主题 Char2"/>
    <w:next w:val="1177"/>
    <w:link w:val="749"/>
    <w:uiPriority w:val="99"/>
    <w:qFormat/>
    <w:rPr>
      <w:rFonts w:ascii="Times New Roman" w:hAnsi="Times New Roman" w:eastAsia="宋体" w:cs="Times New Roman"/>
      <w:b/>
      <w:bCs/>
      <w:sz w:val="21"/>
      <w:szCs w:val="21"/>
    </w:rPr>
  </w:style>
  <w:style w:type="character" w:styleId="1178">
    <w:name w:val="font161"/>
    <w:next w:val="1178"/>
    <w:link w:val="749"/>
    <w:uiPriority w:val="99"/>
    <w:qFormat/>
    <w:rPr>
      <w:rFonts w:ascii="Times New Roman" w:hAnsi="Times New Roman" w:eastAsia="宋体" w:cs="Times New Roman"/>
      <w:b/>
      <w:bCs/>
      <w:sz w:val="32"/>
      <w:szCs w:val="32"/>
    </w:rPr>
  </w:style>
  <w:style w:type="character" w:styleId="1179">
    <w:name w:val="as_fail"/>
    <w:next w:val="1179"/>
    <w:link w:val="749"/>
    <w:qFormat/>
    <w:rPr>
      <w:rFonts w:ascii="Times New Roman" w:hAnsi="Times New Roman" w:eastAsia="宋体" w:cs="Times New Roman"/>
    </w:rPr>
  </w:style>
  <w:style w:type="character" w:styleId="1180">
    <w:name w:val="ant-typography-ellipsis-single-line2"/>
    <w:next w:val="1180"/>
    <w:link w:val="749"/>
    <w:qFormat/>
    <w:rPr>
      <w:rFonts w:ascii="Times New Roman" w:hAnsi="Times New Roman" w:eastAsia="宋体" w:cs="Times New Roman"/>
    </w:rPr>
  </w:style>
  <w:style w:type="character" w:styleId="1181">
    <w:name w:val="ant-transfer-list-search-action"/>
    <w:next w:val="1181"/>
    <w:link w:val="749"/>
    <w:qFormat/>
    <w:rPr>
      <w:rFonts w:ascii="Times New Roman" w:hAnsi="Times New Roman" w:eastAsia="宋体" w:cs="Times New Roman"/>
    </w:rPr>
  </w:style>
  <w:style w:type="character" w:styleId="1182">
    <w:name w:val="fbc_ico3"/>
    <w:next w:val="1182"/>
    <w:link w:val="749"/>
    <w:qFormat/>
    <w:rPr>
      <w:rFonts w:ascii="Times New Roman" w:hAnsi="Times New Roman" w:eastAsia="宋体" w:cs="Times New Roman"/>
    </w:rPr>
  </w:style>
  <w:style w:type="character" w:styleId="1183">
    <w:name w:val="超链接_0"/>
    <w:next w:val="1183"/>
    <w:link w:val="749"/>
    <w:uiPriority w:val="99"/>
    <w:qFormat/>
    <w:rPr>
      <w:rFonts w:ascii="Calibri" w:hAnsi="Calibri" w:eastAsia="宋体" w:cs="Calibri"/>
      <w:color w:val="0000ff"/>
      <w:u w:val="single"/>
    </w:rPr>
  </w:style>
  <w:style w:type="character" w:styleId="1184">
    <w:name w:val="副标题 Char1"/>
    <w:next w:val="1184"/>
    <w:link w:val="749"/>
    <w:uiPriority w:val="99"/>
    <w:qFormat/>
    <w:rPr>
      <w:rFonts w:ascii="Cambria" w:hAnsi="Cambria" w:eastAsia="宋体" w:cs="Cambria"/>
      <w:b/>
      <w:bCs/>
      <w:sz w:val="32"/>
      <w:szCs w:val="32"/>
    </w:rPr>
  </w:style>
  <w:style w:type="character" w:styleId="1185">
    <w:name w:val="ant-radio+*"/>
    <w:next w:val="1185"/>
    <w:link w:val="749"/>
    <w:qFormat/>
    <w:rPr>
      <w:rFonts w:ascii="Times New Roman" w:hAnsi="Times New Roman" w:eastAsia="宋体" w:cs="Times New Roman"/>
    </w:rPr>
  </w:style>
  <w:style w:type="character" w:styleId="1186">
    <w:name w:val="ant-transfer-list-search-action2"/>
    <w:next w:val="1186"/>
    <w:link w:val="749"/>
    <w:qFormat/>
    <w:rPr>
      <w:rFonts w:ascii="Times New Roman" w:hAnsi="Times New Roman" w:eastAsia="宋体" w:cs="Times New Roman"/>
    </w:rPr>
  </w:style>
  <w:style w:type="character" w:styleId="1187">
    <w:name w:val="sidecatalog-index1"/>
    <w:next w:val="1187"/>
    <w:link w:val="749"/>
    <w:qFormat/>
    <w:rPr>
      <w:rFonts w:ascii="Arial" w:hAnsi="Arial" w:eastAsia="宋体" w:cs="Arial"/>
      <w:b/>
      <w:color w:val="999999"/>
      <w:sz w:val="21"/>
      <w:szCs w:val="21"/>
    </w:rPr>
  </w:style>
  <w:style w:type="character" w:styleId="1188">
    <w:name w:val="标题 1 Char1"/>
    <w:next w:val="1188"/>
    <w:link w:val="749"/>
    <w:uiPriority w:val="99"/>
    <w:qFormat/>
    <w:rPr>
      <w:rFonts w:ascii="Times New Roman" w:hAnsi="Times New Roman" w:eastAsia="宋体" w:cs="Times New Roman"/>
      <w:b/>
      <w:bCs/>
      <w:sz w:val="44"/>
      <w:szCs w:val="44"/>
    </w:rPr>
  </w:style>
  <w:style w:type="character" w:styleId="1189">
    <w:name w:val="引用 字符1"/>
    <w:next w:val="1189"/>
    <w:link w:val="749"/>
    <w:uiPriority w:val="29"/>
    <w:qFormat/>
    <w:rPr>
      <w:i/>
      <w:iCs/>
      <w:color w:val="404040"/>
    </w:rPr>
  </w:style>
  <w:style w:type="character" w:styleId="1190">
    <w:name w:val="引用 Char2"/>
    <w:next w:val="1190"/>
    <w:link w:val="749"/>
    <w:uiPriority w:val="99"/>
    <w:qFormat/>
    <w:rPr>
      <w:rFonts w:ascii="Times New Roman" w:hAnsi="Times New Roman" w:eastAsia="宋体" w:cs="Times New Roman"/>
      <w:i/>
      <w:iCs/>
      <w:color w:val="000000"/>
      <w:sz w:val="24"/>
      <w:szCs w:val="24"/>
    </w:rPr>
  </w:style>
  <w:style w:type="character" w:styleId="1191">
    <w:name w:val="font01"/>
    <w:next w:val="1191"/>
    <w:link w:val="749"/>
    <w:qFormat/>
    <w:rPr>
      <w:rFonts w:hint="eastAsia" w:ascii="宋体" w:hAnsi="宋体" w:eastAsia="宋体" w:cs="宋体"/>
      <w:b/>
      <w:color w:val="000000"/>
      <w:sz w:val="21"/>
      <w:szCs w:val="21"/>
      <w:u w:val="none"/>
    </w:rPr>
  </w:style>
  <w:style w:type="character" w:styleId="1192">
    <w:name w:val="文档结构图 Char2"/>
    <w:next w:val="1192"/>
    <w:link w:val="749"/>
    <w:uiPriority w:val="99"/>
    <w:semiHidden/>
    <w:qFormat/>
    <w:rPr>
      <w:rFonts w:ascii="宋体" w:hAnsi="Calibri" w:eastAsia="宋体" w:cs="宋体"/>
      <w:sz w:val="18"/>
      <w:szCs w:val="18"/>
    </w:rPr>
  </w:style>
  <w:style w:type="character" w:styleId="1193">
    <w:name w:val="日期 Char1"/>
    <w:next w:val="1193"/>
    <w:link w:val="749"/>
    <w:uiPriority w:val="99"/>
    <w:qFormat/>
    <w:rPr>
      <w:rFonts w:ascii="Calibri" w:hAnsi="Calibri" w:eastAsia="宋体" w:cs="Calibri"/>
    </w:rPr>
  </w:style>
  <w:style w:type="character" w:styleId="1194">
    <w:name w:val="副标题 Char2"/>
    <w:next w:val="1194"/>
    <w:link w:val="749"/>
    <w:uiPriority w:val="99"/>
    <w:qFormat/>
    <w:rPr>
      <w:rFonts w:ascii="Cambria" w:hAnsi="Cambria" w:eastAsia="宋体" w:cs="Cambria"/>
      <w:b/>
      <w:bCs/>
      <w:sz w:val="32"/>
      <w:szCs w:val="32"/>
    </w:rPr>
  </w:style>
  <w:style w:type="character" w:styleId="1195">
    <w:name w:val="明显引用 Char1"/>
    <w:next w:val="1195"/>
    <w:link w:val="749"/>
    <w:uiPriority w:val="99"/>
    <w:qFormat/>
    <w:rPr>
      <w:rFonts w:ascii="Times New Roman" w:hAnsi="Times New Roman" w:eastAsia="宋体" w:cs="Times New Roman"/>
      <w:b/>
      <w:bCs/>
      <w:i/>
      <w:iCs/>
      <w:color w:val="4f81bd"/>
      <w:sz w:val="21"/>
      <w:szCs w:val="21"/>
    </w:rPr>
  </w:style>
  <w:style w:type="character" w:styleId="1196">
    <w:name w:val="morelink-item"/>
    <w:next w:val="1196"/>
    <w:link w:val="749"/>
    <w:qFormat/>
    <w:rPr>
      <w:rFonts w:ascii="Times New Roman" w:hAnsi="Times New Roman" w:eastAsia="宋体" w:cs="Times New Roman"/>
    </w:rPr>
  </w:style>
  <w:style w:type="character" w:styleId="1197">
    <w:name w:val="明显引用 字符1"/>
    <w:next w:val="1197"/>
    <w:link w:val="749"/>
    <w:uiPriority w:val="30"/>
    <w:qFormat/>
    <w:rPr>
      <w:i/>
      <w:iCs/>
      <w:color w:val="2d53a0"/>
    </w:rPr>
  </w:style>
  <w:style w:type="character" w:styleId="1198">
    <w:name w:val="ant-tree-switcher"/>
    <w:next w:val="1198"/>
    <w:link w:val="749"/>
    <w:qFormat/>
    <w:rPr>
      <w:rFonts w:ascii="Times New Roman" w:hAnsi="Times New Roman" w:eastAsia="宋体" w:cs="Times New Roman"/>
    </w:rPr>
  </w:style>
  <w:style w:type="character" w:styleId="1199">
    <w:name w:val="未处理的提及1"/>
    <w:next w:val="1199"/>
    <w:link w:val="749"/>
    <w:uiPriority w:val="99"/>
    <w:unhideWhenUsed/>
    <w:qFormat/>
    <w:rPr>
      <w:rFonts w:ascii="Times New Roman" w:hAnsi="Times New Roman" w:eastAsia="宋体" w:cs="Times New Roman"/>
      <w:color w:val="605e5c"/>
      <w:shd w:val="clear" w:color="auto" w:fill="e1dfdd"/>
    </w:rPr>
  </w:style>
  <w:style w:type="character" w:styleId="1200">
    <w:name w:val="批注文字 Char1"/>
    <w:next w:val="1200"/>
    <w:link w:val="749"/>
    <w:uiPriority w:val="99"/>
    <w:qFormat/>
    <w:rPr>
      <w:rFonts w:ascii="Calibri" w:hAnsi="Calibri" w:eastAsia="宋体" w:cs="Calibri"/>
    </w:rPr>
  </w:style>
  <w:style w:type="character" w:styleId="1201">
    <w:name w:val="t-render-object-error"/>
    <w:next w:val="1201"/>
    <w:link w:val="749"/>
    <w:qFormat/>
    <w:rPr>
      <w:rFonts w:ascii="Times New Roman" w:hAnsi="Times New Roman" w:eastAsia="宋体" w:cs="Times New Roman"/>
      <w:b/>
      <w:i/>
      <w:color w:val="ff0000"/>
    </w:rPr>
  </w:style>
  <w:style w:type="character" w:styleId="1202">
    <w:name w:val="表格文字 字符"/>
    <w:next w:val="1202"/>
    <w:link w:val="1203"/>
    <w:uiPriority w:val="99"/>
    <w:qFormat/>
    <w:rPr>
      <w:sz w:val="22"/>
    </w:rPr>
  </w:style>
  <w:style w:type="paragraph" w:styleId="1203">
    <w:name w:val="表格文字"/>
    <w:basedOn w:val="749"/>
    <w:next w:val="1203"/>
    <w:link w:val="1202"/>
    <w:uiPriority w:val="99"/>
    <w:qFormat/>
    <w:pPr>
      <w:spacing w:after="160" w:line="420" w:lineRule="atLeast"/>
      <w:widowControl w:val="off"/>
    </w:pPr>
    <w:rPr>
      <w:szCs w:val="20"/>
    </w:rPr>
  </w:style>
  <w:style w:type="character" w:styleId="1204">
    <w:name w:val="标题5 Char Char"/>
    <w:next w:val="1204"/>
    <w:link w:val="1205"/>
    <w:uiPriority w:val="99"/>
    <w:qFormat/>
    <w:rPr>
      <w:rFonts w:ascii="Arial" w:hAnsi="Arial"/>
    </w:rPr>
  </w:style>
  <w:style w:type="paragraph" w:styleId="1205">
    <w:name w:val="标题5"/>
    <w:basedOn w:val="752"/>
    <w:next w:val="1205"/>
    <w:link w:val="1204"/>
    <w:uiPriority w:val="99"/>
    <w:qFormat/>
    <w:pPr>
      <w:spacing w:before="260" w:after="260" w:line="413" w:lineRule="auto"/>
      <w:widowControl w:val="off"/>
    </w:pPr>
    <w:rPr>
      <w:rFonts w:ascii="Arial" w:hAnsi="Arial"/>
      <w:b w:val="0"/>
      <w:bCs w:val="0"/>
      <w:color w:val="000000"/>
    </w:rPr>
  </w:style>
  <w:style w:type="character" w:styleId="1206">
    <w:name w:val="正文文本缩进 3 Char1"/>
    <w:next w:val="1206"/>
    <w:link w:val="749"/>
    <w:uiPriority w:val="99"/>
    <w:semiHidden/>
    <w:qFormat/>
    <w:rPr>
      <w:rFonts w:ascii="Times New Roman" w:hAnsi="Times New Roman" w:eastAsia="宋体" w:cs="Times New Roman"/>
      <w:sz w:val="16"/>
      <w:szCs w:val="16"/>
    </w:rPr>
  </w:style>
  <w:style w:type="character" w:styleId="1207">
    <w:name w:val="标题 2 Char_0"/>
    <w:next w:val="1207"/>
    <w:link w:val="1208"/>
    <w:uiPriority w:val="99"/>
    <w:qFormat/>
    <w:rPr>
      <w:rFonts w:ascii="Cambria" w:hAnsi="Cambria"/>
      <w:b/>
      <w:bCs/>
      <w:sz w:val="32"/>
      <w:szCs w:val="32"/>
    </w:rPr>
  </w:style>
  <w:style w:type="paragraph" w:styleId="1208">
    <w:name w:val="标题 2_0"/>
    <w:basedOn w:val="1168"/>
    <w:next w:val="1168"/>
    <w:link w:val="1207"/>
    <w:uiPriority w:val="99"/>
    <w:qFormat/>
    <w:pPr>
      <w:keepLines/>
      <w:keepNext/>
      <w:spacing w:before="260" w:after="260" w:line="416" w:lineRule="auto"/>
      <w:outlineLvl w:val="1"/>
    </w:pPr>
    <w:rPr>
      <w:rFonts w:ascii="Cambria" w:hAnsi="Cambria" w:cs="Times New Roman"/>
      <w:b/>
      <w:bCs/>
      <w:sz w:val="32"/>
      <w:szCs w:val="32"/>
    </w:rPr>
  </w:style>
  <w:style w:type="character" w:styleId="1209">
    <w:name w:val="polysemyexp"/>
    <w:next w:val="1209"/>
    <w:link w:val="749"/>
    <w:qFormat/>
    <w:rPr>
      <w:rFonts w:ascii="Times New Roman" w:hAnsi="Times New Roman" w:eastAsia="宋体" w:cs="Times New Roman"/>
      <w:color w:val="aaaaaa"/>
      <w:sz w:val="18"/>
      <w:szCs w:val="18"/>
    </w:rPr>
  </w:style>
  <w:style w:type="character" w:styleId="1210">
    <w:name w:val="标题 Char1"/>
    <w:next w:val="1210"/>
    <w:link w:val="749"/>
    <w:uiPriority w:val="99"/>
    <w:qFormat/>
    <w:rPr>
      <w:rFonts w:ascii="Cambria" w:hAnsi="Cambria" w:eastAsia="宋体" w:cs="Cambria"/>
      <w:b/>
      <w:bCs/>
      <w:sz w:val="32"/>
      <w:szCs w:val="32"/>
    </w:rPr>
  </w:style>
  <w:style w:type="character" w:styleId="1211">
    <w:name w:val="ant-tree-iconele10"/>
    <w:next w:val="1211"/>
    <w:link w:val="749"/>
    <w:qFormat/>
    <w:rPr>
      <w:rFonts w:ascii="Times New Roman" w:hAnsi="Times New Roman" w:eastAsia="宋体" w:cs="Times New Roman"/>
    </w:rPr>
  </w:style>
  <w:style w:type="character" w:styleId="1212">
    <w:name w:val="t-tree-expanded"/>
    <w:next w:val="1212"/>
    <w:link w:val="749"/>
    <w:qFormat/>
    <w:rPr>
      <w:rFonts w:ascii="Times New Roman" w:hAnsi="Times New Roman" w:eastAsia="宋体" w:cs="Times New Roman"/>
    </w:rPr>
  </w:style>
  <w:style w:type="character" w:styleId="1213">
    <w:name w:val="明显参考2"/>
    <w:next w:val="1213"/>
    <w:link w:val="749"/>
    <w:uiPriority w:val="32"/>
    <w:qFormat/>
    <w:rPr>
      <w:rFonts w:ascii="Calibri" w:hAnsi="Calibri" w:eastAsia="宋体" w:cs="Times New Roman"/>
      <w:b/>
      <w:bCs/>
      <w:smallCaps/>
      <w:color w:val="2d53a0"/>
      <w:spacing w:val="5"/>
    </w:rPr>
  </w:style>
  <w:style w:type="character" w:styleId="1214">
    <w:name w:val="qcode_title"/>
    <w:next w:val="1214"/>
    <w:link w:val="749"/>
    <w:qFormat/>
    <w:rPr>
      <w:rFonts w:ascii="微软雅黑" w:hAnsi="微软雅黑" w:eastAsia="微软雅黑" w:cs="微软雅黑"/>
      <w:color w:val="666666"/>
      <w:sz w:val="18"/>
      <w:szCs w:val="18"/>
    </w:rPr>
  </w:style>
  <w:style w:type="character" w:styleId="1215">
    <w:name w:val="textcontents"/>
    <w:next w:val="1215"/>
    <w:link w:val="749"/>
    <w:uiPriority w:val="99"/>
    <w:qFormat/>
    <w:rPr>
      <w:rFonts w:ascii="Times New Roman" w:hAnsi="Times New Roman" w:eastAsia="宋体" w:cs="Times New Roman"/>
    </w:rPr>
  </w:style>
  <w:style w:type="character" w:styleId="1216">
    <w:name w:val="ant-tree-iconele"/>
    <w:next w:val="1216"/>
    <w:link w:val="749"/>
    <w:qFormat/>
    <w:rPr>
      <w:rFonts w:ascii="Times New Roman" w:hAnsi="Times New Roman" w:eastAsia="宋体" w:cs="Times New Roman"/>
    </w:rPr>
  </w:style>
  <w:style w:type="character" w:styleId="1217">
    <w:name w:val="line"/>
    <w:next w:val="1217"/>
    <w:link w:val="749"/>
    <w:qFormat/>
    <w:rPr>
      <w:rFonts w:ascii="Times New Roman" w:hAnsi="Times New Roman" w:eastAsia="宋体" w:cs="Times New Roman"/>
    </w:rPr>
  </w:style>
  <w:style w:type="character" w:styleId="1218">
    <w:name w:val="font71"/>
    <w:next w:val="1218"/>
    <w:link w:val="749"/>
    <w:rPr>
      <w:rFonts w:hint="eastAsia" w:ascii="方正仿宋_GBK" w:hAnsi="方正仿宋_GBK" w:eastAsia="方正仿宋_GBK" w:cs="方正仿宋_GBK"/>
      <w:color w:val="ff0000"/>
      <w:sz w:val="24"/>
      <w:szCs w:val="24"/>
      <w:u w:val="none"/>
    </w:rPr>
  </w:style>
  <w:style w:type="character" w:styleId="1219">
    <w:name w:val="bds_more"/>
    <w:next w:val="1219"/>
    <w:link w:val="749"/>
    <w:qFormat/>
    <w:rPr>
      <w:rFonts w:ascii="宋体" w:hAnsi="宋体" w:eastAsia="宋体" w:cs="宋体"/>
    </w:rPr>
  </w:style>
  <w:style w:type="character" w:styleId="1220">
    <w:name w:val="fontstrikethrough"/>
    <w:next w:val="1220"/>
    <w:link w:val="749"/>
    <w:qFormat/>
    <w:rPr>
      <w:rFonts w:ascii="Times New Roman" w:hAnsi="Times New Roman" w:eastAsia="宋体" w:cs="Times New Roman"/>
      <w:strike/>
    </w:rPr>
  </w:style>
  <w:style w:type="character" w:styleId="1221">
    <w:name w:val="明显强调2"/>
    <w:next w:val="1221"/>
    <w:link w:val="749"/>
    <w:uiPriority w:val="21"/>
    <w:qFormat/>
    <w:rPr>
      <w:rFonts w:ascii="Calibri" w:hAnsi="Calibri" w:eastAsia="宋体" w:cs="Times New Roman"/>
      <w:i/>
      <w:iCs/>
      <w:color w:val="2d53a0"/>
    </w:rPr>
  </w:style>
  <w:style w:type="character" w:styleId="1222">
    <w:name w:val="t-ajax-wait"/>
    <w:next w:val="1222"/>
    <w:link w:val="749"/>
    <w:qFormat/>
    <w:rPr>
      <w:rFonts w:ascii="Times New Roman" w:hAnsi="Times New Roman" w:eastAsia="宋体" w:cs="Times New Roman"/>
    </w:rPr>
  </w:style>
  <w:style w:type="character" w:styleId="1223">
    <w:name w:val="ant-typography-ellipsis-single-line1"/>
    <w:next w:val="1223"/>
    <w:link w:val="749"/>
    <w:qFormat/>
    <w:rPr>
      <w:rFonts w:ascii="Times New Roman" w:hAnsi="Times New Roman" w:eastAsia="宋体" w:cs="Times New Roman"/>
    </w:rPr>
  </w:style>
  <w:style w:type="character" w:styleId="1224">
    <w:name w:val="页脚 Char1"/>
    <w:next w:val="1224"/>
    <w:link w:val="749"/>
    <w:uiPriority w:val="99"/>
    <w:semiHidden/>
    <w:qFormat/>
    <w:rPr>
      <w:rFonts w:ascii="Calibri" w:hAnsi="Calibri" w:eastAsia="宋体" w:cs="Calibri"/>
      <w:sz w:val="18"/>
      <w:szCs w:val="18"/>
    </w:rPr>
  </w:style>
  <w:style w:type="character" w:styleId="1225">
    <w:name w:val="bookmark"/>
    <w:next w:val="1225"/>
    <w:link w:val="749"/>
    <w:uiPriority w:val="99"/>
    <w:qFormat/>
    <w:rPr>
      <w:rFonts w:ascii="Times New Roman" w:hAnsi="Times New Roman" w:eastAsia="宋体" w:cs="Times New Roman"/>
    </w:rPr>
  </w:style>
  <w:style w:type="character" w:styleId="1226">
    <w:name w:val="正文文本 Char2"/>
    <w:next w:val="1226"/>
    <w:link w:val="749"/>
    <w:uiPriority w:val="99"/>
    <w:semiHidden/>
    <w:qFormat/>
    <w:rPr>
      <w:rFonts w:ascii="Calibri" w:hAnsi="Calibri" w:eastAsia="宋体" w:cs="Calibri"/>
    </w:rPr>
  </w:style>
  <w:style w:type="character" w:styleId="1227">
    <w:name w:val="label1"/>
    <w:next w:val="1227"/>
    <w:link w:val="749"/>
    <w:qFormat/>
    <w:rPr>
      <w:rFonts w:ascii="Times New Roman" w:hAnsi="Times New Roman" w:eastAsia="宋体" w:cs="Times New Roman"/>
      <w:color w:val="1c84c6"/>
      <w:shd w:val="clear" w:color="auto" w:fill="ffffff"/>
    </w:rPr>
  </w:style>
  <w:style w:type="character" w:styleId="1228">
    <w:name w:val="fbc_ico4"/>
    <w:next w:val="1228"/>
    <w:link w:val="749"/>
    <w:qFormat/>
    <w:rPr>
      <w:rFonts w:ascii="Times New Roman" w:hAnsi="Times New Roman" w:eastAsia="宋体" w:cs="Times New Roman"/>
    </w:rPr>
  </w:style>
  <w:style w:type="character" w:styleId="1229">
    <w:name w:val="ant-tree-switcher5"/>
    <w:next w:val="1229"/>
    <w:link w:val="749"/>
    <w:qFormat/>
    <w:rPr>
      <w:rFonts w:ascii="Times New Roman" w:hAnsi="Times New Roman" w:eastAsia="宋体" w:cs="Times New Roman"/>
    </w:rPr>
  </w:style>
  <w:style w:type="character" w:styleId="1230">
    <w:name w:val="ant-tree-iconele11"/>
    <w:next w:val="1230"/>
    <w:link w:val="749"/>
    <w:qFormat/>
    <w:rPr>
      <w:rFonts w:ascii="Times New Roman" w:hAnsi="Times New Roman" w:eastAsia="宋体" w:cs="Times New Roman"/>
    </w:rPr>
  </w:style>
  <w:style w:type="character" w:styleId="1231">
    <w:name w:val="ant-typography-ellipsis1"/>
    <w:next w:val="1231"/>
    <w:link w:val="749"/>
    <w:qFormat/>
    <w:rPr>
      <w:rFonts w:ascii="Times New Roman" w:hAnsi="Times New Roman" w:eastAsia="宋体" w:cs="Times New Roman"/>
    </w:rPr>
  </w:style>
  <w:style w:type="character" w:styleId="1232">
    <w:name w:val="hover17"/>
    <w:next w:val="1232"/>
    <w:link w:val="749"/>
    <w:qFormat/>
    <w:rPr>
      <w:rFonts w:ascii="Times New Roman" w:hAnsi="Times New Roman" w:eastAsia="宋体" w:cs="Times New Roman"/>
      <w:sz w:val="16"/>
      <w:szCs w:val="16"/>
    </w:rPr>
  </w:style>
  <w:style w:type="character" w:styleId="1233">
    <w:name w:val="sidecatalog-dot"/>
    <w:next w:val="1233"/>
    <w:link w:val="749"/>
    <w:qFormat/>
    <w:rPr>
      <w:rFonts w:ascii="Times New Roman" w:hAnsi="Times New Roman" w:eastAsia="宋体" w:cs="Times New Roman"/>
    </w:rPr>
  </w:style>
  <w:style w:type="character" w:styleId="1234">
    <w:name w:val="标题 Char2"/>
    <w:next w:val="1234"/>
    <w:link w:val="749"/>
    <w:uiPriority w:val="99"/>
    <w:qFormat/>
    <w:rPr>
      <w:rFonts w:ascii="Cambria" w:hAnsi="Cambria" w:eastAsia="宋体" w:cs="Cambria"/>
      <w:b/>
      <w:bCs/>
      <w:sz w:val="32"/>
      <w:szCs w:val="32"/>
    </w:rPr>
  </w:style>
  <w:style w:type="character" w:styleId="1235">
    <w:name w:val="fontborder"/>
    <w:next w:val="1235"/>
    <w:link w:val="749"/>
    <w:qFormat/>
    <w:rPr>
      <w:rFonts w:ascii="Times New Roman" w:hAnsi="Times New Roman" w:eastAsia="宋体" w:cs="Times New Roman"/>
    </w:rPr>
  </w:style>
  <w:style w:type="character" w:styleId="1236">
    <w:name w:val="标题 3 Char_0"/>
    <w:next w:val="1236"/>
    <w:link w:val="1237"/>
    <w:uiPriority w:val="99"/>
    <w:qFormat/>
    <w:rPr>
      <w:b/>
      <w:bCs/>
      <w:sz w:val="32"/>
      <w:szCs w:val="32"/>
    </w:rPr>
  </w:style>
  <w:style w:type="paragraph" w:styleId="1237">
    <w:name w:val="标题 3_0"/>
    <w:basedOn w:val="1168"/>
    <w:next w:val="1168"/>
    <w:link w:val="1236"/>
    <w:uiPriority w:val="99"/>
    <w:qFormat/>
    <w:pPr>
      <w:keepLines/>
      <w:keepNext/>
      <w:spacing w:before="260" w:after="260" w:line="416" w:lineRule="auto"/>
      <w:outlineLvl w:val="2"/>
    </w:pPr>
    <w:rPr>
      <w:rFonts w:cs="Times New Roman"/>
      <w:b/>
      <w:bCs/>
      <w:sz w:val="32"/>
      <w:szCs w:val="32"/>
    </w:rPr>
  </w:style>
  <w:style w:type="character" w:styleId="1238">
    <w:name w:val="页眉 Char2"/>
    <w:next w:val="1238"/>
    <w:link w:val="749"/>
    <w:qFormat/>
    <w:rPr>
      <w:rFonts w:ascii="Times New Roman" w:hAnsi="Times New Roman" w:eastAsia="宋体" w:cs="Times New Roman"/>
      <w:sz w:val="18"/>
      <w:szCs w:val="18"/>
    </w:rPr>
  </w:style>
  <w:style w:type="character" w:styleId="1239">
    <w:name w:val="标题 5 Char_0"/>
    <w:next w:val="1239"/>
    <w:link w:val="1240"/>
    <w:uiPriority w:val="99"/>
    <w:qFormat/>
    <w:rPr>
      <w:b/>
      <w:bCs/>
      <w:sz w:val="28"/>
      <w:szCs w:val="28"/>
    </w:rPr>
  </w:style>
  <w:style w:type="paragraph" w:styleId="1240">
    <w:name w:val="标题 5_0"/>
    <w:basedOn w:val="1168"/>
    <w:next w:val="1168"/>
    <w:link w:val="1239"/>
    <w:uiPriority w:val="99"/>
    <w:qFormat/>
    <w:pPr>
      <w:keepLines/>
      <w:keepNext/>
      <w:spacing w:before="280" w:after="290" w:line="372" w:lineRule="auto"/>
      <w:outlineLvl w:val="4"/>
    </w:pPr>
    <w:rPr>
      <w:rFonts w:cs="Times New Roman"/>
      <w:b/>
      <w:bCs/>
      <w:sz w:val="28"/>
      <w:szCs w:val="28"/>
    </w:rPr>
  </w:style>
  <w:style w:type="character" w:styleId="1241">
    <w:name w:val="fbc_ico1"/>
    <w:next w:val="1241"/>
    <w:link w:val="749"/>
    <w:qFormat/>
    <w:rPr>
      <w:rFonts w:ascii="Times New Roman" w:hAnsi="Times New Roman" w:eastAsia="宋体" w:cs="Times New Roman"/>
    </w:rPr>
  </w:style>
  <w:style w:type="character" w:styleId="1242">
    <w:name w:val="t-tree-icon"/>
    <w:next w:val="1242"/>
    <w:link w:val="749"/>
    <w:qFormat/>
    <w:rPr>
      <w:rFonts w:ascii="Times New Roman" w:hAnsi="Times New Roman" w:eastAsia="宋体" w:cs="Times New Roman"/>
    </w:rPr>
  </w:style>
  <w:style w:type="character" w:styleId="1243">
    <w:name w:val="标题4 Char Char"/>
    <w:next w:val="1243"/>
    <w:link w:val="1244"/>
    <w:uiPriority w:val="99"/>
    <w:qFormat/>
    <w:rPr>
      <w:rFonts w:ascii="Arial" w:hAnsi="Arial"/>
    </w:rPr>
  </w:style>
  <w:style w:type="paragraph" w:styleId="1244">
    <w:name w:val="标题4"/>
    <w:basedOn w:val="751"/>
    <w:next w:val="792"/>
    <w:link w:val="1243"/>
    <w:uiPriority w:val="99"/>
    <w:qFormat/>
    <w:pPr>
      <w:spacing w:before="260" w:after="260" w:line="413" w:lineRule="auto"/>
      <w:widowControl w:val="off"/>
    </w:pPr>
    <w:rPr>
      <w:rFonts w:ascii="Arial" w:hAnsi="Arial"/>
      <w:b w:val="0"/>
      <w:bCs w:val="0"/>
      <w:color w:val="000000"/>
      <w:sz w:val="20"/>
      <w:szCs w:val="20"/>
    </w:rPr>
  </w:style>
  <w:style w:type="character" w:styleId="1245">
    <w:name w:val="zc_bg"/>
    <w:next w:val="1245"/>
    <w:link w:val="749"/>
    <w:qFormat/>
    <w:rPr>
      <w:rFonts w:ascii="Times New Roman" w:hAnsi="Times New Roman" w:eastAsia="宋体" w:cs="Times New Roman"/>
    </w:rPr>
  </w:style>
  <w:style w:type="character" w:styleId="1246">
    <w:name w:val="t-exception-stack-controls"/>
    <w:next w:val="1246"/>
    <w:link w:val="749"/>
    <w:qFormat/>
    <w:rPr>
      <w:rFonts w:ascii="Times New Roman" w:hAnsi="Times New Roman" w:eastAsia="宋体" w:cs="Times New Roman"/>
    </w:rPr>
  </w:style>
  <w:style w:type="character" w:styleId="1247">
    <w:name w:val="lemmatitleh1"/>
    <w:next w:val="1247"/>
    <w:link w:val="749"/>
    <w:qFormat/>
    <w:rPr>
      <w:rFonts w:ascii="Times New Roman" w:hAnsi="Times New Roman" w:eastAsia="宋体" w:cs="Times New Roman"/>
    </w:rPr>
  </w:style>
  <w:style w:type="character" w:styleId="1248">
    <w:name w:val="hover86"/>
    <w:next w:val="1248"/>
    <w:link w:val="749"/>
    <w:qFormat/>
    <w:rPr>
      <w:rFonts w:ascii="Times New Roman" w:hAnsi="Times New Roman" w:eastAsia="宋体" w:cs="Times New Roman"/>
    </w:rPr>
  </w:style>
  <w:style w:type="character" w:styleId="1249">
    <w:name w:val="label12"/>
    <w:next w:val="1249"/>
    <w:link w:val="749"/>
    <w:qFormat/>
    <w:rPr>
      <w:rFonts w:ascii="Times New Roman" w:hAnsi="Times New Roman" w:eastAsia="宋体" w:cs="Times New Roman"/>
    </w:rPr>
  </w:style>
  <w:style w:type="character" w:styleId="1250">
    <w:name w:val="ant-tree-switcher8"/>
    <w:next w:val="1250"/>
    <w:link w:val="749"/>
    <w:qFormat/>
    <w:rPr>
      <w:rFonts w:ascii="Times New Roman" w:hAnsi="Times New Roman" w:eastAsia="宋体" w:cs="Times New Roman"/>
    </w:rPr>
  </w:style>
  <w:style w:type="character" w:styleId="1251">
    <w:name w:val="hover84"/>
    <w:next w:val="1251"/>
    <w:link w:val="749"/>
    <w:qFormat/>
    <w:rPr>
      <w:rFonts w:ascii="Times New Roman" w:hAnsi="Times New Roman" w:eastAsia="宋体" w:cs="Times New Roman"/>
    </w:rPr>
  </w:style>
  <w:style w:type="character" w:styleId="1252">
    <w:name w:val="font91"/>
    <w:next w:val="1252"/>
    <w:link w:val="749"/>
    <w:qFormat/>
    <w:rPr>
      <w:rFonts w:ascii="Times New Roman" w:hAnsi="Times New Roman" w:cs="Times New Roman"/>
      <w:color w:val="000000"/>
      <w:sz w:val="24"/>
      <w:szCs w:val="24"/>
      <w:u w:val="none"/>
    </w:rPr>
  </w:style>
  <w:style w:type="character" w:styleId="1253">
    <w:name w:val="sort1"/>
    <w:next w:val="1253"/>
    <w:link w:val="749"/>
    <w:qFormat/>
    <w:rPr>
      <w:rFonts w:ascii="Times New Roman" w:hAnsi="Times New Roman" w:eastAsia="宋体" w:cs="Times New Roman"/>
      <w:color w:val="ffffff"/>
    </w:rPr>
  </w:style>
  <w:style w:type="character" w:styleId="1254">
    <w:name w:val="标题 4 Char1"/>
    <w:next w:val="1254"/>
    <w:link w:val="749"/>
    <w:qFormat/>
    <w:rPr>
      <w:rFonts w:ascii="Cambria" w:hAnsi="Cambria" w:eastAsia="宋体" w:cs="Cambria"/>
      <w:b/>
      <w:bCs/>
      <w:sz w:val="28"/>
      <w:szCs w:val="28"/>
      <w:lang w:val="en-US" w:eastAsia="zh-CN" w:bidi="ar-SA"/>
    </w:rPr>
  </w:style>
  <w:style w:type="character" w:styleId="1255">
    <w:name w:val="bds_more2"/>
    <w:next w:val="1255"/>
    <w:link w:val="749"/>
    <w:qFormat/>
    <w:rPr>
      <w:rFonts w:ascii="Times New Roman" w:hAnsi="Times New Roman" w:eastAsia="宋体" w:cs="Times New Roman"/>
    </w:rPr>
  </w:style>
  <w:style w:type="character" w:styleId="1256">
    <w:name w:val="宏文本 Char1"/>
    <w:next w:val="1256"/>
    <w:link w:val="749"/>
    <w:uiPriority w:val="99"/>
    <w:semiHidden/>
    <w:qFormat/>
    <w:rPr>
      <w:rFonts w:ascii="Courier New" w:hAnsi="Courier New" w:eastAsia="宋体" w:cs="Courier New"/>
      <w:sz w:val="24"/>
      <w:szCs w:val="24"/>
    </w:rPr>
  </w:style>
  <w:style w:type="character" w:styleId="1257">
    <w:name w:val="label13"/>
    <w:next w:val="1257"/>
    <w:link w:val="749"/>
    <w:qFormat/>
    <w:rPr>
      <w:rFonts w:ascii="Times New Roman" w:hAnsi="Times New Roman" w:eastAsia="宋体" w:cs="Times New Roman"/>
    </w:rPr>
  </w:style>
  <w:style w:type="character" w:styleId="1258">
    <w:name w:val="批注框文本 Char2"/>
    <w:next w:val="1258"/>
    <w:link w:val="749"/>
    <w:uiPriority w:val="99"/>
    <w:semiHidden/>
    <w:qFormat/>
    <w:rPr>
      <w:rFonts w:ascii="Calibri" w:hAnsi="Calibri" w:eastAsia="宋体" w:cs="Calibri"/>
      <w:sz w:val="18"/>
      <w:szCs w:val="18"/>
    </w:rPr>
  </w:style>
  <w:style w:type="character" w:styleId="1259">
    <w:name w:val="16"/>
    <w:next w:val="1259"/>
    <w:link w:val="749"/>
    <w:qFormat/>
    <w:rPr>
      <w:rFonts w:hint="eastAsia" w:ascii="宋体" w:hAnsi="宋体" w:eastAsia="宋体" w:cs="Times New Roman"/>
      <w:color w:val="000000"/>
      <w:sz w:val="21"/>
      <w:szCs w:val="21"/>
    </w:rPr>
  </w:style>
  <w:style w:type="character" w:styleId="1260">
    <w:name w:val="fbc_ico2"/>
    <w:next w:val="1260"/>
    <w:link w:val="749"/>
    <w:qFormat/>
    <w:rPr>
      <w:rFonts w:ascii="Times New Roman" w:hAnsi="Times New Roman" w:eastAsia="宋体" w:cs="Times New Roman"/>
    </w:rPr>
  </w:style>
  <w:style w:type="character" w:styleId="1261">
    <w:name w:val="页眉 Char1"/>
    <w:next w:val="1261"/>
    <w:link w:val="749"/>
    <w:uiPriority w:val="99"/>
    <w:semiHidden/>
    <w:qFormat/>
    <w:rPr>
      <w:rFonts w:ascii="Calibri" w:hAnsi="Calibri" w:eastAsia="宋体" w:cs="Calibri"/>
      <w:sz w:val="18"/>
      <w:szCs w:val="18"/>
    </w:rPr>
  </w:style>
  <w:style w:type="character" w:styleId="1262">
    <w:name w:val="sidecatalog-index2"/>
    <w:next w:val="1262"/>
    <w:link w:val="749"/>
    <w:qFormat/>
    <w:rPr>
      <w:rFonts w:ascii="Arail" w:hAnsi="Arail" w:eastAsia="宋体" w:cs="Arail"/>
      <w:color w:val="999999"/>
      <w:sz w:val="21"/>
      <w:szCs w:val="21"/>
    </w:rPr>
  </w:style>
  <w:style w:type="character" w:styleId="1263">
    <w:name w:val="first-child"/>
    <w:next w:val="1263"/>
    <w:link w:val="749"/>
    <w:qFormat/>
    <w:rPr>
      <w:rFonts w:ascii="Times New Roman" w:hAnsi="Times New Roman" w:eastAsia="宋体" w:cs="Times New Roman"/>
      <w:color w:val="ffffff"/>
    </w:rPr>
  </w:style>
  <w:style w:type="character" w:styleId="1264">
    <w:name w:val="引用 Char1"/>
    <w:next w:val="1264"/>
    <w:link w:val="749"/>
    <w:uiPriority w:val="99"/>
    <w:qFormat/>
    <w:rPr>
      <w:rFonts w:ascii="Times New Roman" w:hAnsi="Times New Roman" w:eastAsia="宋体" w:cs="Times New Roman"/>
      <w:i/>
      <w:iCs/>
      <w:color w:val="000000"/>
      <w:sz w:val="21"/>
      <w:szCs w:val="21"/>
    </w:rPr>
  </w:style>
  <w:style w:type="character" w:styleId="1265">
    <w:name w:val="font51"/>
    <w:next w:val="1265"/>
    <w:link w:val="749"/>
    <w:qFormat/>
    <w:rPr>
      <w:rFonts w:hint="eastAsia" w:ascii="方正仿宋_GBK" w:hAnsi="方正仿宋_GBK" w:eastAsia="方正仿宋_GBK" w:cs="方正仿宋_GBK"/>
      <w:color w:val="ff0000"/>
      <w:sz w:val="24"/>
      <w:szCs w:val="24"/>
      <w:u w:val="none"/>
    </w:rPr>
  </w:style>
  <w:style w:type="character" w:styleId="1266">
    <w:name w:val="hover22"/>
    <w:next w:val="1266"/>
    <w:link w:val="749"/>
    <w:qFormat/>
    <w:rPr>
      <w:rFonts w:ascii="Times New Roman" w:hAnsi="Times New Roman" w:eastAsia="宋体" w:cs="Times New Roman"/>
    </w:rPr>
  </w:style>
  <w:style w:type="character" w:styleId="1267">
    <w:name w:val="hover23"/>
    <w:next w:val="1267"/>
    <w:link w:val="749"/>
    <w:qFormat/>
    <w:rPr>
      <w:rFonts w:ascii="Times New Roman" w:hAnsi="Times New Roman" w:eastAsia="宋体" w:cs="Times New Roman"/>
    </w:rPr>
  </w:style>
  <w:style w:type="character" w:styleId="1268">
    <w:name w:val="bds_more1"/>
    <w:next w:val="1268"/>
    <w:link w:val="749"/>
    <w:qFormat/>
    <w:rPr>
      <w:rFonts w:ascii="Times New Roman" w:hAnsi="Times New Roman" w:eastAsia="宋体" w:cs="Times New Roman"/>
    </w:rPr>
  </w:style>
  <w:style w:type="character" w:styleId="1269">
    <w:name w:val="未处理的提及3"/>
    <w:next w:val="1269"/>
    <w:link w:val="749"/>
    <w:uiPriority w:val="99"/>
    <w:unhideWhenUsed/>
    <w:qFormat/>
    <w:rPr>
      <w:rFonts w:ascii="Times New Roman" w:hAnsi="Times New Roman" w:eastAsia="宋体" w:cs="Times New Roman"/>
      <w:color w:val="605e5c"/>
      <w:shd w:val="clear" w:color="auto" w:fill="e1dfdd"/>
    </w:rPr>
  </w:style>
  <w:style w:type="character" w:styleId="1270">
    <w:name w:val="bds_nopic"/>
    <w:next w:val="1270"/>
    <w:link w:val="749"/>
    <w:qFormat/>
    <w:rPr>
      <w:rFonts w:ascii="Times New Roman" w:hAnsi="Times New Roman" w:eastAsia="宋体" w:cs="Times New Roman"/>
    </w:rPr>
  </w:style>
  <w:style w:type="character" w:styleId="1271">
    <w:name w:val="label"/>
    <w:next w:val="1271"/>
    <w:link w:val="749"/>
    <w:qFormat/>
    <w:rPr>
      <w:rFonts w:ascii="Times New Roman" w:hAnsi="Times New Roman" w:eastAsia="宋体" w:cs="Times New Roman"/>
    </w:rPr>
  </w:style>
  <w:style w:type="character" w:styleId="1272">
    <w:name w:val="label3"/>
    <w:next w:val="1272"/>
    <w:link w:val="749"/>
    <w:qFormat/>
    <w:rPr>
      <w:rFonts w:ascii="Times New Roman" w:hAnsi="Times New Roman" w:eastAsia="宋体" w:cs="Times New Roman"/>
    </w:rPr>
  </w:style>
  <w:style w:type="character" w:styleId="1273">
    <w:name w:val="ant-tree-switcher6"/>
    <w:next w:val="1273"/>
    <w:link w:val="749"/>
    <w:qFormat/>
    <w:rPr>
      <w:rFonts w:ascii="Times New Roman" w:hAnsi="Times New Roman" w:eastAsia="宋体" w:cs="Times New Roman"/>
    </w:rPr>
  </w:style>
  <w:style w:type="character" w:styleId="1274">
    <w:name w:val="宏文本 字符1"/>
    <w:next w:val="1274"/>
    <w:link w:val="749"/>
    <w:uiPriority w:val="99"/>
    <w:semiHidden/>
    <w:qFormat/>
    <w:rPr>
      <w:rFonts w:ascii="Courier New" w:hAnsi="Courier New" w:eastAsia="宋体" w:cs="Courier New"/>
      <w:sz w:val="24"/>
      <w:szCs w:val="24"/>
    </w:rPr>
  </w:style>
  <w:style w:type="character" w:styleId="1275">
    <w:name w:val="zcf_title_ext"/>
    <w:next w:val="1275"/>
    <w:link w:val="749"/>
    <w:qFormat/>
    <w:rPr>
      <w:rFonts w:ascii="Times New Roman" w:hAnsi="Times New Roman" w:eastAsia="宋体" w:cs="Times New Roman"/>
      <w:color w:val="999999"/>
    </w:rPr>
  </w:style>
  <w:style w:type="character" w:styleId="1276">
    <w:name w:val="ant-tree-iconele12"/>
    <w:next w:val="1276"/>
    <w:link w:val="749"/>
    <w:qFormat/>
    <w:rPr>
      <w:rFonts w:ascii="Times New Roman" w:hAnsi="Times New Roman" w:eastAsia="宋体" w:cs="Times New Roman"/>
    </w:rPr>
  </w:style>
  <w:style w:type="character" w:styleId="1277">
    <w:name w:val="Heading 4 Char"/>
    <w:next w:val="1277"/>
    <w:link w:val="749"/>
    <w:uiPriority w:val="99"/>
    <w:semiHidden/>
    <w:qFormat/>
    <w:rPr>
      <w:rFonts w:ascii="Cambria" w:hAnsi="Cambria" w:eastAsia="宋体" w:cs="Times New Roman"/>
      <w:b/>
      <w:bCs/>
      <w:sz w:val="28"/>
      <w:szCs w:val="28"/>
      <w:lang w:val="en-US" w:eastAsia="zh-CN" w:bidi="ar-SA"/>
    </w:rPr>
  </w:style>
  <w:style w:type="character" w:styleId="1278">
    <w:name w:val="hcc_logo"/>
    <w:next w:val="1278"/>
    <w:link w:val="749"/>
    <w:qFormat/>
    <w:rPr>
      <w:rFonts w:ascii="Times New Roman" w:hAnsi="Times New Roman" w:eastAsia="宋体" w:cs="Times New Roman"/>
    </w:rPr>
  </w:style>
  <w:style w:type="character" w:styleId="1279">
    <w:name w:val="font11"/>
    <w:next w:val="1279"/>
    <w:link w:val="749"/>
    <w:qFormat/>
    <w:rPr>
      <w:rFonts w:ascii="宋体" w:hAnsi="宋体" w:eastAsia="宋体" w:cs="宋体"/>
      <w:color w:val="000000"/>
      <w:sz w:val="20"/>
      <w:szCs w:val="20"/>
      <w:u w:val="none"/>
    </w:rPr>
  </w:style>
  <w:style w:type="character" w:styleId="1280">
    <w:name w:val="hover15"/>
    <w:next w:val="1280"/>
    <w:link w:val="749"/>
    <w:qFormat/>
    <w:rPr>
      <w:rFonts w:ascii="Times New Roman" w:hAnsi="Times New Roman" w:eastAsia="宋体" w:cs="Times New Roman"/>
      <w:color w:val="ffffff"/>
      <w:shd w:val="clear" w:color="auto" w:fill="00c1b3"/>
    </w:rPr>
  </w:style>
  <w:style w:type="character" w:styleId="1281">
    <w:name w:val="label2"/>
    <w:next w:val="1281"/>
    <w:link w:val="749"/>
    <w:qFormat/>
    <w:rPr>
      <w:rFonts w:ascii="Times New Roman" w:hAnsi="Times New Roman" w:eastAsia="宋体" w:cs="Times New Roman"/>
      <w:color w:val="1cc09f"/>
      <w:shd w:val="clear" w:color="auto" w:fill="ffffff"/>
    </w:rPr>
  </w:style>
  <w:style w:type="character" w:styleId="1282">
    <w:name w:val="current"/>
    <w:next w:val="1282"/>
    <w:link w:val="749"/>
    <w:qFormat/>
    <w:rPr>
      <w:rFonts w:ascii="Times New Roman" w:hAnsi="Times New Roman" w:eastAsia="宋体" w:cs="Times New Roman"/>
      <w:color w:val="ffffff"/>
      <w:sz w:val="27"/>
      <w:szCs w:val="27"/>
      <w:u w:val="none"/>
      <w:shd w:val="clear" w:color="auto" w:fill="809fff"/>
    </w:rPr>
  </w:style>
  <w:style w:type="character" w:styleId="1283">
    <w:name w:val="ant-tree-switcher7"/>
    <w:next w:val="1283"/>
    <w:link w:val="749"/>
    <w:qFormat/>
    <w:rPr>
      <w:rFonts w:ascii="Times New Roman" w:hAnsi="Times New Roman" w:eastAsia="宋体" w:cs="Times New Roman"/>
    </w:rPr>
  </w:style>
  <w:style w:type="character" w:styleId="1284">
    <w:name w:val="rvts11"/>
    <w:next w:val="1284"/>
    <w:link w:val="749"/>
    <w:uiPriority w:val="99"/>
    <w:qFormat/>
    <w:rPr>
      <w:rFonts w:ascii="KNLe" w:hAnsi="KNLe" w:eastAsia="宋体" w:cs="KNLe"/>
      <w:sz w:val="24"/>
      <w:szCs w:val="24"/>
      <w:u w:val="single"/>
    </w:rPr>
  </w:style>
  <w:style w:type="character" w:styleId="1285">
    <w:name w:val="line1"/>
    <w:next w:val="1285"/>
    <w:link w:val="749"/>
    <w:qFormat/>
    <w:rPr>
      <w:rFonts w:ascii="Times New Roman" w:hAnsi="Times New Roman" w:eastAsia="宋体" w:cs="Times New Roman"/>
    </w:rPr>
  </w:style>
  <w:style w:type="character" w:styleId="1286">
    <w:name w:val="wech"/>
    <w:next w:val="1286"/>
    <w:link w:val="749"/>
    <w:qFormat/>
    <w:rPr>
      <w:rFonts w:ascii="Times New Roman" w:hAnsi="Times New Roman" w:eastAsia="宋体" w:cs="Times New Roman"/>
    </w:rPr>
  </w:style>
  <w:style w:type="character" w:styleId="1287">
    <w:name w:val="页脚 Char"/>
    <w:next w:val="1287"/>
    <w:link w:val="749"/>
    <w:uiPriority w:val="99"/>
    <w:qFormat/>
    <w:rPr>
      <w:rFonts w:ascii="Calibri" w:hAnsi="Calibri" w:eastAsia="宋体" w:cs="Times New Roman"/>
      <w:sz w:val="18"/>
      <w:szCs w:val="18"/>
    </w:rPr>
  </w:style>
  <w:style w:type="character" w:styleId="1288">
    <w:name w:val="未处理的提及2"/>
    <w:next w:val="1288"/>
    <w:link w:val="749"/>
    <w:uiPriority w:val="99"/>
    <w:unhideWhenUsed/>
    <w:qFormat/>
    <w:rPr>
      <w:rFonts w:ascii="Times New Roman" w:hAnsi="Times New Roman" w:eastAsia="宋体" w:cs="Times New Roman"/>
      <w:color w:val="605e5c"/>
      <w:shd w:val="clear" w:color="auto" w:fill="e1dfdd"/>
    </w:rPr>
  </w:style>
  <w:style w:type="character" w:styleId="1289">
    <w:name w:val="正文文本 3 Char1"/>
    <w:next w:val="1289"/>
    <w:link w:val="749"/>
    <w:uiPriority w:val="99"/>
    <w:semiHidden/>
    <w:qFormat/>
    <w:rPr>
      <w:rFonts w:ascii="Times New Roman" w:hAnsi="Times New Roman" w:eastAsia="宋体" w:cs="Times New Roman"/>
      <w:sz w:val="16"/>
      <w:szCs w:val="16"/>
    </w:rPr>
  </w:style>
  <w:style w:type="character" w:styleId="1290">
    <w:name w:val="批注文字 Char2"/>
    <w:next w:val="1290"/>
    <w:link w:val="749"/>
    <w:uiPriority w:val="99"/>
    <w:qFormat/>
    <w:rPr>
      <w:rFonts w:ascii="Times New Roman" w:hAnsi="Times New Roman" w:eastAsia="宋体" w:cs="Times New Roman"/>
      <w:sz w:val="21"/>
      <w:szCs w:val="21"/>
    </w:rPr>
  </w:style>
  <w:style w:type="character" w:styleId="1291">
    <w:name w:val="Char Char1"/>
    <w:next w:val="1291"/>
    <w:link w:val="749"/>
    <w:qFormat/>
    <w:rPr>
      <w:rFonts w:ascii="Times New Roman" w:hAnsi="Times New Roman" w:eastAsia="宋体" w:cs="Times New Roman"/>
      <w:sz w:val="18"/>
      <w:szCs w:val="18"/>
    </w:rPr>
  </w:style>
  <w:style w:type="character" w:styleId="1292">
    <w:name w:val="sidecatalog-dot1"/>
    <w:next w:val="1292"/>
    <w:link w:val="749"/>
    <w:qFormat/>
    <w:rPr>
      <w:rFonts w:ascii="Times New Roman" w:hAnsi="Times New Roman" w:eastAsia="宋体" w:cs="Times New Roman"/>
    </w:rPr>
  </w:style>
  <w:style w:type="character" w:styleId="1293">
    <w:name w:val="hover13"/>
    <w:next w:val="1293"/>
    <w:link w:val="749"/>
    <w:qFormat/>
    <w:rPr>
      <w:rFonts w:ascii="Times New Roman" w:hAnsi="Times New Roman" w:eastAsia="宋体" w:cs="Times New Roman"/>
      <w:color w:val="ffffff"/>
      <w:shd w:val="clear" w:color="auto" w:fill="00c1b3"/>
    </w:rPr>
  </w:style>
  <w:style w:type="character" w:styleId="1294">
    <w:name w:val="ant-typography-ellipsis-single-line3"/>
    <w:next w:val="1294"/>
    <w:link w:val="749"/>
    <w:qFormat/>
    <w:rPr>
      <w:rFonts w:ascii="Times New Roman" w:hAnsi="Times New Roman" w:eastAsia="宋体" w:cs="Times New Roman"/>
    </w:rPr>
  </w:style>
  <w:style w:type="character" w:styleId="1295">
    <w:name w:val="label11"/>
    <w:next w:val="1295"/>
    <w:link w:val="749"/>
    <w:qFormat/>
    <w:rPr>
      <w:rFonts w:ascii="Times New Roman" w:hAnsi="Times New Roman" w:eastAsia="宋体" w:cs="Times New Roman"/>
      <w:color w:val="1c84c6"/>
      <w:shd w:val="clear" w:color="auto" w:fill="ffffff"/>
    </w:rPr>
  </w:style>
  <w:style w:type="character" w:styleId="1296">
    <w:name w:val="正文文本 Char1"/>
    <w:next w:val="1296"/>
    <w:link w:val="749"/>
    <w:uiPriority w:val="99"/>
    <w:qFormat/>
    <w:rPr>
      <w:rFonts w:ascii="Calibri" w:hAnsi="Calibri" w:eastAsia="宋体" w:cs="Calibri"/>
    </w:rPr>
  </w:style>
  <w:style w:type="character" w:styleId="1297">
    <w:name w:val="hover85"/>
    <w:next w:val="1297"/>
    <w:link w:val="749"/>
    <w:qFormat/>
    <w:rPr>
      <w:rFonts w:ascii="Times New Roman" w:hAnsi="Times New Roman" w:eastAsia="宋体" w:cs="Times New Roman"/>
    </w:rPr>
  </w:style>
  <w:style w:type="character" w:styleId="1298">
    <w:name w:val="批注主题 Char1"/>
    <w:next w:val="1298"/>
    <w:link w:val="749"/>
    <w:uiPriority w:val="99"/>
    <w:qFormat/>
    <w:rPr>
      <w:rFonts w:ascii="Times New Roman" w:hAnsi="Times New Roman" w:eastAsia="宋体" w:cs="Times New Roman"/>
      <w:b/>
      <w:bCs/>
      <w:sz w:val="22"/>
      <w:szCs w:val="22"/>
    </w:rPr>
  </w:style>
  <w:style w:type="character" w:styleId="1299">
    <w:name w:val="日期 Char2"/>
    <w:next w:val="1299"/>
    <w:link w:val="749"/>
    <w:uiPriority w:val="99"/>
    <w:semiHidden/>
    <w:qFormat/>
    <w:rPr>
      <w:rFonts w:ascii="Calibri" w:hAnsi="Calibri" w:eastAsia="宋体" w:cs="Calibri"/>
    </w:rPr>
  </w:style>
  <w:style w:type="character" w:styleId="1300">
    <w:name w:val="t-exception-class-name"/>
    <w:next w:val="1300"/>
    <w:link w:val="749"/>
    <w:qFormat/>
    <w:rPr>
      <w:rFonts w:ascii="Times New Roman" w:hAnsi="Times New Roman" w:eastAsia="宋体" w:cs="Times New Roman"/>
      <w:b/>
      <w:color w:val="0000ff"/>
      <w:sz w:val="24"/>
      <w:szCs w:val="24"/>
      <w:shd w:val="clear" w:color="auto" w:fill="e1e1e1"/>
    </w:rPr>
  </w:style>
  <w:style w:type="character" w:styleId="1301">
    <w:name w:val="bds_nopic1"/>
    <w:next w:val="1301"/>
    <w:link w:val="749"/>
    <w:qFormat/>
    <w:rPr>
      <w:rFonts w:ascii="Times New Roman" w:hAnsi="Times New Roman" w:eastAsia="宋体" w:cs="Times New Roman"/>
    </w:rPr>
  </w:style>
  <w:style w:type="character" w:styleId="1302">
    <w:name w:val="文档结构图 Char1"/>
    <w:next w:val="1302"/>
    <w:link w:val="749"/>
    <w:uiPriority w:val="99"/>
    <w:qFormat/>
    <w:rPr>
      <w:rFonts w:ascii="宋体" w:hAnsi="Calibri" w:eastAsia="宋体" w:cs="宋体"/>
      <w:sz w:val="18"/>
      <w:szCs w:val="18"/>
    </w:rPr>
  </w:style>
  <w:style w:type="character" w:styleId="1303">
    <w:name w:val="plus"/>
    <w:next w:val="1303"/>
    <w:link w:val="749"/>
    <w:qFormat/>
    <w:rPr>
      <w:rFonts w:ascii="Times New Roman" w:hAnsi="Times New Roman" w:eastAsia="宋体" w:cs="Times New Roman"/>
      <w:b/>
      <w:vanish/>
      <w:color w:val="1f8def"/>
      <w:sz w:val="24"/>
      <w:szCs w:val="24"/>
    </w:rPr>
  </w:style>
  <w:style w:type="character" w:styleId="1304">
    <w:name w:val="hover14"/>
    <w:next w:val="1304"/>
    <w:link w:val="749"/>
    <w:qFormat/>
    <w:rPr>
      <w:rFonts w:ascii="Times New Roman" w:hAnsi="Times New Roman" w:eastAsia="宋体" w:cs="Times New Roman"/>
      <w:sz w:val="16"/>
      <w:szCs w:val="16"/>
    </w:rPr>
  </w:style>
  <w:style w:type="character" w:styleId="1305">
    <w:name w:val="批注框文本 Char1"/>
    <w:next w:val="1305"/>
    <w:link w:val="749"/>
    <w:uiPriority w:val="99"/>
    <w:qFormat/>
    <w:rPr>
      <w:rFonts w:ascii="Times New Roman" w:hAnsi="Times New Roman" w:eastAsia="宋体" w:cs="Times New Roman"/>
      <w:sz w:val="18"/>
      <w:szCs w:val="18"/>
    </w:rPr>
  </w:style>
  <w:style w:type="character" w:styleId="1306">
    <w:name w:val="bds_nopic2"/>
    <w:next w:val="1306"/>
    <w:link w:val="749"/>
    <w:qFormat/>
    <w:rPr>
      <w:rFonts w:ascii="Times New Roman" w:hAnsi="Times New Roman" w:eastAsia="宋体" w:cs="Times New Roman"/>
    </w:rPr>
  </w:style>
  <w:style w:type="character" w:styleId="1307">
    <w:name w:val="sort"/>
    <w:next w:val="1307"/>
    <w:link w:val="749"/>
    <w:qFormat/>
    <w:rPr>
      <w:rFonts w:ascii="Times New Roman" w:hAnsi="Times New Roman" w:eastAsia="宋体" w:cs="Times New Roman"/>
    </w:rPr>
  </w:style>
  <w:style w:type="character" w:styleId="1308">
    <w:name w:val="hover24"/>
    <w:next w:val="1308"/>
    <w:link w:val="749"/>
    <w:qFormat/>
    <w:rPr>
      <w:rFonts w:ascii="Times New Roman" w:hAnsi="Times New Roman" w:eastAsia="宋体" w:cs="Times New Roman"/>
    </w:rPr>
  </w:style>
  <w:style w:type="character" w:styleId="1309">
    <w:name w:val="标题 1 字符1"/>
    <w:next w:val="1309"/>
    <w:link w:val="749"/>
    <w:uiPriority w:val="99"/>
    <w:qFormat/>
    <w:rPr>
      <w:rFonts w:ascii="Times New Roman" w:hAnsi="Times New Roman" w:eastAsia="宋体" w:cs="Times New Roman"/>
      <w:b/>
      <w:bCs/>
      <w:sz w:val="32"/>
      <w:szCs w:val="32"/>
    </w:rPr>
  </w:style>
  <w:style w:type="character" w:styleId="1310">
    <w:name w:val="二级条标题 Char"/>
    <w:next w:val="1310"/>
    <w:link w:val="1311"/>
    <w:qFormat/>
    <w:rPr>
      <w:rFonts w:ascii="黑体" w:eastAsia="黑体"/>
      <w:szCs w:val="21"/>
    </w:rPr>
  </w:style>
  <w:style w:type="paragraph" w:styleId="1311">
    <w:name w:val="二级条标题"/>
    <w:basedOn w:val="1312"/>
    <w:next w:val="749"/>
    <w:link w:val="1310"/>
    <w:qFormat/>
    <w:pPr>
      <w:numPr>
        <w:ilvl w:val="0"/>
        <w:numId w:val="0"/>
      </w:numPr>
      <w:ind w:left="420" w:hanging="975"/>
      <w:spacing w:before="50" w:after="50"/>
      <w:tabs>
        <w:tab w:val="left" w:pos="360" w:leader="none"/>
        <w:tab w:val="left" w:pos="720" w:leader="none"/>
        <w:tab w:val="left" w:pos="975" w:leader="none"/>
      </w:tabs>
      <w:outlineLvl w:val="3"/>
    </w:pPr>
    <w:rPr>
      <w:rFonts w:cs="Times New Roman"/>
      <w:sz w:val="20"/>
    </w:rPr>
  </w:style>
  <w:style w:type="paragraph" w:styleId="1312">
    <w:name w:val="一级条标题"/>
    <w:next w:val="749"/>
    <w:link w:val="1313"/>
    <w:qFormat/>
    <w:pPr>
      <w:numPr>
        <w:ilvl w:val="1"/>
        <w:numId w:val="2"/>
      </w:numPr>
      <w:spacing w:after="160" w:line="278" w:lineRule="auto"/>
      <w:outlineLvl w:val="2"/>
    </w:pPr>
    <w:rPr>
      <w:rFonts w:ascii="黑体" w:eastAsia="黑体" w:cs="Calibri"/>
      <w:sz w:val="21"/>
      <w:szCs w:val="21"/>
      <w:lang w:val="en-US" w:eastAsia="zh-CN" w:bidi="ar-SA"/>
    </w:rPr>
  </w:style>
  <w:style w:type="character" w:styleId="1313">
    <w:name w:val="一级条标题 Char"/>
    <w:next w:val="1313"/>
    <w:link w:val="1312"/>
    <w:qFormat/>
    <w:rPr>
      <w:rFonts w:ascii="黑体" w:eastAsia="黑体" w:cs="Calibri"/>
      <w:sz w:val="21"/>
      <w:szCs w:val="21"/>
    </w:rPr>
  </w:style>
  <w:style w:type="character" w:styleId="1314">
    <w:name w:val="qcode_img"/>
    <w:next w:val="1314"/>
    <w:link w:val="749"/>
    <w:qFormat/>
    <w:rPr>
      <w:rFonts w:ascii="Times New Roman" w:hAnsi="Times New Roman" w:eastAsia="宋体" w:cs="Times New Roman"/>
    </w:rPr>
  </w:style>
  <w:style w:type="character" w:styleId="1315">
    <w:name w:val="hover12"/>
    <w:next w:val="1315"/>
    <w:link w:val="749"/>
    <w:qFormat/>
    <w:rPr>
      <w:rFonts w:ascii="Times New Roman" w:hAnsi="Times New Roman" w:eastAsia="宋体" w:cs="Times New Roman"/>
      <w:color w:val="ffffff"/>
      <w:shd w:val="clear" w:color="auto" w:fill="00c1b3"/>
    </w:rPr>
  </w:style>
  <w:style w:type="character" w:styleId="1316">
    <w:name w:val="标题 1 Char"/>
    <w:next w:val="1316"/>
    <w:link w:val="749"/>
    <w:uiPriority w:val="9"/>
    <w:qFormat/>
    <w:rPr>
      <w:rFonts w:ascii="Times New Roman" w:hAnsi="Times New Roman" w:eastAsia="宋体" w:cs="Times New Roman"/>
      <w:b/>
      <w:bCs/>
      <w:sz w:val="44"/>
      <w:szCs w:val="44"/>
    </w:rPr>
  </w:style>
  <w:style w:type="character" w:styleId="1317">
    <w:name w:val="ant-typography-ellipsis"/>
    <w:next w:val="1317"/>
    <w:link w:val="749"/>
    <w:qFormat/>
    <w:rPr>
      <w:rFonts w:ascii="Times New Roman" w:hAnsi="Times New Roman" w:eastAsia="宋体" w:cs="Times New Roman"/>
    </w:rPr>
  </w:style>
  <w:style w:type="character" w:styleId="1318">
    <w:name w:val="desc12"/>
    <w:next w:val="1318"/>
    <w:link w:val="749"/>
    <w:qFormat/>
    <w:rPr>
      <w:rFonts w:ascii="Times New Roman" w:hAnsi="Times New Roman" w:eastAsia="宋体" w:cs="Times New Roman"/>
      <w:color w:val="000000"/>
      <w:sz w:val="18"/>
      <w:szCs w:val="18"/>
    </w:rPr>
  </w:style>
  <w:style w:type="character" w:styleId="1319">
    <w:name w:val="hover18"/>
    <w:next w:val="1319"/>
    <w:link w:val="749"/>
    <w:qFormat/>
    <w:rPr>
      <w:rFonts w:ascii="Times New Roman" w:hAnsi="Times New Roman" w:eastAsia="宋体" w:cs="Times New Roman"/>
      <w:color w:val="ffffff"/>
      <w:shd w:val="clear" w:color="auto" w:fill="00c1b3"/>
    </w:rPr>
  </w:style>
  <w:style w:type="character" w:styleId="1320">
    <w:name w:val="hover16"/>
    <w:next w:val="1320"/>
    <w:link w:val="749"/>
    <w:qFormat/>
    <w:rPr>
      <w:rFonts w:ascii="Times New Roman" w:hAnsi="Times New Roman" w:eastAsia="宋体" w:cs="Times New Roman"/>
      <w:color w:val="ffffff"/>
      <w:shd w:val="clear" w:color="auto" w:fill="00c1b3"/>
    </w:rPr>
  </w:style>
  <w:style w:type="character" w:styleId="1321">
    <w:name w:val="标题 4 Char_0"/>
    <w:next w:val="1321"/>
    <w:link w:val="1322"/>
    <w:uiPriority w:val="99"/>
    <w:qFormat/>
    <w:rPr>
      <w:rFonts w:ascii="Arial" w:hAnsi="Arial" w:eastAsia="黑体"/>
      <w:b/>
      <w:bCs/>
      <w:sz w:val="28"/>
      <w:szCs w:val="28"/>
    </w:rPr>
  </w:style>
  <w:style w:type="paragraph" w:styleId="1322">
    <w:name w:val="标题 4_0"/>
    <w:basedOn w:val="1168"/>
    <w:next w:val="1168"/>
    <w:link w:val="1321"/>
    <w:uiPriority w:val="99"/>
    <w:qFormat/>
    <w:pPr>
      <w:keepLines/>
      <w:keepNext/>
      <w:spacing w:before="280" w:after="290" w:line="376" w:lineRule="auto"/>
      <w:outlineLvl w:val="3"/>
    </w:pPr>
    <w:rPr>
      <w:rFonts w:ascii="Arial" w:hAnsi="Arial" w:eastAsia="黑体" w:cs="Times New Roman"/>
      <w:b/>
      <w:bCs/>
      <w:sz w:val="28"/>
      <w:szCs w:val="28"/>
    </w:rPr>
  </w:style>
  <w:style w:type="character" w:styleId="1323">
    <w:name w:val="明显引用 Char2"/>
    <w:next w:val="1323"/>
    <w:link w:val="749"/>
    <w:uiPriority w:val="99"/>
    <w:qFormat/>
    <w:rPr>
      <w:rFonts w:ascii="Times New Roman" w:hAnsi="Times New Roman" w:eastAsia="宋体" w:cs="Times New Roman"/>
      <w:b/>
      <w:bCs/>
      <w:i/>
      <w:iCs/>
      <w:color w:val="4f81bd"/>
      <w:sz w:val="24"/>
      <w:szCs w:val="24"/>
    </w:rPr>
  </w:style>
  <w:style w:type="character" w:styleId="1324">
    <w:name w:val="15"/>
    <w:next w:val="1324"/>
    <w:link w:val="749"/>
    <w:qFormat/>
    <w:rPr>
      <w:rFonts w:ascii="Times New Roman" w:hAnsi="Times New Roman" w:eastAsia="宋体" w:cs="Times New Roman"/>
    </w:rPr>
  </w:style>
  <w:style w:type="character" w:styleId="1325">
    <w:name w:val="正文文本 Char_0"/>
    <w:next w:val="1325"/>
    <w:link w:val="1326"/>
    <w:uiPriority w:val="99"/>
    <w:qFormat/>
    <w:rPr>
      <w:sz w:val="24"/>
      <w:szCs w:val="24"/>
    </w:rPr>
  </w:style>
  <w:style w:type="paragraph" w:styleId="1326">
    <w:name w:val="正文文本_0"/>
    <w:basedOn w:val="1168"/>
    <w:next w:val="1326"/>
    <w:link w:val="1325"/>
    <w:uiPriority w:val="99"/>
    <w:qFormat/>
    <w:pPr>
      <w:spacing w:after="120"/>
    </w:pPr>
    <w:rPr>
      <w:rFonts w:cs="Times New Roman"/>
      <w:sz w:val="24"/>
      <w:szCs w:val="24"/>
    </w:rPr>
  </w:style>
  <w:style w:type="character" w:styleId="1327">
    <w:name w:val="font61"/>
    <w:next w:val="1327"/>
    <w:link w:val="749"/>
    <w:qFormat/>
    <w:rPr>
      <w:rFonts w:hint="eastAsia" w:ascii="宋体" w:hAnsi="宋体" w:eastAsia="宋体" w:cs="宋体"/>
      <w:color w:val="000000"/>
      <w:sz w:val="24"/>
      <w:szCs w:val="24"/>
      <w:u w:val="none"/>
    </w:rPr>
  </w:style>
  <w:style w:type="paragraph" w:styleId="1328">
    <w:name w:val="2方案格式2"/>
    <w:basedOn w:val="1329"/>
    <w:next w:val="1328"/>
    <w:link w:val="749"/>
    <w:uiPriority w:val="99"/>
    <w:qFormat/>
    <w:pPr>
      <w:numPr>
        <w:ilvl w:val="1"/>
        <w:numId w:val="0"/>
      </w:numPr>
      <w:spacing w:before="50" w:after="50" w:line="240" w:lineRule="auto"/>
      <w:tabs>
        <w:tab w:val="left" w:pos="360" w:leader="none"/>
      </w:tabs>
      <w:outlineLvl w:val="1"/>
    </w:pPr>
    <w:rPr>
      <w:sz w:val="44"/>
      <w:szCs w:val="44"/>
    </w:rPr>
  </w:style>
  <w:style w:type="paragraph" w:styleId="1329">
    <w:name w:val="1方案格式1"/>
    <w:basedOn w:val="750"/>
    <w:next w:val="1329"/>
    <w:link w:val="749"/>
    <w:uiPriority w:val="99"/>
    <w:qFormat/>
    <w:pPr>
      <w:jc w:val="center"/>
      <w:spacing w:before="340" w:after="330" w:line="360" w:lineRule="auto"/>
      <w:widowControl w:val="off"/>
      <w:tabs>
        <w:tab w:val="left" w:pos="360" w:leader="none"/>
      </w:tabs>
    </w:pPr>
    <w:rPr>
      <w:rFonts w:ascii="Times New Roman" w:hAnsi="Times New Roman" w:eastAsia="微软雅黑" w:cs="Calibri"/>
      <w:color w:val="000000"/>
      <w:sz w:val="48"/>
      <w:szCs w:val="48"/>
    </w:rPr>
  </w:style>
  <w:style w:type="paragraph" w:styleId="1330">
    <w:name w:val="列出段落3"/>
    <w:basedOn w:val="749"/>
    <w:next w:val="1330"/>
    <w:link w:val="749"/>
    <w:uiPriority w:val="99"/>
    <w:qFormat/>
    <w:pPr>
      <w:ind w:firstLine="420"/>
      <w:spacing w:line="278" w:lineRule="auto"/>
    </w:pPr>
    <w:rPr>
      <w:rFonts w:ascii="Tahoma" w:hAnsi="Tahoma" w:eastAsia="微软雅黑" w:cs="Tahoma"/>
    </w:rPr>
  </w:style>
  <w:style w:type="paragraph" w:styleId="1331">
    <w:name w:val="格式３"/>
    <w:basedOn w:val="749"/>
    <w:next w:val="1331"/>
    <w:link w:val="749"/>
    <w:uiPriority w:val="99"/>
    <w:qFormat/>
    <w:pPr>
      <w:ind w:left="600" w:hanging="600"/>
      <w:spacing w:after="160" w:line="420" w:lineRule="exact"/>
      <w:widowControl w:val="off"/>
    </w:pPr>
    <w:rPr>
      <w:rFonts w:ascii="宋体" w:hAnsi="宋体" w:cs="宋体"/>
      <w:color w:val="000000"/>
      <w:sz w:val="24"/>
      <w:szCs w:val="24"/>
    </w:rPr>
  </w:style>
  <w:style w:type="paragraph" w:styleId="1332">
    <w:name w:val="正文2"/>
    <w:next w:val="1332"/>
    <w:link w:val="749"/>
    <w:uiPriority w:val="99"/>
    <w:qFormat/>
    <w:pPr>
      <w:spacing w:after="160" w:line="278" w:lineRule="auto"/>
    </w:pPr>
    <w:rPr>
      <w:rFonts w:eastAsia="微软雅黑" w:cs="Calibri"/>
      <w:sz w:val="24"/>
      <w:szCs w:val="24"/>
      <w:lang w:val="en-US" w:eastAsia="zh-CN" w:bidi="ar-SA"/>
    </w:rPr>
  </w:style>
  <w:style w:type="paragraph" w:styleId="1333">
    <w:name w:val="_Style 234"/>
    <w:basedOn w:val="749"/>
    <w:next w:val="749"/>
    <w:link w:val="749"/>
    <w:qFormat/>
    <w:pPr>
      <w:jc w:val="center"/>
      <w:spacing w:after="160" w:line="278" w:lineRule="auto"/>
      <w:widowControl w:val="off"/>
      <w:pBdr>
        <w:bottom w:val="single" w:color="000000" w:sz="6" w:space="1"/>
      </w:pBdr>
    </w:pPr>
    <w:rPr>
      <w:rFonts w:ascii="Arial" w:cs="Calibri"/>
      <w:vanish/>
      <w:sz w:val="16"/>
      <w:szCs w:val="21"/>
    </w:rPr>
  </w:style>
  <w:style w:type="paragraph" w:styleId="1334">
    <w:name w:val="纯文本2"/>
    <w:basedOn w:val="749"/>
    <w:next w:val="1334"/>
    <w:link w:val="749"/>
    <w:uiPriority w:val="99"/>
    <w:qFormat/>
    <w:pPr>
      <w:spacing w:after="160" w:line="278" w:lineRule="auto"/>
      <w:widowControl w:val="off"/>
    </w:pPr>
    <w:rPr>
      <w:rFonts w:ascii="宋体" w:hAnsi="宋体" w:cs="宋体"/>
      <w:sz w:val="24"/>
      <w:szCs w:val="24"/>
    </w:rPr>
  </w:style>
  <w:style w:type="paragraph" w:styleId="1335">
    <w:name w:val="1"/>
    <w:basedOn w:val="749"/>
    <w:next w:val="749"/>
    <w:link w:val="749"/>
    <w:uiPriority w:val="99"/>
    <w:qFormat/>
    <w:pPr>
      <w:spacing w:after="160" w:line="278" w:lineRule="auto"/>
      <w:widowControl w:val="off"/>
    </w:pPr>
    <w:rPr>
      <w:rFonts w:ascii="Calibri" w:hAnsi="Calibri" w:cs="Calibri"/>
      <w:sz w:val="21"/>
      <w:szCs w:val="21"/>
    </w:rPr>
  </w:style>
  <w:style w:type="paragraph" w:styleId="1336">
    <w:name w:val="星非-小"/>
    <w:basedOn w:val="749"/>
    <w:next w:val="1336"/>
    <w:link w:val="749"/>
    <w:qFormat/>
    <w:pPr>
      <w:ind w:left="830" w:hanging="534"/>
      <w:spacing w:after="160" w:line="480" w:lineRule="exact"/>
      <w:widowControl w:val="off"/>
    </w:pPr>
    <w:rPr>
      <w:rFonts w:ascii="仿宋_GB2312" w:hAnsi="仿宋_GB2312" w:eastAsia="仿宋_GB2312" w:cs="宋体"/>
      <w:sz w:val="28"/>
      <w:szCs w:val="20"/>
    </w:rPr>
  </w:style>
  <w:style w:type="paragraph" w:styleId="1337">
    <w:name w:val="Default"/>
    <w:next w:val="1337"/>
    <w:link w:val="749"/>
    <w:qFormat/>
    <w:pPr>
      <w:spacing w:after="160" w:line="278" w:lineRule="auto"/>
      <w:widowControl w:val="off"/>
    </w:pPr>
    <w:rPr>
      <w:rFonts w:ascii="宋体" w:cs="宋体"/>
      <w:color w:val="000000"/>
      <w:sz w:val="24"/>
      <w:szCs w:val="24"/>
      <w:lang w:val="en-US" w:eastAsia="zh-CN" w:bidi="ar-SA"/>
    </w:rPr>
  </w:style>
  <w:style w:type="paragraph" w:styleId="1338">
    <w:name w:val="Blockquote"/>
    <w:basedOn w:val="749"/>
    <w:next w:val="1338"/>
    <w:link w:val="749"/>
    <w:uiPriority w:val="99"/>
    <w:qFormat/>
    <w:pPr>
      <w:ind w:left="360" w:right="360"/>
      <w:spacing w:before="100" w:after="100" w:line="278" w:lineRule="auto"/>
      <w:widowControl w:val="off"/>
    </w:pPr>
    <w:rPr>
      <w:rFonts w:ascii="Calibri" w:hAnsi="Calibri" w:cs="Calibri"/>
      <w:sz w:val="24"/>
      <w:szCs w:val="24"/>
    </w:rPr>
  </w:style>
  <w:style w:type="paragraph" w:styleId="1339">
    <w:name w:val="3方案格式3"/>
    <w:basedOn w:val="1328"/>
    <w:next w:val="1339"/>
    <w:link w:val="749"/>
    <w:uiPriority w:val="99"/>
    <w:qFormat/>
    <w:pPr>
      <w:numPr>
        <w:ilvl w:val="2"/>
        <w:numId w:val="0"/>
      </w:numPr>
      <w:tabs>
        <w:tab w:val="left" w:pos="360" w:leader="none"/>
      </w:tabs>
      <w:outlineLvl w:val="2"/>
    </w:pPr>
    <w:rPr>
      <w:sz w:val="32"/>
      <w:szCs w:val="32"/>
    </w:rPr>
  </w:style>
  <w:style w:type="paragraph" w:styleId="1340">
    <w:name w:val="6'"/>
    <w:basedOn w:val="749"/>
    <w:next w:val="1340"/>
    <w:link w:val="749"/>
    <w:uiPriority w:val="99"/>
    <w:qFormat/>
    <w:pPr>
      <w:jc w:val="center"/>
      <w:spacing w:after="160" w:line="320" w:lineRule="exact"/>
      <w:widowControl w:val="off"/>
    </w:pPr>
    <w:rPr>
      <w:rFonts w:ascii="Calibri" w:hAnsi="Calibri" w:cs="Calibri"/>
      <w:spacing w:val="20"/>
      <w:sz w:val="21"/>
      <w:szCs w:val="21"/>
    </w:rPr>
  </w:style>
  <w:style w:type="paragraph" w:styleId="1341">
    <w:name w:val="Char Char Char Char Char Char Char"/>
    <w:basedOn w:val="749"/>
    <w:next w:val="1341"/>
    <w:link w:val="749"/>
    <w:uiPriority w:val="99"/>
    <w:qFormat/>
    <w:pPr>
      <w:spacing w:after="160" w:line="360" w:lineRule="auto"/>
      <w:widowControl w:val="off"/>
    </w:pPr>
    <w:rPr>
      <w:rFonts w:cs="Calibri"/>
      <w:sz w:val="24"/>
      <w:szCs w:val="24"/>
    </w:rPr>
  </w:style>
  <w:style w:type="paragraph" w:styleId="1342">
    <w:name w:val="空半行"/>
    <w:basedOn w:val="749"/>
    <w:next w:val="1342"/>
    <w:link w:val="749"/>
    <w:uiPriority w:val="99"/>
    <w:qFormat/>
    <w:pPr>
      <w:spacing w:after="160" w:line="120" w:lineRule="exact"/>
      <w:widowControl w:val="off"/>
    </w:pPr>
    <w:rPr>
      <w:rFonts w:ascii="Calibri" w:hAnsi="Calibri" w:eastAsia="仿宋_GB2312" w:cs="Calibri"/>
      <w:color w:val="ffffff"/>
      <w:sz w:val="30"/>
      <w:szCs w:val="30"/>
    </w:rPr>
  </w:style>
  <w:style w:type="paragraph" w:styleId="1343">
    <w:name w:val="样式 标题 3 + (中文) 黑体 小四 非加粗 段前: 7.8 磅 段后: 0 磅 行距: 固定值 20 磅"/>
    <w:basedOn w:val="752"/>
    <w:next w:val="749"/>
    <w:link w:val="749"/>
    <w:uiPriority w:val="99"/>
    <w:qFormat/>
    <w:pPr>
      <w:spacing w:before="0" w:line="400" w:lineRule="exact"/>
      <w:widowControl w:val="off"/>
    </w:pPr>
    <w:rPr>
      <w:rFonts w:ascii="Calibri" w:hAnsi="Calibri" w:eastAsia="黑体" w:cs="Calibri"/>
      <w:b w:val="0"/>
      <w:bCs w:val="0"/>
      <w:color w:val="000000"/>
      <w:sz w:val="24"/>
      <w:szCs w:val="24"/>
    </w:rPr>
  </w:style>
  <w:style w:type="paragraph" w:styleId="1344">
    <w:name w:val="文档正文"/>
    <w:basedOn w:val="749"/>
    <w:next w:val="1344"/>
    <w:link w:val="749"/>
    <w:uiPriority w:val="99"/>
    <w:qFormat/>
    <w:pPr>
      <w:ind w:firstLine="567"/>
      <w:spacing w:after="160" w:line="480" w:lineRule="atLeast"/>
      <w:widowControl w:val="off"/>
    </w:pPr>
    <w:rPr>
      <w:rFonts w:ascii="Ari" w:eastAsia="Times New Roman" w:cs="Ari"/>
      <w:sz w:val="28"/>
      <w:szCs w:val="28"/>
    </w:rPr>
  </w:style>
  <w:style w:type="paragraph" w:styleId="1345">
    <w:name w:val="表格"/>
    <w:basedOn w:val="749"/>
    <w:next w:val="1345"/>
    <w:link w:val="749"/>
    <w:uiPriority w:val="99"/>
    <w:qFormat/>
    <w:pPr>
      <w:jc w:val="center"/>
      <w:spacing w:after="160" w:line="278" w:lineRule="auto"/>
      <w:widowControl w:val="off"/>
    </w:pPr>
    <w:rPr>
      <w:rFonts w:ascii="华文细黑" w:hAnsi="华文细黑" w:cs="华文细黑"/>
      <w:sz w:val="21"/>
      <w:szCs w:val="21"/>
    </w:rPr>
  </w:style>
  <w:style w:type="paragraph" w:styleId="1346">
    <w:name w:val="样式 正文格式 + 首行缩进:  2 字符"/>
    <w:basedOn w:val="749"/>
    <w:next w:val="1346"/>
    <w:link w:val="749"/>
    <w:qFormat/>
    <w:pPr>
      <w:ind w:firstLine="200"/>
      <w:spacing w:after="160" w:line="400" w:lineRule="atLeast"/>
      <w:widowControl w:val="off"/>
    </w:pPr>
    <w:rPr>
      <w:rFonts w:ascii="宋体" w:hAnsi="宋体" w:cs="宋体"/>
      <w:sz w:val="24"/>
    </w:rPr>
  </w:style>
  <w:style w:type="paragraph" w:styleId="1347">
    <w:name w:val="_Style 67"/>
    <w:basedOn w:val="749"/>
    <w:next w:val="749"/>
    <w:link w:val="749"/>
    <w:uiPriority w:val="34"/>
    <w:qFormat/>
    <w:pPr>
      <w:ind w:firstLine="420"/>
      <w:spacing w:after="160" w:line="360" w:lineRule="auto"/>
    </w:pPr>
    <w:rPr>
      <w:rFonts w:ascii="Calibri" w:hAnsi="Calibri" w:eastAsia="微软雅黑" w:cs="Calibri"/>
      <w:sz w:val="24"/>
    </w:rPr>
  </w:style>
  <w:style w:type="paragraph" w:styleId="1348">
    <w:name w:val="标题2"/>
    <w:basedOn w:val="751"/>
    <w:next w:val="788"/>
    <w:link w:val="749"/>
    <w:uiPriority w:val="99"/>
    <w:qFormat/>
    <w:pPr>
      <w:numPr>
        <w:ilvl w:val="1"/>
        <w:numId w:val="0"/>
      </w:numPr>
      <w:spacing w:before="156" w:after="156" w:line="360" w:lineRule="auto"/>
      <w:widowControl w:val="off"/>
    </w:pPr>
    <w:rPr>
      <w:rFonts w:cs="Cambria"/>
      <w:color w:val="000000"/>
      <w:sz w:val="24"/>
      <w:szCs w:val="24"/>
    </w:rPr>
  </w:style>
  <w:style w:type="paragraph" w:styleId="1349">
    <w:name w:val="五级条标题"/>
    <w:basedOn w:val="1350"/>
    <w:next w:val="749"/>
    <w:link w:val="749"/>
    <w:qFormat/>
    <w:pPr>
      <w:numPr>
        <w:ilvl w:val="5"/>
        <w:numId w:val="0"/>
      </w:numPr>
      <w:ind w:left="1080" w:hanging="1080"/>
      <w:tabs>
        <w:tab w:val="left" w:pos="360" w:leader="none"/>
        <w:tab w:val="left" w:pos="720" w:leader="none"/>
        <w:tab w:val="left" w:pos="975" w:leader="none"/>
        <w:tab w:val="left" w:pos="1080" w:leader="none"/>
      </w:tabs>
      <w:outlineLvl w:val="6"/>
    </w:pPr>
  </w:style>
  <w:style w:type="paragraph" w:styleId="1350">
    <w:name w:val="四级条标题"/>
    <w:basedOn w:val="1351"/>
    <w:next w:val="749"/>
    <w:link w:val="749"/>
    <w:qFormat/>
    <w:pPr>
      <w:numPr>
        <w:ilvl w:val="4"/>
        <w:numId w:val="0"/>
      </w:numPr>
      <w:ind w:left="1080" w:hanging="1080"/>
      <w:tabs>
        <w:tab w:val="left" w:pos="360" w:leader="none"/>
        <w:tab w:val="left" w:pos="720" w:leader="none"/>
        <w:tab w:val="left" w:pos="975" w:leader="none"/>
        <w:tab w:val="left" w:pos="1080" w:leader="none"/>
      </w:tabs>
      <w:outlineLvl w:val="5"/>
    </w:pPr>
  </w:style>
  <w:style w:type="paragraph" w:styleId="1351">
    <w:name w:val="三级条标题"/>
    <w:basedOn w:val="1311"/>
    <w:next w:val="749"/>
    <w:link w:val="749"/>
    <w:qFormat/>
    <w:pPr>
      <w:numPr>
        <w:ilvl w:val="3"/>
        <w:numId w:val="0"/>
      </w:numPr>
      <w:ind w:left="975" w:hanging="975"/>
      <w:tabs>
        <w:tab w:val="left" w:pos="360" w:leader="none"/>
        <w:tab w:val="left" w:pos="720" w:leader="none"/>
        <w:tab w:val="left" w:pos="975" w:leader="none"/>
      </w:tabs>
      <w:outlineLvl w:val="4"/>
    </w:pPr>
    <w:rPr>
      <w:rFonts w:cs="Times New Roman"/>
    </w:rPr>
  </w:style>
  <w:style w:type="paragraph" w:styleId="1352">
    <w:name w:val="p0"/>
    <w:basedOn w:val="749"/>
    <w:next w:val="1352"/>
    <w:link w:val="749"/>
    <w:uiPriority w:val="99"/>
    <w:qFormat/>
    <w:pPr>
      <w:spacing w:after="160" w:line="278" w:lineRule="auto"/>
    </w:pPr>
    <w:rPr>
      <w:rFonts w:cs="Calibri"/>
      <w:b/>
      <w:bCs/>
      <w:sz w:val="24"/>
      <w:szCs w:val="24"/>
    </w:rPr>
  </w:style>
  <w:style w:type="paragraph" w:styleId="1353">
    <w:name w:val="正文表标题"/>
    <w:next w:val="749"/>
    <w:link w:val="749"/>
    <w:qFormat/>
    <w:pPr>
      <w:numPr>
        <w:ilvl w:val="0"/>
        <w:numId w:val="3"/>
      </w:numPr>
      <w:jc w:val="center"/>
      <w:spacing w:after="160" w:line="278" w:lineRule="auto"/>
      <w:tabs>
        <w:tab w:val="left" w:pos="720" w:leader="none"/>
      </w:tabs>
    </w:pPr>
    <w:rPr>
      <w:rFonts w:ascii="黑体" w:eastAsia="黑体" w:cs="Calibri"/>
      <w:sz w:val="21"/>
      <w:lang w:val="en-US" w:eastAsia="zh-CN" w:bidi="ar-SA"/>
    </w:rPr>
  </w:style>
  <w:style w:type="paragraph" w:styleId="1354">
    <w:name w:val="样式 标题 1 + 黑体 三号 非加粗 居中 段前: 6 磅 段后: 6 磅 行距: 固定值 20 磅"/>
    <w:basedOn w:val="750"/>
    <w:next w:val="1354"/>
    <w:link w:val="749"/>
    <w:uiPriority w:val="99"/>
    <w:qFormat/>
    <w:pPr>
      <w:jc w:val="center"/>
      <w:spacing w:before="120" w:after="120" w:line="400" w:lineRule="exact"/>
      <w:widowControl w:val="off"/>
    </w:pPr>
    <w:rPr>
      <w:rFonts w:ascii="黑体" w:hAnsi="黑体" w:eastAsia="黑体" w:cs="黑体"/>
      <w:b w:val="0"/>
      <w:bCs w:val="0"/>
      <w:color w:val="000000"/>
      <w:sz w:val="32"/>
      <w:szCs w:val="32"/>
    </w:rPr>
  </w:style>
  <w:style w:type="paragraph" w:styleId="1355">
    <w:name w:val="修订2"/>
    <w:next w:val="1355"/>
    <w:link w:val="749"/>
    <w:uiPriority w:val="99"/>
    <w:semiHidden/>
    <w:qFormat/>
    <w:pPr>
      <w:spacing w:after="160" w:line="278" w:lineRule="auto"/>
    </w:pPr>
    <w:rPr>
      <w:rFonts w:cs="Calibri"/>
      <w:sz w:val="21"/>
      <w:szCs w:val="21"/>
      <w:lang w:val="en-US" w:eastAsia="zh-CN" w:bidi="ar-SA"/>
    </w:rPr>
  </w:style>
  <w:style w:type="paragraph" w:styleId="1356">
    <w:name w:val="Blockquote_0"/>
    <w:basedOn w:val="1168"/>
    <w:next w:val="1356"/>
    <w:link w:val="749"/>
    <w:uiPriority w:val="99"/>
    <w:qFormat/>
    <w:pPr>
      <w:ind w:left="360" w:right="360"/>
      <w:jc w:val="left"/>
      <w:spacing w:before="100" w:after="100"/>
    </w:pPr>
    <w:rPr>
      <w:rFonts w:ascii="Calibri" w:hAnsi="Calibri"/>
      <w:sz w:val="24"/>
      <w:szCs w:val="24"/>
    </w:rPr>
  </w:style>
  <w:style w:type="paragraph" w:styleId="1357">
    <w:name w:val="正文 + 行距: 固定值 20 磅"/>
    <w:basedOn w:val="749"/>
    <w:next w:val="1357"/>
    <w:link w:val="749"/>
    <w:uiPriority w:val="99"/>
    <w:qFormat/>
    <w:pPr>
      <w:ind w:firstLine="716"/>
      <w:spacing w:after="160" w:line="400" w:lineRule="exact"/>
      <w:widowControl w:val="off"/>
    </w:pPr>
    <w:rPr>
      <w:rFonts w:ascii="Calibri" w:hAnsi="Calibri" w:cs="Calibri"/>
      <w:sz w:val="21"/>
      <w:szCs w:val="21"/>
    </w:rPr>
  </w:style>
  <w:style w:type="paragraph" w:styleId="1358">
    <w:name w:val="样式 标题 2 + Times New Roman 四号 非加粗 段前: 5 磅 段后: 0 磅 行距: 固定值 20..."/>
    <w:basedOn w:val="751"/>
    <w:next w:val="1358"/>
    <w:link w:val="749"/>
    <w:uiPriority w:val="99"/>
    <w:qFormat/>
    <w:pPr>
      <w:spacing w:before="100" w:line="400" w:lineRule="exact"/>
      <w:widowControl w:val="off"/>
    </w:pPr>
    <w:rPr>
      <w:rFonts w:ascii="Times New Roman" w:hAnsi="Times New Roman" w:eastAsia="黑体"/>
      <w:b w:val="0"/>
      <w:bCs w:val="0"/>
      <w:color w:val="000000"/>
      <w:sz w:val="28"/>
      <w:szCs w:val="28"/>
    </w:rPr>
  </w:style>
  <w:style w:type="paragraph" w:styleId="1359">
    <w:name w:val="列出段落11"/>
    <w:basedOn w:val="749"/>
    <w:next w:val="1359"/>
    <w:link w:val="749"/>
    <w:uiPriority w:val="99"/>
    <w:qFormat/>
    <w:pPr>
      <w:ind w:left="720"/>
      <w:spacing w:after="160" w:line="278" w:lineRule="auto"/>
    </w:pPr>
    <w:rPr>
      <w:rFonts w:ascii="Arial" w:hAnsi="Arial" w:eastAsia="黑体" w:cs="Arial"/>
      <w:sz w:val="24"/>
      <w:szCs w:val="24"/>
      <w:lang w:eastAsia="en-US"/>
    </w:rPr>
  </w:style>
  <w:style w:type="paragraph" w:styleId="1360">
    <w:name w:val="目录 5_0"/>
    <w:basedOn w:val="1168"/>
    <w:next w:val="1168"/>
    <w:link w:val="749"/>
    <w:uiPriority w:val="99"/>
    <w:qFormat/>
    <w:pPr>
      <w:ind w:left="1680"/>
    </w:pPr>
    <w:rPr>
      <w:rFonts w:ascii="Calibri" w:hAnsi="Calibri"/>
    </w:rPr>
  </w:style>
  <w:style w:type="paragraph" w:styleId="1361">
    <w:name w:val="文章正文"/>
    <w:basedOn w:val="749"/>
    <w:next w:val="1361"/>
    <w:link w:val="749"/>
    <w:uiPriority w:val="99"/>
    <w:qFormat/>
    <w:pPr>
      <w:ind w:firstLine="480"/>
      <w:spacing w:after="160" w:line="360" w:lineRule="auto"/>
      <w:widowControl w:val="off"/>
    </w:pPr>
    <w:rPr>
      <w:rFonts w:ascii="仿宋_GB2312" w:hAnsi="宋体" w:eastAsia="仿宋_GB2312" w:cs="仿宋_GB2312"/>
      <w:color w:val="ff0000"/>
      <w:sz w:val="24"/>
      <w:szCs w:val="24"/>
    </w:rPr>
  </w:style>
  <w:style w:type="paragraph" w:styleId="1362">
    <w:name w:val="_Style 34"/>
    <w:next w:val="749"/>
    <w:link w:val="749"/>
    <w:uiPriority w:val="99"/>
    <w:qFormat/>
    <w:pPr>
      <w:jc w:val="both"/>
      <w:spacing w:after="160" w:line="278" w:lineRule="auto"/>
      <w:widowControl w:val="off"/>
    </w:pPr>
    <w:rPr>
      <w:rFonts w:cs="Calibri"/>
      <w:sz w:val="21"/>
      <w:szCs w:val="21"/>
      <w:lang w:val="en-US" w:eastAsia="zh-CN" w:bidi="ar-SA"/>
    </w:rPr>
  </w:style>
  <w:style w:type="paragraph" w:styleId="1363">
    <w:name w:val="paragraphindent"/>
    <w:basedOn w:val="749"/>
    <w:next w:val="1363"/>
    <w:link w:val="749"/>
    <w:qFormat/>
    <w:pPr>
      <w:ind w:firstLine="480"/>
      <w:spacing w:before="100" w:beforeAutospacing="1" w:after="100" w:afterAutospacing="1" w:line="278" w:lineRule="auto"/>
    </w:pPr>
    <w:rPr>
      <w:rFonts w:ascii="宋体" w:hAnsi="宋体" w:cs="宋体"/>
      <w:sz w:val="24"/>
      <w:szCs w:val="24"/>
    </w:rPr>
  </w:style>
  <w:style w:type="paragraph" w:styleId="1364">
    <w:name w:val="txt"/>
    <w:basedOn w:val="749"/>
    <w:next w:val="1364"/>
    <w:link w:val="749"/>
    <w:uiPriority w:val="99"/>
    <w:qFormat/>
    <w:pPr>
      <w:spacing w:before="100" w:beforeAutospacing="1" w:after="100" w:afterAutospacing="1" w:line="278" w:lineRule="auto"/>
    </w:pPr>
    <w:rPr>
      <w:rFonts w:ascii="宋体" w:hAnsi="宋体" w:cs="宋体"/>
      <w:sz w:val="24"/>
      <w:szCs w:val="24"/>
    </w:rPr>
  </w:style>
  <w:style w:type="paragraph" w:styleId="1365">
    <w:name w:val="目录 4_0"/>
    <w:basedOn w:val="1168"/>
    <w:next w:val="1168"/>
    <w:link w:val="749"/>
    <w:uiPriority w:val="99"/>
    <w:qFormat/>
    <w:pPr>
      <w:ind w:left="1260"/>
    </w:pPr>
    <w:rPr>
      <w:rFonts w:ascii="Calibri" w:hAnsi="Calibri"/>
    </w:rPr>
  </w:style>
  <w:style w:type="paragraph" w:styleId="1366">
    <w:name w:val="正文11"/>
    <w:next w:val="1366"/>
    <w:link w:val="749"/>
    <w:uiPriority w:val="99"/>
    <w:qFormat/>
    <w:pPr>
      <w:spacing w:after="160" w:line="278" w:lineRule="auto"/>
    </w:pPr>
    <w:rPr>
      <w:rFonts w:ascii="Calibri" w:hAnsi="Calibri" w:cs="Calibri"/>
      <w:sz w:val="24"/>
      <w:szCs w:val="24"/>
      <w:lang w:val="en-US" w:eastAsia="zh-CN" w:bidi="ar-SA"/>
    </w:rPr>
  </w:style>
  <w:style w:type="paragraph" w:styleId="1367">
    <w:name w:val="正文_段"/>
    <w:basedOn w:val="749"/>
    <w:next w:val="1367"/>
    <w:link w:val="749"/>
    <w:qFormat/>
    <w:pPr>
      <w:ind w:firstLine="480"/>
      <w:spacing w:after="160" w:line="360" w:lineRule="auto"/>
      <w:widowControl w:val="off"/>
    </w:pPr>
    <w:rPr>
      <w:rFonts w:ascii="宋体" w:hAnsi="Calibri" w:cs="宋体"/>
      <w:color w:val="000000"/>
      <w:sz w:val="24"/>
      <w:szCs w:val="21"/>
    </w:rPr>
  </w:style>
  <w:style w:type="paragraph" w:styleId="1368">
    <w:name w:val="正文_0_0_0"/>
    <w:next w:val="1368"/>
    <w:link w:val="749"/>
    <w:uiPriority w:val="99"/>
    <w:qFormat/>
    <w:pPr>
      <w:jc w:val="both"/>
      <w:spacing w:after="160" w:line="278" w:lineRule="auto"/>
      <w:widowControl w:val="off"/>
    </w:pPr>
    <w:rPr>
      <w:rFonts w:cs="Calibri"/>
      <w:lang w:val="en-US" w:eastAsia="zh-CN" w:bidi="ar-SA"/>
    </w:rPr>
  </w:style>
  <w:style w:type="paragraph" w:styleId="1369">
    <w:name w:val="并列项-点"/>
    <w:basedOn w:val="749"/>
    <w:next w:val="1369"/>
    <w:link w:val="749"/>
    <w:qFormat/>
    <w:pPr>
      <w:numPr>
        <w:ilvl w:val="0"/>
        <w:numId w:val="4"/>
      </w:numPr>
      <w:spacing w:after="160" w:line="360" w:lineRule="auto"/>
      <w:widowControl w:val="off"/>
      <w:tabs>
        <w:tab w:val="left" w:pos="851" w:leader="none"/>
        <w:tab w:val="left" w:pos="3054" w:leader="none"/>
      </w:tabs>
    </w:pPr>
    <w:rPr>
      <w:rFonts w:ascii="Calibri" w:hAnsi="Calibri" w:cs="Calibri"/>
      <w:sz w:val="24"/>
      <w:szCs w:val="24"/>
    </w:rPr>
  </w:style>
  <w:style w:type="paragraph" w:styleId="1370">
    <w:name w:val="正文空2字"/>
    <w:basedOn w:val="749"/>
    <w:next w:val="1370"/>
    <w:link w:val="749"/>
    <w:uiPriority w:val="99"/>
    <w:qFormat/>
    <w:pPr>
      <w:ind w:firstLine="200"/>
      <w:spacing w:after="160" w:line="360" w:lineRule="auto"/>
      <w:widowControl w:val="off"/>
    </w:pPr>
    <w:rPr>
      <w:rFonts w:cs="Calibri"/>
      <w:sz w:val="24"/>
      <w:szCs w:val="24"/>
    </w:rPr>
  </w:style>
  <w:style w:type="paragraph" w:styleId="1371">
    <w:name w:val="absatz4"/>
    <w:basedOn w:val="749"/>
    <w:next w:val="1371"/>
    <w:link w:val="749"/>
    <w:qFormat/>
    <w:pPr>
      <w:ind w:left="2268" w:hanging="2268"/>
      <w:spacing w:after="160" w:line="256" w:lineRule="auto"/>
      <w:tabs>
        <w:tab w:val="left" w:pos="709" w:leader="none"/>
        <w:tab w:val="left" w:pos="2268" w:leader="none"/>
        <w:tab w:val="right" w:pos="10206" w:leader="none"/>
      </w:tabs>
    </w:pPr>
    <w:rPr>
      <w:rFonts w:ascii="Calibri" w:hAnsi="Calibri" w:cs="Calibri"/>
      <w:sz w:val="24"/>
      <w:szCs w:val="20"/>
      <w:lang w:val="en-GB" w:eastAsia="es-ES"/>
    </w:rPr>
  </w:style>
  <w:style w:type="paragraph" w:styleId="1372">
    <w:name w:val="Char Char2 Char Char Char Char Char Char Char Char"/>
    <w:basedOn w:val="749"/>
    <w:next w:val="1372"/>
    <w:link w:val="749"/>
    <w:qFormat/>
    <w:pPr>
      <w:spacing w:after="160" w:line="278" w:lineRule="auto"/>
      <w:widowControl w:val="off"/>
    </w:pPr>
    <w:rPr>
      <w:rFonts w:ascii="Tahoma" w:hAnsi="Tahoma" w:cs="Calibri"/>
      <w:sz w:val="24"/>
      <w:szCs w:val="20"/>
    </w:rPr>
  </w:style>
  <w:style w:type="paragraph" w:styleId="1373">
    <w:name w:val="章标题"/>
    <w:next w:val="749"/>
    <w:link w:val="749"/>
    <w:qFormat/>
    <w:pPr>
      <w:jc w:val="both"/>
      <w:spacing w:after="160" w:line="278" w:lineRule="auto"/>
      <w:outlineLvl w:val="1"/>
    </w:pPr>
    <w:rPr>
      <w:rFonts w:ascii="黑体" w:eastAsia="黑体" w:cs="Calibri"/>
      <w:sz w:val="21"/>
      <w:lang w:val="en-US" w:eastAsia="zh-CN" w:bidi="ar-SA"/>
    </w:rPr>
  </w:style>
  <w:style w:type="paragraph" w:styleId="1374">
    <w:name w:val="trs_editor"/>
    <w:basedOn w:val="749"/>
    <w:next w:val="1374"/>
    <w:link w:val="749"/>
    <w:uiPriority w:val="99"/>
    <w:qFormat/>
    <w:pPr>
      <w:spacing w:before="100" w:beforeAutospacing="1" w:after="100" w:afterAutospacing="1" w:line="278" w:lineRule="auto"/>
    </w:pPr>
    <w:rPr>
      <w:rFonts w:ascii="宋体" w:hAnsi="宋体" w:cs="宋体"/>
      <w:sz w:val="24"/>
      <w:szCs w:val="24"/>
    </w:rPr>
  </w:style>
  <w:style w:type="paragraph" w:styleId="1375">
    <w:name w:val="样式 标题 2 + Times New Roman 四号 非加粗 段前: 5 磅 段后: 0 磅 行距: 固定值 20..._0"/>
    <w:basedOn w:val="749"/>
    <w:next w:val="1375"/>
    <w:link w:val="749"/>
    <w:uiPriority w:val="99"/>
    <w:qFormat/>
    <w:pPr>
      <w:keepLines/>
      <w:keepNext/>
      <w:spacing w:before="100" w:after="160" w:line="360" w:lineRule="auto"/>
      <w:widowControl w:val="off"/>
      <w:outlineLvl w:val="1"/>
    </w:pPr>
    <w:rPr>
      <w:rFonts w:cs="Calibri"/>
      <w:sz w:val="28"/>
      <w:szCs w:val="28"/>
    </w:rPr>
  </w:style>
  <w:style w:type="paragraph" w:styleId="1376">
    <w:name w:val="段"/>
    <w:next w:val="1376"/>
    <w:link w:val="749"/>
    <w:qFormat/>
    <w:pPr>
      <w:ind w:firstLine="420"/>
      <w:jc w:val="both"/>
      <w:spacing w:after="160" w:line="278" w:lineRule="auto"/>
      <w:tabs>
        <w:tab w:val="center" w:pos="4201" w:leader="none"/>
        <w:tab w:val="right" w:pos="9298" w:leader="dot"/>
      </w:tabs>
    </w:pPr>
    <w:rPr>
      <w:rFonts w:ascii="宋体" w:cs="Calibri"/>
      <w:sz w:val="21"/>
      <w:szCs w:val="21"/>
      <w:lang w:val="en-US" w:eastAsia="zh-CN" w:bidi="ar-SA"/>
    </w:rPr>
  </w:style>
  <w:style w:type="paragraph" w:styleId="1377">
    <w:name w:val="表号"/>
    <w:basedOn w:val="1378"/>
    <w:next w:val="1377"/>
    <w:link w:val="749"/>
    <w:qFormat/>
    <w:pPr>
      <w:numPr>
        <w:ilvl w:val="0"/>
        <w:numId w:val="2"/>
      </w:numPr>
      <w:jc w:val="center"/>
      <w:tabs>
        <w:tab w:val="left" w:pos="0" w:leader="none"/>
      </w:tabs>
    </w:pPr>
  </w:style>
  <w:style w:type="paragraph" w:styleId="1378">
    <w:name w:val="正文格式"/>
    <w:basedOn w:val="749"/>
    <w:next w:val="1378"/>
    <w:link w:val="749"/>
    <w:qFormat/>
    <w:pPr>
      <w:ind w:firstLine="482"/>
      <w:spacing w:after="160" w:line="360" w:lineRule="auto"/>
      <w:widowControl w:val="off"/>
    </w:pPr>
    <w:rPr>
      <w:rFonts w:ascii="Calibri" w:hAnsi="Calibri" w:cs="Calibri"/>
      <w:sz w:val="24"/>
      <w:szCs w:val="24"/>
    </w:rPr>
  </w:style>
  <w:style w:type="paragraph" w:styleId="1379">
    <w:name w:val="_Style 235"/>
    <w:basedOn w:val="749"/>
    <w:next w:val="749"/>
    <w:link w:val="749"/>
    <w:qFormat/>
    <w:pPr>
      <w:jc w:val="center"/>
      <w:spacing w:after="160" w:line="278" w:lineRule="auto"/>
      <w:widowControl w:val="off"/>
      <w:pBdr>
        <w:top w:val="single" w:color="000000" w:sz="6" w:space="1"/>
      </w:pBdr>
    </w:pPr>
    <w:rPr>
      <w:rFonts w:ascii="Arial" w:cs="Calibri"/>
      <w:vanish/>
      <w:sz w:val="16"/>
      <w:szCs w:val="21"/>
    </w:rPr>
  </w:style>
  <w:style w:type="paragraph" w:styleId="1380">
    <w:name w:val="正文_3"/>
    <w:next w:val="1380"/>
    <w:link w:val="749"/>
    <w:uiPriority w:val="99"/>
    <w:qFormat/>
    <w:pPr>
      <w:jc w:val="both"/>
      <w:spacing w:after="160" w:line="278" w:lineRule="auto"/>
      <w:widowControl w:val="off"/>
    </w:pPr>
    <w:rPr>
      <w:rFonts w:cs="Calibri"/>
      <w:sz w:val="21"/>
      <w:szCs w:val="21"/>
      <w:lang w:val="en-US" w:eastAsia="zh-CN" w:bidi="ar-SA"/>
    </w:rPr>
  </w:style>
  <w:style w:type="paragraph" w:styleId="1381">
    <w:name w:val="_Style 36"/>
    <w:next w:val="749"/>
    <w:link w:val="749"/>
    <w:uiPriority w:val="99"/>
    <w:qFormat/>
    <w:pPr>
      <w:jc w:val="both"/>
      <w:spacing w:after="160" w:line="278" w:lineRule="auto"/>
      <w:widowControl w:val="off"/>
    </w:pPr>
    <w:rPr>
      <w:rFonts w:cs="Calibri"/>
      <w:sz w:val="21"/>
      <w:szCs w:val="21"/>
      <w:lang w:val="en-US" w:eastAsia="zh-CN" w:bidi="ar-SA"/>
    </w:rPr>
  </w:style>
  <w:style w:type="paragraph" w:styleId="1382">
    <w:name w:val="op_mapdots_left"/>
    <w:basedOn w:val="749"/>
    <w:next w:val="1382"/>
    <w:link w:val="749"/>
    <w:uiPriority w:val="99"/>
    <w:qFormat/>
    <w:pPr>
      <w:spacing w:before="100" w:beforeAutospacing="1" w:after="100" w:afterAutospacing="1" w:line="278" w:lineRule="auto"/>
    </w:pPr>
    <w:rPr>
      <w:rFonts w:ascii="宋体" w:hAnsi="宋体" w:cs="宋体"/>
      <w:sz w:val="24"/>
      <w:szCs w:val="24"/>
    </w:rPr>
  </w:style>
  <w:style w:type="paragraph" w:styleId="1383">
    <w:name w:val="flNote"/>
    <w:basedOn w:val="749"/>
    <w:next w:val="1383"/>
    <w:link w:val="749"/>
    <w:uiPriority w:val="99"/>
    <w:qFormat/>
    <w:pPr>
      <w:jc w:val="center"/>
      <w:spacing w:before="320" w:after="160" w:line="360" w:lineRule="atLeast"/>
      <w:widowControl w:val="off"/>
    </w:pPr>
    <w:rPr>
      <w:rFonts w:ascii="Arial" w:hAnsi="Calibri" w:eastAsia="黑体" w:cs="Arial"/>
      <w:sz w:val="30"/>
      <w:szCs w:val="30"/>
    </w:rPr>
  </w:style>
  <w:style w:type="paragraph" w:styleId="1384">
    <w:name w:val="Table Paragraph"/>
    <w:basedOn w:val="749"/>
    <w:next w:val="1384"/>
    <w:link w:val="749"/>
    <w:uiPriority w:val="1"/>
    <w:qFormat/>
    <w:pPr>
      <w:jc w:val="center"/>
      <w:spacing w:after="160" w:line="278" w:lineRule="auto"/>
      <w:widowControl w:val="off"/>
    </w:pPr>
    <w:rPr>
      <w:rFonts w:cs="Calibri"/>
      <w:sz w:val="21"/>
      <w:szCs w:val="21"/>
    </w:rPr>
  </w:style>
  <w:style w:type="paragraph" w:styleId="1385">
    <w:name w:val="目录 3_0"/>
    <w:basedOn w:val="1168"/>
    <w:next w:val="1168"/>
    <w:link w:val="749"/>
    <w:uiPriority w:val="99"/>
    <w:qFormat/>
    <w:pPr>
      <w:ind w:left="840"/>
    </w:pPr>
    <w:rPr>
      <w:rFonts w:ascii="Calibri" w:hAnsi="Calibri"/>
    </w:rPr>
  </w:style>
  <w:style w:type="table" w:styleId="1386">
    <w:name w:val="Table Normal"/>
    <w:next w:val="1386"/>
    <w:link w:val="749"/>
    <w:uiPriority w:val="2"/>
    <w:unhideWhenUsed/>
    <w:qFormat/>
    <w:pPr>
      <w:spacing w:after="160" w:line="278" w:lineRule="auto"/>
    </w:pPr>
    <w:rPr>
      <w:rFonts w:ascii="Calibri" w:hAnsi="Calibri" w:cs="Calibri"/>
      <w:lang w:val="en-US" w:eastAsia="zh-CN" w:bidi="ar-SA"/>
    </w:rPr>
    <w:tblPr/>
  </w:style>
  <w:style w:type="character" w:styleId="1387">
    <w:name w:val="NormalCharacter1"/>
    <w:next w:val="1387"/>
    <w:link w:val="749"/>
    <w:semiHidden/>
    <w:qFormat/>
    <w:rPr>
      <w:rFonts w:ascii="Times New Roman" w:hAnsi="Times New Roman" w:eastAsia="宋体" w:cs="Times New Roman"/>
    </w:rPr>
  </w:style>
  <w:style w:type="character" w:styleId="1388">
    <w:name w:val="宏文本 Char2"/>
    <w:next w:val="1388"/>
    <w:link w:val="749"/>
    <w:uiPriority w:val="99"/>
    <w:semiHidden/>
    <w:qFormat/>
    <w:rPr>
      <w:rFonts w:ascii="Courier New" w:hAnsi="Courier New" w:eastAsia="宋体" w:cs="Courier New"/>
      <w:sz w:val="24"/>
      <w:szCs w:val="24"/>
    </w:rPr>
  </w:style>
  <w:style w:type="character" w:styleId="1389">
    <w:name w:val="副标题 Char3"/>
    <w:next w:val="1389"/>
    <w:link w:val="749"/>
    <w:uiPriority w:val="11"/>
    <w:qFormat/>
    <w:rPr>
      <w:rFonts w:ascii="Cambria" w:hAnsi="Cambria" w:eastAsia="宋体" w:cs="Times New Roman"/>
      <w:b/>
      <w:bCs/>
      <w:sz w:val="32"/>
      <w:szCs w:val="32"/>
    </w:rPr>
  </w:style>
  <w:style w:type="character" w:styleId="1390">
    <w:name w:val="批注文字 Char3"/>
    <w:next w:val="1390"/>
    <w:link w:val="749"/>
    <w:uiPriority w:val="99"/>
    <w:semiHidden/>
    <w:qFormat/>
  </w:style>
  <w:style w:type="character" w:styleId="1391">
    <w:name w:val="批注主题 Char3"/>
    <w:next w:val="1391"/>
    <w:link w:val="749"/>
    <w:uiPriority w:val="99"/>
    <w:semiHidden/>
    <w:qFormat/>
    <w:rPr>
      <w:b/>
      <w:bCs/>
    </w:rPr>
  </w:style>
  <w:style w:type="character" w:styleId="1392">
    <w:name w:val="正文文本缩进 2 Char1"/>
    <w:next w:val="1392"/>
    <w:link w:val="749"/>
    <w:uiPriority w:val="99"/>
    <w:semiHidden/>
    <w:qFormat/>
  </w:style>
  <w:style w:type="character" w:styleId="1393">
    <w:name w:val="日期 Char3"/>
    <w:next w:val="1393"/>
    <w:link w:val="749"/>
    <w:uiPriority w:val="99"/>
    <w:semiHidden/>
    <w:qFormat/>
  </w:style>
  <w:style w:type="character" w:styleId="1394">
    <w:name w:val="HTML 预设格式 Char1"/>
    <w:next w:val="1394"/>
    <w:link w:val="749"/>
    <w:uiPriority w:val="99"/>
    <w:semiHidden/>
    <w:qFormat/>
    <w:rPr>
      <w:rFonts w:ascii="Courier New" w:hAnsi="Courier New" w:cs="Courier New"/>
      <w:sz w:val="20"/>
      <w:szCs w:val="20"/>
    </w:rPr>
  </w:style>
  <w:style w:type="character" w:styleId="1395">
    <w:name w:val="正文文本缩进 Char1"/>
    <w:next w:val="1395"/>
    <w:link w:val="749"/>
    <w:uiPriority w:val="99"/>
    <w:semiHidden/>
    <w:qFormat/>
  </w:style>
  <w:style w:type="character" w:styleId="1396">
    <w:name w:val="正文首行缩进 2 Char1"/>
    <w:next w:val="1396"/>
    <w:link w:val="749"/>
    <w:uiPriority w:val="99"/>
    <w:semiHidden/>
    <w:qFormat/>
  </w:style>
  <w:style w:type="character" w:styleId="1397">
    <w:name w:val="正文文本 3 Char2"/>
    <w:next w:val="1397"/>
    <w:link w:val="749"/>
    <w:uiPriority w:val="99"/>
    <w:semiHidden/>
    <w:qFormat/>
    <w:rPr>
      <w:sz w:val="16"/>
      <w:szCs w:val="16"/>
    </w:rPr>
  </w:style>
  <w:style w:type="character" w:styleId="1398">
    <w:name w:val="标题 Char3"/>
    <w:next w:val="1398"/>
    <w:link w:val="749"/>
    <w:uiPriority w:val="10"/>
    <w:qFormat/>
    <w:rPr>
      <w:rFonts w:ascii="Cambria" w:hAnsi="Cambria" w:eastAsia="宋体" w:cs="Times New Roman"/>
      <w:b/>
      <w:bCs/>
      <w:sz w:val="32"/>
      <w:szCs w:val="32"/>
    </w:rPr>
  </w:style>
  <w:style w:type="character" w:styleId="1399">
    <w:name w:val="纯文本 Char1"/>
    <w:next w:val="1399"/>
    <w:link w:val="749"/>
    <w:uiPriority w:val="99"/>
    <w:semiHidden/>
    <w:qFormat/>
    <w:rPr>
      <w:rFonts w:ascii="宋体" w:hAnsi="Courier New" w:eastAsia="宋体" w:cs="Courier New"/>
      <w:szCs w:val="21"/>
    </w:rPr>
  </w:style>
  <w:style w:type="character" w:styleId="1400">
    <w:name w:val="正文文本 Char3"/>
    <w:next w:val="1400"/>
    <w:link w:val="749"/>
    <w:uiPriority w:val="99"/>
    <w:semiHidden/>
    <w:qFormat/>
  </w:style>
  <w:style w:type="character" w:styleId="1401">
    <w:name w:val="批注框文本 Char3"/>
    <w:next w:val="1401"/>
    <w:link w:val="749"/>
    <w:uiPriority w:val="99"/>
    <w:semiHidden/>
    <w:qFormat/>
    <w:rPr>
      <w:sz w:val="18"/>
      <w:szCs w:val="18"/>
    </w:rPr>
  </w:style>
  <w:style w:type="character" w:styleId="1402">
    <w:name w:val="文档结构图 Char3"/>
    <w:next w:val="1402"/>
    <w:link w:val="749"/>
    <w:uiPriority w:val="99"/>
    <w:semiHidden/>
    <w:qFormat/>
    <w:rPr>
      <w:rFonts w:ascii="宋体" w:eastAsia="宋体"/>
      <w:sz w:val="18"/>
      <w:szCs w:val="18"/>
    </w:rPr>
  </w:style>
  <w:style w:type="character" w:styleId="1403">
    <w:name w:val="正文文本缩进 3 Char2"/>
    <w:next w:val="1403"/>
    <w:link w:val="749"/>
    <w:uiPriority w:val="99"/>
    <w:semiHidden/>
    <w:qFormat/>
    <w:rPr>
      <w:sz w:val="16"/>
      <w:szCs w:val="16"/>
    </w:rPr>
  </w:style>
  <w:style w:type="character" w:styleId="1404">
    <w:name w:val="引用 Char4"/>
    <w:next w:val="1404"/>
    <w:link w:val="749"/>
    <w:uiPriority w:val="29"/>
    <w:qFormat/>
    <w:rPr>
      <w:i/>
      <w:iCs/>
      <w:color w:val="000000"/>
    </w:rPr>
  </w:style>
  <w:style w:type="character" w:styleId="1405">
    <w:name w:val="明显引用 Char4"/>
    <w:next w:val="1405"/>
    <w:link w:val="749"/>
    <w:uiPriority w:val="30"/>
    <w:qFormat/>
    <w:rPr>
      <w:b/>
      <w:bCs/>
      <w:i/>
      <w:iCs/>
      <w:color w:val="4f81bd"/>
    </w:rPr>
  </w:style>
  <w:style w:type="table" w:styleId="1406">
    <w:name w:val="网格型111"/>
    <w:basedOn w:val="760"/>
    <w:next w:val="1406"/>
    <w:link w:val="749"/>
    <w:qFormat/>
    <w:pPr>
      <w:spacing w:after="160" w:line="278" w:lineRule="auto"/>
    </w:pPr>
    <w:rPr>
      <w:rFonts w:ascii="Calibri" w:hAnsi="Calibri" w:cs="Calibri"/>
    </w:rPr>
    <w:tblPr/>
  </w:style>
  <w:style w:type="table" w:styleId="1407">
    <w:name w:val="Table Normal1"/>
    <w:next w:val="1407"/>
    <w:link w:val="749"/>
    <w:uiPriority w:val="2"/>
    <w:unhideWhenUsed/>
    <w:qFormat/>
    <w:pPr>
      <w:spacing w:after="160" w:line="278" w:lineRule="auto"/>
    </w:pPr>
    <w:rPr>
      <w:rFonts w:ascii="Calibri" w:hAnsi="Calibri" w:cs="Calibri"/>
      <w:lang w:val="en-US" w:eastAsia="zh-CN" w:bidi="ar-SA"/>
    </w:rPr>
    <w:tblPr/>
  </w:style>
  <w:style w:type="paragraph" w:styleId="1408">
    <w:name w:val="Normal_1"/>
    <w:next w:val="1408"/>
    <w:link w:val="749"/>
    <w:qFormat/>
    <w:pPr>
      <w:spacing w:after="160" w:line="560" w:lineRule="exact"/>
    </w:pPr>
    <w:rPr>
      <w:sz w:val="24"/>
      <w:szCs w:val="24"/>
      <w:lang w:val="en-US" w:eastAsia="zh-CN" w:bidi="ar-SA"/>
    </w:rPr>
  </w:style>
  <w:style w:type="table" w:styleId="1409">
    <w:name w:val="Table Normal2"/>
    <w:next w:val="1409"/>
    <w:link w:val="749"/>
    <w:uiPriority w:val="2"/>
    <w:unhideWhenUsed/>
    <w:qFormat/>
    <w:pPr>
      <w:spacing w:after="160" w:line="278" w:lineRule="auto"/>
    </w:pPr>
    <w:rPr>
      <w:rFonts w:ascii="Calibri" w:hAnsi="Calibri" w:cs="Calibri"/>
      <w:lang w:val="en-US" w:eastAsia="zh-CN" w:bidi="ar-SA"/>
    </w:rPr>
    <w:tblPr/>
  </w:style>
  <w:style w:type="character" w:styleId="1410" w:default="1">
    <w:name w:val="Default Paragraph Font"/>
    <w:uiPriority w:val="1"/>
    <w:semiHidden/>
    <w:unhideWhenUsed/>
  </w:style>
  <w:style w:type="numbering" w:styleId="1411" w:default="1">
    <w:name w:val="No List"/>
    <w:uiPriority w:val="99"/>
    <w:semiHidden/>
    <w:unhideWhenUsed/>
  </w:style>
  <w:style w:type="table" w:styleId="14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6</cp:revision>
  <dcterms:created xsi:type="dcterms:W3CDTF">2026-06-16T07:42:00Z</dcterms:created>
  <dcterms:modified xsi:type="dcterms:W3CDTF">2026-06-17T02:03:37Z</dcterms:modified>
  <cp:version>1048576</cp:version>
</cp:coreProperties>
</file>