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jc w:val="center"/>
        <w:spacing w:line="500" w:lineRule="exact"/>
        <w:rPr>
          <w:rFonts w:eastAsia="方正小标宋_GBK"/>
          <w:bCs/>
          <w:color w:val="000000"/>
          <w:spacing w:val="20"/>
          <w:sz w:val="44"/>
        </w:rPr>
      </w:pPr>
      <w:r>
        <w:rPr>
          <w:rFonts w:eastAsia="方正小标宋_GBK"/>
          <w:bCs/>
          <w:color w:val="000000"/>
          <w:spacing w:val="20"/>
          <w:sz w:val="44"/>
        </w:rPr>
      </w:r>
      <w:r/>
    </w:p>
    <w:p>
      <w:pPr>
        <w:pStyle w:val="716"/>
        <w:jc w:val="center"/>
        <w:spacing w:line="500" w:lineRule="exact"/>
        <w:rPr>
          <w:rFonts w:eastAsia="方正小标宋_GBK"/>
          <w:bCs/>
          <w:color w:val="000000"/>
          <w:spacing w:val="20"/>
          <w:sz w:val="44"/>
        </w:rPr>
      </w:pPr>
      <w:r>
        <w:rPr>
          <w:rFonts w:eastAsia="方正小标宋_GBK"/>
          <w:bCs/>
          <w:color w:val="000000"/>
          <w:spacing w:val="20"/>
          <w:sz w:val="44"/>
        </w:rPr>
        <w:t xml:space="preserve">江苏航运职业技术学院</w:t>
      </w:r>
      <w:r>
        <w:rPr>
          <w:rFonts w:eastAsia="方正小标宋_GBK"/>
          <w:bCs/>
          <w:color w:val="000000"/>
          <w:spacing w:val="20"/>
          <w:sz w:val="44"/>
        </w:rPr>
      </w:r>
      <w:r/>
    </w:p>
    <w:p>
      <w:pPr>
        <w:pStyle w:val="716"/>
        <w:jc w:val="center"/>
        <w:spacing w:line="500" w:lineRule="exact"/>
        <w:rPr>
          <w:rFonts w:eastAsia="方正小标宋_GBK"/>
          <w:bCs/>
          <w:color w:val="000000"/>
          <w:spacing w:val="20"/>
          <w:sz w:val="44"/>
        </w:rPr>
        <w:outlineLvl w:val="0"/>
      </w:pPr>
      <w:r>
        <w:rPr>
          <w:rFonts w:eastAsia="方正小标宋_GBK"/>
          <w:bCs/>
          <w:color w:val="000000"/>
          <w:spacing w:val="20"/>
          <w:sz w:val="44"/>
        </w:rPr>
        <w:t xml:space="preserve">船舶海工结构虚拟仿真中心采购项目</w:t>
      </w:r>
      <w:r>
        <w:rPr>
          <w:rFonts w:eastAsia="方正小标宋_GBK"/>
          <w:bCs/>
          <w:color w:val="000000"/>
          <w:spacing w:val="20"/>
          <w:sz w:val="44"/>
        </w:rPr>
      </w:r>
      <w:r/>
    </w:p>
    <w:p>
      <w:pPr>
        <w:pStyle w:val="1196"/>
        <w:spacing w:line="500" w:lineRule="exact"/>
        <w:rPr>
          <w:color w:val="000000"/>
          <w:sz w:val="52"/>
          <w:szCs w:val="52"/>
        </w:rPr>
        <w:outlineLvl w:val="9"/>
      </w:pPr>
      <w:r/>
      <w:bookmarkStart w:id="0" w:name="_Toc30582"/>
      <w:r>
        <w:rPr>
          <w:color w:val="000000"/>
          <w:sz w:val="52"/>
          <w:szCs w:val="52"/>
        </w:rPr>
      </w:r>
      <w:r/>
    </w:p>
    <w:p>
      <w:pPr>
        <w:pStyle w:val="1196"/>
        <w:spacing w:line="500" w:lineRule="exact"/>
        <w:rPr>
          <w:color w:val="000000"/>
          <w:sz w:val="52"/>
          <w:szCs w:val="52"/>
        </w:rPr>
        <w:outlineLvl w:val="9"/>
      </w:pPr>
      <w:r>
        <w:rPr>
          <w:color w:val="000000"/>
          <w:sz w:val="52"/>
          <w:szCs w:val="52"/>
        </w:rPr>
      </w:r>
      <w:r/>
    </w:p>
    <w:p>
      <w:pPr>
        <w:pStyle w:val="1196"/>
        <w:spacing w:line="500" w:lineRule="exact"/>
        <w:rPr>
          <w:color w:val="000000"/>
          <w:sz w:val="52"/>
          <w:szCs w:val="52"/>
        </w:rPr>
        <w:outlineLvl w:val="9"/>
      </w:pPr>
      <w:r>
        <w:rPr>
          <w:color w:val="000000"/>
          <w:sz w:val="52"/>
          <w:szCs w:val="52"/>
        </w:rPr>
      </w:r>
      <w:r/>
    </w:p>
    <w:p>
      <w:pPr>
        <w:pStyle w:val="1196"/>
        <w:spacing w:line="500" w:lineRule="exact"/>
        <w:rPr>
          <w:color w:val="000000"/>
          <w:sz w:val="52"/>
          <w:szCs w:val="52"/>
        </w:rPr>
        <w:outlineLvl w:val="9"/>
      </w:pPr>
      <w:r>
        <w:rPr>
          <w:color w:val="000000"/>
          <w:sz w:val="52"/>
          <w:szCs w:val="52"/>
        </w:rPr>
        <w:t xml:space="preserve">公开招标文件</w:t>
      </w:r>
      <w:bookmarkEnd w:id="0"/>
      <w:r>
        <w:rPr>
          <w:color w:val="000000"/>
          <w:sz w:val="52"/>
          <w:szCs w:val="52"/>
        </w:rPr>
      </w:r>
      <w:r/>
    </w:p>
    <w:p>
      <w:pPr>
        <w:pStyle w:val="1196"/>
        <w:spacing w:line="500" w:lineRule="exact"/>
        <w:rPr>
          <w:b w:val="0"/>
          <w:bCs/>
          <w:color w:val="000000"/>
          <w:sz w:val="36"/>
          <w:szCs w:val="36"/>
        </w:rPr>
        <w:outlineLvl w:val="9"/>
      </w:pPr>
      <w:r>
        <w:rPr>
          <w:b w:val="0"/>
          <w:bCs/>
          <w:color w:val="000000"/>
          <w:sz w:val="36"/>
          <w:szCs w:val="36"/>
        </w:rPr>
      </w:r>
      <w:r/>
    </w:p>
    <w:p>
      <w:pPr>
        <w:pStyle w:val="1196"/>
        <w:spacing w:line="500" w:lineRule="exact"/>
        <w:rPr>
          <w:color w:val="000000"/>
          <w:sz w:val="36"/>
          <w:szCs w:val="36"/>
          <w:shd w:val="clear" w:color="auto" w:fill="ffffff"/>
        </w:rPr>
        <w:outlineLvl w:val="9"/>
      </w:pPr>
      <w:r>
        <w:rPr>
          <w:color w:val="000000"/>
          <w:sz w:val="36"/>
          <w:szCs w:val="36"/>
          <w:shd w:val="clear" w:color="auto" w:fill="ffffff"/>
        </w:rPr>
        <w:t xml:space="preserve">项目编号：JSZC-320690-JZCG-G2026-0005</w:t>
      </w:r>
      <w:r>
        <w:rPr>
          <w:color w:val="000000"/>
          <w:sz w:val="36"/>
          <w:szCs w:val="36"/>
          <w:shd w:val="clear" w:color="auto" w:fill="ffffff"/>
        </w:rPr>
      </w:r>
      <w:r/>
    </w:p>
    <w:p>
      <w:pPr>
        <w:pStyle w:val="716"/>
        <w:jc w:val="center"/>
        <w:spacing w:line="500" w:lineRule="exact"/>
        <w:rPr>
          <w:b/>
          <w:color w:val="000000"/>
          <w:sz w:val="36"/>
          <w:szCs w:val="36"/>
        </w:rPr>
      </w:pPr>
      <w:r>
        <w:rPr>
          <w:b/>
          <w:color w:val="000000"/>
          <w:sz w:val="36"/>
          <w:szCs w:val="36"/>
        </w:rPr>
      </w:r>
      <w:r/>
    </w:p>
    <w:p>
      <w:pPr>
        <w:pStyle w:val="716"/>
        <w:spacing w:line="500" w:lineRule="exact"/>
        <w:rPr>
          <w:color w:val="000000"/>
        </w:rPr>
      </w:pPr>
      <w:r>
        <w:rPr>
          <w:color w:val="000000"/>
        </w:rPr>
      </w:r>
      <w:r>
        <w:rPr>
          <w:color w:val="00000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0" o:title=""/>
          </v:shape>
          <o:OLEObject DrawAspect="Content" r:id="rId11" ObjectID="_1525040" ProgID="MS_ClipArt_Gallery" ShapeID="_x0000_i0" Type="Embed"/>
        </w:object>
      </w:r>
      <w:r>
        <w:rPr>
          <w:color w:val="000000"/>
        </w:rPr>
      </w:r>
      <w:r/>
    </w:p>
    <w:p>
      <w:pPr>
        <w:pStyle w:val="716"/>
        <w:jc w:val="center"/>
        <w:spacing w:line="500" w:lineRule="exact"/>
        <w:rPr>
          <w:color w:val="000000"/>
          <w:sz w:val="32"/>
        </w:rPr>
      </w:pPr>
      <w:r>
        <w:rPr>
          <w:color w:val="000000"/>
          <w:sz w:val="32"/>
        </w:rPr>
      </w:r>
      <w:r/>
    </w:p>
    <w:p>
      <w:pPr>
        <w:pStyle w:val="716"/>
        <w:jc w:val="center"/>
        <w:spacing w:line="500" w:lineRule="exact"/>
        <w:rPr>
          <w:color w:val="000000"/>
          <w:sz w:val="32"/>
        </w:rPr>
      </w:pPr>
      <w:r>
        <w:rPr>
          <w:color w:val="000000"/>
          <w:sz w:val="32"/>
        </w:rPr>
      </w:r>
      <w:r/>
    </w:p>
    <w:p>
      <w:pPr>
        <w:pStyle w:val="716"/>
        <w:jc w:val="center"/>
        <w:spacing w:line="500" w:lineRule="exact"/>
        <w:rPr>
          <w:color w:val="000000"/>
          <w:sz w:val="32"/>
        </w:rPr>
      </w:pPr>
      <w:r>
        <w:rPr>
          <w:color w:val="000000"/>
          <w:sz w:val="32"/>
        </w:rPr>
      </w:r>
      <w:r/>
    </w:p>
    <w:p>
      <w:pPr>
        <w:pStyle w:val="716"/>
        <w:spacing w:line="500" w:lineRule="exact"/>
        <w:rPr>
          <w:b/>
          <w:color w:val="000000"/>
          <w:spacing w:val="20"/>
          <w:sz w:val="44"/>
        </w:rPr>
      </w:pPr>
      <w:r>
        <w:rPr>
          <w:b/>
          <w:color w:val="000000"/>
          <w:spacing w:val="20"/>
          <w:sz w:val="44"/>
        </w:rPr>
      </w:r>
      <w:r/>
    </w:p>
    <w:p>
      <w:pPr>
        <w:pStyle w:val="827"/>
        <w:ind w:firstLine="0"/>
        <w:rPr>
          <w:rFonts w:ascii="Times New Roman" w:hAnsi="Times New Roman"/>
          <w:b/>
          <w:bCs/>
          <w:color w:val="000000"/>
          <w:sz w:val="32"/>
        </w:rPr>
      </w:pPr>
      <w:r>
        <w:rPr>
          <w:rFonts w:ascii="Times New Roman" w:hAnsi="Times New Roman"/>
          <w:b/>
          <w:bCs/>
          <w:color w:val="000000"/>
          <w:sz w:val="32"/>
        </w:rPr>
        <w:t xml:space="preserve">南通市经济技术开发区公共资源交易中心</w:t>
      </w:r>
      <w:r>
        <w:rPr>
          <w:rFonts w:ascii="Times New Roman" w:hAnsi="Times New Roman"/>
          <w:b/>
          <w:bCs/>
          <w:color w:val="000000"/>
          <w:sz w:val="32"/>
        </w:rPr>
      </w:r>
      <w:r/>
    </w:p>
    <w:p>
      <w:pPr>
        <w:pStyle w:val="827"/>
        <w:ind w:left="0" w:firstLine="3039"/>
        <w:jc w:val="both"/>
        <w:rPr>
          <w:rFonts w:ascii="Times New Roman" w:hAnsi="Times New Roman"/>
          <w:b/>
          <w:bCs/>
          <w:color w:val="000000"/>
          <w:sz w:val="32"/>
        </w:rPr>
      </w:pPr>
      <w:r>
        <w:rPr>
          <w:rFonts w:ascii="Times New Roman" w:hAnsi="Times New Roman"/>
          <w:b/>
          <w:bCs/>
          <w:color w:val="000000"/>
          <w:sz w:val="32"/>
        </w:rPr>
        <w:t xml:space="preserve">二〇二六年</w:t>
      </w:r>
      <w:r>
        <w:rPr>
          <w:rFonts w:hint="eastAsia" w:ascii="Times New Roman" w:hAnsi="Times New Roman"/>
          <w:b/>
          <w:bCs/>
          <w:color w:val="000000"/>
          <w:sz w:val="32"/>
        </w:rPr>
        <w:t xml:space="preserve">七</w:t>
      </w:r>
      <w:r>
        <w:rPr>
          <w:rFonts w:ascii="Times New Roman" w:hAnsi="Times New Roman"/>
          <w:b/>
          <w:bCs/>
          <w:color w:val="000000"/>
          <w:sz w:val="32"/>
        </w:rPr>
        <w:t xml:space="preserve">月</w:t>
      </w:r>
      <w:r>
        <w:rPr>
          <w:rFonts w:ascii="Times New Roman" w:hAnsi="Times New Roman"/>
          <w:b/>
          <w:bCs/>
          <w:color w:val="000000"/>
          <w:sz w:val="32"/>
        </w:rPr>
      </w:r>
      <w:r/>
    </w:p>
    <w:p>
      <w:pPr>
        <w:pStyle w:val="716"/>
        <w:ind w:left="-158"/>
        <w:rPr>
          <w:b/>
          <w:color w:val="000000"/>
          <w:sz w:val="26"/>
          <w:szCs w:val="28"/>
          <w:u w:val="single"/>
        </w:rPr>
      </w:pPr>
      <w:r>
        <w:rPr>
          <w:b/>
          <w:color w:val="000000"/>
          <w:sz w:val="26"/>
          <w:szCs w:val="28"/>
          <w:u w:val="single"/>
        </w:rPr>
        <w:t xml:space="preserve">                                 </w:t>
      </w:r>
      <w:r>
        <w:rPr>
          <w:b/>
          <w:color w:val="000000"/>
          <w:sz w:val="26"/>
          <w:szCs w:val="28"/>
          <w:u w:val="single"/>
        </w:rPr>
      </w:r>
      <w:r/>
    </w:p>
    <w:p>
      <w:pPr>
        <w:pStyle w:val="716"/>
        <w:ind w:left="-158"/>
        <w:rPr>
          <w:rFonts w:hint="eastAsia"/>
          <w:b/>
          <w:color w:val="000000"/>
          <w:sz w:val="26"/>
          <w:szCs w:val="28"/>
          <w:u w:val="single"/>
        </w:rPr>
      </w:pPr>
      <w:r>
        <w:rPr>
          <w:b/>
          <w:color w:val="000000"/>
          <w:sz w:val="26"/>
          <w:szCs w:val="28"/>
          <w:u w:val="single"/>
        </w:rPr>
        <w:t xml:space="preserve">                           </w:t>
      </w:r>
      <w:r>
        <w:rPr>
          <w:rFonts w:hint="eastAsia"/>
          <w:b/>
          <w:color w:val="000000"/>
          <w:sz w:val="26"/>
          <w:szCs w:val="28"/>
          <w:u w:val="single"/>
          <w:lang w:val="en-US" w:eastAsia="zh-CN"/>
        </w:rPr>
        <w:t xml:space="preserve">                               </w:t>
      </w:r>
      <w:r>
        <w:rPr>
          <w:b/>
          <w:color w:val="000000"/>
          <w:sz w:val="26"/>
          <w:szCs w:val="28"/>
          <w:u w:val="single"/>
        </w:rPr>
        <w:t xml:space="preserve">        </w:t>
      </w:r>
      <w:r>
        <w:rPr>
          <w:rFonts w:hint="eastAsia"/>
          <w:b/>
          <w:color w:val="000000"/>
          <w:sz w:val="26"/>
          <w:szCs w:val="28"/>
          <w:u w:val="single"/>
        </w:rPr>
      </w:r>
      <w:r/>
    </w:p>
    <w:p>
      <w:pPr>
        <w:pStyle w:val="716"/>
        <w:jc w:val="center"/>
        <w:spacing w:line="360" w:lineRule="auto"/>
        <w:rPr>
          <w:rFonts w:eastAsia="方正仿宋_GBK"/>
          <w:b/>
          <w:color w:val="000000"/>
          <w:sz w:val="32"/>
          <w:szCs w:val="32"/>
        </w:rPr>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eastAsia="方正仿宋_GBK"/>
          <w:b/>
          <w:color w:val="000000"/>
          <w:sz w:val="32"/>
          <w:szCs w:val="32"/>
        </w:rPr>
      </w:r>
      <w:r/>
    </w:p>
    <w:p>
      <w:pPr>
        <w:pStyle w:val="716"/>
        <w:jc w:val="center"/>
        <w:spacing w:line="360" w:lineRule="auto"/>
        <w:rPr>
          <w:rFonts w:eastAsia="方正仿宋_GBK"/>
          <w:b/>
          <w:color w:val="000000"/>
          <w:sz w:val="32"/>
          <w:szCs w:val="32"/>
        </w:rPr>
      </w:pPr>
      <w:r>
        <w:rPr>
          <w:rFonts w:eastAsia="方正仿宋_GBK"/>
          <w:b/>
          <w:color w:val="000000"/>
          <w:sz w:val="32"/>
          <w:szCs w:val="32"/>
        </w:rPr>
      </w:r>
      <w:r/>
    </w:p>
    <w:p>
      <w:pPr>
        <w:pStyle w:val="716"/>
        <w:jc w:val="center"/>
        <w:spacing w:line="360" w:lineRule="auto"/>
        <w:rPr>
          <w:rFonts w:eastAsia="方正黑体_GBK"/>
          <w:color w:val="000000"/>
          <w:sz w:val="44"/>
          <w:szCs w:val="44"/>
        </w:rPr>
      </w:pPr>
      <w:r>
        <w:rPr>
          <w:rFonts w:eastAsia="方正黑体_GBK"/>
          <w:color w:val="000000"/>
          <w:sz w:val="44"/>
          <w:szCs w:val="44"/>
        </w:rPr>
        <w:t xml:space="preserve">目 录</w:t>
      </w:r>
      <w:r>
        <w:rPr>
          <w:rFonts w:eastAsia="方正黑体_GBK"/>
          <w:color w:val="000000"/>
          <w:sz w:val="44"/>
          <w:szCs w:val="44"/>
        </w:rPr>
      </w:r>
      <w:r/>
    </w:p>
    <w:p>
      <w:pPr>
        <w:pStyle w:val="716"/>
        <w:jc w:val="center"/>
        <w:spacing w:line="360" w:lineRule="auto"/>
        <w:rPr>
          <w:rFonts w:eastAsia="方正黑体_GBK"/>
          <w:color w:val="000000"/>
          <w:sz w:val="32"/>
          <w:szCs w:val="32"/>
        </w:rPr>
      </w:pPr>
      <w:r>
        <w:rPr>
          <w:rFonts w:eastAsia="方正黑体_GBK"/>
          <w:color w:val="000000"/>
          <w:sz w:val="32"/>
          <w:szCs w:val="32"/>
        </w:rPr>
      </w:r>
      <w:r/>
    </w:p>
    <w:p>
      <w:pPr>
        <w:pStyle w:val="716"/>
        <w:jc w:val="center"/>
        <w:spacing w:line="360" w:lineRule="auto"/>
        <w:rPr>
          <w:rFonts w:eastAsia="方正黑体_GBK"/>
          <w:color w:val="000000"/>
          <w:sz w:val="32"/>
          <w:szCs w:val="32"/>
        </w:rPr>
      </w:pPr>
      <w:r>
        <w:rPr>
          <w:rFonts w:eastAsia="方正黑体_GBK"/>
          <w:color w:val="000000"/>
          <w:sz w:val="32"/>
          <w:szCs w:val="32"/>
        </w:rPr>
      </w:r>
      <w:r/>
    </w:p>
    <w:p>
      <w:pPr>
        <w:pStyle w:val="716"/>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第一部分  投标邀请</w:t>
      </w:r>
      <w:r>
        <w:rPr>
          <w:rFonts w:eastAsia="方正黑体_GBK"/>
          <w:color w:val="000000"/>
          <w:spacing w:val="2"/>
          <w:sz w:val="32"/>
          <w:szCs w:val="32"/>
        </w:rPr>
      </w:r>
      <w:r/>
    </w:p>
    <w:p>
      <w:pPr>
        <w:pStyle w:val="716"/>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第二部分  投标须知</w:t>
      </w:r>
      <w:r>
        <w:rPr>
          <w:rFonts w:eastAsia="方正黑体_GBK"/>
          <w:color w:val="000000"/>
          <w:spacing w:val="2"/>
          <w:sz w:val="32"/>
          <w:szCs w:val="32"/>
        </w:rPr>
      </w:r>
      <w:r/>
    </w:p>
    <w:p>
      <w:pPr>
        <w:pStyle w:val="716"/>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第三部分  项目需求</w:t>
      </w:r>
      <w:r>
        <w:rPr>
          <w:rFonts w:eastAsia="方正黑体_GBK"/>
          <w:color w:val="000000"/>
          <w:spacing w:val="2"/>
          <w:sz w:val="32"/>
          <w:szCs w:val="32"/>
        </w:rPr>
      </w:r>
      <w:r/>
    </w:p>
    <w:p>
      <w:pPr>
        <w:pStyle w:val="716"/>
        <w:ind w:firstLine="640"/>
        <w:spacing w:line="360" w:lineRule="auto"/>
        <w:tabs>
          <w:tab w:val="left" w:pos="7740" w:leader="none"/>
        </w:tabs>
        <w:rPr>
          <w:rFonts w:eastAsia="方正黑体_GBK"/>
          <w:bCs/>
          <w:color w:val="000000"/>
          <w:sz w:val="32"/>
          <w:szCs w:val="32"/>
        </w:rPr>
      </w:pPr>
      <w:r>
        <w:rPr>
          <w:rFonts w:eastAsia="方正黑体_GBK"/>
          <w:color w:val="000000"/>
          <w:sz w:val="32"/>
          <w:szCs w:val="32"/>
        </w:rPr>
        <w:t xml:space="preserve">第四部分  </w:t>
      </w:r>
      <w:r>
        <w:rPr>
          <w:rFonts w:hint="eastAsia" w:eastAsia="方正黑体_GBK"/>
          <w:bCs/>
          <w:color w:val="000000"/>
          <w:sz w:val="32"/>
          <w:szCs w:val="32"/>
        </w:rPr>
        <w:t xml:space="preserve">合同文本</w:t>
      </w:r>
      <w:r>
        <w:rPr>
          <w:rFonts w:eastAsia="方正黑体_GBK"/>
          <w:bCs/>
          <w:color w:val="000000"/>
          <w:sz w:val="32"/>
          <w:szCs w:val="32"/>
        </w:rPr>
      </w:r>
      <w:r/>
    </w:p>
    <w:p>
      <w:pPr>
        <w:pStyle w:val="716"/>
        <w:ind w:firstLine="640"/>
        <w:spacing w:line="360" w:lineRule="auto"/>
        <w:tabs>
          <w:tab w:val="left" w:pos="7740" w:leader="none"/>
        </w:tabs>
        <w:rPr>
          <w:rFonts w:hint="eastAsia" w:eastAsia="方正黑体_GBK"/>
          <w:bCs/>
          <w:color w:val="000000"/>
          <w:sz w:val="32"/>
          <w:szCs w:val="32"/>
        </w:rPr>
      </w:pPr>
      <w:r>
        <w:rPr>
          <w:rFonts w:hint="eastAsia" w:eastAsia="方正黑体_GBK"/>
          <w:bCs/>
          <w:color w:val="000000"/>
          <w:sz w:val="32"/>
          <w:szCs w:val="32"/>
        </w:rPr>
        <w:t xml:space="preserve">第五部分  开标与评标</w:t>
      </w:r>
      <w:r>
        <w:rPr>
          <w:rFonts w:hint="eastAsia" w:eastAsia="方正黑体_GBK"/>
          <w:bCs/>
          <w:color w:val="000000"/>
          <w:sz w:val="32"/>
          <w:szCs w:val="32"/>
        </w:rPr>
      </w:r>
      <w:r/>
    </w:p>
    <w:p>
      <w:pPr>
        <w:pStyle w:val="716"/>
        <w:ind w:firstLine="640"/>
        <w:spacing w:line="360" w:lineRule="auto"/>
        <w:tabs>
          <w:tab w:val="left" w:pos="7740" w:leader="none"/>
        </w:tabs>
        <w:rPr>
          <w:rFonts w:eastAsia="方正黑体_GBK"/>
          <w:color w:val="000000"/>
          <w:spacing w:val="2"/>
          <w:sz w:val="32"/>
          <w:szCs w:val="32"/>
        </w:rPr>
      </w:pPr>
      <w:r>
        <w:rPr>
          <w:rFonts w:eastAsia="方正黑体_GBK"/>
          <w:bCs/>
          <w:color w:val="000000"/>
          <w:sz w:val="32"/>
          <w:szCs w:val="32"/>
        </w:rPr>
        <w:t xml:space="preserve">第</w:t>
      </w:r>
      <w:r>
        <w:rPr>
          <w:rFonts w:hint="eastAsia" w:eastAsia="方正黑体_GBK"/>
          <w:bCs/>
          <w:color w:val="000000"/>
          <w:sz w:val="32"/>
          <w:szCs w:val="32"/>
        </w:rPr>
        <w:t xml:space="preserve">六</w:t>
      </w:r>
      <w:r>
        <w:rPr>
          <w:rFonts w:eastAsia="方正黑体_GBK"/>
          <w:bCs/>
          <w:color w:val="000000"/>
          <w:sz w:val="32"/>
          <w:szCs w:val="32"/>
        </w:rPr>
        <w:t xml:space="preserve">部分  投标文件组成</w:t>
      </w:r>
      <w:r>
        <w:rPr>
          <w:rFonts w:eastAsia="方正黑体_GBK"/>
          <w:color w:val="000000"/>
          <w:spacing w:val="2"/>
          <w:sz w:val="32"/>
          <w:szCs w:val="32"/>
        </w:rPr>
      </w:r>
      <w:r/>
    </w:p>
    <w:p>
      <w:pPr>
        <w:pStyle w:val="716"/>
        <w:spacing w:line="500" w:lineRule="exact"/>
        <w:rPr>
          <w:rFonts w:eastAsia="方正黑体_GBK"/>
          <w:b/>
          <w:color w:val="000000"/>
          <w:sz w:val="32"/>
          <w:szCs w:val="32"/>
        </w:rPr>
      </w:pPr>
      <w:r>
        <w:rPr>
          <w:rFonts w:eastAsia="方正黑体_GBK"/>
          <w:b/>
          <w:color w:val="000000"/>
          <w:sz w:val="32"/>
          <w:szCs w:val="32"/>
        </w:rPr>
      </w:r>
      <w:r/>
    </w:p>
    <w:p>
      <w:pPr>
        <w:pStyle w:val="716"/>
        <w:spacing w:line="500" w:lineRule="exact"/>
        <w:tabs>
          <w:tab w:val="left" w:pos="7740" w:leader="none"/>
        </w:tabs>
        <w:rPr>
          <w:rFonts w:eastAsia="楷体_GB2312"/>
          <w:b/>
          <w:color w:val="000000"/>
          <w:spacing w:val="2"/>
          <w:sz w:val="32"/>
          <w:szCs w:val="32"/>
        </w:rPr>
      </w:pPr>
      <w:r>
        <w:rPr>
          <w:rFonts w:eastAsia="楷体_GB2312"/>
          <w:b/>
          <w:color w:val="000000"/>
          <w:spacing w:val="2"/>
          <w:sz w:val="32"/>
          <w:szCs w:val="32"/>
        </w:rPr>
      </w:r>
      <w:r/>
    </w:p>
    <w:p>
      <w:pPr>
        <w:pStyle w:val="716"/>
        <w:spacing w:line="500" w:lineRule="exact"/>
        <w:tabs>
          <w:tab w:val="left" w:pos="7740" w:leader="none"/>
        </w:tabs>
        <w:rPr>
          <w:rFonts w:eastAsia="楷体_GB2312"/>
          <w:b/>
          <w:color w:val="000000"/>
          <w:spacing w:val="2"/>
          <w:sz w:val="32"/>
          <w:szCs w:val="32"/>
        </w:rPr>
      </w:pPr>
      <w:r>
        <w:rPr>
          <w:rFonts w:eastAsia="楷体_GB2312"/>
          <w:b/>
          <w:color w:val="000000"/>
          <w:spacing w:val="2"/>
          <w:sz w:val="32"/>
          <w:szCs w:val="32"/>
        </w:rPr>
      </w:r>
      <w:r/>
    </w:p>
    <w:p>
      <w:pPr>
        <w:pStyle w:val="716"/>
        <w:spacing w:line="500" w:lineRule="exact"/>
        <w:tabs>
          <w:tab w:val="left" w:pos="7740" w:leader="none"/>
        </w:tabs>
        <w:rPr>
          <w:rFonts w:eastAsia="楷体_GB2312"/>
          <w:b/>
          <w:bCs/>
          <w:color w:val="000000"/>
          <w:sz w:val="32"/>
          <w:szCs w:val="32"/>
        </w:rPr>
      </w:pPr>
      <w:r>
        <w:rPr>
          <w:rFonts w:eastAsia="楷体_GB2312"/>
          <w:b/>
          <w:bCs/>
          <w:color w:val="000000"/>
          <w:sz w:val="32"/>
          <w:szCs w:val="32"/>
        </w:rPr>
      </w:r>
      <w:r/>
    </w:p>
    <w:p>
      <w:pPr>
        <w:pStyle w:val="716"/>
        <w:spacing w:line="500" w:lineRule="exact"/>
        <w:rPr>
          <w:rFonts w:eastAsia="楷体_GB2312"/>
          <w:b/>
          <w:color w:val="000000"/>
          <w:sz w:val="44"/>
          <w:szCs w:val="44"/>
        </w:rPr>
      </w:pPr>
      <w:r>
        <w:rPr>
          <w:rFonts w:eastAsia="楷体_GB2312"/>
          <w:b/>
          <w:color w:val="000000"/>
          <w:sz w:val="44"/>
          <w:szCs w:val="44"/>
        </w:rPr>
      </w:r>
      <w:r/>
    </w:p>
    <w:p>
      <w:pPr>
        <w:pStyle w:val="716"/>
        <w:spacing w:line="500" w:lineRule="exact"/>
        <w:rPr>
          <w:rFonts w:eastAsia="仿宋_GB2312"/>
          <w:color w:val="000000"/>
          <w:sz w:val="44"/>
          <w:szCs w:val="44"/>
        </w:rPr>
      </w:pPr>
      <w:r>
        <w:rPr>
          <w:rFonts w:eastAsia="仿宋_GB2312"/>
          <w:color w:val="000000"/>
          <w:sz w:val="44"/>
          <w:szCs w:val="44"/>
        </w:rPr>
      </w:r>
      <w:r/>
    </w:p>
    <w:p>
      <w:pPr>
        <w:pStyle w:val="716"/>
        <w:spacing w:line="500" w:lineRule="exact"/>
        <w:rPr>
          <w:rFonts w:eastAsia="仿宋_GB2312"/>
          <w:color w:val="000000"/>
          <w:sz w:val="44"/>
          <w:szCs w:val="44"/>
        </w:rPr>
      </w:pPr>
      <w:r>
        <w:rPr>
          <w:rFonts w:eastAsia="仿宋_GB2312"/>
          <w:color w:val="000000"/>
          <w:sz w:val="44"/>
          <w:szCs w:val="44"/>
        </w:rPr>
      </w:r>
      <w:r/>
    </w:p>
    <w:p>
      <w:pPr>
        <w:pStyle w:val="716"/>
        <w:spacing w:line="500" w:lineRule="exact"/>
        <w:rPr>
          <w:rFonts w:eastAsia="仿宋_GB2312"/>
          <w:color w:val="000000"/>
          <w:sz w:val="44"/>
          <w:szCs w:val="44"/>
        </w:rPr>
      </w:pPr>
      <w:r>
        <w:rPr>
          <w:rFonts w:eastAsia="仿宋_GB2312"/>
          <w:color w:val="000000"/>
          <w:sz w:val="44"/>
          <w:szCs w:val="44"/>
        </w:rPr>
      </w:r>
      <w:r/>
    </w:p>
    <w:p>
      <w:pPr>
        <w:pStyle w:val="716"/>
        <w:spacing w:line="500" w:lineRule="exact"/>
        <w:rPr>
          <w:rFonts w:eastAsia="仿宋_GB2312"/>
          <w:color w:val="000000"/>
          <w:sz w:val="44"/>
          <w:szCs w:val="44"/>
        </w:rPr>
      </w:pPr>
      <w:r>
        <w:rPr>
          <w:rFonts w:eastAsia="仿宋_GB2312"/>
          <w:color w:val="000000"/>
          <w:sz w:val="44"/>
          <w:szCs w:val="44"/>
        </w:rPr>
      </w:r>
      <w:r/>
    </w:p>
    <w:p>
      <w:pPr>
        <w:pStyle w:val="716"/>
        <w:spacing w:line="500" w:lineRule="exact"/>
        <w:rPr>
          <w:rFonts w:eastAsia="仿宋_GB2312"/>
          <w:color w:val="000000"/>
          <w:sz w:val="44"/>
          <w:szCs w:val="44"/>
        </w:rPr>
      </w:pPr>
      <w:r>
        <w:rPr>
          <w:rFonts w:eastAsia="仿宋_GB2312"/>
          <w:color w:val="000000"/>
          <w:sz w:val="44"/>
          <w:szCs w:val="44"/>
        </w:rPr>
      </w:r>
      <w:r/>
    </w:p>
    <w:p>
      <w:pPr>
        <w:pStyle w:val="716"/>
        <w:spacing w:line="500" w:lineRule="exact"/>
        <w:rPr>
          <w:rFonts w:eastAsia="仿宋_GB2312"/>
          <w:color w:val="000000"/>
          <w:sz w:val="44"/>
          <w:szCs w:val="44"/>
        </w:rPr>
      </w:pPr>
      <w:r>
        <w:rPr>
          <w:rFonts w:eastAsia="仿宋_GB2312"/>
          <w:color w:val="000000"/>
          <w:sz w:val="44"/>
          <w:szCs w:val="44"/>
        </w:rPr>
      </w:r>
      <w:r/>
    </w:p>
    <w:p>
      <w:pPr>
        <w:pStyle w:val="716"/>
        <w:spacing w:line="500" w:lineRule="exact"/>
        <w:rPr>
          <w:rFonts w:eastAsia="仿宋_GB2312"/>
          <w:color w:val="000000"/>
          <w:sz w:val="44"/>
          <w:szCs w:val="44"/>
        </w:rPr>
      </w:pPr>
      <w:r>
        <w:rPr>
          <w:rFonts w:eastAsia="仿宋_GB2312"/>
          <w:color w:val="000000"/>
          <w:sz w:val="44"/>
          <w:szCs w:val="44"/>
        </w:rPr>
      </w:r>
      <w:r/>
    </w:p>
    <w:p>
      <w:pPr>
        <w:pStyle w:val="716"/>
        <w:rPr>
          <w:rFonts w:hint="eastAsia" w:eastAsia="方正仿宋_GBK"/>
          <w:b/>
          <w:color w:val="000000"/>
          <w:sz w:val="36"/>
          <w:szCs w:val="36"/>
        </w:rPr>
        <w:sectPr>
          <w:footnotePr/>
          <w:endnotePr/>
          <w:type w:val="nextPage"/>
          <w:pgSz w:w="11906" w:h="16838" w:orient="portrait"/>
          <w:pgMar w:top="1440" w:right="1797" w:bottom="1440" w:left="1797" w:header="851" w:footer="992" w:gutter="0"/>
          <w:cols w:num="1" w:sep="0" w:space="1701" w:equalWidth="1"/>
          <w:docGrid w:linePitch="360"/>
        </w:sectPr>
        <w:outlineLvl w:val="1"/>
      </w:pPr>
      <w:r>
        <w:rPr>
          <w:rFonts w:hint="eastAsia" w:eastAsia="方正仿宋_GBK"/>
          <w:b/>
          <w:color w:val="000000"/>
          <w:sz w:val="36"/>
          <w:szCs w:val="36"/>
        </w:rPr>
      </w:r>
      <w:r/>
    </w:p>
    <w:p>
      <w:pPr>
        <w:pStyle w:val="716"/>
        <w:jc w:val="center"/>
        <w:rPr>
          <w:rFonts w:eastAsia="方正仿宋_GBK"/>
          <w:bCs/>
          <w:color w:val="000000"/>
          <w:sz w:val="36"/>
          <w:szCs w:val="36"/>
        </w:rPr>
        <w:outlineLvl w:val="1"/>
      </w:pPr>
      <w:r>
        <w:rPr>
          <w:rFonts w:eastAsia="方正仿宋_GBK"/>
          <w:b/>
          <w:color w:val="000000"/>
          <w:sz w:val="36"/>
          <w:szCs w:val="36"/>
        </w:rPr>
        <w:t xml:space="preserve">第一部分  </w:t>
      </w:r>
      <w:bookmarkStart w:id="1" w:name="OLE_LINK7"/>
      <w:r/>
      <w:bookmarkStart w:id="2" w:name="OLE_LINK5"/>
      <w:r>
        <w:rPr>
          <w:rFonts w:eastAsia="方正仿宋_GBK"/>
          <w:b/>
          <w:color w:val="000000"/>
          <w:sz w:val="36"/>
          <w:szCs w:val="36"/>
        </w:rPr>
        <w:t xml:space="preserve">投标邀请</w:t>
      </w:r>
      <w:r>
        <w:rPr>
          <w:rFonts w:eastAsia="方正仿宋_GBK"/>
          <w:bCs/>
          <w:color w:val="000000"/>
          <w:sz w:val="36"/>
          <w:szCs w:val="36"/>
        </w:rPr>
      </w:r>
      <w:r/>
    </w:p>
    <w:p>
      <w:pPr>
        <w:pStyle w:val="716"/>
        <w:ind w:firstLine="560"/>
        <w:rPr>
          <w:rFonts w:eastAsia="方正仿宋_GBK"/>
          <w:color w:val="000000"/>
          <w:sz w:val="28"/>
          <w:szCs w:val="28"/>
        </w:rPr>
      </w:pPr>
      <w:r/>
      <w:bookmarkStart w:id="3" w:name="OLE_LINK6"/>
      <w:r>
        <w:rPr>
          <w:rFonts w:eastAsia="方正仿宋_GBK"/>
          <w:color w:val="000000"/>
          <w:sz w:val="28"/>
          <w:szCs w:val="28"/>
        </w:rPr>
        <w:t xml:space="preserve">受[江苏航运职业技术学院]的委托，南通市经济技术开发区公共资源交易中心就[江苏航运职业技术学院船舶海工结构虚拟仿真中心采购项目](项目编号:JSZC-320690-JZCG-G2026-0005)进行公开招标采购，欢迎符合条件的供应商投标。</w:t>
      </w:r>
      <w:r>
        <w:rPr>
          <w:rFonts w:eastAsia="方正仿宋_GBK"/>
          <w:color w:val="000000"/>
          <w:sz w:val="28"/>
          <w:szCs w:val="28"/>
        </w:rPr>
      </w:r>
      <w:r/>
    </w:p>
    <w:p>
      <w:pPr>
        <w:pStyle w:val="716"/>
        <w:ind w:firstLine="560"/>
        <w:rPr>
          <w:rFonts w:eastAsia="方正仿宋_GBK"/>
          <w:color w:val="000000"/>
          <w:sz w:val="28"/>
          <w:szCs w:val="28"/>
        </w:rPr>
        <w:pBdr>
          <w:top w:val="single" w:color="000000" w:sz="4" w:space="1"/>
          <w:left w:val="single" w:color="000000" w:sz="4" w:space="4"/>
          <w:bottom w:val="single" w:color="000000" w:sz="4" w:space="1"/>
          <w:right w:val="single" w:color="000000" w:sz="4" w:space="4"/>
        </w:pBdr>
      </w:pPr>
      <w:r>
        <w:rPr>
          <w:rFonts w:eastAsia="方正仿宋_GBK"/>
          <w:color w:val="000000"/>
          <w:sz w:val="28"/>
          <w:szCs w:val="28"/>
        </w:rPr>
        <w:t xml:space="preserve">项目概况</w:t>
      </w:r>
      <w:r>
        <w:rPr>
          <w:rFonts w:eastAsia="方正仿宋_GBK"/>
          <w:color w:val="000000"/>
          <w:sz w:val="28"/>
          <w:szCs w:val="28"/>
        </w:rPr>
      </w:r>
      <w:r/>
    </w:p>
    <w:p>
      <w:pPr>
        <w:pStyle w:val="716"/>
        <w:ind w:firstLine="560"/>
        <w:rPr>
          <w:rFonts w:eastAsia="方正仿宋_GBK"/>
          <w:color w:val="000000"/>
          <w:sz w:val="28"/>
          <w:szCs w:val="28"/>
        </w:rPr>
        <w:pBdr>
          <w:top w:val="single" w:color="000000" w:sz="4" w:space="1"/>
          <w:left w:val="single" w:color="000000" w:sz="4" w:space="4"/>
          <w:bottom w:val="single" w:color="000000" w:sz="4" w:space="1"/>
          <w:right w:val="single" w:color="000000" w:sz="4" w:space="4"/>
        </w:pBdr>
      </w:pPr>
      <w:r>
        <w:rPr>
          <w:rFonts w:eastAsia="方正仿宋_GBK"/>
          <w:color w:val="000000"/>
          <w:sz w:val="28"/>
          <w:szCs w:val="28"/>
        </w:rPr>
        <w:t xml:space="preserve">江苏航运职业技术学院船舶海工结构虚拟仿真中心招标项目的潜在投标人可在“江苏政府采购网”获取招标文件，并于</w:t>
      </w:r>
      <w:r>
        <w:rPr>
          <w:rFonts w:eastAsia="方正仿宋_GBK"/>
          <w:color w:val="000000"/>
          <w:sz w:val="28"/>
          <w:szCs w:val="28"/>
          <w:u w:val="single"/>
        </w:rPr>
        <w:t xml:space="preserve">2026年</w:t>
      </w:r>
      <w:r>
        <w:rPr>
          <w:rFonts w:hint="eastAsia" w:eastAsia="方正仿宋_GBK"/>
          <w:color w:val="000000"/>
          <w:sz w:val="28"/>
          <w:szCs w:val="28"/>
          <w:u w:val="single"/>
          <w:lang w:val="en-US" w:eastAsia="zh-CN"/>
        </w:rPr>
        <w:t xml:space="preserve">8</w:t>
      </w:r>
      <w:r>
        <w:rPr>
          <w:rFonts w:eastAsia="方正仿宋_GBK"/>
          <w:color w:val="000000"/>
          <w:sz w:val="28"/>
          <w:szCs w:val="28"/>
          <w:u w:val="single"/>
        </w:rPr>
        <w:t xml:space="preserve">月</w:t>
      </w:r>
      <w:r>
        <w:rPr>
          <w:rFonts w:hint="eastAsia" w:eastAsia="方正仿宋_GBK"/>
          <w:color w:val="000000"/>
          <w:sz w:val="28"/>
          <w:szCs w:val="28"/>
          <w:u w:val="single"/>
          <w:lang w:val="en-US" w:eastAsia="zh-CN"/>
        </w:rPr>
        <w:t xml:space="preserve">14</w:t>
      </w:r>
      <w:r>
        <w:rPr>
          <w:rFonts w:eastAsia="方正仿宋_GBK"/>
          <w:color w:val="000000"/>
          <w:sz w:val="28"/>
          <w:szCs w:val="28"/>
          <w:u w:val="single"/>
        </w:rPr>
        <w:t xml:space="preserve">日09点30分</w:t>
      </w:r>
      <w:r>
        <w:rPr>
          <w:rFonts w:eastAsia="方正仿宋_GBK"/>
          <w:color w:val="000000"/>
          <w:sz w:val="28"/>
          <w:szCs w:val="28"/>
        </w:rPr>
        <w:t xml:space="preserve">（北京时间）前递交投标文件。</w:t>
      </w:r>
      <w:r>
        <w:rPr>
          <w:rFonts w:eastAsia="方正仿宋_GBK"/>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一、项目基本情况</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项目编号：JSZC-320690-JZCG-G2026-0005</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项目名称：江苏航运职业技术学院船舶海工结构虚拟仿真中心</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项目类型：货物类</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所属行业：船舶与海洋工程 </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预算金额：240万元</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最高限价：240万元(建设清单21-23最高限价：22万)；投标报价超过最高限价为无效投标。</w:t>
      </w:r>
      <w:r>
        <w:rPr>
          <w:rFonts w:eastAsia="方正仿宋_GBK"/>
          <w:color w:val="000000"/>
          <w:sz w:val="28"/>
          <w:szCs w:val="28"/>
        </w:rPr>
      </w:r>
      <w:r/>
    </w:p>
    <w:p>
      <w:pPr>
        <w:pStyle w:val="716"/>
        <w:ind w:firstLine="560"/>
        <w:tabs>
          <w:tab w:val="left" w:pos="4536" w:leader="none"/>
        </w:tabs>
        <w:rPr>
          <w:rFonts w:eastAsia="方正仿宋_GBK"/>
          <w:color w:val="000000"/>
          <w:sz w:val="28"/>
          <w:szCs w:val="28"/>
        </w:rPr>
      </w:pPr>
      <w:r>
        <w:rPr>
          <w:rFonts w:eastAsia="方正仿宋_GBK"/>
          <w:color w:val="000000"/>
          <w:sz w:val="28"/>
          <w:szCs w:val="28"/>
        </w:rPr>
        <w:t xml:space="preserve">采购需求：详见采购文件，请仔细研究。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合同履行期限：自合同签订起</w:t>
      </w:r>
      <w:r>
        <w:rPr>
          <w:rFonts w:hint="eastAsia" w:eastAsia="方正仿宋_GBK"/>
          <w:color w:val="000000"/>
          <w:sz w:val="28"/>
          <w:szCs w:val="28"/>
        </w:rPr>
        <w:t xml:space="preserve">90</w:t>
      </w:r>
      <w:r>
        <w:rPr>
          <w:rFonts w:eastAsia="方正仿宋_GBK"/>
          <w:color w:val="000000"/>
          <w:sz w:val="28"/>
          <w:szCs w:val="28"/>
        </w:rPr>
        <w:t xml:space="preserve">天</w:t>
      </w:r>
      <w:r>
        <w:rPr>
          <w:rFonts w:hint="eastAsia" w:eastAsia="方正仿宋_GBK"/>
          <w:color w:val="000000"/>
          <w:sz w:val="28"/>
          <w:szCs w:val="28"/>
        </w:rPr>
        <w:t xml:space="preserve">（含假期）</w:t>
      </w:r>
      <w:r>
        <w:rPr>
          <w:rFonts w:eastAsia="方正仿宋_GBK"/>
          <w:color w:val="000000"/>
          <w:sz w:val="28"/>
          <w:szCs w:val="28"/>
        </w:rPr>
        <w:t xml:space="preserve">内，完成供货、安装、调试</w:t>
      </w:r>
      <w:r>
        <w:rPr>
          <w:rFonts w:hint="eastAsia" w:eastAsia="方正仿宋_GBK"/>
          <w:color w:val="000000"/>
          <w:sz w:val="28"/>
          <w:szCs w:val="28"/>
        </w:rPr>
        <w:t xml:space="preserve">等</w:t>
      </w:r>
      <w:r>
        <w:rPr>
          <w:rFonts w:eastAsia="方正仿宋_GBK"/>
          <w:color w:val="000000"/>
          <w:sz w:val="28"/>
          <w:szCs w:val="28"/>
        </w:rPr>
        <w:t xml:space="preserve">工作。本项目供货期间实行分期供货、分段验收，具体安排以采购人通知为准。</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本项目（是/否）接受联合体投标：是</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本项目（是/否）接受分包：否</w:t>
      </w:r>
      <w:r>
        <w:rPr>
          <w:rFonts w:eastAsia="方正仿宋_GBK"/>
          <w:color w:val="000000"/>
          <w:sz w:val="28"/>
          <w:szCs w:val="28"/>
        </w:rPr>
      </w:r>
      <w:r/>
    </w:p>
    <w:p>
      <w:pPr>
        <w:pStyle w:val="716"/>
        <w:ind w:firstLine="562"/>
        <w:rPr>
          <w:rFonts w:hint="eastAsia" w:eastAsia="方正仿宋_GBK"/>
          <w:b/>
          <w:color w:val="000000"/>
          <w:sz w:val="28"/>
          <w:szCs w:val="28"/>
        </w:rPr>
        <w:outlineLvl w:val="2"/>
      </w:pPr>
      <w:r>
        <w:rPr>
          <w:rFonts w:eastAsia="方正仿宋_GBK"/>
          <w:b/>
          <w:color w:val="000000"/>
          <w:sz w:val="28"/>
          <w:szCs w:val="28"/>
        </w:rPr>
        <w:t xml:space="preserve">二、申请人的资格要求</w:t>
      </w:r>
      <w:r>
        <w:rPr>
          <w:rFonts w:hint="eastAsia"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1.满足《中华人民共和国政府采购法》第二十二条规定</w:t>
      </w:r>
      <w:r>
        <w:rPr>
          <w:rFonts w:eastAsia="方正仿宋_GBK"/>
          <w:color w:val="000000"/>
          <w:sz w:val="28"/>
          <w:szCs w:val="28"/>
        </w:rPr>
      </w:r>
      <w:r/>
    </w:p>
    <w:p>
      <w:pPr>
        <w:pStyle w:val="716"/>
        <w:ind w:firstLine="560"/>
        <w:rPr>
          <w:rFonts w:eastAsia="方正仿宋_GBK"/>
          <w:color w:val="000000"/>
          <w:sz w:val="28"/>
          <w:szCs w:val="28"/>
          <w:u w:val="single"/>
        </w:rPr>
      </w:pPr>
      <w:r>
        <w:rPr>
          <w:rFonts w:eastAsia="方正仿宋_GBK"/>
          <w:color w:val="000000"/>
          <w:sz w:val="28"/>
          <w:szCs w:val="28"/>
        </w:rPr>
        <w:t xml:space="preserve">2.落实政府采购政策需满足的资格要求：无</w:t>
      </w:r>
      <w:r>
        <w:rPr>
          <w:rFonts w:eastAsia="方正仿宋_GBK"/>
          <w:color w:val="000000"/>
          <w:sz w:val="28"/>
          <w:szCs w:val="28"/>
          <w:u w:val="single"/>
        </w:rPr>
      </w:r>
      <w:r/>
    </w:p>
    <w:p>
      <w:pPr>
        <w:pStyle w:val="716"/>
        <w:ind w:firstLine="560"/>
        <w:rPr>
          <w:rFonts w:eastAsia="方正仿宋_GBK"/>
          <w:color w:val="000000"/>
          <w:sz w:val="28"/>
          <w:szCs w:val="28"/>
        </w:rPr>
      </w:pPr>
      <w:r>
        <w:rPr>
          <w:rFonts w:eastAsia="方正仿宋_GBK"/>
          <w:color w:val="000000"/>
          <w:sz w:val="28"/>
          <w:szCs w:val="28"/>
        </w:rPr>
        <w:t xml:space="preserve">3.本项目的特定资格要求：具有建筑工程施工总承包叁级及以上或建筑装修装饰工程专业承包贰级及以上资质（须在有效期内），具备安全生产条件，并取得安全生产许可证（提供有效的资质证书及安全生产许可证）。</w:t>
      </w:r>
      <w:r>
        <w:rPr>
          <w:rFonts w:eastAsia="方正仿宋_GBK"/>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三、获取招标文件</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时间：自招标文件公告发布之日起5个工作日。</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方式：在“江苏政府采购网”自行免费下载招标文件。</w:t>
      </w:r>
      <w:r>
        <w:rPr>
          <w:rFonts w:eastAsia="方正仿宋_GBK"/>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四、提交投标文件截止时间、开标时间和地点</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2026年</w:t>
      </w:r>
      <w:r>
        <w:rPr>
          <w:rFonts w:hint="eastAsia" w:eastAsia="方正仿宋_GBK"/>
          <w:color w:val="000000"/>
          <w:sz w:val="28"/>
          <w:szCs w:val="28"/>
          <w:lang w:eastAsia="zh-CN"/>
        </w:rPr>
        <w:t xml:space="preserve">8月14日</w:t>
      </w:r>
      <w:r>
        <w:rPr>
          <w:rFonts w:eastAsia="方正仿宋_GBK"/>
          <w:color w:val="000000"/>
          <w:sz w:val="28"/>
          <w:szCs w:val="28"/>
        </w:rPr>
        <w:t xml:space="preserve">09点30分（北京时间）。逾时，交易系统将拒绝接受上传投标文件电子文档。</w:t>
      </w:r>
      <w:r>
        <w:rPr>
          <w:rFonts w:eastAsia="方正仿宋_GBK"/>
          <w:color w:val="000000"/>
          <w:sz w:val="28"/>
          <w:szCs w:val="28"/>
        </w:rPr>
      </w:r>
      <w:r/>
    </w:p>
    <w:p>
      <w:pPr>
        <w:pStyle w:val="716"/>
        <w:ind w:firstLine="560"/>
        <w:rPr>
          <w:rFonts w:eastAsia="方正仿宋_GBK"/>
          <w:i/>
          <w:color w:val="000000"/>
          <w:sz w:val="28"/>
          <w:szCs w:val="28"/>
        </w:rPr>
      </w:pPr>
      <w:r>
        <w:rPr>
          <w:rFonts w:eastAsia="方正仿宋_GBK"/>
          <w:color w:val="000000"/>
          <w:sz w:val="28"/>
          <w:szCs w:val="28"/>
        </w:rPr>
        <w:t xml:space="preserve">地点：“苏采云”政府采购交易系统网上开标大厅。</w:t>
      </w:r>
      <w:r>
        <w:rPr>
          <w:rFonts w:eastAsia="方正仿宋_GBK"/>
          <w:i/>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五、公告期限</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自本公告发布之日起5个工作日。</w:t>
      </w:r>
      <w:r>
        <w:rPr>
          <w:rFonts w:eastAsia="方正仿宋_GBK"/>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六、其他补充事宜</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1.投标保证金：免收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2.项目演示、样品、答辩等：具体见技术参数部分。</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3.供应商系统操作过程中如遇问题，请致电“苏采云”客服0519-86722801。</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4.有关本次招标的事项若存在变动或修改，均以江苏政府采购网发布的更正或补充通知为准，敬请及时关注。</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6.“苏采云”系统使用相关提醒</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6.1.根据省财政厅《关于更换全省政府采购交易</w:t>
      </w:r>
      <w:r>
        <w:rPr>
          <w:rFonts w:eastAsia="方正仿宋_GBK"/>
          <w:color w:val="000000"/>
          <w:sz w:val="28"/>
          <w:szCs w:val="28"/>
        </w:rPr>
        <w:t xml:space="preserve">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 和 操 作 手 册 见 链 接 ： http://www.ccgp-jiangsu.gov.cn/jiangsu/zlxz/ee/ee3a4bc5a3454aa2b0d9312230633ce9.html。</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6.3开标当天投标供应商应及时登录“苏采云”不见面开标大厅，并在规定时</w:t>
      </w:r>
      <w:r>
        <w:rPr>
          <w:rFonts w:eastAsia="方正仿宋_GBK"/>
          <w:color w:val="000000"/>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eastAsia="方正仿宋_GBK"/>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七、对本次招标提出询问，请按以下方式联系。</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 1.采购人信息</w:t>
      </w:r>
      <w:r>
        <w:rPr>
          <w:rFonts w:eastAsia="方正仿宋_GBK"/>
          <w:color w:val="000000"/>
          <w:sz w:val="28"/>
          <w:szCs w:val="28"/>
        </w:rPr>
      </w:r>
      <w:r/>
    </w:p>
    <w:p>
      <w:pPr>
        <w:pStyle w:val="716"/>
        <w:ind w:firstLine="1120"/>
        <w:rPr>
          <w:rFonts w:eastAsia="方正仿宋_GBK"/>
          <w:color w:val="000000"/>
          <w:sz w:val="28"/>
          <w:szCs w:val="28"/>
        </w:rPr>
      </w:pPr>
      <w:r>
        <w:rPr>
          <w:rFonts w:eastAsia="方正仿宋_GBK"/>
          <w:color w:val="000000"/>
          <w:sz w:val="28"/>
          <w:szCs w:val="28"/>
        </w:rPr>
        <w:t xml:space="preserve">名 称：江苏航运职业技术学院</w:t>
      </w:r>
      <w:r>
        <w:rPr>
          <w:rFonts w:eastAsia="方正仿宋_GBK"/>
          <w:color w:val="000000"/>
          <w:sz w:val="28"/>
          <w:szCs w:val="28"/>
        </w:rPr>
      </w:r>
      <w:r/>
    </w:p>
    <w:p>
      <w:pPr>
        <w:pStyle w:val="716"/>
        <w:ind w:firstLine="1120"/>
        <w:rPr>
          <w:rFonts w:eastAsia="方正仿宋_GBK"/>
          <w:color w:val="000000"/>
          <w:sz w:val="28"/>
          <w:szCs w:val="28"/>
        </w:rPr>
      </w:pPr>
      <w:r>
        <w:rPr>
          <w:rFonts w:eastAsia="方正仿宋_GBK"/>
          <w:color w:val="000000"/>
          <w:sz w:val="28"/>
          <w:szCs w:val="28"/>
        </w:rPr>
        <w:t xml:space="preserve">地址：南通市开发区通盛大道185号</w:t>
      </w:r>
      <w:r>
        <w:rPr>
          <w:rFonts w:eastAsia="方正仿宋_GBK"/>
          <w:color w:val="000000"/>
          <w:sz w:val="28"/>
          <w:szCs w:val="28"/>
        </w:rPr>
      </w:r>
      <w:r/>
    </w:p>
    <w:p>
      <w:pPr>
        <w:pStyle w:val="716"/>
        <w:ind w:firstLine="1120"/>
        <w:rPr>
          <w:rFonts w:eastAsia="方正仿宋_GBK"/>
          <w:color w:val="000000"/>
          <w:sz w:val="28"/>
          <w:szCs w:val="28"/>
        </w:rPr>
      </w:pPr>
      <w:r>
        <w:rPr>
          <w:rFonts w:eastAsia="方正仿宋_GBK"/>
          <w:color w:val="000000"/>
          <w:sz w:val="28"/>
          <w:szCs w:val="28"/>
        </w:rPr>
        <w:t xml:space="preserve">联系人：王老师</w:t>
      </w:r>
      <w:r>
        <w:rPr>
          <w:rFonts w:eastAsia="方正仿宋_GBK"/>
          <w:color w:val="000000"/>
          <w:sz w:val="28"/>
          <w:szCs w:val="28"/>
        </w:rPr>
      </w:r>
      <w:r/>
    </w:p>
    <w:p>
      <w:pPr>
        <w:pStyle w:val="716"/>
        <w:ind w:firstLine="1120"/>
        <w:rPr>
          <w:rFonts w:eastAsia="方正仿宋_GBK"/>
          <w:color w:val="000000"/>
          <w:sz w:val="28"/>
          <w:szCs w:val="28"/>
        </w:rPr>
      </w:pPr>
      <w:r>
        <w:rPr>
          <w:rFonts w:eastAsia="方正仿宋_GBK"/>
          <w:color w:val="000000"/>
          <w:sz w:val="28"/>
          <w:szCs w:val="28"/>
        </w:rPr>
        <w:t xml:space="preserve">联系方式：15665117426</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2.采购代理机构信息</w:t>
      </w:r>
      <w:r>
        <w:rPr>
          <w:rFonts w:eastAsia="方正仿宋_GBK"/>
          <w:color w:val="000000"/>
          <w:sz w:val="28"/>
          <w:szCs w:val="28"/>
        </w:rPr>
      </w:r>
      <w:r/>
    </w:p>
    <w:p>
      <w:pPr>
        <w:pStyle w:val="716"/>
        <w:ind w:firstLine="1120"/>
        <w:rPr>
          <w:rFonts w:eastAsia="方正仿宋_GBK"/>
          <w:color w:val="000000"/>
          <w:sz w:val="28"/>
          <w:szCs w:val="28"/>
        </w:rPr>
      </w:pPr>
      <w:r>
        <w:rPr>
          <w:rFonts w:eastAsia="方正仿宋_GBK"/>
          <w:color w:val="000000"/>
          <w:sz w:val="28"/>
          <w:szCs w:val="28"/>
        </w:rPr>
        <w:t xml:space="preserve">单位名称：南通市经济技术开发区公共资源交易中心</w:t>
      </w:r>
      <w:r>
        <w:rPr>
          <w:rFonts w:eastAsia="方正仿宋_GBK"/>
          <w:color w:val="000000"/>
          <w:sz w:val="28"/>
          <w:szCs w:val="28"/>
        </w:rPr>
      </w:r>
      <w:r/>
    </w:p>
    <w:p>
      <w:pPr>
        <w:pStyle w:val="716"/>
        <w:ind w:firstLine="1120"/>
        <w:rPr>
          <w:rFonts w:eastAsia="方正仿宋_GBK"/>
          <w:color w:val="000000"/>
          <w:sz w:val="28"/>
          <w:szCs w:val="28"/>
        </w:rPr>
      </w:pPr>
      <w:r>
        <w:rPr>
          <w:rFonts w:eastAsia="方正仿宋_GBK"/>
          <w:color w:val="000000"/>
          <w:sz w:val="28"/>
          <w:szCs w:val="28"/>
        </w:rPr>
        <w:t xml:space="preserve">单位地址：南通市经济技术开发区宏兴路9号</w:t>
      </w:r>
      <w:r>
        <w:rPr>
          <w:rFonts w:eastAsia="方正仿宋_GBK"/>
          <w:color w:val="000000"/>
          <w:sz w:val="28"/>
          <w:szCs w:val="28"/>
        </w:rPr>
      </w:r>
      <w:r/>
    </w:p>
    <w:p>
      <w:pPr>
        <w:pStyle w:val="716"/>
        <w:ind w:firstLine="1120"/>
        <w:rPr>
          <w:rFonts w:hint="eastAsia" w:eastAsia="方正仿宋_GBK"/>
          <w:color w:val="000000"/>
          <w:sz w:val="28"/>
          <w:szCs w:val="28"/>
          <w:lang w:eastAsia="zh-CN"/>
        </w:rPr>
      </w:pPr>
      <w:r>
        <w:rPr>
          <w:rFonts w:eastAsia="方正仿宋_GBK"/>
          <w:color w:val="000000"/>
          <w:sz w:val="28"/>
          <w:szCs w:val="28"/>
        </w:rPr>
        <w:t xml:space="preserve">联系人：经办</w:t>
      </w:r>
      <w:r>
        <w:rPr>
          <w:rFonts w:hint="eastAsia" w:eastAsia="方正仿宋_GBK"/>
          <w:color w:val="000000"/>
          <w:sz w:val="28"/>
          <w:szCs w:val="28"/>
          <w:lang w:val="en-US" w:eastAsia="zh-CN"/>
        </w:rPr>
        <w:t xml:space="preserve">一</w:t>
      </w:r>
      <w:r>
        <w:rPr>
          <w:rFonts w:hint="eastAsia" w:eastAsia="方正仿宋_GBK"/>
          <w:color w:val="000000"/>
          <w:sz w:val="28"/>
          <w:szCs w:val="28"/>
          <w:lang w:eastAsia="zh-CN"/>
        </w:rPr>
      </w:r>
      <w:r/>
    </w:p>
    <w:p>
      <w:pPr>
        <w:pStyle w:val="716"/>
        <w:ind w:firstLine="1120"/>
        <w:rPr>
          <w:rFonts w:eastAsia="方正仿宋_GBK"/>
          <w:color w:val="000000"/>
          <w:sz w:val="28"/>
          <w:szCs w:val="28"/>
        </w:rPr>
      </w:pPr>
      <w:r>
        <w:rPr>
          <w:rFonts w:eastAsia="方正仿宋_GBK"/>
          <w:color w:val="000000"/>
          <w:sz w:val="28"/>
          <w:szCs w:val="28"/>
        </w:rPr>
        <w:t xml:space="preserve">联系电话：</w:t>
      </w:r>
      <w:r>
        <w:rPr>
          <w:rFonts w:hint="eastAsia" w:eastAsia="方正仿宋_GBK"/>
          <w:color w:val="000000"/>
          <w:sz w:val="28"/>
          <w:szCs w:val="28"/>
          <w:lang w:val="en-US" w:eastAsia="zh-CN"/>
        </w:rPr>
        <w:t xml:space="preserve">0513-81196002</w:t>
      </w:r>
      <w:r>
        <w:rPr>
          <w:rFonts w:eastAsia="方正仿宋_GBK"/>
          <w:color w:val="000000"/>
          <w:sz w:val="28"/>
          <w:szCs w:val="28"/>
        </w:rPr>
        <w:t xml:space="preserve">　</w:t>
      </w:r>
      <w:r>
        <w:rPr>
          <w:rFonts w:eastAsia="方正仿宋_GBK"/>
          <w:color w:val="000000"/>
          <w:sz w:val="28"/>
          <w:szCs w:val="28"/>
        </w:rPr>
      </w:r>
      <w:r/>
    </w:p>
    <w:p>
      <w:pPr>
        <w:pStyle w:val="716"/>
        <w:ind w:firstLine="1120"/>
        <w:rPr>
          <w:rFonts w:eastAsia="方正仿宋_GBK"/>
          <w:color w:val="000000"/>
          <w:sz w:val="28"/>
          <w:szCs w:val="28"/>
        </w:rPr>
      </w:pPr>
      <w:r>
        <w:rPr>
          <w:rFonts w:eastAsia="方正仿宋_GBK"/>
          <w:color w:val="000000"/>
          <w:sz w:val="28"/>
          <w:szCs w:val="28"/>
        </w:rPr>
        <w:t xml:space="preserve">3.项目联系方式</w:t>
      </w:r>
      <w:r>
        <w:rPr>
          <w:rFonts w:eastAsia="方正仿宋_GBK"/>
          <w:color w:val="000000"/>
          <w:sz w:val="28"/>
          <w:szCs w:val="28"/>
        </w:rPr>
      </w:r>
      <w:r/>
    </w:p>
    <w:p>
      <w:pPr>
        <w:pStyle w:val="716"/>
        <w:ind w:firstLine="1120"/>
        <w:rPr>
          <w:rFonts w:hint="eastAsia" w:eastAsia="方正仿宋_GBK"/>
          <w:color w:val="000000"/>
          <w:sz w:val="28"/>
          <w:szCs w:val="28"/>
          <w:lang w:eastAsia="zh-CN"/>
        </w:rPr>
      </w:pPr>
      <w:r>
        <w:rPr>
          <w:rFonts w:eastAsia="方正仿宋_GBK"/>
          <w:color w:val="000000"/>
          <w:sz w:val="28"/>
          <w:szCs w:val="28"/>
        </w:rPr>
        <w:t xml:space="preserve">项目联系人：经办</w:t>
      </w:r>
      <w:r>
        <w:rPr>
          <w:rFonts w:hint="eastAsia" w:eastAsia="方正仿宋_GBK"/>
          <w:color w:val="000000"/>
          <w:sz w:val="28"/>
          <w:szCs w:val="28"/>
          <w:lang w:val="en-US" w:eastAsia="zh-CN"/>
        </w:rPr>
        <w:t xml:space="preserve">一</w:t>
      </w:r>
      <w:r>
        <w:rPr>
          <w:rFonts w:hint="eastAsia" w:eastAsia="方正仿宋_GBK"/>
          <w:color w:val="000000"/>
          <w:sz w:val="28"/>
          <w:szCs w:val="28"/>
          <w:lang w:eastAsia="zh-CN"/>
        </w:rPr>
      </w:r>
      <w:r/>
    </w:p>
    <w:p>
      <w:pPr>
        <w:pStyle w:val="716"/>
        <w:ind w:firstLine="1120"/>
        <w:rPr>
          <w:rFonts w:eastAsia="方正仿宋_GBK"/>
          <w:bCs/>
          <w:color w:val="000000"/>
          <w:sz w:val="28"/>
          <w:szCs w:val="28"/>
        </w:rPr>
        <w:sectPr>
          <w:footnotePr/>
          <w:endnotePr/>
          <w:type w:val="nextPage"/>
          <w:pgSz w:w="11906" w:h="16838" w:orient="portrait"/>
          <w:pgMar w:top="1440" w:right="1797" w:bottom="1440" w:left="1797" w:header="851" w:footer="992" w:gutter="0"/>
          <w:cols w:num="1" w:sep="0" w:space="1701" w:equalWidth="1"/>
          <w:docGrid w:linePitch="360"/>
        </w:sectPr>
      </w:pPr>
      <w:r>
        <w:rPr>
          <w:rFonts w:eastAsia="方正仿宋_GBK"/>
          <w:color w:val="000000"/>
          <w:sz w:val="28"/>
          <w:szCs w:val="28"/>
        </w:rPr>
        <w:t xml:space="preserve">电话：</w:t>
      </w:r>
      <w:r>
        <w:rPr>
          <w:rFonts w:hint="eastAsia" w:eastAsia="方正仿宋_GBK"/>
          <w:color w:val="000000"/>
          <w:sz w:val="28"/>
          <w:szCs w:val="28"/>
          <w:lang w:val="en-US" w:eastAsia="zh-CN"/>
        </w:rPr>
        <w:t xml:space="preserve">0513-81196002</w:t>
      </w:r>
      <w:r>
        <w:rPr>
          <w:rFonts w:eastAsia="方正仿宋_GBK"/>
          <w:bCs/>
          <w:color w:val="000000"/>
          <w:sz w:val="28"/>
          <w:szCs w:val="28"/>
        </w:rPr>
      </w:r>
      <w:r/>
    </w:p>
    <w:p>
      <w:pPr>
        <w:pStyle w:val="716"/>
        <w:jc w:val="center"/>
        <w:rPr>
          <w:rFonts w:eastAsia="方正仿宋_GBK"/>
          <w:b/>
          <w:color w:val="000000"/>
          <w:sz w:val="28"/>
          <w:szCs w:val="28"/>
        </w:rPr>
        <w:outlineLvl w:val="1"/>
      </w:pPr>
      <w:r>
        <w:rPr>
          <w:rFonts w:eastAsia="方正仿宋_GBK"/>
          <w:b/>
          <w:color w:val="000000"/>
          <w:sz w:val="28"/>
          <w:szCs w:val="28"/>
        </w:rPr>
        <w:t xml:space="preserve">第二部分  投标须知</w:t>
      </w:r>
      <w:r>
        <w:rPr>
          <w:rFonts w:eastAsia="方正仿宋_GBK"/>
          <w:b/>
          <w:color w:val="000000"/>
          <w:sz w:val="28"/>
          <w:szCs w:val="28"/>
        </w:rPr>
      </w:r>
      <w:r/>
    </w:p>
    <w:p>
      <w:pPr>
        <w:pStyle w:val="716"/>
        <w:ind w:firstLine="560"/>
        <w:rPr>
          <w:rFonts w:eastAsia="方正仿宋_GBK"/>
          <w:color w:val="000000"/>
          <w:sz w:val="28"/>
          <w:szCs w:val="28"/>
        </w:rPr>
        <w:outlineLvl w:val="2"/>
      </w:pPr>
      <w:r/>
      <w:bookmarkStart w:id="4" w:name="_Toc16938519"/>
      <w:r/>
      <w:bookmarkStart w:id="5" w:name="_Toc20823275"/>
      <w:r/>
      <w:bookmarkStart w:id="6" w:name="_Toc513029203"/>
      <w:r/>
      <w:bookmarkStart w:id="7" w:name="_Toc120614214"/>
      <w:r>
        <w:rPr>
          <w:rFonts w:eastAsia="方正仿宋_GBK"/>
          <w:color w:val="000000"/>
          <w:sz w:val="28"/>
          <w:szCs w:val="28"/>
        </w:rPr>
        <w:t xml:space="preserve">一 </w:t>
      </w:r>
      <w:r>
        <w:rPr>
          <w:rFonts w:eastAsia="方正仿宋_GBK"/>
          <w:b/>
          <w:color w:val="000000"/>
          <w:sz w:val="28"/>
          <w:szCs w:val="28"/>
        </w:rPr>
        <w:t xml:space="preserve">总则</w:t>
      </w:r>
      <w:bookmarkEnd w:id="4"/>
      <w:r/>
      <w:bookmarkEnd w:id="5"/>
      <w:r/>
      <w:bookmarkEnd w:id="6"/>
      <w:r/>
      <w:bookmarkEnd w:id="7"/>
      <w:r>
        <w:rPr>
          <w:rFonts w:eastAsia="方正仿宋_GBK"/>
          <w:color w:val="000000"/>
          <w:sz w:val="28"/>
          <w:szCs w:val="28"/>
        </w:rPr>
      </w:r>
      <w:r/>
    </w:p>
    <w:p>
      <w:pPr>
        <w:pStyle w:val="720"/>
        <w:jc w:val="both"/>
        <w:rPr>
          <w:rFonts w:eastAsia="方正仿宋_GBK"/>
          <w:b/>
          <w:bCs/>
          <w:color w:val="000000"/>
          <w:sz w:val="28"/>
          <w:szCs w:val="28"/>
        </w:rPr>
      </w:pPr>
      <w:r/>
      <w:bookmarkStart w:id="8" w:name="_Hlt16619475"/>
      <w:r/>
      <w:bookmarkEnd w:id="8"/>
      <w:r/>
      <w:bookmarkStart w:id="9" w:name="_Toc458694821"/>
      <w:r/>
      <w:bookmarkStart w:id="10" w:name="_Toc513029204"/>
      <w:r/>
      <w:bookmarkStart w:id="11" w:name="_Toc16938520"/>
      <w:r/>
      <w:bookmarkStart w:id="12" w:name="_Toc20823276"/>
      <w:r>
        <w:rPr>
          <w:rFonts w:eastAsia="方正仿宋_GBK"/>
          <w:color w:val="000000"/>
          <w:sz w:val="28"/>
          <w:szCs w:val="28"/>
        </w:rPr>
        <w:t xml:space="preserve">1</w:t>
      </w:r>
      <w:bookmarkEnd w:id="9"/>
      <w:r>
        <w:rPr>
          <w:rFonts w:eastAsia="方正仿宋_GBK"/>
          <w:color w:val="000000"/>
          <w:sz w:val="28"/>
          <w:szCs w:val="28"/>
        </w:rPr>
        <w:t xml:space="preserve">.招标方式</w:t>
      </w:r>
      <w:bookmarkEnd w:id="10"/>
      <w:r/>
      <w:bookmarkEnd w:id="11"/>
      <w:r/>
      <w:bookmarkEnd w:id="12"/>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1.1 本次招标采取公开招标方式，本招标文件仅适用于招标公告中所述项目。</w:t>
      </w:r>
      <w:r>
        <w:rPr>
          <w:rFonts w:eastAsia="方正仿宋_GBK"/>
          <w:color w:val="000000"/>
          <w:sz w:val="28"/>
          <w:szCs w:val="28"/>
        </w:rPr>
      </w:r>
      <w:r/>
    </w:p>
    <w:p>
      <w:pPr>
        <w:pStyle w:val="720"/>
        <w:jc w:val="both"/>
        <w:rPr>
          <w:rFonts w:eastAsia="方正仿宋_GBK"/>
          <w:b/>
          <w:bCs/>
          <w:color w:val="000000"/>
          <w:sz w:val="28"/>
          <w:szCs w:val="28"/>
        </w:rPr>
      </w:pPr>
      <w:r/>
      <w:bookmarkStart w:id="13" w:name="_Toc20823277"/>
      <w:r/>
      <w:bookmarkStart w:id="14" w:name="_Toc513029205"/>
      <w:r/>
      <w:bookmarkStart w:id="15" w:name="_Toc16938521"/>
      <w:r>
        <w:rPr>
          <w:rFonts w:eastAsia="方正仿宋_GBK"/>
          <w:color w:val="000000"/>
          <w:sz w:val="28"/>
          <w:szCs w:val="28"/>
        </w:rPr>
        <w:t xml:space="preserve">2.合格的投标人</w:t>
      </w:r>
      <w:bookmarkEnd w:id="13"/>
      <w:r/>
      <w:bookmarkEnd w:id="14"/>
      <w:r/>
      <w:bookmarkEnd w:id="15"/>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2.1满足招标公告中供应商的资格要求的规定。</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2.2 满足本文件实质性条款的规定。</w:t>
      </w:r>
      <w:r>
        <w:rPr>
          <w:rFonts w:eastAsia="方正仿宋_GBK"/>
          <w:color w:val="000000"/>
          <w:sz w:val="28"/>
          <w:szCs w:val="28"/>
        </w:rPr>
      </w:r>
      <w:r/>
    </w:p>
    <w:p>
      <w:pPr>
        <w:pStyle w:val="720"/>
        <w:jc w:val="both"/>
        <w:rPr>
          <w:rFonts w:eastAsia="方正仿宋_GBK"/>
          <w:b/>
          <w:bCs/>
          <w:color w:val="000000"/>
          <w:sz w:val="28"/>
          <w:szCs w:val="28"/>
        </w:rPr>
      </w:pPr>
      <w:r/>
      <w:bookmarkStart w:id="16" w:name="_Toc20823278"/>
      <w:r/>
      <w:bookmarkStart w:id="17" w:name="_Toc513029206"/>
      <w:r/>
      <w:bookmarkStart w:id="18" w:name="_Toc16938522"/>
      <w:r>
        <w:rPr>
          <w:rFonts w:eastAsia="方正仿宋_GBK"/>
          <w:color w:val="000000"/>
          <w:sz w:val="28"/>
          <w:szCs w:val="28"/>
        </w:rPr>
        <w:t xml:space="preserve">3.适用法律</w:t>
      </w:r>
      <w:bookmarkEnd w:id="16"/>
      <w:r/>
      <w:bookmarkEnd w:id="17"/>
      <w:r/>
      <w:bookmarkEnd w:id="18"/>
      <w:r>
        <w:rPr>
          <w:rFonts w:eastAsia="方正仿宋_GBK"/>
          <w:b/>
          <w:bCs/>
          <w:color w:val="000000"/>
          <w:sz w:val="28"/>
          <w:szCs w:val="28"/>
        </w:rPr>
      </w:r>
      <w:r/>
    </w:p>
    <w:p>
      <w:pPr>
        <w:pStyle w:val="716"/>
        <w:ind w:firstLine="490"/>
        <w:rPr>
          <w:rFonts w:eastAsia="方正仿宋_GBK"/>
          <w:color w:val="000000"/>
          <w:sz w:val="28"/>
          <w:szCs w:val="28"/>
        </w:rPr>
      </w:pPr>
      <w:r>
        <w:rPr>
          <w:rFonts w:eastAsia="方正仿宋_GBK"/>
          <w:color w:val="000000"/>
          <w:sz w:val="28"/>
          <w:szCs w:val="28"/>
        </w:rPr>
        <w:t xml:space="preserve">3.1 本次招标及由此产生的合同受中华人民共和国有关的法律法规制约和保护。</w:t>
      </w:r>
      <w:r>
        <w:rPr>
          <w:rFonts w:eastAsia="方正仿宋_GBK"/>
          <w:color w:val="000000"/>
          <w:sz w:val="28"/>
          <w:szCs w:val="28"/>
        </w:rPr>
      </w:r>
      <w:r/>
    </w:p>
    <w:p>
      <w:pPr>
        <w:pStyle w:val="720"/>
        <w:jc w:val="both"/>
        <w:rPr>
          <w:rFonts w:eastAsia="方正仿宋_GBK"/>
          <w:b/>
          <w:bCs/>
          <w:color w:val="000000"/>
          <w:sz w:val="28"/>
          <w:szCs w:val="28"/>
        </w:rPr>
      </w:pPr>
      <w:r/>
      <w:bookmarkStart w:id="19" w:name="_Toc16938523"/>
      <w:r/>
      <w:bookmarkStart w:id="20" w:name="_Toc513029207"/>
      <w:r/>
      <w:bookmarkStart w:id="21" w:name="_Toc20823279"/>
      <w:r/>
      <w:bookmarkStart w:id="22" w:name="_Toc462564067"/>
      <w:r>
        <w:rPr>
          <w:rFonts w:eastAsia="方正仿宋_GBK"/>
          <w:color w:val="000000"/>
          <w:sz w:val="28"/>
          <w:szCs w:val="28"/>
        </w:rPr>
        <w:t xml:space="preserve">4.投标费用</w:t>
      </w:r>
      <w:bookmarkEnd w:id="19"/>
      <w:r/>
      <w:bookmarkEnd w:id="20"/>
      <w:r/>
      <w:bookmarkEnd w:id="21"/>
      <w:r/>
      <w:bookmarkEnd w:id="22"/>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4.1</w:t>
      </w:r>
      <w:r>
        <w:rPr>
          <w:rFonts w:eastAsia="方正仿宋_GBK"/>
          <w:color w:val="000000"/>
          <w:sz w:val="28"/>
          <w:szCs w:val="28"/>
        </w:rPr>
        <w:t xml:space="preserve"> 投标人应自行承担所有与参加投标有关的费用，无论投标过程中的做法和结果如何，南通市经济技术开发区公共资源交易中心在任何情况下均无义务和责任承担这些费用。</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4.2本次招标采购中心和采购人不收取标书工本费与中标服务费。</w:t>
      </w:r>
      <w:r>
        <w:rPr>
          <w:rFonts w:eastAsia="方正仿宋_GBK"/>
          <w:color w:val="000000"/>
          <w:sz w:val="28"/>
          <w:szCs w:val="28"/>
        </w:rPr>
      </w:r>
      <w:r/>
    </w:p>
    <w:p>
      <w:pPr>
        <w:pStyle w:val="720"/>
        <w:jc w:val="both"/>
        <w:rPr>
          <w:rFonts w:eastAsia="方正仿宋_GBK"/>
          <w:b/>
          <w:bCs/>
          <w:color w:val="000000"/>
          <w:sz w:val="28"/>
          <w:szCs w:val="28"/>
        </w:rPr>
      </w:pPr>
      <w:r>
        <w:rPr>
          <w:rFonts w:eastAsia="方正仿宋_GBK"/>
          <w:color w:val="000000"/>
          <w:sz w:val="28"/>
          <w:szCs w:val="28"/>
        </w:rPr>
        <w:t xml:space="preserve">5.招标文件的约束力</w:t>
      </w:r>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5.1</w:t>
      </w:r>
      <w:r>
        <w:rPr>
          <w:rFonts w:eastAsia="方正仿宋_GBK"/>
          <w:color w:val="000000"/>
          <w:sz w:val="28"/>
          <w:szCs w:val="28"/>
        </w:rPr>
        <w:t xml:space="preserve"> 投标人一旦参加本项目采购活动，即被认为接受了本招标文件的规定和约束。</w:t>
      </w:r>
      <w:r>
        <w:rPr>
          <w:rFonts w:eastAsia="方正仿宋_GBK"/>
          <w:color w:val="000000"/>
          <w:sz w:val="28"/>
          <w:szCs w:val="28"/>
        </w:rPr>
      </w:r>
      <w:r/>
    </w:p>
    <w:p>
      <w:pPr>
        <w:pStyle w:val="720"/>
        <w:jc w:val="both"/>
        <w:rPr>
          <w:rFonts w:eastAsia="方正仿宋_GBK"/>
          <w:color w:val="000000"/>
          <w:sz w:val="28"/>
          <w:szCs w:val="28"/>
        </w:rPr>
      </w:pPr>
      <w:r>
        <w:rPr>
          <w:rFonts w:eastAsia="方正仿宋_GBK"/>
          <w:color w:val="000000"/>
          <w:sz w:val="28"/>
          <w:szCs w:val="28"/>
        </w:rPr>
        <w:t xml:space="preserve">6.招标文件的解释</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6.1</w:t>
      </w:r>
      <w:r>
        <w:rPr>
          <w:rFonts w:eastAsia="方正仿宋_GBK"/>
          <w:color w:val="000000"/>
          <w:sz w:val="28"/>
          <w:szCs w:val="28"/>
        </w:rPr>
        <w:t xml:space="preserve">招标文件需求部分（供应商资格要求、项目需求、商务技术评分标准）由采购人解释，其它部分由采购中心解释。</w:t>
      </w:r>
      <w:r>
        <w:rPr>
          <w:rFonts w:eastAsia="方正仿宋_GBK"/>
          <w:color w:val="000000"/>
          <w:sz w:val="28"/>
          <w:szCs w:val="28"/>
        </w:rPr>
      </w:r>
      <w:r/>
    </w:p>
    <w:p>
      <w:pPr>
        <w:pStyle w:val="716"/>
        <w:ind w:firstLine="560"/>
        <w:rPr>
          <w:rFonts w:eastAsia="方正仿宋_GBK"/>
          <w:color w:val="000000"/>
          <w:sz w:val="28"/>
          <w:szCs w:val="28"/>
        </w:rPr>
        <w:outlineLvl w:val="2"/>
      </w:pPr>
      <w:r/>
      <w:bookmarkStart w:id="23" w:name="_Toc513029209"/>
      <w:r/>
      <w:bookmarkStart w:id="24" w:name="_Toc120614215"/>
      <w:r/>
      <w:bookmarkStart w:id="25" w:name="_Toc20823281"/>
      <w:r/>
      <w:bookmarkStart w:id="26" w:name="_Toc16938525"/>
      <w:r>
        <w:rPr>
          <w:rFonts w:eastAsia="方正仿宋_GBK"/>
          <w:color w:val="000000"/>
          <w:sz w:val="28"/>
          <w:szCs w:val="28"/>
        </w:rPr>
        <w:t xml:space="preserve">二 </w:t>
      </w:r>
      <w:r>
        <w:rPr>
          <w:rFonts w:eastAsia="方正仿宋_GBK"/>
          <w:b/>
          <w:color w:val="000000"/>
          <w:sz w:val="28"/>
          <w:szCs w:val="28"/>
        </w:rPr>
        <w:t xml:space="preserve">招标文件</w:t>
      </w:r>
      <w:bookmarkEnd w:id="23"/>
      <w:r/>
      <w:bookmarkEnd w:id="24"/>
      <w:r/>
      <w:bookmarkEnd w:id="25"/>
      <w:r/>
      <w:bookmarkEnd w:id="26"/>
      <w:r>
        <w:rPr>
          <w:rFonts w:eastAsia="方正仿宋_GBK"/>
          <w:color w:val="000000"/>
          <w:sz w:val="28"/>
          <w:szCs w:val="28"/>
        </w:rPr>
      </w:r>
      <w:r/>
    </w:p>
    <w:p>
      <w:pPr>
        <w:pStyle w:val="720"/>
        <w:jc w:val="both"/>
        <w:rPr>
          <w:rFonts w:eastAsia="方正仿宋_GBK"/>
          <w:b/>
          <w:bCs/>
          <w:color w:val="000000"/>
          <w:sz w:val="28"/>
          <w:szCs w:val="28"/>
        </w:rPr>
      </w:pPr>
      <w:r/>
      <w:bookmarkStart w:id="27" w:name="_Toc20823282"/>
      <w:r/>
      <w:bookmarkStart w:id="28" w:name="_Toc513029210"/>
      <w:r/>
      <w:bookmarkStart w:id="29" w:name="_Toc16938526"/>
      <w:r>
        <w:rPr>
          <w:rFonts w:eastAsia="方正仿宋_GBK"/>
          <w:color w:val="000000"/>
          <w:sz w:val="28"/>
          <w:szCs w:val="28"/>
        </w:rPr>
        <w:t xml:space="preserve">1.招标文件构成</w:t>
      </w:r>
      <w:bookmarkEnd w:id="27"/>
      <w:r/>
      <w:bookmarkEnd w:id="28"/>
      <w:r/>
      <w:bookmarkEnd w:id="29"/>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1.1</w:t>
      </w:r>
      <w:r>
        <w:rPr>
          <w:rFonts w:eastAsia="方正仿宋_GBK"/>
          <w:color w:val="000000"/>
          <w:sz w:val="28"/>
          <w:szCs w:val="28"/>
        </w:rPr>
        <w:t xml:space="preserve"> 招标文件由以下部分组成：</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（1）投标邀请</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（2）投标须知</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（3）项目需求</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（4）</w:t>
      </w:r>
      <w:r>
        <w:rPr>
          <w:rFonts w:hint="eastAsia" w:eastAsia="方正仿宋_GBK"/>
          <w:color w:val="000000"/>
          <w:sz w:val="28"/>
          <w:szCs w:val="28"/>
        </w:rPr>
        <w:t xml:space="preserve">合同文本</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（5）开标和评标</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（6）投标文件组成</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请仔细检查招标文件是否齐全，如有缺漏请立即与采购人联系解决。</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1.2</w:t>
      </w:r>
      <w:r>
        <w:rPr>
          <w:rFonts w:eastAsia="方正仿宋_GBK"/>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color w:val="000000"/>
          <w:sz w:val="28"/>
          <w:szCs w:val="28"/>
        </w:rPr>
      </w:r>
      <w:r/>
    </w:p>
    <w:p>
      <w:pPr>
        <w:pStyle w:val="720"/>
        <w:jc w:val="both"/>
        <w:rPr>
          <w:rFonts w:eastAsia="方正仿宋_GBK"/>
          <w:b/>
          <w:bCs/>
          <w:color w:val="000000"/>
          <w:sz w:val="28"/>
          <w:szCs w:val="28"/>
        </w:rPr>
      </w:pPr>
      <w:r/>
      <w:bookmarkStart w:id="30" w:name="_Toc20823283"/>
      <w:r/>
      <w:bookmarkStart w:id="31" w:name="_Toc16938527"/>
      <w:r/>
      <w:bookmarkStart w:id="32" w:name="_Toc513029211"/>
      <w:r/>
      <w:bookmarkStart w:id="33" w:name="_Toc462564070"/>
      <w:r>
        <w:rPr>
          <w:rFonts w:eastAsia="方正仿宋_GBK"/>
          <w:color w:val="000000"/>
          <w:sz w:val="28"/>
          <w:szCs w:val="28"/>
        </w:rPr>
        <w:t xml:space="preserve">2.招标文件的澄清</w:t>
      </w:r>
      <w:bookmarkEnd w:id="30"/>
      <w:r/>
      <w:bookmarkEnd w:id="31"/>
      <w:r/>
      <w:bookmarkEnd w:id="32"/>
      <w:r/>
      <w:bookmarkEnd w:id="33"/>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2.1</w:t>
      </w:r>
      <w:r>
        <w:rPr>
          <w:rFonts w:eastAsia="方正仿宋_GBK"/>
          <w:color w:val="000000"/>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2.2采购人视情组织答疑会</w:t>
      </w:r>
      <w:r>
        <w:rPr>
          <w:rFonts w:eastAsia="方正仿宋_GBK"/>
          <w:color w:val="000000"/>
          <w:sz w:val="28"/>
          <w:szCs w:val="28"/>
        </w:rPr>
      </w:r>
      <w:r/>
    </w:p>
    <w:p>
      <w:pPr>
        <w:pStyle w:val="720"/>
        <w:jc w:val="both"/>
        <w:rPr>
          <w:rFonts w:eastAsia="方正仿宋_GBK"/>
          <w:b/>
          <w:bCs/>
          <w:color w:val="000000"/>
          <w:sz w:val="28"/>
          <w:szCs w:val="28"/>
        </w:rPr>
      </w:pPr>
      <w:r/>
      <w:bookmarkStart w:id="34" w:name="_Toc16938528"/>
      <w:r/>
      <w:bookmarkStart w:id="35" w:name="_Toc20823284"/>
      <w:r/>
      <w:bookmarkStart w:id="36" w:name="_Toc462564071"/>
      <w:r/>
      <w:bookmarkStart w:id="37" w:name="_Toc513029212"/>
      <w:r>
        <w:rPr>
          <w:rFonts w:eastAsia="方正仿宋_GBK"/>
          <w:color w:val="000000"/>
          <w:sz w:val="28"/>
          <w:szCs w:val="28"/>
        </w:rPr>
        <w:t xml:space="preserve">3.招标文件的修改</w:t>
      </w:r>
      <w:bookmarkEnd w:id="34"/>
      <w:r/>
      <w:bookmarkEnd w:id="35"/>
      <w:r/>
      <w:bookmarkEnd w:id="36"/>
      <w:r/>
      <w:bookmarkEnd w:id="37"/>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3.1</w:t>
      </w:r>
      <w:r>
        <w:rPr>
          <w:rFonts w:eastAsia="方正仿宋_GBK"/>
          <w:color w:val="000000"/>
          <w:sz w:val="28"/>
          <w:szCs w:val="28"/>
        </w:rPr>
        <w:t xml:space="preserve"> 在投标截止时间前，采购人可以对招标文件进行修改。</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3.2 </w:t>
      </w:r>
      <w:r>
        <w:rPr>
          <w:rFonts w:eastAsia="方正仿宋_GBK"/>
          <w:color w:val="000000"/>
          <w:sz w:val="28"/>
          <w:szCs w:val="28"/>
        </w:rPr>
        <w:t xml:space="preserve">采购人有权按照法定的要求推迟投标截止日期和开标日期。</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3.3 </w:t>
      </w:r>
      <w:r>
        <w:rPr>
          <w:rFonts w:eastAsia="方正仿宋_GBK"/>
          <w:color w:val="000000"/>
          <w:sz w:val="28"/>
          <w:szCs w:val="28"/>
        </w:rPr>
        <w:t xml:space="preserve">招标文件的修改将在江苏政府采购网公布，补充文件将作为招标文件的组成部分，并对投标人具有约束力。</w:t>
      </w:r>
      <w:r>
        <w:rPr>
          <w:rFonts w:eastAsia="方正仿宋_GBK"/>
          <w:color w:val="000000"/>
          <w:sz w:val="28"/>
          <w:szCs w:val="28"/>
        </w:rPr>
      </w:r>
      <w:r/>
    </w:p>
    <w:p>
      <w:pPr>
        <w:pStyle w:val="716"/>
        <w:ind w:firstLine="562"/>
        <w:rPr>
          <w:rFonts w:eastAsia="方正仿宋_GBK"/>
          <w:b/>
          <w:bCs/>
          <w:color w:val="000000"/>
          <w:sz w:val="28"/>
          <w:szCs w:val="28"/>
        </w:rPr>
        <w:outlineLvl w:val="2"/>
      </w:pPr>
      <w:r/>
      <w:bookmarkStart w:id="38" w:name="_Toc16938529"/>
      <w:r/>
      <w:bookmarkStart w:id="39" w:name="_Toc20823285"/>
      <w:r/>
      <w:bookmarkStart w:id="40" w:name="_Toc462564072"/>
      <w:r/>
      <w:bookmarkStart w:id="41" w:name="_Toc513029213"/>
      <w:r/>
      <w:bookmarkStart w:id="42" w:name="_Toc120614216"/>
      <w:r>
        <w:rPr>
          <w:rFonts w:eastAsia="方正仿宋_GBK"/>
          <w:b/>
          <w:bCs/>
          <w:color w:val="000000"/>
          <w:sz w:val="28"/>
          <w:szCs w:val="28"/>
        </w:rPr>
        <w:t xml:space="preserve">三 投标文件的编制</w:t>
      </w:r>
      <w:bookmarkEnd w:id="38"/>
      <w:r/>
      <w:bookmarkEnd w:id="39"/>
      <w:r/>
      <w:bookmarkEnd w:id="40"/>
      <w:r/>
      <w:bookmarkEnd w:id="41"/>
      <w:r/>
      <w:bookmarkEnd w:id="42"/>
      <w:r>
        <w:rPr>
          <w:rFonts w:eastAsia="方正仿宋_GBK"/>
          <w:b/>
          <w:bCs/>
          <w:color w:val="000000"/>
          <w:sz w:val="28"/>
          <w:szCs w:val="28"/>
        </w:rPr>
      </w:r>
      <w:r/>
    </w:p>
    <w:p>
      <w:pPr>
        <w:pStyle w:val="720"/>
        <w:jc w:val="both"/>
        <w:rPr>
          <w:rFonts w:eastAsia="方正仿宋_GBK"/>
          <w:bCs/>
          <w:color w:val="000000"/>
          <w:sz w:val="28"/>
          <w:szCs w:val="28"/>
        </w:rPr>
      </w:pPr>
      <w:r/>
      <w:bookmarkStart w:id="43" w:name="_Toc16938530"/>
      <w:r/>
      <w:bookmarkStart w:id="44" w:name="_Toc20823286"/>
      <w:r/>
      <w:bookmarkStart w:id="45" w:name="_Toc462564073"/>
      <w:r/>
      <w:bookmarkStart w:id="46" w:name="_Toc513029214"/>
      <w:r>
        <w:rPr>
          <w:rFonts w:eastAsia="方正仿宋_GBK"/>
          <w:color w:val="000000"/>
          <w:sz w:val="28"/>
          <w:szCs w:val="28"/>
        </w:rPr>
        <w:t xml:space="preserve">1.投标文件的语言及度量衡单位</w:t>
      </w:r>
      <w:bookmarkEnd w:id="43"/>
      <w:r/>
      <w:bookmarkEnd w:id="44"/>
      <w:r/>
      <w:bookmarkEnd w:id="45"/>
      <w:r/>
      <w:bookmarkEnd w:id="46"/>
      <w:r>
        <w:rPr>
          <w:rFonts w:eastAsia="方正仿宋_GBK"/>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1.1</w:t>
      </w:r>
      <w:r>
        <w:rPr>
          <w:rFonts w:eastAsia="方正仿宋_GBK"/>
          <w:color w:val="000000"/>
          <w:sz w:val="28"/>
          <w:szCs w:val="28"/>
        </w:rPr>
        <w:t xml:space="preserve"> 投标人提交的投标文件以及投标人与交易中心就有关投标的所有来往通知、函件和文件均应使用</w:t>
      </w:r>
      <w:r>
        <w:rPr>
          <w:rFonts w:eastAsia="方正仿宋_GBK"/>
          <w:bCs/>
          <w:color w:val="000000"/>
          <w:sz w:val="28"/>
          <w:szCs w:val="28"/>
        </w:rPr>
        <w:t xml:space="preserve">简体中文</w:t>
      </w:r>
      <w:r>
        <w:rPr>
          <w:rFonts w:eastAsia="方正仿宋_GBK"/>
          <w:color w:val="000000"/>
          <w:sz w:val="28"/>
          <w:szCs w:val="28"/>
        </w:rPr>
        <w:t xml:space="preserve">。</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1.2</w:t>
      </w:r>
      <w:r>
        <w:rPr>
          <w:rFonts w:eastAsia="方正仿宋_GBK"/>
          <w:color w:val="000000"/>
          <w:sz w:val="28"/>
          <w:szCs w:val="28"/>
        </w:rPr>
        <w:t xml:space="preserve"> 除技术性能另有规定外，投标文件所使用的度量衡单位，均须采用国家法定计量单位。</w:t>
      </w:r>
      <w:r>
        <w:rPr>
          <w:rFonts w:eastAsia="方正仿宋_GBK"/>
          <w:color w:val="000000"/>
          <w:sz w:val="28"/>
          <w:szCs w:val="28"/>
        </w:rPr>
      </w:r>
      <w:r/>
    </w:p>
    <w:p>
      <w:pPr>
        <w:pStyle w:val="720"/>
        <w:jc w:val="both"/>
        <w:rPr>
          <w:rFonts w:eastAsia="方正仿宋_GBK"/>
          <w:b/>
          <w:bCs/>
          <w:color w:val="000000"/>
          <w:sz w:val="28"/>
          <w:szCs w:val="28"/>
        </w:rPr>
      </w:pPr>
      <w:r/>
      <w:bookmarkStart w:id="47" w:name="_Toc513029215"/>
      <w:r/>
      <w:bookmarkStart w:id="48" w:name="_Toc20823287"/>
      <w:r/>
      <w:bookmarkStart w:id="49" w:name="_Toc16938531"/>
      <w:r/>
      <w:bookmarkStart w:id="50" w:name="_Toc462564074"/>
      <w:r>
        <w:rPr>
          <w:rFonts w:eastAsia="方正仿宋_GBK"/>
          <w:color w:val="000000"/>
          <w:sz w:val="28"/>
          <w:szCs w:val="28"/>
        </w:rPr>
        <w:t xml:space="preserve">2.投标文件构成</w:t>
      </w:r>
      <w:bookmarkEnd w:id="47"/>
      <w:r/>
      <w:bookmarkEnd w:id="48"/>
      <w:r/>
      <w:bookmarkEnd w:id="49"/>
      <w:r/>
      <w:bookmarkEnd w:id="50"/>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2.1</w:t>
      </w:r>
      <w:r>
        <w:rPr>
          <w:rFonts w:eastAsia="方正仿宋_GBK"/>
          <w:color w:val="000000"/>
          <w:sz w:val="28"/>
          <w:szCs w:val="28"/>
        </w:rPr>
        <w:t xml:space="preserve"> 投标人编写的投标文件应包括资格审查证明材料文件、商务技术标文件、价格标文件。供应商按“第</w:t>
      </w:r>
      <w:r>
        <w:rPr>
          <w:rFonts w:hint="eastAsia" w:eastAsia="方正仿宋_GBK"/>
          <w:color w:val="000000"/>
          <w:sz w:val="28"/>
          <w:szCs w:val="28"/>
        </w:rPr>
        <w:t xml:space="preserve">六</w:t>
      </w:r>
      <w:r>
        <w:rPr>
          <w:rFonts w:eastAsia="方正仿宋_GBK"/>
          <w:color w:val="000000"/>
          <w:sz w:val="28"/>
          <w:szCs w:val="28"/>
        </w:rPr>
        <w:t xml:space="preserve">部分 投标文件组成”要求编写投标文件。</w:t>
      </w:r>
      <w:r>
        <w:rPr>
          <w:rFonts w:eastAsia="方正仿宋_GBK"/>
          <w:color w:val="000000"/>
          <w:sz w:val="28"/>
          <w:szCs w:val="28"/>
        </w:rPr>
      </w:r>
      <w:r/>
    </w:p>
    <w:p>
      <w:pPr>
        <w:pStyle w:val="720"/>
        <w:jc w:val="both"/>
        <w:rPr>
          <w:rFonts w:eastAsia="方正仿宋_GBK"/>
          <w:b/>
          <w:bCs/>
          <w:color w:val="000000"/>
          <w:sz w:val="28"/>
          <w:szCs w:val="28"/>
        </w:rPr>
      </w:pPr>
      <w:r/>
      <w:bookmarkStart w:id="51" w:name="_Toc49090511"/>
      <w:r/>
      <w:bookmarkStart w:id="52" w:name="_Toc14577360"/>
      <w:r/>
      <w:bookmarkStart w:id="53" w:name="_Hlt26668975"/>
      <w:r/>
      <w:bookmarkEnd w:id="53"/>
      <w:r/>
      <w:bookmarkStart w:id="54" w:name="_Hlt26670360"/>
      <w:r/>
      <w:bookmarkEnd w:id="54"/>
      <w:r/>
      <w:bookmarkStart w:id="55" w:name="_Hlt26954838"/>
      <w:r/>
      <w:bookmarkEnd w:id="55"/>
      <w:r>
        <w:rPr>
          <w:rFonts w:eastAsia="方正仿宋_GBK"/>
          <w:color w:val="000000"/>
          <w:sz w:val="28"/>
          <w:szCs w:val="28"/>
        </w:rPr>
        <w:t xml:space="preserve">3.投标有效期</w:t>
      </w:r>
      <w:bookmarkEnd w:id="51"/>
      <w:r/>
      <w:bookmarkEnd w:id="52"/>
      <w:r>
        <w:rPr>
          <w:rFonts w:eastAsia="方正仿宋_GBK"/>
          <w:b/>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3.1投标有效期为采购中心规定的开标之日后</w:t>
      </w:r>
      <w:r>
        <w:rPr>
          <w:rFonts w:eastAsia="方正仿宋_GBK"/>
          <w:b/>
          <w:color w:val="000000"/>
          <w:sz w:val="28"/>
          <w:szCs w:val="28"/>
          <w:u w:val="single"/>
        </w:rPr>
        <w:t xml:space="preserve">六十（60）天</w:t>
      </w:r>
      <w:r>
        <w:rPr>
          <w:rFonts w:eastAsia="方正仿宋_GBK"/>
          <w:bCs/>
          <w:color w:val="000000"/>
          <w:sz w:val="28"/>
          <w:szCs w:val="28"/>
        </w:rPr>
        <w:t xml:space="preserve">。投标有效期比规定短的将被视为非响应性投标而予以拒绝。</w:t>
      </w:r>
      <w:r>
        <w:rPr>
          <w:rFonts w:eastAsia="方正仿宋_GBK"/>
          <w:bCs/>
          <w:color w:val="000000"/>
          <w:sz w:val="28"/>
          <w:szCs w:val="28"/>
        </w:rPr>
      </w:r>
      <w:r/>
    </w:p>
    <w:p>
      <w:pPr>
        <w:pStyle w:val="720"/>
        <w:jc w:val="both"/>
        <w:rPr>
          <w:rFonts w:eastAsia="方正仿宋_GBK"/>
          <w:b/>
          <w:bCs/>
          <w:color w:val="000000"/>
          <w:sz w:val="28"/>
          <w:szCs w:val="28"/>
        </w:rPr>
      </w:pPr>
      <w:r>
        <w:rPr>
          <w:rFonts w:eastAsia="方正仿宋_GBK"/>
          <w:color w:val="000000"/>
          <w:sz w:val="28"/>
          <w:szCs w:val="28"/>
        </w:rPr>
        <w:t xml:space="preserve">4.投标有效期的延长</w:t>
      </w:r>
      <w:r>
        <w:rPr>
          <w:rFonts w:eastAsia="方正仿宋_GBK"/>
          <w:b/>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eastAsia="方正仿宋_GBK"/>
          <w:color w:val="000000"/>
          <w:sz w:val="28"/>
          <w:szCs w:val="28"/>
        </w:rPr>
        <w:t xml:space="preserve">受投标有效期约束的所有权利与义务均延长至新的有效期</w:t>
      </w:r>
      <w:r>
        <w:rPr>
          <w:rFonts w:eastAsia="方正仿宋_GBK"/>
          <w:bCs/>
          <w:color w:val="000000"/>
          <w:sz w:val="28"/>
          <w:szCs w:val="28"/>
        </w:rPr>
        <w:t xml:space="preserve">。</w:t>
      </w:r>
      <w:r>
        <w:rPr>
          <w:rFonts w:eastAsia="方正仿宋_GBK"/>
          <w:bCs/>
          <w:color w:val="000000"/>
          <w:sz w:val="28"/>
          <w:szCs w:val="28"/>
        </w:rPr>
      </w:r>
      <w:r/>
    </w:p>
    <w:p>
      <w:pPr>
        <w:pStyle w:val="716"/>
        <w:ind w:firstLine="560"/>
        <w:rPr>
          <w:rFonts w:hint="eastAsia" w:eastAsia="方正仿宋_GBK"/>
          <w:bCs/>
          <w:color w:val="000000"/>
          <w:sz w:val="28"/>
          <w:szCs w:val="28"/>
        </w:rPr>
      </w:pPr>
      <w:r>
        <w:rPr>
          <w:rFonts w:hint="eastAsia" w:eastAsia="方正仿宋_GBK"/>
          <w:bCs/>
          <w:color w:val="000000"/>
          <w:sz w:val="28"/>
          <w:szCs w:val="28"/>
        </w:rPr>
      </w:r>
      <w:r/>
    </w:p>
    <w:p>
      <w:pPr>
        <w:pStyle w:val="716"/>
        <w:ind w:firstLine="562"/>
        <w:rPr>
          <w:rFonts w:eastAsia="方正仿宋_GBK"/>
          <w:b/>
          <w:bCs/>
          <w:color w:val="000000"/>
          <w:sz w:val="28"/>
          <w:szCs w:val="28"/>
        </w:rPr>
        <w:outlineLvl w:val="2"/>
      </w:pPr>
      <w:r/>
      <w:bookmarkStart w:id="56" w:name="_Toc16938540"/>
      <w:r/>
      <w:bookmarkStart w:id="57" w:name="_Toc120614217"/>
      <w:r/>
      <w:bookmarkStart w:id="58" w:name="_Toc20823296"/>
      <w:r/>
      <w:bookmarkStart w:id="59" w:name="_Hlt26954852"/>
      <w:r/>
      <w:bookmarkEnd w:id="59"/>
      <w:r/>
      <w:bookmarkStart w:id="60" w:name="_Hlt26954739"/>
      <w:r/>
      <w:bookmarkEnd w:id="60"/>
      <w:r/>
      <w:bookmarkStart w:id="61" w:name="_Toc513029224"/>
      <w:r>
        <w:rPr>
          <w:rFonts w:eastAsia="方正仿宋_GBK"/>
          <w:b/>
          <w:bCs/>
          <w:color w:val="000000"/>
          <w:sz w:val="28"/>
          <w:szCs w:val="28"/>
        </w:rPr>
        <w:t xml:space="preserve">四 投标文件的递交</w:t>
      </w:r>
      <w:bookmarkEnd w:id="56"/>
      <w:r/>
      <w:bookmarkEnd w:id="57"/>
      <w:r/>
      <w:bookmarkEnd w:id="58"/>
      <w:r/>
      <w:bookmarkEnd w:id="61"/>
      <w:r>
        <w:rPr>
          <w:rFonts w:eastAsia="方正仿宋_GBK"/>
          <w:b/>
          <w:bCs/>
          <w:color w:val="000000"/>
          <w:sz w:val="28"/>
          <w:szCs w:val="28"/>
        </w:rPr>
      </w:r>
      <w:r/>
    </w:p>
    <w:p>
      <w:pPr>
        <w:pStyle w:val="720"/>
        <w:jc w:val="both"/>
        <w:rPr>
          <w:rFonts w:eastAsia="方正仿宋_GBK"/>
          <w:b/>
          <w:bCs/>
          <w:color w:val="000000"/>
          <w:sz w:val="28"/>
          <w:szCs w:val="28"/>
        </w:rPr>
      </w:pPr>
      <w:r/>
      <w:bookmarkStart w:id="62" w:name="_Toc462564084"/>
      <w:r/>
      <w:bookmarkStart w:id="63" w:name="_Toc20823297"/>
      <w:r/>
      <w:bookmarkStart w:id="64" w:name="_Toc16938541"/>
      <w:r/>
      <w:bookmarkStart w:id="65" w:name="_Toc513029225"/>
      <w:r>
        <w:rPr>
          <w:rFonts w:eastAsia="方正仿宋_GBK"/>
          <w:color w:val="000000"/>
          <w:sz w:val="28"/>
          <w:szCs w:val="28"/>
        </w:rPr>
        <w:t xml:space="preserve">1.投标文件</w:t>
      </w:r>
      <w:bookmarkEnd w:id="62"/>
      <w:r/>
      <w:bookmarkEnd w:id="63"/>
      <w:r/>
      <w:bookmarkEnd w:id="64"/>
      <w:r/>
      <w:bookmarkEnd w:id="65"/>
      <w:r>
        <w:rPr>
          <w:rFonts w:eastAsia="方正仿宋_GBK"/>
          <w:color w:val="000000"/>
          <w:sz w:val="28"/>
          <w:szCs w:val="28"/>
        </w:rPr>
        <w:t xml:space="preserve">的递交</w:t>
      </w:r>
      <w:r>
        <w:rPr>
          <w:rFonts w:eastAsia="方正仿宋_GBK"/>
          <w:b/>
          <w:bCs/>
          <w:color w:val="000000"/>
          <w:sz w:val="28"/>
          <w:szCs w:val="28"/>
        </w:rPr>
      </w:r>
      <w:r/>
    </w:p>
    <w:p>
      <w:pPr>
        <w:pStyle w:val="716"/>
        <w:ind w:firstLine="556"/>
        <w:rPr>
          <w:rFonts w:eastAsia="方正仿宋_GBK"/>
          <w:bCs/>
          <w:color w:val="000000"/>
          <w:sz w:val="28"/>
          <w:szCs w:val="28"/>
        </w:rPr>
      </w:pPr>
      <w:r>
        <w:rPr>
          <w:rFonts w:eastAsia="方正仿宋_GBK"/>
          <w:bCs/>
          <w:color w:val="000000"/>
          <w:sz w:val="28"/>
          <w:szCs w:val="28"/>
        </w:rPr>
        <w:t xml:space="preserve">1.1</w:t>
      </w:r>
      <w:bookmarkStart w:id="66" w:name="_Toc20823298"/>
      <w:r/>
      <w:bookmarkStart w:id="67" w:name="_Toc16938542"/>
      <w:r/>
      <w:bookmarkStart w:id="68" w:name="_Toc513029226"/>
      <w:r>
        <w:rPr>
          <w:rFonts w:eastAsia="方正仿宋_GBK"/>
          <w:bCs/>
          <w:color w:val="000000"/>
          <w:sz w:val="28"/>
          <w:szCs w:val="28"/>
        </w:rPr>
        <w:t xml:space="preserve">投标人应在投标截止时间前制作并上传电子投标文件。</w:t>
      </w:r>
      <w:r>
        <w:rPr>
          <w:rFonts w:eastAsia="方正仿宋_GBK"/>
          <w:bCs/>
          <w:color w:val="000000"/>
          <w:sz w:val="28"/>
          <w:szCs w:val="28"/>
        </w:rPr>
      </w:r>
      <w:r/>
    </w:p>
    <w:p>
      <w:pPr>
        <w:pStyle w:val="716"/>
        <w:rPr>
          <w:rFonts w:eastAsia="方正仿宋_GBK"/>
          <w:b/>
          <w:color w:val="000000"/>
          <w:sz w:val="28"/>
          <w:szCs w:val="28"/>
        </w:rPr>
      </w:pPr>
      <w:r>
        <w:rPr>
          <w:rFonts w:eastAsia="方正仿宋_GBK"/>
          <w:color w:val="000000"/>
          <w:sz w:val="28"/>
          <w:szCs w:val="28"/>
        </w:rPr>
        <w:t xml:space="preserve">2.投标截止日期</w:t>
      </w:r>
      <w:bookmarkEnd w:id="66"/>
      <w:r/>
      <w:bookmarkEnd w:id="67"/>
      <w:r/>
      <w:bookmarkEnd w:id="68"/>
      <w:r>
        <w:rPr>
          <w:rFonts w:eastAsia="方正仿宋_GBK"/>
          <w:b/>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2.1 投标人上传电子投标文件的时间不得迟于招标公告中规定的投标截止时间。</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投标人应充分考虑到网络环境、网络带宽等风险因素，如因投标人自身原因造成的电子投标文件上传不成功由投标人自行承担全部责任。</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color w:val="000000"/>
          <w:sz w:val="28"/>
          <w:szCs w:val="28"/>
        </w:rPr>
        <w:t xml:space="preserve">2.2</w:t>
      </w:r>
      <w:r>
        <w:rPr>
          <w:rFonts w:eastAsia="方正仿宋_GBK"/>
          <w:bCs/>
          <w:color w:val="000000"/>
          <w:sz w:val="28"/>
          <w:szCs w:val="28"/>
        </w:rPr>
        <w:t xml:space="preserve"> 采购人可以按照规定，通过修改招标文件酌情延长投标截止日期，在此情况下，投标人的所有权利和义务以及投标人受制的截止日期均应以延长后新的截止日期为准。</w:t>
      </w:r>
      <w:r>
        <w:rPr>
          <w:rFonts w:eastAsia="方正仿宋_GBK"/>
          <w:bCs/>
          <w:color w:val="000000"/>
          <w:sz w:val="28"/>
          <w:szCs w:val="28"/>
        </w:rPr>
      </w:r>
      <w:r/>
    </w:p>
    <w:p>
      <w:pPr>
        <w:pStyle w:val="720"/>
        <w:jc w:val="both"/>
        <w:rPr>
          <w:rFonts w:eastAsia="方正仿宋_GBK"/>
          <w:b/>
          <w:bCs/>
          <w:color w:val="000000"/>
          <w:sz w:val="28"/>
          <w:szCs w:val="28"/>
        </w:rPr>
      </w:pPr>
      <w:r/>
      <w:bookmarkStart w:id="69" w:name="_Toc513029227"/>
      <w:r/>
      <w:bookmarkStart w:id="70" w:name="_Toc16938543"/>
      <w:r/>
      <w:bookmarkStart w:id="71" w:name="_Toc20823299"/>
      <w:r>
        <w:rPr>
          <w:rFonts w:eastAsia="方正仿宋_GBK"/>
          <w:color w:val="000000"/>
          <w:sz w:val="28"/>
          <w:szCs w:val="28"/>
        </w:rPr>
        <w:t xml:space="preserve">3.投标文件</w:t>
      </w:r>
      <w:bookmarkEnd w:id="69"/>
      <w:r/>
      <w:bookmarkEnd w:id="70"/>
      <w:r/>
      <w:bookmarkEnd w:id="71"/>
      <w:r>
        <w:rPr>
          <w:rFonts w:eastAsia="方正仿宋_GBK"/>
          <w:color w:val="000000"/>
          <w:sz w:val="28"/>
          <w:szCs w:val="28"/>
        </w:rPr>
        <w:t xml:space="preserve">的拒收</w:t>
      </w:r>
      <w:r>
        <w:rPr>
          <w:rFonts w:eastAsia="方正仿宋_GBK"/>
          <w:b/>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3.1 采购人拒绝接收在其规定的投标截止时间后上传的任何投标文件。</w:t>
      </w:r>
      <w:r>
        <w:rPr>
          <w:rFonts w:eastAsia="方正仿宋_GBK"/>
          <w:bCs/>
          <w:color w:val="000000"/>
          <w:sz w:val="28"/>
          <w:szCs w:val="28"/>
        </w:rPr>
      </w:r>
      <w:r/>
    </w:p>
    <w:p>
      <w:pPr>
        <w:pStyle w:val="720"/>
        <w:jc w:val="both"/>
        <w:rPr>
          <w:rFonts w:eastAsia="方正仿宋_GBK"/>
          <w:b/>
          <w:bCs/>
          <w:color w:val="000000"/>
          <w:sz w:val="28"/>
          <w:szCs w:val="28"/>
        </w:rPr>
      </w:pPr>
      <w:r/>
      <w:bookmarkStart w:id="72" w:name="_Toc20823300"/>
      <w:r/>
      <w:bookmarkStart w:id="73" w:name="_Toc513029228"/>
      <w:r/>
      <w:bookmarkStart w:id="74" w:name="_Toc16938544"/>
      <w:r>
        <w:rPr>
          <w:rFonts w:eastAsia="方正仿宋_GBK"/>
          <w:color w:val="000000"/>
          <w:sz w:val="28"/>
          <w:szCs w:val="28"/>
        </w:rPr>
        <w:t xml:space="preserve">4.投标文件的撤回和修改</w:t>
      </w:r>
      <w:bookmarkEnd w:id="72"/>
      <w:r/>
      <w:bookmarkEnd w:id="73"/>
      <w:r/>
      <w:bookmarkEnd w:id="74"/>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4.1 投标文件的撤回</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4.1.1 电子投标文件的撤回</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投标人可在投标截止时间前，撤回其电子投标文件。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4.1.2 投标人撤回电子投标文件，则认为其不再参与本项目投标活动。</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4.2 投标文件的修改</w:t>
      </w:r>
      <w:r>
        <w:rPr>
          <w:rFonts w:eastAsia="方正仿宋_GBK"/>
          <w:color w:val="000000"/>
          <w:sz w:val="28"/>
          <w:szCs w:val="28"/>
        </w:rPr>
      </w:r>
      <w:r/>
    </w:p>
    <w:p>
      <w:pPr>
        <w:pStyle w:val="716"/>
        <w:ind w:firstLine="555"/>
        <w:rPr>
          <w:rFonts w:eastAsia="方正仿宋_GBK"/>
          <w:bCs/>
          <w:color w:val="000000"/>
          <w:sz w:val="28"/>
          <w:szCs w:val="28"/>
        </w:rPr>
      </w:pPr>
      <w:r>
        <w:rPr>
          <w:rFonts w:eastAsia="方正仿宋_GBK"/>
          <w:bCs/>
          <w:color w:val="000000"/>
          <w:sz w:val="28"/>
          <w:szCs w:val="28"/>
        </w:rPr>
        <w:t xml:space="preserve">投标人可在投标截止时间前，对其电子投标文件进行修改。</w:t>
      </w:r>
      <w:r>
        <w:rPr>
          <w:rFonts w:eastAsia="方正仿宋_GBK"/>
          <w:bCs/>
          <w:color w:val="000000"/>
          <w:sz w:val="28"/>
          <w:szCs w:val="28"/>
        </w:rPr>
      </w:r>
      <w:r/>
    </w:p>
    <w:p>
      <w:pPr>
        <w:pStyle w:val="716"/>
        <w:ind w:firstLine="555"/>
        <w:rPr>
          <w:rFonts w:eastAsia="方正仿宋_GBK"/>
          <w:bCs/>
          <w:color w:val="000000"/>
          <w:sz w:val="28"/>
          <w:szCs w:val="28"/>
        </w:rPr>
      </w:pPr>
      <w:r>
        <w:rPr>
          <w:rFonts w:eastAsia="方正仿宋_GBK"/>
          <w:color w:val="000000"/>
          <w:sz w:val="28"/>
          <w:szCs w:val="28"/>
        </w:rPr>
        <w:t xml:space="preserve">4.3</w:t>
      </w:r>
      <w:r>
        <w:rPr>
          <w:rFonts w:eastAsia="方正仿宋_GBK"/>
          <w:bCs/>
          <w:color w:val="000000"/>
          <w:sz w:val="28"/>
          <w:szCs w:val="28"/>
        </w:rPr>
        <w:t xml:space="preserve"> 在投标截止时间之后，投标人不得对其电子投标文件作任何修改。</w:t>
      </w:r>
      <w:r>
        <w:rPr>
          <w:rFonts w:eastAsia="方正仿宋_GBK"/>
          <w:bCs/>
          <w:color w:val="000000"/>
          <w:sz w:val="28"/>
          <w:szCs w:val="28"/>
        </w:rPr>
      </w:r>
      <w:r/>
    </w:p>
    <w:p>
      <w:pPr>
        <w:pStyle w:val="716"/>
        <w:ind w:firstLine="555"/>
        <w:rPr>
          <w:rFonts w:eastAsia="方正仿宋_GBK"/>
          <w:bCs/>
          <w:color w:val="000000"/>
          <w:sz w:val="28"/>
          <w:szCs w:val="28"/>
        </w:rPr>
      </w:pPr>
      <w:r>
        <w:rPr>
          <w:rFonts w:eastAsia="方正仿宋_GBK"/>
          <w:color w:val="000000"/>
          <w:sz w:val="28"/>
          <w:szCs w:val="28"/>
        </w:rPr>
        <w:t xml:space="preserve">4.4</w:t>
      </w:r>
      <w:r>
        <w:rPr>
          <w:rFonts w:eastAsia="方正仿宋_GBK"/>
          <w:bCs/>
          <w:color w:val="000000"/>
          <w:sz w:val="28"/>
          <w:szCs w:val="28"/>
        </w:rPr>
        <w:t xml:space="preserve"> 在投标截止时间至招标文件中规定的投标有效期满之间的这段时间内，投标人不得撤回其投标。</w:t>
      </w:r>
      <w:r>
        <w:rPr>
          <w:rFonts w:eastAsia="方正仿宋_GBK"/>
          <w:bCs/>
          <w:color w:val="000000"/>
          <w:sz w:val="28"/>
          <w:szCs w:val="28"/>
        </w:rPr>
      </w:r>
      <w:r/>
    </w:p>
    <w:p>
      <w:pPr>
        <w:pStyle w:val="716"/>
        <w:ind w:firstLine="562"/>
        <w:rPr>
          <w:rFonts w:eastAsia="方正仿宋_GBK"/>
          <w:color w:val="000000"/>
          <w:sz w:val="28"/>
          <w:szCs w:val="28"/>
        </w:rPr>
        <w:outlineLvl w:val="2"/>
      </w:pPr>
      <w:r/>
      <w:bookmarkStart w:id="75" w:name="_Toc20823301"/>
      <w:r/>
      <w:bookmarkStart w:id="76" w:name="_Toc120614218"/>
      <w:r/>
      <w:bookmarkStart w:id="77" w:name="_Toc513029229"/>
      <w:r/>
      <w:bookmarkStart w:id="78" w:name="_Toc16938545"/>
      <w:r>
        <w:rPr>
          <w:rFonts w:eastAsia="方正仿宋_GBK"/>
          <w:b/>
          <w:color w:val="000000"/>
          <w:sz w:val="28"/>
          <w:szCs w:val="28"/>
        </w:rPr>
        <w:t xml:space="preserve">五 开标与评标</w:t>
      </w:r>
      <w:bookmarkEnd w:id="75"/>
      <w:r/>
      <w:bookmarkEnd w:id="76"/>
      <w:r/>
      <w:bookmarkEnd w:id="77"/>
      <w:r/>
      <w:bookmarkEnd w:id="78"/>
      <w:r>
        <w:rPr>
          <w:rFonts w:eastAsia="方正仿宋_GBK"/>
          <w:color w:val="000000"/>
          <w:sz w:val="28"/>
          <w:szCs w:val="28"/>
        </w:rPr>
      </w:r>
      <w:r/>
    </w:p>
    <w:p>
      <w:pPr>
        <w:pStyle w:val="720"/>
        <w:jc w:val="both"/>
        <w:rPr>
          <w:rFonts w:eastAsia="方正仿宋_GBK"/>
          <w:b/>
          <w:bCs/>
          <w:color w:val="000000"/>
          <w:sz w:val="28"/>
          <w:szCs w:val="28"/>
        </w:rPr>
      </w:pPr>
      <w:r/>
      <w:bookmarkStart w:id="79" w:name="_Toc513029230"/>
      <w:r/>
      <w:bookmarkStart w:id="80" w:name="_Toc20823302"/>
      <w:r/>
      <w:bookmarkStart w:id="81" w:name="_Toc16938546"/>
      <w:r>
        <w:rPr>
          <w:rFonts w:eastAsia="方正仿宋_GBK"/>
          <w:color w:val="000000"/>
          <w:sz w:val="28"/>
          <w:szCs w:val="28"/>
        </w:rPr>
        <w:t xml:space="preserve">1开标</w:t>
      </w:r>
      <w:bookmarkEnd w:id="79"/>
      <w:r/>
      <w:bookmarkEnd w:id="80"/>
      <w:r/>
      <w:bookmarkEnd w:id="81"/>
      <w:r>
        <w:rPr>
          <w:rFonts w:eastAsia="方正仿宋_GBK"/>
          <w:b/>
          <w:bCs/>
          <w:color w:val="000000"/>
          <w:sz w:val="28"/>
          <w:szCs w:val="28"/>
        </w:rPr>
      </w:r>
      <w:r/>
    </w:p>
    <w:p>
      <w:pPr>
        <w:pStyle w:val="716"/>
        <w:ind w:firstLine="556"/>
        <w:rPr>
          <w:rFonts w:eastAsia="方正仿宋_GBK"/>
          <w:bCs/>
          <w:color w:val="000000"/>
          <w:sz w:val="28"/>
          <w:szCs w:val="28"/>
        </w:rPr>
      </w:pPr>
      <w:r>
        <w:rPr>
          <w:rFonts w:eastAsia="方正仿宋_GBK"/>
          <w:bCs/>
          <w:color w:val="000000"/>
          <w:sz w:val="28"/>
          <w:szCs w:val="28"/>
        </w:rPr>
        <w:t xml:space="preserve">1.1 </w:t>
      </w:r>
      <w:r>
        <w:rPr>
          <w:rFonts w:eastAsia="方正仿宋_GBK"/>
          <w:color w:val="000000"/>
          <w:sz w:val="28"/>
          <w:szCs w:val="28"/>
        </w:rPr>
        <w:t xml:space="preserve">交易中心将在招标公告中规定的时间和地点组织公开开标。投标人应当按照规定，参加开标活动和在苏采云系统规定的时间内对投标文件进行解密。</w:t>
      </w:r>
      <w:r>
        <w:rPr>
          <w:rFonts w:eastAsia="方正仿宋_GBK"/>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1.2开标仪式由交易中心组织，苏采云系统将自动对项目进行开标，并宣布各投标人名称和投标价格。</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1.3投标人在开标过程中涉及到的投标文件解密、开标结果确认等工作，按</w:t>
      </w:r>
      <w:r>
        <w:rPr>
          <w:rFonts w:hint="eastAsia" w:eastAsia="方正仿宋_GBK"/>
          <w:color w:val="000000"/>
          <w:sz w:val="28"/>
          <w:szCs w:val="28"/>
        </w:rPr>
        <w:t xml:space="preserve">相关规定</w:t>
      </w:r>
      <w:r>
        <w:rPr>
          <w:rFonts w:eastAsia="方正仿宋_GBK"/>
          <w:color w:val="000000"/>
          <w:sz w:val="28"/>
          <w:szCs w:val="28"/>
        </w:rPr>
        <w:t xml:space="preserve">执行。</w:t>
      </w:r>
      <w:r>
        <w:rPr>
          <w:rFonts w:eastAsia="方正仿宋_GBK"/>
          <w:color w:val="000000"/>
          <w:sz w:val="28"/>
          <w:szCs w:val="28"/>
        </w:rPr>
      </w:r>
      <w:r/>
    </w:p>
    <w:p>
      <w:pPr>
        <w:pStyle w:val="720"/>
        <w:jc w:val="both"/>
        <w:rPr>
          <w:rFonts w:eastAsia="方正仿宋_GBK"/>
          <w:b/>
          <w:bCs/>
          <w:color w:val="000000"/>
          <w:sz w:val="28"/>
          <w:szCs w:val="28"/>
        </w:rPr>
      </w:pPr>
      <w:r/>
      <w:bookmarkStart w:id="82" w:name="_Toc20823303"/>
      <w:r/>
      <w:bookmarkStart w:id="83" w:name="_Toc513029231"/>
      <w:r/>
      <w:bookmarkStart w:id="84" w:name="_Toc16938547"/>
      <w:r>
        <w:rPr>
          <w:rFonts w:eastAsia="方正仿宋_GBK"/>
          <w:color w:val="000000"/>
          <w:sz w:val="28"/>
          <w:szCs w:val="28"/>
        </w:rPr>
        <w:t xml:space="preserve">2评标委员会</w:t>
      </w:r>
      <w:r>
        <w:rPr>
          <w:rFonts w:eastAsia="方正仿宋_GBK"/>
          <w:b/>
          <w:bCs/>
          <w:color w:val="000000"/>
          <w:sz w:val="28"/>
          <w:szCs w:val="28"/>
        </w:rPr>
      </w:r>
      <w:r/>
    </w:p>
    <w:p>
      <w:pPr>
        <w:pStyle w:val="716"/>
        <w:rPr>
          <w:rFonts w:eastAsia="方正仿宋_GBK"/>
          <w:b/>
          <w:color w:val="000000"/>
          <w:sz w:val="28"/>
          <w:szCs w:val="28"/>
        </w:rPr>
      </w:pPr>
      <w:r>
        <w:rPr>
          <w:rFonts w:eastAsia="方正仿宋_GBK"/>
          <w:b/>
          <w:color w:val="000000"/>
          <w:sz w:val="28"/>
          <w:szCs w:val="28"/>
        </w:rPr>
        <w:t xml:space="preserve">  </w:t>
      </w:r>
      <w:r>
        <w:rPr>
          <w:rFonts w:eastAsia="方正仿宋_GBK"/>
          <w:color w:val="000000"/>
          <w:sz w:val="28"/>
          <w:szCs w:val="28"/>
        </w:rPr>
        <w:t xml:space="preserve"> 2.1</w:t>
      </w:r>
      <w:r>
        <w:rPr>
          <w:rFonts w:eastAsia="方正仿宋_GBK"/>
          <w:b/>
          <w:color w:val="000000"/>
          <w:sz w:val="28"/>
          <w:szCs w:val="28"/>
        </w:rPr>
        <w:t xml:space="preserve"> </w:t>
      </w:r>
      <w:r>
        <w:rPr>
          <w:rFonts w:eastAsia="方正仿宋_GBK"/>
          <w:color w:val="000000"/>
          <w:sz w:val="28"/>
          <w:szCs w:val="28"/>
        </w:rPr>
        <w:t xml:space="preserve">开标后，采购中心将立即组织评标委员会（以下简称评委会）进行评标。</w:t>
      </w:r>
      <w:r>
        <w:rPr>
          <w:rFonts w:eastAsia="方正仿宋_GBK"/>
          <w:b/>
          <w:color w:val="000000"/>
          <w:sz w:val="28"/>
          <w:szCs w:val="28"/>
        </w:rPr>
      </w:r>
      <w:r/>
    </w:p>
    <w:p>
      <w:pPr>
        <w:pStyle w:val="716"/>
        <w:rPr>
          <w:rFonts w:eastAsia="方正仿宋_GBK"/>
          <w:color w:val="000000"/>
          <w:sz w:val="28"/>
          <w:szCs w:val="28"/>
        </w:rPr>
      </w:pPr>
      <w:r>
        <w:rPr>
          <w:rFonts w:eastAsia="方正仿宋_GBK"/>
          <w:b/>
          <w:color w:val="000000"/>
          <w:sz w:val="28"/>
          <w:szCs w:val="28"/>
        </w:rPr>
        <w:t xml:space="preserve">  </w:t>
      </w:r>
      <w:r>
        <w:rPr>
          <w:rFonts w:eastAsia="方正仿宋_GBK"/>
          <w:color w:val="000000"/>
          <w:sz w:val="28"/>
          <w:szCs w:val="28"/>
        </w:rPr>
        <w:t xml:space="preserve"> 2.2 评委会由采购人代表和有关技术、经济等方面的专家组成，且人员构成符合政府采购有关规定。</w:t>
      </w:r>
      <w:r>
        <w:rPr>
          <w:rFonts w:eastAsia="方正仿宋_GBK"/>
          <w:color w:val="000000"/>
          <w:sz w:val="28"/>
          <w:szCs w:val="28"/>
        </w:rPr>
      </w:r>
      <w:r/>
    </w:p>
    <w:p>
      <w:pPr>
        <w:pStyle w:val="716"/>
        <w:rPr>
          <w:rFonts w:eastAsia="方正仿宋_GBK"/>
          <w:color w:val="000000"/>
          <w:sz w:val="28"/>
          <w:szCs w:val="28"/>
        </w:rPr>
      </w:pPr>
      <w:r>
        <w:rPr>
          <w:rFonts w:eastAsia="方正仿宋_GBK"/>
          <w:b/>
          <w:color w:val="000000"/>
          <w:sz w:val="28"/>
          <w:szCs w:val="28"/>
        </w:rPr>
        <w:t xml:space="preserve">  </w:t>
      </w:r>
      <w:r>
        <w:rPr>
          <w:rFonts w:eastAsia="方正仿宋_GBK"/>
          <w:color w:val="000000"/>
          <w:sz w:val="28"/>
          <w:szCs w:val="28"/>
        </w:rPr>
        <w:t xml:space="preserve"> 2.3评委会独立工作，负责评审所有投标文件并确定中标侯选人。</w:t>
      </w:r>
      <w:r>
        <w:rPr>
          <w:rFonts w:eastAsia="方正仿宋_GBK"/>
          <w:color w:val="000000"/>
          <w:sz w:val="28"/>
          <w:szCs w:val="28"/>
        </w:rPr>
      </w:r>
      <w:r/>
    </w:p>
    <w:p>
      <w:pPr>
        <w:pStyle w:val="720"/>
        <w:jc w:val="both"/>
        <w:rPr>
          <w:rFonts w:eastAsia="方正仿宋_GBK"/>
          <w:b/>
          <w:bCs/>
          <w:color w:val="000000"/>
          <w:sz w:val="28"/>
          <w:szCs w:val="28"/>
        </w:rPr>
      </w:pPr>
      <w:r>
        <w:rPr>
          <w:rFonts w:eastAsia="方正仿宋_GBK"/>
          <w:color w:val="000000"/>
          <w:sz w:val="28"/>
          <w:szCs w:val="28"/>
        </w:rPr>
        <w:t xml:space="preserve">3评标过程的保密与公正</w:t>
      </w:r>
      <w:r>
        <w:rPr>
          <w:rFonts w:eastAsia="方正仿宋_GBK"/>
          <w:b/>
          <w:bCs/>
          <w:color w:val="000000"/>
          <w:sz w:val="28"/>
          <w:szCs w:val="28"/>
        </w:rPr>
      </w:r>
      <w:r/>
    </w:p>
    <w:p>
      <w:pPr>
        <w:pStyle w:val="716"/>
        <w:ind w:firstLine="560"/>
        <w:rPr>
          <w:rFonts w:eastAsia="方正仿宋_GBK"/>
          <w:bCs/>
          <w:color w:val="000000"/>
          <w:sz w:val="28"/>
          <w:szCs w:val="28"/>
        </w:rPr>
      </w:pPr>
      <w:r/>
      <w:bookmarkEnd w:id="82"/>
      <w:r/>
      <w:bookmarkEnd w:id="83"/>
      <w:r/>
      <w:bookmarkEnd w:id="84"/>
      <w:r>
        <w:rPr>
          <w:rFonts w:eastAsia="方正仿宋_GBK"/>
          <w:color w:val="000000"/>
          <w:sz w:val="28"/>
          <w:szCs w:val="28"/>
        </w:rPr>
        <w:t xml:space="preserve">3.1</w:t>
      </w:r>
      <w:r>
        <w:rPr>
          <w:rFonts w:eastAsia="方正仿宋_GBK"/>
          <w:bCs/>
          <w:color w:val="000000"/>
          <w:sz w:val="28"/>
          <w:szCs w:val="28"/>
        </w:rPr>
        <w:t xml:space="preserve">公开开标后，直至向中标的投标人授予合同时止，凡是与审查、澄清、评价和比较投标的有关资料以及授标建议等，采购人、评委、采购中心均不得向投标人或与评标无关的其他人员透露。</w:t>
      </w:r>
      <w:r>
        <w:rPr>
          <w:rFonts w:eastAsia="方正仿宋_GBK"/>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3.2在评标过程中，投标人不得以任何行为影响评标过程，否则其投标文件将被作为无效投标文件。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3.3在评标期间，采购中心将设专门人员与投标人联系。</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3.4 交易中心和评标委员会不向未中标的投标人解释未中标原因，也不公布评标过程中的相关细节。</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3.5 采用综合评分法的项目，公布评标结果时一并公布所有投标人的评审得分及排序情况。</w:t>
      </w:r>
      <w:r>
        <w:rPr>
          <w:rFonts w:eastAsia="方正仿宋_GBK"/>
          <w:color w:val="000000"/>
          <w:sz w:val="28"/>
          <w:szCs w:val="28"/>
        </w:rPr>
      </w:r>
      <w:r/>
    </w:p>
    <w:p>
      <w:pPr>
        <w:pStyle w:val="720"/>
        <w:jc w:val="both"/>
        <w:rPr>
          <w:rFonts w:eastAsia="方正仿宋_GBK"/>
          <w:b/>
          <w:bCs/>
          <w:color w:val="000000"/>
          <w:sz w:val="28"/>
          <w:szCs w:val="28"/>
        </w:rPr>
      </w:pPr>
      <w:r/>
      <w:bookmarkStart w:id="85" w:name="_Toc20823304"/>
      <w:r/>
      <w:bookmarkStart w:id="86" w:name="_Toc513029232"/>
      <w:r/>
      <w:bookmarkStart w:id="87" w:name="_Toc16938548"/>
      <w:r>
        <w:rPr>
          <w:rFonts w:eastAsia="方正仿宋_GBK"/>
          <w:color w:val="000000"/>
          <w:sz w:val="28"/>
          <w:szCs w:val="28"/>
        </w:rPr>
        <w:t xml:space="preserve">4投标的澄清</w:t>
      </w:r>
      <w:bookmarkEnd w:id="85"/>
      <w:r/>
      <w:bookmarkEnd w:id="86"/>
      <w:r/>
      <w:bookmarkEnd w:id="87"/>
      <w:r>
        <w:rPr>
          <w:rFonts w:eastAsia="方正仿宋_GBK"/>
          <w:b/>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4.1评标期间，为有助于对投标文件的审查、评价和比较，评委会有权以电子函件形式要求投标人对其投标文件进行澄清，但并非对每个投标人都作澄清要求。</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    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    4.3 接到评委会澄清要求的投标人如未按规定做出澄清，其风险由投标人自行承担。</w:t>
      </w:r>
      <w:r>
        <w:rPr>
          <w:rFonts w:eastAsia="方正仿宋_GBK"/>
          <w:color w:val="000000"/>
          <w:sz w:val="28"/>
          <w:szCs w:val="28"/>
        </w:rPr>
      </w:r>
      <w:r/>
    </w:p>
    <w:p>
      <w:pPr>
        <w:pStyle w:val="720"/>
        <w:jc w:val="both"/>
        <w:rPr>
          <w:rFonts w:eastAsia="方正仿宋_GBK"/>
          <w:b/>
          <w:bCs/>
          <w:color w:val="000000"/>
          <w:sz w:val="28"/>
          <w:szCs w:val="28"/>
        </w:rPr>
      </w:pPr>
      <w:r/>
      <w:bookmarkStart w:id="88" w:name="_Toc20823305"/>
      <w:r/>
      <w:bookmarkStart w:id="89" w:name="_Toc513029233"/>
      <w:r/>
      <w:bookmarkStart w:id="90" w:name="_Toc16938549"/>
      <w:r>
        <w:rPr>
          <w:rFonts w:eastAsia="方正仿宋_GBK"/>
          <w:color w:val="000000"/>
          <w:sz w:val="28"/>
          <w:szCs w:val="28"/>
        </w:rPr>
        <w:t xml:space="preserve">5对投标文件的初审</w:t>
      </w:r>
      <w:bookmarkEnd w:id="88"/>
      <w:r/>
      <w:bookmarkEnd w:id="89"/>
      <w:r/>
      <w:bookmarkEnd w:id="90"/>
      <w:r>
        <w:rPr>
          <w:rFonts w:eastAsia="方正仿宋_GBK"/>
          <w:b/>
          <w:bCs/>
          <w:color w:val="000000"/>
          <w:sz w:val="28"/>
          <w:szCs w:val="28"/>
        </w:rPr>
      </w:r>
      <w:r/>
    </w:p>
    <w:p>
      <w:pPr>
        <w:pStyle w:val="716"/>
        <w:ind w:firstLine="560"/>
        <w:rPr>
          <w:rFonts w:eastAsia="方正仿宋_GBK"/>
          <w:bCs/>
          <w:color w:val="000000"/>
          <w:sz w:val="28"/>
          <w:szCs w:val="28"/>
        </w:rPr>
      </w:pPr>
      <w:r>
        <w:rPr>
          <w:rFonts w:eastAsia="方正仿宋_GBK"/>
          <w:color w:val="000000"/>
          <w:sz w:val="28"/>
          <w:szCs w:val="28"/>
        </w:rPr>
        <w:t xml:space="preserve">5.1</w:t>
      </w:r>
      <w:r>
        <w:rPr>
          <w:rFonts w:eastAsia="方正仿宋_GBK"/>
          <w:bCs/>
          <w:color w:val="000000"/>
          <w:sz w:val="28"/>
          <w:szCs w:val="28"/>
        </w:rPr>
        <w:t xml:space="preserve">投标文件初审分为资格审查和符合性审查。</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5.1.1 资格审查：依据法律法规和招标文件的规定，由采购人对投标文件中的资格证明文件进行审查。资格审查的结论，采购人以书面形式向评委会进行反馈。</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采购人在进行资格性审查的同时，评标系统将通过南通市公共信用信息联合奖惩系统自动从“信用中国”网站（www.creditchina.gov.cn）查询投标人的信用记录，以确定投标人是否具备投标资格。查询结果将在系统中留存并归档。</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5.1.2 符合性审查：依据招标文件的规定，由评委会从投标文件的有效性、完整性和对招标文件的响应程度进行审查，以确定是否对招标文件的实质性要求作出响应。</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5.1.3 未通过资格审查或符合性审查的投标人，交易中心将在“苏采云不见面交易系统”中告知未通过资格审查或符合性审查的原因，评审结束后，交易中心将不再告知未通过资格审查或符合性审查的原因。</w:t>
      </w:r>
      <w:r>
        <w:rPr>
          <w:rFonts w:eastAsia="方正仿宋_GBK"/>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color w:val="000000"/>
          <w:sz w:val="28"/>
          <w:szCs w:val="28"/>
        </w:rPr>
      </w:r>
      <w:r/>
    </w:p>
    <w:p>
      <w:pPr>
        <w:pStyle w:val="716"/>
        <w:ind w:firstLine="560"/>
        <w:rPr>
          <w:rFonts w:eastAsia="方正仿宋_GBK"/>
          <w:bCs/>
          <w:color w:val="000000"/>
          <w:sz w:val="28"/>
          <w:szCs w:val="28"/>
        </w:rPr>
      </w:pPr>
      <w:r>
        <w:rPr>
          <w:rFonts w:eastAsia="方正仿宋_GBK"/>
          <w:color w:val="000000"/>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000000"/>
          <w:sz w:val="28"/>
          <w:szCs w:val="28"/>
        </w:rPr>
        <w:t xml:space="preserve">评委决定投标文件的响应性只根据投标文件本身的内容，而不寻求外部的证据。</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color w:val="000000"/>
          <w:sz w:val="28"/>
          <w:szCs w:val="28"/>
        </w:rPr>
        <w:t xml:space="preserve">5.3</w:t>
      </w:r>
      <w:r>
        <w:rPr>
          <w:rFonts w:eastAsia="方正仿宋_GBK"/>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color w:val="000000"/>
          <w:sz w:val="28"/>
          <w:szCs w:val="28"/>
        </w:rPr>
        <w:t xml:space="preserve">5.4</w:t>
      </w:r>
      <w:r>
        <w:rPr>
          <w:rFonts w:eastAsia="方正仿宋_GBK"/>
          <w:bCs/>
          <w:color w:val="000000"/>
          <w:sz w:val="28"/>
          <w:szCs w:val="28"/>
        </w:rPr>
        <w:t xml:space="preserve">评委会将对确定为实质性响应的投标进行进一步审核，看其是否有计算上或累加上的算术错误，修正错误的原则如下：</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（1）投标文件中开标一览表内容与投标文件中相应内容不一致的，以开标一览表为准。</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（2）大写金额和小写金额不一致的，以大写金额为准。</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（3）单价金额小数点或者百分比有明显错位的，以开标一览表的总价为准，并修改单价。</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（4）总价金额与按单价汇总金额不一致的，以单价金额计算结果为准。</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同时出现两种以上错误的，按照前款规定的顺序修正。</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color w:val="000000"/>
          <w:sz w:val="28"/>
          <w:szCs w:val="28"/>
        </w:rPr>
        <w:t xml:space="preserve">5.5</w:t>
      </w:r>
      <w:r>
        <w:rPr>
          <w:rFonts w:eastAsia="方正仿宋_GBK"/>
          <w:bCs/>
          <w:color w:val="000000"/>
          <w:sz w:val="28"/>
          <w:szCs w:val="28"/>
        </w:rPr>
        <w:t xml:space="preserve">评委会将按上述修正错误的方法调整投标文件中的投标报价，并通过“苏采云不见面交易系统”告知投标人，调整后的价格应对投标人具有约束力。如果投标人不接受修正后的价格，则其投标将被拒绝。</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color w:val="000000"/>
          <w:sz w:val="28"/>
          <w:szCs w:val="28"/>
        </w:rPr>
        <w:t xml:space="preserve">5.6</w:t>
      </w:r>
      <w:r>
        <w:rPr>
          <w:rFonts w:eastAsia="方正仿宋_GBK"/>
          <w:bCs/>
          <w:color w:val="000000"/>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color w:val="000000"/>
          <w:sz w:val="28"/>
          <w:szCs w:val="28"/>
        </w:rPr>
      </w:r>
      <w:r/>
    </w:p>
    <w:p>
      <w:pPr>
        <w:pStyle w:val="716"/>
        <w:ind w:firstLine="560"/>
        <w:rPr>
          <w:rFonts w:eastAsia="方正仿宋_GBK"/>
          <w:color w:val="000000"/>
          <w:sz w:val="28"/>
          <w:szCs w:val="28"/>
        </w:rPr>
      </w:pPr>
      <w:r/>
      <w:bookmarkStart w:id="91" w:name="_Toc16938550"/>
      <w:r/>
      <w:bookmarkStart w:id="92" w:name="_Toc513029234"/>
      <w:r/>
      <w:bookmarkStart w:id="93" w:name="_Toc20823306"/>
      <w:r>
        <w:rPr>
          <w:rFonts w:eastAsia="方正仿宋_GBK"/>
          <w:color w:val="000000"/>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非单一产品采购项目，招标文件中将载明其中的核心产品。多家投标人提供的核心产品品牌相同的，按前两款规定处理。</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5.8 投标人在开、评标全过程中应保持通讯畅通，并安排专人与采购中心及评标委员会联系。</w:t>
      </w:r>
      <w:r>
        <w:rPr>
          <w:rFonts w:eastAsia="方正仿宋_GBK"/>
          <w:color w:val="000000"/>
          <w:sz w:val="28"/>
          <w:szCs w:val="28"/>
        </w:rPr>
      </w:r>
      <w:r/>
    </w:p>
    <w:p>
      <w:pPr>
        <w:pStyle w:val="827"/>
        <w:ind w:left="0" w:right="0" w:firstLine="562"/>
        <w:jc w:val="left"/>
        <w:spacing w:before="0" w:after="0" w:line="240" w:lineRule="auto"/>
        <w:rPr>
          <w:rFonts w:ascii="Times New Roman" w:hAnsi="Times New Roman" w:eastAsia="方正仿宋_GBK"/>
          <w:b/>
          <w:color w:val="000000"/>
          <w:sz w:val="28"/>
          <w:szCs w:val="28"/>
        </w:rPr>
        <w:outlineLvl w:val="3"/>
      </w:pPr>
      <w:r>
        <w:rPr>
          <w:rFonts w:ascii="Times New Roman" w:hAnsi="Times New Roman" w:eastAsia="方正仿宋_GBK"/>
          <w:b/>
          <w:color w:val="000000"/>
          <w:sz w:val="28"/>
          <w:szCs w:val="28"/>
        </w:rPr>
        <w:t xml:space="preserve">6无效投标条款和废标条款</w:t>
      </w:r>
      <w:r>
        <w:rPr>
          <w:rFonts w:ascii="Times New Roman" w:hAnsi="Times New Roman" w:eastAsia="方正仿宋_GBK"/>
          <w:b/>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6.1无效投标条款</w:t>
      </w:r>
      <w:r>
        <w:rPr>
          <w:rFonts w:eastAsia="方正仿宋_GBK"/>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1）投标人在”苏采云不见面交易系统”规定的时间内未成功解密电子投标文件的。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2）投标人未按照招标文件要求上传电子投标文件的。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3）同一投标人提交两个（含两个）以上不同的投标报价的。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4）投标人不具备招标文件中规定资格要求的。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5）投标人的报价超过了采购预算或最高限价的。</w:t>
      </w:r>
      <w:r>
        <w:rPr>
          <w:rFonts w:eastAsia="方正仿宋_GBK"/>
          <w:bCs/>
          <w:color w:val="000000"/>
          <w:sz w:val="28"/>
          <w:szCs w:val="28"/>
        </w:rPr>
      </w:r>
      <w:r/>
    </w:p>
    <w:p>
      <w:pPr>
        <w:pStyle w:val="716"/>
        <w:ind w:firstLine="560"/>
        <w:rPr>
          <w:rFonts w:eastAsia="方正仿宋_GBK"/>
          <w:bCs/>
          <w:i/>
          <w:color w:val="000000"/>
          <w:sz w:val="28"/>
          <w:szCs w:val="28"/>
          <w:u w:val="single"/>
        </w:rPr>
      </w:pPr>
      <w:r>
        <w:rPr>
          <w:rFonts w:eastAsia="方正仿宋_GBK"/>
          <w:bCs/>
          <w:color w:val="000000"/>
          <w:sz w:val="28"/>
          <w:szCs w:val="28"/>
        </w:rPr>
        <w:t xml:space="preserve">6）未通过符合性检查的。</w:t>
      </w:r>
      <w:r>
        <w:rPr>
          <w:rFonts w:eastAsia="方正仿宋_GBK"/>
          <w:bCs/>
          <w:i/>
          <w:color w:val="000000"/>
          <w:sz w:val="28"/>
          <w:szCs w:val="28"/>
          <w:u w:val="single"/>
        </w:rPr>
      </w:r>
      <w:r/>
    </w:p>
    <w:p>
      <w:pPr>
        <w:pStyle w:val="716"/>
        <w:ind w:firstLine="420"/>
        <w:rPr>
          <w:rFonts w:eastAsia="方正仿宋_GBK"/>
          <w:bCs/>
          <w:i/>
          <w:color w:val="000000"/>
          <w:sz w:val="28"/>
          <w:szCs w:val="28"/>
          <w:u w:val="single"/>
        </w:rPr>
      </w:pPr>
      <w:r>
        <w:rPr>
          <w:rFonts w:eastAsia="方正仿宋_GBK"/>
          <w:bCs/>
          <w:color w:val="000000"/>
          <w:sz w:val="28"/>
          <w:szCs w:val="28"/>
        </w:rPr>
        <w:t xml:space="preserve"> 7）不符合招标文件中规定的其他实质性要求和条件的。</w:t>
      </w:r>
      <w:r>
        <w:rPr>
          <w:rFonts w:eastAsia="方正仿宋_GBK"/>
          <w:bCs/>
          <w:i/>
          <w:color w:val="000000"/>
          <w:sz w:val="28"/>
          <w:szCs w:val="28"/>
          <w:u w:val="single"/>
        </w:rPr>
      </w:r>
      <w:r/>
    </w:p>
    <w:p>
      <w:pPr>
        <w:pStyle w:val="716"/>
        <w:ind w:firstLine="560"/>
        <w:rPr>
          <w:rFonts w:eastAsia="方正仿宋_GBK"/>
          <w:bCs/>
          <w:color w:val="000000"/>
          <w:sz w:val="28"/>
          <w:szCs w:val="28"/>
        </w:rPr>
      </w:pPr>
      <w:r>
        <w:rPr>
          <w:rFonts w:eastAsia="方正仿宋_GBK"/>
          <w:bCs/>
          <w:color w:val="000000"/>
          <w:sz w:val="28"/>
          <w:szCs w:val="28"/>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9）投标文件含有采购人不能接受的附加条件的。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10）评标委员会认为投标人的报价明显低于其他通过符合性审查投标人的报价，有可能影响产品质量或者不能诚信履约的，将通过”苏采云不见面交易系统”要求其在合理的时间内提供说明，必要时提交相关证明材料；投标人不能证明其报价合理性的，评标委员会应当将其作为无效投标处理。启动异常低价响应审查后，供应商不能在规定时间内提供书面说明、证明材料，或者提供的书面说明、证明材料不能证明其报价合理性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12）投标文件未按照招标文件要求加盖电子签章。</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13）不同的投标人投标文件制作机器码、文件创建标识码一致的。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14）投标人的商务技术部分得分相差悬殊，评标委员会认为得分畸低者没有实质性响应的。</w:t>
      </w:r>
      <w:r>
        <w:rPr>
          <w:rFonts w:eastAsia="方正仿宋_GBK"/>
          <w:bCs/>
          <w:color w:val="000000"/>
          <w:sz w:val="28"/>
          <w:szCs w:val="28"/>
        </w:rPr>
      </w:r>
      <w:r/>
    </w:p>
    <w:p>
      <w:pPr>
        <w:pStyle w:val="716"/>
        <w:ind w:firstLine="554"/>
        <w:rPr>
          <w:rFonts w:eastAsia="方正仿宋_GBK"/>
          <w:color w:val="000000"/>
          <w:sz w:val="28"/>
          <w:szCs w:val="28"/>
        </w:rPr>
      </w:pPr>
      <w:r>
        <w:rPr>
          <w:rFonts w:eastAsia="方正仿宋_GBK"/>
          <w:bCs/>
          <w:color w:val="000000"/>
          <w:sz w:val="28"/>
          <w:szCs w:val="28"/>
        </w:rPr>
        <w:t xml:space="preserve">15）其他法律、法规及本招标文件规定的属无效投标的情形。</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6.2强化政府采购异常低价审查</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6.2.1采购人应当在采购文件中明确,政府采购评审中出现下列情形之一的,评审委员会应当启动异常低价投标(响应)审查程序:</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1) 投标(响应)报价低于全部通过符合性审查供应商投标(响应)报价平均值50%的,即投标(响应)报价＜全部通过符合性审查供应商投标(响应)报价平均值×50%；</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2) 投标(响应)报价低于通过符合性审查的次低报价供应商投标(响应)报价50% 的,即投标(响应)报价＜通过符合性审查的次低报价供应商投标(响应)报价×50%；</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3) 投标(响应)报价低于采购项目最高限价45%的,即投标(响应)报价＜采购项目最高限价×45%；</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4)评审委员会基于专业判断,认为供应商报价过低,有可能影响产品质量或者不能诚信履约的其他情形。</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采购人可以结合具体项目实际情况,提高上述第1项至第3项中启动异常低价投标(响应)审查的数值标准,但是最高不得超过65%相关法律法规对供应商报价有规定的,从其规定。</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6.2.2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6.3废标条款</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1）符合专业条件的投标人或者对招标文件作实质响应的投标人不足三家的；</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2）出现影响采购公正的违法、违规行为的；</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3）因重大变故，采购任务取消的；</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4）评标委员会认定招标文件存在歧义、重大缺陷导致评审工作无法进行的。</w:t>
      </w:r>
      <w:r>
        <w:rPr>
          <w:rFonts w:eastAsia="方正仿宋_GBK"/>
          <w:color w:val="000000"/>
          <w:sz w:val="28"/>
          <w:szCs w:val="28"/>
        </w:rPr>
      </w:r>
      <w:r/>
    </w:p>
    <w:p>
      <w:pPr>
        <w:pStyle w:val="716"/>
        <w:ind w:firstLine="562"/>
        <w:rPr>
          <w:rFonts w:eastAsia="方正仿宋_GBK"/>
          <w:b/>
          <w:color w:val="000000"/>
          <w:sz w:val="28"/>
          <w:szCs w:val="28"/>
        </w:rPr>
        <w:outlineLvl w:val="2"/>
      </w:pPr>
      <w:r/>
      <w:bookmarkEnd w:id="91"/>
      <w:r/>
      <w:bookmarkEnd w:id="92"/>
      <w:r/>
      <w:bookmarkEnd w:id="93"/>
      <w:r/>
      <w:bookmarkStart w:id="94" w:name="_Toc120614219"/>
      <w:r>
        <w:rPr>
          <w:rFonts w:eastAsia="方正仿宋_GBK"/>
          <w:b/>
          <w:color w:val="000000"/>
          <w:sz w:val="28"/>
          <w:szCs w:val="28"/>
        </w:rPr>
        <w:t xml:space="preserve">六 定标</w:t>
      </w:r>
      <w:bookmarkEnd w:id="94"/>
      <w:r>
        <w:rPr>
          <w:rFonts w:eastAsia="方正仿宋_GBK"/>
          <w:b/>
          <w:color w:val="000000"/>
          <w:sz w:val="28"/>
          <w:szCs w:val="28"/>
        </w:rPr>
      </w:r>
      <w:r/>
    </w:p>
    <w:p>
      <w:pPr>
        <w:pStyle w:val="720"/>
        <w:jc w:val="both"/>
        <w:rPr>
          <w:rFonts w:eastAsia="方正仿宋_GBK"/>
          <w:b/>
          <w:color w:val="000000"/>
          <w:sz w:val="28"/>
          <w:szCs w:val="28"/>
        </w:rPr>
      </w:pPr>
      <w:r/>
      <w:bookmarkStart w:id="95" w:name="_Toc16938554"/>
      <w:r/>
      <w:bookmarkStart w:id="96" w:name="_Toc20823310"/>
      <w:r>
        <w:rPr>
          <w:rFonts w:eastAsia="方正仿宋_GBK"/>
          <w:color w:val="000000"/>
          <w:sz w:val="28"/>
          <w:szCs w:val="28"/>
        </w:rPr>
        <w:t xml:space="preserve">1.确定</w:t>
      </w:r>
      <w:bookmarkEnd w:id="95"/>
      <w:r/>
      <w:bookmarkEnd w:id="96"/>
      <w:r>
        <w:rPr>
          <w:rFonts w:eastAsia="方正仿宋_GBK"/>
          <w:color w:val="000000"/>
          <w:sz w:val="28"/>
          <w:szCs w:val="28"/>
        </w:rPr>
        <w:t xml:space="preserve">中标单位</w:t>
      </w:r>
      <w:r>
        <w:rPr>
          <w:rFonts w:eastAsia="方正仿宋_GBK"/>
          <w:b/>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1.1中标候选人的选取原则和数量见招标文件第四部分规定。 </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1.2采购人授权评委会在中标候选人中直接确定中标人。</w:t>
      </w:r>
      <w:r>
        <w:rPr>
          <w:rFonts w:eastAsia="方正仿宋_GBK"/>
          <w:bCs/>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1.3</w:t>
      </w:r>
      <w:r>
        <w:rPr>
          <w:rFonts w:eastAsia="方正仿宋_GBK"/>
          <w:color w:val="000000"/>
          <w:sz w:val="28"/>
          <w:szCs w:val="28"/>
        </w:rPr>
        <w:t xml:space="preserve">采购中心将在“江苏政府采购网”发布中标公告，公告期限为1个工作日。</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1.4若有充分证据证明，中标人出现下列情况之一的，一经查实，将被取消中标资格：</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1.4.1提供虚假材料谋取中标的。</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1.4.2向采购人、采购中心行贿或者提供其他不正当利益的。</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1.4.3恶意竞争，投标总报价明显低于其自身合理成本且又无法提供证明的。</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1.4.4属于本文件规定的无效条件，但在评标过程中又未被评委会发现的。</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1.4.5与采购人或者其他供应商恶意串通的。</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1.4.6采取不正当手段诋毁、排挤其他供应商的。</w:t>
      </w:r>
      <w:r>
        <w:rPr>
          <w:rFonts w:eastAsia="方正仿宋_GBK"/>
          <w:color w:val="000000"/>
          <w:sz w:val="28"/>
          <w:szCs w:val="28"/>
        </w:rPr>
      </w:r>
      <w:r/>
    </w:p>
    <w:p>
      <w:pPr>
        <w:pStyle w:val="716"/>
        <w:ind w:firstLine="560"/>
        <w:rPr>
          <w:rFonts w:eastAsia="方正仿宋_GBK"/>
          <w:color w:val="000000"/>
          <w:sz w:val="28"/>
          <w:szCs w:val="28"/>
        </w:rPr>
      </w:pPr>
      <w:r/>
      <w:bookmarkStart w:id="97" w:name="_Toc200451960"/>
      <w:r>
        <w:rPr>
          <w:rFonts w:eastAsia="方正仿宋_GBK"/>
          <w:color w:val="000000"/>
          <w:sz w:val="28"/>
          <w:szCs w:val="28"/>
        </w:rPr>
        <w:t xml:space="preserve">1.5.</w:t>
      </w:r>
      <w:r>
        <w:rPr>
          <w:rFonts w:eastAsia="方正仿宋_GBK"/>
          <w:color w:val="000000"/>
          <w:sz w:val="28"/>
          <w:szCs w:val="28"/>
        </w:rPr>
        <w:t xml:space="preserve">有下列情形之一的，视为投标人串通投标，投标无效：</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1.5.1不同投标人的投标文件由同一单位或者个人编制；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1.5.2不同投标人委托同一单位或者个人办理投标事宜；</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1.5.3不同投标人的投标文件载明的项目管理成员或者联系人员为同一人；</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1.5.4不同投标人的投标文件异常一致或者投标报价呈规律性差异；</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1.5.5不同投标人的投标文件相互混装；</w:t>
      </w:r>
      <w:r>
        <w:rPr>
          <w:rFonts w:eastAsia="方正仿宋_GBK"/>
          <w:color w:val="000000"/>
          <w:sz w:val="28"/>
          <w:szCs w:val="28"/>
        </w:rPr>
      </w:r>
      <w:r/>
    </w:p>
    <w:p>
      <w:pPr>
        <w:pStyle w:val="720"/>
        <w:jc w:val="both"/>
        <w:rPr>
          <w:rFonts w:eastAsia="方正仿宋_GBK"/>
          <w:b/>
          <w:color w:val="000000"/>
          <w:sz w:val="28"/>
          <w:szCs w:val="28"/>
        </w:rPr>
      </w:pPr>
      <w:r>
        <w:rPr>
          <w:rFonts w:eastAsia="方正仿宋_GBK"/>
          <w:color w:val="000000"/>
          <w:sz w:val="28"/>
          <w:szCs w:val="28"/>
        </w:rPr>
        <w:t xml:space="preserve">2.质疑处理</w:t>
      </w:r>
      <w:bookmarkEnd w:id="97"/>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2.1 提出质疑的供应商应当是参与所质疑项目采购活动的供应商。潜在供应商依法获取其可质疑的采购文件的，可以对采购文件提出质疑。</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2.2供应商认为采购文件、采购过程和采购结果使自己的权益受到损害的，可以在知道或应知其权益受到损害之日起七个工作日内，以书面形式向采购中心或采购人提出质疑。上述应知其权益受到损害之日，是指：</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2.2.1</w:t>
      </w:r>
      <w:r>
        <w:rPr>
          <w:rFonts w:eastAsia="方正仿宋_GBK"/>
          <w:color w:val="000000"/>
          <w:sz w:val="28"/>
          <w:szCs w:val="28"/>
        </w:rPr>
        <w:t xml:space="preserve">对可以质疑的采购文件提出质疑的，为收到采购文件之日或者采购文件公告期限届满之日；</w:t>
      </w:r>
      <w:r>
        <w:rPr>
          <w:rFonts w:eastAsia="方正仿宋_GBK"/>
          <w:color w:val="000000"/>
          <w:sz w:val="28"/>
          <w:szCs w:val="28"/>
        </w:rPr>
        <w:br w:type="textWrapping" w:clear="all"/>
      </w:r>
      <w:r>
        <w:rPr>
          <w:rFonts w:eastAsia="方正仿宋_GBK"/>
          <w:color w:val="000000"/>
          <w:sz w:val="28"/>
          <w:szCs w:val="28"/>
        </w:rPr>
        <w:t xml:space="preserve">　　</w:t>
      </w:r>
      <w:r>
        <w:rPr>
          <w:rFonts w:eastAsia="方正仿宋_GBK"/>
          <w:color w:val="000000"/>
          <w:sz w:val="28"/>
          <w:szCs w:val="28"/>
        </w:rPr>
        <w:t xml:space="preserve">2.2.2</w:t>
      </w:r>
      <w:r>
        <w:rPr>
          <w:rFonts w:eastAsia="方正仿宋_GBK"/>
          <w:color w:val="000000"/>
          <w:sz w:val="28"/>
          <w:szCs w:val="28"/>
        </w:rPr>
        <w:t xml:space="preserve">对采购过程提出质疑的，为各采购程序环节结束之日；</w:t>
      </w:r>
      <w:r>
        <w:rPr>
          <w:rFonts w:eastAsia="方正仿宋_GBK"/>
          <w:color w:val="000000"/>
          <w:sz w:val="28"/>
          <w:szCs w:val="28"/>
        </w:rPr>
        <w:br w:type="textWrapping" w:clear="all"/>
      </w:r>
      <w:r>
        <w:rPr>
          <w:rFonts w:eastAsia="方正仿宋_GBK"/>
          <w:color w:val="000000"/>
          <w:sz w:val="28"/>
          <w:szCs w:val="28"/>
        </w:rPr>
        <w:t xml:space="preserve">　　</w:t>
      </w:r>
      <w:r>
        <w:rPr>
          <w:rFonts w:eastAsia="方正仿宋_GBK"/>
          <w:color w:val="000000"/>
          <w:sz w:val="28"/>
          <w:szCs w:val="28"/>
        </w:rPr>
        <w:t xml:space="preserve">2.2.3</w:t>
      </w:r>
      <w:r>
        <w:rPr>
          <w:rFonts w:eastAsia="方正仿宋_GBK"/>
          <w:color w:val="000000"/>
          <w:sz w:val="28"/>
          <w:szCs w:val="28"/>
        </w:rPr>
        <w:t xml:space="preserve">对中标或者成交结果提出质疑的，为中标或者成交结果公告期限届满之日。</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供应商应当在法定质疑期内一次性提出针对同一采购程序环节的质疑。</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2.4对采购方式、招标文件中项目需求、供应商资格条件、评标方法和评标标准、资格审查结果等应当由采购人答复的质疑，请向采购人提出，由采购人负责答复。</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交易中心及采购人只接收以纸质原件形式送达的质疑,建议供应商尽量通过邮寄方式提交质疑（采购人和交易中心不接受未填写快递运单的快件）。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采购人质疑接收人及联系方式，见招标文件第一章。</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2.5 以下情形的质疑不予受理</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2.5.1 内容不符合《政府采购质疑和投诉办法》第十二条规定的质疑。</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2.5.2 超出政府采购法定期限的质疑。</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2.5.3 未参加投标活动的供应商或在投标活动中自身权益未受到损害的供应商所提出的质疑。</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2.5.4供应商组成联合体参加投标，联合体中任何一方或多方未按要求签字、盖章、加盖公章的质疑。</w:t>
      </w:r>
      <w:r>
        <w:rPr>
          <w:rFonts w:eastAsia="方正仿宋_GBK"/>
          <w:color w:val="000000"/>
          <w:sz w:val="28"/>
          <w:szCs w:val="28"/>
        </w:rPr>
      </w:r>
      <w:r/>
    </w:p>
    <w:p>
      <w:pPr>
        <w:pStyle w:val="716"/>
        <w:ind w:firstLine="546"/>
        <w:rPr>
          <w:rFonts w:eastAsia="方正仿宋_GBK"/>
          <w:color w:val="000000"/>
          <w:sz w:val="28"/>
          <w:szCs w:val="28"/>
        </w:rPr>
      </w:pPr>
      <w:r>
        <w:rPr>
          <w:rFonts w:eastAsia="方正仿宋_GBK"/>
          <w:color w:val="000000"/>
          <w:sz w:val="28"/>
          <w:szCs w:val="28"/>
        </w:rPr>
        <w:t xml:space="preserve">2.6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eastAsia="方正仿宋_GBK"/>
          <w:color w:val="000000"/>
          <w:sz w:val="28"/>
          <w:szCs w:val="28"/>
        </w:rPr>
      </w:r>
      <w:r/>
    </w:p>
    <w:p>
      <w:pPr>
        <w:pStyle w:val="720"/>
        <w:jc w:val="both"/>
        <w:rPr>
          <w:rFonts w:eastAsia="方正仿宋_GBK"/>
          <w:b/>
          <w:color w:val="000000"/>
          <w:sz w:val="28"/>
          <w:szCs w:val="28"/>
        </w:rPr>
      </w:pPr>
      <w:r>
        <w:rPr>
          <w:rFonts w:eastAsia="方正仿宋_GBK"/>
          <w:color w:val="000000"/>
          <w:sz w:val="28"/>
          <w:szCs w:val="28"/>
        </w:rPr>
        <w:t xml:space="preserve">3中标通知书</w:t>
      </w:r>
      <w:r>
        <w:rPr>
          <w:rFonts w:eastAsia="方正仿宋_GBK"/>
          <w:b/>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3.l</w:t>
      </w:r>
      <w:r>
        <w:rPr>
          <w:rFonts w:eastAsia="方正仿宋_GBK"/>
          <w:b/>
          <w:color w:val="000000"/>
          <w:sz w:val="28"/>
          <w:szCs w:val="28"/>
        </w:rPr>
        <w:t xml:space="preserve"> </w:t>
      </w:r>
      <w:r>
        <w:rPr>
          <w:rFonts w:eastAsia="方正仿宋_GBK"/>
          <w:color w:val="000000"/>
          <w:sz w:val="28"/>
          <w:szCs w:val="28"/>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color w:val="000000"/>
          <w:sz w:val="28"/>
          <w:szCs w:val="28"/>
        </w:rPr>
      </w:r>
      <w:r/>
    </w:p>
    <w:p>
      <w:pPr>
        <w:pStyle w:val="716"/>
        <w:ind w:firstLine="420"/>
        <w:rPr>
          <w:rFonts w:eastAsia="方正仿宋_GBK"/>
          <w:color w:val="000000"/>
          <w:sz w:val="28"/>
          <w:szCs w:val="28"/>
        </w:rPr>
      </w:pPr>
      <w:r>
        <w:rPr>
          <w:rFonts w:eastAsia="方正仿宋_GBK"/>
          <w:color w:val="000000"/>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color w:val="000000"/>
          <w:sz w:val="28"/>
          <w:szCs w:val="28"/>
        </w:rPr>
      </w:r>
      <w:r/>
    </w:p>
    <w:p>
      <w:pPr>
        <w:pStyle w:val="716"/>
        <w:ind w:firstLine="562"/>
        <w:rPr>
          <w:rFonts w:eastAsia="方正仿宋_GBK"/>
          <w:b/>
          <w:color w:val="000000"/>
          <w:sz w:val="28"/>
          <w:szCs w:val="28"/>
        </w:rPr>
        <w:outlineLvl w:val="2"/>
      </w:pPr>
      <w:r/>
      <w:bookmarkStart w:id="98" w:name="_Toc120614220"/>
      <w:r/>
      <w:bookmarkStart w:id="99" w:name="_Toc20823308"/>
      <w:r/>
      <w:bookmarkStart w:id="100" w:name="_Toc513029236"/>
      <w:r/>
      <w:bookmarkStart w:id="101" w:name="_Toc16938552"/>
      <w:r>
        <w:rPr>
          <w:rFonts w:eastAsia="方正仿宋_GBK"/>
          <w:b/>
          <w:color w:val="000000"/>
          <w:sz w:val="28"/>
          <w:szCs w:val="28"/>
        </w:rPr>
        <w:t xml:space="preserve">七 授予合同</w:t>
      </w:r>
      <w:bookmarkEnd w:id="98"/>
      <w:r>
        <w:rPr>
          <w:rFonts w:eastAsia="方正仿宋_GBK"/>
          <w:b/>
          <w:color w:val="000000"/>
          <w:sz w:val="28"/>
          <w:szCs w:val="28"/>
        </w:rPr>
      </w:r>
      <w:r/>
    </w:p>
    <w:p>
      <w:pPr>
        <w:pStyle w:val="720"/>
        <w:jc w:val="both"/>
        <w:rPr>
          <w:rFonts w:eastAsia="方正仿宋_GBK"/>
          <w:b/>
          <w:color w:val="000000"/>
          <w:sz w:val="28"/>
          <w:szCs w:val="28"/>
        </w:rPr>
      </w:pPr>
      <w:r/>
      <w:bookmarkEnd w:id="99"/>
      <w:r/>
      <w:bookmarkEnd w:id="100"/>
      <w:r/>
      <w:bookmarkEnd w:id="101"/>
      <w:r/>
      <w:bookmarkStart w:id="102" w:name="_Toc20823309"/>
      <w:r/>
      <w:bookmarkStart w:id="103" w:name="_Toc513029237"/>
      <w:r/>
      <w:bookmarkStart w:id="104" w:name="_Toc16938553"/>
      <w:r>
        <w:rPr>
          <w:rFonts w:eastAsia="方正仿宋_GBK"/>
          <w:color w:val="000000"/>
          <w:sz w:val="28"/>
          <w:szCs w:val="28"/>
        </w:rPr>
        <w:t xml:space="preserve">1.签订合同</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bCs/>
          <w:color w:val="000000"/>
          <w:sz w:val="28"/>
          <w:szCs w:val="28"/>
        </w:rPr>
        <w:t xml:space="preserve">1</w:t>
      </w:r>
      <w:r>
        <w:rPr>
          <w:rFonts w:eastAsia="方正仿宋_GBK"/>
          <w:color w:val="000000"/>
          <w:sz w:val="28"/>
          <w:szCs w:val="28"/>
        </w:rPr>
        <w:t xml:space="preserve">.l中标人应当在中标通知书发出之日起三十日内，按照招标文件确定的事项与采购人签订政府采购合同。</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1.2招标文件、中标人的投标文件及招标过程中有关澄清、承诺文件均应作为合同附件。</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color w:val="000000"/>
          <w:sz w:val="28"/>
          <w:szCs w:val="28"/>
        </w:rPr>
      </w:r>
      <w:r/>
    </w:p>
    <w:p>
      <w:pPr>
        <w:pStyle w:val="720"/>
        <w:jc w:val="both"/>
        <w:rPr>
          <w:rFonts w:eastAsia="方正仿宋_GBK"/>
          <w:b/>
          <w:color w:val="000000"/>
          <w:sz w:val="28"/>
          <w:szCs w:val="28"/>
        </w:rPr>
      </w:pPr>
      <w:r>
        <w:rPr>
          <w:rFonts w:eastAsia="方正仿宋_GBK"/>
          <w:color w:val="000000"/>
          <w:sz w:val="28"/>
          <w:szCs w:val="28"/>
        </w:rPr>
        <w:t xml:space="preserve">2.货物和服务的追加、减少和添购。</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color w:val="000000"/>
          <w:sz w:val="28"/>
          <w:szCs w:val="28"/>
        </w:rPr>
      </w:r>
      <w:r/>
    </w:p>
    <w:p>
      <w:pPr>
        <w:pStyle w:val="716"/>
        <w:ind w:firstLine="560"/>
        <w:rPr>
          <w:rFonts w:eastAsia="方正仿宋_GBK"/>
          <w:b/>
          <w:color w:val="000000"/>
          <w:sz w:val="28"/>
          <w:szCs w:val="28"/>
        </w:rPr>
      </w:pPr>
      <w:r>
        <w:rPr>
          <w:rFonts w:eastAsia="方正仿宋_GBK"/>
          <w:color w:val="000000"/>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color w:val="000000"/>
          <w:sz w:val="28"/>
          <w:szCs w:val="28"/>
        </w:rPr>
      </w:r>
      <w:r/>
    </w:p>
    <w:p>
      <w:pPr>
        <w:pStyle w:val="720"/>
        <w:jc w:val="both"/>
        <w:rPr>
          <w:rFonts w:eastAsia="方正仿宋_GBK"/>
          <w:b/>
          <w:color w:val="000000"/>
          <w:sz w:val="28"/>
          <w:szCs w:val="28"/>
        </w:rPr>
      </w:pPr>
      <w:r/>
      <w:bookmarkEnd w:id="102"/>
      <w:r/>
      <w:bookmarkEnd w:id="103"/>
      <w:r/>
      <w:bookmarkEnd w:id="104"/>
      <w:r>
        <w:rPr>
          <w:rFonts w:eastAsia="方正仿宋_GBK"/>
          <w:color w:val="000000"/>
          <w:sz w:val="28"/>
          <w:szCs w:val="28"/>
        </w:rPr>
        <w:t xml:space="preserve">3.政府采购履约</w:t>
      </w:r>
      <w:r>
        <w:rPr>
          <w:rFonts w:eastAsia="方正仿宋_GBK"/>
          <w:b/>
          <w:bCs/>
          <w:color w:val="000000"/>
          <w:sz w:val="28"/>
          <w:szCs w:val="28"/>
        </w:rPr>
        <w:t xml:space="preserve">保证</w:t>
      </w:r>
      <w:r>
        <w:rPr>
          <w:rFonts w:eastAsia="方正仿宋_GBK"/>
          <w:color w:val="000000"/>
          <w:sz w:val="28"/>
          <w:szCs w:val="28"/>
        </w:rPr>
        <w:t xml:space="preserve">资金</w:t>
      </w:r>
      <w:r>
        <w:rPr>
          <w:rFonts w:eastAsia="方正仿宋_GBK"/>
          <w:b/>
          <w:bCs/>
          <w:color w:val="000000"/>
          <w:sz w:val="28"/>
          <w:szCs w:val="28"/>
        </w:rPr>
        <w:t xml:space="preserve">、合同信用融资</w:t>
      </w:r>
      <w:r>
        <w:rPr>
          <w:rFonts w:eastAsia="方正仿宋_GBK"/>
          <w:color w:val="000000"/>
          <w:sz w:val="28"/>
          <w:szCs w:val="28"/>
        </w:rPr>
        <w:t xml:space="preserve">扶持政策</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3.1根</w:t>
      </w:r>
      <w:r>
        <w:rPr>
          <w:rFonts w:eastAsia="方正仿宋_GBK"/>
          <w:color w:val="000000"/>
          <w:sz w:val="28"/>
          <w:szCs w:val="28"/>
        </w:rPr>
        <w:t xml:space="preserve">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r>
      <w:r/>
    </w:p>
    <w:p>
      <w:pPr>
        <w:pStyle w:val="716"/>
        <w:jc w:val="center"/>
        <w:rPr>
          <w:rFonts w:hint="eastAsia" w:eastAsia="方正仿宋_GBK"/>
          <w:bCs/>
          <w:color w:val="000000"/>
          <w:sz w:val="28"/>
          <w:szCs w:val="28"/>
        </w:rPr>
      </w:pPr>
      <w:r>
        <w:rPr>
          <w:rFonts w:hint="eastAsia" w:eastAsia="方正仿宋_GBK"/>
          <w:bCs/>
          <w:color w:val="000000"/>
          <w:sz w:val="28"/>
          <w:szCs w:val="28"/>
        </w:rPr>
      </w:r>
      <w:r/>
    </w:p>
    <w:p>
      <w:pPr>
        <w:pStyle w:val="716"/>
        <w:jc w:val="center"/>
        <w:rPr>
          <w:rFonts w:eastAsia="方正仿宋_GBK"/>
          <w:b/>
          <w:color w:val="000000"/>
          <w:sz w:val="28"/>
          <w:szCs w:val="28"/>
        </w:rPr>
        <w:sectPr>
          <w:footnotePr/>
          <w:endnotePr/>
          <w:type w:val="nextPage"/>
          <w:pgSz w:w="11906" w:h="16838" w:orient="portrait"/>
          <w:pgMar w:top="1440" w:right="1797" w:bottom="1440" w:left="1797" w:header="851" w:footer="992" w:gutter="0"/>
          <w:cols w:num="1" w:sep="0" w:space="1701" w:equalWidth="1"/>
          <w:docGrid w:linePitch="360"/>
        </w:sectPr>
        <w:outlineLvl w:val="1"/>
      </w:pPr>
      <w:r>
        <w:rPr>
          <w:rFonts w:eastAsia="方正仿宋_GBK"/>
          <w:b/>
          <w:color w:val="000000"/>
          <w:sz w:val="28"/>
          <w:szCs w:val="28"/>
        </w:rPr>
      </w:r>
      <w:r/>
    </w:p>
    <w:p>
      <w:pPr>
        <w:pStyle w:val="716"/>
        <w:jc w:val="center"/>
        <w:rPr>
          <w:rFonts w:eastAsia="方正仿宋_GBK"/>
          <w:b/>
          <w:color w:val="000000"/>
          <w:sz w:val="28"/>
          <w:szCs w:val="28"/>
        </w:rPr>
        <w:outlineLvl w:val="1"/>
      </w:pPr>
      <w:r>
        <w:rPr>
          <w:rFonts w:eastAsia="方正仿宋_GBK"/>
          <w:b/>
          <w:color w:val="000000"/>
          <w:sz w:val="28"/>
          <w:szCs w:val="28"/>
        </w:rPr>
        <w:t xml:space="preserve">第三部分  项目需求</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投标人在制作投标文件时仔细研究项目需求说明。项目需求包括</w:t>
      </w:r>
      <w:r>
        <w:rPr>
          <w:rFonts w:hint="eastAsia" w:eastAsia="方正仿宋_GBK"/>
          <w:color w:val="000000"/>
          <w:sz w:val="28"/>
          <w:szCs w:val="28"/>
        </w:rPr>
        <w:t xml:space="preserve">建设清单、</w:t>
      </w:r>
      <w:r>
        <w:rPr>
          <w:rFonts w:eastAsia="方正仿宋_GBK"/>
          <w:color w:val="000000"/>
          <w:sz w:val="28"/>
          <w:szCs w:val="28"/>
        </w:rPr>
        <w:t xml:space="preserve">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一、建设清单</w:t>
      </w:r>
      <w:r>
        <w:rPr>
          <w:rFonts w:eastAsia="方正仿宋_GBK"/>
          <w:b/>
          <w:color w:val="000000"/>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869"/>
        <w:gridCol w:w="3759"/>
        <w:gridCol w:w="863"/>
        <w:gridCol w:w="862"/>
      </w:tblGrid>
      <w:tr>
        <w:trPr>
          <w:trHeight w:val="454"/>
          <w:tblHeader/>
        </w:trPr>
        <w:tc>
          <w:tcPr>
            <w:shd w:val="clear" w:color="auto" w:fill="d9d9d9"/>
            <w:tcW w:w="689"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序号</w:t>
            </w:r>
            <w:r>
              <w:rPr>
                <w:rFonts w:eastAsia="方正楷体_GBK"/>
                <w:color w:val="000000"/>
                <w:szCs w:val="21"/>
                <w:lang w:bidi="ar"/>
              </w:rPr>
            </w:r>
            <w:r/>
          </w:p>
        </w:tc>
        <w:tc>
          <w:tcPr>
            <w:shd w:val="clear" w:color="auto" w:fill="d9d9d9"/>
            <w:tcW w:w="109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区域名称</w:t>
            </w:r>
            <w:r>
              <w:rPr>
                <w:rFonts w:eastAsia="方正楷体_GBK"/>
                <w:color w:val="000000"/>
                <w:szCs w:val="21"/>
                <w:lang w:bidi="ar"/>
              </w:rPr>
            </w:r>
            <w:r/>
          </w:p>
        </w:tc>
        <w:tc>
          <w:tcPr>
            <w:shd w:val="clear" w:color="auto" w:fill="d9d9d9"/>
            <w:tcW w:w="220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名称</w:t>
            </w:r>
            <w:r>
              <w:rPr>
                <w:rFonts w:eastAsia="方正楷体_GBK"/>
                <w:color w:val="000000"/>
                <w:szCs w:val="21"/>
                <w:lang w:bidi="ar"/>
              </w:rPr>
            </w:r>
            <w:r/>
          </w:p>
        </w:tc>
        <w:tc>
          <w:tcPr>
            <w:shd w:val="clear" w:color="auto" w:fill="d9d9d9"/>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数量</w:t>
            </w:r>
            <w:r>
              <w:rPr>
                <w:rFonts w:eastAsia="方正楷体_GBK"/>
                <w:color w:val="000000"/>
                <w:szCs w:val="21"/>
                <w:lang w:bidi="ar"/>
              </w:rPr>
            </w:r>
            <w:r/>
          </w:p>
        </w:tc>
        <w:tc>
          <w:tcPr>
            <w:shd w:val="clear" w:color="auto" w:fill="d9d9d9"/>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单位</w:t>
            </w:r>
            <w:r>
              <w:rPr>
                <w:rFonts w:eastAsia="方正楷体_GBK"/>
                <w:color w:val="000000"/>
                <w:szCs w:val="21"/>
                <w:lang w:bidi="ar"/>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rPr>
            </w:pPr>
            <w:r>
              <w:rPr>
                <w:rFonts w:eastAsia="方正楷体_GBK"/>
                <w:color w:val="000000"/>
                <w:szCs w:val="21"/>
                <w:lang w:bidi="ar"/>
              </w:rPr>
              <w:t xml:space="preserve">教学演示讲授区</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室内全彩LED大屏终端</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教师数据管控终端</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专用教师操作台</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船舶与海工教学数字化资源</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5</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rPr>
            </w:pPr>
            <w:r>
              <w:rPr>
                <w:rFonts w:eastAsia="方正楷体_GBK"/>
                <w:color w:val="000000"/>
                <w:szCs w:val="21"/>
                <w:lang w:bidi="ar"/>
              </w:rPr>
              <w:t xml:space="preserve">小组研讨仿真区</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教学实训专用终端</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48</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台</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6</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配套实训桌椅</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7</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船舶与海工结构认知教学系统</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8</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船舶与海工虚拟装配教学系统</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海工建造交互实训系统</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10</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船舶建造交互实训系统</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11</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大型双燃料动力LNG船教学实训系统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12</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海上风电安装船教学实训系统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13</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深海浮式风电平台教学实训系统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14</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汽车滚装船教学实训系统</w:t>
            </w:r>
            <w:r>
              <w:rPr>
                <w:rFonts w:hint="eastAsia" w:eastAsia="方正楷体_GBK"/>
                <w:color w:val="000000"/>
                <w:szCs w:val="21"/>
                <w:lang w:bidi="ar"/>
              </w:rPr>
              <w:t xml:space="preserve">（定制开发产品）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15</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船体放样仿真教学实训系统</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16</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rPr>
            </w:pPr>
            <w:r>
              <w:rPr>
                <w:rFonts w:eastAsia="方正楷体_GBK"/>
                <w:color w:val="000000"/>
                <w:szCs w:val="21"/>
                <w:lang w:bidi="ar"/>
              </w:rPr>
              <w:t xml:space="preserve">虚实融合实操区</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船舶/海工结构研学沙盘</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17</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船舶/海工结构节点模型及展台</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18</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船舶/海工结构AR实训系统</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19</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分段协同装配VR实训系统</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20</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结构构件智能涂装作业模拟器</w:t>
            </w:r>
            <w:r>
              <w:rPr>
                <w:rFonts w:hint="eastAsia" w:eastAsia="方正楷体_GBK"/>
                <w:color w:val="000000"/>
                <w:szCs w:val="21"/>
                <w:lang w:bidi="ar"/>
              </w:rPr>
              <w:t xml:space="preserve">（市面成熟产品）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21</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实验室综合环境建设</w:t>
            </w:r>
            <w:r>
              <w:rPr>
                <w:rFonts w:eastAsia="方正楷体_GBK"/>
                <w:color w:val="000000"/>
                <w:szCs w:val="21"/>
                <w:lang w:bidi="ar"/>
              </w:rPr>
            </w:r>
            <w:r/>
          </w:p>
          <w:p>
            <w:pPr>
              <w:pStyle w:val="716"/>
              <w:jc w:val="center"/>
              <w:rPr>
                <w:rFonts w:eastAsia="方正楷体_GBK"/>
                <w:color w:val="000000"/>
                <w:szCs w:val="21"/>
              </w:rPr>
            </w:pPr>
            <w:r>
              <w:rPr>
                <w:rFonts w:eastAsia="方正楷体_GBK"/>
                <w:color w:val="000000"/>
                <w:szCs w:val="21"/>
                <w:lang w:bidi="ar"/>
              </w:rPr>
              <w:t xml:space="preserve">（限价22万）</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rPr>
              <w:t xml:space="preserve">土建</w:t>
            </w:r>
            <w:r>
              <w:rPr>
                <w:rFonts w:hint="eastAsia" w:eastAsia="方正楷体_GBK"/>
                <w:color w:val="000000"/>
                <w:szCs w:val="21"/>
                <w:lang w:bidi="ar"/>
              </w:rPr>
              <w:t xml:space="preserve">（定制开发产品）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项</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22</w:t>
            </w:r>
            <w:r>
              <w:rPr>
                <w:rFonts w:eastAsia="方正楷体_GBK"/>
                <w:color w:val="000000"/>
                <w:szCs w:val="21"/>
                <w:lang w:bidi="ar"/>
              </w:rPr>
            </w:r>
            <w:r/>
          </w:p>
        </w:tc>
        <w:tc>
          <w:tcPr>
            <w:tcW w:w="1096" w:type="dxa"/>
            <w:vAlign w:val="center"/>
            <w:vMerge w:val="continue"/>
            <w:textDirection w:val="lrTb"/>
            <w:noWrap w:val="false"/>
          </w:tcPr>
          <w:p>
            <w:pPr>
              <w:pStyle w:val="716"/>
              <w:jc w:val="center"/>
              <w:rPr>
                <w:rFonts w:eastAsia="方正楷体_GBK"/>
                <w:color w:val="000000"/>
                <w:szCs w:val="21"/>
                <w:lang w:bidi="ar"/>
              </w:rPr>
            </w:pPr>
            <w:r>
              <w:rPr>
                <w:rFonts w:eastAsia="方正楷体_GBK"/>
                <w:color w:val="000000"/>
                <w:szCs w:val="21"/>
                <w:lang w:bidi="ar"/>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rPr>
              <w:t xml:space="preserve">电气</w:t>
            </w:r>
            <w:r>
              <w:rPr>
                <w:rFonts w:hint="eastAsia" w:eastAsia="方正楷体_GBK"/>
                <w:color w:val="000000"/>
                <w:szCs w:val="21"/>
                <w:lang w:bidi="ar"/>
              </w:rPr>
              <w:t xml:space="preserve">（定制开发产品）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项</w:t>
            </w:r>
            <w:r>
              <w:rPr>
                <w:rFonts w:eastAsia="方正楷体_GBK"/>
                <w:color w:val="000000"/>
                <w:szCs w:val="21"/>
                <w:lang w:bidi="ar"/>
              </w:rPr>
            </w:r>
            <w:r/>
          </w:p>
        </w:tc>
      </w:tr>
      <w:tr>
        <w:trPr>
          <w:trHeight w:val="510"/>
        </w:trPr>
        <w:tc>
          <w:tcPr>
            <w:tcW w:w="689"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23</w:t>
            </w:r>
            <w:r>
              <w:rPr>
                <w:rFonts w:eastAsia="方正楷体_GBK"/>
                <w:color w:val="000000"/>
                <w:szCs w:val="21"/>
                <w:lang w:bidi="ar"/>
              </w:rPr>
            </w:r>
            <w:r/>
          </w:p>
        </w:tc>
        <w:tc>
          <w:tcPr>
            <w:tcW w:w="1096" w:type="dxa"/>
            <w:vAlign w:val="center"/>
            <w:vMerge w:val="continue"/>
            <w:textDirection w:val="lrTb"/>
            <w:noWrap w:val="false"/>
          </w:tcPr>
          <w:p>
            <w:pPr>
              <w:pStyle w:val="716"/>
              <w:jc w:val="center"/>
              <w:rPr>
                <w:rFonts w:eastAsia="方正楷体_GBK"/>
                <w:color w:val="000000"/>
                <w:szCs w:val="21"/>
                <w:lang w:bidi="ar"/>
              </w:rPr>
            </w:pPr>
            <w:r>
              <w:rPr>
                <w:rFonts w:eastAsia="方正楷体_GBK"/>
                <w:color w:val="000000"/>
                <w:szCs w:val="21"/>
                <w:lang w:bidi="ar"/>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rPr>
              <w:t xml:space="preserve">思政文化墙</w:t>
            </w:r>
            <w:r>
              <w:rPr>
                <w:rFonts w:hint="eastAsia" w:eastAsia="方正楷体_GBK"/>
                <w:color w:val="000000"/>
                <w:szCs w:val="21"/>
                <w:lang w:bidi="ar"/>
              </w:rPr>
              <w:t xml:space="preserve">（定制开发产品）</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lang w:bidi="ar"/>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面</w:t>
            </w:r>
            <w:r>
              <w:rPr>
                <w:rFonts w:eastAsia="方正楷体_GBK"/>
                <w:color w:val="000000"/>
                <w:szCs w:val="21"/>
                <w:lang w:bidi="ar"/>
              </w:rPr>
            </w:r>
            <w:r/>
          </w:p>
        </w:tc>
      </w:tr>
    </w:tbl>
    <w:p>
      <w:pPr>
        <w:pStyle w:val="716"/>
        <w:ind w:firstLine="562"/>
        <w:rPr>
          <w:rFonts w:eastAsia="方正仿宋_GBK"/>
          <w:b/>
          <w:color w:val="000000"/>
          <w:sz w:val="28"/>
          <w:szCs w:val="28"/>
        </w:rPr>
        <w:outlineLvl w:val="2"/>
      </w:pPr>
      <w:r>
        <w:rPr>
          <w:rFonts w:eastAsia="方正仿宋_GBK"/>
          <w:b/>
          <w:color w:val="000000"/>
          <w:sz w:val="28"/>
          <w:szCs w:val="28"/>
        </w:rPr>
        <w:t xml:space="preserve">二、技术要求</w:t>
      </w:r>
      <w:r>
        <w:rPr>
          <w:rFonts w:eastAsia="方正仿宋_GBK"/>
          <w:b/>
          <w:color w:val="000000"/>
          <w:sz w:val="28"/>
          <w:szCs w:val="28"/>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6"/>
        <w:gridCol w:w="1340"/>
        <w:gridCol w:w="5182"/>
        <w:gridCol w:w="650"/>
        <w:gridCol w:w="650"/>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货物名称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firstLine="422"/>
              <w:jc w:val="center"/>
              <w:rPr>
                <w:rFonts w:eastAsia="方正楷体_GBK"/>
                <w:b/>
                <w:bCs/>
                <w:color w:val="000000"/>
                <w:szCs w:val="21"/>
              </w:rPr>
            </w:pPr>
            <w:r>
              <w:rPr>
                <w:rFonts w:eastAsia="方正楷体_GBK"/>
                <w:b/>
                <w:bCs/>
                <w:color w:val="000000"/>
                <w:szCs w:val="21"/>
                <w:lang w:bidi="ar"/>
              </w:rPr>
              <w:t xml:space="preserve">货物详细参数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数量</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单位</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室内全彩LED大屏终端</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（1）户内LED显示屏规格</w:t>
            </w:r>
            <w:r>
              <w:rPr>
                <w:rFonts w:eastAsia="方正楷体_GBK"/>
                <w:color w:val="000000"/>
                <w:szCs w:val="21"/>
              </w:rPr>
            </w:r>
            <w:r/>
          </w:p>
          <w:p>
            <w:pPr>
              <w:pStyle w:val="716"/>
              <w:ind w:firstLine="420"/>
              <w:rPr>
                <w:rFonts w:eastAsia="方正楷体_GBK"/>
                <w:b/>
                <w:bCs/>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▲LED 屏幕总尺寸（W×H）≥640cm×256cm，显示屏面积：16-18㎡。</w:t>
            </w:r>
            <w:r>
              <w:rPr>
                <w:rFonts w:hint="eastAsia" w:eastAsia="方正楷体_GBK"/>
                <w:b/>
                <w:bCs/>
                <w:color w:val="000000"/>
                <w:szCs w:val="21"/>
              </w:rPr>
              <w:t xml:space="preserve">（出具投标单位盖章承诺函或产品技术规格书）</w:t>
            </w:r>
            <w:r>
              <w:rPr>
                <w:rFonts w:eastAsia="方正楷体_GBK"/>
                <w:b/>
                <w:bCs/>
                <w:color w:val="000000"/>
                <w:szCs w:val="21"/>
              </w:rPr>
            </w:r>
            <w:r/>
          </w:p>
          <w:p>
            <w:pPr>
              <w:pStyle w:val="716"/>
              <w:ind w:firstLine="420"/>
              <w:rPr>
                <w:rFonts w:hint="eastAsia" w:eastAsia="方正楷体_GBK"/>
                <w:b/>
                <w:bCs/>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▲像素点间距：P2户内全彩，像素组成1R1G1B。</w:t>
            </w:r>
            <w:r>
              <w:rPr>
                <w:rFonts w:hint="eastAsia" w:eastAsia="方正楷体_GBK"/>
                <w:b/>
                <w:bCs/>
                <w:color w:val="000000"/>
                <w:szCs w:val="21"/>
              </w:rPr>
              <w:t xml:space="preserve">（出具投标单位盖章承诺函或产品技术规格书）</w:t>
            </w:r>
            <w:r>
              <w:rPr>
                <w:rFonts w:hint="eastAsia" w:eastAsia="方正楷体_GBK"/>
                <w:b/>
                <w:bCs/>
                <w:color w:val="000000"/>
                <w:szCs w:val="21"/>
              </w:rPr>
            </w:r>
            <w:r/>
          </w:p>
          <w:p>
            <w:pPr>
              <w:pStyle w:val="716"/>
              <w:ind w:firstLine="420"/>
              <w:rPr>
                <w:rFonts w:hint="eastAsia" w:eastAsia="方正楷体_GBK"/>
                <w:b/>
                <w:bCs/>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▲显示适配：亮度≥500cd/㎡，刷新频率 ≥3840Hz，支持4K超高清虚仿画面渲染输出，可实现实训终端同步分屏投屏，单屏/多屏切换无卡顿、无延迟；整屏颜色一致，无发蓝发黄。</w:t>
            </w:r>
            <w:r>
              <w:rPr>
                <w:rFonts w:hint="eastAsia" w:eastAsia="方正楷体_GBK"/>
                <w:b/>
                <w:bCs/>
                <w:color w:val="000000"/>
                <w:szCs w:val="21"/>
              </w:rPr>
              <w:t xml:space="preserve">（出具投标单位盖章承诺函或产品技术规格书）</w:t>
            </w:r>
            <w:r>
              <w:rPr>
                <w:rFonts w:hint="eastAsia"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平均无故障时间≥1万小时；最佳视觉水平≥130°，垂直≥105°。</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单元板结构为灯驱合一，驱动方式恒流驱动，驱动器件采用恒流专用驱动器件，带金属支架。</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（2）视频处理器：输入接口为1×HDMI 2.0、1×DP1.2、2×DVI、2×HDMI1.3，支持 4路HDMI 2.0输入，20网口输出，USB接口控制，可级联多台进行统一控制，支持最大1300万像素带载。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（3）控制系统：单卡最大带载384×512 像素点，最多支持24组RGB 并行数据。</w:t>
            </w:r>
            <w:r>
              <w:rPr>
                <w:rFonts w:hint="eastAsia" w:eastAsia="方正楷体_GBK"/>
                <w:color w:val="000000"/>
                <w:szCs w:val="21"/>
              </w:rPr>
              <w:t xml:space="preserve">具备</w:t>
            </w:r>
            <w:r>
              <w:rPr>
                <w:rFonts w:eastAsia="方正楷体_GBK"/>
                <w:color w:val="000000"/>
                <w:szCs w:val="21"/>
              </w:rPr>
              <w:t xml:space="preserve">12个标准的HUB75 接口，具有高稳定性和高可靠性，适用于多种环境的搭建。</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（4）配电柜：支持分路延时，一键启动，消防锁扣，PLC远程控制。</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（5）音响系统套装：5.1声道，环绕扬声器，挂壁。</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（6）含安装调试，安装支架采用（50*50，40*40，40*20，20*20）方通，4号角钢。</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教师数据</w:t>
            </w:r>
            <w:r>
              <w:rPr>
                <w:rFonts w:eastAsia="方正楷体_GBK"/>
                <w:color w:val="000000"/>
                <w:szCs w:val="21"/>
              </w:rPr>
            </w:r>
            <w:r/>
          </w:p>
          <w:p>
            <w:pPr>
              <w:pStyle w:val="716"/>
              <w:jc w:val="center"/>
              <w:rPr>
                <w:rFonts w:eastAsia="方正楷体_GBK"/>
                <w:color w:val="000000"/>
                <w:szCs w:val="21"/>
              </w:rPr>
            </w:pPr>
            <w:r>
              <w:rPr>
                <w:rFonts w:eastAsia="方正楷体_GBK"/>
                <w:color w:val="000000"/>
                <w:szCs w:val="21"/>
              </w:rPr>
              <w:t xml:space="preserve">管控终端</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rPr>
                <w:rFonts w:hint="eastAsia" w:eastAsia="方正楷体_GBK"/>
                <w:b/>
                <w:bCs/>
                <w:color w:val="000000"/>
                <w:szCs w:val="21"/>
              </w:rPr>
            </w:pPr>
            <w:r>
              <w:rPr>
                <w:rFonts w:eastAsia="方正楷体_GBK"/>
                <w:color w:val="000000"/>
                <w:szCs w:val="21"/>
              </w:rPr>
              <w:t xml:space="preserve">（1）▲处理器：2颗至强处理器，主频≥2.8GHz，核心数≥32核。</w:t>
            </w:r>
            <w:r>
              <w:rPr>
                <w:rFonts w:hint="eastAsia" w:eastAsia="方正楷体_GBK"/>
                <w:b/>
                <w:bCs/>
                <w:color w:val="000000"/>
                <w:szCs w:val="21"/>
              </w:rPr>
              <w:t xml:space="preserve">（出具投标单位盖章承诺函或产品技术规格书）</w:t>
            </w:r>
            <w:r>
              <w:rPr>
                <w:rFonts w:hint="eastAsia" w:eastAsia="方正楷体_GBK"/>
                <w:b/>
                <w:bCs/>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▲运存：≥64G DDR4。</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▲显卡：RTXA4500及以上，显存≥20GB。</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（4）▲硬盘：PCIe 4.0固态硬盘≥1T + 7200RPM机械硬盘≥1T。</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操作系统：支持Windows 10及以上操作系统。</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（7）</w:t>
            </w:r>
            <w:r>
              <w:rPr>
                <w:rFonts w:eastAsia="方正楷体_GBK"/>
                <w:color w:val="000000"/>
                <w:szCs w:val="21"/>
              </w:rPr>
              <w:t xml:space="preserve">显示终端：屏幕尺寸≥23.8英寸，分辨率≥2K。</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（8）</w:t>
            </w:r>
            <w:r>
              <w:rPr>
                <w:rFonts w:eastAsia="方正楷体_GBK"/>
                <w:color w:val="000000"/>
                <w:szCs w:val="21"/>
              </w:rPr>
              <w:t xml:space="preserve">接口拓展：预留≥4 个 USB3.2、≥2 个 HDMI 2.1 接口，适配外接实训设备。</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（9）</w:t>
            </w:r>
            <w:r>
              <w:rPr>
                <w:rFonts w:eastAsia="方正楷体_GBK"/>
                <w:color w:val="000000"/>
                <w:szCs w:val="21"/>
              </w:rPr>
              <w:t xml:space="preserve">其他要求：支持远程监控学生终端操作、一键锁屏/下发任务/回收作业，兼容虚仿教学管理系统，控制终端满足多任务处理、仿真软件运行等教学场景高性能需求；所有线缆通过隐藏式理线槽引出，保持桌面环境整洁。</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（10）售后保障：硬件提供≥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专用教师</w:t>
            </w:r>
            <w:r>
              <w:rPr>
                <w:rFonts w:eastAsia="方正楷体_GBK"/>
                <w:color w:val="000000"/>
                <w:szCs w:val="21"/>
              </w:rPr>
            </w:r>
            <w:r/>
          </w:p>
          <w:p>
            <w:pPr>
              <w:pStyle w:val="716"/>
              <w:jc w:val="center"/>
              <w:rPr>
                <w:rFonts w:eastAsia="方正楷体_GBK"/>
                <w:color w:val="000000"/>
                <w:szCs w:val="21"/>
              </w:rPr>
            </w:pPr>
            <w:r>
              <w:rPr>
                <w:rFonts w:eastAsia="方正楷体_GBK"/>
                <w:color w:val="000000"/>
                <w:szCs w:val="21"/>
              </w:rPr>
              <w:t xml:space="preserve">操作台</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tabs>
                <w:tab w:val="left" w:pos="312" w:leader="none"/>
              </w:tabs>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尺寸（长×宽×高）≥1.0*0.7*1.0m，体积0.7-1m</w:t>
            </w:r>
            <w:r>
              <w:rPr>
                <w:rFonts w:eastAsia="方正楷体_GBK"/>
                <w:color w:val="000000"/>
                <w:szCs w:val="21"/>
                <w:vertAlign w:val="superscript"/>
              </w:rPr>
              <w:t xml:space="preserve">3</w:t>
            </w:r>
            <w:r>
              <w:rPr>
                <w:rFonts w:eastAsia="方正楷体_GBK"/>
                <w:color w:val="000000"/>
                <w:szCs w:val="21"/>
              </w:rPr>
              <w:t xml:space="preserve">。</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（2）材质：冷轧碳素钢板，表面经过除锈处理后静电喷塑，配置木制扶手和面板，表面光滑，不易变形，防腐防锈。</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3）功能：支持教师数据管控终端的放置与使用，具备显示器可翻转式设计，可放置≥23.8英寸显示器，具备键盘和鼠标固定位置，显示器翻转角度可调节，机箱配有安全锁，含有通风散热孔，预留走线孔，美观简洁。</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（4）配套办公椅：弓形办公椅1把，高度可调节，与办公桌匹配，椅面尺寸（长×宽）满足≥450×450mm，符合人体工学设计，钢制椅脚或尼龙椅脚。所有五金件做防锈、防腐处理，耐磨防刮。</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（5）售后保障：硬件提供≥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船舶与海工教学数字化资源</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tabs>
                <w:tab w:val="left" w:pos="312" w:leader="none"/>
              </w:tabs>
              <w:rPr>
                <w:rFonts w:eastAsia="方正楷体_GBK"/>
                <w:color w:val="000000"/>
                <w:szCs w:val="21"/>
              </w:rPr>
            </w:pPr>
            <w:r>
              <w:rPr>
                <w:rFonts w:eastAsia="方正楷体_GBK"/>
                <w:color w:val="000000"/>
                <w:szCs w:val="21"/>
              </w:rPr>
              <w:t xml:space="preserve">（1）制作要求：数字化资源需以船舶与海工“设计、建造、调试、检验、运维”全流程为核心，融入智能制造技术应用场景，主题突出、内容完整，符合展示内容要求。视频播放流畅，无屏闪、无黑屏，镜头衔接自然。全程音量、音色保持稳定，音频饱满清晰无杂音，声画同步。单个音视频资源需含有标题，配有字幕和解说；分辨率：4K；画幅：16:9；文件格式：MP4格式视频文件，适配所有实训终端、LED 大屏播放。</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（2）多媒体资源内容包含但不限于以下：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资源1：需展示全球新一轮科技革命和产业变革加紧孕育兴起，智能制造在全球范围内快速发展，已成为船舶制造业重要发展趋势。需展示船舶智能制造以提升船舶总装建造效率、质量和效益为目标，以满足国内船舶工业发展需求为重点。视频时长≥3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资源2：静默画面资源，画面包含船舶/海工元素、科技感元素、学校LOGO，用于各展示终端静默时画面展示。</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资源3：船舶与海工设计与规范。展示现代船舶/海工设计流程、先进工具等内容，呈现智能设计工具对结构设计精度与效率的提升作用。视频时长≥2分钟。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资源4：船舶与海工智能制造。展示钢材预处理智能产线（聚焦船舶钢材预处理流程，展示预热、抛丸除锈、喷涂防锈、烘干等工艺环节，呈现动态辊道输送系</w:t>
            </w:r>
            <w:r>
              <w:rPr>
                <w:rFonts w:eastAsia="方正楷体_GBK"/>
                <w:color w:val="000000"/>
                <w:szCs w:val="21"/>
              </w:rPr>
              <w:t xml:space="preserve">统与预处理设备联动逻辑）、智能制造组立生产线（演示船舶中小组立件组装流程，呈现智能产线工位布局，包括上料装配工位、焊接工位、打磨工位、背烧工位、移出工位）、分段智能车间（展示智能化平面分段流水线，包括拼板工位、FCB焊工位、划线修补工位、纵骨安装工位、纵骨焊接工位、横移工位、肋板安装工位、肋板焊接工位、预舾装工位、顶升工位等作业流程）、智能涂装中心（展示船舶分段智能涂装流程，包括喷砂除锈、面漆喷涂等环节）、船舶搭载、船舶下水（展示重力式下水、漂浮式下水、机械式下水和气囊式下水等下水方式）视频时长≥10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资源5：船舶与海工协同调试。聚焦协同调试环节，说明调试环节对规避结构与系统运行冲突、保障装备整体安全运行的核心作用。视频时长≥2分钟。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资源6：智能检验与性能验证。展示射线检测、超声波检测、磁粉检测、渗透检测与涡流检测、结构尺寸精度复核、静载/动载强度测试等环节。视频时长≥2分钟。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资源7：船舶与海工运维。说明运维工艺的实操要点与技术要求，体现智能制造技术对结构延寿、降低运维成本的支撑作用。视频时长≥2分钟。</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（3）▲根据行业发展动态变化，自验收合格之日起，</w:t>
            </w:r>
            <w:r>
              <w:rPr>
                <w:rFonts w:hint="eastAsia" w:eastAsia="方正楷体_GBK"/>
                <w:color w:val="000000"/>
                <w:szCs w:val="21"/>
              </w:rPr>
              <w:t xml:space="preserve">5</w:t>
            </w:r>
            <w:r>
              <w:rPr>
                <w:rFonts w:eastAsia="方正楷体_GBK"/>
                <w:color w:val="000000"/>
                <w:szCs w:val="21"/>
              </w:rPr>
              <w:t xml:space="preserve"> 年内免费提供 1 次资源更新服务，更新资源数量≥4 个 ，必须包含核心资源 4。</w:t>
            </w:r>
            <w:r>
              <w:rPr>
                <w:rFonts w:hint="eastAsia" w:eastAsia="方正楷体_GBK"/>
                <w:b/>
                <w:bCs/>
                <w:color w:val="000000"/>
                <w:szCs w:val="21"/>
              </w:rPr>
              <w:t xml:space="preserve">（出具投标单位盖章承诺函）</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（4）资源若出现知识性、工艺性、规范性错误，供应商需24 小时内响应，1个月免费完成修改并重新交付，提供永久修改保障。</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（5）所有数字化资源为原创正版，无侵权、无水印，提供版权承诺函，无法律纠纷。</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5</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教学实训专用终端</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▲处理器：≥i5、13代</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▲运行内存：≥16GB DDR4。</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▲存储内存：≥512G PCIe 4.0固态硬盘，7200RPM机械硬盘≥1T。</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（4）</w:t>
            </w:r>
            <w:r>
              <w:rPr>
                <w:rFonts w:eastAsia="方正楷体_GBK"/>
                <w:color w:val="000000"/>
                <w:szCs w:val="21"/>
              </w:rPr>
              <w:t xml:space="preserve">▲独立显卡≥RTX 4060；显存≥8G。</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显示器：≥21.5寸，分辨率：≥1920*1080。</w:t>
            </w:r>
            <w:r>
              <w:rPr>
                <w:rFonts w:eastAsia="方正楷体_GBK"/>
                <w:color w:val="000000"/>
                <w:szCs w:val="21"/>
              </w:rPr>
            </w:r>
            <w:r/>
          </w:p>
          <w:p>
            <w:pPr>
              <w:pStyle w:val="716"/>
              <w:widowControl/>
              <w:rPr>
                <w:rFonts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其他要求：控制终端满足多任务处理、仿真软件运行等教学场景高性能需求；所有线缆通过隐藏式理线槽引出，保持桌面环境整洁。</w:t>
            </w:r>
            <w:r>
              <w:rPr>
                <w:rFonts w:eastAsia="方正楷体_GBK"/>
                <w:color w:val="000000"/>
                <w:szCs w:val="21"/>
                <w:lang w:bidi="ar"/>
              </w:rPr>
            </w:r>
            <w:r/>
          </w:p>
          <w:p>
            <w:pPr>
              <w:pStyle w:val="716"/>
              <w:widowControl/>
              <w:rPr>
                <w:rFonts w:eastAsia="方正楷体_GBK"/>
                <w:color w:val="000000"/>
                <w:szCs w:val="21"/>
                <w:lang w:bidi="ar"/>
              </w:rPr>
            </w:pPr>
            <w:r>
              <w:rPr>
                <w:rFonts w:eastAsia="方正楷体_GBK"/>
                <w:color w:val="000000"/>
                <w:szCs w:val="21"/>
              </w:rPr>
              <w:t xml:space="preserve">（8）售后保障：硬件提供≥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48</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6</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配套实训</w:t>
            </w:r>
            <w:r>
              <w:rPr>
                <w:rFonts w:eastAsia="方正楷体_GBK"/>
                <w:color w:val="000000"/>
                <w:szCs w:val="21"/>
                <w:lang w:bidi="ar"/>
              </w:rPr>
            </w:r>
            <w:r/>
          </w:p>
          <w:p>
            <w:pPr>
              <w:pStyle w:val="716"/>
              <w:jc w:val="center"/>
              <w:rPr>
                <w:rFonts w:eastAsia="方正楷体_GBK"/>
                <w:color w:val="000000"/>
                <w:szCs w:val="21"/>
                <w:lang w:bidi="ar"/>
              </w:rPr>
            </w:pPr>
            <w:r>
              <w:rPr>
                <w:rFonts w:eastAsia="方正楷体_GBK"/>
                <w:color w:val="000000"/>
                <w:szCs w:val="21"/>
                <w:lang w:bidi="ar"/>
              </w:rPr>
              <w:t xml:space="preserve">桌椅</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（1）组成：每套桌椅套装含1套六边形交流桌和6把椅子，满足48人学生教学实训，可开展分组研讨。</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（2）▲六边形交流桌材质为钢木结构，桌面为木制，耐磨防刮，桌面无毛刺。钢制桌脚，钢管壁厚≥1mm，结构稳定，所有五金件做防锈、防腐处理，每套六边形桌预留 6套实训终端走线孔，线缆隐藏收纳；人体工学椅：椅面尺寸（长×宽）满足≥0.45×0.45m，符合人体工学设计，钢制椅脚或尼龙椅脚。所有五金件做防锈、防腐处理，耐磨防刮。</w:t>
            </w:r>
            <w:r>
              <w:rPr>
                <w:rFonts w:hint="eastAsia" w:eastAsia="方正楷体_GBK"/>
                <w:b/>
                <w:bCs/>
                <w:color w:val="000000"/>
                <w:szCs w:val="21"/>
              </w:rPr>
              <w:t xml:space="preserve">（出具投标单位盖章承诺函或产品技术规格书）</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（3）售后保障</w:t>
            </w:r>
            <w:r>
              <w:rPr>
                <w:rFonts w:eastAsia="方正楷体_GBK"/>
                <w:color w:val="000000"/>
                <w:szCs w:val="21"/>
              </w:rPr>
              <w:t xml:space="preserve">：硬件提供≥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9</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7</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船舶与海工结构认知教学系统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（1）支持虚拟漫游：可涵盖轨迹球、步行、飞行、驾驶、地形等多种漫游方式。</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（2）支持动画路径制作：可对漫游路径进行记录和编辑，制作漫游过程动画并导出为视频文件；支持在多通道环境下对动画执行播放、暂停、进度控制等操作。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（3）支持三维测量：可在多通道环境下提供场景中点与点、点与面的距离计算、两点在指定方向的距离计算，以及线与线夹角、面与面夹角的测量功能。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支持地标记录和管理：可在多通道环境下的实时漫游过程中，随时记录视点并将视点信息保存至文件；用户可根据需求选择已保存的视点，图形窗口将依据保存信息快速切换，实现对指定舱室、系统、零件的快速检查。 </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（5）支持模型选择与操作：可在多通道环境下提供单选、多选、根据名称搜索等模型选择功能，支持对模型执行平移、旋转、删除、导出、属性查看等操作。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（6）支持结构化产品结构树管理：可在多通道环境下从设计系统中载入结构化产品结构树并与三维模型关联，以便模型的查找与信息查看。</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（7）▲支持记录和管理设计评审意见：通过评审意见管理器记录、管理设计评审意见，便于对评审意见进行回顾、处理、关闭等操作。</w:t>
            </w:r>
            <w:r>
              <w:rPr>
                <w:rFonts w:eastAsia="方正楷体_GBK"/>
                <w:b/>
                <w:color w:val="000000"/>
                <w:szCs w:val="21"/>
              </w:rPr>
              <w:t xml:space="preserve">（提供功能演示）</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（8）支持集成虚拟人：可加载各类预设虚拟人，支持对虚拟人进行平移、旋转、身高调整、复位等操作；在虚拟设计评估场景中，虚拟人可做出较真实的行走动作。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9）支持多通道管理功能：能实现实时渲染数据与像素两种方式的单通道和多通道输出；提供固定视锥与负载平衡两种输出方式。支持节点分配、通道数量、融合方式（融合区域）、数据传输方式等环境设置，以及交互设备的初始化，支持图形界面与配置文件修改、保存初始化设置。</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（10）▲支持三维场景的交互式沉浸浏览，可进行产品三维漫游、建造过程仿真和可视化评审展示</w:t>
            </w:r>
            <w:r>
              <w:rPr>
                <w:rFonts w:hint="eastAsia" w:eastAsia="方正楷体_GBK"/>
                <w:color w:val="000000"/>
                <w:szCs w:val="21"/>
              </w:rPr>
              <w:t xml:space="preserve">。</w:t>
            </w:r>
            <w:r>
              <w:rPr>
                <w:rFonts w:eastAsia="方正楷体_GBK"/>
                <w:b/>
                <w:color w:val="000000"/>
                <w:szCs w:val="21"/>
              </w:rPr>
              <w:t xml:space="preserve">（提供功能演示）</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11）▲支持以结构化产品结构树进行模型管理，可从设计系统中载入结构化的产品结构树，支持结构树、模型互相关联，可通过结构树选择展示模型，也可通过模型定位结构树位置，从而方便评审过程中模型的查找及信息查看。</w:t>
            </w:r>
            <w:r>
              <w:rPr>
                <w:rFonts w:eastAsia="方正楷体_GBK"/>
                <w:b/>
                <w:color w:val="000000"/>
                <w:szCs w:val="21"/>
              </w:rPr>
              <w:t xml:space="preserve">（提供功能演示）</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具备三维结构模型轻量化转化接口</w:t>
            </w:r>
            <w:r>
              <w:rPr>
                <w:rFonts w:eastAsia="方正楷体_GBK"/>
                <w:color w:val="000000"/>
                <w:szCs w:val="21"/>
              </w:rPr>
            </w:r>
            <w:r/>
          </w:p>
          <w:p>
            <w:pPr>
              <w:pStyle w:val="716"/>
              <w:ind w:left="420"/>
              <w:widowControl/>
              <w:rPr>
                <w:rFonts w:eastAsia="方正楷体_GBK"/>
                <w:color w:val="000000"/>
                <w:szCs w:val="21"/>
              </w:rPr>
            </w:pPr>
            <w:r>
              <w:rPr>
                <w:rFonts w:eastAsia="方正楷体_GBK"/>
                <w:color w:val="000000"/>
                <w:szCs w:val="21"/>
              </w:rPr>
              <w:t xml:space="preserve">1.支持常用船舶设计系统（TRIBON、AVEVA Marine、Catia等）及常用虚拟仿真格式数据与虚拟仿真软件（SPNavis、Delmia、VEGA等）的数据转换，为虚拟教学数据提供转换接口。</w:t>
            </w:r>
            <w:r>
              <w:rPr>
                <w:rFonts w:eastAsia="方正楷体_GBK"/>
                <w:color w:val="000000"/>
                <w:szCs w:val="21"/>
              </w:rPr>
            </w:r>
            <w:r/>
          </w:p>
          <w:p>
            <w:pPr>
              <w:pStyle w:val="716"/>
              <w:ind w:left="420"/>
              <w:widowControl/>
              <w:rPr>
                <w:rFonts w:eastAsia="方正楷体_GBK"/>
                <w:color w:val="000000"/>
                <w:szCs w:val="21"/>
              </w:rPr>
            </w:pPr>
            <w:r>
              <w:rPr>
                <w:rFonts w:eastAsia="方正楷体_GBK"/>
                <w:color w:val="000000"/>
                <w:szCs w:val="21"/>
              </w:rPr>
              <w:t xml:space="preserve">2. ▲支持常用的三维模型数据转换功能：支持导入导出DXF、IVE、NVZ等通用数据格式的三维模型数据。</w:t>
            </w:r>
            <w:r>
              <w:rPr>
                <w:rFonts w:eastAsia="方正楷体_GBK"/>
                <w:b/>
                <w:color w:val="000000"/>
                <w:szCs w:val="21"/>
              </w:rPr>
              <w:t xml:space="preserve">（提供功能演示）</w:t>
            </w:r>
            <w:r>
              <w:rPr>
                <w:rFonts w:eastAsia="方正楷体_GBK"/>
                <w:color w:val="000000"/>
                <w:szCs w:val="21"/>
              </w:rPr>
            </w:r>
            <w:r/>
          </w:p>
          <w:p>
            <w:pPr>
              <w:pStyle w:val="716"/>
              <w:ind w:left="420"/>
              <w:widowControl/>
              <w:rPr>
                <w:rFonts w:eastAsia="方正楷体_GBK"/>
                <w:color w:val="000000"/>
                <w:szCs w:val="21"/>
              </w:rPr>
            </w:pPr>
            <w:r>
              <w:rPr>
                <w:rFonts w:eastAsia="方正楷体_GBK"/>
                <w:color w:val="000000"/>
                <w:szCs w:val="21"/>
              </w:rPr>
              <w:t xml:space="preserve">3. ▲支持模型轻量化、压缩、光滑等优化处理。</w:t>
            </w:r>
            <w:r>
              <w:rPr>
                <w:rFonts w:eastAsia="方正楷体_GBK"/>
                <w:b/>
                <w:color w:val="000000"/>
                <w:szCs w:val="21"/>
              </w:rPr>
              <w:t xml:space="preserve">（提供功能演示）</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（13）</w:t>
            </w:r>
            <w:r>
              <w:rPr>
                <w:rFonts w:eastAsia="方正楷体_GBK"/>
                <w:color w:val="000000"/>
                <w:szCs w:val="21"/>
              </w:rPr>
              <w:t xml:space="preserve">提供钻井平台等船舶海工三维模型3个。</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（14）▲投标人具有船舶/海工结构认知和数据转换接口软件知识产权。</w:t>
            </w:r>
            <w:r>
              <w:rPr>
                <w:rFonts w:eastAsia="方正楷体_GBK"/>
                <w:b/>
                <w:bCs/>
                <w:color w:val="000000"/>
                <w:szCs w:val="21"/>
              </w:rPr>
              <w:t xml:space="preserve">投标时需提供相关知识产权证书（软件著作权或产品登记证书）扫描件，扫描件内容清晰可辨，同时附上“中国版权保护中心”登记证书查询截图及网址。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8</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船舶与海工虚拟装配教学系统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b/>
                <w:bCs/>
                <w:color w:val="000000"/>
                <w:szCs w:val="21"/>
                <w:lang w:bidi="ar"/>
              </w:rPr>
              <w:br w:type="textWrapping" w:clear="all"/>
            </w:r>
            <w:r>
              <w:rPr>
                <w:rFonts w:eastAsia="方正楷体_GBK"/>
                <w:b/>
                <w:bCs/>
                <w:color w:val="000000"/>
                <w:szCs w:val="21"/>
                <w:lang w:bidi="ar"/>
              </w:rPr>
              <w:t xml:space="preserve">1.船舶与海工虚拟装配教学模块</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lang w:bidi="ar"/>
              </w:rPr>
              <w:t xml:space="preserve">（1）以船舶海工典型结构装配工艺为基础，构建船舶海工结构装配系统，</w:t>
            </w:r>
            <w:r>
              <w:rPr>
                <w:rFonts w:eastAsia="方正楷体_GBK"/>
                <w:color w:val="000000"/>
                <w:szCs w:val="21"/>
              </w:rPr>
              <w:t xml:space="preserve">实现船舶海工结构装配顺序及工艺的教学实训。</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支持从船舶生产设计系统（如TRIBON、CATIA、SPD等）中抽取装配结构信息，自动构建装配结构树，支持在系统中自行建立装配结构树的功能。支持多个外部装配文件及模型导入、合并和保存的功能。支持多种漫游模式进行漫游的功能。支持装配结构树的新建与修改，能在可视化界面下进行装配层次结构、装配顺序的调整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（3）支持建造基面的交互定义的功能。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（4）支持查找和定位模型的功能。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（5）▲支持动态装配过程自动生成的功能。</w:t>
            </w:r>
            <w:r>
              <w:rPr>
                <w:rFonts w:eastAsia="方正楷体_GBK"/>
                <w:b/>
                <w:bCs/>
                <w:color w:val="000000"/>
                <w:szCs w:val="21"/>
              </w:rPr>
              <w:t xml:space="preserve">（提供功能演示）</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（6）支持装配动画序列播放、装配视频生成的功能。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支持播放控制功能。对装配动画的播放进行控制：减速播放、播放、暂停播放、停止播放、加速播放、重新开始播放和设置循环播放。可以显示播放速度及播放时间。可通过拖动滑块进行控制动画播放进度。</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（8）▲支持属性查看和编辑功能。可以定义建造方向，包括正造、反造、卧造等。</w:t>
            </w:r>
            <w:r>
              <w:rPr>
                <w:rFonts w:eastAsia="方正楷体_GBK"/>
                <w:b/>
                <w:bCs/>
                <w:color w:val="000000"/>
                <w:szCs w:val="21"/>
              </w:rPr>
              <w:t xml:space="preserve">（提供功能演示）</w:t>
            </w:r>
            <w:r>
              <w:rPr>
                <w:rFonts w:eastAsia="方正楷体_GBK"/>
                <w:color w:val="000000"/>
                <w:szCs w:val="21"/>
              </w:rPr>
            </w:r>
            <w:r/>
          </w:p>
          <w:p>
            <w:pPr>
              <w:pStyle w:val="716"/>
              <w:widowControl/>
              <w:rPr>
                <w:rFonts w:eastAsia="方正楷体_GBK"/>
                <w:color w:val="000000"/>
                <w:szCs w:val="21"/>
                <w:lang w:bidi="ar"/>
              </w:rPr>
            </w:pPr>
            <w:r>
              <w:rPr>
                <w:rFonts w:eastAsia="方正楷体_GBK"/>
                <w:color w:val="000000"/>
                <w:szCs w:val="21"/>
              </w:rPr>
              <w:t xml:space="preserve">（9）▲提供涵盖小组立、中组立、分段、总段装配的装配案例。</w:t>
            </w:r>
            <w:r>
              <w:rPr>
                <w:rFonts w:eastAsia="方正楷体_GBK"/>
                <w:b/>
                <w:bCs/>
                <w:color w:val="000000"/>
                <w:szCs w:val="21"/>
              </w:rPr>
              <w:t xml:space="preserve">（提供功能演示）</w:t>
            </w:r>
            <w:r>
              <w:rPr>
                <w:rFonts w:eastAsia="方正楷体_GBK"/>
                <w:color w:val="000000"/>
                <w:szCs w:val="21"/>
                <w:lang w:bidi="ar"/>
              </w:rPr>
            </w:r>
            <w:r/>
          </w:p>
          <w:p>
            <w:pPr>
              <w:pStyle w:val="716"/>
              <w:widowControl/>
              <w:rPr>
                <w:rFonts w:eastAsia="方正楷体_GBK"/>
                <w:color w:val="000000"/>
                <w:szCs w:val="21"/>
                <w:lang w:bidi="ar"/>
              </w:rPr>
            </w:pPr>
            <w:r>
              <w:rPr>
                <w:rFonts w:eastAsia="方正楷体_GBK"/>
                <w:color w:val="000000"/>
                <w:szCs w:val="21"/>
              </w:rPr>
              <w:t xml:space="preserve">（10）支持模型案例与船舶/海工结构节点模型</w:t>
            </w:r>
            <w:r>
              <w:rPr>
                <w:rFonts w:hint="eastAsia" w:eastAsia="方正楷体_GBK"/>
                <w:color w:val="000000"/>
                <w:szCs w:val="21"/>
              </w:rPr>
              <w:t xml:space="preserve">，</w:t>
            </w:r>
            <w:r>
              <w:rPr>
                <w:rFonts w:eastAsia="方正楷体_GBK"/>
                <w:color w:val="000000"/>
                <w:szCs w:val="21"/>
              </w:rPr>
              <w:t xml:space="preserve">形成“虚拟仿真+实物</w:t>
            </w:r>
            <w:r>
              <w:rPr>
                <w:rFonts w:eastAsia="方正楷体_GBK"/>
                <w:color w:val="000000"/>
                <w:szCs w:val="21"/>
                <w:lang w:bidi="ar"/>
              </w:rPr>
              <w:t xml:space="preserve">实操”双轨教学模式，实物模型与软件部分模型对应。通过虚实场景的联动互补，既实现装配工艺的数字化教学，又提供实体化实训体验。</w:t>
            </w:r>
            <w:r>
              <w:rPr>
                <w:rFonts w:eastAsia="方正楷体_GBK"/>
                <w:color w:val="000000"/>
                <w:szCs w:val="21"/>
                <w:lang w:bidi="ar"/>
              </w:rPr>
            </w:r>
            <w:r/>
          </w:p>
          <w:p>
            <w:pPr>
              <w:pStyle w:val="716"/>
              <w:widowControl/>
              <w:rPr>
                <w:rFonts w:eastAsia="方正楷体_GBK"/>
                <w:color w:val="000000"/>
                <w:szCs w:val="21"/>
                <w:lang w:bidi="ar"/>
              </w:rPr>
            </w:pPr>
            <w:r>
              <w:rPr>
                <w:rFonts w:eastAsia="方正楷体_GBK"/>
                <w:color w:val="000000"/>
                <w:szCs w:val="21"/>
                <w:lang w:bidi="ar"/>
              </w:rPr>
              <w:t xml:space="preserve">（11）▲投标人具有船舶/海工虚拟装配软件知识产权。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2.豪华邮轮交互仿真模块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（1）支持对豪华邮轮进行浏览、漫游以及典型舱室的布局漫游等功能。</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rPr>
              <w:t xml:space="preserve">▲</w:t>
            </w:r>
            <w:r>
              <w:rPr>
                <w:rFonts w:eastAsia="方正楷体_GBK"/>
                <w:color w:val="000000"/>
                <w:szCs w:val="21"/>
                <w:lang w:bidi="ar"/>
              </w:rPr>
              <w:t xml:space="preserve">需以国产豪华邮轮爱达魔都号为原型，提供整船船体三维精细化模型，同时构建酒吧、戏院、欧式客房、中式客房、餐厅、中式餐厅、中庭等典型三维精细化场景。</w:t>
            </w:r>
            <w:r>
              <w:rPr>
                <w:rFonts w:eastAsia="方正楷体_GBK"/>
                <w:b/>
                <w:bCs/>
                <w:color w:val="000000"/>
                <w:szCs w:val="21"/>
              </w:rPr>
              <w:t xml:space="preserve">（提供功能演示）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（3）包括整船体漫游和典型舱室漫游两大功能。</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（4）支持豪华游轮整船三维仿真展示。整体支持漫游、虚拟人、鸟瞰等多种漫游方式。</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（5）支持场景切换。提供导航界面，可以在导航界面上点击重点区域的缩略图切换到相应的区域场景进行漫游和交互</w:t>
            </w:r>
            <w:r>
              <w:rPr>
                <w:rFonts w:hint="eastAsia" w:eastAsia="方正楷体_GBK"/>
                <w:color w:val="000000"/>
                <w:szCs w:val="21"/>
                <w:lang w:bidi="ar"/>
              </w:rPr>
              <w:t xml:space="preserve">。</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（6）支持虚拟人漫游，可实现虚拟人角色选择，选择不同的虚拟人进行漫游</w:t>
            </w:r>
            <w:r>
              <w:rPr>
                <w:rFonts w:hint="eastAsia" w:eastAsia="方正楷体_GBK"/>
                <w:color w:val="000000"/>
                <w:szCs w:val="21"/>
                <w:lang w:bidi="ar"/>
              </w:rPr>
              <w:t xml:space="preserve">，</w:t>
            </w:r>
            <w:r>
              <w:rPr>
                <w:rFonts w:eastAsia="方正楷体_GBK"/>
                <w:color w:val="000000"/>
                <w:szCs w:val="21"/>
                <w:lang w:bidi="ar"/>
              </w:rPr>
              <w:t xml:space="preserve">虚拟人视角可以在第一人称和第三人称间进行切换</w:t>
            </w:r>
            <w:r>
              <w:rPr>
                <w:rFonts w:hint="eastAsia" w:eastAsia="方正楷体_GBK"/>
                <w:color w:val="000000"/>
                <w:szCs w:val="21"/>
                <w:lang w:bidi="ar"/>
              </w:rPr>
              <w:t xml:space="preserve">。</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（7）支持顶层甲板的全场景漫游，涵盖海上多功能运动区、泳池与水上乐园、休闲区、户外健身等区域。</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（8）提供酒吧、戏院、欧式客房、中式客房、餐厅、中式餐厅、中庭、走廊等典型区域的三维场景漫游。</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（9）支持邮轮内装装饰素材库，支持交互操作的方式实现典型舱室布局。</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（10）支持客舱内场景设施设备的移动、旋转、删除、添加操作。</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（11）</w:t>
            </w:r>
            <w:r>
              <w:rPr>
                <w:rFonts w:eastAsia="方正楷体_GBK"/>
                <w:color w:val="000000"/>
                <w:szCs w:val="21"/>
              </w:rPr>
              <w:t xml:space="preserve">▲</w:t>
            </w:r>
            <w:r>
              <w:rPr>
                <w:rFonts w:eastAsia="方正楷体_GBK"/>
                <w:color w:val="000000"/>
                <w:szCs w:val="21"/>
                <w:lang w:bidi="ar"/>
              </w:rPr>
              <w:t xml:space="preserve">支持客舱内墙板、地面、灯光、地板纹理等调整操作。</w:t>
            </w:r>
            <w:r>
              <w:rPr>
                <w:rFonts w:eastAsia="方正楷体_GBK"/>
                <w:b/>
                <w:bCs/>
                <w:color w:val="000000"/>
                <w:szCs w:val="21"/>
              </w:rPr>
              <w:t xml:space="preserve">（提供功能演示）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（12）</w:t>
            </w:r>
            <w:r>
              <w:rPr>
                <w:rFonts w:eastAsia="方正楷体_GBK"/>
                <w:color w:val="000000"/>
                <w:szCs w:val="21"/>
              </w:rPr>
              <w:t xml:space="preserve">▲</w:t>
            </w:r>
            <w:r>
              <w:rPr>
                <w:rFonts w:eastAsia="方正楷体_GBK"/>
                <w:color w:val="000000"/>
                <w:szCs w:val="21"/>
                <w:lang w:bidi="ar"/>
              </w:rPr>
              <w:t xml:space="preserve">支持灯光编辑，具有颜色编辑面板，可实现选择吸顶灯/主灯可以改变吸顶灯或主灯的颜色。</w:t>
            </w:r>
            <w:r>
              <w:rPr>
                <w:rFonts w:eastAsia="方正楷体_GBK"/>
                <w:b/>
                <w:bCs/>
                <w:color w:val="000000"/>
                <w:szCs w:val="21"/>
              </w:rPr>
              <w:t xml:space="preserve">（提供功能演示）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（13）</w:t>
            </w:r>
            <w:r>
              <w:rPr>
                <w:rFonts w:eastAsia="方正楷体_GBK"/>
                <w:color w:val="000000"/>
                <w:szCs w:val="21"/>
              </w:rPr>
              <w:t xml:space="preserve">▲</w:t>
            </w:r>
            <w:r>
              <w:rPr>
                <w:rFonts w:eastAsia="方正楷体_GBK"/>
                <w:color w:val="000000"/>
                <w:szCs w:val="21"/>
                <w:lang w:bidi="ar"/>
              </w:rPr>
              <w:t xml:space="preserve">支持地板/墙面可以改变地板纹理及墙面的颜色。</w:t>
            </w:r>
            <w:r>
              <w:rPr>
                <w:rFonts w:eastAsia="方正楷体_GBK"/>
                <w:b/>
                <w:bCs/>
                <w:color w:val="000000"/>
                <w:szCs w:val="21"/>
              </w:rPr>
              <w:t xml:space="preserve">（提供功能演示）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（14）支持舱室完成设计后，可即时进行鸟瞰或虚拟人漫游，实现设计效果的沉浸式体验。</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（15）支持画面和声音设置。可以设置画面的显示质量、分辨率等参数。</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（16）▲投标人具有豪华邮轮仿真软件知识产权。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9</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海工建造交互实训系统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bottom"/>
            <w:textDirection w:val="lrTb"/>
            <w:noWrap w:val="false"/>
          </w:tcPr>
          <w:p>
            <w:pPr>
              <w:pStyle w:val="716"/>
              <w:ind w:left="420"/>
              <w:widowControl/>
              <w:rPr>
                <w:rStyle w:val="1077"/>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1077"/>
                <w:rFonts w:ascii="Times New Roman" w:hAnsi="Times New Roman" w:eastAsia="方正楷体_GBK" w:cs="Times New Roman"/>
                <w:b w:val="0"/>
                <w:sz w:val="21"/>
                <w:szCs w:val="21"/>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（1）系统总体功能</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1077"/>
                <w:rFonts w:ascii="Times New Roman" w:hAnsi="Times New Roman" w:eastAsia="方正楷体_GBK" w:cs="Times New Roman"/>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Fonts w:eastAsia="方正楷体_GBK"/>
                <w:color w:val="000000"/>
                <w:szCs w:val="21"/>
                <w:lang w:bidi="ar"/>
              </w:rPr>
              <w:t xml:space="preserve">提供</w:t>
            </w:r>
            <w:r>
              <w:rPr>
                <w:rStyle w:val="1077"/>
                <w:rFonts w:ascii="Times New Roman" w:hAnsi="Times New Roman" w:eastAsia="方正楷体_GBK" w:cs="Times New Roman"/>
                <w:b w:val="0"/>
                <w:bCs/>
                <w:sz w:val="21"/>
                <w:szCs w:val="21"/>
                <w:lang w:bidi="ar"/>
              </w:rPr>
              <w:t xml:space="preserve">教学、实训、考试三种模式，各模式可自由切换。</w:t>
            </w:r>
            <w:r>
              <w:rPr>
                <w:rFonts w:eastAsia="方正楷体_GBK"/>
                <w:b/>
                <w:bCs/>
                <w:color w:val="000000"/>
                <w:szCs w:val="21"/>
              </w:rPr>
              <w:t xml:space="preserve">（提供功能演示）</w:t>
            </w:r>
            <w:r>
              <w:rPr>
                <w:rStyle w:val="1077"/>
                <w:rFonts w:ascii="Times New Roman" w:hAnsi="Times New Roman" w:eastAsia="方正楷体_GBK" w:cs="Times New Roman"/>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1077"/>
                <w:rFonts w:ascii="Times New Roman" w:hAnsi="Times New Roman" w:eastAsia="方正楷体_GBK" w:cs="Times New Roman"/>
                <w:b w:val="0"/>
                <w:bCs/>
                <w:sz w:val="21"/>
                <w:szCs w:val="21"/>
                <w:lang w:bidi="ar"/>
              </w:rPr>
              <w:t xml:space="preserve">教学模式：每一步均提示需选择的内容及操作要求，用户按提示完成操作后，若操作正确则演示工艺过程动画；</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1077"/>
                <w:rFonts w:ascii="Times New Roman" w:hAnsi="Times New Roman" w:eastAsia="方正楷体_GBK" w:cs="Times New Roman"/>
                <w:b w:val="0"/>
                <w:bCs/>
                <w:sz w:val="21"/>
                <w:szCs w:val="21"/>
                <w:lang w:bidi="ar"/>
              </w:rPr>
              <w:t xml:space="preserve">实训模式：不提供选择内容及操作提示，学生需依据课堂所学知识开展练习，若操作正确则演示工艺过程动画，若操作错误则弹出错误提示；</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c.</w:t>
            </w:r>
            <w:r>
              <w:rPr>
                <w:rStyle w:val="1077"/>
                <w:rFonts w:ascii="Times New Roman" w:hAnsi="Times New Roman" w:eastAsia="方正楷体_GBK" w:cs="Times New Roman"/>
                <w:b w:val="0"/>
                <w:bCs/>
                <w:sz w:val="21"/>
                <w:szCs w:val="21"/>
                <w:lang w:bidi="ar"/>
              </w:rPr>
              <w:t xml:space="preserve">考试模式：不提供选择内容及操作提示，学生依据图纸及所学知识完成操作，若操作正确则演示工艺过程，若操作错误则扣除相应分数，最终生成学生操作正确率报告。</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支持工艺流程编辑界面，允许用户在实操开始前对工艺流程进行选择与编辑。</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支持在教学、实操模式中，针对施工过程中的各知识点提供解析与知识拓展说明性提示，辅助用户自学。</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⑤</w:t>
            </w:r>
            <w:r>
              <w:rPr>
                <w:rStyle w:val="1077"/>
                <w:rFonts w:ascii="Times New Roman" w:hAnsi="Times New Roman" w:eastAsia="方正楷体_GBK" w:cs="Times New Roman"/>
                <w:b w:val="0"/>
                <w:bCs/>
                <w:sz w:val="21"/>
                <w:szCs w:val="21"/>
                <w:lang w:bidi="ar"/>
              </w:rPr>
              <w:t xml:space="preserve">支持在实操过程中提供模型三维预览功能，并配备模型高亮提示功能。</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⑥</w:t>
            </w: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支持资料库功能，提供实操项目实施过程中涉及的工艺图纸、施工方案、各类记录及其他文件资料的查询与查阅。</w:t>
            </w:r>
            <w:r>
              <w:rPr>
                <w:rFonts w:eastAsia="方正楷体_GBK"/>
                <w:b/>
                <w:bCs/>
                <w:color w:val="000000"/>
                <w:szCs w:val="21"/>
              </w:rPr>
              <w:t xml:space="preserve">（提供功能演示）</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⑦</w:t>
            </w:r>
            <w:r>
              <w:rPr>
                <w:rStyle w:val="1077"/>
                <w:rFonts w:ascii="Times New Roman" w:hAnsi="Times New Roman" w:eastAsia="方正楷体_GBK" w:cs="Times New Roman"/>
                <w:b w:val="0"/>
                <w:bCs/>
                <w:sz w:val="21"/>
                <w:szCs w:val="21"/>
                <w:lang w:bidi="ar"/>
              </w:rPr>
              <w:t xml:space="preserve">支持实操交互评分功能，系统自动记录成绩，用户可查看个人考试记录及历史成绩。</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⑧</w:t>
            </w:r>
            <w:r>
              <w:rPr>
                <w:rStyle w:val="1077"/>
                <w:rFonts w:ascii="Times New Roman" w:hAnsi="Times New Roman" w:eastAsia="方正楷体_GBK" w:cs="Times New Roman"/>
                <w:b w:val="0"/>
                <w:bCs/>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（2）海工平台小组立交互实训子模块功能要求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支持选取不少于4种典型海工小组（不得与本标其他软件内容重复）开展交互实训。</w:t>
            </w:r>
            <w:r>
              <w:rPr>
                <w:rStyle w:val="1077"/>
                <w:rFonts w:ascii="Times New Roman" w:hAnsi="Times New Roman" w:eastAsia="方正楷体_GBK" w:cs="Times New Roman"/>
                <w:sz w:val="21"/>
                <w:szCs w:val="21"/>
                <w:lang w:bidi="ar"/>
              </w:rPr>
              <w:t xml:space="preserve">（提供功能演示，至少2种）</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1077"/>
                <w:rFonts w:ascii="Times New Roman" w:hAnsi="Times New Roman" w:eastAsia="方正楷体_GBK" w:cs="Times New Roman"/>
                <w:b w:val="0"/>
                <w:bCs/>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（3）海工平台中组立交互实训子模块功能要求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支持选取不少于4种典型海工中组立（不得与本标其他软件内容重复）开展交互实训。</w:t>
            </w:r>
            <w:r>
              <w:rPr>
                <w:rStyle w:val="1077"/>
                <w:rFonts w:ascii="Times New Roman" w:hAnsi="Times New Roman" w:eastAsia="方正楷体_GBK" w:cs="Times New Roman"/>
                <w:sz w:val="21"/>
                <w:szCs w:val="21"/>
                <w:lang w:bidi="ar"/>
              </w:rPr>
              <w:t xml:space="preserve">（提供功能演示，至少2种）</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（4）海工平台分段建造子模块功能要求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支持选取不少于4种典型海工分段（不得与本标其他软件内容重复）开展交互实训。</w:t>
            </w:r>
            <w:r>
              <w:rPr>
                <w:rStyle w:val="1077"/>
                <w:rFonts w:ascii="Times New Roman" w:hAnsi="Times New Roman" w:eastAsia="方正楷体_GBK" w:cs="Times New Roman"/>
                <w:sz w:val="21"/>
                <w:szCs w:val="21"/>
                <w:lang w:bidi="ar"/>
              </w:rPr>
              <w:t xml:space="preserve">（提供功能演示，至少2种）</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具备选项有效性判定机制：装配时，选择正确方可开展装配演示。</w:t>
            </w:r>
            <w:r>
              <w:rPr>
                <w:rStyle w:val="1077"/>
                <w:rFonts w:ascii="Times New Roman" w:hAnsi="Times New Roman" w:eastAsia="方正楷体_GBK" w:cs="Times New Roman"/>
                <w:b w:val="0"/>
                <w:bCs/>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（5）海工平台总段建造子模块功能要求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bCs/>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支持选取不少于4种典型海工总段（不得与本标其他软件内容重复）开展交互实训。</w:t>
            </w:r>
            <w:r>
              <w:rPr>
                <w:rStyle w:val="1077"/>
                <w:rFonts w:ascii="Times New Roman" w:hAnsi="Times New Roman" w:eastAsia="方正楷体_GBK" w:cs="Times New Roman"/>
                <w:sz w:val="21"/>
                <w:szCs w:val="21"/>
                <w:lang w:bidi="ar"/>
              </w:rPr>
              <w:t xml:space="preserve">（提供功能演示，至少2种）</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Fonts w:eastAsia="方正楷体_GBK"/>
                <w:bCs/>
                <w:color w:val="000000"/>
                <w:szCs w:val="21"/>
              </w:rPr>
              <w:t xml:space="preserve">▲</w:t>
            </w:r>
            <w:r>
              <w:rPr>
                <w:rStyle w:val="1077"/>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1077"/>
                <w:rFonts w:ascii="Times New Roman" w:hAnsi="Times New Roman" w:eastAsia="方正楷体_GBK" w:cs="Times New Roman"/>
                <w:sz w:val="21"/>
                <w:szCs w:val="21"/>
                <w:lang w:bidi="ar"/>
              </w:rPr>
              <w:t xml:space="preserve">（提供功能演示）</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（6）海工平台建造搭载子模块功能要求</w:t>
            </w:r>
            <w:r>
              <w:rPr>
                <w:rStyle w:val="1077"/>
                <w:rFonts w:ascii="Times New Roman" w:hAnsi="Times New Roman" w:eastAsia="方正楷体_GBK" w:cs="Times New Roman"/>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Style w:val="1077"/>
                <w:rFonts w:ascii="Times New Roman" w:hAnsi="Times New Roman" w:eastAsia="方正楷体_GBK" w:cs="Times New Roman"/>
                <w:b w:val="0"/>
                <w:bCs/>
                <w:sz w:val="21"/>
                <w:szCs w:val="21"/>
                <w:lang w:bidi="ar"/>
              </w:rPr>
              <w:t xml:space="preserve">需支持海工平台搭载仿真，包含建立工艺装备库、搭建场地模型、设计搭载网络图、处理海工平台模型等功能。学员可依据搭载网络图、工艺规程等技术文件，确认工艺流程，选择各搭载过程中的分段/总段及所需工装设备，完成典型海工平台建造搭载过程仿真实训。搭载流程涵盖搭载总段划分方式、搭载方法、搭载场地、总段合拢方式、工艺装备、工具选择与应用等知识点教学。</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Cs/>
                <w:sz w:val="21"/>
                <w:szCs w:val="21"/>
                <w:lang w:bidi="ar"/>
              </w:rPr>
            </w:pPr>
            <w:r>
              <w:rPr>
                <w:rFonts w:ascii="Cambria Math" w:hAnsi="Cambria Math" w:eastAsia="方正楷体_GBK" w:cs="Cambria Math"/>
                <w:bCs/>
                <w:color w:val="000000"/>
                <w:szCs w:val="21"/>
                <w:lang w:bidi="ar"/>
              </w:rPr>
              <w:t xml:space="preserve">①</w:t>
            </w:r>
            <w:r>
              <w:rPr>
                <w:rStyle w:val="1077"/>
                <w:rFonts w:ascii="Times New Roman" w:hAnsi="Times New Roman" w:eastAsia="方正楷体_GBK" w:cs="Times New Roman"/>
                <w:bCs/>
                <w:sz w:val="21"/>
                <w:szCs w:val="21"/>
                <w:lang w:bidi="ar"/>
              </w:rPr>
              <w:t xml:space="preserve">顶升装置搭载</w:t>
            </w:r>
            <w:r>
              <w:rPr>
                <w:rStyle w:val="1077"/>
                <w:rFonts w:ascii="Times New Roman" w:hAnsi="Times New Roman" w:eastAsia="方正楷体_GBK" w:cs="Times New Roman"/>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1077"/>
                <w:rFonts w:ascii="Times New Roman" w:hAnsi="Times New Roman" w:eastAsia="方正楷体_GBK" w:cs="Times New Roman"/>
                <w:b w:val="0"/>
                <w:bCs/>
                <w:sz w:val="21"/>
                <w:szCs w:val="21"/>
                <w:lang w:bidi="ar"/>
              </w:rPr>
              <w:t xml:space="preserve">支持在船坞坞底铺设提升支架埋件及滑移轨道，运用提升支架、液压平板车等工装设备开展海工平台主体搭建过程实训。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1077"/>
                <w:rFonts w:ascii="Times New Roman" w:hAnsi="Times New Roman" w:eastAsia="方正楷体_GBK" w:cs="Times New Roman"/>
                <w:b w:val="0"/>
                <w:bCs/>
                <w:sz w:val="21"/>
                <w:szCs w:val="21"/>
                <w:lang w:bidi="ar"/>
              </w:rPr>
              <w:t xml:space="preserve">需支持以下作业流程实训：（1）坞内注水→（2）开坞门→上船体大总段进坞→上船体大总段与下船体大总段焊接完毕→拆除提升设备及支架→设备拆除完毕，上船体大总段吊装完成。</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龙门吊吊装</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支持通过龙门吊吊装方式开展海工平台搭载建造实训。</w:t>
            </w:r>
            <w:r>
              <w:rPr>
                <w:rStyle w:val="1077"/>
                <w:rFonts w:ascii="Times New Roman" w:hAnsi="Times New Roman" w:eastAsia="方正楷体_GBK" w:cs="Times New Roman"/>
                <w:sz w:val="21"/>
                <w:szCs w:val="21"/>
                <w:lang w:bidi="ar"/>
              </w:rPr>
              <w:t xml:space="preserve">（提供功能演示）</w:t>
            </w:r>
            <w:r>
              <w:rPr>
                <w:rStyle w:val="1077"/>
                <w:rFonts w:ascii="Times New Roman" w:hAnsi="Times New Roman" w:eastAsia="方正楷体_GBK" w:cs="Times New Roman"/>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大型桥式起重机</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1077"/>
                <w:rFonts w:ascii="Times New Roman" w:hAnsi="Times New Roman" w:eastAsia="方正楷体_GBK" w:cs="Times New Roman"/>
                <w:b w:val="0"/>
                <w:bCs/>
                <w:sz w:val="21"/>
                <w:szCs w:val="21"/>
                <w:lang w:bidi="ar"/>
              </w:rPr>
              <w:t xml:space="preserve">支持通过大型桥式起重机对海工平台上平台进行整体吊运搭载实训。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流程设计需包含以下步骤：将下船体大总段机械牵引至半潜驳船上→通过驳船下潜使下船体大总段漂浮下水→按照制订的焊接工艺完成合拢缝处的焊接→精度复检→通过拖轮牵引出坞→牵引平台至深水舾装码头进行外部舾装。</w:t>
            </w:r>
            <w:r>
              <w:rPr>
                <w:rStyle w:val="1077"/>
                <w:rFonts w:ascii="Times New Roman" w:hAnsi="Times New Roman" w:eastAsia="方正楷体_GBK" w:cs="Times New Roman"/>
                <w:sz w:val="21"/>
                <w:szCs w:val="21"/>
                <w:lang w:bidi="ar"/>
              </w:rPr>
              <w:t xml:space="preserve">（提供功能演示）</w:t>
            </w:r>
            <w:r>
              <w:rPr>
                <w:rStyle w:val="1077"/>
                <w:rFonts w:ascii="Times New Roman" w:hAnsi="Times New Roman" w:eastAsia="方正楷体_GBK" w:cs="Times New Roman"/>
                <w:b w:val="0"/>
                <w:bCs/>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（7）半潜式钻井平台井架吊装功能要求</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b/>
                <w:color w:val="000000"/>
                <w:szCs w:val="21"/>
                <w:lang w:bidi="ar"/>
              </w:rPr>
              <w:t xml:space="preserve">　</w:t>
            </w:r>
            <w:r>
              <w:rPr>
                <w:rStyle w:val="1077"/>
                <w:rFonts w:ascii="Times New Roman" w:hAnsi="Times New Roman" w:eastAsia="方正楷体_GBK" w:cs="Times New Roman"/>
                <w:sz w:val="21"/>
                <w:szCs w:val="21"/>
                <w:lang w:bidi="ar"/>
              </w:rPr>
              <w:t xml:space="preserve">支持以下内容：</w:t>
            </w:r>
            <w:r>
              <w:rPr>
                <w:rStyle w:val="1077"/>
                <w:rFonts w:ascii="Times New Roman" w:hAnsi="Times New Roman" w:eastAsia="方正楷体_GBK" w:cs="Times New Roman"/>
                <w:sz w:val="21"/>
                <w:szCs w:val="21"/>
                <w:lang w:bidi="ar"/>
              </w:rPr>
            </w:r>
            <w:r/>
          </w:p>
          <w:tbl>
            <w:tblPr>
              <w:tblW w:w="4767"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448"/>
              <w:gridCol w:w="962"/>
              <w:gridCol w:w="1576"/>
            </w:tblGrid>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高度</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低</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w:t>
                  </w:r>
                  <w:r>
                    <w:rPr>
                      <w:rFonts w:eastAsia="方正楷体_GBK"/>
                      <w:color w:val="000000"/>
                      <w:szCs w:val="21"/>
                    </w:rPr>
                  </w:r>
                  <w:r/>
                </w:p>
              </w:tc>
            </w:tr>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场地</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船坞</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码头</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浅海</w:t>
                  </w:r>
                  <w:r>
                    <w:rPr>
                      <w:rFonts w:eastAsia="方正楷体_GBK"/>
                      <w:color w:val="000000"/>
                      <w:szCs w:val="21"/>
                    </w:rPr>
                  </w:r>
                  <w:r/>
                </w:p>
              </w:tc>
            </w:tr>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设备</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垂直起升装置</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回旋式浮吊船</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门架式浮吊船</w:t>
                  </w:r>
                  <w:r>
                    <w:rPr>
                      <w:rFonts w:eastAsia="方正楷体_GBK"/>
                      <w:color w:val="000000"/>
                      <w:szCs w:val="21"/>
                    </w:rPr>
                  </w:r>
                  <w:r/>
                </w:p>
              </w:tc>
            </w:tr>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方法</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用垂直起升装置逐节顶升</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浮吊船吊装</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驳船装载井架分段</w:t>
                  </w:r>
                  <w:r>
                    <w:rPr>
                      <w:rFonts w:hint="eastAsia" w:ascii="微软雅黑" w:hAnsi="微软雅黑" w:eastAsia="微软雅黑" w:cs="微软雅黑"/>
                      <w:color w:val="000000"/>
                      <w:szCs w:val="21"/>
                    </w:rPr>
                    <w:t xml:space="preserve">､</w:t>
                  </w:r>
                  <w:r>
                    <w:rPr>
                      <w:rFonts w:eastAsia="方正楷体_GBK"/>
                      <w:color w:val="000000"/>
                      <w:szCs w:val="21"/>
                    </w:rPr>
                    <w:t xml:space="preserve">浮吊船吊装</w:t>
                  </w:r>
                  <w:r>
                    <w:rPr>
                      <w:rFonts w:eastAsia="方正楷体_GBK"/>
                      <w:color w:val="000000"/>
                      <w:szCs w:val="21"/>
                    </w:rPr>
                  </w:r>
                  <w:r/>
                </w:p>
              </w:tc>
            </w:tr>
          </w:tbl>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装配流程：</w:t>
            </w:r>
            <w:r>
              <w:rPr>
                <w:rFonts w:eastAsia="方正楷体_GBK"/>
                <w:bCs/>
                <w:color w:val="000000"/>
                <w:szCs w:val="21"/>
                <w:lang w:bidi="ar"/>
              </w:rPr>
              <w:t xml:space="preserve">支持垂直起升装置顶升作业流程实训，</w:t>
            </w:r>
            <w:r>
              <w:rPr>
                <w:rStyle w:val="1077"/>
                <w:rFonts w:ascii="Times New Roman" w:hAnsi="Times New Roman" w:eastAsia="方正楷体_GBK" w:cs="Times New Roman"/>
                <w:b w:val="0"/>
                <w:bCs/>
                <w:sz w:val="21"/>
                <w:szCs w:val="21"/>
                <w:lang w:bidi="ar"/>
              </w:rPr>
              <w:t xml:space="preserve">具体实训内容包括</w:t>
            </w:r>
            <w:r>
              <w:rPr>
                <w:rFonts w:eastAsia="方正楷体_GBK"/>
                <w:bCs/>
                <w:color w:val="000000"/>
                <w:szCs w:val="21"/>
                <w:lang w:bidi="ar"/>
              </w:rPr>
              <w:t xml:space="preserve">a.龙门</w:t>
            </w:r>
            <w:r>
              <w:rPr>
                <w:rStyle w:val="1077"/>
                <w:rFonts w:ascii="Times New Roman" w:hAnsi="Times New Roman" w:eastAsia="方正楷体_GBK" w:cs="Times New Roman"/>
                <w:b w:val="0"/>
                <w:bCs/>
                <w:sz w:val="21"/>
                <w:szCs w:val="21"/>
                <w:lang w:bidi="ar"/>
              </w:rPr>
              <w:t xml:space="preserve">吊吊装</w:t>
            </w:r>
            <w:r>
              <w:rPr>
                <w:rFonts w:eastAsia="方正楷体_GBK"/>
                <w:bCs/>
                <w:color w:val="000000"/>
                <w:szCs w:val="21"/>
                <w:lang w:bidi="ar"/>
              </w:rPr>
              <w:t xml:space="preserve">b.</w:t>
            </w:r>
            <w:r>
              <w:rPr>
                <w:rStyle w:val="1077"/>
                <w:rFonts w:ascii="Times New Roman" w:hAnsi="Times New Roman" w:eastAsia="方正楷体_GBK" w:cs="Times New Roman"/>
                <w:b w:val="0"/>
                <w:bCs/>
                <w:sz w:val="21"/>
                <w:szCs w:val="21"/>
                <w:lang w:bidi="ar"/>
              </w:rPr>
              <w:t xml:space="preserve">码头吊装</w:t>
            </w:r>
            <w:r>
              <w:rPr>
                <w:rFonts w:eastAsia="方正楷体_GBK"/>
                <w:bCs/>
                <w:color w:val="000000"/>
                <w:szCs w:val="21"/>
                <w:lang w:bidi="ar"/>
              </w:rPr>
              <w:t xml:space="preserve">c.</w:t>
            </w:r>
            <w:r>
              <w:rPr>
                <w:rStyle w:val="1077"/>
                <w:rFonts w:ascii="Times New Roman" w:hAnsi="Times New Roman" w:eastAsia="方正楷体_GBK" w:cs="Times New Roman"/>
                <w:b w:val="0"/>
                <w:bCs/>
                <w:sz w:val="21"/>
                <w:szCs w:val="21"/>
                <w:lang w:bidi="ar"/>
              </w:rPr>
              <w:t xml:space="preserve">浅海吊装。</w:t>
            </w:r>
            <w:r>
              <w:rPr>
                <w:rStyle w:val="1077"/>
                <w:rFonts w:ascii="Times New Roman" w:hAnsi="Times New Roman" w:eastAsia="方正楷体_GBK" w:cs="Times New Roman"/>
                <w:sz w:val="21"/>
                <w:szCs w:val="21"/>
                <w:lang w:bidi="ar"/>
              </w:rPr>
              <w:t xml:space="preserve">（提供功能演示）</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（8）半潜式钻井平台动力定位系统安装功能要求</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Style w:val="1077"/>
                <w:rFonts w:ascii="Times New Roman" w:hAnsi="Times New Roman" w:eastAsia="方正楷体_GBK" w:cs="Times New Roman"/>
                <w:sz w:val="21"/>
                <w:szCs w:val="21"/>
                <w:lang w:bidi="ar"/>
              </w:rPr>
              <w:t xml:space="preserve">支持以下内容：</w:t>
            </w:r>
            <w:r>
              <w:rPr>
                <w:rStyle w:val="1077"/>
                <w:rFonts w:ascii="Times New Roman" w:hAnsi="Times New Roman" w:eastAsia="方正楷体_GBK" w:cs="Times New Roman"/>
                <w:sz w:val="21"/>
                <w:szCs w:val="21"/>
                <w:lang w:bidi="ar"/>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1831"/>
              <w:gridCol w:w="1714"/>
            </w:tblGrid>
            <w:tr>
              <w:trPr>
                <w:trHeight w:val="295"/>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安装场地</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码头</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浅海</w:t>
                  </w:r>
                  <w:r>
                    <w:rPr>
                      <w:rFonts w:eastAsia="方正楷体_GBK"/>
                      <w:color w:val="000000"/>
                      <w:szCs w:val="21"/>
                    </w:rPr>
                  </w:r>
                  <w:r/>
                </w:p>
              </w:tc>
            </w:tr>
            <w:tr>
              <w:trPr>
                <w:trHeight w:val="299"/>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安装成本</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低</w:t>
                  </w:r>
                  <w:r>
                    <w:rPr>
                      <w:rFonts w:eastAsia="方正楷体_GBK"/>
                      <w:color w:val="000000"/>
                      <w:szCs w:val="21"/>
                    </w:rPr>
                  </w:r>
                  <w:r/>
                </w:p>
              </w:tc>
            </w:tr>
            <w:tr>
              <w:trPr>
                <w:trHeight w:val="295"/>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吊装设备</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浮吊船</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带克令吊的驳船</w:t>
                  </w:r>
                  <w:r>
                    <w:rPr>
                      <w:rFonts w:eastAsia="方正楷体_GBK"/>
                      <w:color w:val="000000"/>
                      <w:szCs w:val="21"/>
                    </w:rPr>
                  </w:r>
                  <w:r/>
                </w:p>
              </w:tc>
            </w:tr>
            <w:tr>
              <w:trPr>
                <w:trHeight w:val="304"/>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搭载方法</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浮吊船吊装侧拉</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海底安装</w:t>
                  </w:r>
                  <w:r>
                    <w:rPr>
                      <w:rFonts w:eastAsia="方正楷体_GBK"/>
                      <w:color w:val="000000"/>
                      <w:szCs w:val="21"/>
                    </w:rPr>
                  </w:r>
                  <w:r/>
                </w:p>
              </w:tc>
            </w:tr>
          </w:tbl>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1077"/>
                <w:rFonts w:ascii="Times New Roman" w:hAnsi="Times New Roman" w:eastAsia="方正楷体_GBK" w:cs="Times New Roman"/>
                <w:sz w:val="21"/>
                <w:szCs w:val="21"/>
                <w:lang w:bidi="ar"/>
              </w:rPr>
              <w:t xml:space="preserve">装配流程：（提供功能演示）</w:t>
            </w:r>
            <w:r>
              <w:rPr>
                <w:rStyle w:val="1077"/>
                <w:rFonts w:ascii="Times New Roman" w:hAnsi="Times New Roman" w:eastAsia="方正楷体_GBK" w:cs="Times New Roman"/>
                <w:sz w:val="21"/>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a.</w:t>
            </w:r>
            <w:r>
              <w:rPr>
                <w:rStyle w:val="1077"/>
                <w:rFonts w:ascii="Times New Roman" w:hAnsi="Times New Roman" w:eastAsia="方正楷体_GBK" w:cs="Times New Roman"/>
                <w:b w:val="0"/>
                <w:sz w:val="21"/>
                <w:szCs w:val="21"/>
                <w:lang w:bidi="ar"/>
              </w:rPr>
              <w:t xml:space="preserve">支持浮吊船吊装侧拉，流程设计需包含以下步骤：（1）半潜平台通</w:t>
            </w:r>
            <w:r>
              <w:rPr>
                <w:rFonts w:eastAsia="方正楷体_GBK"/>
                <w:color w:val="000000"/>
                <w:szCs w:val="21"/>
                <w:lang w:bidi="ar"/>
              </w:rPr>
              <w:t xml:space="preserve">过系泊装置固定在码头指定位置→（2）大型浮吊船吊起推进器至平台侧面→（3）关闭防水口→（4）打开两层保护帽→（5）安装轴系。</w:t>
            </w:r>
            <w:r>
              <w:rPr>
                <w:rFonts w:eastAsia="方正楷体_GBK"/>
                <w:color w:val="000000"/>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b.支持海底安装，流程设计需包含以下步骤：（1）驳船装载推进器</w:t>
            </w:r>
            <w:r>
              <w:rPr>
                <w:rStyle w:val="1077"/>
                <w:rFonts w:ascii="Times New Roman" w:hAnsi="Times New Roman" w:eastAsia="方正楷体_GBK" w:cs="Times New Roman"/>
                <w:b w:val="0"/>
                <w:sz w:val="21"/>
                <w:szCs w:val="21"/>
                <w:lang w:bidi="ar"/>
              </w:rPr>
              <w:t xml:space="preserve">至浅海指定位置→（</w:t>
            </w:r>
            <w:r>
              <w:rPr>
                <w:rFonts w:eastAsia="方正楷体_GBK"/>
                <w:color w:val="000000"/>
                <w:szCs w:val="21"/>
                <w:lang w:bidi="ar"/>
              </w:rPr>
              <w:t xml:space="preserve">2</w:t>
            </w:r>
            <w:r>
              <w:rPr>
                <w:rStyle w:val="1077"/>
                <w:rFonts w:ascii="Times New Roman" w:hAnsi="Times New Roman" w:eastAsia="方正楷体_GBK" w:cs="Times New Roman"/>
                <w:b w:val="0"/>
                <w:sz w:val="21"/>
                <w:szCs w:val="21"/>
                <w:lang w:bidi="ar"/>
              </w:rPr>
              <w:t xml:space="preserve">）船上克令吊吊装推进器至海底安装位置→（</w:t>
            </w:r>
            <w:r>
              <w:rPr>
                <w:rFonts w:eastAsia="方正楷体_GBK"/>
                <w:color w:val="000000"/>
                <w:szCs w:val="21"/>
                <w:lang w:bidi="ar"/>
              </w:rPr>
              <w:t xml:space="preserve">3</w:t>
            </w:r>
            <w:r>
              <w:rPr>
                <w:rStyle w:val="1077"/>
                <w:rFonts w:ascii="Times New Roman" w:hAnsi="Times New Roman" w:eastAsia="方正楷体_GBK" w:cs="Times New Roman"/>
                <w:b w:val="0"/>
                <w:sz w:val="21"/>
                <w:szCs w:val="21"/>
                <w:lang w:bidi="ar"/>
              </w:rPr>
              <w:t xml:space="preserve">）驳船驶开→（</w:t>
            </w:r>
            <w:r>
              <w:rPr>
                <w:rFonts w:eastAsia="方正楷体_GBK"/>
                <w:color w:val="000000"/>
                <w:szCs w:val="21"/>
                <w:lang w:bidi="ar"/>
              </w:rPr>
              <w:t xml:space="preserve">4</w:t>
            </w:r>
            <w:r>
              <w:rPr>
                <w:rStyle w:val="1077"/>
                <w:rFonts w:ascii="Times New Roman" w:hAnsi="Times New Roman" w:eastAsia="方正楷体_GBK" w:cs="Times New Roman"/>
                <w:b w:val="0"/>
                <w:sz w:val="21"/>
                <w:szCs w:val="21"/>
                <w:lang w:bidi="ar"/>
              </w:rPr>
              <w:t xml:space="preserve">）排出海水→（</w:t>
            </w:r>
            <w:r>
              <w:rPr>
                <w:rFonts w:eastAsia="方正楷体_GBK"/>
                <w:color w:val="000000"/>
                <w:szCs w:val="21"/>
                <w:lang w:bidi="ar"/>
              </w:rPr>
              <w:t xml:space="preserve">5</w:t>
            </w:r>
            <w:r>
              <w:rPr>
                <w:rStyle w:val="1077"/>
                <w:rFonts w:ascii="Times New Roman" w:hAnsi="Times New Roman" w:eastAsia="方正楷体_GBK" w:cs="Times New Roman"/>
                <w:b w:val="0"/>
                <w:sz w:val="21"/>
                <w:szCs w:val="21"/>
                <w:lang w:bidi="ar"/>
              </w:rPr>
              <w:t xml:space="preserve">）关闭防水口→（</w:t>
            </w:r>
            <w:r>
              <w:rPr>
                <w:rFonts w:eastAsia="方正楷体_GBK"/>
                <w:color w:val="000000"/>
                <w:szCs w:val="21"/>
                <w:lang w:bidi="ar"/>
              </w:rPr>
              <w:t xml:space="preserve">6</w:t>
            </w:r>
            <w:r>
              <w:rPr>
                <w:rStyle w:val="1077"/>
                <w:rFonts w:ascii="Times New Roman" w:hAnsi="Times New Roman" w:eastAsia="方正楷体_GBK" w:cs="Times New Roman"/>
                <w:b w:val="0"/>
                <w:sz w:val="21"/>
                <w:szCs w:val="21"/>
                <w:lang w:bidi="ar"/>
              </w:rPr>
              <w:t xml:space="preserve">）打开两层保护帽→（</w:t>
            </w:r>
            <w:r>
              <w:rPr>
                <w:rFonts w:eastAsia="方正楷体_GBK"/>
                <w:color w:val="000000"/>
                <w:szCs w:val="21"/>
                <w:lang w:bidi="ar"/>
              </w:rPr>
              <w:t xml:space="preserve">7</w:t>
            </w:r>
            <w:r>
              <w:rPr>
                <w:rStyle w:val="1077"/>
                <w:rFonts w:ascii="Times New Roman" w:hAnsi="Times New Roman" w:eastAsia="方正楷体_GBK" w:cs="Times New Roman"/>
                <w:b w:val="0"/>
                <w:sz w:val="21"/>
                <w:szCs w:val="21"/>
                <w:lang w:bidi="ar"/>
              </w:rPr>
              <w:t xml:space="preserve">）安装轴系。</w:t>
            </w:r>
            <w:r>
              <w:rPr>
                <w:rStyle w:val="1077"/>
                <w:rFonts w:ascii="Times New Roman" w:hAnsi="Times New Roman" w:eastAsia="方正楷体_GBK" w:cs="Times New Roman"/>
                <w:b w:val="0"/>
                <w:sz w:val="21"/>
                <w:szCs w:val="21"/>
                <w:lang w:bidi="ar"/>
              </w:rPr>
            </w:r>
            <w:r/>
          </w:p>
          <w:p>
            <w:pPr>
              <w:pStyle w:val="716"/>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 w:val="0"/>
                <w:sz w:val="21"/>
                <w:szCs w:val="21"/>
                <w:lang w:bidi="ar"/>
              </w:rPr>
              <w:t xml:space="preserve">（9）</w:t>
            </w:r>
            <w:r>
              <w:rPr>
                <w:rFonts w:eastAsia="方正楷体_GBK"/>
                <w:color w:val="000000"/>
                <w:szCs w:val="21"/>
              </w:rPr>
              <w:t xml:space="preserve">▲</w:t>
            </w:r>
            <w:r>
              <w:rPr>
                <w:rStyle w:val="1077"/>
                <w:rFonts w:ascii="Times New Roman" w:hAnsi="Times New Roman" w:eastAsia="方正楷体_GBK" w:cs="Times New Roman"/>
                <w:b w:val="0"/>
                <w:sz w:val="21"/>
                <w:szCs w:val="21"/>
                <w:lang w:bidi="ar"/>
              </w:rPr>
              <w:t xml:space="preserve">投标人具有海工建造流程实训软件知识产权。</w:t>
            </w:r>
            <w:r>
              <w:rPr>
                <w:rStyle w:val="1077"/>
                <w:rFonts w:ascii="Times New Roman" w:hAnsi="Times New Roman" w:eastAsia="方正楷体_GBK" w:cs="Times New Roman"/>
                <w:bCs/>
                <w:sz w:val="21"/>
                <w:szCs w:val="21"/>
                <w:lang w:bidi="ar"/>
              </w:rPr>
              <w:t xml:space="preserve">投标时需提供相关知识产权证书（提供软件著作权或产品登记证书），同时附上“中国版权保护中心”登记证书查询截图及网址。</w:t>
            </w:r>
            <w:r>
              <w:rPr>
                <w:rStyle w:val="1077"/>
                <w:rFonts w:ascii="Times New Roman" w:hAnsi="Times New Roman" w:eastAsia="方正楷体_GBK" w:cs="Times New Roman"/>
                <w:bCs/>
                <w:sz w:val="21"/>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1074"/>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10</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船舶建造交互实训系统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Style w:val="1077"/>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1077"/>
                <w:rFonts w:ascii="Times New Roman" w:hAnsi="Times New Roman" w:eastAsia="方正楷体_GBK" w:cs="Times New Roman"/>
                <w:b w:val="0"/>
                <w:sz w:val="21"/>
                <w:szCs w:val="21"/>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（1）系统总体功能</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1077"/>
                <w:rFonts w:ascii="Times New Roman" w:hAnsi="Times New Roman" w:eastAsia="方正楷体_GBK" w:cs="Times New Roman"/>
                <w:sz w:val="21"/>
                <w:szCs w:val="21"/>
                <w:lang w:bidi="ar"/>
              </w:rPr>
            </w:r>
            <w:r/>
          </w:p>
          <w:p>
            <w:pPr>
              <w:pStyle w:val="716"/>
              <w:ind w:firstLine="422"/>
              <w:rPr>
                <w:rStyle w:val="1077"/>
                <w:rFonts w:ascii="Times New Roman" w:hAnsi="Times New Roman" w:eastAsia="方正楷体_GBK" w:cs="Times New Roman"/>
                <w:b w:val="0"/>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lang w:bidi="ar"/>
              </w:rPr>
              <w:t xml:space="preserve">提供</w:t>
            </w:r>
            <w:r>
              <w:rPr>
                <w:rStyle w:val="1077"/>
                <w:rFonts w:ascii="Times New Roman" w:hAnsi="Times New Roman" w:eastAsia="方正楷体_GBK" w:cs="Times New Roman"/>
                <w:b w:val="0"/>
                <w:sz w:val="21"/>
                <w:szCs w:val="21"/>
                <w:lang w:bidi="ar"/>
              </w:rPr>
              <w:t xml:space="preserve">教学、实训、考试三种模式，各模式可自由切换。</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a.</w:t>
            </w:r>
            <w:r>
              <w:rPr>
                <w:rStyle w:val="1077"/>
                <w:rFonts w:ascii="Times New Roman" w:hAnsi="Times New Roman" w:eastAsia="方正楷体_GBK" w:cs="Times New Roman"/>
                <w:b w:val="0"/>
                <w:sz w:val="21"/>
                <w:szCs w:val="21"/>
                <w:lang w:bidi="ar"/>
              </w:rPr>
              <w:t xml:space="preserve">教学模式：每一步均提示需选择的内容及操作要求，用户按提示完成操作后，若操作正确则演示工艺过程动画；</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b.</w:t>
            </w:r>
            <w:r>
              <w:rPr>
                <w:rStyle w:val="1077"/>
                <w:rFonts w:ascii="Times New Roman" w:hAnsi="Times New Roman" w:eastAsia="方正楷体_GBK" w:cs="Times New Roman"/>
                <w:b w:val="0"/>
                <w:sz w:val="21"/>
                <w:szCs w:val="21"/>
                <w:lang w:bidi="ar"/>
              </w:rPr>
              <w:t xml:space="preserve">实训模式：不提供选择内容及操作提示，学生需依据课堂所学知识开展练习，若操作正确则演示工艺过程动画，若操作错误则弹出错误提示；</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c.</w:t>
            </w:r>
            <w:r>
              <w:rPr>
                <w:rStyle w:val="1077"/>
                <w:rFonts w:ascii="Times New Roman" w:hAnsi="Times New Roman" w:eastAsia="方正楷体_GBK" w:cs="Times New Roman"/>
                <w:b w:val="0"/>
                <w:sz w:val="21"/>
                <w:szCs w:val="21"/>
                <w:lang w:bidi="ar"/>
              </w:rPr>
              <w:t xml:space="preserve">考试模式：不提供选择内容及操作提示，学生依据图纸及所学知识完成操作，若操作正确则演示工艺过程，若操作错误则扣除相应分数，最终生成学生操作正确率报告。</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③</w:t>
            </w:r>
            <w:r>
              <w:rPr>
                <w:rStyle w:val="1077"/>
                <w:rFonts w:ascii="Times New Roman" w:hAnsi="Times New Roman" w:eastAsia="方正楷体_GBK" w:cs="Times New Roman"/>
                <w:b w:val="0"/>
                <w:sz w:val="21"/>
                <w:szCs w:val="21"/>
                <w:lang w:bidi="ar"/>
              </w:rPr>
              <w:t xml:space="preserve">支持工艺流程编辑界面，允许用户在实操开始前对工艺流程进行选择与编辑。</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④</w:t>
            </w:r>
            <w:r>
              <w:rPr>
                <w:rStyle w:val="1077"/>
                <w:rFonts w:ascii="Times New Roman" w:hAnsi="Times New Roman" w:eastAsia="方正楷体_GBK" w:cs="Times New Roman"/>
                <w:b w:val="0"/>
                <w:sz w:val="21"/>
                <w:szCs w:val="21"/>
                <w:lang w:bidi="ar"/>
              </w:rPr>
              <w:t xml:space="preserve">支持在教学、实操模式中，针对施工过程中的各知识点提供解析与知识拓展说明性提示，辅助用户自学。</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⑤</w:t>
            </w:r>
            <w:r>
              <w:rPr>
                <w:rStyle w:val="1077"/>
                <w:rFonts w:ascii="Times New Roman" w:hAnsi="Times New Roman" w:eastAsia="方正楷体_GBK" w:cs="Times New Roman"/>
                <w:b w:val="0"/>
                <w:sz w:val="21"/>
                <w:szCs w:val="21"/>
                <w:lang w:bidi="ar"/>
              </w:rPr>
              <w:t xml:space="preserve">支持在实操过程中提供模型三维预览功能，并配备模型高亮提示功能。</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⑥</w:t>
            </w:r>
            <w:r>
              <w:rPr>
                <w:rStyle w:val="1077"/>
                <w:rFonts w:ascii="Times New Roman" w:hAnsi="Times New Roman" w:eastAsia="方正楷体_GBK" w:cs="Times New Roman"/>
                <w:b w:val="0"/>
                <w:sz w:val="21"/>
                <w:szCs w:val="21"/>
                <w:lang w:bidi="ar"/>
              </w:rPr>
              <w:t xml:space="preserve">支持资料库功能，提供实操项目实施过程中涉及的工艺图纸、施工方案、各类记录及其他文件资料的查询与查阅。</w:t>
            </w:r>
            <w:r>
              <w:rPr>
                <w:rStyle w:val="1077"/>
                <w:rFonts w:ascii="Times New Roman" w:hAnsi="Times New Roman" w:eastAsia="方正楷体_GBK" w:cs="Times New Roman"/>
                <w:b w:val="0"/>
                <w:sz w:val="21"/>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Style w:val="1077"/>
                <w:rFonts w:ascii="Times New Roman" w:hAnsi="Times New Roman" w:eastAsia="方正楷体_GBK" w:cs="Times New Roman"/>
                <w:b w:val="0"/>
                <w:sz w:val="21"/>
                <w:szCs w:val="21"/>
                <w:lang w:bidi="ar"/>
              </w:rPr>
              <w:t xml:space="preserve">支持实操交互评分功能，系统自动记录成绩，用户可查看个人考试记录及历史成绩。</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⑧</w:t>
            </w:r>
            <w:r>
              <w:rPr>
                <w:rStyle w:val="1077"/>
                <w:rFonts w:ascii="Times New Roman" w:hAnsi="Times New Roman" w:eastAsia="方正楷体_GBK" w:cs="Times New Roman"/>
                <w:b w:val="0"/>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（2）小组立交互实操子模块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本模块支持船舶与海工建造过程中5种典型小组立结构的装配实训。</w:t>
            </w:r>
            <w:r>
              <w:rPr>
                <w:rStyle w:val="1077"/>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（3）中组立交互实操子模块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本模块支持船舶与海工建造过程中5种典型中组立结构的装配实训。</w:t>
            </w:r>
            <w:r>
              <w:rPr>
                <w:rStyle w:val="1077"/>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（4）典型船舶分段建造</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本模块支持双层底分段、底边舱分段、舱壁分段、甲板分段、舷侧分段等5种典型船舶分段的装配实训。</w:t>
            </w:r>
            <w:r>
              <w:rPr>
                <w:rStyle w:val="1077"/>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（5）典型船舶总段建造</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本模块支持艏部总段、舯部总段、艉部总段等3种典型船舶总段的装配实训。</w:t>
            </w:r>
            <w:r>
              <w:rPr>
                <w:rStyle w:val="1077"/>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（6）典型船舶建造搭载过程</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本模块支持塔式搭载、岛式搭载两种典型方式的船舶建造搭载实训。</w:t>
            </w:r>
            <w:r>
              <w:rPr>
                <w:rStyle w:val="1077"/>
                <w:rFonts w:ascii="Times New Roman" w:hAnsi="Times New Roman" w:eastAsia="方正楷体_GBK" w:cs="Times New Roman"/>
                <w:sz w:val="21"/>
                <w:szCs w:val="21"/>
                <w:lang w:bidi="ar"/>
              </w:rPr>
              <w:t xml:space="preserve">（提供功能演示）</w:t>
            </w:r>
            <w:r>
              <w:rPr>
                <w:rFonts w:eastAsia="方正楷体_GBK"/>
                <w:color w:val="000000"/>
                <w:szCs w:val="21"/>
                <w:lang w:bidi="ar"/>
              </w:rPr>
            </w:r>
            <w:r/>
          </w:p>
          <w:p>
            <w:pPr>
              <w:pStyle w:val="716"/>
              <w:rPr>
                <w:rFonts w:eastAsia="方正楷体_GBK"/>
                <w:b/>
                <w:bCs/>
                <w:color w:val="000000"/>
                <w:szCs w:val="21"/>
                <w:lang w:bidi="ar"/>
              </w:rPr>
            </w:pPr>
            <w:r>
              <w:rPr>
                <w:rFonts w:eastAsia="方正楷体_GBK"/>
                <w:b/>
                <w:bCs/>
                <w:color w:val="000000"/>
                <w:szCs w:val="21"/>
                <w:lang w:bidi="ar"/>
              </w:rPr>
              <w:t xml:space="preserve">（7）▲</w:t>
            </w:r>
            <w:r>
              <w:rPr>
                <w:rFonts w:eastAsia="方正楷体_GBK"/>
                <w:color w:val="000000"/>
                <w:szCs w:val="21"/>
                <w:lang w:bidi="ar"/>
              </w:rPr>
              <w:t xml:space="preserve">投标人具有船舶建造流程实训软件知识产权。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大型双燃料动力LNG船结构实训系统</w:t>
            </w:r>
            <w:r>
              <w:rPr>
                <w:rFonts w:eastAsia="方正楷体_GBK"/>
                <w:color w:val="000000"/>
                <w:szCs w:val="21"/>
                <w:lang w:bidi="ar"/>
              </w:rPr>
              <w:br w:type="textWrapping" w:clear="all"/>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lang w:bidi="ar"/>
              </w:rPr>
            </w:pPr>
            <w:r>
              <w:rPr>
                <w:rFonts w:eastAsia="方正楷体_GBK"/>
                <w:b/>
                <w:bCs/>
                <w:color w:val="000000"/>
                <w:szCs w:val="21"/>
                <w:lang w:bidi="ar"/>
              </w:rPr>
              <w:t xml:space="preserve">(1)系统总体功能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提供教学、实训、考试三种模式，自由切换，适配分层教学。</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a.教学模式：步骤操作提示+工艺动画+知识点解析，操作失误时给出对应引导提示。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b.实训模式：无操作提示，学生自主操作，错误弹出规范提示。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c.考试模式：无提示、自动判分、计时，生成操作正确率+失分知识点报告。</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内置资料库：含双燃料系统规范、低温焊接工艺、船级社标准。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自动交互评分：</w:t>
            </w:r>
            <w:r>
              <w:rPr>
                <w:rFonts w:eastAsia="方正楷体_GBK"/>
                <w:color w:val="000000"/>
                <w:szCs w:val="21"/>
                <w:lang w:bidi="ar"/>
              </w:rPr>
              <w:t xml:space="preserve">自动判分、操作时长、成绩查询、错题统计、成绩导出。</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(2)LNG船结构认知与总组实训子模块</w:t>
            </w:r>
            <w:r>
              <w:rPr>
                <w:rFonts w:eastAsia="方正楷体_GBK"/>
                <w:b/>
                <w:bCs/>
                <w:color w:val="000000"/>
                <w:szCs w:val="21"/>
                <w:lang w:bidi="ar"/>
              </w:rPr>
            </w:r>
            <w:r/>
          </w:p>
          <w:p>
            <w:pPr>
              <w:pStyle w:val="716"/>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rPr>
              <w:t xml:space="preserve">▲</w:t>
            </w:r>
            <w:r>
              <w:rPr>
                <w:rFonts w:eastAsia="方正楷体_GBK"/>
                <w:color w:val="000000"/>
                <w:szCs w:val="21"/>
                <w:lang w:bidi="ar"/>
              </w:rPr>
              <w:t xml:space="preserve">典型船体结构认知：140000m³级及以上大型双燃料动力LNG船，至少涵盖艏部区、艉部区、货舱区、双燃料机舱区、上层建筑等船体结构。船体轮廓、舱容布局、各分区结构特征应与140000m³级及以上双燃料动力LNG相符，否则视为技术符合性不满足。</w:t>
            </w:r>
            <w:r>
              <w:rPr>
                <w:rFonts w:eastAsia="方正楷体_GBK"/>
                <w:b/>
                <w:bCs/>
                <w:color w:val="000000"/>
                <w:szCs w:val="21"/>
                <w:lang w:bidi="ar"/>
              </w:rPr>
              <w:t xml:space="preserve">（提供功能</w:t>
            </w:r>
            <w:r>
              <w:rPr>
                <w:rFonts w:hint="eastAsia" w:eastAsia="方正楷体_GBK"/>
                <w:b/>
                <w:bCs/>
                <w:color w:val="000000"/>
                <w:szCs w:val="21"/>
                <w:lang w:bidi="ar"/>
              </w:rPr>
              <w:t xml:space="preserve">截图或相应结构图纸</w:t>
            </w:r>
            <w:r>
              <w:rPr>
                <w:rFonts w:eastAsia="方正楷体_GBK"/>
                <w:b/>
                <w:bCs/>
                <w:color w:val="000000"/>
                <w:szCs w:val="21"/>
                <w:lang w:bidi="ar"/>
              </w:rPr>
              <w:t xml:space="preserve">）</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典型分段建造实训：舷侧分段、舱壁分段、货舱围井分段、机舱分段，还原船厂胎架建造流程。</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总组工艺实训：货舱区总组、机舱总组、首尾总组，控制分段精度与焊接余量。</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(3)液货舱系统实训子模块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多型号系统认知功能：支持Mark3型、NO96型、CS1型三种主流液货舱系统认知，配套图文解析各型号系统的构造差异、适用场景与技术特点。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殷瓦钢焊接实训：殷瓦板拼接、自动焊/手工焊操作，低温焊接缺陷识别与修复。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液货舱密封测试实训：气压检漏、真空检漏、氦检漏操作与结果判定。</w:t>
            </w:r>
            <w:r>
              <w:rPr>
                <w:rFonts w:eastAsia="方正楷体_GBK"/>
                <w:color w:val="000000"/>
                <w:szCs w:val="21"/>
                <w:lang w:bidi="ar"/>
              </w:rPr>
            </w:r>
            <w:r/>
          </w:p>
          <w:p>
            <w:pPr>
              <w:pStyle w:val="716"/>
              <w:ind w:firstLine="422"/>
              <w:rPr>
                <w:rFonts w:eastAsia="方正楷体_GBK"/>
                <w:color w:val="000000"/>
                <w:szCs w:val="21"/>
                <w:lang w:bidi="ar"/>
              </w:rPr>
            </w:pPr>
            <w:r>
              <w:rPr>
                <w:rFonts w:eastAsia="方正楷体_GBK"/>
                <w:b/>
                <w:bCs/>
                <w:color w:val="000000"/>
                <w:szCs w:val="21"/>
                <w:lang w:bidi="ar"/>
              </w:rPr>
              <w:t xml:space="preserve">(4)燃料动力系统实训子模块</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双燃料动力系统认知功能：支持LNG船双燃料动力系统认知，配套图文解析双燃料动力系统技术特点。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系统调试实训：燃料切换、惰气保护、泄漏检测、安全联锁逻辑操作。</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(5)止移块与限位结构实训子模块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结构与功能认知：支持止移块认知，配套图文解析止移块核心功能。</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装配实训：底座定位→焊接→加强筋安装→精度检测，控制焊接变形。</w:t>
            </w:r>
            <w:r>
              <w:rPr>
                <w:rFonts w:eastAsia="方正楷体_GBK"/>
                <w:color w:val="000000"/>
                <w:szCs w:val="21"/>
                <w:lang w:bidi="ar"/>
              </w:rPr>
            </w:r>
            <w:r/>
          </w:p>
          <w:p>
            <w:pPr>
              <w:pStyle w:val="716"/>
              <w:ind w:firstLine="422"/>
              <w:rPr>
                <w:rFonts w:eastAsia="方正楷体_GBK"/>
                <w:color w:val="000000"/>
                <w:szCs w:val="21"/>
                <w:lang w:bidi="ar"/>
              </w:rPr>
            </w:pPr>
            <w:r>
              <w:rPr>
                <w:rFonts w:eastAsia="方正楷体_GBK"/>
                <w:b/>
                <w:bCs/>
                <w:color w:val="000000"/>
                <w:szCs w:val="21"/>
                <w:lang w:bidi="ar"/>
              </w:rPr>
              <w:t xml:space="preserve">(6)低温焊接与对接工艺实训子模块</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焊接工艺认知：低温钢焊接参数、焊材选型、坡口形式。</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实操实训：板对接焊、角焊、T型焊，焊接缺陷识别（气孔/裂纹/未焊透等）。</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(7)综合考核评估功能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结构识别考核：随机高亮部件，判断名称/功能/位置。</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实训操作考核：绝缘铺设、殷瓦焊接、管系安装、止移块装配。</w:t>
            </w:r>
            <w:r>
              <w:rPr>
                <w:rFonts w:eastAsia="方正楷体_GBK"/>
                <w:color w:val="000000"/>
                <w:szCs w:val="21"/>
              </w:rPr>
              <w:t xml:space="preserve">考核形式：单选/多选/判断+三维交互操作，自动生成成绩、错题统计</w:t>
            </w:r>
            <w:r>
              <w:rPr>
                <w:rFonts w:eastAsia="方正楷体_GBK"/>
                <w:color w:val="000000"/>
                <w:szCs w:val="21"/>
                <w:lang w:bidi="ar"/>
              </w:rPr>
              <w:t xml:space="preserve">。</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12</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海上风电安装船教学实训系统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lang w:bidi="ar"/>
              </w:rPr>
            </w:pPr>
            <w:r>
              <w:rPr>
                <w:rFonts w:eastAsia="方正楷体_GBK"/>
                <w:b/>
                <w:bCs/>
                <w:color w:val="000000"/>
                <w:szCs w:val="21"/>
                <w:lang w:bidi="ar"/>
              </w:rPr>
              <w:t xml:space="preserve">(1)</w:t>
            </w:r>
            <w:r>
              <w:rPr>
                <w:rFonts w:eastAsia="方正楷体_GBK"/>
                <w:b/>
                <w:bCs/>
                <w:color w:val="000000"/>
                <w:szCs w:val="21"/>
                <w:lang w:bidi="ar"/>
              </w:rPr>
              <w:tab/>
            </w:r>
            <w:r>
              <w:rPr>
                <w:rFonts w:eastAsia="方正楷体_GBK"/>
                <w:b/>
                <w:bCs/>
                <w:color w:val="000000"/>
                <w:szCs w:val="21"/>
                <w:lang w:bidi="ar"/>
              </w:rPr>
              <w:t xml:space="preserve">系统总体功能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　提供教学、实训、考试三种模式，自由切换，步骤提示/无提示/自动判分。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内置资料库：升降系统规范、吊装工艺、海上施工标准。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(2)风电安装船结构与分段建造实训子模块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典型船体结构认知：船体、桩腿、升降平台、吊装甲板。</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典型分段建造：船底分段、舷侧分段、甲板分段、桩腿分段，胎架制造→部件装配→焊接→精度检测。</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(3)自升式桩腿与升降系统实训子模块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系统认知：聚焦自升式桩腿与升降系统，针对桁架式桩腿/圆柱桩腿、齿条、升降齿轮箱等典型结构开展专项认知学习。</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装配实训：桩腿对接→齿条安装→齿轮箱定位→锁紧机构调试。</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升降操作实训：空载升降、负载升降、应急锁紧、偏载保护。</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(4)吊装系统实训子模块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系统认知：聚焦吊装系统，针对主吊机、回转机构、变幅机构、吊钩、索具、限位装置开展专项认知学习。</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吊装工艺实训：风机叶片吊装、机舱吊装、塔筒吊装，吊点选择、重心控制、海上稳性调整。</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安全实训：吊装限位、紧急制动、防碰撞、恶劣海况应急处置。</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(5)动力定位系统实训子模块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系统认知：聚焦动力定位系统，针对全回转舵桨、推力器、定位传感器、控制系统开展专项认知学习。</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调试实训：推力分配、定位精度设定、抗浪涌补偿。</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海上定位实训：浅海/深海定位、单点/多点定位操作。</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(6)综合考核评估功能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结构识别：随机高亮部件，判断名称/功能/位置。</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实训操作考核：升降系统、吊装系统、动力定位系统实训。</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考核形式：单选/多选/判断+三维交互操作，自动生成成绩、错题统计。</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13</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深海浮式风电平台教学实训系统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lang w:bidi="ar"/>
              </w:rPr>
            </w:pPr>
            <w:r>
              <w:rPr>
                <w:rFonts w:eastAsia="方正楷体_GBK"/>
                <w:b/>
                <w:bCs/>
                <w:color w:val="000000"/>
                <w:szCs w:val="21"/>
                <w:lang w:bidi="ar"/>
              </w:rPr>
              <w:t xml:space="preserve">（1）系统总体功能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提供教学、实训、考试三种模式，自由切换，步骤提示/自主操作/自动判分。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内置资料库：深海浮式风电平台相关规范。</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（2）浮式风电平台结构与浮体建造实训子模块</w:t>
            </w:r>
            <w:r>
              <w:rPr>
                <w:rFonts w:eastAsia="方正楷体_GBK"/>
                <w:b/>
                <w:bCs/>
                <w:color w:val="000000"/>
                <w:szCs w:val="21"/>
                <w:lang w:bidi="ar"/>
              </w:rPr>
            </w:r>
            <w:r/>
          </w:p>
          <w:p>
            <w:pPr>
              <w:pStyle w:val="716"/>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半潜式浮式风电平台结构认知：半潜式浮式风电平台（三立柱式或三角形布局），至少涵盖浮箱本体、压载水舱、连接与加强结构等，其中浮箱本体需至少涵盖外板、内底板、内部骨架、立柱、甲板、风力发电机组等三维结构。浮式风电平台需为主流半潜式（三立柱式或三角形布局），结构布局与本项目设定不符的，视为技术符合性不满足。</w:t>
            </w:r>
            <w:r>
              <w:rPr>
                <w:rFonts w:eastAsia="方正楷体_GBK"/>
                <w:b/>
                <w:bCs/>
                <w:color w:val="000000"/>
                <w:szCs w:val="21"/>
                <w:lang w:bidi="ar"/>
              </w:rPr>
              <w:t xml:space="preserve">（提供功能</w:t>
            </w:r>
            <w:r>
              <w:rPr>
                <w:rFonts w:hint="eastAsia" w:eastAsia="方正楷体_GBK"/>
                <w:b/>
                <w:bCs/>
                <w:color w:val="000000"/>
                <w:szCs w:val="21"/>
                <w:lang w:bidi="ar"/>
              </w:rPr>
              <w:t xml:space="preserve">截图或相应结构图纸</w:t>
            </w:r>
            <w:r>
              <w:rPr>
                <w:rFonts w:eastAsia="方正楷体_GBK"/>
                <w:b/>
                <w:bCs/>
                <w:color w:val="000000"/>
                <w:szCs w:val="21"/>
                <w:lang w:bidi="ar"/>
              </w:rPr>
              <w:t xml:space="preserve">）</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浮体分段建造：浮箱分段、立柱分段、横撑分段，焊接成型→密性试验→强度检测。</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总组实训：浮体合拢、立柱安装、横撑连接。</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（3）系泊系统实训子模块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系统认知功能：展示系泊系统的布局，涵盖系泊链、锚块等，配套图文解析系泊系统的技术特点。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运行原理展示：展示系泊系统受力平衡、定位等核心原理。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安装实训功能：分步展示系泊系统关键部件的安装流程与技术要求，锚块投放→系泊链铺设→张力调节→水下对接等。</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（4）风电机组实训子模块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系统认知：聚焦风电机组，针对塔筒、机舱、叶轮开展专项认知学习。</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（5）海上安装与定位实训子模块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拖航实训：浮体拖航姿态控制、系泊辅助定位。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海上对接：平台与风机机组对接、系泊系统最终锁定。</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密性与强度试验：浮体水压试验、系泊张力测试、稳性复核。</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综合考核评估功能</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结构识别考核：随机高亮部件，判断名称/功能/位置。</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rPr>
              <w:t xml:space="preserve">⑥</w:t>
            </w:r>
            <w:r>
              <w:rPr>
                <w:rFonts w:eastAsia="方正楷体_GBK"/>
                <w:color w:val="000000"/>
                <w:szCs w:val="21"/>
                <w:lang w:bidi="ar"/>
              </w:rPr>
              <w:t xml:space="preserve">实训操作考核：浮式风电平台结构与浮体建造实训、系泊系统实训、风电机组实训。考核形式：单选/多选/判断+三维交互操作，自动生成成绩、错题统计。</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14</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滚装船教学实训系统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(1)</w:t>
            </w:r>
            <w:r>
              <w:rPr>
                <w:rFonts w:eastAsia="方正楷体_GBK"/>
                <w:b/>
                <w:bCs/>
                <w:color w:val="000000"/>
                <w:szCs w:val="21"/>
              </w:rPr>
              <w:tab/>
            </w:r>
            <w:r>
              <w:rPr>
                <w:rFonts w:eastAsia="方正楷体_GBK"/>
                <w:b/>
                <w:bCs/>
                <w:color w:val="000000"/>
                <w:szCs w:val="21"/>
              </w:rPr>
              <w:t xml:space="preserve">系统总体功能</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支持用户注册登录、批量导入、密码修改。</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提供教学、实训、考试三种模式，自由切换，步骤提示/自主操作/自动判分。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支持典型船体结构3D模型交互，包括旋转、缩放、剖切、高亮、定位。</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内置资料库：滚装船相关规范。</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自动交互评分：自动判分、操作时长、成绩查询、错题统计、成绩导出。</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支持教学管理：设管理员、教师、学员三级权限，支持用户/班级/成绩管理。</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(2)</w:t>
            </w:r>
            <w:r>
              <w:rPr>
                <w:rFonts w:eastAsia="方正楷体_GBK"/>
                <w:b/>
                <w:bCs/>
                <w:color w:val="000000"/>
                <w:szCs w:val="21"/>
              </w:rPr>
              <w:tab/>
            </w:r>
            <w:r>
              <w:rPr>
                <w:rFonts w:eastAsia="方正楷体_GBK"/>
                <w:b/>
                <w:bCs/>
                <w:color w:val="000000"/>
                <w:szCs w:val="21"/>
              </w:rPr>
              <w:t xml:space="preserve">滚装船结构与分段建造实训子模块</w:t>
            </w:r>
            <w:r>
              <w:rPr>
                <w:rFonts w:eastAsia="方正楷体_GBK"/>
                <w:b/>
                <w:bCs/>
                <w:color w:val="000000"/>
                <w:szCs w:val="21"/>
              </w:rPr>
            </w:r>
            <w:r/>
          </w:p>
          <w:p>
            <w:pPr>
              <w:pStyle w:val="716"/>
              <w:ind w:firstLine="420"/>
              <w:rPr>
                <w:rFonts w:hint="eastAsia" w:eastAsia="方正楷体_GBK"/>
                <w:b/>
                <w:bCs/>
                <w:color w:val="000000"/>
                <w:szCs w:val="21"/>
                <w:lang w:bidi="ar"/>
              </w:rPr>
            </w:pPr>
            <w:r>
              <w:rPr>
                <w:rFonts w:ascii="Cambria Math" w:hAnsi="Cambria Math" w:eastAsia="方正楷体_GBK" w:cs="Cambria Math"/>
                <w:color w:val="000000"/>
                <w:szCs w:val="21"/>
              </w:rPr>
              <w:t xml:space="preserve">①</w:t>
            </w:r>
            <w:r>
              <w:rPr>
                <w:rFonts w:eastAsia="方正楷体_GBK"/>
                <w:color w:val="000000"/>
                <w:szCs w:val="21"/>
              </w:rPr>
              <w:t xml:space="preserve">▲典型船体结构认知：5000 CEU级及以上滚装船，至少涵盖主体承载结构（包括车辆甲板、主甲板、舱壁），内部通行通道，装卸功能结构（包括艏部跳板、艉部跳板、舷侧装卸门），上层建筑（上层建筑整体结构、驾驶舱）等船体结构。船体外形、车辆甲板布局、载车分区、滚装专用装卸结构均匹配5000 CEU级及以上滚装船，模型尺度、结构布局与本项目设定不符的，视为技术符合性不满足。</w:t>
            </w:r>
            <w:r>
              <w:rPr>
                <w:rFonts w:eastAsia="方正楷体_GBK"/>
                <w:b/>
                <w:bCs/>
                <w:color w:val="000000"/>
                <w:szCs w:val="21"/>
                <w:lang w:bidi="ar"/>
              </w:rPr>
              <w:t xml:space="preserve">（提供功能</w:t>
            </w:r>
            <w:r>
              <w:rPr>
                <w:rFonts w:hint="eastAsia" w:eastAsia="方正楷体_GBK"/>
                <w:b/>
                <w:bCs/>
                <w:color w:val="000000"/>
                <w:szCs w:val="21"/>
                <w:lang w:bidi="ar"/>
              </w:rPr>
              <w:t xml:space="preserve">截图或相应结构图纸</w:t>
            </w:r>
            <w:r>
              <w:rPr>
                <w:rFonts w:eastAsia="方正楷体_GBK"/>
                <w:b/>
                <w:bCs/>
                <w:color w:val="000000"/>
                <w:szCs w:val="21"/>
                <w:lang w:bidi="ar"/>
              </w:rPr>
              <w:t xml:space="preserve">）</w:t>
            </w:r>
            <w:r>
              <w:rPr>
                <w:rFonts w:hint="eastAsia" w:eastAsia="方正楷体_GBK"/>
                <w:b/>
                <w:bCs/>
                <w:color w:val="000000"/>
                <w:szCs w:val="21"/>
                <w:lang w:bidi="ar"/>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典型分段建造：车辆甲板分段、舷侧分段、舱壁分段、首尾分段，胎架装配→焊接→矫正→精度检测。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总组实训：全船分段合拢、通道对齐、甲板水平度控制。</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(3)车辆甲板装配实训子模块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甲板结构认知：轻型车辆甲板、重型车辆甲板、加强筋、支座结构。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精度实训：甲板水平度、通道直线度、间隙控制检测。</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(4)艉跳板/舷侧门系统实训子模块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结构认知：跳板本体。</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安装实训：跳板装配。</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(5)内通道实训子模块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通道装配：立柱安装→横梁装配→通道板铺设→精度调整。</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(6)滚装船总装与密性试验实训子模块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总装调试：甲板载荷测试、通道通行测试。</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密性试验：舷侧门、跳板、舱室水压/气密试验，缺陷修复。</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(7)</w:t>
            </w:r>
            <w:r>
              <w:rPr>
                <w:rFonts w:eastAsia="方正楷体_GBK"/>
                <w:b/>
                <w:bCs/>
                <w:color w:val="000000"/>
                <w:szCs w:val="21"/>
              </w:rPr>
              <w:tab/>
            </w:r>
            <w:r>
              <w:rPr>
                <w:rFonts w:eastAsia="方正楷体_GBK"/>
                <w:b/>
                <w:bCs/>
                <w:color w:val="000000"/>
                <w:szCs w:val="21"/>
              </w:rPr>
              <w:t xml:space="preserve">综合考核评估功能</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结构识别考核：随机高亮部件，判断名称/功能/位置。</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实训操作考核：滚装船结构与分段建造实训、车辆甲板装配实训、艉跳板/舷侧门系统实训、内通道实训、滚装船总装与密性试验实训。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考核形式：单选/多选/判断+三维交互操作，自动生成成绩、错题统计。</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15</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left"/>
              <w:rPr>
                <w:rFonts w:eastAsia="方正楷体_GBK"/>
                <w:color w:val="000000"/>
                <w:szCs w:val="21"/>
                <w:lang w:bidi="ar"/>
              </w:rPr>
            </w:pPr>
            <w:r>
              <w:rPr>
                <w:rFonts w:eastAsia="方正楷体_GBK"/>
                <w:color w:val="000000"/>
                <w:szCs w:val="21"/>
                <w:lang w:bidi="ar"/>
              </w:rPr>
              <w:t xml:space="preserve">船体放样仿真教学实训系统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(1)支持学生登录，涵盖职位、账号等进行登录管理；</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(2)支持知识学习及实践考核两大模块；</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(3)支持放样基本理论、理论型线放样、肋骨型线放样、构件展开、放样资料制作等基础概念认知。</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(4)提供相关视频资源，涵盖船体型线图、型线放样、构件展开、样板与号料、数学放样等教学视频资源；</w:t>
            </w:r>
            <w:r>
              <w:rPr>
                <w:rFonts w:eastAsia="方正楷体_GBK"/>
                <w:color w:val="000000"/>
                <w:szCs w:val="21"/>
              </w:rPr>
            </w:r>
            <w:r/>
          </w:p>
          <w:p>
            <w:pPr>
              <w:pStyle w:val="716"/>
              <w:ind w:firstLine="420"/>
              <w:rPr>
                <w:rFonts w:eastAsia="方正楷体_GBK"/>
                <w:b/>
                <w:bCs/>
                <w:color w:val="000000"/>
                <w:szCs w:val="21"/>
              </w:rPr>
            </w:pPr>
            <w:r>
              <w:rPr>
                <w:rFonts w:eastAsia="方正楷体_GBK"/>
                <w:color w:val="000000"/>
                <w:szCs w:val="21"/>
              </w:rPr>
              <w:t xml:space="preserve">(5)支持理论答题功能，具有单选、多选、判断等题型，可实现放样知识理论考核。</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(6)支持实践考核，具有实训、考核两种模式，考核模式不提供操作提示。</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(7)▲支持理想型线放样：支持依据三向投影原理，通过三组相互垂直的平行剖面（横剖面、纵剖面、水线面）与船体表面相交，生成三组型线（横剖线、纵剖线、水线），并绘制形成三类投影图（横剖线图、纵剖线图、半宽水线图）予以表示。</w:t>
            </w:r>
            <w:r>
              <w:rPr>
                <w:rFonts w:eastAsia="方正楷体_GBK"/>
                <w:b/>
                <w:bCs/>
                <w:color w:val="000000"/>
                <w:szCs w:val="21"/>
              </w:rPr>
              <w:t xml:space="preserve">（提供功能演示）</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(8)支持横剖线按步骤绘制，支持学生通过读取型值表，进行水平基线、左右边线、底部弯曲半径等关键数据的输入与图线绘制，最终完成横剖线的绘制。</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(9)支持纵剖线按步骤绘制，支持学生通过读取型值表，进行水平基线、垂线、船尾轮廓线等关键数据的输入与图线绘制，最终完成纵剖线的绘制。</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(10)支持半宽水线绘制，支持学生通过读取型值表，对不同部位的水线进行绘制。</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(11)支持肋骨型线放样：支持在理论型线放样完成的基础上，对光顺处理后的船体表面截取肋骨剖面，获取各肋骨型线的工艺过程。</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(12) ▲支持扭曲状纵向构件展开：支持依据纵桁图和实线图，获取各构件实长线并绘制展开图；支持准线实长线线段、展开图间距线段、半径线段等关键步骤的操作，实现根据展开图坐标信息标注交点，完成展开图绘制。</w:t>
            </w:r>
            <w:r>
              <w:rPr>
                <w:rFonts w:eastAsia="方正楷体_GBK"/>
                <w:b/>
                <w:bCs/>
                <w:color w:val="000000"/>
                <w:szCs w:val="21"/>
              </w:rPr>
              <w:t xml:space="preserve">（提供功能演示）</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(13) ▲支持典型外板展开法：支持十字线展开法、测地线展开法、三角线展开法、定线展开法，涵盖船首、舷墙等特殊结构；可针对不同外板采用对应的展开方法。</w:t>
            </w:r>
            <w:r>
              <w:rPr>
                <w:rFonts w:eastAsia="方正楷体_GBK"/>
                <w:b/>
                <w:bCs/>
                <w:color w:val="000000"/>
                <w:szCs w:val="21"/>
              </w:rPr>
              <w:t xml:space="preserve">（提供功能演示）</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(14) ▲支持样箱制作：支持依据肋骨型线图，在虚拟环境中完成样箱制作，可实现侧面线、基面框、剖面样板等关键步骤的操作实训。</w:t>
            </w:r>
            <w:r>
              <w:rPr>
                <w:rFonts w:eastAsia="方正楷体_GBK"/>
                <w:b/>
                <w:bCs/>
                <w:color w:val="000000"/>
                <w:szCs w:val="21"/>
              </w:rPr>
              <w:t xml:space="preserve">（提供功能演示）</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(15) ▲支持外板加工成形：支持对外板加工全流程进行虚拟操作，还原外板加工各环节细节，帮助用户明晰各细节、关键节点的信息获取方式及操作方法，完成外板加工操作。</w:t>
            </w:r>
            <w:r>
              <w:rPr>
                <w:rFonts w:eastAsia="方正楷体_GBK"/>
                <w:b/>
                <w:bCs/>
                <w:color w:val="000000"/>
                <w:szCs w:val="21"/>
              </w:rPr>
              <w:t xml:space="preserve">（提供功能演示）</w:t>
            </w:r>
            <w:r>
              <w:rPr>
                <w:rFonts w:eastAsia="方正楷体_GBK"/>
                <w:color w:val="000000"/>
                <w:szCs w:val="21"/>
              </w:rPr>
            </w:r>
            <w:r/>
          </w:p>
          <w:p>
            <w:pPr>
              <w:pStyle w:val="716"/>
              <w:ind w:firstLine="420"/>
              <w:rPr>
                <w:rFonts w:eastAsia="方正楷体_GBK"/>
                <w:color w:val="000000"/>
                <w:szCs w:val="21"/>
                <w:lang w:bidi="ar"/>
              </w:rPr>
            </w:pPr>
            <w:r>
              <w:rPr>
                <w:rFonts w:eastAsia="方正楷体_GBK"/>
                <w:color w:val="000000"/>
                <w:szCs w:val="21"/>
                <w:lang w:bidi="ar"/>
              </w:rPr>
              <w:t xml:space="preserve">(16)</w:t>
            </w:r>
            <w:r>
              <w:rPr>
                <w:rFonts w:eastAsia="方正楷体_GBK"/>
                <w:color w:val="000000"/>
                <w:szCs w:val="21"/>
              </w:rPr>
              <w:t xml:space="preserve">▲投标人具有船体放样仿真实训软件知识产权。</w:t>
            </w:r>
            <w:r>
              <w:rPr>
                <w:rFonts w:eastAsia="方正楷体_GBK"/>
                <w:b/>
                <w:bCs/>
                <w:color w:val="000000"/>
                <w:szCs w:val="21"/>
              </w:rPr>
              <w:t xml:space="preserve">投标时需提供相关知识产权证书（软件著作权或产品登记证书）扫描件，同时附上“中国版权保护中心”登记证书查询截图及网址。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16</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船舶/海工结构研学沙盘</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b/>
                <w:bCs/>
                <w:color w:val="000000"/>
                <w:szCs w:val="21"/>
              </w:rPr>
            </w:pPr>
            <w:r>
              <w:rPr>
                <w:rFonts w:eastAsia="方正楷体_GBK"/>
                <w:b/>
                <w:bCs/>
                <w:color w:val="000000"/>
                <w:szCs w:val="21"/>
              </w:rPr>
              <w:t xml:space="preserve">（1）沙盘尺寸要求</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▲沙盘投影尺寸（长×宽×高）：≥4.5m×2.4m×1.0m，体积10.8-12m</w:t>
            </w:r>
            <w:r>
              <w:rPr>
                <w:rFonts w:eastAsia="方正楷体_GBK"/>
                <w:color w:val="000000"/>
                <w:szCs w:val="21"/>
                <w:vertAlign w:val="superscript"/>
              </w:rPr>
              <w:t xml:space="preserve">3</w:t>
            </w:r>
            <w:r>
              <w:rPr>
                <w:rFonts w:eastAsia="方正楷体_GBK"/>
                <w:color w:val="000000"/>
                <w:szCs w:val="21"/>
              </w:rPr>
              <w:t xml:space="preserve">，适配6个≥1m船模布局，满足多人同时观察实训需求</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模型布置间距：相邻模型边缘间距≥0.5m，避免结构观察遮挡。</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（2）模型数量及尺寸要求</w:t>
            </w:r>
            <w:r>
              <w:rPr>
                <w:rFonts w:eastAsia="方正楷体_GBK"/>
                <w:b/>
                <w:bCs/>
                <w:color w:val="000000"/>
                <w:szCs w:val="21"/>
              </w:rPr>
            </w:r>
            <w:r/>
          </w:p>
          <w:p>
            <w:pPr>
              <w:pStyle w:val="824"/>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▲数量：≥6件，至少包括大型双燃料动力LNG船、自升式海上风电安装船、</w:t>
            </w:r>
            <w:r>
              <w:rPr>
                <w:rFonts w:eastAsia="方正楷体_GBK"/>
                <w:color w:val="000000"/>
                <w:sz w:val="21"/>
                <w:szCs w:val="21"/>
                <w:lang w:bidi="ar"/>
              </w:rPr>
              <w:t xml:space="preserve">深海浮式风电平台</w:t>
            </w:r>
            <w:r>
              <w:rPr>
                <w:rFonts w:eastAsia="方正楷体_GBK"/>
                <w:color w:val="000000"/>
                <w:sz w:val="21"/>
                <w:szCs w:val="21"/>
              </w:rPr>
              <w:t xml:space="preserve">、国产大型豪华邮轮、南通地区相关典型船型、典型军船</w:t>
            </w:r>
            <w:r>
              <w:rPr>
                <w:rFonts w:hint="eastAsia" w:eastAsia="方正楷体_GBK"/>
                <w:color w:val="000000"/>
                <w:sz w:val="21"/>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尺寸：按照实际产品进行缩比制作，单个模型最长边尺寸≥0.8m，保证模型关键结构比例精准，吃水线位置与真实船型一致，便于尺寸对比实训。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模型专业度要求：需以还原船舶真实结构为目标，对相关关键结构进行展示及教学。</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（3）制作材料工艺要求：</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沙盘支架：面层呈现金属烤漆质感，支架坚固且防滑，能够保证沙盘整体的稳定性，表面光洁、焊缝美观、结构平稳。</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船舶海工模型材质：采用ABS模型专用胶板及有机板制作，外表面打磨喷漆上色（环保油漆），装饰细节采用PVC有机板材。模型长期挺拔、不变形。模型外部涂装采用船舶/海工专用水性漆，颜色与真实船舶/海工一致。单个模型及其关键结构部位贴有标识牌。</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海平面环境：采用淡蓝色高透明亚克力板，透明度≥90%，覆盖沙盘台面全域，边缘与支架密封处理。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海底环境：海平面下方设置海底仿真层，采用防水树脂材料浇筑，贴合实际作业场景。</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（4）在线教学二维码：</w:t>
            </w:r>
            <w:r>
              <w:rPr>
                <w:rFonts w:eastAsia="方正楷体_GBK"/>
                <w:color w:val="000000"/>
                <w:szCs w:val="21"/>
              </w:rPr>
              <w:t xml:space="preserve">为每个船模制作独立教学二维码，可在线跳转至相关教学页面，包含教学视频与图文资料，教学内容涵盖对应船型图文详解、技术参数表等教学内容。</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（5）灯光与驱动系统</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光源类型：采用RGB-LED贴片灯珠，无频闪</w:t>
            </w:r>
            <w:r>
              <w:rPr>
                <w:rFonts w:hint="eastAsia" w:eastAsia="方正楷体_GBK"/>
                <w:color w:val="000000"/>
                <w:szCs w:val="21"/>
              </w:rPr>
              <w:t xml:space="preserve">。</w:t>
            </w:r>
            <w:r>
              <w:rPr>
                <w:rFonts w:hint="eastAsia" w:eastAsia="方正楷体_GBK"/>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布局方式：每个模型周围布置独立轮廓灯</w:t>
            </w:r>
            <w:r>
              <w:rPr>
                <w:rFonts w:hint="eastAsia" w:eastAsia="方正楷体_GBK"/>
                <w:color w:val="000000"/>
                <w:szCs w:val="21"/>
              </w:rPr>
              <w:t xml:space="preserve">。</w:t>
            </w:r>
            <w:r>
              <w:rPr>
                <w:rFonts w:hint="eastAsia"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控制功能：支持分区独立控制，即6个模型对应6个控制分区，可根据操作选择点亮不同区域。</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（6）沙盘集控系统</w:t>
            </w:r>
            <w:r>
              <w:rPr>
                <w:rFonts w:eastAsia="方正楷体_GBK"/>
                <w:b/>
                <w:bCs/>
                <w:color w:val="000000"/>
                <w:szCs w:val="21"/>
              </w:rPr>
            </w:r>
            <w:r/>
          </w:p>
          <w:p>
            <w:pPr>
              <w:pStyle w:val="824"/>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数量：2套，分别布置于沙盘两端</w:t>
            </w:r>
            <w:r>
              <w:rPr>
                <w:rFonts w:hint="eastAsia" w:eastAsia="方正楷体_GBK"/>
                <w:color w:val="000000"/>
                <w:sz w:val="21"/>
                <w:szCs w:val="21"/>
              </w:rPr>
              <w:t xml:space="preserve">。</w:t>
            </w:r>
            <w:r>
              <w:rPr>
                <w:rFonts w:hint="eastAsia" w:eastAsia="方正楷体_GBK"/>
                <w:color w:val="000000"/>
                <w:sz w:val="21"/>
                <w:szCs w:val="21"/>
              </w:rPr>
            </w:r>
            <w:r/>
          </w:p>
          <w:p>
            <w:pPr>
              <w:pStyle w:val="824"/>
              <w:rPr>
                <w:rFonts w:hint="eastAsia"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硬件配置：≥10.8英寸触摸显示屏，分辨率≥4K，支持多点触控，运行内存≥8GB，存储容量≥64GB</w:t>
            </w:r>
            <w:r>
              <w:rPr>
                <w:rFonts w:hint="eastAsia" w:eastAsia="方正楷体_GBK"/>
                <w:color w:val="000000"/>
                <w:sz w:val="21"/>
                <w:szCs w:val="21"/>
              </w:rPr>
              <w:t xml:space="preserve">。</w:t>
            </w:r>
            <w:r>
              <w:rPr>
                <w:rFonts w:hint="eastAsia"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沙盘集控系统可对沙盘内的灯光、数字化资源等进行集中控制，每个智能功能对应单独控制键。</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（7）数字化资源：</w:t>
            </w:r>
            <w:r>
              <w:rPr>
                <w:rFonts w:eastAsia="方正楷体_GBK"/>
                <w:color w:val="000000"/>
                <w:szCs w:val="21"/>
              </w:rPr>
              <w:t xml:space="preserve">6个船/海工船型的介绍、结构拆解等资源。</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（8）教学展示终端</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数量：2台</w:t>
            </w:r>
            <w:r>
              <w:rPr>
                <w:rFonts w:hint="eastAsia" w:eastAsia="方正楷体_GBK"/>
                <w:color w:val="000000"/>
                <w:szCs w:val="21"/>
              </w:rPr>
              <w:t xml:space="preserve">。</w:t>
            </w:r>
            <w:r>
              <w:rPr>
                <w:rFonts w:hint="eastAsia" w:eastAsia="方正楷体_GBK"/>
                <w:color w:val="000000"/>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③</w:t>
            </w:r>
            <w:r>
              <w:rPr>
                <w:rFonts w:eastAsia="方正楷体_GBK"/>
                <w:color w:val="000000"/>
                <w:sz w:val="21"/>
                <w:szCs w:val="21"/>
              </w:rPr>
              <w:t xml:space="preserve">屏幕参数：65寸4K高清分辨率屏幕。</w:t>
            </w:r>
            <w:r>
              <w:rPr>
                <w:rFonts w:eastAsia="方正楷体_GBK"/>
                <w:color w:val="000000"/>
                <w:sz w:val="21"/>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④</w:t>
            </w:r>
            <w:r>
              <w:rPr>
                <w:rFonts w:eastAsia="方正楷体_GBK"/>
                <w:color w:val="000000"/>
                <w:sz w:val="21"/>
                <w:szCs w:val="21"/>
              </w:rPr>
              <w:t xml:space="preserve">储存空间：≥6G+64G。</w:t>
            </w:r>
            <w:r>
              <w:rPr>
                <w:rFonts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辅材：电源线、遥控器、支架等。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其他要求：展示终端适配教学课件、视频播放等任务；无其他多余配件或线缆裸露，保持教室环境整洁。</w:t>
            </w:r>
            <w:r>
              <w:rPr>
                <w:rFonts w:eastAsia="方正楷体_GBK"/>
                <w:color w:val="000000"/>
                <w:szCs w:val="21"/>
              </w:rPr>
            </w:r>
            <w:r/>
          </w:p>
          <w:p>
            <w:pPr>
              <w:pStyle w:val="716"/>
              <w:rPr>
                <w:rFonts w:hint="eastAsia" w:eastAsia="方正楷体_GBK"/>
                <w:color w:val="000000"/>
                <w:szCs w:val="21"/>
                <w:lang w:bidi="ar"/>
              </w:rPr>
            </w:pPr>
            <w:r>
              <w:rPr>
                <w:rFonts w:hint="eastAsia" w:eastAsia="方正楷体_GBK"/>
                <w:color w:val="000000"/>
                <w:szCs w:val="21"/>
              </w:rPr>
              <w:t xml:space="preserve">（9）</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17</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船舶/海工结构节点模型及展台</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b/>
                <w:bCs/>
                <w:color w:val="000000"/>
                <w:szCs w:val="21"/>
              </w:rPr>
            </w:pPr>
            <w:r>
              <w:rPr>
                <w:rFonts w:eastAsia="方正楷体_GBK"/>
                <w:b/>
                <w:bCs/>
                <w:color w:val="000000"/>
                <w:szCs w:val="21"/>
              </w:rPr>
              <w:t xml:space="preserve">（1）展台基础参数</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展台尺寸（长×宽×高）：≥6.0m×0.8m×1.0m</w:t>
            </w:r>
            <w:r>
              <w:rPr>
                <w:rFonts w:hint="eastAsia" w:eastAsia="方正楷体_GBK"/>
                <w:color w:val="000000"/>
                <w:szCs w:val="21"/>
              </w:rPr>
              <w:t xml:space="preserve">。</w:t>
            </w:r>
            <w:r>
              <w:rPr>
                <w:rFonts w:hint="eastAsia"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外观工艺：主体框架喷涂哑光烤漆，整体风格简洁专业，适配教学场景。</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（2）结构节点模型基础参数</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模型尺寸：按照实际产品进行缩比制作，单个模型最长边尺寸≥0.3m，保证结构细节比例精准，便于观察节点构造与连接关系；</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模型材质：采用ABS模型专用胶板及有机板制作，外表面打磨喷漆上色（环保油漆），装饰细节采用PVC有机板材。模型长期挺拔、不变形。</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涂装要求：采用船舶专用水性环保漆，结构主体为银灰色，关键连接部位（如焊缝、螺栓组等）采用红色标注；</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（3）各结构节点模型核心参数</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船舶/海工结构节点模型与船舶与海工虚拟装配教学系统的模型案例形成“虚拟仿真+实物实操”双轨教学模式，实物模型与软件部分模型对应。通过虚实场景的联动互补，既实现装配工艺的数字化教学，又提供实体化实训体验，形成“虚拟预习－实物实操-虚拟复盘”的闭环训练。</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船底结构≥2件：至少包括单层底结构、双层底结构；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舷侧结构≥2件：至少包括横骨架式舷侧结构、纵骨架式舷侧结构；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甲板结构≥2件：至少包括横骨架式甲板架构、纵骨架式甲板结构、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舱壁结构≥2件：至少包括平面舱壁、槽形舱壁</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艏艉端结构≥2件：至少包括船首结构及加强、船尾结构及加强；</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上建结构≥2件：至少包括船楼结构及端部加强、甲板室结构；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海洋平台特有结构≥3件：至少包括桩腿、立柱、浮箱。</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（4）标识与数字化教学配套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节点标识牌：每个模型配备亚克力标识牌，标注节点名称。</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在线教学二维码：为每个船模制作独立教学二维码，可在线跳转至相关教学页面，包含教学视频与图文资料，教学内容涵盖对应结构节点图文详解、技术参数表等教学内容。</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教学展板：展示结构节点模型实际对应的船舶/海工结构形式、适用船型/平台，梳理船舶/海工结构节点分类逻辑等。</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（5）实训内容：</w:t>
            </w:r>
            <w:r>
              <w:rPr>
                <w:rFonts w:eastAsia="方正楷体_GBK"/>
                <w:color w:val="000000"/>
                <w:szCs w:val="21"/>
              </w:rPr>
              <w:t xml:space="preserve">支持1</w:t>
            </w:r>
            <w:r>
              <w:rPr>
                <w:rFonts w:hint="eastAsia" w:eastAsia="方正楷体_GBK"/>
                <w:color w:val="000000"/>
                <w:szCs w:val="21"/>
              </w:rPr>
              <w:t xml:space="preserve">-</w:t>
            </w:r>
            <w:r>
              <w:rPr>
                <w:rFonts w:eastAsia="方正楷体_GBK"/>
                <w:color w:val="000000"/>
                <w:szCs w:val="21"/>
              </w:rPr>
              <w:t xml:space="preserve">3人一组实训。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实训项目1：结构类型识别实训，通过观察模型构造与标识，区分横/纵骨架式结构、不同舱壁/船底等结构类型；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实训项目2：结构构造与功能关联实训，结合展板、二维码教学资源，理解节点结构设计与载荷承受、防腐蚀、抗沉性等功能的关联；</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实训项目3：船舶及海工平台结构适配实训，对比不同结构节点在船舶与海工平台中的应用差异。</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（6）经纬仪1台</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角度最小读数：≤1″；</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测角精度：2″或更优；</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望远镜物镜孔径：≥45mm；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望远镜放大倍率：≥30×；</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望远镜视场角：≥1°30′；</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望远镜最短视距：≤1.0m；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显示屏：支持双面；</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激光管类型：支持半导体激光；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激光波长：635nm；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有效射程（白天）：≥150m（白天目镜可视）；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光斑大小：5mm/100m；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激光束聚集时光斑中心与望远镜视准轴偏差：≤5″；</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补偿器补偿范围：±3′或更优；</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电源：电池6V镍-氢电池；</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数据接口：RS-232C；</w:t>
            </w:r>
            <w:r>
              <w:rPr>
                <w:rFonts w:eastAsia="方正楷体_GBK"/>
                <w:color w:val="000000"/>
                <w:szCs w:val="21"/>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⑯</w:t>
            </w:r>
            <w:r>
              <w:rPr>
                <w:rFonts w:eastAsia="方正楷体_GBK"/>
                <w:color w:val="000000"/>
                <w:szCs w:val="21"/>
              </w:rPr>
              <w:t xml:space="preserve">工作温度：至少满足-20℃～+50℃；</w:t>
            </w:r>
            <w:r>
              <w:rPr>
                <w:rFonts w:eastAsia="方正楷体_GBK"/>
                <w:color w:val="000000"/>
                <w:szCs w:val="21"/>
                <w:lang w:bidi="ar"/>
              </w:rPr>
            </w:r>
            <w:r/>
          </w:p>
          <w:p>
            <w:pPr>
              <w:pStyle w:val="716"/>
              <w:ind w:firstLine="420"/>
              <w:rPr>
                <w:rFonts w:eastAsia="方正楷体_GBK"/>
                <w:color w:val="000000"/>
                <w:szCs w:val="21"/>
              </w:rPr>
            </w:pPr>
            <w:r>
              <w:rPr>
                <w:rFonts w:ascii="Cambria Math" w:hAnsi="Cambria Math" w:eastAsia="方正楷体_GBK" w:cs="Cambria Math"/>
                <w:color w:val="000000"/>
                <w:szCs w:val="21"/>
                <w:lang w:bidi="ar"/>
              </w:rPr>
              <w:t xml:space="preserve">⑰</w:t>
            </w:r>
            <w:r>
              <w:rPr>
                <w:rFonts w:eastAsia="方正楷体_GBK"/>
                <w:color w:val="000000"/>
                <w:szCs w:val="21"/>
              </w:rPr>
              <w:t xml:space="preserve">附件：至少包括两块电池，一套充电器，一个仪器箱，一份说明书，一个大木脚架。</w:t>
            </w:r>
            <w:r>
              <w:rPr>
                <w:rFonts w:eastAsia="方正楷体_GBK"/>
                <w:color w:val="000000"/>
                <w:szCs w:val="21"/>
              </w:rPr>
            </w:r>
            <w:r/>
          </w:p>
          <w:p>
            <w:pPr>
              <w:pStyle w:val="716"/>
              <w:rPr>
                <w:rFonts w:hint="eastAsia"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18</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船舶/海工结构AR实训系统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0"/>
              <w:rPr>
                <w:rFonts w:eastAsia="方正楷体_GBK"/>
                <w:color w:val="000000"/>
                <w:szCs w:val="21"/>
                <w:lang w:bidi="ar"/>
              </w:rPr>
            </w:pPr>
            <w:r>
              <w:rPr>
                <w:rFonts w:eastAsia="方正楷体_GBK"/>
                <w:color w:val="000000"/>
                <w:szCs w:val="21"/>
                <w:lang w:bidi="ar"/>
              </w:rPr>
              <w:t xml:space="preserve">(1)支持通过手机终端扫描船舶/海工结构研学沙盘中的6类模型、船舶/海工结构节点模型，进入AR实训系统。</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(2)系统支持多种交互操作方式，可通过单手指拖拽、双手指捏合放缩的方式，实现对模型的自由缩放、旋转等多方位观测。</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(3)系统内置交互操作热点及功能按钮，针对船舶与海工设计、建造（装配）、调试、检验、运维等相关环节，通过视频、图文等形式开展多媒体教学讲解。</w:t>
            </w:r>
            <w:r>
              <w:rPr>
                <w:rFonts w:eastAsia="方正楷体_GBK"/>
                <w:color w:val="000000"/>
                <w:szCs w:val="21"/>
                <w:lang w:bidi="ar"/>
              </w:rPr>
            </w:r>
            <w:r/>
          </w:p>
          <w:p>
            <w:pPr>
              <w:pStyle w:val="716"/>
              <w:ind w:firstLine="420"/>
              <w:rPr>
                <w:rFonts w:hint="eastAsia" w:eastAsia="方正楷体_GBK"/>
                <w:color w:val="000000"/>
                <w:szCs w:val="21"/>
                <w:lang w:bidi="ar"/>
              </w:rPr>
            </w:pPr>
            <w:r>
              <w:rPr>
                <w:rFonts w:hint="eastAsia" w:eastAsia="方正楷体_GBK"/>
                <w:color w:val="000000"/>
                <w:szCs w:val="21"/>
              </w:rPr>
              <w:t xml:space="preserve">(4)</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b/>
                <w:bCs/>
                <w:color w:val="000000"/>
                <w:szCs w:val="21"/>
              </w:rPr>
              <w:t xml:space="preserve">（出具投标单位盖章承诺函）</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19</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分段协同装配VR实训系统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color w:val="000000"/>
                <w:szCs w:val="21"/>
              </w:rPr>
            </w:pPr>
            <w:r>
              <w:rPr>
                <w:rFonts w:eastAsia="方正楷体_GBK"/>
                <w:b/>
                <w:bCs/>
                <w:color w:val="000000"/>
                <w:szCs w:val="21"/>
              </w:rPr>
              <w:t xml:space="preserve">(1)配置：2</w:t>
            </w:r>
            <w:r>
              <w:rPr>
                <w:rFonts w:eastAsia="方正楷体_GBK"/>
                <w:color w:val="000000"/>
                <w:szCs w:val="21"/>
              </w:rPr>
              <w:t xml:space="preserve">套，含分段协同装配VR实训系统及配套VR头盔套装，支持多个人员在虚拟环境中进行船体/海工装配。</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(2)工种及工装实操训练：</w:t>
            </w:r>
            <w:r>
              <w:rPr>
                <w:rFonts w:eastAsia="方正楷体_GBK"/>
                <w:b/>
                <w:bCs/>
                <w:color w:val="000000"/>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支持装配工：核心操作工具包含气割割炬、CO2焊机（带焊枪）、钢直尺（钢卷尺）、锤子、粉线、线锤、洋冲、拉撑、油泵等；作业流程涵盖用钢直尺（钢卷尺）量取尺寸、粉线划线、锤子配合洋冲敲击标记、气割割炬切割钢板零件、CO2焊机（带焊枪）装配定位、线锤检测垂直度、拉撑与油泵配合装配，以及使用拉撑装焊固定组立件。</w:t>
            </w:r>
            <w:r>
              <w:rPr>
                <w:rFonts w:eastAsia="方正楷体_GBK"/>
                <w:b/>
                <w:bCs/>
                <w:color w:val="000000"/>
                <w:sz w:val="21"/>
                <w:szCs w:val="21"/>
              </w:rPr>
              <w:t xml:space="preserve">（提供功能演示）</w:t>
            </w:r>
            <w:r>
              <w:rPr>
                <w:rFonts w:eastAsia="方正楷体_GBK"/>
                <w:color w:val="000000"/>
                <w:sz w:val="21"/>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▲支持电焊工，核心操作工具包含CO2焊机（带焊枪）、埋弧自动焊焊机等；作业流程涵盖用埋弧自动焊焊机焊接拼板、自动角焊机焊接平角焊、CO2焊机（带焊枪）焊接其他焊缝，以及焊角测量尺测量焊角尺寸。</w:t>
            </w:r>
            <w:r>
              <w:rPr>
                <w:rFonts w:eastAsia="方正楷体_GBK"/>
                <w:b/>
                <w:bCs/>
                <w:color w:val="000000"/>
                <w:sz w:val="21"/>
                <w:szCs w:val="21"/>
              </w:rPr>
              <w:t xml:space="preserve">（提供功能演示）</w:t>
            </w:r>
            <w:r>
              <w:rPr>
                <w:rFonts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支持起重工：完成行车移动操控，该工种为复合工种，由装配工通过行车遥控器执行操控操作。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支持切割工：核心操作工具包含火焰割炬。</w:t>
            </w:r>
            <w:r>
              <w:rPr>
                <w:rFonts w:eastAsia="方正楷体_GBK"/>
                <w:color w:val="000000"/>
                <w:szCs w:val="21"/>
              </w:rPr>
            </w:r>
            <w:r/>
          </w:p>
          <w:p>
            <w:pPr>
              <w:pStyle w:val="716"/>
              <w:ind w:firstLine="422"/>
              <w:rPr>
                <w:rFonts w:eastAsia="方正楷体_GBK"/>
                <w:color w:val="000000"/>
                <w:szCs w:val="21"/>
              </w:rPr>
            </w:pPr>
            <w:r>
              <w:rPr>
                <w:rFonts w:eastAsia="方正楷体_GBK"/>
                <w:b/>
                <w:bCs/>
                <w:color w:val="000000"/>
                <w:szCs w:val="21"/>
              </w:rPr>
              <w:t xml:space="preserve">(3)系统功能内容：</w:t>
            </w:r>
            <w:r>
              <w:rPr>
                <w:rFonts w:eastAsia="方正楷体_GBK"/>
                <w:color w:val="000000"/>
                <w:szCs w:val="21"/>
              </w:rPr>
              <w:t xml:space="preserve">以某典型船体分段为对象，支持多名学生在VR环境下协同完成虚拟装配、虚拟拆卸实训任务。具体功能要求如下：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构建虚拟厂区车间实训环境；</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具备系统登录管理功能，支持账号密码方式登录；</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学员进入系统后，可进行任务选择，任务涵盖至少3个典型船体分段，如双层底分段、底边舱分段、舱壁分段等；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用户开展拆装操作前需选定工种，可选工种包含装配工、吊运工、焊接工等；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用户通过手柄按键操作，可弹出待加工零部件图纸，明确所需完成的装配任务；</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装配过程中，系统可弹出工艺类考题，支持用户作答测试；</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支持多用户同时开展船体分段协同虚拟装配操作；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用户在虚拟环境中，可通过手柄操控吊车，各用户操作互不干扰，可实现吊车移动、下降、上升等动作操控；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用户可操作吊机开展分段搬运作业，吊机支持自由操控；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用户在虚拟场景中，可通过手柄实现自由漫游，可在一定范围内完成瞬移操作；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用户可在虚拟场景中与船体零部件进行交互，可操作吊机调运已选中的零部件；</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装配操作时，支持对零部件的位置、角度进行调控，确保其处于允许的安装精度范围内；</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支持多用户协同装配同一分段；</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装配任务完成后，系统可对各用户的操作成绩进行考核评估，结合任务完成效率、操作流程正确率开展综合评分。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▲投标人具有船体结构装配实训软件知识产权。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(4)VR头盔套装</w:t>
            </w:r>
            <w:r>
              <w:rPr>
                <w:rFonts w:eastAsia="方正楷体_GBK"/>
                <w:b/>
                <w:bCs/>
                <w:color w:val="000000"/>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运行内存≥12GB；</w:t>
            </w:r>
            <w:r>
              <w:rPr>
                <w:rFonts w:eastAsia="方正楷体_GBK"/>
                <w:color w:val="000000"/>
                <w:sz w:val="21"/>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闪存≥512GB；</w:t>
            </w:r>
            <w:r>
              <w:rPr>
                <w:rFonts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视场角≥105°；</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刷新率≥72HZ；</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双眼分辨率≥4320*2160；</w:t>
            </w:r>
            <w:r>
              <w:rPr>
                <w:rFonts w:eastAsia="方正楷体_GBK"/>
                <w:color w:val="000000"/>
                <w:szCs w:val="21"/>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rPr>
              <w:t xml:space="preserve">运行性能：良好；</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Fonts w:eastAsia="方正楷体_GBK"/>
                <w:color w:val="000000"/>
                <w:szCs w:val="21"/>
              </w:rPr>
              <w:t xml:space="preserve">配件：头盔支架、VR眼镜存放柜等。</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20</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结构构件智能涂装作业模拟器</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b/>
                <w:bCs/>
                <w:color w:val="000000"/>
                <w:szCs w:val="21"/>
              </w:rPr>
            </w:pPr>
            <w:r>
              <w:rPr>
                <w:rFonts w:eastAsia="方正楷体_GBK"/>
                <w:b/>
                <w:bCs/>
                <w:color w:val="000000"/>
                <w:szCs w:val="21"/>
              </w:rPr>
              <w:t xml:space="preserve">1.涂装模拟器硬件</w:t>
            </w:r>
            <w:r>
              <w:rPr>
                <w:rFonts w:eastAsia="方正楷体_GBK"/>
                <w:b/>
                <w:bCs/>
                <w:color w:val="000000"/>
                <w:szCs w:val="21"/>
              </w:rPr>
            </w:r>
            <w:r/>
          </w:p>
          <w:p>
            <w:pPr>
              <w:pStyle w:val="716"/>
              <w:widowControl/>
              <w:rPr>
                <w:rFonts w:hint="eastAsia" w:eastAsia="方正楷体_GBK"/>
                <w:color w:val="000000"/>
                <w:szCs w:val="21"/>
              </w:rPr>
            </w:pPr>
            <w:r>
              <w:rPr>
                <w:rFonts w:eastAsia="方正楷体_GBK"/>
                <w:color w:val="000000"/>
                <w:szCs w:val="21"/>
              </w:rPr>
              <w:t xml:space="preserve">（1）操作平台：主体尺寸≥500mm×600mm×1700mm；配套升降支架，支架采用滑轨滑块机构，尺寸≥500mm×500mm×2000mm，可放置主机等相关设备</w:t>
            </w:r>
            <w:r>
              <w:rPr>
                <w:rFonts w:hint="eastAsia" w:eastAsia="方正楷体_GBK"/>
                <w:color w:val="000000"/>
                <w:szCs w:val="21"/>
              </w:rPr>
              <w:t xml:space="preserve">。</w:t>
            </w:r>
            <w:r>
              <w:rPr>
                <w:rFonts w:hint="eastAsia"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（2）▲VR头盔套装：配备≥32颗光电传感器与定位器，支持360度全方位移动，视场角110°（接近人眼视角），分辨率≥2160×1200超高清规格</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（3）▲VR专用主机：CPUi7、12代及以上，内存≥16G，固态硬盘≥512G，独立显存≥8G</w:t>
            </w:r>
            <w:r>
              <w:rPr>
                <w:rFonts w:hint="eastAsia" w:eastAsia="方正楷体_GBK"/>
                <w:color w:val="000000"/>
                <w:szCs w:val="21"/>
              </w:rPr>
              <w:t xml:space="preserve">。</w:t>
            </w:r>
            <w:r>
              <w:rPr>
                <w:rFonts w:hint="eastAsia" w:eastAsia="方正楷体_GBK"/>
                <w:b/>
                <w:bCs/>
                <w:color w:val="000000"/>
                <w:szCs w:val="21"/>
              </w:rPr>
              <w:t xml:space="preserve">（出具投标单位盖章承诺函或产品技术规格书）</w:t>
            </w:r>
            <w:r>
              <w:rPr>
                <w:rFonts w:hint="eastAsia"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（4）展示终端：配备55英寸及以上展示屏幕，具备触摸功能</w:t>
            </w:r>
            <w:r>
              <w:rPr>
                <w:rFonts w:hint="eastAsia" w:eastAsia="方正楷体_GBK"/>
                <w:color w:val="000000"/>
                <w:szCs w:val="21"/>
              </w:rPr>
              <w:t xml:space="preserve">。</w:t>
            </w:r>
            <w:r>
              <w:rPr>
                <w:rFonts w:hint="eastAsia"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（5）VR喷枪手柄：与真实的喷枪手柄一致，可被系统跟踪和交互。</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2.涂装模拟器软件系统</w:t>
            </w:r>
            <w:r>
              <w:rPr>
                <w:rFonts w:eastAsia="方正楷体_GBK"/>
                <w:b/>
                <w:bCs/>
                <w:color w:val="000000"/>
                <w:szCs w:val="21"/>
              </w:rPr>
            </w:r>
            <w:r/>
          </w:p>
          <w:p>
            <w:pPr>
              <w:pStyle w:val="716"/>
              <w:widowControl/>
              <w:rPr>
                <w:rFonts w:eastAsia="方正楷体_GBK"/>
                <w:color w:val="000000"/>
                <w:szCs w:val="21"/>
              </w:rPr>
            </w:pPr>
            <w:r>
              <w:rPr>
                <w:rFonts w:eastAsia="方正楷体_GBK"/>
                <w:color w:val="000000"/>
                <w:szCs w:val="21"/>
              </w:rPr>
              <w:t xml:space="preserve">（1）支持依托虚拟现实技术开展喷涂从业人员实训，学员通过配套的VR头盔及喷枪手柄，可在虚拟喷涂作业车间开展喷涂作业训练；系统还原逼真的作业场景及喷涂作业过程，助力学员快速体验并掌握喷涂基础操作技能。</w:t>
            </w:r>
            <w:r>
              <w:rPr>
                <w:rFonts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（2）支持基础认知模块，通过图文、视频、答题考核等方式，帮助学员掌握涂装基础知识、安全操作规程、操作技术要点</w:t>
            </w:r>
            <w:r>
              <w:rPr>
                <w:rFonts w:hint="eastAsia" w:eastAsia="方正楷体_GBK"/>
                <w:color w:val="000000"/>
                <w:szCs w:val="21"/>
              </w:rPr>
              <w:t xml:space="preserve">。</w:t>
            </w:r>
            <w:r>
              <w:rPr>
                <w:rFonts w:hint="eastAsia"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（3）支持涂装相关知识题库，可随机生成测评试卷，用户答题后显示测评成绩；</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（4）支持喷涂油漆选择功能，可选取防锈漆、面漆等不同漆种，并可对不同油漆的工艺参数进行展示实训；</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（5）支持船厂涂装作业安装防护选择实训；</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（6）支持喷涂涂料、喷涂颜色、喷嘴参数（孔径、喷幅、流量等）、喷涂压力、遮罩等设置功能；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（7）支持喷涂仿真功能；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（8）▲支持根据喷枪的倾角、运枪速度、喷嘴到工件距离、喷射角度、气压、涂料等参数模拟喷涂效果，训练过程中会动态显示。</w:t>
            </w:r>
            <w:r>
              <w:rPr>
                <w:rFonts w:eastAsia="方正楷体_GBK"/>
                <w:b/>
                <w:bCs/>
                <w:color w:val="000000"/>
                <w:szCs w:val="21"/>
              </w:rPr>
              <w:t xml:space="preserve">（提供功能演示）</w:t>
            </w:r>
            <w:r>
              <w:rPr>
                <w:rFonts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（9）持喷涂操作中对运枪速度、喷嘴到工件距离、喷射角度可以进行动态曲线和数值展示。同时可对膜厚、流挂缺陷进行动态展示分析</w:t>
            </w:r>
            <w:r>
              <w:rPr>
                <w:rFonts w:hint="eastAsia" w:eastAsia="方正楷体_GBK"/>
                <w:color w:val="000000"/>
                <w:szCs w:val="21"/>
              </w:rPr>
              <w:t xml:space="preserve">。</w:t>
            </w:r>
            <w:r>
              <w:rPr>
                <w:rFonts w:hint="eastAsia"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（10）▲支持模拟不同的涂料的雾化效果和附着效果，并模拟涂料喷涂过程中产生的烟气效果。</w:t>
            </w:r>
            <w:r>
              <w:rPr>
                <w:rFonts w:eastAsia="方正楷体_GBK"/>
                <w:b/>
                <w:bCs/>
                <w:color w:val="000000"/>
                <w:szCs w:val="21"/>
              </w:rPr>
              <w:t xml:space="preserve">（提供功能演示）</w:t>
            </w:r>
            <w:r>
              <w:rPr>
                <w:rFonts w:eastAsia="方正楷体_GBK"/>
                <w:color w:val="000000"/>
                <w:szCs w:val="21"/>
              </w:rPr>
            </w:r>
            <w:r/>
          </w:p>
          <w:p>
            <w:pPr>
              <w:pStyle w:val="716"/>
              <w:numPr>
                <w:ilvl w:val="0"/>
                <w:numId w:val="2"/>
              </w:numPr>
              <w:widowControl/>
              <w:rPr>
                <w:rFonts w:eastAsia="方正楷体_GBK"/>
                <w:color w:val="000000"/>
                <w:szCs w:val="21"/>
              </w:rPr>
            </w:pPr>
            <w:r>
              <w:rPr>
                <w:rFonts w:eastAsia="方正楷体_GBK"/>
                <w:color w:val="000000"/>
                <w:szCs w:val="21"/>
              </w:rPr>
              <w:t xml:space="preserve">支持仿真涂料在工件表面形成的涂层区域；</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支持以某典型分段为例，进行分段涂装操作；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（13）支持训练评估：系统可对学员的喷涂结果进行核算，能对喷涂面积、有效喷涂面积、涂料预估使用量、涂料实际使用量、干膜厚度等指标进行核算与评估；</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（14）支持用户数据管理功能：系统提供注册/登录功能，学员通过工号和密码进行登录训练，系统记录学员的训练历史等数据，学员可以通过历史记录查看个人训练情况。</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3.船体结构涂装工艺设计系统</w:t>
            </w:r>
            <w:r>
              <w:rPr>
                <w:rFonts w:eastAsia="方正楷体_GBK"/>
                <w:b/>
                <w:bCs/>
                <w:color w:val="000000"/>
                <w:szCs w:val="21"/>
              </w:rPr>
            </w:r>
            <w:r/>
          </w:p>
          <w:p>
            <w:pPr>
              <w:pStyle w:val="716"/>
              <w:widowControl/>
              <w:rPr>
                <w:rFonts w:eastAsia="方正楷体_GBK"/>
                <w:color w:val="000000"/>
                <w:szCs w:val="21"/>
              </w:rPr>
            </w:pPr>
            <w:r>
              <w:rPr>
                <w:rFonts w:eastAsia="方正楷体_GBK"/>
                <w:color w:val="000000"/>
                <w:szCs w:val="21"/>
              </w:rPr>
              <w:t xml:space="preserve">（1）基础平台功能</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支持友好的用户交互界面，以图形平台显示分段模型，并配有用户交互设计的工具栏。</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支持工程管理功能，支持新建工程、选择工程及删除工程操作。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支持AutoCAD常用功能，如视觉样式、视图管理、图层管理、工具栏管理、窗口管理等。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支持涂装工艺树和报表管理树，涂装工艺树以树状形式显示模型数据之间关系和涂装部位（区域）与涂装阶段等的关系。</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支持零件属性区域查看涂装部位、报表的属性。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支持标准数据库维护：为系统提供数据备份与恢复功能。</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支持涂装工艺标准管理，能够</w:t>
            </w:r>
            <w:r>
              <w:rPr>
                <w:rFonts w:hint="eastAsia" w:eastAsia="方正楷体_GBK"/>
                <w:color w:val="000000"/>
                <w:szCs w:val="21"/>
              </w:rPr>
              <w:t xml:space="preserve">分</w:t>
            </w:r>
            <w:r>
              <w:rPr>
                <w:rFonts w:eastAsia="方正楷体_GBK"/>
                <w:color w:val="000000"/>
                <w:szCs w:val="21"/>
              </w:rPr>
              <w:t xml:space="preserve">类目进行工艺查看。</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（2）▲模型数据导入功能：支持从船体三维建模软件中导入模型数据（如Tribon M3系统数据导入）。</w:t>
            </w:r>
            <w:r>
              <w:rPr>
                <w:rFonts w:eastAsia="方正楷体_GBK"/>
                <w:b/>
                <w:bCs/>
                <w:color w:val="000000"/>
                <w:szCs w:val="21"/>
              </w:rPr>
              <w:t xml:space="preserve">（提供功能演示）</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（3）涂装工艺设计</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支持涂装工艺设计，通过选择涂装分段对象，利用图形设计平台完成涂装分段的工艺设计。</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设计过程按未处理分段、已处理分段和已选择分段区域管理设计对象。通过“导入模型数据”功能导入新的分段后，分段名称将在“未处理分段”列表中显示，通过初始化设定后自动处理分段，如果已经处理的分段处于已经定义的涂装区域中，将会自动将零件划入相应区域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支持定义涂装区域：操作涂装工艺设计树，如涂装工艺部分分段阶段下将添加选择的分段节点，点击分段节点名称，能够在图形平台区域显示此分段下已经定义的涂装部位的包络框。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支持定义涂装部位时，根据涂装部位名称加载了已定义的涂装部位。</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支持设置工艺属性：定义涂装部位包络尺寸后，可以自动展示涂装工艺属性页面，提示完成工艺属性设置，或者也可以手动通过操作节点属性完成设置。</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支持批量零件修改：批量修改涂装零件表达式后，自动计算零件涂装面积并重新汇总涂装部位总涂装面积。</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支持涂装部位预览：预览涂装部位功能，可以用户指定颜色显示涂装部位包括的所有涂装零件。</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支持涂装颜色定义：在涂装部位工艺属性设定油漆部位的颜色列表，还可以自定义颜色。</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支持删除涂装部位：根据涂装工艺树中涂装部位节点，根据设计需要可以从数据库中选中删除。</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支持定义组合部位：通过定义组合涂装部位（区域）功能，实现与父涂装部位（区域）进行布尔加减运算，从而定义出复杂的涂装部位（区域），如梯形涂装部位、中空涂装部位等。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支持定义涂装区域：支持在涂装工艺树设计“区域涂装”节点，在该节点下可以定义外板区域、甲板区域或舱室区域节点。</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支持检验涂装面积：检查涂装零件是否被正确地定义到涂装部位（区域）。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支持涂装面积校验：根据检验结果以不同颜色列表显示出校验分段下所有零件。如果发现涂装面积异常的涂装零件，可以方便的返回修改涂装部位（区域）。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支持根据零件列表增、删、查看零件的属性。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支持显示和隐藏图元、批量显示和隐藏分段模型或批量预览分段下所有的涂装部位。</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（4）生产报表管理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支持生产报表管理：导出分段涂装除锈工艺卡</w:t>
            </w:r>
            <w:r>
              <w:rPr>
                <w:rFonts w:hint="eastAsia" w:eastAsia="方正楷体_GBK"/>
                <w:color w:val="000000"/>
                <w:szCs w:val="21"/>
              </w:rPr>
              <w:t xml:space="preserve">等</w:t>
            </w:r>
            <w:r>
              <w:rPr>
                <w:rFonts w:eastAsia="方正楷体_GBK"/>
                <w:color w:val="000000"/>
                <w:szCs w:val="21"/>
              </w:rPr>
              <w:t xml:space="preserve">。</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▲支持批量导出报表：批量导出报表，可以全自动批量导出涂装工艺设计的报表。</w:t>
            </w:r>
            <w:r>
              <w:rPr>
                <w:rFonts w:eastAsia="方正楷体_GBK"/>
                <w:b/>
                <w:bCs/>
                <w:color w:val="000000"/>
                <w:szCs w:val="21"/>
              </w:rPr>
              <w:t xml:space="preserve">（提供功能演示）</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lang w:bidi="ar"/>
              </w:rPr>
              <w:t xml:space="preserve">③</w:t>
            </w:r>
            <w:r>
              <w:rPr>
                <w:rFonts w:eastAsia="方正楷体_GBK"/>
                <w:color w:val="000000"/>
                <w:szCs w:val="21"/>
              </w:rPr>
              <w:t xml:space="preserve">支持报表管理：系统能够自动搜索已经生成的涂装报表，并以树的形式显示。</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（5）</w:t>
            </w:r>
            <w:r>
              <w:rPr>
                <w:rFonts w:eastAsia="方正楷体_GBK"/>
                <w:b/>
                <w:bCs/>
                <w:color w:val="000000"/>
                <w:szCs w:val="21"/>
              </w:rPr>
              <w:t xml:space="preserve">▲</w:t>
            </w:r>
            <w:r>
              <w:rPr>
                <w:rFonts w:eastAsia="方正楷体_GBK"/>
                <w:color w:val="000000"/>
                <w:szCs w:val="21"/>
              </w:rPr>
              <w:t xml:space="preserve">投标人具有船舶涂装工艺设计软件知识产权。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21-23</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实验室综合环境建设</w:t>
            </w:r>
            <w:r>
              <w:rPr>
                <w:rFonts w:eastAsia="方正楷体_GBK"/>
                <w:color w:val="000000"/>
                <w:szCs w:val="21"/>
                <w:lang w:bidi="ar"/>
              </w:rPr>
            </w:r>
            <w:r/>
          </w:p>
          <w:p>
            <w:pPr>
              <w:pStyle w:val="716"/>
              <w:jc w:val="center"/>
              <w:rPr>
                <w:rFonts w:eastAsia="方正楷体_GBK"/>
                <w:color w:val="000000"/>
                <w:szCs w:val="21"/>
                <w:lang w:bidi="ar"/>
              </w:rPr>
            </w:pPr>
            <w:r>
              <w:rPr>
                <w:rFonts w:eastAsia="方正楷体_GBK"/>
                <w:color w:val="000000"/>
                <w:szCs w:val="21"/>
                <w:lang w:bidi="ar"/>
              </w:rPr>
              <w:t xml:space="preserve">（限价22万）</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（1）氛围升级要求：针对约180平方米场地进行氛围升级处理，包括墙面、地面、顶面等文化氛围升级，以满足整体实训室设备、教学、实训使用需求。</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（2）综合文化布置：展示船舶与海工结构相关内容，排版合理、美观、有科技感。</w:t>
            </w:r>
            <w:r>
              <w:rPr>
                <w:rFonts w:eastAsia="方正楷体_GBK"/>
                <w:color w:val="000000"/>
                <w:szCs w:val="21"/>
              </w:rPr>
              <w:br w:type="textWrapping" w:clear="all"/>
            </w:r>
            <w:r>
              <w:rPr>
                <w:rFonts w:eastAsia="方正楷体_GBK"/>
                <w:color w:val="000000"/>
                <w:szCs w:val="21"/>
              </w:rPr>
              <w:t xml:space="preserve">（3）</w:t>
            </w:r>
            <w:r>
              <w:rPr>
                <w:rFonts w:ascii="Segoe UI Symbol" w:hAnsi="Segoe UI Symbol" w:eastAsia="方正楷体_GBK" w:cs="Segoe UI Symbol"/>
                <w:color w:val="000000"/>
                <w:szCs w:val="21"/>
                <w:lang w:bidi="ar"/>
              </w:rPr>
              <w:t xml:space="preserve">★</w:t>
            </w:r>
            <w:r>
              <w:rPr>
                <w:rFonts w:eastAsia="方正楷体_GBK"/>
                <w:color w:val="000000"/>
                <w:szCs w:val="21"/>
              </w:rPr>
              <w:t xml:space="preserve">提供实训布局及文化展陈规划</w:t>
            </w:r>
            <w:r>
              <w:rPr>
                <w:rFonts w:hint="eastAsia" w:eastAsia="方正楷体_GBK"/>
                <w:color w:val="000000"/>
                <w:szCs w:val="21"/>
              </w:rPr>
              <w:t xml:space="preserve">，作为建设方案的一部分</w:t>
            </w:r>
            <w:r>
              <w:rPr>
                <w:rFonts w:eastAsia="方正楷体_GBK"/>
                <w:color w:val="000000"/>
                <w:szCs w:val="21"/>
              </w:rPr>
              <w:t xml:space="preserve">：</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提供实训室平面布局方案，工位布置科学合理、</w:t>
            </w:r>
            <w:r>
              <w:rPr>
                <w:rFonts w:hint="eastAsia" w:eastAsia="方正楷体_GBK"/>
                <w:color w:val="000000"/>
                <w:szCs w:val="21"/>
              </w:rPr>
              <w:t xml:space="preserve">匹配本项目功能区布置</w:t>
            </w:r>
            <w:r>
              <w:rPr>
                <w:rFonts w:eastAsia="方正楷体_GBK"/>
                <w:color w:val="000000"/>
                <w:szCs w:val="21"/>
              </w:rPr>
              <w:t xml:space="preserve">。</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投标时提供整体二维平面布局图：对本项目涉及的全部设备的布置位置进行科学、合理规划，制图规范、整洁，文字性指示齐全，便于读图。</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投标时提供三维设计效果图：效果图规划内容应完整呈现本项目硬件设备及空间布局，同时直观体现教学演示讲授区、小组研讨仿真区、虚实融合实操区三大区域布局，效果真实、比例协调、空间规划合理，能够真实反映项目整体设计方案与实训功能组织形式。</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（4）具体建设内容及要求详见附件15-17中的两份清单和施工图（附件中的价格明细仅作为参考，实际以本表中的限价为准）：</w:t>
            </w:r>
            <w:r>
              <w:rPr>
                <w:rFonts w:eastAsia="方正楷体_GBK"/>
                <w:color w:val="000000"/>
                <w:szCs w:val="21"/>
              </w:rPr>
            </w:r>
            <w:r/>
          </w:p>
          <w:p>
            <w:pPr>
              <w:pStyle w:val="824"/>
              <w:contextualSpacing/>
              <w:widowControl/>
              <w:rPr>
                <w:rFonts w:eastAsia="方正楷体_GBK"/>
                <w:color w:val="000000"/>
                <w:sz w:val="21"/>
                <w:szCs w:val="21"/>
              </w:rPr>
            </w:pPr>
            <w:r>
              <w:rPr>
                <w:rFonts w:eastAsia="方正楷体_GBK"/>
                <w:color w:val="000000"/>
                <w:sz w:val="21"/>
                <w:szCs w:val="21"/>
              </w:rPr>
              <w:t xml:space="preserve">1.附件15：船舶海工结构虚拟仿真中心室内装饰清单。</w:t>
            </w:r>
            <w:r>
              <w:rPr>
                <w:rFonts w:eastAsia="方正楷体_GBK"/>
                <w:color w:val="000000"/>
                <w:sz w:val="21"/>
                <w:szCs w:val="21"/>
              </w:rPr>
            </w:r>
            <w:r/>
          </w:p>
          <w:p>
            <w:pPr>
              <w:pStyle w:val="824"/>
              <w:contextualSpacing/>
              <w:widowControl/>
              <w:rPr>
                <w:rFonts w:eastAsia="方正楷体_GBK"/>
                <w:color w:val="000000"/>
                <w:sz w:val="21"/>
                <w:szCs w:val="21"/>
              </w:rPr>
            </w:pPr>
            <w:r>
              <w:rPr>
                <w:rFonts w:eastAsia="方正楷体_GBK"/>
                <w:color w:val="000000"/>
                <w:sz w:val="21"/>
                <w:szCs w:val="21"/>
              </w:rPr>
              <w:t xml:space="preserve">2.附件16：船舶海工结构虚拟仿真中心思政文化建设清单。</w:t>
            </w:r>
            <w:r>
              <w:rPr>
                <w:rFonts w:eastAsia="方正楷体_GBK"/>
                <w:color w:val="000000"/>
                <w:sz w:val="21"/>
                <w:szCs w:val="21"/>
              </w:rPr>
            </w:r>
            <w:r/>
          </w:p>
          <w:p>
            <w:pPr>
              <w:pStyle w:val="824"/>
              <w:contextualSpacing/>
              <w:widowControl/>
              <w:rPr>
                <w:rFonts w:eastAsia="方正楷体_GBK"/>
                <w:color w:val="000000"/>
                <w:sz w:val="21"/>
                <w:szCs w:val="21"/>
              </w:rPr>
            </w:pPr>
            <w:r>
              <w:rPr>
                <w:rFonts w:eastAsia="方正楷体_GBK"/>
                <w:color w:val="000000"/>
                <w:sz w:val="21"/>
                <w:szCs w:val="21"/>
                <w:lang w:bidi="ar"/>
              </w:rPr>
              <w:t xml:space="preserve">3.附件17：船舶海工结构虚拟仿真中心施工图</w:t>
            </w:r>
            <w:r>
              <w:rPr>
                <w:rFonts w:eastAsia="方正楷体_GBK"/>
                <w:color w:val="000000"/>
                <w:sz w:val="21"/>
                <w:szCs w:val="21"/>
              </w:rPr>
              <w:t xml:space="preserve">。</w:t>
            </w:r>
            <w:r>
              <w:rPr>
                <w:rFonts w:eastAsia="方正楷体_GBK"/>
                <w:color w:val="000000"/>
                <w:sz w:val="21"/>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Style w:val="1060"/>
                <w:rFonts w:ascii="Times New Roman" w:hAnsi="Times New Roman" w:eastAsia="方正楷体_GBK" w:cs="Times New Roman"/>
                <w:sz w:val="21"/>
                <w:szCs w:val="21"/>
                <w:lang w:bidi="ar"/>
              </w:rPr>
              <w:t xml:space="preserve">项</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24</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其他要求</w:t>
            </w:r>
            <w:r>
              <w:rPr>
                <w:rFonts w:eastAsia="方正楷体_GBK"/>
                <w:color w:val="000000"/>
                <w:szCs w:val="21"/>
                <w:lang w:bidi="ar"/>
              </w:rPr>
            </w:r>
            <w:r/>
          </w:p>
        </w:tc>
        <w:tc>
          <w:tcPr>
            <w:gridSpan w:val="3"/>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16"/>
              <w:ind w:firstLine="422"/>
              <w:rPr>
                <w:rFonts w:eastAsia="方正楷体_GBK"/>
                <w:b/>
                <w:bCs/>
                <w:color w:val="000000"/>
                <w:szCs w:val="21"/>
              </w:rPr>
            </w:pPr>
            <w:r>
              <w:rPr>
                <w:rFonts w:eastAsia="方正楷体_GBK"/>
                <w:b/>
                <w:bCs/>
                <w:color w:val="000000"/>
                <w:szCs w:val="21"/>
              </w:rPr>
              <w:t xml:space="preserve">1.软件部署与校内在线访问技术要求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本项目中软件（序号</w:t>
            </w:r>
            <w:r>
              <w:rPr>
                <w:rFonts w:hint="eastAsia" w:eastAsia="方正楷体_GBK"/>
                <w:color w:val="000000"/>
                <w:szCs w:val="21"/>
              </w:rPr>
              <w:t xml:space="preserve">8</w:t>
            </w:r>
            <w:r>
              <w:rPr>
                <w:rFonts w:eastAsia="方正楷体_GBK"/>
                <w:color w:val="000000"/>
                <w:szCs w:val="21"/>
              </w:rPr>
              <w:t xml:space="preserve">-</w:t>
            </w:r>
            <w:r>
              <w:rPr>
                <w:rFonts w:hint="eastAsia" w:eastAsia="方正楷体_GBK"/>
                <w:color w:val="000000"/>
                <w:szCs w:val="21"/>
              </w:rPr>
              <w:t xml:space="preserve">14</w:t>
            </w:r>
            <w:r>
              <w:rPr>
                <w:rFonts w:eastAsia="方正楷体_GBK"/>
                <w:color w:val="000000"/>
                <w:szCs w:val="21"/>
              </w:rPr>
              <w:t xml:space="preserve">），均需同时支持本地终端私有化部署运行与校园网范围内在线访问使用双模式，具体要求如下：</w:t>
            </w:r>
            <w:r>
              <w:rPr>
                <w:rFonts w:eastAsia="方正楷体_GBK"/>
                <w:color w:val="000000"/>
                <w:szCs w:val="21"/>
              </w:rPr>
            </w:r>
            <w:r/>
          </w:p>
          <w:p>
            <w:pPr>
              <w:pStyle w:val="716"/>
              <w:ind w:firstLine="422"/>
              <w:rPr>
                <w:rFonts w:eastAsia="方正楷体_GBK"/>
                <w:b/>
                <w:bCs/>
                <w:color w:val="000000"/>
                <w:szCs w:val="21"/>
              </w:rPr>
            </w:pPr>
            <w:r>
              <w:rPr>
                <w:rFonts w:hint="eastAsia" w:eastAsia="方正楷体_GBK"/>
                <w:b/>
                <w:bCs/>
                <w:color w:val="000000"/>
                <w:szCs w:val="21"/>
              </w:rPr>
              <w:t xml:space="preserve">（1）</w:t>
            </w:r>
            <w:r>
              <w:rPr>
                <w:rFonts w:eastAsia="方正楷体_GBK"/>
                <w:b/>
                <w:bCs/>
                <w:color w:val="000000"/>
                <w:szCs w:val="21"/>
              </w:rPr>
              <w:t xml:space="preserve">本地部署要求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所有软件须完整部署于项目配套的教师管控终端、48 台教学实训专用终端及专用服务器上，支持离线状态下全功能运行，48 台终端同时启动实训无卡顿、无掉线，实训数据本地存储，适配现有硬件性能与操作系统环境。</w:t>
            </w:r>
            <w:r>
              <w:rPr>
                <w:rFonts w:eastAsia="方正楷体_GBK"/>
                <w:color w:val="000000"/>
                <w:szCs w:val="21"/>
              </w:rPr>
            </w:r>
            <w:r/>
          </w:p>
          <w:p>
            <w:pPr>
              <w:pStyle w:val="716"/>
              <w:ind w:firstLine="422"/>
              <w:rPr>
                <w:rFonts w:eastAsia="方正楷体_GBK"/>
                <w:b/>
                <w:bCs/>
                <w:color w:val="000000"/>
                <w:szCs w:val="21"/>
              </w:rPr>
            </w:pPr>
            <w:r>
              <w:rPr>
                <w:rFonts w:hint="eastAsia" w:eastAsia="方正楷体_GBK"/>
                <w:b/>
                <w:bCs/>
                <w:color w:val="000000"/>
                <w:szCs w:val="21"/>
              </w:rPr>
              <w:t xml:space="preserve">（2）</w:t>
            </w:r>
            <w:r>
              <w:rPr>
                <w:rFonts w:eastAsia="方正楷体_GBK"/>
                <w:b/>
                <w:bCs/>
                <w:color w:val="000000"/>
                <w:szCs w:val="21"/>
              </w:rPr>
              <w:t xml:space="preserve">校内在线访问要求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在校园网 IP 覆盖范围内，通过 Chrome、Edge、Firefox 等主流浏览器或独立客户端即可直接访问使用，支持 PC 电脑、</w:t>
            </w:r>
            <w:r>
              <w:rPr>
                <w:rFonts w:hint="eastAsia" w:eastAsia="方正楷体_GBK"/>
                <w:color w:val="000000"/>
                <w:szCs w:val="21"/>
              </w:rPr>
              <w:t xml:space="preserve">手机</w:t>
            </w:r>
            <w:r>
              <w:rPr>
                <w:rFonts w:eastAsia="方正楷体_GBK"/>
                <w:color w:val="000000"/>
                <w:szCs w:val="21"/>
              </w:rPr>
              <w:t xml:space="preserve">、平板等多类设备接入。</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并发性能：支持不少于100个用户同时在线开展实训操作，满足整班教学与多班级复用需求；三维模型加载时长≤5 秒，交互操作响应延迟</w:t>
            </w:r>
            <w:r>
              <w:rPr>
                <w:rFonts w:hint="eastAsia" w:eastAsia="方正楷体_GBK"/>
                <w:color w:val="000000"/>
                <w:szCs w:val="21"/>
              </w:rPr>
              <w:t xml:space="preserve">低</w:t>
            </w:r>
            <w:r>
              <w:rPr>
                <w:rFonts w:eastAsia="方正楷体_GBK"/>
                <w:color w:val="000000"/>
                <w:szCs w:val="21"/>
              </w:rPr>
              <w:t xml:space="preserve">，无明显卡顿、掉帧。</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功能一致性：在线版本须完整保留本地端核心功能，包括教学/实训/考试三模式切换、三维模型交互操作、工艺流程编辑、自动评分、成绩管理、资料库查询等。</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数据互通：本地部署端与在线访问端共用统一用户体系与数据库，账号权限、实训记录、考核成绩、学习进度实时同步，数据双向一致。</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安全管控：仅对校园内网开放访问权限，禁止公网直接访问；支持与学校统一身份认证体系对接。</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实施要求：供应商负责完成两套部署环境的安装、调试与适配，提供部署手册与运维说明，确保与学校现有校园网、服务器环境兼容，验收时须现场完成多终端、多并发场景的在线访问实测。</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2.软件使用手册要求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交付范围：本项目全部软件系统（含船舶与海工结构认知教学系统、船舶与海工虚拟装配教学系统、海工建造交互实训系统、船舶建造交互实训系统、各船型教学实训系统、船体放样仿真教学实训系统、AR 实训系统、分段协同装配 VR 实训系统、结构构件智能涂装作业模拟器软件、船体结构涂装工艺设计系统</w:t>
            </w:r>
            <w:r>
              <w:rPr>
                <w:rFonts w:hint="eastAsia" w:eastAsia="方正楷体_GBK"/>
                <w:color w:val="000000"/>
                <w:szCs w:val="21"/>
              </w:rPr>
              <w:t xml:space="preserve">、4个定制开发软件系统</w:t>
            </w:r>
            <w:r>
              <w:rPr>
                <w:rFonts w:eastAsia="方正楷体_GBK"/>
                <w:color w:val="000000"/>
                <w:szCs w:val="21"/>
              </w:rPr>
              <w:t xml:space="preserve">等所有软件类货物），每套软件须单独编制配套官方使用手册，随软件产品同步交付。</w:t>
            </w:r>
            <w:r>
              <w:rPr>
                <w:rFonts w:eastAsia="方正楷体_GBK"/>
                <w:color w:val="000000"/>
                <w:szCs w:val="21"/>
              </w:rPr>
            </w:r>
            <w:r/>
          </w:p>
          <w:p>
            <w:pPr>
              <w:pStyle w:val="716"/>
              <w:ind w:firstLine="420"/>
              <w:rPr>
                <w:rStyle w:val="1060"/>
                <w:rFonts w:ascii="Times New Roman" w:hAnsi="Times New Roman" w:eastAsia="方正楷体_GBK" w:cs="Times New Roman"/>
                <w:b w:val="0"/>
                <w:sz w:val="21"/>
                <w:szCs w:val="21"/>
              </w:rPr>
            </w:pPr>
            <w:r>
              <w:rPr>
                <w:rFonts w:eastAsia="方正楷体_GBK"/>
                <w:color w:val="000000"/>
                <w:szCs w:val="21"/>
              </w:rPr>
              <w:t xml:space="preserve">手册内容要求：使用手册须完整覆盖对应软件的全部功能，包含系统部署安装、账号与角色权限管理、各功能模块操作步骤、实训教学应用指引、数据查询与导出、常见故障排查、日常运维说明等全流程内容，图文对应、表述清晰，满足教师教学使用与管理员运维需求。</w:t>
            </w:r>
            <w:r>
              <w:rPr>
                <w:rStyle w:val="1060"/>
                <w:rFonts w:ascii="Times New Roman" w:hAnsi="Times New Roman" w:eastAsia="方正楷体_GBK" w:cs="Times New Roman"/>
                <w:b w:val="0"/>
                <w:sz w:val="21"/>
                <w:szCs w:val="21"/>
              </w:rPr>
            </w:r>
            <w:r/>
          </w:p>
        </w:tc>
      </w:tr>
    </w:tbl>
    <w:p>
      <w:pPr>
        <w:pStyle w:val="716"/>
        <w:ind w:firstLine="562"/>
        <w:rPr>
          <w:rFonts w:eastAsia="方正仿宋_GBK"/>
          <w:b/>
          <w:color w:val="000000"/>
          <w:sz w:val="28"/>
          <w:szCs w:val="28"/>
        </w:rPr>
        <w:outlineLvl w:val="2"/>
      </w:pPr>
      <w:r>
        <w:rPr>
          <w:rFonts w:eastAsia="方正仿宋_GBK"/>
          <w:b/>
          <w:color w:val="000000"/>
          <w:sz w:val="28"/>
          <w:szCs w:val="28"/>
        </w:rPr>
        <w:t xml:space="preserve">三、商务要求</w:t>
      </w:r>
      <w:r>
        <w:rPr>
          <w:rFonts w:eastAsia="方正仿宋_GBK"/>
          <w:b/>
          <w:color w:val="000000"/>
          <w:sz w:val="28"/>
          <w:szCs w:val="28"/>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4"/>
        <w:gridCol w:w="1607"/>
        <w:gridCol w:w="6157"/>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详细参数</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验收要求</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rPr>
                <w:rFonts w:eastAsia="方正楷体_GBK"/>
                <w:color w:val="000000"/>
                <w:szCs w:val="21"/>
              </w:rPr>
            </w:pPr>
            <w:r>
              <w:rPr>
                <w:rFonts w:eastAsia="方正楷体_GBK"/>
                <w:color w:val="000000"/>
                <w:szCs w:val="21"/>
              </w:rPr>
              <w:t xml:space="preserve">1. 硬件设备验收标准</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外观与资质：所有设备为全新原厂正品，外观无破损、划痕、变形，附带原厂产品合格证、防伪标识；进口设备提供合法合规的报关与商检凭证。</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参数符合性：核心硬件配置（处理器、内存、显卡、屏幕参数、核心元器件规格等）与投标响应完全一致，抽检设备参数检测合格率 100%。</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功能与性能：通电运行稳定，基础功能与专项功能全部正常，满足对应教学实训场景性能要求，无卡顿、死机、异响、漏液等异常问题。</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兼容适配性：与项目内其他软硬件设备互联互通，适配现有教室供电、网络、布线环境，无驱动冲突、接口不匹配等问题。所有硬件使用时确保不会相互干扰。</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安装与布线：设备安装牢固合规，线缆隐蔽收纳、规整有序，符合用电安全与教学场景整洁要求。</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资料交付：同步交付原厂使用说明书、质保函、驱动安装包、配件清单等全套资料。</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2. 软件系统验收标准</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部署验收：完成本地终端私有化部署与校园网在线访问双环境搭建，全部授权节点激活正常，无授权数量不足、过期、限制功能等问题。</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功能符合性：软件核心功能、带▲/</w:t>
            </w:r>
            <w:r>
              <w:rPr>
                <w:rFonts w:ascii="Segoe UI Symbol" w:hAnsi="Segoe UI Symbol" w:eastAsia="方正楷体_GBK" w:cs="Segoe UI Symbol"/>
                <w:color w:val="000000"/>
                <w:szCs w:val="21"/>
              </w:rPr>
              <w:t xml:space="preserve">★</w:t>
            </w:r>
            <w:r>
              <w:rPr>
                <w:rFonts w:eastAsia="方正楷体_GBK"/>
                <w:color w:val="000000"/>
                <w:szCs w:val="21"/>
              </w:rPr>
              <w:t xml:space="preserve">的关键参数全部满足招标要求；实训工艺流程、模型结构、专业内容无知识性错误，符合船舶行业规范与船级社标准。</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性能指标：满足约定并发数同时在线实训，三维模型加载速度、交互响应延迟达标；连续满负荷运行无闪退、崩溃、数据丢失等异常。</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管理与安全：三级用户权限体系运行正常，成绩统计、数据备份、操作日志功能有效；教学数据加密存储，符合校园网络安全管理要求。</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文档交付：每套软件同步交付纸质版</w:t>
            </w:r>
            <w:r>
              <w:rPr>
                <w:rFonts w:hint="eastAsia" w:eastAsia="方正楷体_GBK"/>
                <w:color w:val="000000"/>
                <w:szCs w:val="21"/>
              </w:rPr>
              <w:t xml:space="preserve">+</w:t>
            </w:r>
            <w:r>
              <w:rPr>
                <w:rFonts w:eastAsia="方正楷体_GBK"/>
                <w:color w:val="000000"/>
                <w:szCs w:val="21"/>
              </w:rPr>
              <w:t xml:space="preserve">可检索电子版使用手册；同时提供部署手册、运维指南、故障排查手册。</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知识产权：提供完整的软件正版授权证明、对应软件著作权证书，无版权纠纷，覆盖校方全教学场景使用授权。</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试运行验证：试用期内全功能、全负荷运行无重大故障；问题响应与整改时效符合服务要求。</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3. 实训模型与环境建设验收标准</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外观工艺：模型制作精细、涂装均匀无脱落，展台、沙盘结构稳固；环境施工平整美观，与设计方案效果一致，无施工瑕疵。</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规格准确性：整体尺寸、缩比比例、关键结构完全符合招标要求，与真实船型</w:t>
            </w:r>
            <w:r>
              <w:rPr>
                <w:rFonts w:hint="eastAsia" w:eastAsia="方正楷体_GBK"/>
                <w:color w:val="000000"/>
                <w:szCs w:val="21"/>
              </w:rPr>
              <w:t xml:space="preserve">/</w:t>
            </w:r>
            <w:r>
              <w:rPr>
                <w:rFonts w:eastAsia="方正楷体_GBK"/>
                <w:color w:val="000000"/>
                <w:szCs w:val="21"/>
              </w:rPr>
              <w:t xml:space="preserve">海工平台标准构型一致，无结构错位、比例失真问题。</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内容合规性：模型结构、标识标注、配套教学资源无知识性错误；实物模型与对应软件模型形成虚实对应，满足双轨教学要求。</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配套功能：标识牌、教学展板、二维码教学资源齐全，内容准确可正常访问；灯光系统、集控系统、展示终端等配套设备功能全部正常。</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施工资料：环境建设项目提交竣工图（CAD 电子档）、隐蔽工程验收记录、质量验收资料，符合《建设工程文件归档整理规范》要求。</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4. 项目整体验收要求</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分阶段验收：按照招标文件约定的分段交付节点同步开展阶段验收，阶段验收合格后方可进入下一实施环节。货物1-10、15-23</w:t>
            </w:r>
            <w:r>
              <w:rPr>
                <w:rFonts w:hint="eastAsia" w:eastAsia="方正楷体_GBK"/>
                <w:color w:val="000000"/>
                <w:szCs w:val="21"/>
              </w:rPr>
              <w:t xml:space="preserve">（包括在线及本地部署）</w:t>
            </w:r>
            <w:r>
              <w:rPr>
                <w:rFonts w:eastAsia="方正楷体_GBK"/>
                <w:color w:val="000000"/>
                <w:szCs w:val="21"/>
              </w:rPr>
              <w:t xml:space="preserve">签订合同起75天内（施工期包含假期）供货并安装调试完成，试用</w:t>
            </w:r>
            <w:r>
              <w:rPr>
                <w:rFonts w:hint="eastAsia" w:eastAsia="方正楷体_GBK"/>
                <w:color w:val="000000"/>
                <w:szCs w:val="21"/>
              </w:rPr>
              <w:t xml:space="preserve">5</w:t>
            </w:r>
            <w:r>
              <w:rPr>
                <w:rFonts w:eastAsia="方正楷体_GBK"/>
                <w:color w:val="000000"/>
                <w:szCs w:val="21"/>
              </w:rPr>
              <w:t xml:space="preserve">天；货物11-14</w:t>
            </w:r>
            <w:r>
              <w:rPr>
                <w:rFonts w:hint="eastAsia" w:eastAsia="方正楷体_GBK"/>
                <w:color w:val="000000"/>
                <w:szCs w:val="21"/>
              </w:rPr>
              <w:t xml:space="preserve">（包括在线及本地部署）</w:t>
            </w:r>
            <w:r>
              <w:rPr>
                <w:rFonts w:eastAsia="方正楷体_GBK"/>
                <w:color w:val="000000"/>
                <w:szCs w:val="21"/>
              </w:rPr>
              <w:t xml:space="preserve">签订合同起</w:t>
            </w:r>
            <w:r>
              <w:rPr>
                <w:rFonts w:hint="eastAsia" w:eastAsia="方正楷体_GBK"/>
                <w:color w:val="000000"/>
                <w:szCs w:val="21"/>
              </w:rPr>
              <w:t xml:space="preserve">90</w:t>
            </w:r>
            <w:r>
              <w:rPr>
                <w:rFonts w:eastAsia="方正楷体_GBK"/>
                <w:color w:val="000000"/>
                <w:szCs w:val="21"/>
              </w:rPr>
              <w:t xml:space="preserve">天内供货并安装调试完成，试用</w:t>
            </w:r>
            <w:r>
              <w:rPr>
                <w:rFonts w:hint="eastAsia" w:eastAsia="方正楷体_GBK"/>
                <w:color w:val="000000"/>
                <w:szCs w:val="21"/>
              </w:rPr>
              <w:t xml:space="preserve">5</w:t>
            </w:r>
            <w:r>
              <w:rPr>
                <w:rFonts w:eastAsia="方正楷体_GBK"/>
                <w:color w:val="000000"/>
                <w:szCs w:val="21"/>
              </w:rPr>
              <w:t xml:space="preserve">天；试用不合格，需在24小时内响应并提交整改方案，15天内完成整改。</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验收资料：供应商提交完整验收资料，包括供货清单、产品合格证、授权文件、检测报告、施工记录、试运行报告、运维手册、使用手册等。</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验收方式：通过现场实测、功能演示、资料核查、抽检测试等方式开展验收；关键参数与核心功能逐项核验。</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整改机制：验收不合格项，供应商须在约定期限内完成整改并申请复检，整改产生的全部费用由供应商承担；逾期未整改按违约处理。</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验收结论：全部货物、软件、配套服务均符合要求，资料齐全且试运行正常，由双方共同签署项目终验收合格证书。</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服务要求</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widowControl/>
              <w:rPr>
                <w:rFonts w:eastAsia="方正楷体_GBK"/>
                <w:color w:val="000000"/>
                <w:szCs w:val="21"/>
              </w:rPr>
            </w:pPr>
            <w:r>
              <w:rPr>
                <w:rFonts w:eastAsia="方正楷体_GBK"/>
                <w:color w:val="000000"/>
                <w:szCs w:val="21"/>
              </w:rPr>
              <w:t xml:space="preserve">1.投标产品中软件部分终身免费升级维护。其他按有关规定执行（国际标准、国家标准、行业标准或企业标准）。</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2.所购全部硬件设备质保期</w:t>
            </w:r>
            <w:r>
              <w:rPr>
                <w:rFonts w:hint="eastAsia" w:eastAsia="方正楷体_GBK"/>
                <w:color w:val="000000"/>
                <w:szCs w:val="21"/>
              </w:rPr>
              <w:t xml:space="preserve">5</w:t>
            </w:r>
            <w:r>
              <w:rPr>
                <w:rFonts w:eastAsia="方正楷体_GBK"/>
                <w:color w:val="000000"/>
                <w:szCs w:val="21"/>
              </w:rPr>
              <w:t xml:space="preserve">年，产品符合国家或行业标准相关要求。</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3.产品使用中，接到招标人电话通知后，在一小时内提供技术指导或远程维护，如招标人需要在接到招标人通知5小时（省外单位8小时）内派出技术人员到达用户现场进行相关服务。</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4.安装、调试、培训要求：项目实施阶段安排专业技术人员现场实施，中标人对招标人进行现场至少两次免费使用培训。验收合格后进行一次使用、简单维护、维修培训，确保招标人了解全套设备使用、维护方法和进行简单的维修操作。使用1-2月后，中标人再提供一次培训。</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5.中标人在本项目“实验室综合环境建设”子项（质保期3年）验收前需提交竣工图（含CAD格式电子档）、隐蔽工程验收记录及图片、质量验收资料等（包括但不限于施工现场质量管理检查记录、工程材料质量记录、施工过程作业活动质量记录资料），且符合《建设工程文件归档整理规范》及相关规定。</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付款方式</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widowControl/>
              <w:rPr>
                <w:rFonts w:eastAsia="方正楷体_GBK"/>
                <w:color w:val="000000"/>
                <w:szCs w:val="21"/>
              </w:rPr>
            </w:pPr>
            <w:r>
              <w:rPr>
                <w:rFonts w:eastAsia="方正楷体_GBK"/>
                <w:color w:val="000000"/>
                <w:szCs w:val="21"/>
              </w:rPr>
              <w:t xml:space="preserve">1.阶段付款</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预付款：合同签订生效且乙方提交增值税专用发票后，甲方向乙方支付合同总价的10%。</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阶段进度款：货物清单第1-10项、第15-23项全部供货安装调试完成，通过第一阶段验收且乙方提交增值税专用发票后，甲方向乙方支付合同总价的50%。</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最终验收款：项目全部货物、系统、环境建设实施完成，通过最终验收并经过审计，再乙方提交增值税专用发票后</w:t>
            </w:r>
            <w:r>
              <w:rPr>
                <w:rFonts w:hint="eastAsia" w:eastAsia="方正楷体_GBK"/>
                <w:color w:val="000000"/>
                <w:szCs w:val="21"/>
              </w:rPr>
              <w:t xml:space="preserve">，</w:t>
            </w:r>
            <w:r>
              <w:rPr>
                <w:rFonts w:eastAsia="方正楷体_GBK"/>
                <w:color w:val="000000"/>
                <w:szCs w:val="21"/>
              </w:rPr>
              <w:t xml:space="preserve">甲方向乙方支付合同总价的 40%。</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每次付款前，乙方须提供符合甲方财务要求的正规增值税专用发票，否则甲方有权延</w:t>
            </w:r>
            <w:r>
              <w:rPr>
                <w:rFonts w:hint="eastAsia" w:eastAsia="方正楷体_GBK"/>
                <w:color w:val="000000"/>
                <w:szCs w:val="21"/>
              </w:rPr>
              <w:t xml:space="preserve">期</w:t>
            </w:r>
            <w:r>
              <w:rPr>
                <w:rFonts w:eastAsia="方正楷体_GBK"/>
                <w:color w:val="000000"/>
                <w:szCs w:val="21"/>
              </w:rPr>
              <w:t xml:space="preserve">付款，且不承担违约责任。 </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2.本项目履约保证金为项目合同金额的10%，供方的履约保证金须在中标通知书发出之日起至合同签订前汇入需方账户（账户名：江苏航运职业技术学院，开户行：中国建设银行南通经济技术开发区支行，账号：32001642336052515609，统一社会信用代码：123200004660042577，应当以现金、支票、汇票或者招标人认可的金融机构、担保机构出具的保函等形式提交），供方凭中标通知书与需方签订合同。由于供方原因造成超期未签订合同的，则视为自动放弃成交资格。</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3.供方安装调试完毕，全部履行合同义务，经需方验收合格无质量、进度等问题的。需方在</w:t>
            </w:r>
            <w:r>
              <w:rPr>
                <w:rFonts w:hint="eastAsia" w:eastAsia="方正楷体_GBK"/>
                <w:color w:val="000000"/>
                <w:szCs w:val="21"/>
              </w:rPr>
              <w:t xml:space="preserve">合同签订日起至</w:t>
            </w:r>
            <w:r>
              <w:rPr>
                <w:rFonts w:eastAsia="方正楷体_GBK"/>
                <w:color w:val="000000"/>
                <w:szCs w:val="21"/>
              </w:rPr>
              <w:t xml:space="preserve">硬件质保期满（3年）后退还履约保证金（保函除外）。</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4.发生以下情况的，履约保证金不予退还或部分退还：</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a.签订合同后，供方不履行合同义务的，需方有权全额扣除履约保证金，全额不予退还，同时需方亦有权终止合同，供方还需承担相应的法律赔偿责任。</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b.供方在履约过程中发生违约行为，给需方造成损失的，需方有权在供方缴纳的履约保证金中予以扣款，以弥补需方经济损失，不足的部分供方另外补齐。</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c.因供方违约应向需方支付违约金或承担损失超过履约保函额度，或者提供履约保函的担保人未在30日内完成相关款项支付的，供方负有先行垫付义务，且需方保留扣除供方合同款、向供方追偿不予支付超过保函额度以外的款项的权利。</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4</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其他要求</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widowControl/>
              <w:rPr>
                <w:rFonts w:eastAsia="方正楷体_GBK"/>
                <w:color w:val="000000"/>
                <w:szCs w:val="21"/>
              </w:rPr>
            </w:pPr>
            <w:r>
              <w:rPr>
                <w:rFonts w:eastAsia="方正楷体_GBK"/>
                <w:color w:val="000000"/>
                <w:szCs w:val="21"/>
              </w:rPr>
              <w:t xml:space="preserve">中标后签订合同前，中标人须提供己方盖章后的正版软件授权承诺函。</w:t>
            </w:r>
            <w:r>
              <w:rPr>
                <w:rFonts w:eastAsia="方正楷体_GBK"/>
                <w:color w:val="000000"/>
                <w:szCs w:val="21"/>
              </w:rPr>
            </w:r>
            <w:r/>
          </w:p>
        </w:tc>
      </w:tr>
    </w:tbl>
    <w:p>
      <w:pPr>
        <w:pStyle w:val="716"/>
        <w:ind w:firstLine="560"/>
        <w:rPr>
          <w:rFonts w:eastAsia="方正仿宋_GBK"/>
          <w:color w:val="000000"/>
          <w:sz w:val="28"/>
          <w:szCs w:val="28"/>
        </w:rPr>
      </w:pPr>
      <w:r>
        <w:rPr>
          <w:rFonts w:eastAsia="方正仿宋_GBK"/>
          <w:color w:val="000000"/>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（一）采购标的需实现的功能或者目标，以及为落实政府采购政策需满足的要求；</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（二）采购标的需执行的国家相关标准、行业标准、地方标准或者其他标准、规范；</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（三）采购标的需满足的质量、安全、技术规格、物理特性等要求；</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（四）采购标的的数量、采购项目交付或者实施的时间和地点；</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（五）采购标的需满足的服务标准、期限、效率等要求；</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（六）采购标的的验收标准；</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（七）采购标的的其他技术、服务等要求；</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（八）非单一产品采购项目，采购标的中的核心产品；</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（九）采购需求中必须满足的实质性要求（请单独列出）；</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（十）付款方式；</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（十一）履约保证金；</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（十二）样品;</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（十三）演示讲解;</w:t>
      </w:r>
      <w:r>
        <w:rPr>
          <w:rFonts w:eastAsia="方正仿宋_GBK"/>
          <w:color w:val="000000"/>
          <w:sz w:val="28"/>
          <w:szCs w:val="28"/>
        </w:rPr>
      </w:r>
      <w:r/>
    </w:p>
    <w:p>
      <w:pPr>
        <w:pStyle w:val="716"/>
        <w:rPr>
          <w:rFonts w:eastAsia="方正仿宋_GBK"/>
          <w:color w:val="000000"/>
          <w:sz w:val="28"/>
          <w:szCs w:val="28"/>
        </w:rPr>
      </w:pPr>
      <w:r>
        <w:rPr>
          <w:rFonts w:eastAsia="方正仿宋_GBK"/>
          <w:color w:val="000000"/>
          <w:sz w:val="28"/>
          <w:szCs w:val="28"/>
        </w:rPr>
        <w:t xml:space="preserve">（十四）本项目接受进口产品投标</w:t>
      </w:r>
      <w:bookmarkEnd w:id="1"/>
      <w:r/>
      <w:bookmarkEnd w:id="2"/>
      <w:r/>
      <w:bookmarkEnd w:id="3"/>
      <w:r>
        <w:rPr>
          <w:rFonts w:eastAsia="方正仿宋_GBK"/>
          <w:color w:val="000000"/>
          <w:sz w:val="28"/>
          <w:szCs w:val="28"/>
        </w:rPr>
        <w:t xml:space="preserve">。</w:t>
      </w:r>
      <w:r>
        <w:rPr>
          <w:rFonts w:eastAsia="方正仿宋_GBK"/>
          <w:color w:val="000000"/>
          <w:sz w:val="28"/>
          <w:szCs w:val="28"/>
        </w:rPr>
      </w:r>
      <w:r/>
    </w:p>
    <w:p>
      <w:pPr>
        <w:pStyle w:val="716"/>
        <w:spacing w:after="312"/>
        <w:rPr>
          <w:rFonts w:hint="eastAsia" w:eastAsia="方正仿宋_GBK"/>
          <w:bCs/>
          <w:color w:val="000000"/>
          <w:sz w:val="28"/>
          <w:szCs w:val="28"/>
        </w:rPr>
        <w:sectPr>
          <w:footnotePr/>
          <w:endnotePr/>
          <w:type w:val="nextPage"/>
          <w:pgSz w:w="11906" w:h="16838" w:orient="portrait"/>
          <w:pgMar w:top="1440" w:right="1797" w:bottom="1440" w:left="1797" w:header="851" w:footer="992" w:gutter="0"/>
          <w:cols w:num="1" w:sep="0" w:space="1701" w:equalWidth="1"/>
          <w:docGrid w:linePitch="360"/>
        </w:sectPr>
        <w:outlineLvl w:val="1"/>
      </w:pPr>
      <w:r>
        <w:rPr>
          <w:rFonts w:hint="eastAsia" w:eastAsia="方正仿宋_GBK"/>
          <w:bCs/>
          <w:color w:val="000000"/>
          <w:sz w:val="28"/>
          <w:szCs w:val="28"/>
        </w:rPr>
      </w:r>
      <w:r/>
    </w:p>
    <w:p>
      <w:pPr>
        <w:pStyle w:val="716"/>
        <w:jc w:val="center"/>
        <w:spacing w:after="312"/>
        <w:rPr>
          <w:rFonts w:eastAsia="方正仿宋_GBK"/>
          <w:b/>
          <w:color w:val="000000"/>
          <w:sz w:val="28"/>
          <w:szCs w:val="28"/>
        </w:rPr>
        <w:outlineLvl w:val="1"/>
      </w:pPr>
      <w:r>
        <w:rPr>
          <w:rFonts w:eastAsia="方正仿宋_GBK"/>
          <w:b/>
          <w:color w:val="000000"/>
          <w:sz w:val="28"/>
          <w:szCs w:val="28"/>
        </w:rPr>
        <w:t xml:space="preserve">第四部分 合同文本</w:t>
      </w:r>
      <w:r>
        <w:rPr>
          <w:rFonts w:eastAsia="方正仿宋_GBK"/>
          <w:b/>
          <w:color w:val="000000"/>
          <w:sz w:val="28"/>
          <w:szCs w:val="28"/>
        </w:rPr>
      </w:r>
      <w:r/>
    </w:p>
    <w:p>
      <w:pPr>
        <w:pStyle w:val="716"/>
        <w:jc w:val="center"/>
        <w:rPr>
          <w:rFonts w:eastAsia="方正仿宋_GBK"/>
          <w:bCs/>
          <w:color w:val="000000"/>
          <w:sz w:val="28"/>
          <w:szCs w:val="28"/>
        </w:rPr>
      </w:pPr>
      <w:r>
        <w:rPr>
          <w:rFonts w:eastAsia="方正仿宋_GBK"/>
          <w:bCs/>
          <w:color w:val="000000"/>
          <w:sz w:val="28"/>
          <w:szCs w:val="28"/>
        </w:rPr>
        <w:t xml:space="preserve">江苏航运职业技术学院船舶海工结构虚拟仿真中心采购项目合同</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合同编号：</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项目编号：</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甲方（采购人）：江苏航运职业技术学院</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地址：南通市开发区通盛大道 185 号</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联系人：王老师</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联系电话：15665117426</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乙方（中标人）：</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地址：</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联系人：</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联系电话：</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若本项目为联合体投标，联合体信息如下：</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牵头人名称：</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成员单位名称：</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各方一致同意由牵头人代表联合体全权处理合同履行、款项收付等全部事宜，联合体各方对合同义务承担连带责任。</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根据《中华人民共和国民法典》《中华人民共和国政府采购法》等相关法律法规，遵循公开、公平、公正和诚实信用原则，甲乙双方就本项目采购事项协商一致，签订本合同。</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一 项目概况</w:t>
      </w:r>
      <w:r>
        <w:rPr>
          <w:rFonts w:eastAsia="方正仿宋_GBK"/>
          <w:b/>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1.项目名称：江苏航运职业技术学院船舶海工结构虚拟仿真中心采购项目</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2.项目地点：江苏航运职业技术学院</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3.合同履行期限：自合同签订之日起</w:t>
      </w:r>
      <w:r>
        <w:rPr>
          <w:rFonts w:hint="eastAsia" w:eastAsia="方正仿宋_GBK"/>
          <w:bCs/>
          <w:color w:val="000000"/>
          <w:sz w:val="28"/>
          <w:szCs w:val="28"/>
        </w:rPr>
        <w:t xml:space="preserve">90</w:t>
      </w:r>
      <w:r>
        <w:rPr>
          <w:rFonts w:eastAsia="方正仿宋_GBK"/>
          <w:bCs/>
          <w:color w:val="000000"/>
          <w:sz w:val="28"/>
          <w:szCs w:val="28"/>
        </w:rPr>
        <w:t xml:space="preserve">天内，完成全部货物供货、安装</w:t>
      </w:r>
      <w:r>
        <w:rPr>
          <w:rFonts w:hint="eastAsia" w:eastAsia="方正仿宋_GBK"/>
          <w:bCs/>
          <w:color w:val="000000"/>
          <w:sz w:val="28"/>
          <w:szCs w:val="28"/>
        </w:rPr>
        <w:t xml:space="preserve">、调试</w:t>
      </w:r>
      <w:r>
        <w:rPr>
          <w:rFonts w:eastAsia="方正仿宋_GBK"/>
          <w:bCs/>
          <w:color w:val="000000"/>
          <w:sz w:val="28"/>
          <w:szCs w:val="28"/>
        </w:rPr>
        <w:t xml:space="preserve">等工作。</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r>
      <w:r/>
    </w:p>
    <w:p>
      <w:pPr>
        <w:pStyle w:val="716"/>
        <w:ind w:firstLine="560"/>
        <w:rPr>
          <w:rFonts w:hint="eastAsia" w:eastAsia="方正仿宋_GBK"/>
          <w:bCs/>
          <w:color w:val="000000"/>
          <w:sz w:val="28"/>
          <w:szCs w:val="28"/>
        </w:rPr>
      </w:pPr>
      <w:r>
        <w:rPr>
          <w:rFonts w:hint="eastAsia"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二 合同价格</w:t>
      </w:r>
      <w:r>
        <w:rPr>
          <w:rFonts w:eastAsia="方正仿宋_GBK"/>
          <w:b/>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本合同总价为：人民币     （大写）（¥    元），该价格为固定总价，不因市场价格波动、政策调整等因素变化。</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合同总价已包含货物设计、制造、采购、包装、运输、装卸、安装、调试、测试、验收、培训、技术服务、质保期维保、知识产权授权、税费、运保费、施工配合费、安全文明施工费等全部相关费用，甲方无需再向乙方支付本合同约定之外的任何费用。</w:t>
      </w:r>
      <w:r>
        <w:rPr>
          <w:rFonts w:eastAsia="方正仿宋_GBK"/>
          <w:bCs/>
          <w:color w:val="000000"/>
          <w:sz w:val="28"/>
          <w:szCs w:val="28"/>
        </w:rPr>
        <w:br w:type="textWrapping" w:clear="all"/>
      </w: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三 付款方式</w:t>
      </w:r>
      <w:r>
        <w:rPr>
          <w:rFonts w:eastAsia="方正仿宋_GBK"/>
          <w:b/>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预付款：合同签订生效且乙方提交增值税专用发票后，甲方向乙方支付合同总价的10%。</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阶段进度款：货物清单第1-10项、第15-23项全部供货安装调试完成</w:t>
      </w:r>
      <w:r>
        <w:rPr>
          <w:rFonts w:hint="eastAsia" w:eastAsia="方正仿宋_GBK"/>
          <w:bCs/>
          <w:color w:val="000000"/>
          <w:sz w:val="28"/>
          <w:szCs w:val="28"/>
        </w:rPr>
        <w:t xml:space="preserve">（包括线上与本地部署）</w:t>
      </w:r>
      <w:r>
        <w:rPr>
          <w:rFonts w:eastAsia="方正仿宋_GBK"/>
          <w:bCs/>
          <w:color w:val="000000"/>
          <w:sz w:val="28"/>
          <w:szCs w:val="28"/>
        </w:rPr>
        <w:t xml:space="preserve">，通过第一阶段验收且乙方提交增值税专用发票后，甲方向乙方支付合同总价的50%。</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最终验收款：项目全部货物、系统、环境建设实施完成</w:t>
      </w:r>
      <w:r>
        <w:rPr>
          <w:rFonts w:hint="eastAsia" w:eastAsia="方正仿宋_GBK"/>
          <w:bCs/>
          <w:color w:val="000000"/>
          <w:sz w:val="28"/>
          <w:szCs w:val="28"/>
        </w:rPr>
        <w:t xml:space="preserve">（包括线上与本地部署）</w:t>
      </w:r>
      <w:r>
        <w:rPr>
          <w:rFonts w:eastAsia="方正仿宋_GBK"/>
          <w:bCs/>
          <w:color w:val="000000"/>
          <w:sz w:val="28"/>
          <w:szCs w:val="28"/>
        </w:rPr>
        <w:t xml:space="preserve">，通过最终验收并经过审计，在乙方提交增值税专用发票后，甲方向乙方支付合同总价的 40%。</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每次付款前，乙方须提供符合甲方财务要求的正规增值税专用发票，否则甲方有权</w:t>
      </w:r>
      <w:r>
        <w:rPr>
          <w:rFonts w:hint="eastAsia" w:eastAsia="方正仿宋_GBK"/>
          <w:bCs/>
          <w:color w:val="000000"/>
          <w:sz w:val="28"/>
          <w:szCs w:val="28"/>
        </w:rPr>
        <w:t xml:space="preserve">延期</w:t>
      </w:r>
      <w:r>
        <w:rPr>
          <w:rFonts w:eastAsia="方正仿宋_GBK"/>
          <w:bCs/>
          <w:color w:val="000000"/>
          <w:sz w:val="28"/>
          <w:szCs w:val="28"/>
        </w:rPr>
        <w:t xml:space="preserve">付款，且不承担违约责任。</w:t>
      </w:r>
      <w:r>
        <w:rPr>
          <w:rFonts w:eastAsia="方正仿宋_GBK"/>
          <w:bCs/>
          <w:color w:val="000000"/>
          <w:sz w:val="28"/>
          <w:szCs w:val="28"/>
        </w:rPr>
        <w:br w:type="textWrapping" w:clear="all"/>
      </w: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四 供货清单</w:t>
      </w:r>
      <w:r>
        <w:rPr>
          <w:rFonts w:eastAsia="方正仿宋_GBK"/>
          <w:b/>
          <w:color w:val="000000"/>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869"/>
        <w:gridCol w:w="3759"/>
        <w:gridCol w:w="863"/>
        <w:gridCol w:w="862"/>
      </w:tblGrid>
      <w:tr>
        <w:trPr>
          <w:trHeight w:val="454"/>
          <w:tblHeader/>
        </w:trPr>
        <w:tc>
          <w:tcPr>
            <w:shd w:val="clear" w:color="auto" w:fill="d9d9d9"/>
            <w:tcW w:w="689"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序号</w:t>
            </w:r>
            <w:r>
              <w:rPr>
                <w:rFonts w:eastAsia="方正楷体_GBK"/>
                <w:color w:val="000000"/>
                <w:szCs w:val="21"/>
                <w:lang w:bidi="ar"/>
              </w:rPr>
            </w:r>
            <w:r/>
          </w:p>
        </w:tc>
        <w:tc>
          <w:tcPr>
            <w:shd w:val="clear" w:color="auto" w:fill="d9d9d9"/>
            <w:tcW w:w="109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区域名称</w:t>
            </w:r>
            <w:r>
              <w:rPr>
                <w:rFonts w:eastAsia="方正楷体_GBK"/>
                <w:color w:val="000000"/>
                <w:szCs w:val="21"/>
                <w:lang w:bidi="ar"/>
              </w:rPr>
            </w:r>
            <w:r/>
          </w:p>
        </w:tc>
        <w:tc>
          <w:tcPr>
            <w:shd w:val="clear" w:color="auto" w:fill="d9d9d9"/>
            <w:tcW w:w="220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名称</w:t>
            </w:r>
            <w:r>
              <w:rPr>
                <w:rFonts w:eastAsia="方正楷体_GBK"/>
                <w:color w:val="000000"/>
                <w:szCs w:val="21"/>
                <w:lang w:bidi="ar"/>
              </w:rPr>
            </w:r>
            <w:r/>
          </w:p>
        </w:tc>
        <w:tc>
          <w:tcPr>
            <w:shd w:val="clear" w:color="auto" w:fill="d9d9d9"/>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数量</w:t>
            </w:r>
            <w:r>
              <w:rPr>
                <w:rFonts w:eastAsia="方正楷体_GBK"/>
                <w:color w:val="000000"/>
                <w:szCs w:val="21"/>
                <w:lang w:bidi="ar"/>
              </w:rPr>
            </w:r>
            <w:r/>
          </w:p>
        </w:tc>
        <w:tc>
          <w:tcPr>
            <w:shd w:val="clear" w:color="auto" w:fill="d9d9d9"/>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单位</w:t>
            </w:r>
            <w:r>
              <w:rPr>
                <w:rFonts w:eastAsia="方正楷体_GBK"/>
                <w:color w:val="000000"/>
                <w:szCs w:val="21"/>
                <w:lang w:bidi="ar"/>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rPr>
            </w:pPr>
            <w:r>
              <w:rPr>
                <w:rFonts w:eastAsia="方正楷体_GBK"/>
                <w:color w:val="000000"/>
                <w:szCs w:val="21"/>
                <w:lang w:bidi="ar"/>
              </w:rPr>
              <w:t xml:space="preserve">教学演示讲授区</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室内全彩LED大屏终端</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教师数据管控终端</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专用教师操作台</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船舶与海工教学数字化资源</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5</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rPr>
            </w:pPr>
            <w:r>
              <w:rPr>
                <w:rFonts w:eastAsia="方正楷体_GBK"/>
                <w:color w:val="000000"/>
                <w:szCs w:val="21"/>
                <w:lang w:bidi="ar"/>
              </w:rPr>
              <w:t xml:space="preserve">小组研讨仿真区</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教学实训专用终端</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48</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台</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6</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配套实训桌椅</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7</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船舶与海工结构认知教学系统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8</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船舶与海工虚拟装配教学系统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9</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海工建造交互实训系统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10</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船舶建造交互实训系统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11</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大型双燃料动力LNG船教学实训系统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12</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海上风电安装船教学实训系统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13</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深海浮式风电平台教学实训系统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14</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汽车滚装船教学实训系统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15</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船体放样仿真教学实训系统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16</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rPr>
            </w:pPr>
            <w:r>
              <w:rPr>
                <w:rFonts w:eastAsia="方正楷体_GBK"/>
                <w:color w:val="000000"/>
                <w:szCs w:val="21"/>
                <w:lang w:bidi="ar"/>
              </w:rPr>
              <w:t xml:space="preserve">虚实融合实操区</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船舶/海工结构研学沙盘</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17</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船舶/海工结构节点模型及展台</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18</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船舶/海工结构AR实训系统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19</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分段协同装配VR实训系统</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20</w:t>
            </w:r>
            <w:r>
              <w:rPr>
                <w:rFonts w:eastAsia="方正楷体_GBK"/>
                <w:color w:val="000000"/>
                <w:szCs w:val="21"/>
              </w:rPr>
            </w:r>
            <w:r/>
          </w:p>
        </w:tc>
        <w:tc>
          <w:tcPr>
            <w:tcW w:w="1096" w:type="dxa"/>
            <w:vAlign w:val="center"/>
            <w:vMerge w:val="continue"/>
            <w:textDirection w:val="lrTb"/>
            <w:noWrap w:val="false"/>
          </w:tcPr>
          <w:p>
            <w:pPr>
              <w:pStyle w:val="716"/>
              <w:jc w:val="center"/>
              <w:rPr>
                <w:rFonts w:eastAsia="方正楷体_GBK"/>
                <w:color w:val="000000"/>
                <w:szCs w:val="21"/>
              </w:rPr>
            </w:pP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lang w:bidi="ar"/>
              </w:rPr>
              <w:t xml:space="preserve">结构构件智能涂装作业模拟器</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21</w:t>
            </w:r>
            <w:r>
              <w:rPr>
                <w:rFonts w:eastAsia="方正楷体_GBK"/>
                <w:color w:val="000000"/>
                <w:szCs w:val="21"/>
              </w:rPr>
            </w:r>
            <w:r/>
          </w:p>
        </w:tc>
        <w:tc>
          <w:tcPr>
            <w:tcW w:w="1096" w:type="dxa"/>
            <w:vAlign w:val="center"/>
            <w:vMerge w:val="restart"/>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实验室综合环境建设</w:t>
            </w:r>
            <w:r>
              <w:rPr>
                <w:rFonts w:eastAsia="方正楷体_GBK"/>
                <w:color w:val="000000"/>
                <w:szCs w:val="21"/>
                <w:lang w:bidi="ar"/>
              </w:rPr>
            </w:r>
            <w:r/>
          </w:p>
          <w:p>
            <w:pPr>
              <w:pStyle w:val="716"/>
              <w:jc w:val="center"/>
              <w:rPr>
                <w:rFonts w:eastAsia="方正楷体_GBK"/>
                <w:color w:val="000000"/>
                <w:szCs w:val="21"/>
              </w:rPr>
            </w:pPr>
            <w:r>
              <w:rPr>
                <w:rFonts w:eastAsia="方正楷体_GBK"/>
                <w:color w:val="000000"/>
                <w:szCs w:val="21"/>
                <w:lang w:bidi="ar"/>
              </w:rPr>
              <w:t xml:space="preserve">（限价22万）</w:t>
            </w:r>
            <w:r>
              <w:rPr>
                <w:rFonts w:eastAsia="方正楷体_GBK"/>
                <w:color w:val="000000"/>
                <w:szCs w:val="21"/>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rPr>
              <w:t xml:space="preserve">土建</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项</w:t>
            </w:r>
            <w:r>
              <w:rPr>
                <w:rFonts w:eastAsia="方正楷体_GBK"/>
                <w:color w:val="000000"/>
                <w:szCs w:val="21"/>
              </w:rPr>
            </w:r>
            <w:r/>
          </w:p>
        </w:tc>
      </w:tr>
      <w:tr>
        <w:trPr>
          <w:trHeight w:val="510"/>
        </w:trPr>
        <w:tc>
          <w:tcPr>
            <w:tcW w:w="689"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22</w:t>
            </w:r>
            <w:r>
              <w:rPr>
                <w:rFonts w:eastAsia="方正楷体_GBK"/>
                <w:color w:val="000000"/>
                <w:szCs w:val="21"/>
                <w:lang w:bidi="ar"/>
              </w:rPr>
            </w:r>
            <w:r/>
          </w:p>
        </w:tc>
        <w:tc>
          <w:tcPr>
            <w:tcW w:w="1096" w:type="dxa"/>
            <w:vAlign w:val="center"/>
            <w:vMerge w:val="continue"/>
            <w:textDirection w:val="lrTb"/>
            <w:noWrap w:val="false"/>
          </w:tcPr>
          <w:p>
            <w:pPr>
              <w:pStyle w:val="716"/>
              <w:jc w:val="center"/>
              <w:rPr>
                <w:rFonts w:eastAsia="方正楷体_GBK"/>
                <w:color w:val="000000"/>
                <w:szCs w:val="21"/>
                <w:lang w:bidi="ar"/>
              </w:rPr>
            </w:pPr>
            <w:r>
              <w:rPr>
                <w:rFonts w:eastAsia="方正楷体_GBK"/>
                <w:color w:val="000000"/>
                <w:szCs w:val="21"/>
                <w:lang w:bidi="ar"/>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rPr>
              <w:t xml:space="preserve">电气</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项</w:t>
            </w:r>
            <w:r>
              <w:rPr>
                <w:rFonts w:eastAsia="方正楷体_GBK"/>
                <w:color w:val="000000"/>
                <w:szCs w:val="21"/>
                <w:lang w:bidi="ar"/>
              </w:rPr>
            </w:r>
            <w:r/>
          </w:p>
        </w:tc>
      </w:tr>
      <w:tr>
        <w:trPr>
          <w:trHeight w:val="510"/>
        </w:trPr>
        <w:tc>
          <w:tcPr>
            <w:tcW w:w="689"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23</w:t>
            </w:r>
            <w:r>
              <w:rPr>
                <w:rFonts w:eastAsia="方正楷体_GBK"/>
                <w:color w:val="000000"/>
                <w:szCs w:val="21"/>
                <w:lang w:bidi="ar"/>
              </w:rPr>
            </w:r>
            <w:r/>
          </w:p>
        </w:tc>
        <w:tc>
          <w:tcPr>
            <w:tcW w:w="1096" w:type="dxa"/>
            <w:vAlign w:val="center"/>
            <w:vMerge w:val="continue"/>
            <w:textDirection w:val="lrTb"/>
            <w:noWrap w:val="false"/>
          </w:tcPr>
          <w:p>
            <w:pPr>
              <w:pStyle w:val="716"/>
              <w:jc w:val="center"/>
              <w:rPr>
                <w:rFonts w:eastAsia="方正楷体_GBK"/>
                <w:color w:val="000000"/>
                <w:szCs w:val="21"/>
                <w:lang w:bidi="ar"/>
              </w:rPr>
            </w:pPr>
            <w:r>
              <w:rPr>
                <w:rFonts w:eastAsia="方正楷体_GBK"/>
                <w:color w:val="000000"/>
                <w:szCs w:val="21"/>
                <w:lang w:bidi="ar"/>
              </w:rPr>
            </w:r>
            <w:r/>
          </w:p>
        </w:tc>
        <w:tc>
          <w:tcPr>
            <w:tcW w:w="2204" w:type="dxa"/>
            <w:vAlign w:val="center"/>
            <w:textDirection w:val="lrTb"/>
            <w:noWrap w:val="false"/>
          </w:tcPr>
          <w:p>
            <w:pPr>
              <w:pStyle w:val="716"/>
              <w:jc w:val="left"/>
              <w:rPr>
                <w:rFonts w:eastAsia="方正楷体_GBK"/>
                <w:color w:val="000000"/>
                <w:szCs w:val="21"/>
              </w:rPr>
            </w:pPr>
            <w:r>
              <w:rPr>
                <w:rFonts w:eastAsia="方正楷体_GBK"/>
                <w:color w:val="000000"/>
                <w:szCs w:val="21"/>
              </w:rPr>
              <w:t xml:space="preserve">思政文化墙</w:t>
            </w:r>
            <w:r>
              <w:rPr>
                <w:rFonts w:eastAsia="方正楷体_GBK"/>
                <w:color w:val="000000"/>
                <w:szCs w:val="21"/>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lang w:bidi="ar"/>
              </w:rPr>
            </w:r>
            <w:r/>
          </w:p>
        </w:tc>
        <w:tc>
          <w:tcPr>
            <w:tcW w:w="506"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面</w:t>
            </w:r>
            <w:r>
              <w:rPr>
                <w:rFonts w:eastAsia="方正楷体_GBK"/>
                <w:color w:val="000000"/>
                <w:szCs w:val="21"/>
                <w:lang w:bidi="ar"/>
              </w:rPr>
            </w:r>
            <w:r/>
          </w:p>
        </w:tc>
      </w:tr>
    </w:tbl>
    <w:p>
      <w:pPr>
        <w:pStyle w:val="716"/>
        <w:ind w:firstLine="562"/>
        <w:rPr>
          <w:rFonts w:hint="eastAsia" w:eastAsia="方正仿宋_GBK"/>
          <w:b/>
          <w:color w:val="000000"/>
          <w:sz w:val="28"/>
          <w:szCs w:val="28"/>
        </w:rPr>
        <w:outlineLvl w:val="2"/>
      </w:pPr>
      <w:r>
        <w:rPr>
          <w:rFonts w:eastAsia="方正仿宋_GBK"/>
          <w:b/>
          <w:color w:val="000000"/>
          <w:sz w:val="28"/>
          <w:szCs w:val="28"/>
        </w:rPr>
        <w:t xml:space="preserve">五 技术要求</w:t>
      </w:r>
      <w:r>
        <w:rPr>
          <w:rFonts w:hint="eastAsia" w:eastAsia="方正仿宋_GBK"/>
          <w:b/>
          <w:color w:val="000000"/>
          <w:sz w:val="28"/>
          <w:szCs w:val="28"/>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6"/>
        <w:gridCol w:w="1340"/>
        <w:gridCol w:w="5182"/>
        <w:gridCol w:w="650"/>
        <w:gridCol w:w="650"/>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货物名称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firstLine="422"/>
              <w:jc w:val="center"/>
              <w:rPr>
                <w:rFonts w:eastAsia="方正楷体_GBK"/>
                <w:b/>
                <w:bCs/>
                <w:color w:val="000000"/>
                <w:szCs w:val="21"/>
              </w:rPr>
            </w:pPr>
            <w:r>
              <w:rPr>
                <w:rFonts w:eastAsia="方正楷体_GBK"/>
                <w:b/>
                <w:bCs/>
                <w:color w:val="000000"/>
                <w:szCs w:val="21"/>
                <w:lang w:bidi="ar"/>
              </w:rPr>
              <w:t xml:space="preserve">货物详细参数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数量</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单位</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室内全彩LED大屏终端</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（1）户内LED显示屏规格</w:t>
            </w:r>
            <w:r>
              <w:rPr>
                <w:rFonts w:eastAsia="方正楷体_GBK"/>
                <w:color w:val="000000"/>
                <w:szCs w:val="21"/>
              </w:rPr>
            </w:r>
            <w:r/>
          </w:p>
          <w:p>
            <w:pPr>
              <w:pStyle w:val="716"/>
              <w:ind w:firstLine="420"/>
              <w:rPr>
                <w:rFonts w:eastAsia="方正楷体_GBK"/>
                <w:b/>
                <w:bCs/>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▲LED 屏幕总尺寸（W×H）≥640cm×256cm，显示屏面积：16-18㎡。</w:t>
            </w:r>
            <w:r>
              <w:rPr>
                <w:rFonts w:eastAsia="方正楷体_GBK"/>
                <w:b/>
                <w:bCs/>
                <w:color w:val="000000"/>
                <w:szCs w:val="21"/>
              </w:rPr>
            </w:r>
            <w:r/>
          </w:p>
          <w:p>
            <w:pPr>
              <w:pStyle w:val="716"/>
              <w:ind w:firstLine="420"/>
              <w:rPr>
                <w:rFonts w:hint="eastAsia" w:eastAsia="方正楷体_GBK"/>
                <w:b/>
                <w:bCs/>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▲像素点间距：P2户内全彩，像素组成1R1G1B。</w:t>
            </w:r>
            <w:r>
              <w:rPr>
                <w:rFonts w:hint="eastAsia" w:eastAsia="方正楷体_GBK"/>
                <w:b/>
                <w:bCs/>
                <w:color w:val="000000"/>
                <w:szCs w:val="21"/>
              </w:rPr>
            </w:r>
            <w:r/>
          </w:p>
          <w:p>
            <w:pPr>
              <w:pStyle w:val="716"/>
              <w:ind w:firstLine="420"/>
              <w:rPr>
                <w:rFonts w:hint="eastAsia" w:eastAsia="方正楷体_GBK"/>
                <w:b/>
                <w:bCs/>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▲显示适配：亮度≥500cd/㎡，刷新频率 ≥3840Hz，支持4K超高清虚仿画面渲染输出，可实现实训终端同步分屏投屏，单屏/多屏切换无卡顿、无延迟；整屏颜色一致，无发蓝发黄。</w:t>
            </w:r>
            <w:r>
              <w:rPr>
                <w:rFonts w:hint="eastAsia"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平均无故障时间≥1万小时；最佳视觉水平≥130°，垂直≥105°。</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单元板结构为灯驱合一，驱动方式恒流驱动，驱动器件采用恒流专用驱动器件，带金属支架。</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（2）视频处理器：输入接口为1×HDMI 2.0、1×DP1.2、2×DVI、2×HDMI1.3，支持 4路HDMI 2.0输入，20网口输出，USB接口控制，可级联多台进行统一控制，支持最大1300万像素带载。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（3）控制系统：单卡最大带载384×512 像素点，最多支持24组RGB 并行数据。</w:t>
            </w:r>
            <w:r>
              <w:rPr>
                <w:rFonts w:hint="eastAsia" w:eastAsia="方正楷体_GBK"/>
                <w:color w:val="000000"/>
                <w:szCs w:val="21"/>
              </w:rPr>
              <w:t xml:space="preserve">具备</w:t>
            </w:r>
            <w:r>
              <w:rPr>
                <w:rFonts w:eastAsia="方正楷体_GBK"/>
                <w:color w:val="000000"/>
                <w:szCs w:val="21"/>
              </w:rPr>
              <w:t xml:space="preserve">12个标准的HUB75 接口，具有高稳定性和高可靠性，适用于多种环境的搭建。</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（4）配电柜：支持分路延时，一键启动，消防锁扣，PLC远程控制。</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（5）音响系统套装：5.1声道，环绕扬声器，挂壁。</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（6）含安装调试，安装支架采用（50*50，40*40，40*20，20*20）方通，4号角钢。</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2</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教师数据</w:t>
            </w:r>
            <w:r>
              <w:rPr>
                <w:rFonts w:eastAsia="方正楷体_GBK"/>
                <w:color w:val="000000"/>
                <w:szCs w:val="21"/>
              </w:rPr>
            </w:r>
            <w:r/>
          </w:p>
          <w:p>
            <w:pPr>
              <w:pStyle w:val="716"/>
              <w:jc w:val="center"/>
              <w:rPr>
                <w:rFonts w:eastAsia="方正楷体_GBK"/>
                <w:color w:val="000000"/>
                <w:szCs w:val="21"/>
              </w:rPr>
            </w:pPr>
            <w:r>
              <w:rPr>
                <w:rFonts w:eastAsia="方正楷体_GBK"/>
                <w:color w:val="000000"/>
                <w:szCs w:val="21"/>
              </w:rPr>
              <w:t xml:space="preserve">管控终端</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rPr>
                <w:rFonts w:hint="eastAsia" w:eastAsia="方正楷体_GBK"/>
                <w:b/>
                <w:bCs/>
                <w:color w:val="000000"/>
                <w:szCs w:val="21"/>
              </w:rPr>
            </w:pPr>
            <w:r>
              <w:rPr>
                <w:rFonts w:eastAsia="方正楷体_GBK"/>
                <w:color w:val="000000"/>
                <w:szCs w:val="21"/>
              </w:rPr>
              <w:t xml:space="preserve">（1）▲处理器：2颗至强处理器，主频≥2.8GHz，核心数≥32核。</w:t>
            </w:r>
            <w:r>
              <w:rPr>
                <w:rFonts w:hint="eastAsia" w:eastAsia="方正楷体_GBK"/>
                <w:b/>
                <w:bCs/>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▲运存：≥64G DDR4。</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▲显卡：RTXA4500及以上，显存≥20GB。</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（4）▲硬盘：PCIe 4.0固态硬盘≥1T + 7200RPM机械硬盘≥1T。</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操作系统：支持Windows 10及以上操作系统。</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（7）</w:t>
            </w:r>
            <w:r>
              <w:rPr>
                <w:rFonts w:eastAsia="方正楷体_GBK"/>
                <w:color w:val="000000"/>
                <w:szCs w:val="21"/>
              </w:rPr>
              <w:t xml:space="preserve">显示终端：屏幕尺寸≥23.8英寸，分辨率≥2K。</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（8）</w:t>
            </w:r>
            <w:r>
              <w:rPr>
                <w:rFonts w:eastAsia="方正楷体_GBK"/>
                <w:color w:val="000000"/>
                <w:szCs w:val="21"/>
              </w:rPr>
              <w:t xml:space="preserve">接口拓展：预留≥4 个 USB3.2、≥2 个 HDMI 2.1 接口，适配外接实训设备。</w:t>
            </w:r>
            <w:r>
              <w:rPr>
                <w:rFonts w:eastAsia="方正楷体_GBK"/>
                <w:color w:val="000000"/>
                <w:szCs w:val="21"/>
              </w:rPr>
            </w:r>
            <w:r/>
          </w:p>
          <w:p>
            <w:pPr>
              <w:pStyle w:val="716"/>
              <w:widowControl/>
              <w:tabs>
                <w:tab w:val="left" w:pos="312" w:leader="none"/>
              </w:tabs>
              <w:rPr>
                <w:rFonts w:eastAsia="方正楷体_GBK"/>
                <w:color w:val="000000"/>
                <w:szCs w:val="21"/>
              </w:rPr>
            </w:pPr>
            <w:r>
              <w:rPr>
                <w:rFonts w:hint="eastAsia" w:eastAsia="方正楷体_GBK"/>
                <w:color w:val="000000"/>
                <w:szCs w:val="21"/>
              </w:rPr>
              <w:t xml:space="preserve">（9）</w:t>
            </w:r>
            <w:r>
              <w:rPr>
                <w:rFonts w:eastAsia="方正楷体_GBK"/>
                <w:color w:val="000000"/>
                <w:szCs w:val="21"/>
              </w:rPr>
              <w:t xml:space="preserve">其他要求：支持远程监控学生终端操作、一键锁屏/下发任务/回收作业，兼容虚仿教学管理系统，控制终端满足多任务处理、仿真软件运行等教学场景高性能需求；所有线缆通过隐藏式理线槽引出，保持桌面环境整洁。</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（10）售后保障：硬件提供≥</w:t>
            </w:r>
            <w:r>
              <w:rPr>
                <w:rFonts w:hint="eastAsia" w:eastAsia="方正楷体_GBK"/>
                <w:color w:val="000000"/>
                <w:szCs w:val="21"/>
              </w:rPr>
              <w:t xml:space="preserve">5</w:t>
            </w:r>
            <w:r>
              <w:rPr>
                <w:rFonts w:eastAsia="方正楷体_GBK"/>
                <w:color w:val="000000"/>
                <w:szCs w:val="21"/>
              </w:rPr>
              <w:t xml:space="preserve">年原厂质保，48 小时上门维修，保障实训教学不间断。</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3</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专用教师</w:t>
            </w:r>
            <w:r>
              <w:rPr>
                <w:rFonts w:eastAsia="方正楷体_GBK"/>
                <w:color w:val="000000"/>
                <w:szCs w:val="21"/>
              </w:rPr>
            </w:r>
            <w:r/>
          </w:p>
          <w:p>
            <w:pPr>
              <w:pStyle w:val="716"/>
              <w:jc w:val="center"/>
              <w:rPr>
                <w:rFonts w:eastAsia="方正楷体_GBK"/>
                <w:color w:val="000000"/>
                <w:szCs w:val="21"/>
              </w:rPr>
            </w:pPr>
            <w:r>
              <w:rPr>
                <w:rFonts w:eastAsia="方正楷体_GBK"/>
                <w:color w:val="000000"/>
                <w:szCs w:val="21"/>
              </w:rPr>
              <w:t xml:space="preserve">操作台</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tabs>
                <w:tab w:val="left" w:pos="312" w:leader="none"/>
              </w:tabs>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尺寸（长×宽×高）≥1.0*0.7*1.0m，体积0.7-1m</w:t>
            </w:r>
            <w:r>
              <w:rPr>
                <w:rFonts w:eastAsia="方正楷体_GBK"/>
                <w:color w:val="000000"/>
                <w:szCs w:val="21"/>
                <w:vertAlign w:val="superscript"/>
              </w:rPr>
              <w:t xml:space="preserve">3</w:t>
            </w:r>
            <w:r>
              <w:rPr>
                <w:rFonts w:eastAsia="方正楷体_GBK"/>
                <w:color w:val="000000"/>
                <w:szCs w:val="21"/>
              </w:rPr>
              <w:t xml:space="preserve">。</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（2）材质：冷轧碳素钢板，表面经过除锈处理后静电喷塑，配置木制扶手和面板，表面光滑，不易变形，防腐防锈。</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3）功能：支持教师数据管控终端的放置与使用，具备显示器可翻转式设计，可放置≥23.8英寸显示器，具备键盘和鼠标固定位置，显示器翻转角度可调节，机箱配有安全锁，含有通风散热孔，预留走线孔，美观简洁。</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（4）配套办公椅：弓形办公椅1把，高度可调节，与办公桌匹配，椅面尺寸（长×宽）满足≥450×450mm，符合人体工学设计，钢制椅脚或尼龙椅脚。所有五金件做防锈、防腐处理，耐磨防刮。</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（5）售后保障：硬件提供≥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rPr>
            </w:pPr>
            <w:r>
              <w:rPr>
                <w:rFonts w:eastAsia="方正楷体_GBK"/>
                <w:color w:val="000000"/>
                <w:szCs w:val="21"/>
                <w:lang w:bidi="ar"/>
              </w:rPr>
              <w:t xml:space="preserve">4</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船舶与海工教学数字化资源</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tabs>
                <w:tab w:val="left" w:pos="312" w:leader="none"/>
              </w:tabs>
              <w:rPr>
                <w:rFonts w:eastAsia="方正楷体_GBK"/>
                <w:color w:val="000000"/>
                <w:szCs w:val="21"/>
              </w:rPr>
            </w:pPr>
            <w:r>
              <w:rPr>
                <w:rFonts w:eastAsia="方正楷体_GBK"/>
                <w:color w:val="000000"/>
                <w:szCs w:val="21"/>
              </w:rPr>
              <w:t xml:space="preserve">（1）制作要求：数字化资源需以船舶与海工“设计、建造、调试、检验、运维”全流程为核心，融入智能制造技术应用场景，主题突出、内容完整，符合展示内容要求。视频播放流畅，无屏闪、无黑屏，镜头衔接自然。全程音量、音色保持稳定，音频饱满清晰无杂音，声画同步。单个音视频资源需含有标题，配有字幕和解说；分辨率：4K；画幅：16:9；文件格式：MP4格式视频文件，适配所有实训终端、LED 大屏播放。</w:t>
            </w:r>
            <w:r>
              <w:rPr>
                <w:rFonts w:eastAsia="方正楷体_GBK"/>
                <w:color w:val="000000"/>
                <w:szCs w:val="21"/>
              </w:rPr>
            </w:r>
            <w:r/>
          </w:p>
          <w:p>
            <w:pPr>
              <w:pStyle w:val="716"/>
              <w:widowControl/>
              <w:tabs>
                <w:tab w:val="left" w:pos="312" w:leader="none"/>
              </w:tabs>
              <w:rPr>
                <w:rFonts w:eastAsia="方正楷体_GBK"/>
                <w:color w:val="000000"/>
                <w:szCs w:val="21"/>
              </w:rPr>
            </w:pPr>
            <w:r>
              <w:rPr>
                <w:rFonts w:eastAsia="方正楷体_GBK"/>
                <w:color w:val="000000"/>
                <w:szCs w:val="21"/>
              </w:rPr>
              <w:t xml:space="preserve">（2）多媒体资源内容包含但不限于以下：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资源1：需展示全球新一轮科技革命和产业变革加紧孕育兴起，智能制造在全球范围内快速发展，已成为船舶制造业重要发展趋势。需展示船舶智能制造以提升船舶总装建造效率、质量和效益为目标，以满足国内船舶工业发展需求为重点。视频时长≥3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资源2：静默画面资源，画面包含船舶/海工元素、科技感元素、学校LOGO，用于各展示终端静默时画面展示。</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资源3：船舶与海工设计与规范。展示现代船舶/海工设计流程、先进工具等内容，呈现智能设计工具对结构设计精度与效率的提升作用。视频时长≥2分钟。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资源4：船舶与海工智能制造。展示钢材预处理智能产线（聚焦船舶钢材预处理流程，展示预热、抛丸除锈、喷涂防锈、烘干等工艺环节，呈现动态辊道输送系</w:t>
            </w:r>
            <w:r>
              <w:rPr>
                <w:rFonts w:eastAsia="方正楷体_GBK"/>
                <w:color w:val="000000"/>
                <w:szCs w:val="21"/>
              </w:rPr>
              <w:t xml:space="preserve">统与预处理设备联动逻辑）、智能制造组立生产线（演示船舶中小组立件组装流程，呈现智能产线工位布局，包括上料装配工位、焊接工位、打磨工位、背烧工位、移出工位）、分段智能车间（展示智能化平面分段流水线，包括拼板工位、FCB焊工位、划线修补工位、纵骨安装工位、纵骨焊接工位、横移工位、肋板安装工位、肋板焊接工位、预舾装工位、顶升工位等作业流程）、智能涂装中心（展示船舶分段智能涂装流程，包括喷砂除锈、面漆喷涂等环节）、船舶搭载、船舶下水（展示重力式下水、漂浮式下水、机械式下水和气囊式下水等下水方式）视频时长≥10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资源5：船舶与海工协同调试。聚焦协同调试环节，说明调试环节对规避结构与系统运行冲突、保障装备整体安全运行的核心作用。视频时长≥2分钟。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资源6：智能检验与性能验证。展示射线检测、超声波检测、磁粉检测、渗透检测与涡流检测、结构尺寸精度复核、静载/动载强度测试等环节。视频时长≥2分钟。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资源7：船舶与海工运维。说明运维工艺的实操要点与技术要求，体现智能制造技术对结构延寿、降低运维成本的支撑作用。视频时长≥2分钟。</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（3）▲根据行业发展动态变化，自验收合格之日起，</w:t>
            </w:r>
            <w:r>
              <w:rPr>
                <w:rFonts w:hint="eastAsia" w:eastAsia="方正楷体_GBK"/>
                <w:color w:val="000000"/>
                <w:szCs w:val="21"/>
              </w:rPr>
              <w:t xml:space="preserve">5</w:t>
            </w:r>
            <w:r>
              <w:rPr>
                <w:rFonts w:eastAsia="方正楷体_GBK"/>
                <w:color w:val="000000"/>
                <w:szCs w:val="21"/>
              </w:rPr>
              <w:t xml:space="preserve"> 年内免费提供 1 次资源更新服务，更新资源数量≥4 个 ，必须包含核心资源 4。</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（4）资源若出现知识性、工艺性、规范性错误，供应商需24 小时内响应，1个月免费完成修改并重新交付，提供永久修改保障。</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（5）所有数字化资源为原创正版，无侵权、无水印，提供版权承诺函，无法律纠纷。</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1</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rPr>
            </w:pPr>
            <w:r>
              <w:rPr>
                <w:rFonts w:eastAsia="方正楷体_GBK"/>
                <w:color w:val="000000"/>
                <w:szCs w:val="21"/>
                <w:lang w:bidi="ar"/>
              </w:rPr>
              <w:t xml:space="preserve">套</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5</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教学实训专用终端</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hint="eastAsia" w:eastAsia="方正楷体_GBK"/>
                <w:color w:val="000000"/>
                <w:szCs w:val="21"/>
              </w:rPr>
              <w:t xml:space="preserve">（1）</w:t>
            </w:r>
            <w:r>
              <w:rPr>
                <w:rFonts w:eastAsia="方正楷体_GBK"/>
                <w:color w:val="000000"/>
                <w:szCs w:val="21"/>
              </w:rPr>
              <w:t xml:space="preserve">▲处理器：≥i5、13代</w:t>
            </w:r>
            <w:r>
              <w:rPr>
                <w:rFonts w:hint="eastAsia" w:eastAsia="方正楷体_GBK"/>
                <w:color w:val="000000"/>
                <w:szCs w:val="21"/>
              </w:rPr>
              <w:t xml:space="preserve">。</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▲运行内存：≥16GB DDR4。</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（3）</w:t>
            </w:r>
            <w:r>
              <w:rPr>
                <w:rFonts w:eastAsia="方正楷体_GBK"/>
                <w:color w:val="000000"/>
                <w:szCs w:val="21"/>
              </w:rPr>
              <w:t xml:space="preserve">▲存储内存：≥512G PCIe 4.0固态硬盘，7200RPM机械硬盘≥1T。</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（4）</w:t>
            </w:r>
            <w:r>
              <w:rPr>
                <w:rFonts w:eastAsia="方正楷体_GBK"/>
                <w:color w:val="000000"/>
                <w:szCs w:val="21"/>
              </w:rPr>
              <w:t xml:space="preserve">▲独立显卡≥RTX 4060；显存≥8G。</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（5）</w:t>
            </w:r>
            <w:r>
              <w:rPr>
                <w:rFonts w:eastAsia="方正楷体_GBK"/>
                <w:color w:val="000000"/>
                <w:szCs w:val="21"/>
              </w:rPr>
              <w:t xml:space="preserve">配套：原厂原装USB键鼠套装。</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（6）</w:t>
            </w:r>
            <w:r>
              <w:rPr>
                <w:rFonts w:eastAsia="方正楷体_GBK"/>
                <w:color w:val="000000"/>
                <w:szCs w:val="21"/>
              </w:rPr>
              <w:t xml:space="preserve">显示器：≥21.5寸，分辨率：≥1920*1080。</w:t>
            </w:r>
            <w:r>
              <w:rPr>
                <w:rFonts w:eastAsia="方正楷体_GBK"/>
                <w:color w:val="000000"/>
                <w:szCs w:val="21"/>
              </w:rPr>
            </w:r>
            <w:r/>
          </w:p>
          <w:p>
            <w:pPr>
              <w:pStyle w:val="716"/>
              <w:widowControl/>
              <w:rPr>
                <w:rFonts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其他要求：控制终端满足多任务处理、仿真软件运行等教学场景高性能需求；所有线缆通过隐藏式理线槽引出，保持桌面环境整洁。</w:t>
            </w:r>
            <w:r>
              <w:rPr>
                <w:rFonts w:eastAsia="方正楷体_GBK"/>
                <w:color w:val="000000"/>
                <w:szCs w:val="21"/>
                <w:lang w:bidi="ar"/>
              </w:rPr>
            </w:r>
            <w:r/>
          </w:p>
          <w:p>
            <w:pPr>
              <w:pStyle w:val="716"/>
              <w:widowControl/>
              <w:rPr>
                <w:rFonts w:eastAsia="方正楷体_GBK"/>
                <w:color w:val="000000"/>
                <w:szCs w:val="21"/>
                <w:lang w:bidi="ar"/>
              </w:rPr>
            </w:pPr>
            <w:r>
              <w:rPr>
                <w:rFonts w:eastAsia="方正楷体_GBK"/>
                <w:color w:val="000000"/>
                <w:szCs w:val="21"/>
              </w:rPr>
              <w:t xml:space="preserve">（8）售后保障：硬件提供≥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48</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6</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配套实训</w:t>
            </w:r>
            <w:r>
              <w:rPr>
                <w:rFonts w:eastAsia="方正楷体_GBK"/>
                <w:color w:val="000000"/>
                <w:szCs w:val="21"/>
                <w:lang w:bidi="ar"/>
              </w:rPr>
            </w:r>
            <w:r/>
          </w:p>
          <w:p>
            <w:pPr>
              <w:pStyle w:val="716"/>
              <w:jc w:val="center"/>
              <w:rPr>
                <w:rFonts w:eastAsia="方正楷体_GBK"/>
                <w:color w:val="000000"/>
                <w:szCs w:val="21"/>
                <w:lang w:bidi="ar"/>
              </w:rPr>
            </w:pPr>
            <w:r>
              <w:rPr>
                <w:rFonts w:eastAsia="方正楷体_GBK"/>
                <w:color w:val="000000"/>
                <w:szCs w:val="21"/>
                <w:lang w:bidi="ar"/>
              </w:rPr>
              <w:t xml:space="preserve">桌椅</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（1）组成：每套桌椅套装含1套六边形交流桌和6把椅子，满足48人学生教学实训，可开展分组研讨。</w:t>
            </w:r>
            <w:r>
              <w:rPr>
                <w:rFonts w:eastAsia="方正楷体_GBK"/>
                <w:color w:val="000000"/>
                <w:szCs w:val="21"/>
              </w:rPr>
            </w:r>
            <w:r/>
          </w:p>
          <w:p>
            <w:pPr>
              <w:pStyle w:val="716"/>
              <w:widowControl/>
              <w:rPr>
                <w:rFonts w:eastAsia="方正楷体_GBK"/>
                <w:b/>
                <w:bCs/>
                <w:color w:val="000000"/>
                <w:szCs w:val="21"/>
              </w:rPr>
            </w:pPr>
            <w:r>
              <w:rPr>
                <w:rFonts w:eastAsia="方正楷体_GBK"/>
                <w:color w:val="000000"/>
                <w:szCs w:val="21"/>
              </w:rPr>
              <w:t xml:space="preserve">（2）▲六边形交流桌材质为钢木结构，桌面为木制，耐磨防刮，桌面无毛刺。钢制桌脚，钢管壁厚≥1mm，结构稳定，所有五金件做防锈、防腐处理，每套六边形桌预留 6套实训终端走线孔，线缆隐藏收纳；人体工学椅：椅面尺寸（长×宽）满足≥0.45×0.45m，符合人体工学设计，钢制椅脚或尼龙椅脚。所有五金件做防锈、防腐处理，耐磨防刮。</w:t>
            </w:r>
            <w:r>
              <w:rPr>
                <w:rFonts w:eastAsia="方正楷体_GBK"/>
                <w:b/>
                <w:bCs/>
                <w:color w:val="000000"/>
                <w:szCs w:val="21"/>
              </w:rPr>
            </w:r>
            <w:r/>
          </w:p>
          <w:p>
            <w:pPr>
              <w:pStyle w:val="716"/>
              <w:widowControl/>
              <w:rPr>
                <w:rFonts w:eastAsia="方正楷体_GBK"/>
                <w:color w:val="000000"/>
                <w:szCs w:val="21"/>
              </w:rPr>
            </w:pPr>
            <w:r>
              <w:rPr>
                <w:rFonts w:eastAsia="方正楷体_GBK"/>
                <w:color w:val="000000"/>
                <w:szCs w:val="21"/>
              </w:rPr>
              <w:t xml:space="preserve">（3）售后保障：硬件提供≥</w:t>
            </w:r>
            <w:r>
              <w:rPr>
                <w:rFonts w:hint="eastAsia" w:eastAsia="方正楷体_GBK"/>
                <w:color w:val="000000"/>
                <w:szCs w:val="21"/>
              </w:rPr>
              <w:t xml:space="preserve">5</w:t>
            </w:r>
            <w:r>
              <w:rPr>
                <w:rFonts w:eastAsia="方正楷体_GBK"/>
                <w:color w:val="000000"/>
                <w:szCs w:val="21"/>
              </w:rPr>
              <w:t xml:space="preserve">年原厂质保，48 小时上门维修，保障实训教学不间断。</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9</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7</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船舶与海工结构认知教学系统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（1）支持虚拟漫游：可涵盖轨迹球、步行、飞行、驾驶、地形等多种漫游方式。</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（2）支持动画路径制作：可对漫游路径进行记录和编辑，制作漫游过程动画并导出为视频文件；支持在多通道环境下对动画执行播放、暂停、进度控制等操作。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（3）支持三维测量：可在多通道环境下提供场景中点与点、点与面的距离计算、两点在指定方向的距离计算，以及线与线夹角、面与面夹角的测量功能。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支持地标记录和管理：可在多通道环境下的实时漫游过程中，随时记录视点并将视点信息保存至文件；用户可根据需求选择已保存的视点，图形窗口将依据保存信息快速切换，实现对指定舱室、系统、零件的快速检查。 </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（5）支持模型选择与操作：可在多通道环境下提供单选、多选、根据名称搜索等模型选择功能，支持对模型执行平移、旋转、删除、导出、属性查看等操作。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（6）支持结构化产品结构树管理：可在多通道环境下从设计系统中载入结构化产品结构树并与三维模型关联，以便模型的查找与信息查看。</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（7）▲支持记录和管理设计评审意见：通过评审意见管理器记录、管理设计评审意见，便于对评审意见进行回顾、处理、关闭等操作。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（8）支持集成虚拟人：可加载各类预设虚拟人，支持对虚拟人进行平移、旋转、身高调整、复位等操作；在虚拟设计评估场景中，虚拟人可做出较真实的行走动作。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9）支持多通道管理功能：能实现实时渲染数据与像素两种方式的单通道和多通道输出；提供固定视锥与负载平衡两种输出方式。支持节点分配、通道数量、融合方式（融合区域）、数据传输方式等环境设置，以及交互设备的初始化，支持图形界面与配置文件修改、保存初始化设置。</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（10）▲支持三维场景的交互式沉浸浏览，可进行产品三维漫游、建造过程仿真和可视化评审展示</w:t>
            </w:r>
            <w:r>
              <w:rPr>
                <w:rFonts w:hint="eastAsia" w:eastAsia="方正楷体_GBK"/>
                <w:color w:val="000000"/>
                <w:szCs w:val="21"/>
              </w:rPr>
              <w:t xml:space="preserve">。</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11）▲支持以结构化产品结构树进行模型管理，可从设计系统中载入结构化的产品结构树，支持结构树、模型互相关联，可通过结构树选择展示模型，也可通过模型定位结构树位置，从而方便评审过程中模型的查找及信息查看。</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具备三维结构模型轻量化转化接口</w:t>
            </w:r>
            <w:r>
              <w:rPr>
                <w:rFonts w:eastAsia="方正楷体_GBK"/>
                <w:color w:val="000000"/>
                <w:szCs w:val="21"/>
              </w:rPr>
            </w:r>
            <w:r/>
          </w:p>
          <w:p>
            <w:pPr>
              <w:pStyle w:val="716"/>
              <w:ind w:left="420"/>
              <w:widowControl/>
              <w:rPr>
                <w:rFonts w:eastAsia="方正楷体_GBK"/>
                <w:color w:val="000000"/>
                <w:szCs w:val="21"/>
              </w:rPr>
            </w:pPr>
            <w:r>
              <w:rPr>
                <w:rFonts w:eastAsia="方正楷体_GBK"/>
                <w:color w:val="000000"/>
                <w:szCs w:val="21"/>
              </w:rPr>
              <w:t xml:space="preserve">1.支持常用船舶设计系统（TRIBON、AVEVA Marine、Catia等）及常用虚拟仿真格式数据与虚拟仿真软件（SPNavis、Delmia、VEGA等）的数据转换，为虚拟教学数据提供转换接口。</w:t>
            </w:r>
            <w:r>
              <w:rPr>
                <w:rFonts w:eastAsia="方正楷体_GBK"/>
                <w:color w:val="000000"/>
                <w:szCs w:val="21"/>
              </w:rPr>
            </w:r>
            <w:r/>
          </w:p>
          <w:p>
            <w:pPr>
              <w:pStyle w:val="716"/>
              <w:ind w:left="420"/>
              <w:widowControl/>
              <w:rPr>
                <w:rFonts w:eastAsia="方正楷体_GBK"/>
                <w:color w:val="000000"/>
                <w:szCs w:val="21"/>
              </w:rPr>
            </w:pPr>
            <w:r>
              <w:rPr>
                <w:rFonts w:eastAsia="方正楷体_GBK"/>
                <w:color w:val="000000"/>
                <w:szCs w:val="21"/>
              </w:rPr>
              <w:t xml:space="preserve">2. ▲支持常用的三维模型数据转换功能：支持导入导出DXF、IVE、NVZ等通用数据格式的三维模型数据。</w:t>
            </w:r>
            <w:r>
              <w:rPr>
                <w:rFonts w:eastAsia="方正楷体_GBK"/>
                <w:color w:val="000000"/>
                <w:szCs w:val="21"/>
              </w:rPr>
            </w:r>
            <w:r/>
          </w:p>
          <w:p>
            <w:pPr>
              <w:pStyle w:val="716"/>
              <w:ind w:left="420"/>
              <w:widowControl/>
              <w:rPr>
                <w:rFonts w:eastAsia="方正楷体_GBK"/>
                <w:color w:val="000000"/>
                <w:szCs w:val="21"/>
              </w:rPr>
            </w:pPr>
            <w:r>
              <w:rPr>
                <w:rFonts w:eastAsia="方正楷体_GBK"/>
                <w:color w:val="000000"/>
                <w:szCs w:val="21"/>
              </w:rPr>
              <w:t xml:space="preserve">3. ▲支持模型轻量化、压缩、光滑等优化处理。</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（13）</w:t>
            </w:r>
            <w:r>
              <w:rPr>
                <w:rFonts w:eastAsia="方正楷体_GBK"/>
                <w:color w:val="000000"/>
                <w:szCs w:val="21"/>
              </w:rPr>
              <w:t xml:space="preserve">提供钻井平台等船舶海工三维模型3个。</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（14）▲投标人具有船舶/海工结构认知和数据转换接口软件知识产权。</w:t>
            </w:r>
            <w:r>
              <w:rPr>
                <w:rFonts w:eastAsia="方正楷体_GBK"/>
                <w:b/>
                <w:bCs/>
                <w:color w:val="000000"/>
                <w:szCs w:val="21"/>
              </w:rPr>
              <w:t xml:space="preserve">投标时需提供相关知识产权证书（软件著作权或产品登记证书）扫描件，扫描件内容清晰可辨，同时附上“中国版权保护中心”登记证书查询截图及网址。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8</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船舶与海工虚拟装配教学系统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b/>
                <w:bCs/>
                <w:color w:val="000000"/>
                <w:szCs w:val="21"/>
                <w:lang w:bidi="ar"/>
              </w:rPr>
              <w:br w:type="textWrapping" w:clear="all"/>
            </w:r>
            <w:r>
              <w:rPr>
                <w:rFonts w:eastAsia="方正楷体_GBK"/>
                <w:b/>
                <w:bCs/>
                <w:color w:val="000000"/>
                <w:szCs w:val="21"/>
                <w:lang w:bidi="ar"/>
              </w:rPr>
              <w:t xml:space="preserve">1.船舶与海工虚拟装配教学模块</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lang w:bidi="ar"/>
              </w:rPr>
              <w:t xml:space="preserve">（1）以船舶海工典型结构装配工艺为基础，构建船舶海工结构装配系统，</w:t>
            </w:r>
            <w:r>
              <w:rPr>
                <w:rFonts w:eastAsia="方正楷体_GBK"/>
                <w:color w:val="000000"/>
                <w:szCs w:val="21"/>
              </w:rPr>
              <w:t xml:space="preserve">实现船舶海工结构装配顺序及工艺的教学实训。</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支持从船舶生产设计系统（如TRIBON、CATIA、SPD等）中抽取装配结构信息，自动构建装配结构树，支持在系统中自行建立装配结构树的功能。支持多个外部装配文件及模型导入、合并和保存的功能。支持多种漫游模式进行漫游的功能。支持装配结构树的新建与修改，能在可视化界面下进行装配层次结构、装配顺序的调整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（3）支持建造基面的交互定义的功能。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（4）支持查找和定位模型的功能。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（5）▲支持动态装配过程自动生成的功能。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（6）支持装配动画序列播放、装配视频生成的功能。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支持播放控制功能。对装配动画的播放进行控制：减速播放、播放、暂停播放、停止播放、加速播放、重新开始播放和设置循环播放。可以显示播放速度及播放时间。可通过拖动滑块进行控制动画播放进度。</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（8）▲支持属性查看和编辑功能。可以定义建造方向，包括正造、反造、卧造等。</w:t>
            </w:r>
            <w:r>
              <w:rPr>
                <w:rFonts w:eastAsia="方正楷体_GBK"/>
                <w:color w:val="000000"/>
                <w:szCs w:val="21"/>
              </w:rPr>
            </w:r>
            <w:r/>
          </w:p>
          <w:p>
            <w:pPr>
              <w:pStyle w:val="716"/>
              <w:widowControl/>
              <w:rPr>
                <w:rFonts w:eastAsia="方正楷体_GBK"/>
                <w:color w:val="000000"/>
                <w:szCs w:val="21"/>
                <w:lang w:bidi="ar"/>
              </w:rPr>
            </w:pPr>
            <w:r>
              <w:rPr>
                <w:rFonts w:eastAsia="方正楷体_GBK"/>
                <w:color w:val="000000"/>
                <w:szCs w:val="21"/>
              </w:rPr>
              <w:t xml:space="preserve">（9）▲提供涵盖小组立、中组立、分段、总段装配的装配案例。</w:t>
            </w:r>
            <w:r>
              <w:rPr>
                <w:rFonts w:eastAsia="方正楷体_GBK"/>
                <w:color w:val="000000"/>
                <w:szCs w:val="21"/>
                <w:lang w:bidi="ar"/>
              </w:rPr>
            </w:r>
            <w:r/>
          </w:p>
          <w:p>
            <w:pPr>
              <w:pStyle w:val="716"/>
              <w:widowControl/>
              <w:rPr>
                <w:rFonts w:eastAsia="方正楷体_GBK"/>
                <w:color w:val="000000"/>
                <w:szCs w:val="21"/>
                <w:lang w:bidi="ar"/>
              </w:rPr>
            </w:pPr>
            <w:r>
              <w:rPr>
                <w:rFonts w:eastAsia="方正楷体_GBK"/>
                <w:color w:val="000000"/>
                <w:szCs w:val="21"/>
              </w:rPr>
              <w:t xml:space="preserve">（10）支持模型案例与船舶/海工结构节点模型</w:t>
            </w:r>
            <w:r>
              <w:rPr>
                <w:rFonts w:hint="eastAsia" w:eastAsia="方正楷体_GBK"/>
                <w:color w:val="000000"/>
                <w:szCs w:val="21"/>
              </w:rPr>
              <w:t xml:space="preserve">，</w:t>
            </w:r>
            <w:r>
              <w:rPr>
                <w:rFonts w:eastAsia="方正楷体_GBK"/>
                <w:color w:val="000000"/>
                <w:szCs w:val="21"/>
              </w:rPr>
              <w:t xml:space="preserve">形成“虚拟仿真+实物</w:t>
            </w:r>
            <w:r>
              <w:rPr>
                <w:rFonts w:eastAsia="方正楷体_GBK"/>
                <w:color w:val="000000"/>
                <w:szCs w:val="21"/>
                <w:lang w:bidi="ar"/>
              </w:rPr>
              <w:t xml:space="preserve">实操”双轨教学模式，实物模型与软件部分模型对应。通过虚实场景的联动互补，既实现装配工艺的数字化教学，又提供实体化实训体验。</w:t>
            </w:r>
            <w:r>
              <w:rPr>
                <w:rFonts w:eastAsia="方正楷体_GBK"/>
                <w:color w:val="000000"/>
                <w:szCs w:val="21"/>
                <w:lang w:bidi="ar"/>
              </w:rPr>
            </w:r>
            <w:r/>
          </w:p>
          <w:p>
            <w:pPr>
              <w:pStyle w:val="716"/>
              <w:widowControl/>
              <w:rPr>
                <w:rFonts w:eastAsia="方正楷体_GBK"/>
                <w:color w:val="000000"/>
                <w:szCs w:val="21"/>
                <w:lang w:bidi="ar"/>
              </w:rPr>
            </w:pPr>
            <w:r>
              <w:rPr>
                <w:rFonts w:eastAsia="方正楷体_GBK"/>
                <w:color w:val="000000"/>
                <w:szCs w:val="21"/>
                <w:lang w:bidi="ar"/>
              </w:rPr>
              <w:t xml:space="preserve">（11）▲投标人具有船舶/海工虚拟装配软件知识产权。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2.豪华邮轮交互仿真模块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（1）支持对豪华邮轮进行浏览、漫游以及典型舱室的布局漫游等功能。</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rPr>
              <w:t xml:space="preserve">▲</w:t>
            </w:r>
            <w:r>
              <w:rPr>
                <w:rFonts w:eastAsia="方正楷体_GBK"/>
                <w:color w:val="000000"/>
                <w:szCs w:val="21"/>
                <w:lang w:bidi="ar"/>
              </w:rPr>
              <w:t xml:space="preserve">需以国产豪华邮轮爱达魔都号为原型，提供整船船体三维精细化模型，同时构建酒吧、戏院、欧式客房、中式客房、餐厅、中式餐厅、中庭等典型三维精细化场景。</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（3）包括整船体漫游和典型舱室漫游两大功能。</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（4）支持豪华游轮整船三维仿真展示。整体支持漫游、虚拟人、鸟瞰等多种漫游方式。</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（5）支持场景切换。提供导航界面，可以在导航界面上点击重点区域的缩略图切换到相应的区域场景进行漫游和交互</w:t>
            </w:r>
            <w:r>
              <w:rPr>
                <w:rFonts w:hint="eastAsia" w:eastAsia="方正楷体_GBK"/>
                <w:color w:val="000000"/>
                <w:szCs w:val="21"/>
                <w:lang w:bidi="ar"/>
              </w:rPr>
              <w:t xml:space="preserve">。</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（6）支持虚拟人漫游，可实现虚拟人角色选择，选择不同的虚拟人进行漫游</w:t>
            </w:r>
            <w:r>
              <w:rPr>
                <w:rFonts w:hint="eastAsia" w:eastAsia="方正楷体_GBK"/>
                <w:color w:val="000000"/>
                <w:szCs w:val="21"/>
                <w:lang w:bidi="ar"/>
              </w:rPr>
              <w:t xml:space="preserve">，</w:t>
            </w:r>
            <w:r>
              <w:rPr>
                <w:rFonts w:eastAsia="方正楷体_GBK"/>
                <w:color w:val="000000"/>
                <w:szCs w:val="21"/>
                <w:lang w:bidi="ar"/>
              </w:rPr>
              <w:t xml:space="preserve">虚拟人视角可以在第一人称和第三人称间进行切换</w:t>
            </w:r>
            <w:r>
              <w:rPr>
                <w:rFonts w:hint="eastAsia" w:eastAsia="方正楷体_GBK"/>
                <w:color w:val="000000"/>
                <w:szCs w:val="21"/>
                <w:lang w:bidi="ar"/>
              </w:rPr>
              <w:t xml:space="preserve">。</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（7）支持顶层甲板的全场景漫游，涵盖海上多功能运动区、泳池与水上乐园、休闲区、户外健身等区域。</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（8）提供酒吧、戏院、欧式客房、中式客房、餐厅、中式餐厅、中庭、走廊等典型区域的三维场景漫游。</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（9）支持邮轮内装装饰素材库，支持交互操作的方式实现典型舱室布局。</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（10）支持客舱内场景设施设备的移动、旋转、删除、添加操作。</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（11）</w:t>
            </w:r>
            <w:r>
              <w:rPr>
                <w:rFonts w:eastAsia="方正楷体_GBK"/>
                <w:color w:val="000000"/>
                <w:szCs w:val="21"/>
              </w:rPr>
              <w:t xml:space="preserve">▲</w:t>
            </w:r>
            <w:r>
              <w:rPr>
                <w:rFonts w:eastAsia="方正楷体_GBK"/>
                <w:color w:val="000000"/>
                <w:szCs w:val="21"/>
                <w:lang w:bidi="ar"/>
              </w:rPr>
              <w:t xml:space="preserve">支持客舱内墙板、地面、灯光、地板纹理等调整操作。</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（12）</w:t>
            </w:r>
            <w:r>
              <w:rPr>
                <w:rFonts w:eastAsia="方正楷体_GBK"/>
                <w:color w:val="000000"/>
                <w:szCs w:val="21"/>
              </w:rPr>
              <w:t xml:space="preserve">▲</w:t>
            </w:r>
            <w:r>
              <w:rPr>
                <w:rFonts w:eastAsia="方正楷体_GBK"/>
                <w:color w:val="000000"/>
                <w:szCs w:val="21"/>
                <w:lang w:bidi="ar"/>
              </w:rPr>
              <w:t xml:space="preserve">支持灯光编辑，具有颜色编辑面板，可实现选择吸顶灯/主灯可以改变吸顶灯或主灯的颜色。</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（13）</w:t>
            </w:r>
            <w:r>
              <w:rPr>
                <w:rFonts w:eastAsia="方正楷体_GBK"/>
                <w:color w:val="000000"/>
                <w:szCs w:val="21"/>
              </w:rPr>
              <w:t xml:space="preserve">▲</w:t>
            </w:r>
            <w:r>
              <w:rPr>
                <w:rFonts w:eastAsia="方正楷体_GBK"/>
                <w:color w:val="000000"/>
                <w:szCs w:val="21"/>
                <w:lang w:bidi="ar"/>
              </w:rPr>
              <w:t xml:space="preserve">支持地板/墙面可以改变地板纹理及墙面的颜色。</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（14）支持舱室完成设计后，可即时进行鸟瞰或虚拟人漫游，实现设计效果的沉浸式体验。</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（15）支持画面和声音设置。可以设置画面的显示质量、分辨率等参数。</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（16）▲投标人具有豪华邮轮仿真软件知识产权。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9</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海工建造交互实训系统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bottom"/>
            <w:textDirection w:val="lrTb"/>
            <w:noWrap w:val="false"/>
          </w:tcPr>
          <w:p>
            <w:pPr>
              <w:pStyle w:val="716"/>
              <w:ind w:left="420"/>
              <w:widowControl/>
              <w:rPr>
                <w:rStyle w:val="1077"/>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1077"/>
                <w:rFonts w:ascii="Times New Roman" w:hAnsi="Times New Roman" w:eastAsia="方正楷体_GBK" w:cs="Times New Roman"/>
                <w:b w:val="0"/>
                <w:sz w:val="21"/>
                <w:szCs w:val="21"/>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（1）系统总体功能</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1077"/>
                <w:rFonts w:ascii="Times New Roman" w:hAnsi="Times New Roman" w:eastAsia="方正楷体_GBK" w:cs="Times New Roman"/>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Fonts w:eastAsia="方正楷体_GBK"/>
                <w:color w:val="000000"/>
                <w:szCs w:val="21"/>
                <w:lang w:bidi="ar"/>
              </w:rPr>
              <w:t xml:space="preserve">提供</w:t>
            </w:r>
            <w:r>
              <w:rPr>
                <w:rStyle w:val="1077"/>
                <w:rFonts w:ascii="Times New Roman" w:hAnsi="Times New Roman" w:eastAsia="方正楷体_GBK" w:cs="Times New Roman"/>
                <w:b w:val="0"/>
                <w:bCs/>
                <w:sz w:val="21"/>
                <w:szCs w:val="21"/>
                <w:lang w:bidi="ar"/>
              </w:rPr>
              <w:t xml:space="preserve">教学、实训、考试三种模式，各模式可自由切换。</w:t>
            </w:r>
            <w:r>
              <w:rPr>
                <w:rStyle w:val="1077"/>
                <w:rFonts w:ascii="Times New Roman" w:hAnsi="Times New Roman" w:eastAsia="方正楷体_GBK" w:cs="Times New Roman"/>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1077"/>
                <w:rFonts w:ascii="Times New Roman" w:hAnsi="Times New Roman" w:eastAsia="方正楷体_GBK" w:cs="Times New Roman"/>
                <w:b w:val="0"/>
                <w:bCs/>
                <w:sz w:val="21"/>
                <w:szCs w:val="21"/>
                <w:lang w:bidi="ar"/>
              </w:rPr>
              <w:t xml:space="preserve">教学模式：每一步均提示需选择的内容及操作要求，用户按提示完成操作后，若操作正确则演示工艺过程动画；</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1077"/>
                <w:rFonts w:ascii="Times New Roman" w:hAnsi="Times New Roman" w:eastAsia="方正楷体_GBK" w:cs="Times New Roman"/>
                <w:b w:val="0"/>
                <w:bCs/>
                <w:sz w:val="21"/>
                <w:szCs w:val="21"/>
                <w:lang w:bidi="ar"/>
              </w:rPr>
              <w:t xml:space="preserve">实训模式：不提供选择内容及操作提示，学生需依据课堂所学知识开展练习，若操作正确则演示工艺过程动画，若操作错误则弹出错误提示；</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c.</w:t>
            </w:r>
            <w:r>
              <w:rPr>
                <w:rStyle w:val="1077"/>
                <w:rFonts w:ascii="Times New Roman" w:hAnsi="Times New Roman" w:eastAsia="方正楷体_GBK" w:cs="Times New Roman"/>
                <w:b w:val="0"/>
                <w:bCs/>
                <w:sz w:val="21"/>
                <w:szCs w:val="21"/>
                <w:lang w:bidi="ar"/>
              </w:rPr>
              <w:t xml:space="preserve">考试模式：不提供选择内容及操作提示，学生依据图纸及所学知识完成操作，若操作正确则演示工艺过程，若操作错误则扣除相应分数，最终生成学生操作正确率报告。</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支持工艺流程编辑界面，允许用户在实操开始前对工艺流程进行选择与编辑。</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支持在教学、实操模式中，针对施工过程中的各知识点提供解析与知识拓展说明性提示，辅助用户自学。</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⑤</w:t>
            </w:r>
            <w:r>
              <w:rPr>
                <w:rStyle w:val="1077"/>
                <w:rFonts w:ascii="Times New Roman" w:hAnsi="Times New Roman" w:eastAsia="方正楷体_GBK" w:cs="Times New Roman"/>
                <w:b w:val="0"/>
                <w:bCs/>
                <w:sz w:val="21"/>
                <w:szCs w:val="21"/>
                <w:lang w:bidi="ar"/>
              </w:rPr>
              <w:t xml:space="preserve">支持在实操过程中提供模型三维预览功能，并配备模型高亮提示功能。</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⑥</w:t>
            </w: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支持资料库功能，提供实操项目实施过程中涉及的工艺图纸、施工方案、各类记录及其他文件资料的查询与查阅。</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⑦</w:t>
            </w:r>
            <w:r>
              <w:rPr>
                <w:rStyle w:val="1077"/>
                <w:rFonts w:ascii="Times New Roman" w:hAnsi="Times New Roman" w:eastAsia="方正楷体_GBK" w:cs="Times New Roman"/>
                <w:b w:val="0"/>
                <w:bCs/>
                <w:sz w:val="21"/>
                <w:szCs w:val="21"/>
                <w:lang w:bidi="ar"/>
              </w:rPr>
              <w:t xml:space="preserve">支持实操交互评分功能，系统自动记录成绩，用户可查看个人考试记录及历史成绩。</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⑧</w:t>
            </w:r>
            <w:r>
              <w:rPr>
                <w:rStyle w:val="1077"/>
                <w:rFonts w:ascii="Times New Roman" w:hAnsi="Times New Roman" w:eastAsia="方正楷体_GBK" w:cs="Times New Roman"/>
                <w:b w:val="0"/>
                <w:bCs/>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（2）海工平台小组立交互实训子模块功能要求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支持选取不少于4种典型海工小组（不得与本标其他软件内容重复）开展交互实训。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1077"/>
                <w:rFonts w:ascii="Times New Roman" w:hAnsi="Times New Roman" w:eastAsia="方正楷体_GBK" w:cs="Times New Roman"/>
                <w:b w:val="0"/>
                <w:bCs/>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（3）海工平台中组立交互实训子模块功能要求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支持选取不少于4种典型海工中组立（不得与本标其他软件内容重复）开展交互实训。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（4）海工平台分段建造子模块功能要求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支持选取不少于4种典型海工分段（不得与本标其他软件内容重复）开展交互实训。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④</w:t>
            </w:r>
            <w:r>
              <w:rPr>
                <w:rStyle w:val="1077"/>
                <w:rFonts w:ascii="Times New Roman" w:hAnsi="Times New Roman" w:eastAsia="方正楷体_GBK" w:cs="Times New Roman"/>
                <w:b w:val="0"/>
                <w:bCs/>
                <w:sz w:val="21"/>
                <w:szCs w:val="21"/>
                <w:lang w:bidi="ar"/>
              </w:rPr>
              <w:t xml:space="preserve">具备选项有效性判定机制：装配时，选择正确方可开展装配演示。</w:t>
            </w:r>
            <w:r>
              <w:rPr>
                <w:rStyle w:val="1077"/>
                <w:rFonts w:ascii="Times New Roman" w:hAnsi="Times New Roman" w:eastAsia="方正楷体_GBK" w:cs="Times New Roman"/>
                <w:b w:val="0"/>
                <w:bCs/>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（5）海工平台总段建造子模块功能要求</w:t>
            </w:r>
            <w:r>
              <w:rPr>
                <w:rStyle w:val="1077"/>
                <w:rFonts w:ascii="Times New Roman" w:hAnsi="Times New Roman" w:eastAsia="方正楷体_GBK" w:cs="Times New Roman"/>
                <w:bCs/>
                <w:sz w:val="21"/>
                <w:szCs w:val="21"/>
                <w:lang w:bidi="ar"/>
              </w:rPr>
            </w:r>
            <w:r/>
          </w:p>
          <w:p>
            <w:pPr>
              <w:pStyle w:val="824"/>
              <w:contextualSpacing/>
              <w:ind w:left="420" w:firstLine="0"/>
              <w:widowControl/>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
                <w:color w:val="000000"/>
                <w:sz w:val="21"/>
                <w:szCs w:val="21"/>
                <w:lang w:bidi="ar"/>
              </w:rPr>
              <w:t xml:space="preserve">①</w:t>
            </w:r>
            <w:r>
              <w:rPr>
                <w:rFonts w:eastAsia="方正楷体_GBK"/>
                <w:bCs/>
                <w:color w:val="000000"/>
                <w:sz w:val="21"/>
                <w:szCs w:val="21"/>
              </w:rPr>
              <w:t xml:space="preserve">▲</w:t>
            </w:r>
            <w:r>
              <w:rPr>
                <w:rStyle w:val="1077"/>
                <w:rFonts w:ascii="Times New Roman" w:hAnsi="Times New Roman" w:eastAsia="方正楷体_GBK" w:cs="Times New Roman"/>
                <w:b w:val="0"/>
                <w:bCs/>
                <w:sz w:val="21"/>
                <w:szCs w:val="21"/>
                <w:lang w:bidi="ar"/>
              </w:rPr>
              <w:t xml:space="preserve">支持选取不少于4种典型海工总段（不得与本标其他软件内容重复）开展交互实训。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支持设计DAP图纸、工艺规程等技术文件。</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支持在交互实训前，选择各装配过程的材料、所需工装设备及工艺流程，随后在虚拟场景中进行装配操作。</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ascii="Cambria Math" w:hAnsi="Cambria Math" w:eastAsia="方正楷体_GBK" w:cs="Cambria Math"/>
                <w:bCs/>
                <w:color w:val="000000"/>
                <w:szCs w:val="21"/>
                <w:lang w:bidi="ar"/>
              </w:rPr>
              <w:t xml:space="preserve">④</w:t>
            </w:r>
            <w:r>
              <w:rPr>
                <w:rFonts w:eastAsia="方正楷体_GBK"/>
                <w:bCs/>
                <w:color w:val="000000"/>
                <w:szCs w:val="21"/>
              </w:rPr>
              <w:t xml:space="preserve">▲</w:t>
            </w:r>
            <w:r>
              <w:rPr>
                <w:rStyle w:val="1077"/>
                <w:rFonts w:ascii="Times New Roman" w:hAnsi="Times New Roman" w:eastAsia="方正楷体_GBK" w:cs="Times New Roman"/>
                <w:b w:val="0"/>
                <w:bCs/>
                <w:sz w:val="21"/>
                <w:szCs w:val="21"/>
                <w:lang w:bidi="ar"/>
              </w:rPr>
              <w:t xml:space="preserve">具备选项有效性判定机制：装配时，若选择错误则无法进行装配，选择正确方可开展装配演示。</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（6）海工平台建造搭载子模块功能要求</w:t>
            </w:r>
            <w:r>
              <w:rPr>
                <w:rStyle w:val="1077"/>
                <w:rFonts w:ascii="Times New Roman" w:hAnsi="Times New Roman" w:eastAsia="方正楷体_GBK" w:cs="Times New Roman"/>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Style w:val="1077"/>
                <w:rFonts w:ascii="Times New Roman" w:hAnsi="Times New Roman" w:eastAsia="方正楷体_GBK" w:cs="Times New Roman"/>
                <w:b w:val="0"/>
                <w:bCs/>
                <w:sz w:val="21"/>
                <w:szCs w:val="21"/>
                <w:lang w:bidi="ar"/>
              </w:rPr>
              <w:t xml:space="preserve">需支持海工平台搭载仿真，包含建立工艺装备库、搭建场地模型、设计搭载网络图、处理海工平台模型等功能。学员可依据搭载网络图、工艺规程等技术文件，确认工艺流程，选择各搭载过程中的分段/总段及所需工装设备，完成典型海工平台建造搭载过程仿真实训。搭载流程涵盖搭载总段划分方式、搭载方法、搭载场地、总段合拢方式、工艺装备、工具选择与应用等知识点教学。</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Cs/>
                <w:sz w:val="21"/>
                <w:szCs w:val="21"/>
                <w:lang w:bidi="ar"/>
              </w:rPr>
            </w:pPr>
            <w:r>
              <w:rPr>
                <w:rFonts w:ascii="Cambria Math" w:hAnsi="Cambria Math" w:eastAsia="方正楷体_GBK" w:cs="Cambria Math"/>
                <w:bCs/>
                <w:color w:val="000000"/>
                <w:szCs w:val="21"/>
                <w:lang w:bidi="ar"/>
              </w:rPr>
              <w:t xml:space="preserve">①</w:t>
            </w:r>
            <w:r>
              <w:rPr>
                <w:rStyle w:val="1077"/>
                <w:rFonts w:ascii="Times New Roman" w:hAnsi="Times New Roman" w:eastAsia="方正楷体_GBK" w:cs="Times New Roman"/>
                <w:bCs/>
                <w:sz w:val="21"/>
                <w:szCs w:val="21"/>
                <w:lang w:bidi="ar"/>
              </w:rPr>
              <w:t xml:space="preserve">顶升装置搭载</w:t>
            </w:r>
            <w:r>
              <w:rPr>
                <w:rStyle w:val="1077"/>
                <w:rFonts w:ascii="Times New Roman" w:hAnsi="Times New Roman" w:eastAsia="方正楷体_GBK" w:cs="Times New Roman"/>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1077"/>
                <w:rFonts w:ascii="Times New Roman" w:hAnsi="Times New Roman" w:eastAsia="方正楷体_GBK" w:cs="Times New Roman"/>
                <w:b w:val="0"/>
                <w:bCs/>
                <w:sz w:val="21"/>
                <w:szCs w:val="21"/>
                <w:lang w:bidi="ar"/>
              </w:rPr>
              <w:t xml:space="preserve">支持在船坞坞底铺设提升支架埋件及滑移轨道，运用提升支架、液压平板车等工装设备开展海工平台主体搭建过程实训。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Style w:val="1077"/>
                <w:rFonts w:ascii="Times New Roman" w:hAnsi="Times New Roman" w:eastAsia="方正楷体_GBK" w:cs="Times New Roman"/>
                <w:b w:val="0"/>
                <w:bCs/>
                <w:sz w:val="21"/>
                <w:szCs w:val="21"/>
                <w:lang w:bidi="ar"/>
              </w:rPr>
              <w:t xml:space="preserve">需支持以下作业流程实训：（1）坞内注水→（2）开坞门→上船体大总段进坞→上船体大总段与下船体大总段焊接完毕→拆除提升设备及支架→设备拆除完毕，上船体大总段吊装完成。</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②</w:t>
            </w:r>
            <w:r>
              <w:rPr>
                <w:rStyle w:val="1077"/>
                <w:rFonts w:ascii="Times New Roman" w:hAnsi="Times New Roman" w:eastAsia="方正楷体_GBK" w:cs="Times New Roman"/>
                <w:b w:val="0"/>
                <w:bCs/>
                <w:sz w:val="21"/>
                <w:szCs w:val="21"/>
                <w:lang w:bidi="ar"/>
              </w:rPr>
              <w:t xml:space="preserve">龙门吊吊装</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sz w:val="21"/>
                <w:szCs w:val="21"/>
                <w:lang w:bidi="ar"/>
              </w:rPr>
            </w:pP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支持通过龙门吊吊装方式开展海工平台搭载建造实训。</w:t>
            </w:r>
            <w:r>
              <w:rPr>
                <w:rStyle w:val="1077"/>
                <w:rFonts w:ascii="Times New Roman" w:hAnsi="Times New Roman" w:eastAsia="方正楷体_GBK" w:cs="Times New Roman"/>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ascii="Cambria Math" w:hAnsi="Cambria Math" w:eastAsia="方正楷体_GBK" w:cs="Cambria Math"/>
                <w:bCs/>
                <w:color w:val="000000"/>
                <w:szCs w:val="21"/>
                <w:lang w:bidi="ar"/>
              </w:rPr>
              <w:t xml:space="preserve">③</w:t>
            </w:r>
            <w:r>
              <w:rPr>
                <w:rStyle w:val="1077"/>
                <w:rFonts w:ascii="Times New Roman" w:hAnsi="Times New Roman" w:eastAsia="方正楷体_GBK" w:cs="Times New Roman"/>
                <w:b w:val="0"/>
                <w:bCs/>
                <w:sz w:val="21"/>
                <w:szCs w:val="21"/>
                <w:lang w:bidi="ar"/>
              </w:rPr>
              <w:t xml:space="preserve">大型桥式起重机</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a.</w:t>
            </w:r>
            <w:r>
              <w:rPr>
                <w:rStyle w:val="1077"/>
                <w:rFonts w:ascii="Times New Roman" w:hAnsi="Times New Roman" w:eastAsia="方正楷体_GBK" w:cs="Times New Roman"/>
                <w:b w:val="0"/>
                <w:bCs/>
                <w:sz w:val="21"/>
                <w:szCs w:val="21"/>
                <w:lang w:bidi="ar"/>
              </w:rPr>
              <w:t xml:space="preserve">支持通过大型桥式起重机对海工平台上平台进行整体吊运搭载实训。</w:t>
            </w:r>
            <w:r>
              <w:rPr>
                <w:rStyle w:val="1077"/>
                <w:rFonts w:ascii="Times New Roman" w:hAnsi="Times New Roman" w:eastAsia="方正楷体_GBK" w:cs="Times New Roman"/>
                <w:b w:val="0"/>
                <w:bCs/>
                <w:sz w:val="21"/>
                <w:szCs w:val="21"/>
                <w:lang w:bidi="ar"/>
              </w:rPr>
            </w:r>
            <w:r/>
          </w:p>
          <w:p>
            <w:pPr>
              <w:pStyle w:val="716"/>
              <w:ind w:firstLine="420"/>
              <w:rPr>
                <w:rStyle w:val="1077"/>
                <w:rFonts w:ascii="Times New Roman" w:hAnsi="Times New Roman" w:eastAsia="方正楷体_GBK" w:cs="Times New Roman"/>
                <w:b w:val="0"/>
                <w:bCs/>
                <w:sz w:val="21"/>
                <w:szCs w:val="21"/>
                <w:lang w:bidi="ar"/>
              </w:rPr>
            </w:pPr>
            <w:r>
              <w:rPr>
                <w:rFonts w:eastAsia="方正楷体_GBK"/>
                <w:bCs/>
                <w:color w:val="000000"/>
                <w:szCs w:val="21"/>
                <w:lang w:bidi="ar"/>
              </w:rPr>
              <w:t xml:space="preserve">b.</w:t>
            </w: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流程设计需包含以下步骤：将下船体大总段机械牵引至半潜驳船上→通过驳船下潜使下船体大总段漂浮下水→按照制订的焊接工艺完成合拢缝处的焊接→精度复检→通过拖轮牵引出坞→牵引平台至深水舾装码头进行外部舾装。</w:t>
            </w:r>
            <w:r>
              <w:rPr>
                <w:rStyle w:val="1077"/>
                <w:rFonts w:ascii="Times New Roman" w:hAnsi="Times New Roman" w:eastAsia="方正楷体_GBK" w:cs="Times New Roman"/>
                <w:b w:val="0"/>
                <w:bCs/>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（7）半潜式钻井平台井架吊装功能要求</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b/>
                <w:color w:val="000000"/>
                <w:szCs w:val="21"/>
                <w:lang w:bidi="ar"/>
              </w:rPr>
              <w:t xml:space="preserve">　</w:t>
            </w:r>
            <w:r>
              <w:rPr>
                <w:rStyle w:val="1077"/>
                <w:rFonts w:ascii="Times New Roman" w:hAnsi="Times New Roman" w:eastAsia="方正楷体_GBK" w:cs="Times New Roman"/>
                <w:sz w:val="21"/>
                <w:szCs w:val="21"/>
                <w:lang w:bidi="ar"/>
              </w:rPr>
              <w:t xml:space="preserve">支持以下内容：</w:t>
            </w:r>
            <w:r>
              <w:rPr>
                <w:rStyle w:val="1077"/>
                <w:rFonts w:ascii="Times New Roman" w:hAnsi="Times New Roman" w:eastAsia="方正楷体_GBK" w:cs="Times New Roman"/>
                <w:sz w:val="21"/>
                <w:szCs w:val="21"/>
                <w:lang w:bidi="ar"/>
              </w:rPr>
            </w:r>
            <w:r/>
          </w:p>
          <w:tbl>
            <w:tblPr>
              <w:tblW w:w="4767"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448"/>
              <w:gridCol w:w="962"/>
              <w:gridCol w:w="1576"/>
            </w:tblGrid>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高度</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低</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w:t>
                  </w:r>
                  <w:r>
                    <w:rPr>
                      <w:rFonts w:eastAsia="方正楷体_GBK"/>
                      <w:color w:val="000000"/>
                      <w:szCs w:val="21"/>
                    </w:rPr>
                  </w:r>
                  <w:r/>
                </w:p>
              </w:tc>
            </w:tr>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场地</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船坞</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码头</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浅海</w:t>
                  </w:r>
                  <w:r>
                    <w:rPr>
                      <w:rFonts w:eastAsia="方正楷体_GBK"/>
                      <w:color w:val="000000"/>
                      <w:szCs w:val="21"/>
                    </w:rPr>
                  </w:r>
                  <w:r/>
                </w:p>
              </w:tc>
            </w:tr>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设备</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垂直起升装置</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回旋式浮吊船</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门架式浮吊船</w:t>
                  </w:r>
                  <w:r>
                    <w:rPr>
                      <w:rFonts w:eastAsia="方正楷体_GBK"/>
                      <w:color w:val="000000"/>
                      <w:szCs w:val="21"/>
                    </w:rPr>
                  </w:r>
                  <w:r/>
                </w:p>
              </w:tc>
            </w:tr>
            <w:tr>
              <w:trPr>
                <w:trHeight w:val="340"/>
              </w:trPr>
              <w:tc>
                <w:tcPr>
                  <w:tcW w:w="77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方法</w:t>
                  </w:r>
                  <w:r>
                    <w:rPr>
                      <w:rFonts w:eastAsia="方正楷体_GBK"/>
                      <w:color w:val="000000"/>
                      <w:szCs w:val="21"/>
                    </w:rPr>
                  </w:r>
                  <w:r/>
                </w:p>
              </w:tc>
              <w:tc>
                <w:tcPr>
                  <w:tcW w:w="1559"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用垂直起升装置逐节顶升</w:t>
                  </w:r>
                  <w:r>
                    <w:rPr>
                      <w:rFonts w:eastAsia="方正楷体_GBK"/>
                      <w:color w:val="000000"/>
                      <w:szCs w:val="21"/>
                    </w:rPr>
                  </w:r>
                  <w:r/>
                </w:p>
              </w:tc>
              <w:tc>
                <w:tcPr>
                  <w:tcW w:w="102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浮吊船吊装</w:t>
                  </w:r>
                  <w:r>
                    <w:rPr>
                      <w:rFonts w:eastAsia="方正楷体_GBK"/>
                      <w:color w:val="000000"/>
                      <w:szCs w:val="21"/>
                    </w:rPr>
                  </w:r>
                  <w:r/>
                </w:p>
              </w:tc>
              <w:tc>
                <w:tcPr>
                  <w:tcW w:w="1701"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驳船装载井架分段</w:t>
                  </w:r>
                  <w:r>
                    <w:rPr>
                      <w:rFonts w:hint="eastAsia" w:ascii="微软雅黑" w:hAnsi="微软雅黑" w:eastAsia="微软雅黑" w:cs="微软雅黑"/>
                      <w:color w:val="000000"/>
                      <w:szCs w:val="21"/>
                    </w:rPr>
                    <w:t xml:space="preserve">､</w:t>
                  </w:r>
                  <w:r>
                    <w:rPr>
                      <w:rFonts w:eastAsia="方正楷体_GBK"/>
                      <w:color w:val="000000"/>
                      <w:szCs w:val="21"/>
                    </w:rPr>
                    <w:t xml:space="preserve">浮吊船吊装</w:t>
                  </w:r>
                  <w:r>
                    <w:rPr>
                      <w:rFonts w:eastAsia="方正楷体_GBK"/>
                      <w:color w:val="000000"/>
                      <w:szCs w:val="21"/>
                    </w:rPr>
                  </w:r>
                  <w:r/>
                </w:p>
              </w:tc>
            </w:tr>
          </w:tbl>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1077"/>
                <w:rFonts w:ascii="Times New Roman" w:hAnsi="Times New Roman" w:eastAsia="方正楷体_GBK" w:cs="Times New Roman"/>
                <w:b w:val="0"/>
                <w:bCs/>
                <w:sz w:val="21"/>
                <w:szCs w:val="21"/>
                <w:lang w:bidi="ar"/>
              </w:rPr>
              <w:t xml:space="preserve">装配流程：</w:t>
            </w:r>
            <w:r>
              <w:rPr>
                <w:rFonts w:eastAsia="方正楷体_GBK"/>
                <w:bCs/>
                <w:color w:val="000000"/>
                <w:szCs w:val="21"/>
                <w:lang w:bidi="ar"/>
              </w:rPr>
              <w:t xml:space="preserve">支持垂直起升装置顶升作业流程实训，</w:t>
            </w:r>
            <w:r>
              <w:rPr>
                <w:rStyle w:val="1077"/>
                <w:rFonts w:ascii="Times New Roman" w:hAnsi="Times New Roman" w:eastAsia="方正楷体_GBK" w:cs="Times New Roman"/>
                <w:b w:val="0"/>
                <w:bCs/>
                <w:sz w:val="21"/>
                <w:szCs w:val="21"/>
                <w:lang w:bidi="ar"/>
              </w:rPr>
              <w:t xml:space="preserve">具体实训内容包括</w:t>
            </w:r>
            <w:r>
              <w:rPr>
                <w:rFonts w:eastAsia="方正楷体_GBK"/>
                <w:bCs/>
                <w:color w:val="000000"/>
                <w:szCs w:val="21"/>
                <w:lang w:bidi="ar"/>
              </w:rPr>
              <w:t xml:space="preserve">a.龙门</w:t>
            </w:r>
            <w:r>
              <w:rPr>
                <w:rStyle w:val="1077"/>
                <w:rFonts w:ascii="Times New Roman" w:hAnsi="Times New Roman" w:eastAsia="方正楷体_GBK" w:cs="Times New Roman"/>
                <w:b w:val="0"/>
                <w:bCs/>
                <w:sz w:val="21"/>
                <w:szCs w:val="21"/>
                <w:lang w:bidi="ar"/>
              </w:rPr>
              <w:t xml:space="preserve">吊吊装</w:t>
            </w:r>
            <w:r>
              <w:rPr>
                <w:rFonts w:eastAsia="方正楷体_GBK"/>
                <w:bCs/>
                <w:color w:val="000000"/>
                <w:szCs w:val="21"/>
                <w:lang w:bidi="ar"/>
              </w:rPr>
              <w:t xml:space="preserve">b.</w:t>
            </w:r>
            <w:r>
              <w:rPr>
                <w:rStyle w:val="1077"/>
                <w:rFonts w:ascii="Times New Roman" w:hAnsi="Times New Roman" w:eastAsia="方正楷体_GBK" w:cs="Times New Roman"/>
                <w:b w:val="0"/>
                <w:bCs/>
                <w:sz w:val="21"/>
                <w:szCs w:val="21"/>
                <w:lang w:bidi="ar"/>
              </w:rPr>
              <w:t xml:space="preserve">码头吊装</w:t>
            </w:r>
            <w:r>
              <w:rPr>
                <w:rFonts w:eastAsia="方正楷体_GBK"/>
                <w:bCs/>
                <w:color w:val="000000"/>
                <w:szCs w:val="21"/>
                <w:lang w:bidi="ar"/>
              </w:rPr>
              <w:t xml:space="preserve">c.</w:t>
            </w:r>
            <w:r>
              <w:rPr>
                <w:rStyle w:val="1077"/>
                <w:rFonts w:ascii="Times New Roman" w:hAnsi="Times New Roman" w:eastAsia="方正楷体_GBK" w:cs="Times New Roman"/>
                <w:b w:val="0"/>
                <w:bCs/>
                <w:sz w:val="21"/>
                <w:szCs w:val="21"/>
                <w:lang w:bidi="ar"/>
              </w:rPr>
              <w:t xml:space="preserve">浅海吊装。</w:t>
            </w:r>
            <w:r>
              <w:rPr>
                <w:rStyle w:val="1077"/>
                <w:rFonts w:ascii="Times New Roman" w:hAnsi="Times New Roman" w:eastAsia="方正楷体_GBK" w:cs="Times New Roman"/>
                <w:sz w:val="21"/>
                <w:szCs w:val="21"/>
                <w:lang w:bidi="ar"/>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（8）半潜式钻井平台动力定位系统安装功能要求</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Style w:val="1077"/>
                <w:rFonts w:ascii="Times New Roman" w:hAnsi="Times New Roman" w:eastAsia="方正楷体_GBK" w:cs="Times New Roman"/>
                <w:sz w:val="21"/>
                <w:szCs w:val="21"/>
                <w:lang w:bidi="ar"/>
              </w:rPr>
              <w:t xml:space="preserve">支持以下内容：</w:t>
            </w:r>
            <w:r>
              <w:rPr>
                <w:rStyle w:val="1077"/>
                <w:rFonts w:ascii="Times New Roman" w:hAnsi="Times New Roman" w:eastAsia="方正楷体_GBK" w:cs="Times New Roman"/>
                <w:sz w:val="21"/>
                <w:szCs w:val="21"/>
                <w:lang w:bidi="ar"/>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1831"/>
              <w:gridCol w:w="1714"/>
            </w:tblGrid>
            <w:tr>
              <w:trPr>
                <w:trHeight w:val="295"/>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安装场地</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码头</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浅海</w:t>
                  </w:r>
                  <w:r>
                    <w:rPr>
                      <w:rFonts w:eastAsia="方正楷体_GBK"/>
                      <w:color w:val="000000"/>
                      <w:szCs w:val="21"/>
                    </w:rPr>
                  </w:r>
                  <w:r/>
                </w:p>
              </w:tc>
            </w:tr>
            <w:tr>
              <w:trPr>
                <w:trHeight w:val="299"/>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安装成本</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高</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低</w:t>
                  </w:r>
                  <w:r>
                    <w:rPr>
                      <w:rFonts w:eastAsia="方正楷体_GBK"/>
                      <w:color w:val="000000"/>
                      <w:szCs w:val="21"/>
                    </w:rPr>
                  </w:r>
                  <w:r/>
                </w:p>
              </w:tc>
            </w:tr>
            <w:tr>
              <w:trPr>
                <w:trHeight w:val="295"/>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吊装设备</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浮吊船</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带克令吊的驳船</w:t>
                  </w:r>
                  <w:r>
                    <w:rPr>
                      <w:rFonts w:eastAsia="方正楷体_GBK"/>
                      <w:color w:val="000000"/>
                      <w:szCs w:val="21"/>
                    </w:rPr>
                  </w:r>
                  <w:r/>
                </w:p>
              </w:tc>
            </w:tr>
            <w:tr>
              <w:trPr>
                <w:trHeight w:val="304"/>
              </w:trPr>
              <w:tc>
                <w:tcPr>
                  <w:tcW w:w="1605"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搭载方法</w:t>
                  </w:r>
                  <w:r>
                    <w:rPr>
                      <w:rFonts w:eastAsia="方正楷体_GBK"/>
                      <w:color w:val="000000"/>
                      <w:szCs w:val="21"/>
                    </w:rPr>
                  </w:r>
                  <w:r/>
                </w:p>
              </w:tc>
              <w:tc>
                <w:tcPr>
                  <w:tcW w:w="2107"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浮吊船吊装侧拉</w:t>
                  </w:r>
                  <w:r>
                    <w:rPr>
                      <w:rFonts w:eastAsia="方正楷体_GBK"/>
                      <w:color w:val="000000"/>
                      <w:szCs w:val="21"/>
                    </w:rPr>
                  </w:r>
                  <w:r/>
                </w:p>
              </w:tc>
              <w:tc>
                <w:tcPr>
                  <w:tcW w:w="1968"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海底安装</w:t>
                  </w:r>
                  <w:r>
                    <w:rPr>
                      <w:rFonts w:eastAsia="方正楷体_GBK"/>
                      <w:color w:val="000000"/>
                      <w:szCs w:val="21"/>
                    </w:rPr>
                  </w:r>
                  <w:r/>
                </w:p>
              </w:tc>
            </w:tr>
          </w:tbl>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rPr>
              <w:t xml:space="preserve">▲</w:t>
            </w:r>
            <w:r>
              <w:rPr>
                <w:rStyle w:val="1077"/>
                <w:rFonts w:ascii="Times New Roman" w:hAnsi="Times New Roman" w:eastAsia="方正楷体_GBK" w:cs="Times New Roman"/>
                <w:sz w:val="21"/>
                <w:szCs w:val="21"/>
                <w:lang w:bidi="ar"/>
              </w:rPr>
              <w:t xml:space="preserve">装配流程： </w:t>
            </w:r>
            <w:r>
              <w:rPr>
                <w:rStyle w:val="1077"/>
                <w:rFonts w:ascii="Times New Roman" w:hAnsi="Times New Roman" w:eastAsia="方正楷体_GBK" w:cs="Times New Roman"/>
                <w:sz w:val="21"/>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a.</w:t>
            </w:r>
            <w:r>
              <w:rPr>
                <w:rStyle w:val="1077"/>
                <w:rFonts w:ascii="Times New Roman" w:hAnsi="Times New Roman" w:eastAsia="方正楷体_GBK" w:cs="Times New Roman"/>
                <w:b w:val="0"/>
                <w:sz w:val="21"/>
                <w:szCs w:val="21"/>
                <w:lang w:bidi="ar"/>
              </w:rPr>
              <w:t xml:space="preserve">支持浮吊船吊装侧拉，流程设计需包含以下步骤：（1）半潜平台通</w:t>
            </w:r>
            <w:r>
              <w:rPr>
                <w:rFonts w:eastAsia="方正楷体_GBK"/>
                <w:color w:val="000000"/>
                <w:szCs w:val="21"/>
                <w:lang w:bidi="ar"/>
              </w:rPr>
              <w:t xml:space="preserve">过系泊装置固定在码头指定位置→（2）大型浮吊船吊起推进器至平台侧面→（3）关闭防水口→（4）打开两层保护帽→（5）安装轴系。</w:t>
            </w:r>
            <w:r>
              <w:rPr>
                <w:rFonts w:eastAsia="方正楷体_GBK"/>
                <w:color w:val="000000"/>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b.支持海底安装，流程设计需包含以下步骤：（1）驳船装载推进器</w:t>
            </w:r>
            <w:r>
              <w:rPr>
                <w:rStyle w:val="1077"/>
                <w:rFonts w:ascii="Times New Roman" w:hAnsi="Times New Roman" w:eastAsia="方正楷体_GBK" w:cs="Times New Roman"/>
                <w:b w:val="0"/>
                <w:sz w:val="21"/>
                <w:szCs w:val="21"/>
                <w:lang w:bidi="ar"/>
              </w:rPr>
              <w:t xml:space="preserve">至浅海指定位置→（</w:t>
            </w:r>
            <w:r>
              <w:rPr>
                <w:rFonts w:eastAsia="方正楷体_GBK"/>
                <w:color w:val="000000"/>
                <w:szCs w:val="21"/>
                <w:lang w:bidi="ar"/>
              </w:rPr>
              <w:t xml:space="preserve">2</w:t>
            </w:r>
            <w:r>
              <w:rPr>
                <w:rStyle w:val="1077"/>
                <w:rFonts w:ascii="Times New Roman" w:hAnsi="Times New Roman" w:eastAsia="方正楷体_GBK" w:cs="Times New Roman"/>
                <w:b w:val="0"/>
                <w:sz w:val="21"/>
                <w:szCs w:val="21"/>
                <w:lang w:bidi="ar"/>
              </w:rPr>
              <w:t xml:space="preserve">）船上克令吊吊装推进器至海底安装位置→（</w:t>
            </w:r>
            <w:r>
              <w:rPr>
                <w:rFonts w:eastAsia="方正楷体_GBK"/>
                <w:color w:val="000000"/>
                <w:szCs w:val="21"/>
                <w:lang w:bidi="ar"/>
              </w:rPr>
              <w:t xml:space="preserve">3</w:t>
            </w:r>
            <w:r>
              <w:rPr>
                <w:rStyle w:val="1077"/>
                <w:rFonts w:ascii="Times New Roman" w:hAnsi="Times New Roman" w:eastAsia="方正楷体_GBK" w:cs="Times New Roman"/>
                <w:b w:val="0"/>
                <w:sz w:val="21"/>
                <w:szCs w:val="21"/>
                <w:lang w:bidi="ar"/>
              </w:rPr>
              <w:t xml:space="preserve">）驳船驶开→（</w:t>
            </w:r>
            <w:r>
              <w:rPr>
                <w:rFonts w:eastAsia="方正楷体_GBK"/>
                <w:color w:val="000000"/>
                <w:szCs w:val="21"/>
                <w:lang w:bidi="ar"/>
              </w:rPr>
              <w:t xml:space="preserve">4</w:t>
            </w:r>
            <w:r>
              <w:rPr>
                <w:rStyle w:val="1077"/>
                <w:rFonts w:ascii="Times New Roman" w:hAnsi="Times New Roman" w:eastAsia="方正楷体_GBK" w:cs="Times New Roman"/>
                <w:b w:val="0"/>
                <w:sz w:val="21"/>
                <w:szCs w:val="21"/>
                <w:lang w:bidi="ar"/>
              </w:rPr>
              <w:t xml:space="preserve">）排出海水→（</w:t>
            </w:r>
            <w:r>
              <w:rPr>
                <w:rFonts w:eastAsia="方正楷体_GBK"/>
                <w:color w:val="000000"/>
                <w:szCs w:val="21"/>
                <w:lang w:bidi="ar"/>
              </w:rPr>
              <w:t xml:space="preserve">5</w:t>
            </w:r>
            <w:r>
              <w:rPr>
                <w:rStyle w:val="1077"/>
                <w:rFonts w:ascii="Times New Roman" w:hAnsi="Times New Roman" w:eastAsia="方正楷体_GBK" w:cs="Times New Roman"/>
                <w:b w:val="0"/>
                <w:sz w:val="21"/>
                <w:szCs w:val="21"/>
                <w:lang w:bidi="ar"/>
              </w:rPr>
              <w:t xml:space="preserve">）关闭防水口→（</w:t>
            </w:r>
            <w:r>
              <w:rPr>
                <w:rFonts w:eastAsia="方正楷体_GBK"/>
                <w:color w:val="000000"/>
                <w:szCs w:val="21"/>
                <w:lang w:bidi="ar"/>
              </w:rPr>
              <w:t xml:space="preserve">6</w:t>
            </w:r>
            <w:r>
              <w:rPr>
                <w:rStyle w:val="1077"/>
                <w:rFonts w:ascii="Times New Roman" w:hAnsi="Times New Roman" w:eastAsia="方正楷体_GBK" w:cs="Times New Roman"/>
                <w:b w:val="0"/>
                <w:sz w:val="21"/>
                <w:szCs w:val="21"/>
                <w:lang w:bidi="ar"/>
              </w:rPr>
              <w:t xml:space="preserve">）打开两层保护帽→（</w:t>
            </w:r>
            <w:r>
              <w:rPr>
                <w:rFonts w:eastAsia="方正楷体_GBK"/>
                <w:color w:val="000000"/>
                <w:szCs w:val="21"/>
                <w:lang w:bidi="ar"/>
              </w:rPr>
              <w:t xml:space="preserve">7</w:t>
            </w:r>
            <w:r>
              <w:rPr>
                <w:rStyle w:val="1077"/>
                <w:rFonts w:ascii="Times New Roman" w:hAnsi="Times New Roman" w:eastAsia="方正楷体_GBK" w:cs="Times New Roman"/>
                <w:b w:val="0"/>
                <w:sz w:val="21"/>
                <w:szCs w:val="21"/>
                <w:lang w:bidi="ar"/>
              </w:rPr>
              <w:t xml:space="preserve">）安装轴系。</w:t>
            </w:r>
            <w:r>
              <w:rPr>
                <w:rStyle w:val="1077"/>
                <w:rFonts w:ascii="Times New Roman" w:hAnsi="Times New Roman" w:eastAsia="方正楷体_GBK" w:cs="Times New Roman"/>
                <w:b w:val="0"/>
                <w:sz w:val="21"/>
                <w:szCs w:val="21"/>
                <w:lang w:bidi="ar"/>
              </w:rPr>
            </w:r>
            <w:r/>
          </w:p>
          <w:p>
            <w:pPr>
              <w:pStyle w:val="716"/>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 w:val="0"/>
                <w:sz w:val="21"/>
                <w:szCs w:val="21"/>
                <w:lang w:bidi="ar"/>
              </w:rPr>
              <w:t xml:space="preserve">（9）</w:t>
            </w:r>
            <w:r>
              <w:rPr>
                <w:rFonts w:eastAsia="方正楷体_GBK"/>
                <w:color w:val="000000"/>
                <w:szCs w:val="21"/>
              </w:rPr>
              <w:t xml:space="preserve">▲</w:t>
            </w:r>
            <w:r>
              <w:rPr>
                <w:rStyle w:val="1077"/>
                <w:rFonts w:ascii="Times New Roman" w:hAnsi="Times New Roman" w:eastAsia="方正楷体_GBK" w:cs="Times New Roman"/>
                <w:b w:val="0"/>
                <w:sz w:val="21"/>
                <w:szCs w:val="21"/>
                <w:lang w:bidi="ar"/>
              </w:rPr>
              <w:t xml:space="preserve">投标人具有海工建造流程实训软件知识产权。</w:t>
            </w:r>
            <w:r>
              <w:rPr>
                <w:rStyle w:val="1077"/>
                <w:rFonts w:ascii="Times New Roman" w:hAnsi="Times New Roman" w:eastAsia="方正楷体_GBK" w:cs="Times New Roman"/>
                <w:bCs/>
                <w:sz w:val="21"/>
                <w:szCs w:val="21"/>
                <w:lang w:bidi="ar"/>
              </w:rPr>
              <w:t xml:space="preserve">投标时需提供相关知识产权证书（提供软件著作权或产品登记证书），同时附上“中国版权保护中心”登记证书查询截图及网址。</w:t>
            </w:r>
            <w:r>
              <w:rPr>
                <w:rStyle w:val="1077"/>
                <w:rFonts w:ascii="Times New Roman" w:hAnsi="Times New Roman" w:eastAsia="方正楷体_GBK" w:cs="Times New Roman"/>
                <w:bCs/>
                <w:sz w:val="21"/>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1074"/>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10</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船舶建造交互实训系统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Style w:val="1077"/>
                <w:rFonts w:ascii="Times New Roman" w:hAnsi="Times New Roman" w:eastAsia="方正楷体_GBK" w:cs="Times New Roman"/>
                <w:b w:val="0"/>
                <w:sz w:val="21"/>
                <w:szCs w:val="21"/>
              </w:rPr>
            </w:pPr>
            <w:r>
              <w:rPr>
                <w:rFonts w:eastAsia="方正楷体_GBK"/>
                <w:color w:val="000000"/>
                <w:szCs w:val="21"/>
              </w:rPr>
              <w:t xml:space="preserve">本系统包含但不限于以下功能点：</w:t>
            </w:r>
            <w:r>
              <w:rPr>
                <w:rStyle w:val="1077"/>
                <w:rFonts w:ascii="Times New Roman" w:hAnsi="Times New Roman" w:eastAsia="方正楷体_GBK" w:cs="Times New Roman"/>
                <w:b w:val="0"/>
                <w:sz w:val="21"/>
                <w:szCs w:val="21"/>
              </w:rPr>
            </w:r>
            <w:r/>
          </w:p>
          <w:p>
            <w:pPr>
              <w:pStyle w:val="716"/>
              <w:widowControl/>
              <w:rPr>
                <w:rStyle w:val="1077"/>
                <w:rFonts w:ascii="Times New Roman" w:hAnsi="Times New Roman" w:eastAsia="方正楷体_GBK" w:cs="Times New Roman"/>
                <w:bCs/>
                <w:sz w:val="21"/>
                <w:szCs w:val="21"/>
                <w:lang w:bidi="ar"/>
              </w:rPr>
            </w:pPr>
            <w:r>
              <w:rPr>
                <w:rStyle w:val="1077"/>
                <w:rFonts w:ascii="Times New Roman" w:hAnsi="Times New Roman" w:eastAsia="方正楷体_GBK" w:cs="Times New Roman"/>
                <w:bCs/>
                <w:sz w:val="21"/>
                <w:szCs w:val="21"/>
                <w:lang w:bidi="ar"/>
              </w:rPr>
              <w:t xml:space="preserve">（1）系统总体功能</w:t>
            </w:r>
            <w:r>
              <w:rPr>
                <w:rStyle w:val="1077"/>
                <w:rFonts w:ascii="Times New Roman" w:hAnsi="Times New Roman" w:eastAsia="方正楷体_GBK" w:cs="Times New Roman"/>
                <w:bCs/>
                <w:sz w:val="21"/>
                <w:szCs w:val="21"/>
                <w:lang w:bidi="ar"/>
              </w:rPr>
            </w:r>
            <w:r/>
          </w:p>
          <w:p>
            <w:pPr>
              <w:pStyle w:val="716"/>
              <w:ind w:firstLine="422"/>
              <w:rPr>
                <w:rStyle w:val="1077"/>
                <w:rFonts w:ascii="Times New Roman" w:hAnsi="Times New Roman" w:eastAsia="方正楷体_GBK" w:cs="Times New Roman"/>
                <w:sz w:val="21"/>
                <w:szCs w:val="21"/>
                <w:lang w:bidi="ar"/>
              </w:rPr>
            </w:pPr>
            <w:r>
              <w:rPr>
                <w:rFonts w:ascii="Cambria Math" w:hAnsi="Cambria Math" w:eastAsia="方正楷体_GBK" w:cs="Cambria Math"/>
                <w:b/>
                <w:color w:val="000000"/>
                <w:szCs w:val="21"/>
                <w:lang w:bidi="ar"/>
              </w:rPr>
              <w:t xml:space="preserve">①</w:t>
            </w:r>
            <w:r>
              <w:rPr>
                <w:rFonts w:eastAsia="方正楷体_GBK"/>
                <w:color w:val="000000"/>
                <w:szCs w:val="21"/>
                <w:lang w:bidi="ar"/>
              </w:rPr>
              <w:t xml:space="preserve">提供登录注册功能，首次使用需要注册用户名和密码，学生注册后可以通过用户名和密码登录实训系统。</w:t>
            </w:r>
            <w:r>
              <w:rPr>
                <w:rStyle w:val="1077"/>
                <w:rFonts w:ascii="Times New Roman" w:hAnsi="Times New Roman" w:eastAsia="方正楷体_GBK" w:cs="Times New Roman"/>
                <w:sz w:val="21"/>
                <w:szCs w:val="21"/>
                <w:lang w:bidi="ar"/>
              </w:rPr>
            </w:r>
            <w:r/>
          </w:p>
          <w:p>
            <w:pPr>
              <w:pStyle w:val="716"/>
              <w:ind w:firstLine="422"/>
              <w:rPr>
                <w:rStyle w:val="1077"/>
                <w:rFonts w:ascii="Times New Roman" w:hAnsi="Times New Roman" w:eastAsia="方正楷体_GBK" w:cs="Times New Roman"/>
                <w:b w:val="0"/>
                <w:sz w:val="21"/>
                <w:szCs w:val="21"/>
                <w:lang w:bidi="ar"/>
              </w:rPr>
            </w:pPr>
            <w:r>
              <w:rPr>
                <w:rFonts w:ascii="Cambria Math" w:hAnsi="Cambria Math" w:eastAsia="方正楷体_GBK" w:cs="Cambria Math"/>
                <w:b/>
                <w:color w:val="000000"/>
                <w:szCs w:val="21"/>
                <w:lang w:bidi="ar"/>
              </w:rPr>
              <w:t xml:space="preserve">②</w:t>
            </w:r>
            <w:r>
              <w:rPr>
                <w:rFonts w:eastAsia="方正楷体_GBK"/>
                <w:color w:val="000000"/>
                <w:szCs w:val="21"/>
                <w:lang w:bidi="ar"/>
              </w:rPr>
              <w:t xml:space="preserve">提供</w:t>
            </w:r>
            <w:r>
              <w:rPr>
                <w:rStyle w:val="1077"/>
                <w:rFonts w:ascii="Times New Roman" w:hAnsi="Times New Roman" w:eastAsia="方正楷体_GBK" w:cs="Times New Roman"/>
                <w:b w:val="0"/>
                <w:sz w:val="21"/>
                <w:szCs w:val="21"/>
                <w:lang w:bidi="ar"/>
              </w:rPr>
              <w:t xml:space="preserve">教学、实训、考试三种模式，各模式可自由切换。</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a.</w:t>
            </w:r>
            <w:r>
              <w:rPr>
                <w:rStyle w:val="1077"/>
                <w:rFonts w:ascii="Times New Roman" w:hAnsi="Times New Roman" w:eastAsia="方正楷体_GBK" w:cs="Times New Roman"/>
                <w:b w:val="0"/>
                <w:sz w:val="21"/>
                <w:szCs w:val="21"/>
                <w:lang w:bidi="ar"/>
              </w:rPr>
              <w:t xml:space="preserve">教学模式：每一步均提示需选择的内容及操作要求，用户按提示完成操作后，若操作正确则演示工艺过程动画；</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b.</w:t>
            </w:r>
            <w:r>
              <w:rPr>
                <w:rStyle w:val="1077"/>
                <w:rFonts w:ascii="Times New Roman" w:hAnsi="Times New Roman" w:eastAsia="方正楷体_GBK" w:cs="Times New Roman"/>
                <w:b w:val="0"/>
                <w:sz w:val="21"/>
                <w:szCs w:val="21"/>
                <w:lang w:bidi="ar"/>
              </w:rPr>
              <w:t xml:space="preserve">实训模式：不提供选择内容及操作提示，学生需依据课堂所学知识开展练习，若操作正确则演示工艺过程动画，若操作错误则弹出错误提示；</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eastAsia="方正楷体_GBK"/>
                <w:color w:val="000000"/>
                <w:szCs w:val="21"/>
                <w:lang w:bidi="ar"/>
              </w:rPr>
              <w:t xml:space="preserve">c.</w:t>
            </w:r>
            <w:r>
              <w:rPr>
                <w:rStyle w:val="1077"/>
                <w:rFonts w:ascii="Times New Roman" w:hAnsi="Times New Roman" w:eastAsia="方正楷体_GBK" w:cs="Times New Roman"/>
                <w:b w:val="0"/>
                <w:sz w:val="21"/>
                <w:szCs w:val="21"/>
                <w:lang w:bidi="ar"/>
              </w:rPr>
              <w:t xml:space="preserve">考试模式：不提供选择内容及操作提示，学生依据图纸及所学知识完成操作，若操作正确则演示工艺过程，若操作错误则扣除相应分数，最终生成学生操作正确率报告。</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③</w:t>
            </w:r>
            <w:r>
              <w:rPr>
                <w:rStyle w:val="1077"/>
                <w:rFonts w:ascii="Times New Roman" w:hAnsi="Times New Roman" w:eastAsia="方正楷体_GBK" w:cs="Times New Roman"/>
                <w:b w:val="0"/>
                <w:sz w:val="21"/>
                <w:szCs w:val="21"/>
                <w:lang w:bidi="ar"/>
              </w:rPr>
              <w:t xml:space="preserve">支持工艺流程编辑界面，允许用户在实操开始前对工艺流程进行选择与编辑。</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④</w:t>
            </w:r>
            <w:r>
              <w:rPr>
                <w:rStyle w:val="1077"/>
                <w:rFonts w:ascii="Times New Roman" w:hAnsi="Times New Roman" w:eastAsia="方正楷体_GBK" w:cs="Times New Roman"/>
                <w:b w:val="0"/>
                <w:sz w:val="21"/>
                <w:szCs w:val="21"/>
                <w:lang w:bidi="ar"/>
              </w:rPr>
              <w:t xml:space="preserve">支持在教学、实操模式中，针对施工过程中的各知识点提供解析与知识拓展说明性提示，辅助用户自学。</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⑤</w:t>
            </w:r>
            <w:r>
              <w:rPr>
                <w:rStyle w:val="1077"/>
                <w:rFonts w:ascii="Times New Roman" w:hAnsi="Times New Roman" w:eastAsia="方正楷体_GBK" w:cs="Times New Roman"/>
                <w:b w:val="0"/>
                <w:sz w:val="21"/>
                <w:szCs w:val="21"/>
                <w:lang w:bidi="ar"/>
              </w:rPr>
              <w:t xml:space="preserve">支持在实操过程中提供模型三维预览功能，并配备模型高亮提示功能。</w:t>
            </w:r>
            <w:r>
              <w:rPr>
                <w:rStyle w:val="1077"/>
                <w:rFonts w:ascii="Times New Roman" w:hAnsi="Times New Roman" w:eastAsia="方正楷体_GBK" w:cs="Times New Roman"/>
                <w:b w:val="0"/>
                <w:sz w:val="21"/>
                <w:szCs w:val="21"/>
                <w:lang w:bidi="ar"/>
              </w:rPr>
            </w:r>
            <w:r/>
          </w:p>
          <w:p>
            <w:pPr>
              <w:pStyle w:val="716"/>
              <w:ind w:firstLine="420"/>
              <w:rPr>
                <w:rStyle w:val="1077"/>
                <w:rFonts w:ascii="Times New Roman" w:hAnsi="Times New Roman" w:eastAsia="方正楷体_GBK" w:cs="Times New Roman"/>
                <w:b w:val="0"/>
                <w:sz w:val="21"/>
                <w:szCs w:val="21"/>
                <w:lang w:bidi="ar"/>
              </w:rPr>
            </w:pPr>
            <w:r>
              <w:rPr>
                <w:rFonts w:ascii="Cambria Math" w:hAnsi="Cambria Math" w:eastAsia="方正楷体_GBK" w:cs="Cambria Math"/>
                <w:color w:val="000000"/>
                <w:szCs w:val="21"/>
                <w:lang w:bidi="ar"/>
              </w:rPr>
              <w:t xml:space="preserve">⑥</w:t>
            </w:r>
            <w:r>
              <w:rPr>
                <w:rStyle w:val="1077"/>
                <w:rFonts w:ascii="Times New Roman" w:hAnsi="Times New Roman" w:eastAsia="方正楷体_GBK" w:cs="Times New Roman"/>
                <w:b w:val="0"/>
                <w:sz w:val="21"/>
                <w:szCs w:val="21"/>
                <w:lang w:bidi="ar"/>
              </w:rPr>
              <w:t xml:space="preserve">支持资料库功能，提供实操项目实施过程中涉及的工艺图纸、施工方案、各类记录及其他文件资料的查询与查阅。</w:t>
            </w:r>
            <w:r>
              <w:rPr>
                <w:rStyle w:val="1077"/>
                <w:rFonts w:ascii="Times New Roman" w:hAnsi="Times New Roman" w:eastAsia="方正楷体_GBK" w:cs="Times New Roman"/>
                <w:b w:val="0"/>
                <w:sz w:val="21"/>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Style w:val="1077"/>
                <w:rFonts w:ascii="Times New Roman" w:hAnsi="Times New Roman" w:eastAsia="方正楷体_GBK" w:cs="Times New Roman"/>
                <w:b w:val="0"/>
                <w:sz w:val="21"/>
                <w:szCs w:val="21"/>
                <w:lang w:bidi="ar"/>
              </w:rPr>
              <w:t xml:space="preserve">支持实操交互评分功能，系统自动记录成绩，用户可查看个人考试记录及历史成绩。</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⑧</w:t>
            </w:r>
            <w:r>
              <w:rPr>
                <w:rStyle w:val="1077"/>
                <w:rFonts w:ascii="Times New Roman" w:hAnsi="Times New Roman" w:eastAsia="方正楷体_GBK" w:cs="Times New Roman"/>
                <w:b w:val="0"/>
                <w:sz w:val="21"/>
                <w:szCs w:val="21"/>
                <w:lang w:bidi="ar"/>
              </w:rPr>
              <w:t xml:space="preserve">提供教学管理模块，支持用户信息与角色管理：用户信息管理用于信息维护，包括用户的增删改查；支持用户与角色关联关系维护（如新增、删除、查询角色关联）；角色管理包含管理员、教师、学员等三类用户角色设定。</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（2）小组立交互实操子模块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本模块支持船舶与海工建造过程中5种典型小组立结构的装配实训。</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（3）中组立交互实操子模块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本模块支持船舶与海工建造过程中5种典型中组立结构的装配实训。</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（4）典型船舶分段建造</w:t>
            </w:r>
            <w:r>
              <w:rPr>
                <w:rFonts w:eastAsia="方正楷体_GBK"/>
                <w:b/>
                <w:bCs/>
                <w:color w:val="000000"/>
                <w:szCs w:val="21"/>
                <w:lang w:bidi="ar"/>
              </w:rPr>
            </w:r>
            <w:r/>
          </w:p>
          <w:p>
            <w:pPr>
              <w:pStyle w:val="716"/>
              <w:ind w:firstLine="420"/>
              <w:rPr>
                <w:rFonts w:hint="eastAsia"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本模块支持双层底分段、底边舱分段、舱壁分段、甲板分段、舷侧分段等5种典型船舶分段的装配实训。</w:t>
            </w:r>
            <w:r>
              <w:rPr>
                <w:rFonts w:hint="eastAsia"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（5）典型船舶总段建造</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rPr>
              <w:t xml:space="preserve">▲</w:t>
            </w:r>
            <w:r>
              <w:rPr>
                <w:rFonts w:eastAsia="方正楷体_GBK"/>
                <w:color w:val="000000"/>
                <w:szCs w:val="21"/>
                <w:lang w:bidi="ar"/>
              </w:rPr>
              <w:t xml:space="preserve">本模块支持艏部总段、舯部总段、艉部总段等3种典型船舶总段的装配实训。</w:t>
            </w:r>
            <w:r>
              <w:rPr>
                <w:rFonts w:eastAsia="方正楷体_GBK"/>
                <w:color w:val="000000"/>
                <w:szCs w:val="21"/>
                <w:lang w:bidi="ar"/>
              </w:rPr>
            </w:r>
            <w:r/>
          </w:p>
          <w:p>
            <w:pPr>
              <w:pStyle w:val="716"/>
              <w:widowControl/>
              <w:rPr>
                <w:rFonts w:eastAsia="方正楷体_GBK"/>
                <w:b/>
                <w:bCs/>
                <w:color w:val="000000"/>
                <w:szCs w:val="21"/>
                <w:lang w:bidi="ar"/>
              </w:rPr>
            </w:pPr>
            <w:r>
              <w:rPr>
                <w:rFonts w:eastAsia="方正楷体_GBK"/>
                <w:b/>
                <w:bCs/>
                <w:color w:val="000000"/>
                <w:szCs w:val="21"/>
                <w:lang w:bidi="ar"/>
              </w:rPr>
              <w:t xml:space="preserve">（6）典型船舶建造搭载过程</w:t>
            </w:r>
            <w:r>
              <w:rPr>
                <w:rFonts w:eastAsia="方正楷体_GBK"/>
                <w:b/>
                <w:bCs/>
                <w:color w:val="000000"/>
                <w:szCs w:val="21"/>
                <w:lang w:bidi="ar"/>
              </w:rPr>
            </w:r>
            <w:r/>
          </w:p>
          <w:p>
            <w:pPr>
              <w:pStyle w:val="716"/>
              <w:ind w:firstLine="420"/>
              <w:rPr>
                <w:rStyle w:val="1077"/>
              </w:rPr>
            </w:pPr>
            <w:r>
              <w:rPr>
                <w:rFonts w:eastAsia="方正楷体_GBK"/>
                <w:color w:val="000000"/>
                <w:szCs w:val="21"/>
              </w:rPr>
              <w:t xml:space="preserve">▲</w:t>
            </w:r>
            <w:r>
              <w:rPr>
                <w:rFonts w:eastAsia="方正楷体_GBK"/>
                <w:color w:val="000000"/>
                <w:szCs w:val="21"/>
                <w:lang w:bidi="ar"/>
              </w:rPr>
              <w:t xml:space="preserve">本模块支持塔式搭载、岛式搭载两种典型方式的船舶建造搭载实训。</w:t>
            </w:r>
            <w:r>
              <w:rPr>
                <w:rStyle w:val="1077"/>
              </w:rPr>
            </w:r>
            <w:r/>
          </w:p>
          <w:p>
            <w:pPr>
              <w:pStyle w:val="716"/>
              <w:rPr>
                <w:rFonts w:eastAsia="方正楷体_GBK"/>
                <w:b/>
                <w:bCs/>
                <w:color w:val="000000"/>
                <w:szCs w:val="21"/>
                <w:lang w:bidi="ar"/>
              </w:rPr>
            </w:pPr>
            <w:r>
              <w:rPr>
                <w:rFonts w:eastAsia="方正楷体_GBK"/>
                <w:b/>
                <w:bCs/>
                <w:color w:val="000000"/>
                <w:szCs w:val="21"/>
                <w:lang w:bidi="ar"/>
              </w:rPr>
              <w:t xml:space="preserve">（7）▲</w:t>
            </w:r>
            <w:r>
              <w:rPr>
                <w:rFonts w:eastAsia="方正楷体_GBK"/>
                <w:color w:val="000000"/>
                <w:szCs w:val="21"/>
                <w:lang w:bidi="ar"/>
              </w:rPr>
              <w:t xml:space="preserve">投标人具有船舶建造流程实训软件知识产权。</w:t>
            </w:r>
            <w:r>
              <w:rPr>
                <w:rFonts w:eastAsia="方正楷体_GBK"/>
                <w:b/>
                <w:bCs/>
                <w:color w:val="000000"/>
                <w:szCs w:val="21"/>
                <w:lang w:bidi="ar"/>
              </w:rPr>
              <w:t xml:space="preserve">投标时需提供相关知识产权证书（提供软件著作权或产品登记证书），同时附上“中国版权保护中心”登记证书查询截图及网址。</w:t>
            </w:r>
            <w:r>
              <w:rPr>
                <w:rFonts w:eastAsia="方正楷体_GBK"/>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大型双燃料动力LNG船结构实训系统</w:t>
            </w:r>
            <w:r>
              <w:rPr>
                <w:rFonts w:eastAsia="方正楷体_GBK"/>
                <w:color w:val="000000"/>
                <w:szCs w:val="21"/>
                <w:lang w:bidi="ar"/>
              </w:rPr>
              <w:br w:type="textWrapping" w:clear="all"/>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lang w:bidi="ar"/>
              </w:rPr>
            </w:pPr>
            <w:r>
              <w:rPr>
                <w:rFonts w:eastAsia="方正楷体_GBK"/>
                <w:b/>
                <w:bCs/>
                <w:color w:val="000000"/>
                <w:szCs w:val="21"/>
                <w:lang w:bidi="ar"/>
              </w:rPr>
              <w:t xml:space="preserve">(1)系统总体功能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提供教学、实训、考试三种模式，自由切换，适配分层教学。</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a.教学模式：步骤操作提示+工艺动画+知识点解析，操作失误时给出对应引导提示。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b.实训模式：无操作提示，学生自主操作，错误弹出规范提示。</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c.考试模式：无提示、自动判分、计时，生成操作正确率+失分知识点报告。</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内置资料库：含双燃料系统规范、低温焊接工艺、船级社标准。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自动交互评分：</w:t>
            </w:r>
            <w:r>
              <w:rPr>
                <w:rFonts w:eastAsia="方正楷体_GBK"/>
                <w:color w:val="000000"/>
                <w:szCs w:val="21"/>
                <w:lang w:bidi="ar"/>
              </w:rPr>
              <w:t xml:space="preserve">自动判分、操作时长、成绩查询、错题统计、成绩导出。</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(2)LNG船结构认知与总组实训子模块</w:t>
            </w:r>
            <w:r>
              <w:rPr>
                <w:rFonts w:eastAsia="方正楷体_GBK"/>
                <w:b/>
                <w:bCs/>
                <w:color w:val="000000"/>
                <w:szCs w:val="21"/>
                <w:lang w:bidi="ar"/>
              </w:rPr>
            </w:r>
            <w:r/>
          </w:p>
          <w:p>
            <w:pPr>
              <w:pStyle w:val="716"/>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rPr>
              <w:t xml:space="preserve">▲</w:t>
            </w:r>
            <w:r>
              <w:rPr>
                <w:rFonts w:eastAsia="方正楷体_GBK"/>
                <w:color w:val="000000"/>
                <w:szCs w:val="21"/>
                <w:lang w:bidi="ar"/>
              </w:rPr>
              <w:t xml:space="preserve">典型船体结构认知：140000m³级及以上大型双燃料动力LNG船，至少涵盖艏部区、艉部区、货舱区、双燃料机舱区、上层建筑等船体结构。船体轮廓、舱容布局、各分区结构特征应与140000m³级及以上双燃料动力LNG相符，否则视为技术符合性不满足。</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典型分段建造实训：舷侧分段、舱壁分段、货舱围井分段、机舱分段，还原船厂胎架建造流程。</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总组工艺实训：货舱区总组、机舱总组、首尾总组，控制分段精度与焊接余量。</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(3)液货舱系统实训子模块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多型号系统认知功能：支持Mark3型、NO96型、CS1型三种主流液货舱系统认知，配套图文解析各型号系统的构造差异、适用场景与技术特点。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殷瓦钢焊接实训：殷瓦板拼接、自动焊/手工焊操作，低温焊接缺陷识别与修复。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液货舱密封测试实训：气压检漏、真空检漏、氦检漏操作与结果判定。</w:t>
            </w:r>
            <w:r>
              <w:rPr>
                <w:rFonts w:eastAsia="方正楷体_GBK"/>
                <w:color w:val="000000"/>
                <w:szCs w:val="21"/>
                <w:lang w:bidi="ar"/>
              </w:rPr>
            </w:r>
            <w:r/>
          </w:p>
          <w:p>
            <w:pPr>
              <w:pStyle w:val="716"/>
              <w:ind w:firstLine="422"/>
              <w:rPr>
                <w:rFonts w:eastAsia="方正楷体_GBK"/>
                <w:color w:val="000000"/>
                <w:szCs w:val="21"/>
                <w:lang w:bidi="ar"/>
              </w:rPr>
            </w:pPr>
            <w:r>
              <w:rPr>
                <w:rFonts w:eastAsia="方正楷体_GBK"/>
                <w:b/>
                <w:bCs/>
                <w:color w:val="000000"/>
                <w:szCs w:val="21"/>
                <w:lang w:bidi="ar"/>
              </w:rPr>
              <w:t xml:space="preserve">(4)燃料动力系统实训子模块</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双燃料动力系统认知功能：支持LNG船双燃料动力系统认知，配套图文解析双燃料动力系统技术特点。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系统调试实训：燃料切换、惰气保护、泄漏检测、安全联锁逻辑操作。</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(5)止移块与限位结构实训子模块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结构与功能认知：支持止移块认知，配套图文解析止移块核心功能。</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装配实训：底座定位→焊接→加强筋安装→精度检测，控制焊接变形。</w:t>
            </w:r>
            <w:r>
              <w:rPr>
                <w:rFonts w:eastAsia="方正楷体_GBK"/>
                <w:color w:val="000000"/>
                <w:szCs w:val="21"/>
                <w:lang w:bidi="ar"/>
              </w:rPr>
            </w:r>
            <w:r/>
          </w:p>
          <w:p>
            <w:pPr>
              <w:pStyle w:val="716"/>
              <w:ind w:firstLine="422"/>
              <w:rPr>
                <w:rFonts w:eastAsia="方正楷体_GBK"/>
                <w:color w:val="000000"/>
                <w:szCs w:val="21"/>
                <w:lang w:bidi="ar"/>
              </w:rPr>
            </w:pPr>
            <w:r>
              <w:rPr>
                <w:rFonts w:eastAsia="方正楷体_GBK"/>
                <w:b/>
                <w:bCs/>
                <w:color w:val="000000"/>
                <w:szCs w:val="21"/>
                <w:lang w:bidi="ar"/>
              </w:rPr>
              <w:t xml:space="preserve">(6)低温焊接与对接工艺实训子模块</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焊接工艺认知：低温钢焊接参数、焊材选型、坡口形式。</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实操实训：板对接焊、角焊、T型焊，焊接缺陷识别（气孔/裂纹/未焊透等）。</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(7)综合考核评估功能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结构识别考核：随机高亮部件，判断名称/功能/位置。</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实训操作考核：绝缘铺设、殷瓦焊接、管系安装、止移块装配。</w:t>
            </w:r>
            <w:r>
              <w:rPr>
                <w:rFonts w:eastAsia="方正楷体_GBK"/>
                <w:color w:val="000000"/>
                <w:szCs w:val="21"/>
              </w:rPr>
              <w:t xml:space="preserve">考核形式：单选/多选/判断+三维交互操作，自动生成成绩、错题统计</w:t>
            </w:r>
            <w:r>
              <w:rPr>
                <w:rFonts w:eastAsia="方正楷体_GBK"/>
                <w:color w:val="000000"/>
                <w:szCs w:val="21"/>
                <w:lang w:bidi="ar"/>
              </w:rPr>
              <w:t xml:space="preserve">。</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12</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海上风电安装船教学实训系统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lang w:bidi="ar"/>
              </w:rPr>
            </w:pPr>
            <w:r>
              <w:rPr>
                <w:rFonts w:eastAsia="方正楷体_GBK"/>
                <w:b/>
                <w:bCs/>
                <w:color w:val="000000"/>
                <w:szCs w:val="21"/>
                <w:lang w:bidi="ar"/>
              </w:rPr>
              <w:t xml:space="preserve">(1)</w:t>
            </w:r>
            <w:r>
              <w:rPr>
                <w:rFonts w:eastAsia="方正楷体_GBK"/>
                <w:b/>
                <w:bCs/>
                <w:color w:val="000000"/>
                <w:szCs w:val="21"/>
                <w:lang w:bidi="ar"/>
              </w:rPr>
              <w:tab/>
            </w:r>
            <w:r>
              <w:rPr>
                <w:rFonts w:eastAsia="方正楷体_GBK"/>
                <w:b/>
                <w:bCs/>
                <w:color w:val="000000"/>
                <w:szCs w:val="21"/>
                <w:lang w:bidi="ar"/>
              </w:rPr>
              <w:t xml:space="preserve">系统总体功能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　提供教学、实训、考试三种模式，自由切换，步骤提示/无提示/自动判分。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内置资料库：升降系统规范、吊装工艺、海上施工标准。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(2)风电安装船结构与分段建造实训子模块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典型船体结构认知：船体、桩腿、升降平台、吊装甲板。</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典型分段建造：船底分段、舷侧分段、甲板分段、桩腿分段，胎架制造→部件装配→焊接→精度检测。</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(3)自升式桩腿与升降系统实训子模块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系统认知：聚焦自升式桩腿与升降系统，针对桁架式桩腿/圆柱桩腿、齿条、升降齿轮箱等典型结构开展专项认知学习。</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装配实训：桩腿对接→齿条安装→齿轮箱定位→锁紧机构调试。</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升降操作实训：空载升降、负载升降、应急锁紧、偏载保护。</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(4)吊装系统实训子模块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系统认知：聚焦吊装系统，针对主吊机、回转机构、变幅机构、吊钩、索具、限位装置开展专项认知学习。</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吊装工艺实训：风机叶片吊装、机舱吊装、塔筒吊装，吊点选择、重心控制、海上稳性调整。</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安全实训：吊装限位、紧急制动、防碰撞、恶劣海况应急处置。</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(5)动力定位系统实训子模块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系统认知：聚焦动力定位系统，针对全回转舵桨、推力器、定位传感器、控制系统开展专项认知学习。</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调试实训：推力分配、定位精度设定、抗浪涌补偿。</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海上定位实训：浅海/深海定位、单点/多点定位操作。</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(6)综合考核评估功能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结构识别：随机高亮部件，判断名称/功能/位置。</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实训操作考核：升降系统、吊装系统、动力定位系统实训。</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考核形式：单选/多选/判断+三维交互操作，自动生成成绩、错题统计。</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13</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深海浮式风电平台教学实训系统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lang w:bidi="ar"/>
              </w:rPr>
            </w:pPr>
            <w:r>
              <w:rPr>
                <w:rFonts w:eastAsia="方正楷体_GBK"/>
                <w:b/>
                <w:bCs/>
                <w:color w:val="000000"/>
                <w:szCs w:val="21"/>
                <w:lang w:bidi="ar"/>
              </w:rPr>
              <w:t xml:space="preserve">（1）系统总体功能</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支持用户注册登录、批量导入、密码修改。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提供教学、实训、考试三种模式，自由切换，步骤提示/自主操作/自动判分。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支持典型船体结构3D模型交互，包括旋转、缩放、剖切、高亮、定位。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内置资料库：深海浮式风电平台相关规范。</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自动交互评分：自动判分、操作时长、成绩查询、错题统计、成绩导出。</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lang w:bidi="ar"/>
              </w:rPr>
              <w:t xml:space="preserve">支持教学管理：设管理员、教师、学员三级权限，支持用户/班级/成绩管理。</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（2）浮式风电平台结构与浮体建造实训子模块</w:t>
            </w:r>
            <w:r>
              <w:rPr>
                <w:rFonts w:eastAsia="方正楷体_GBK"/>
                <w:b/>
                <w:bCs/>
                <w:color w:val="000000"/>
                <w:szCs w:val="21"/>
                <w:lang w:bidi="ar"/>
              </w:rPr>
            </w:r>
            <w:r/>
          </w:p>
          <w:p>
            <w:pPr>
              <w:pStyle w:val="716"/>
              <w:ind w:firstLine="420"/>
              <w:rPr>
                <w:rFonts w:eastAsia="方正楷体_GBK"/>
                <w:b/>
                <w:bCs/>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半潜式浮式风电平台结构认知：半潜式浮式风电平台（三立柱式或三角形布局），至少涵盖浮箱本体、压载水舱、连接与加强结构等，其中浮箱本体需至少涵盖外板、内底板、内部骨架、立柱、甲板、风力发电机组等三维结构。浮式风电平台需为主流半潜式（三立柱式或三角形布局），结构布局与本项目设定不符的，视为技术符合性不满足。</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浮体分段建造：浮箱分段、立柱分段、横撑分段，焊接成型→密性试验→强度检测。</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总组实训：浮体合拢、立柱安装、横撑连接。</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（3）系泊系统实训子模块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系统认知功能：展示系泊系统的布局，涵盖系泊链、锚块等，配套图文解析系泊系统的技术特点。</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运行原理展示：展示系泊系统受力平衡、定位等核心原理。</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安装实训功能：分步展示系泊系统关键部件的安装流程与技术要求，锚块投放→系泊链铺设→张力调节→水下对接等。</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（4）风电机组实训子模块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系统认知：聚焦风电机组，针对塔筒、机舱、叶轮开展专项认知学习。</w:t>
            </w:r>
            <w:r>
              <w:rPr>
                <w:rFonts w:eastAsia="方正楷体_GBK"/>
                <w:color w:val="000000"/>
                <w:szCs w:val="21"/>
                <w:lang w:bidi="ar"/>
              </w:rPr>
            </w:r>
            <w:r/>
          </w:p>
          <w:p>
            <w:pPr>
              <w:pStyle w:val="716"/>
              <w:ind w:firstLine="422"/>
              <w:rPr>
                <w:rFonts w:eastAsia="方正楷体_GBK"/>
                <w:b/>
                <w:bCs/>
                <w:color w:val="000000"/>
                <w:szCs w:val="21"/>
                <w:lang w:bidi="ar"/>
              </w:rPr>
            </w:pPr>
            <w:r>
              <w:rPr>
                <w:rFonts w:eastAsia="方正楷体_GBK"/>
                <w:b/>
                <w:bCs/>
                <w:color w:val="000000"/>
                <w:szCs w:val="21"/>
                <w:lang w:bidi="ar"/>
              </w:rPr>
              <w:t xml:space="preserve">（5）海上安装与定位实训子模块</w:t>
            </w:r>
            <w:r>
              <w:rPr>
                <w:rFonts w:eastAsia="方正楷体_GBK"/>
                <w:b/>
                <w:bCs/>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①</w:t>
            </w:r>
            <w:r>
              <w:rPr>
                <w:rFonts w:eastAsia="方正楷体_GBK"/>
                <w:color w:val="000000"/>
                <w:szCs w:val="21"/>
                <w:lang w:bidi="ar"/>
              </w:rPr>
              <w:t xml:space="preserve">拖航实训：浮体拖航姿态控制、系泊辅助定位。</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②</w:t>
            </w:r>
            <w:r>
              <w:rPr>
                <w:rFonts w:eastAsia="方正楷体_GBK"/>
                <w:color w:val="000000"/>
                <w:szCs w:val="21"/>
                <w:lang w:bidi="ar"/>
              </w:rPr>
              <w:t xml:space="preserve">海上对接：平台与风机机组对接、系泊系统最终锁定。</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③</w:t>
            </w:r>
            <w:r>
              <w:rPr>
                <w:rFonts w:eastAsia="方正楷体_GBK"/>
                <w:color w:val="000000"/>
                <w:szCs w:val="21"/>
                <w:lang w:bidi="ar"/>
              </w:rPr>
              <w:t xml:space="preserve">密性与强度试验：浮体水压试验、系泊张力测试、稳性复核。</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④</w:t>
            </w:r>
            <w:r>
              <w:rPr>
                <w:rFonts w:eastAsia="方正楷体_GBK"/>
                <w:color w:val="000000"/>
                <w:szCs w:val="21"/>
                <w:lang w:bidi="ar"/>
              </w:rPr>
              <w:t xml:space="preserve">综合考核评估功能</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⑤</w:t>
            </w:r>
            <w:r>
              <w:rPr>
                <w:rFonts w:eastAsia="方正楷体_GBK"/>
                <w:color w:val="000000"/>
                <w:szCs w:val="21"/>
                <w:lang w:bidi="ar"/>
              </w:rPr>
              <w:t xml:space="preserve">结构识别考核：随机高亮部件，判断名称/功能/位置。</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rPr>
              <w:t xml:space="preserve">⑥</w:t>
            </w:r>
            <w:r>
              <w:rPr>
                <w:rFonts w:eastAsia="方正楷体_GBK"/>
                <w:color w:val="000000"/>
                <w:szCs w:val="21"/>
                <w:lang w:bidi="ar"/>
              </w:rPr>
              <w:t xml:space="preserve">实训操作考核：浮式风电平台结构与浮体建造实训、系泊系统实训、风电机组实训。考核形式：单选/多选/判断+三维交互操作，自动生成成绩、错题统计。</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14</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滚装船教学实训系统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(1)</w:t>
            </w:r>
            <w:r>
              <w:rPr>
                <w:rFonts w:eastAsia="方正楷体_GBK"/>
                <w:b/>
                <w:bCs/>
                <w:color w:val="000000"/>
                <w:szCs w:val="21"/>
              </w:rPr>
              <w:tab/>
            </w:r>
            <w:r>
              <w:rPr>
                <w:rFonts w:eastAsia="方正楷体_GBK"/>
                <w:b/>
                <w:bCs/>
                <w:color w:val="000000"/>
                <w:szCs w:val="21"/>
              </w:rPr>
              <w:t xml:space="preserve">系统总体功能</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支持用户注册登录、批量导入、密码修改。</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提供教学、实训、考试三种模式，自由切换，步骤提示/自主操作/自动判分。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支持典型船体结构3D模型交互，包括旋转、缩放、剖切、高亮、定位。</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内置资料库：滚装船相关规范。</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自动交互评分：自动判分、操作时长、成绩查询、错题统计、成绩导出。</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支持教学管理：设管理员、教师、学员三级权限，支持用户/班级/成绩管理。</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(2)</w:t>
            </w:r>
            <w:r>
              <w:rPr>
                <w:rFonts w:eastAsia="方正楷体_GBK"/>
                <w:b/>
                <w:bCs/>
                <w:color w:val="000000"/>
                <w:szCs w:val="21"/>
              </w:rPr>
              <w:tab/>
            </w:r>
            <w:r>
              <w:rPr>
                <w:rFonts w:eastAsia="方正楷体_GBK"/>
                <w:b/>
                <w:bCs/>
                <w:color w:val="000000"/>
                <w:szCs w:val="21"/>
              </w:rPr>
              <w:t xml:space="preserve">滚装船结构与分段建造实训子模块</w:t>
            </w:r>
            <w:r>
              <w:rPr>
                <w:rFonts w:eastAsia="方正楷体_GBK"/>
                <w:b/>
                <w:bCs/>
                <w:color w:val="000000"/>
                <w:szCs w:val="21"/>
              </w:rPr>
            </w:r>
            <w:r/>
          </w:p>
          <w:p>
            <w:pPr>
              <w:pStyle w:val="716"/>
              <w:ind w:firstLine="420"/>
              <w:rPr>
                <w:rFonts w:hint="eastAsia" w:eastAsia="方正楷体_GBK"/>
                <w:b/>
                <w:bCs/>
                <w:color w:val="000000"/>
                <w:szCs w:val="21"/>
                <w:lang w:bidi="ar"/>
              </w:rPr>
            </w:pPr>
            <w:r>
              <w:rPr>
                <w:rFonts w:ascii="Cambria Math" w:hAnsi="Cambria Math" w:eastAsia="方正楷体_GBK" w:cs="Cambria Math"/>
                <w:color w:val="000000"/>
                <w:szCs w:val="21"/>
              </w:rPr>
              <w:t xml:space="preserve">①</w:t>
            </w:r>
            <w:r>
              <w:rPr>
                <w:rFonts w:eastAsia="方正楷体_GBK"/>
                <w:color w:val="000000"/>
                <w:szCs w:val="21"/>
              </w:rPr>
              <w:t xml:space="preserve">▲典型船体结构认知：5000 CEU级及以上滚装船，至少涵盖主体承载结构（包括车辆甲板、主甲板、舱壁），内部通行通道，装卸功能结构（包括艏部跳板、艉部跳板、舷侧装卸门），上层建筑（上层建筑整体结构、驾驶舱）等船体结构。船体外形、车辆甲板布局、载车分区、滚装专用装卸结构均匹配5000 CEU级及以上滚装船，模型尺度、结构布局与本项目设定不符的，视为技术符合性不满足。</w:t>
            </w:r>
            <w:r>
              <w:rPr>
                <w:rFonts w:hint="eastAsia" w:eastAsia="方正楷体_GBK"/>
                <w:b/>
                <w:bCs/>
                <w:color w:val="000000"/>
                <w:szCs w:val="21"/>
                <w:lang w:bidi="ar"/>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典型分段建造：车辆甲板分段、舷侧分段、舱壁分段、首尾分段，胎架装配→焊接→矫正→精度检测。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总组实训：全船分段合拢、通道对齐、甲板水平度控制。</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(3)车辆甲板装配实训子模块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甲板结构认知：轻型车辆甲板、重型车辆甲板、加强筋、支座结构。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精度实训：甲板水平度、通道直线度、间隙控制检测。</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(4)艉跳板/舷侧门系统实训子模块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结构认知：跳板本体。</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安装实训：跳板装配。</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(5)内通道实训子模块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通道装配：立柱安装→横梁装配→通道板铺设→精度调整。</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(6)滚装船总装与密性试验实训子模块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总装调试：甲板载荷测试、通道通行测试。</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密性试验：舷侧门、跳板、舱室水压/气密试验，缺陷修复。</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(7)</w:t>
            </w:r>
            <w:r>
              <w:rPr>
                <w:rFonts w:eastAsia="方正楷体_GBK"/>
                <w:b/>
                <w:bCs/>
                <w:color w:val="000000"/>
                <w:szCs w:val="21"/>
              </w:rPr>
              <w:tab/>
            </w:r>
            <w:r>
              <w:rPr>
                <w:rFonts w:eastAsia="方正楷体_GBK"/>
                <w:b/>
                <w:bCs/>
                <w:color w:val="000000"/>
                <w:szCs w:val="21"/>
              </w:rPr>
              <w:t xml:space="preserve">综合考核评估功能</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结构识别考核：随机高亮部件，判断名称/功能/位置。</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实训操作考核：滚装船结构与分段建造实训、车辆甲板装配实训、艉跳板/舷侧门系统实训、内通道实训、滚装船总装与密性试验实训。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考核形式：单选/多选/判断+三维交互操作，自动生成成绩、错题统计。</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15</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left"/>
              <w:rPr>
                <w:rFonts w:eastAsia="方正楷体_GBK"/>
                <w:color w:val="000000"/>
                <w:szCs w:val="21"/>
                <w:lang w:bidi="ar"/>
              </w:rPr>
            </w:pPr>
            <w:r>
              <w:rPr>
                <w:rFonts w:eastAsia="方正楷体_GBK"/>
                <w:color w:val="000000"/>
                <w:szCs w:val="21"/>
                <w:lang w:bidi="ar"/>
              </w:rPr>
              <w:t xml:space="preserve">船体放样仿真教学实训系统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(1)支持学生登录，涵盖职位、账号等进行登录管理；</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(2)支持知识学习及实践考核两大模块；</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(3)支持放样基本理论、理论型线放样、肋骨型线放样、构件展开、放样资料制作等基础概念认知。</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(4)提供相关视频资源，涵盖船体型线图、型线放样、构件展开、样板与号料、数学放样等教学视频资源；</w:t>
            </w:r>
            <w:r>
              <w:rPr>
                <w:rFonts w:eastAsia="方正楷体_GBK"/>
                <w:color w:val="000000"/>
                <w:szCs w:val="21"/>
              </w:rPr>
            </w:r>
            <w:r/>
          </w:p>
          <w:p>
            <w:pPr>
              <w:pStyle w:val="716"/>
              <w:ind w:firstLine="420"/>
              <w:rPr>
                <w:rFonts w:eastAsia="方正楷体_GBK"/>
                <w:b/>
                <w:bCs/>
                <w:color w:val="000000"/>
                <w:szCs w:val="21"/>
              </w:rPr>
            </w:pPr>
            <w:r>
              <w:rPr>
                <w:rFonts w:eastAsia="方正楷体_GBK"/>
                <w:color w:val="000000"/>
                <w:szCs w:val="21"/>
              </w:rPr>
              <w:t xml:space="preserve">(5)支持理论答题功能，具有单选、多选、判断等题型，可实现放样知识理论考核。</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(6)支持实践考核，具有实训、考核两种模式，考核模式不提供操作提示。</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(7)▲支持理想型线放样：支持依据三向投影原理，通过三组相互垂直的平行剖面（横剖面、纵剖面、水线面）与船体表面相交，生成三组型线（横剖线、纵剖线、水线），并绘制形成三类投影图（横剖线图、纵剖线图、半宽水线图）予以表示。</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(8)支持横剖线按步骤绘制，支持学生通过读取型值表，进行水平基线、左右边线、底部弯曲半径等关键数据的输入与图线绘制，最终完成横剖线的绘制。</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(9)支持纵剖线按步骤绘制，支持学生通过读取型值表，进行水平基线、垂线、船尾轮廓线等关键数据的输入与图线绘制，最终完成纵剖线的绘制。</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(10)支持半宽水线绘制，支持学生通过读取型值表，对不同部位的水线进行绘制。</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(11)支持肋骨型线放样：支持在理论型线放样完成的基础上，对光顺处理后的船体表面截取肋骨剖面，获取各肋骨型线的工艺过程。</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(12) ▲支持扭曲状纵向构件展开：支持依据纵桁图和实线图，获取各构件实长线并绘制展开图；支持准线实长线线段、展开图间距线段、半径线段等关键步骤的操作，实现根据展开图坐标信息标注交点，完成展开图绘制。</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(13) ▲支持典型外板展开法：支持十字线展开法、测地线展开法、三角线展开法、定线展开法，涵盖船首、舷墙等特殊结构；可针对不同外板采用对应的展开方法。</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(14) ▲支持样箱制作：支持依据肋骨型线图，在虚拟环境中完成样箱制作，可实现侧面线、基面框、剖面样板等关键步骤的操作实训。</w:t>
            </w:r>
            <w:r>
              <w:rPr>
                <w:rFonts w:eastAsia="方正楷体_GBK"/>
                <w:color w:val="000000"/>
                <w:szCs w:val="21"/>
              </w:rPr>
            </w:r>
            <w:r/>
          </w:p>
          <w:p>
            <w:pPr>
              <w:pStyle w:val="716"/>
              <w:ind w:firstLine="420"/>
              <w:rPr>
                <w:rFonts w:eastAsia="方正楷体_GBK"/>
                <w:b/>
                <w:bCs/>
                <w:color w:val="000000"/>
                <w:szCs w:val="21"/>
              </w:rPr>
            </w:pPr>
            <w:r>
              <w:rPr>
                <w:rFonts w:eastAsia="方正楷体_GBK"/>
                <w:color w:val="000000"/>
                <w:szCs w:val="21"/>
              </w:rPr>
              <w:t xml:space="preserve">(15) ▲支持外板加工成形：支持对外板加工全流程进行虚拟操作，还原外板加工各环节细节，帮助用户明晰各细节、关键节点的信息获取方式及操作方法，完成外板加工操作。</w:t>
            </w:r>
            <w:r>
              <w:rPr>
                <w:rFonts w:eastAsia="方正楷体_GBK"/>
                <w:b/>
                <w:bCs/>
                <w:color w:val="000000"/>
                <w:szCs w:val="21"/>
              </w:rPr>
            </w:r>
            <w:r/>
          </w:p>
          <w:p>
            <w:pPr>
              <w:pStyle w:val="716"/>
              <w:ind w:firstLine="420"/>
              <w:rPr>
                <w:rFonts w:eastAsia="方正楷体_GBK"/>
                <w:color w:val="000000"/>
                <w:szCs w:val="21"/>
                <w:lang w:bidi="ar"/>
              </w:rPr>
            </w:pPr>
            <w:r>
              <w:rPr>
                <w:rFonts w:eastAsia="方正楷体_GBK"/>
                <w:color w:val="000000"/>
                <w:szCs w:val="21"/>
                <w:lang w:bidi="ar"/>
              </w:rPr>
              <w:t xml:space="preserve">(16)</w:t>
            </w:r>
            <w:r>
              <w:rPr>
                <w:rFonts w:eastAsia="方正楷体_GBK"/>
                <w:color w:val="000000"/>
                <w:szCs w:val="21"/>
              </w:rPr>
              <w:t xml:space="preserve">▲投标人具有船体放样仿真实训软件知识产权。</w:t>
            </w:r>
            <w:r>
              <w:rPr>
                <w:rFonts w:eastAsia="方正楷体_GBK"/>
                <w:b/>
                <w:bCs/>
                <w:color w:val="000000"/>
                <w:szCs w:val="21"/>
              </w:rPr>
              <w:t xml:space="preserve">投标时需提供相关知识产权证书（软件著作权或产品登记证书）扫描件，同时附上“中国版权保护中心”登记证书查询截图及网址。</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16</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船舶/海工结构研学沙盘</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b/>
                <w:bCs/>
                <w:color w:val="000000"/>
                <w:szCs w:val="21"/>
              </w:rPr>
            </w:pPr>
            <w:r>
              <w:rPr>
                <w:rFonts w:eastAsia="方正楷体_GBK"/>
                <w:b/>
                <w:bCs/>
                <w:color w:val="000000"/>
                <w:szCs w:val="21"/>
              </w:rPr>
              <w:t xml:space="preserve">（1）沙盘尺寸要求</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▲沙盘投影尺寸（长×宽×高）：≥4.5m×2.4m×1.0m，体积10.8-12m</w:t>
            </w:r>
            <w:r>
              <w:rPr>
                <w:rFonts w:eastAsia="方正楷体_GBK"/>
                <w:color w:val="000000"/>
                <w:szCs w:val="21"/>
                <w:vertAlign w:val="superscript"/>
              </w:rPr>
              <w:t xml:space="preserve">3</w:t>
            </w:r>
            <w:r>
              <w:rPr>
                <w:rFonts w:eastAsia="方正楷体_GBK"/>
                <w:color w:val="000000"/>
                <w:szCs w:val="21"/>
              </w:rPr>
              <w:t xml:space="preserve">，适配6个≥1m船模布局，满足多人同时观察实训需求</w:t>
            </w:r>
            <w:r>
              <w:rPr>
                <w:rFonts w:hint="eastAsia" w:eastAsia="方正楷体_GBK"/>
                <w:color w:val="000000"/>
                <w:szCs w:val="21"/>
              </w:rPr>
              <w:t xml:space="preserve">。</w:t>
            </w:r>
            <w:r>
              <w:rPr>
                <w:rFonts w:hint="eastAsia"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模型布置间距：相邻模型边缘间距≥0.5m，避免结构观察遮挡。</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（2）模型数量及尺寸要求</w:t>
            </w:r>
            <w:r>
              <w:rPr>
                <w:rFonts w:eastAsia="方正楷体_GBK"/>
                <w:b/>
                <w:bCs/>
                <w:color w:val="000000"/>
                <w:szCs w:val="21"/>
              </w:rPr>
            </w:r>
            <w:r/>
          </w:p>
          <w:p>
            <w:pPr>
              <w:pStyle w:val="824"/>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▲数量：≥6件，至少包括大型双燃料动力LNG船、自升式海上风电安装船、</w:t>
            </w:r>
            <w:r>
              <w:rPr>
                <w:rFonts w:eastAsia="方正楷体_GBK"/>
                <w:color w:val="000000"/>
                <w:sz w:val="21"/>
                <w:szCs w:val="21"/>
                <w:lang w:bidi="ar"/>
              </w:rPr>
              <w:t xml:space="preserve">深海浮式风电平台</w:t>
            </w:r>
            <w:r>
              <w:rPr>
                <w:rFonts w:eastAsia="方正楷体_GBK"/>
                <w:color w:val="000000"/>
                <w:sz w:val="21"/>
                <w:szCs w:val="21"/>
              </w:rPr>
              <w:t xml:space="preserve">、国产大型豪华邮轮、南通地区相关典型船型、典型军船</w:t>
            </w:r>
            <w:r>
              <w:rPr>
                <w:rFonts w:hint="eastAsia" w:eastAsia="方正楷体_GBK"/>
                <w:color w:val="000000"/>
                <w:sz w:val="21"/>
                <w:szCs w:val="21"/>
              </w:rPr>
              <w:t xml:space="preserve">。</w:t>
            </w:r>
            <w:r>
              <w:rPr>
                <w:rFonts w:hint="eastAsia"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尺寸：按照实际产品进行缩比制作，单个模型最长边尺寸≥0.8m，保证模型关键结构比例精准，吃水线位置与真实船型一致，便于尺寸对比实训。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模型专业度要求：需以还原船舶真实结构为目标，对相关关键结构进行展示及教学。</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（3）制作材料工艺要求：</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沙盘支架：面层呈现金属烤漆质感，支架坚固且防滑，能够保证沙盘整体的稳定性，表面光洁、焊缝美观、结构平稳。</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船舶海工模型材质：采用ABS模型专用胶板及有机板制作，外表面打磨喷漆上色（环保油漆），装饰细节采用PVC有机板材。模型长期挺拔、不变形。模型外部涂装采用船舶/海工专用水性漆，颜色与真实船舶/海工一致。单个模型及其关键结构部位贴有标识牌。</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海平面环境：采用淡蓝色高透明亚克力板，透明度≥90%，覆盖沙盘台面全域，边缘与支架密封处理。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海底环境：海平面下方设置海底仿真层，采用防水树脂材料浇筑，贴合实际作业场景。</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（4）在线教学二维码：</w:t>
            </w:r>
            <w:r>
              <w:rPr>
                <w:rFonts w:eastAsia="方正楷体_GBK"/>
                <w:color w:val="000000"/>
                <w:szCs w:val="21"/>
              </w:rPr>
              <w:t xml:space="preserve">为每个船模制作独立教学二维码，可在线跳转至相关教学页面，包含教学视频与图文资料，教学内容涵盖对应船型图文详解、技术参数表等教学内容。</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（5）灯光与驱动系统</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光源类型：采用RGB-LED贴片灯珠，无频闪</w:t>
            </w:r>
            <w:r>
              <w:rPr>
                <w:rFonts w:hint="eastAsia" w:eastAsia="方正楷体_GBK"/>
                <w:color w:val="000000"/>
                <w:szCs w:val="21"/>
              </w:rPr>
              <w:t xml:space="preserve">。</w:t>
            </w:r>
            <w:r>
              <w:rPr>
                <w:rFonts w:hint="eastAsia" w:eastAsia="方正楷体_GBK"/>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布局方式：每个模型周围布置独立轮廓灯</w:t>
            </w:r>
            <w:r>
              <w:rPr>
                <w:rFonts w:hint="eastAsia" w:eastAsia="方正楷体_GBK"/>
                <w:color w:val="000000"/>
                <w:szCs w:val="21"/>
              </w:rPr>
              <w:t xml:space="preserve">。</w:t>
            </w:r>
            <w:r>
              <w:rPr>
                <w:rFonts w:hint="eastAsia"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控制功能：支持分区独立控制，即6个模型对应6个控制分区，可根据操作选择点亮不同区域。</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（6）沙盘集控系统</w:t>
            </w:r>
            <w:r>
              <w:rPr>
                <w:rFonts w:eastAsia="方正楷体_GBK"/>
                <w:b/>
                <w:bCs/>
                <w:color w:val="000000"/>
                <w:szCs w:val="21"/>
              </w:rPr>
            </w:r>
            <w:r/>
          </w:p>
          <w:p>
            <w:pPr>
              <w:pStyle w:val="824"/>
              <w:rPr>
                <w:rFonts w:hint="eastAsia"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数量：2套，分别布置于沙盘两端</w:t>
            </w:r>
            <w:r>
              <w:rPr>
                <w:rFonts w:hint="eastAsia" w:eastAsia="方正楷体_GBK"/>
                <w:color w:val="000000"/>
                <w:sz w:val="21"/>
                <w:szCs w:val="21"/>
              </w:rPr>
              <w:t xml:space="preserve">。</w:t>
            </w:r>
            <w:r>
              <w:rPr>
                <w:rFonts w:hint="eastAsia" w:eastAsia="方正楷体_GBK"/>
                <w:color w:val="000000"/>
                <w:sz w:val="21"/>
                <w:szCs w:val="21"/>
              </w:rPr>
            </w:r>
            <w:r/>
          </w:p>
          <w:p>
            <w:pPr>
              <w:pStyle w:val="824"/>
              <w:rPr>
                <w:rFonts w:hint="eastAsia"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硬件配置：≥10.8英寸触摸显示屏，分辨率≥4K，支持多点触控，运行内存≥8GB，存储容量≥64GB</w:t>
            </w:r>
            <w:r>
              <w:rPr>
                <w:rFonts w:hint="eastAsia" w:eastAsia="方正楷体_GBK"/>
                <w:color w:val="000000"/>
                <w:sz w:val="21"/>
                <w:szCs w:val="21"/>
              </w:rPr>
              <w:t xml:space="preserve">。</w:t>
            </w:r>
            <w:r>
              <w:rPr>
                <w:rFonts w:hint="eastAsia"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沙盘集控系统可对沙盘内的灯光、数字化资源等进行集中控制，每个智能功能对应单独控制键。</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（7）数字化资源：</w:t>
            </w:r>
            <w:r>
              <w:rPr>
                <w:rFonts w:eastAsia="方正楷体_GBK"/>
                <w:color w:val="000000"/>
                <w:szCs w:val="21"/>
              </w:rPr>
              <w:t xml:space="preserve">6个船/海工船型的介绍、结构拆解等资源。</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（8）教学展示终端</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数量：2台</w:t>
            </w:r>
            <w:r>
              <w:rPr>
                <w:rFonts w:hint="eastAsia" w:eastAsia="方正楷体_GBK"/>
                <w:color w:val="000000"/>
                <w:szCs w:val="21"/>
              </w:rPr>
              <w:t xml:space="preserve">。</w:t>
            </w:r>
            <w:r>
              <w:rPr>
                <w:rFonts w:hint="eastAsia" w:eastAsia="方正楷体_GBK"/>
                <w:color w:val="000000"/>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③</w:t>
            </w:r>
            <w:r>
              <w:rPr>
                <w:rFonts w:eastAsia="方正楷体_GBK"/>
                <w:color w:val="000000"/>
                <w:sz w:val="21"/>
                <w:szCs w:val="21"/>
              </w:rPr>
              <w:t xml:space="preserve">屏幕参数：65寸4K高清分辨率屏幕。</w:t>
            </w:r>
            <w:r>
              <w:rPr>
                <w:rFonts w:eastAsia="方正楷体_GBK"/>
                <w:color w:val="000000"/>
                <w:sz w:val="21"/>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④</w:t>
            </w:r>
            <w:r>
              <w:rPr>
                <w:rFonts w:eastAsia="方正楷体_GBK"/>
                <w:color w:val="000000"/>
                <w:sz w:val="21"/>
                <w:szCs w:val="21"/>
              </w:rPr>
              <w:t xml:space="preserve">储存空间：≥6G+64G。</w:t>
            </w:r>
            <w:r>
              <w:rPr>
                <w:rFonts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辅材：电源线、遥控器、支架等。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lang w:bidi="ar"/>
              </w:rPr>
              <w:t xml:space="preserve">⑤</w:t>
            </w:r>
            <w:r>
              <w:rPr>
                <w:rFonts w:eastAsia="方正楷体_GBK"/>
                <w:color w:val="000000"/>
                <w:szCs w:val="21"/>
              </w:rPr>
              <w:t xml:space="preserve">其他要求：展示终端适配教学课件、视频播放等任务；无其他多余配件或线缆裸露，保持教室环境整洁。</w:t>
            </w:r>
            <w:r>
              <w:rPr>
                <w:rFonts w:eastAsia="方正楷体_GBK"/>
                <w:color w:val="000000"/>
                <w:szCs w:val="21"/>
              </w:rPr>
            </w:r>
            <w:r/>
          </w:p>
          <w:p>
            <w:pPr>
              <w:pStyle w:val="716"/>
              <w:rPr>
                <w:rFonts w:hint="eastAsia" w:eastAsia="方正楷体_GBK"/>
                <w:color w:val="000000"/>
                <w:szCs w:val="21"/>
                <w:lang w:bidi="ar"/>
              </w:rPr>
            </w:pPr>
            <w:r>
              <w:rPr>
                <w:rFonts w:hint="eastAsia" w:eastAsia="方正楷体_GBK"/>
                <w:color w:val="000000"/>
                <w:szCs w:val="21"/>
              </w:rPr>
              <w:t xml:space="preserve">（9）</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17</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船舶/海工结构节点模型及展台</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b/>
                <w:bCs/>
                <w:color w:val="000000"/>
                <w:szCs w:val="21"/>
              </w:rPr>
            </w:pPr>
            <w:r>
              <w:rPr>
                <w:rFonts w:eastAsia="方正楷体_GBK"/>
                <w:b/>
                <w:bCs/>
                <w:color w:val="000000"/>
                <w:szCs w:val="21"/>
              </w:rPr>
              <w:t xml:space="preserve">（1）展台基础参数</w:t>
            </w:r>
            <w:r>
              <w:rPr>
                <w:rFonts w:eastAsia="方正楷体_GBK"/>
                <w:b/>
                <w:bCs/>
                <w:color w:val="000000"/>
                <w:szCs w:val="21"/>
              </w:rPr>
            </w:r>
            <w:r/>
          </w:p>
          <w:p>
            <w:pPr>
              <w:pStyle w:val="716"/>
              <w:ind w:firstLine="420"/>
              <w:rPr>
                <w:rFonts w:hint="eastAsia"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展台尺寸（长×宽×高）：≥6.0m×0.8m×1.0m</w:t>
            </w:r>
            <w:r>
              <w:rPr>
                <w:rFonts w:hint="eastAsia" w:eastAsia="方正楷体_GBK"/>
                <w:color w:val="000000"/>
                <w:szCs w:val="21"/>
              </w:rPr>
              <w:t xml:space="preserve">。</w:t>
            </w:r>
            <w:r>
              <w:rPr>
                <w:rFonts w:hint="eastAsia"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外观工艺：主体框架喷涂哑光烤漆，整体风格简洁专业，适配教学场景。</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（2）结构节点模型基础参数</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模型尺寸：按照实际产品进行缩比制作，单个模型最长边尺寸≥0.3m，保证结构细节比例精准，便于观察节点构造与连接关系；</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模型材质：采用ABS模型专用胶板及有机板制作，外表面打磨喷漆上色（环保油漆），装饰细节采用PVC有机板材。模型长期挺拔、不变形。</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涂装要求：采用船舶专用水性环保漆，结构主体为银灰色，关键连接部位（如焊缝、螺栓组等）采用红色标注；</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（3）各结构节点模型核心参数</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船舶/海工结构节点模型与船舶与海工虚拟装配教学系统的模型案例形成“虚拟仿真+实物实操”双轨教学模式，实物模型与软件部分模型对应。通过虚实场景的联动互补，既实现装配工艺的数字化教学，又提供实体化实训体验，形成“虚拟预习－实物实操-虚拟复盘”的闭环训练。</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船底结构≥2件：至少包括单层底结构、双层底结构；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舷侧结构≥2件：至少包括横骨架式舷侧结构、纵骨架式舷侧结构；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甲板结构≥2件：至少包括横骨架式甲板架构、纵骨架式甲板结构、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舱壁结构≥2件：至少包括平面舱壁、槽形舱壁</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艏艉端结构≥2件：至少包括船首结构及加强、船尾结构及加强；</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上建结构≥2件：至少包括船楼结构及端部加强、甲板室结构；</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海洋平台特有结构≥3件：至少包括桩腿、立柱、浮箱。</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（4）标识与数字化教学配套</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节点标识牌：每个模型配备亚克力标识牌，标注节点名称。</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在线教学二维码：为每个船模制作独立教学二维码，可在线跳转至相关教学页面，包含教学视频与图文资料，教学内容涵盖对应结构节点图文详解、技术参数表等教学内容。</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教学展板：展示结构节点模型实际对应的船舶/海工结构形式、适用船型/平台，梳理船舶/海工结构节点分类逻辑等。</w:t>
            </w:r>
            <w:r>
              <w:rPr>
                <w:rFonts w:eastAsia="方正楷体_GBK"/>
                <w:color w:val="000000"/>
                <w:szCs w:val="21"/>
              </w:rPr>
            </w:r>
            <w:r/>
          </w:p>
          <w:p>
            <w:pPr>
              <w:pStyle w:val="716"/>
              <w:widowControl/>
              <w:rPr>
                <w:rFonts w:eastAsia="方正楷体_GBK"/>
                <w:color w:val="000000"/>
                <w:szCs w:val="21"/>
              </w:rPr>
            </w:pPr>
            <w:r>
              <w:rPr>
                <w:rFonts w:eastAsia="方正楷体_GBK"/>
                <w:b/>
                <w:bCs/>
                <w:color w:val="000000"/>
                <w:szCs w:val="21"/>
              </w:rPr>
              <w:t xml:space="preserve">（5）实训内容：</w:t>
            </w:r>
            <w:r>
              <w:rPr>
                <w:rFonts w:eastAsia="方正楷体_GBK"/>
                <w:color w:val="000000"/>
                <w:szCs w:val="21"/>
              </w:rPr>
              <w:t xml:space="preserve">支持1</w:t>
            </w:r>
            <w:r>
              <w:rPr>
                <w:rFonts w:hint="eastAsia" w:eastAsia="方正楷体_GBK"/>
                <w:color w:val="000000"/>
                <w:szCs w:val="21"/>
              </w:rPr>
              <w:t xml:space="preserve">-</w:t>
            </w:r>
            <w:r>
              <w:rPr>
                <w:rFonts w:eastAsia="方正楷体_GBK"/>
                <w:color w:val="000000"/>
                <w:szCs w:val="21"/>
              </w:rPr>
              <w:t xml:space="preserve">3人一组实训。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实训项目1：结构类型识别实训，通过观察模型构造与标识，区分横/纵骨架式结构、不同舱壁/船底等结构类型；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实训项目2：结构构造与功能关联实训，结合展板、二维码教学资源，理解节点结构设计与载荷承受、防腐蚀、抗沉性等功能的关联；</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实训项目3：船舶及海工平台结构适配实训，对比不同结构节点在船舶与海工平台中的应用差异。</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（6）经纬仪1台</w:t>
            </w:r>
            <w:r>
              <w:rPr>
                <w:rFonts w:eastAsia="方正楷体_GBK"/>
                <w:b/>
                <w:bCs/>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角度最小读数：≤1″；</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测角精度：2″或更优；</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望远镜物镜孔径：≥45mm；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望远镜放大倍率：≥30×；</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望远镜视场角：≥1°30′；</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望远镜最短视距：≤1.0m；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显示屏：支持双面；</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激光管类型：支持半导体激光；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激光波长：635nm；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有效射程（白天）：≥150m（白天目镜可视）；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光斑大小：5mm/100m；</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激光束聚集时光斑中心与望远镜视准轴偏差：≤5″；</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补偿器补偿范围：±3′或更优；</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电源：电池6V镍-氢电池；</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数据接口：RS-232C；</w:t>
            </w:r>
            <w:r>
              <w:rPr>
                <w:rFonts w:eastAsia="方正楷体_GBK"/>
                <w:color w:val="000000"/>
                <w:szCs w:val="21"/>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⑯</w:t>
            </w:r>
            <w:r>
              <w:rPr>
                <w:rFonts w:eastAsia="方正楷体_GBK"/>
                <w:color w:val="000000"/>
                <w:szCs w:val="21"/>
              </w:rPr>
              <w:t xml:space="preserve">工作温度：至少满足-20℃～+50℃；</w:t>
            </w:r>
            <w:r>
              <w:rPr>
                <w:rFonts w:eastAsia="方正楷体_GBK"/>
                <w:color w:val="000000"/>
                <w:szCs w:val="21"/>
                <w:lang w:bidi="ar"/>
              </w:rPr>
            </w:r>
            <w:r/>
          </w:p>
          <w:p>
            <w:pPr>
              <w:pStyle w:val="716"/>
              <w:ind w:firstLine="420"/>
              <w:rPr>
                <w:rFonts w:eastAsia="方正楷体_GBK"/>
                <w:color w:val="000000"/>
                <w:szCs w:val="21"/>
              </w:rPr>
            </w:pPr>
            <w:r>
              <w:rPr>
                <w:rFonts w:ascii="Cambria Math" w:hAnsi="Cambria Math" w:eastAsia="方正楷体_GBK" w:cs="Cambria Math"/>
                <w:color w:val="000000"/>
                <w:szCs w:val="21"/>
                <w:lang w:bidi="ar"/>
              </w:rPr>
              <w:t xml:space="preserve">⑰</w:t>
            </w:r>
            <w:r>
              <w:rPr>
                <w:rFonts w:eastAsia="方正楷体_GBK"/>
                <w:color w:val="000000"/>
                <w:szCs w:val="21"/>
              </w:rPr>
              <w:t xml:space="preserve">附件：至少包括两块电池，一套充电器，一个仪器箱，一份说明书，一个大木脚架。</w:t>
            </w:r>
            <w:r>
              <w:rPr>
                <w:rFonts w:eastAsia="方正楷体_GBK"/>
                <w:color w:val="000000"/>
                <w:szCs w:val="21"/>
              </w:rPr>
            </w:r>
            <w:r/>
          </w:p>
          <w:p>
            <w:pPr>
              <w:pStyle w:val="716"/>
              <w:rPr>
                <w:rFonts w:hint="eastAsia" w:eastAsia="方正楷体_GBK"/>
                <w:color w:val="000000"/>
                <w:szCs w:val="21"/>
                <w:lang w:bidi="ar"/>
              </w:rPr>
            </w:pPr>
            <w:r>
              <w:rPr>
                <w:rFonts w:hint="eastAsia" w:eastAsia="方正楷体_GBK"/>
                <w:color w:val="000000"/>
                <w:szCs w:val="21"/>
              </w:rPr>
              <w:t xml:space="preserve">（7）</w:t>
            </w:r>
            <w:r>
              <w:rPr>
                <w:rFonts w:eastAsia="方正楷体_GBK"/>
                <w:color w:val="000000"/>
                <w:szCs w:val="21"/>
              </w:rPr>
              <w:t xml:space="preserve">售后保障：硬件提供≥</w:t>
            </w:r>
            <w:r>
              <w:rPr>
                <w:rFonts w:hint="eastAsia" w:eastAsia="方正楷体_GBK"/>
                <w:color w:val="000000"/>
                <w:szCs w:val="21"/>
              </w:rPr>
              <w:t xml:space="preserve">5</w:t>
            </w:r>
            <w:r>
              <w:rPr>
                <w:rFonts w:eastAsia="方正楷体_GBK"/>
                <w:color w:val="000000"/>
                <w:szCs w:val="21"/>
              </w:rPr>
              <w:t xml:space="preserve"> 年原厂质保，48 小时上门维修，保障实训教学不间断。</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18</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船舶/海工结构AR实训系统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0"/>
              <w:rPr>
                <w:rFonts w:eastAsia="方正楷体_GBK"/>
                <w:color w:val="000000"/>
                <w:szCs w:val="21"/>
                <w:lang w:bidi="ar"/>
              </w:rPr>
            </w:pPr>
            <w:r>
              <w:rPr>
                <w:rFonts w:eastAsia="方正楷体_GBK"/>
                <w:color w:val="000000"/>
                <w:szCs w:val="21"/>
                <w:lang w:bidi="ar"/>
              </w:rPr>
              <w:t xml:space="preserve">(1)支持通过手机终端扫描船舶/海工结构研学沙盘中的6类模型、船舶/海工结构节点模型，进入AR实训系统。</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(2)系统支持多种交互操作方式，可通过单手指拖拽、双手指捏合放缩的方式，实现对模型的自由缩放、旋转等多方位观测。</w:t>
            </w:r>
            <w:r>
              <w:rPr>
                <w:rFonts w:eastAsia="方正楷体_GBK"/>
                <w:color w:val="000000"/>
                <w:szCs w:val="21"/>
                <w:lang w:bidi="ar"/>
              </w:rPr>
            </w:r>
            <w:r/>
          </w:p>
          <w:p>
            <w:pPr>
              <w:pStyle w:val="716"/>
              <w:ind w:firstLine="420"/>
              <w:rPr>
                <w:rFonts w:eastAsia="方正楷体_GBK"/>
                <w:color w:val="000000"/>
                <w:szCs w:val="21"/>
                <w:lang w:bidi="ar"/>
              </w:rPr>
            </w:pPr>
            <w:r>
              <w:rPr>
                <w:rFonts w:eastAsia="方正楷体_GBK"/>
                <w:color w:val="000000"/>
                <w:szCs w:val="21"/>
                <w:lang w:bidi="ar"/>
              </w:rPr>
              <w:t xml:space="preserve">(3)系统内置交互操作热点及功能按钮，针对船舶与海工设计、建造（装配）、调试、检验、运维等相关环节，通过视频、图文等形式开展多媒体教学讲解。</w:t>
            </w:r>
            <w:r>
              <w:rPr>
                <w:rFonts w:eastAsia="方正楷体_GBK"/>
                <w:color w:val="000000"/>
                <w:szCs w:val="21"/>
                <w:lang w:bidi="ar"/>
              </w:rPr>
            </w:r>
            <w:r/>
          </w:p>
          <w:p>
            <w:pPr>
              <w:pStyle w:val="716"/>
              <w:ind w:firstLine="420"/>
              <w:rPr>
                <w:rFonts w:hint="eastAsia" w:eastAsia="方正楷体_GBK"/>
                <w:color w:val="000000"/>
                <w:szCs w:val="21"/>
                <w:lang w:bidi="ar"/>
              </w:rPr>
            </w:pPr>
            <w:r>
              <w:rPr>
                <w:rFonts w:hint="eastAsia" w:eastAsia="方正楷体_GBK"/>
                <w:color w:val="000000"/>
                <w:szCs w:val="21"/>
              </w:rPr>
              <w:t xml:space="preserve">(4)</w:t>
            </w:r>
            <w:r>
              <w:rPr>
                <w:rFonts w:eastAsia="方正楷体_GBK"/>
                <w:color w:val="000000"/>
                <w:szCs w:val="21"/>
              </w:rPr>
              <w:t xml:space="preserve">售后保障：硬件提供≥3 年原厂质保，48 小时上门维修，保障实训教学不间断。</w:t>
            </w:r>
            <w:r>
              <w:rPr>
                <w:rFonts w:hint="eastAsia"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19</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分段协同装配VR实训系统</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ind w:left="420"/>
              <w:widowControl/>
              <w:rPr>
                <w:rFonts w:eastAsia="方正楷体_GBK"/>
                <w:color w:val="000000"/>
                <w:szCs w:val="21"/>
              </w:rPr>
            </w:pPr>
            <w:r>
              <w:rPr>
                <w:rFonts w:eastAsia="方正楷体_GBK"/>
                <w:color w:val="000000"/>
                <w:szCs w:val="21"/>
              </w:rPr>
              <w:t xml:space="preserve">本系统包含但不限于以下功能点：</w:t>
            </w:r>
            <w:r>
              <w:rPr>
                <w:rFonts w:eastAsia="方正楷体_GBK"/>
                <w:color w:val="000000"/>
                <w:szCs w:val="21"/>
              </w:rPr>
            </w:r>
            <w:r/>
          </w:p>
          <w:p>
            <w:pPr>
              <w:pStyle w:val="716"/>
              <w:ind w:firstLine="422"/>
              <w:rPr>
                <w:rFonts w:eastAsia="方正楷体_GBK"/>
                <w:color w:val="000000"/>
                <w:szCs w:val="21"/>
              </w:rPr>
            </w:pPr>
            <w:r>
              <w:rPr>
                <w:rFonts w:eastAsia="方正楷体_GBK"/>
                <w:b/>
                <w:bCs/>
                <w:color w:val="000000"/>
                <w:szCs w:val="21"/>
              </w:rPr>
              <w:t xml:space="preserve">(1)配置：2</w:t>
            </w:r>
            <w:r>
              <w:rPr>
                <w:rFonts w:eastAsia="方正楷体_GBK"/>
                <w:color w:val="000000"/>
                <w:szCs w:val="21"/>
              </w:rPr>
              <w:t xml:space="preserve">套，含分段协同装配VR实训系统及配套VR头盔套装，支持多个人员在虚拟环境中进行船体/海工装配。</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(2)工种及工装实操训练：</w:t>
            </w:r>
            <w:r>
              <w:rPr>
                <w:rFonts w:eastAsia="方正楷体_GBK"/>
                <w:b/>
                <w:bCs/>
                <w:color w:val="000000"/>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支持装配工：核心操作工具包含气割割炬、CO2焊机（带焊枪）、钢直尺（钢卷尺）、锤子、粉线、线锤、洋冲、拉撑、油泵等；作业流程涵盖用钢直尺（钢卷尺）量取尺寸、粉线划线、锤子配合洋冲敲击标记、气割割炬切割钢板零件、CO2焊机（带焊枪）装配定位、线锤检测垂直度、拉撑与油泵配合装配，以及使用拉撑装焊固定组立件。</w:t>
            </w:r>
            <w:r>
              <w:rPr>
                <w:rFonts w:eastAsia="方正楷体_GBK"/>
                <w:color w:val="000000"/>
                <w:sz w:val="21"/>
                <w:szCs w:val="21"/>
              </w:rPr>
            </w:r>
            <w:r/>
          </w:p>
          <w:p>
            <w:pPr>
              <w:pStyle w:val="824"/>
              <w:rPr>
                <w:rFonts w:hint="eastAsia"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▲支持电焊工，核心操作工具包含CO2焊机（带焊枪）、埋弧自动焊焊机等；作业流程涵盖用埋弧自动焊焊机焊接拼板、自动角焊机焊接平角焊、CO2焊机（带焊枪）焊接其他焊缝，以及焊角测量尺测量焊角尺寸</w:t>
            </w:r>
            <w:r>
              <w:rPr>
                <w:rFonts w:hint="eastAsia" w:eastAsia="方正楷体_GBK"/>
                <w:color w:val="000000"/>
                <w:sz w:val="21"/>
                <w:szCs w:val="21"/>
              </w:rPr>
              <w:t xml:space="preserve">。</w:t>
            </w:r>
            <w:r>
              <w:rPr>
                <w:rFonts w:hint="eastAsia"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支持起重工：完成行车移动操控，该工种为复合工种，由装配工通过行车遥控器执行操控操作。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支持切割工：核心操作工具包含火焰割炬。</w:t>
            </w:r>
            <w:r>
              <w:rPr>
                <w:rFonts w:eastAsia="方正楷体_GBK"/>
                <w:color w:val="000000"/>
                <w:szCs w:val="21"/>
              </w:rPr>
            </w:r>
            <w:r/>
          </w:p>
          <w:p>
            <w:pPr>
              <w:pStyle w:val="716"/>
              <w:ind w:firstLine="422"/>
              <w:rPr>
                <w:rFonts w:eastAsia="方正楷体_GBK"/>
                <w:color w:val="000000"/>
                <w:szCs w:val="21"/>
              </w:rPr>
            </w:pPr>
            <w:r>
              <w:rPr>
                <w:rFonts w:eastAsia="方正楷体_GBK"/>
                <w:b/>
                <w:bCs/>
                <w:color w:val="000000"/>
                <w:szCs w:val="21"/>
              </w:rPr>
              <w:t xml:space="preserve">(3)系统功能内容：</w:t>
            </w:r>
            <w:r>
              <w:rPr>
                <w:rFonts w:eastAsia="方正楷体_GBK"/>
                <w:color w:val="000000"/>
                <w:szCs w:val="21"/>
              </w:rPr>
              <w:t xml:space="preserve">以某典型船体分段为对象，支持多名学生在VR环境下协同完成虚拟装配、虚拟拆卸实训任务。具体功能要求如下：</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构建虚拟厂区车间实训环境；</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具备系统登录管理功能，支持账号密码方式登录；</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学员进入系统后，可进行任务选择，任务涵盖至少3个典型船体分段，如双层底分段、底边舱分段、舱壁分段等；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用户开展拆装操作前需选定工种，可选工种包含装配工、吊运工、焊接工等；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用户通过手柄按键操作，可弹出待加工零部件图纸，明确所需完成的装配任务；</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装配过程中，系统可弹出工艺类考题，支持用户作答测试；</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支持多用户同时开展船体分段协同虚拟装配操作；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用户在虚拟环境中，可通过手柄操控吊车，各用户操作互不干扰，可实现吊车移动、下降、上升等动作操控；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用户可操作吊机开展分段搬运作业，吊机支持自由操控；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用户在虚拟场景中，可通过手柄实现自由漫游，可在一定范围内完成瞬移操作；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用户可在虚拟场景中与船体零部件进行交互，可操作吊机调运已选中的零部件；</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装配操作时，支持对零部件的位置、角度进行调控，确保其处于允许的安装精度范围内；</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支持多用户协同装配同一分段；</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装配任务完成后，系统可对各用户的操作成绩进行考核评估，结合任务完成效率、操作流程正确率开展综合评分。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▲投标人具有船体结构装配实训软件知识产权。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(4)VR头盔套装</w:t>
            </w:r>
            <w:r>
              <w:rPr>
                <w:rFonts w:eastAsia="方正楷体_GBK"/>
                <w:b/>
                <w:bCs/>
                <w:color w:val="000000"/>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①</w:t>
            </w:r>
            <w:r>
              <w:rPr>
                <w:rFonts w:eastAsia="方正楷体_GBK"/>
                <w:color w:val="000000"/>
                <w:sz w:val="21"/>
                <w:szCs w:val="21"/>
              </w:rPr>
              <w:t xml:space="preserve">运行内存≥12GB；</w:t>
            </w:r>
            <w:r>
              <w:rPr>
                <w:rFonts w:eastAsia="方正楷体_GBK"/>
                <w:color w:val="000000"/>
                <w:sz w:val="21"/>
                <w:szCs w:val="21"/>
              </w:rPr>
            </w:r>
            <w:r/>
          </w:p>
          <w:p>
            <w:pPr>
              <w:pStyle w:val="824"/>
              <w:rPr>
                <w:rFonts w:eastAsia="方正楷体_GBK"/>
                <w:color w:val="000000"/>
                <w:sz w:val="21"/>
                <w:szCs w:val="21"/>
              </w:rPr>
            </w:pPr>
            <w:r>
              <w:rPr>
                <w:rFonts w:ascii="Cambria Math" w:hAnsi="Cambria Math" w:eastAsia="方正楷体_GBK" w:cs="Cambria Math"/>
                <w:color w:val="000000"/>
                <w:sz w:val="21"/>
                <w:szCs w:val="21"/>
              </w:rPr>
              <w:t xml:space="preserve">②</w:t>
            </w:r>
            <w:r>
              <w:rPr>
                <w:rFonts w:eastAsia="方正楷体_GBK"/>
                <w:color w:val="000000"/>
                <w:sz w:val="21"/>
                <w:szCs w:val="21"/>
              </w:rPr>
              <w:t xml:space="preserve">闪存≥512GB；</w:t>
            </w:r>
            <w:r>
              <w:rPr>
                <w:rFonts w:eastAsia="方正楷体_GBK"/>
                <w:color w:val="000000"/>
                <w:sz w:val="21"/>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视场角≥105°；</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刷新率≥72HZ；</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双眼分辨率≥4320*2160；</w:t>
            </w:r>
            <w:r>
              <w:rPr>
                <w:rFonts w:eastAsia="方正楷体_GBK"/>
                <w:color w:val="000000"/>
                <w:szCs w:val="21"/>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⑥</w:t>
            </w:r>
            <w:r>
              <w:rPr>
                <w:rFonts w:eastAsia="方正楷体_GBK"/>
                <w:color w:val="000000"/>
                <w:szCs w:val="21"/>
              </w:rPr>
              <w:t xml:space="preserve">运行性能：良好；</w:t>
            </w:r>
            <w:r>
              <w:rPr>
                <w:rFonts w:eastAsia="方正楷体_GBK"/>
                <w:color w:val="000000"/>
                <w:szCs w:val="21"/>
                <w:lang w:bidi="ar"/>
              </w:rPr>
            </w:r>
            <w:r/>
          </w:p>
          <w:p>
            <w:pPr>
              <w:pStyle w:val="716"/>
              <w:ind w:firstLine="420"/>
              <w:rPr>
                <w:rFonts w:eastAsia="方正楷体_GBK"/>
                <w:color w:val="000000"/>
                <w:szCs w:val="21"/>
                <w:lang w:bidi="ar"/>
              </w:rPr>
            </w:pPr>
            <w:r>
              <w:rPr>
                <w:rFonts w:ascii="Cambria Math" w:hAnsi="Cambria Math" w:eastAsia="方正楷体_GBK" w:cs="Cambria Math"/>
                <w:color w:val="000000"/>
                <w:szCs w:val="21"/>
                <w:lang w:bidi="ar"/>
              </w:rPr>
              <w:t xml:space="preserve">⑦</w:t>
            </w:r>
            <w:r>
              <w:rPr>
                <w:rFonts w:eastAsia="方正楷体_GBK"/>
                <w:color w:val="000000"/>
                <w:szCs w:val="21"/>
              </w:rPr>
              <w:t xml:space="preserve">配件：头盔支架、VR眼镜存放柜等。</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20</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结构构件智能涂装作业模拟器</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b/>
                <w:bCs/>
                <w:color w:val="000000"/>
                <w:szCs w:val="21"/>
              </w:rPr>
            </w:pPr>
            <w:r>
              <w:rPr>
                <w:rFonts w:eastAsia="方正楷体_GBK"/>
                <w:b/>
                <w:bCs/>
                <w:color w:val="000000"/>
                <w:szCs w:val="21"/>
              </w:rPr>
              <w:t xml:space="preserve">1.涂装模拟器硬件</w:t>
            </w:r>
            <w:r>
              <w:rPr>
                <w:rFonts w:eastAsia="方正楷体_GBK"/>
                <w:b/>
                <w:bCs/>
                <w:color w:val="000000"/>
                <w:szCs w:val="21"/>
              </w:rPr>
            </w:r>
            <w:r/>
          </w:p>
          <w:p>
            <w:pPr>
              <w:pStyle w:val="716"/>
              <w:widowControl/>
              <w:rPr>
                <w:rFonts w:hint="eastAsia" w:eastAsia="方正楷体_GBK"/>
                <w:color w:val="000000"/>
                <w:szCs w:val="21"/>
              </w:rPr>
            </w:pPr>
            <w:r>
              <w:rPr>
                <w:rFonts w:eastAsia="方正楷体_GBK"/>
                <w:color w:val="000000"/>
                <w:szCs w:val="21"/>
              </w:rPr>
              <w:t xml:space="preserve">（1）操作平台：主体尺寸≥500mm×600mm×1700mm；配套升降支架，支架采用滑轨滑块机构，尺寸≥500mm×500mm×2000mm，可放置主机等相关设备</w:t>
            </w:r>
            <w:r>
              <w:rPr>
                <w:rFonts w:hint="eastAsia" w:eastAsia="方正楷体_GBK"/>
                <w:color w:val="000000"/>
                <w:szCs w:val="21"/>
              </w:rPr>
              <w:t xml:space="preserve">。</w:t>
            </w:r>
            <w:r>
              <w:rPr>
                <w:rFonts w:hint="eastAsia"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（2）▲VR头盔套装：配备≥32颗光电传感器与定位器，支持360度全方位移动，视场角110°（接近人眼视角），分辨率≥2160×1200超高清规格</w:t>
            </w:r>
            <w:r>
              <w:rPr>
                <w:rFonts w:hint="eastAsia" w:eastAsia="方正楷体_GBK"/>
                <w:color w:val="000000"/>
                <w:szCs w:val="21"/>
              </w:rPr>
              <w:t xml:space="preserve">。</w:t>
            </w:r>
            <w:r>
              <w:rPr>
                <w:rFonts w:hint="eastAsia"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（3）▲VR专用主机：CPUi7、12代及以上，内存≥16G，固态硬盘≥512G，独立显存≥8G</w:t>
            </w:r>
            <w:r>
              <w:rPr>
                <w:rFonts w:hint="eastAsia" w:eastAsia="方正楷体_GBK"/>
                <w:color w:val="000000"/>
                <w:szCs w:val="21"/>
              </w:rPr>
              <w:t xml:space="preserve">。</w:t>
            </w:r>
            <w:r>
              <w:rPr>
                <w:rFonts w:hint="eastAsia"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（4）展示终端：配备55英寸及以上展示屏幕，具备触摸功能</w:t>
            </w:r>
            <w:r>
              <w:rPr>
                <w:rFonts w:hint="eastAsia" w:eastAsia="方正楷体_GBK"/>
                <w:color w:val="000000"/>
                <w:szCs w:val="21"/>
              </w:rPr>
              <w:t xml:space="preserve">。</w:t>
            </w:r>
            <w:r>
              <w:rPr>
                <w:rFonts w:hint="eastAsia"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（5）VR喷枪手柄：与真实的喷枪手柄一致，可被系统跟踪和交互。</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2.涂装模拟器软件系统</w:t>
            </w:r>
            <w:r>
              <w:rPr>
                <w:rFonts w:eastAsia="方正楷体_GBK"/>
                <w:b/>
                <w:bCs/>
                <w:color w:val="000000"/>
                <w:szCs w:val="21"/>
              </w:rPr>
            </w:r>
            <w:r/>
          </w:p>
          <w:p>
            <w:pPr>
              <w:pStyle w:val="716"/>
              <w:widowControl/>
              <w:rPr>
                <w:rFonts w:eastAsia="方正楷体_GBK"/>
                <w:color w:val="000000"/>
                <w:szCs w:val="21"/>
              </w:rPr>
            </w:pPr>
            <w:r>
              <w:rPr>
                <w:rFonts w:eastAsia="方正楷体_GBK"/>
                <w:color w:val="000000"/>
                <w:szCs w:val="21"/>
              </w:rPr>
              <w:t xml:space="preserve">（1）支持依托虚拟现实技术开展喷涂从业人员实训，学员通过配套的VR头盔及喷枪手柄，可在虚拟喷涂作业车间开展喷涂作业训练；系统还原逼真的作业场景及喷涂作业过程，助力学员快速体验并掌握喷涂基础操作技能。</w:t>
            </w:r>
            <w:r>
              <w:rPr>
                <w:rFonts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（2）支持基础认知模块，通过图文、视频、答题考核等方式，帮助学员掌握涂装基础知识、安全操作规程、操作技术要点</w:t>
            </w:r>
            <w:r>
              <w:rPr>
                <w:rFonts w:hint="eastAsia" w:eastAsia="方正楷体_GBK"/>
                <w:color w:val="000000"/>
                <w:szCs w:val="21"/>
              </w:rPr>
              <w:t xml:space="preserve">。</w:t>
            </w:r>
            <w:r>
              <w:rPr>
                <w:rFonts w:hint="eastAsia"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（3）支持涂装相关知识题库，可随机生成测评试卷，用户答题后显示测评成绩；</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（4）支持喷涂油漆选择功能，可选取防锈漆、面漆等不同漆种，并可对不同油漆的工艺参数进行展示实训；</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（5）支持船厂涂装作业安装防护选择实训；</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（6）支持喷涂涂料、喷涂颜色、喷嘴参数（孔径、喷幅、流量等）、喷涂压力、遮罩等设置功能；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（7）支持喷涂仿真功能；</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（8）▲支持根据喷枪的倾角、运枪速度、喷嘴到工件距离、喷射角度、气压、涂料等参数模拟喷涂效果，训练过程中会动态显示。</w:t>
            </w:r>
            <w:r>
              <w:rPr>
                <w:rFonts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（9）持喷涂操作中对运枪速度、喷嘴到工件距离、喷射角度可以进行动态曲线和数值展示。同时可对膜厚、流挂缺陷进行动态展示分析</w:t>
            </w:r>
            <w:r>
              <w:rPr>
                <w:rFonts w:hint="eastAsia" w:eastAsia="方正楷体_GBK"/>
                <w:color w:val="000000"/>
                <w:szCs w:val="21"/>
              </w:rPr>
              <w:t xml:space="preserve">。</w:t>
            </w:r>
            <w:r>
              <w:rPr>
                <w:rFonts w:hint="eastAsia"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（10）▲支持模拟不同的涂料的雾化效果和附着效果，并模拟涂料喷涂过程中产生的烟气效果。支持仿真涂料在工件表面形成的涂层区域；</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（12）</w:t>
            </w:r>
            <w:r>
              <w:rPr>
                <w:rFonts w:eastAsia="方正楷体_GBK"/>
                <w:color w:val="000000"/>
                <w:szCs w:val="21"/>
              </w:rPr>
              <w:t xml:space="preserve">支持以某典型分段为例，进行分段涂装操作；</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（13）支持训练评估：系统可对学员的喷涂结果进行核算，能对喷涂面积、有效喷涂面积、涂料预估使用量、涂料实际使用量、干膜厚度等指标进行核算与评估；</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（14）支持用户数据管理功能：系统提供注册/登录功能，学员通过工号和密码进行登录训练，系统记录学员的训练历史等数据，学员可以通过历史记录查看个人训练情况。</w:t>
            </w:r>
            <w:r>
              <w:rPr>
                <w:rFonts w:eastAsia="方正楷体_GBK"/>
                <w:color w:val="000000"/>
                <w:szCs w:val="21"/>
              </w:rPr>
            </w:r>
            <w:r/>
          </w:p>
          <w:p>
            <w:pPr>
              <w:pStyle w:val="716"/>
              <w:widowControl/>
              <w:rPr>
                <w:rFonts w:eastAsia="方正楷体_GBK"/>
                <w:b/>
                <w:bCs/>
                <w:color w:val="000000"/>
                <w:szCs w:val="21"/>
              </w:rPr>
            </w:pPr>
            <w:r>
              <w:rPr>
                <w:rFonts w:eastAsia="方正楷体_GBK"/>
                <w:b/>
                <w:bCs/>
                <w:color w:val="000000"/>
                <w:szCs w:val="21"/>
              </w:rPr>
              <w:t xml:space="preserve">3.船体结构涂装工艺设计系统</w:t>
            </w:r>
            <w:r>
              <w:rPr>
                <w:rFonts w:eastAsia="方正楷体_GBK"/>
                <w:b/>
                <w:bCs/>
                <w:color w:val="000000"/>
                <w:szCs w:val="21"/>
              </w:rPr>
            </w:r>
            <w:r/>
          </w:p>
          <w:p>
            <w:pPr>
              <w:pStyle w:val="716"/>
              <w:widowControl/>
              <w:rPr>
                <w:rFonts w:eastAsia="方正楷体_GBK"/>
                <w:color w:val="000000"/>
                <w:szCs w:val="21"/>
              </w:rPr>
            </w:pPr>
            <w:r>
              <w:rPr>
                <w:rFonts w:eastAsia="方正楷体_GBK"/>
                <w:color w:val="000000"/>
                <w:szCs w:val="21"/>
              </w:rPr>
              <w:t xml:space="preserve">（1）基础平台功能</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支持友好的用户交互界面，以图形平台显示分段模型，并配有用户交互设计的工具栏。</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支持工程管理功能，支持新建工程、选择工程及删除工程操作。</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支持AutoCAD常用功能，如视觉样式、视图管理、图层管理、工具栏管理、窗口管理等。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支持涂装工艺树和报表管理树，涂装工艺树以树状形式显示模型数据之间关系和涂装部位（区域）与涂装阶段等的关系。</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支持零件属性区域查看涂装部位、报表的属性。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支持标准数据库维护：为系统提供数据备份与恢复功能。</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支持涂装工艺标准管理，能够</w:t>
            </w:r>
            <w:r>
              <w:rPr>
                <w:rFonts w:hint="eastAsia" w:eastAsia="方正楷体_GBK"/>
                <w:color w:val="000000"/>
                <w:szCs w:val="21"/>
              </w:rPr>
              <w:t xml:space="preserve">分</w:t>
            </w:r>
            <w:r>
              <w:rPr>
                <w:rFonts w:eastAsia="方正楷体_GBK"/>
                <w:color w:val="000000"/>
                <w:szCs w:val="21"/>
              </w:rPr>
              <w:t xml:space="preserve">类目进行工艺查看。</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（2）▲模型数据导入功能：支持从船体三维建模软件中导入模型数据（如Tribon M3系统数据导入）。</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（3）涂装工艺设计</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支持涂装工艺设计，通过选择涂装分段对象，利用图形设计平台完成涂装分段的工艺设计。</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设计过程按未处理分段、已处理分段和已选择分段区域管理设计对象。通过“导入模型数据”功能导入新的分段后，分段名称将在“未处理分段”列表中显示，通过初始化设定后自动处理分段，如果已经处理的分段处于已经定义的涂装区域中，将会自动将零件划入相应区域中。</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③</w:t>
            </w:r>
            <w:r>
              <w:rPr>
                <w:rFonts w:eastAsia="方正楷体_GBK"/>
                <w:color w:val="000000"/>
                <w:szCs w:val="21"/>
              </w:rPr>
              <w:t xml:space="preserve">支持定义涂装区域：操作涂装工艺设计树，如涂装工艺部分分段阶段下将添加选择的分段节点，点击分段节点名称，能够在图形平台区域显示此分段下已经定义的涂装部位的包络框。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④</w:t>
            </w:r>
            <w:r>
              <w:rPr>
                <w:rFonts w:eastAsia="方正楷体_GBK"/>
                <w:color w:val="000000"/>
                <w:szCs w:val="21"/>
              </w:rPr>
              <w:t xml:space="preserve">支持定义涂装部位时，根据涂装部位名称加载了已定义的涂装部位。</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⑤</w:t>
            </w:r>
            <w:r>
              <w:rPr>
                <w:rFonts w:eastAsia="方正楷体_GBK"/>
                <w:color w:val="000000"/>
                <w:szCs w:val="21"/>
              </w:rPr>
              <w:t xml:space="preserve">支持设置工艺属性：定义涂装部位包络尺寸后，可以自动展示涂装工艺属性页面，提示完成工艺属性设置，或者也可以手动通过操作节点属性完成设置。</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⑥</w:t>
            </w:r>
            <w:r>
              <w:rPr>
                <w:rFonts w:eastAsia="方正楷体_GBK"/>
                <w:color w:val="000000"/>
                <w:szCs w:val="21"/>
              </w:rPr>
              <w:t xml:space="preserve">支持批量零件修改：批量修改涂装零件表达式后，自动计算零件涂装面积并重新汇总涂装部位总涂装面积。</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⑦</w:t>
            </w:r>
            <w:r>
              <w:rPr>
                <w:rFonts w:eastAsia="方正楷体_GBK"/>
                <w:color w:val="000000"/>
                <w:szCs w:val="21"/>
              </w:rPr>
              <w:t xml:space="preserve">支持涂装部位预览：预览涂装部位功能，可以用户指定颜色显示涂装部位包括的所有涂装零件。</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⑧</w:t>
            </w:r>
            <w:r>
              <w:rPr>
                <w:rFonts w:eastAsia="方正楷体_GBK"/>
                <w:color w:val="000000"/>
                <w:szCs w:val="21"/>
              </w:rPr>
              <w:t xml:space="preserve">支持涂装颜色定义：在涂装部位工艺属性设定油漆部位的颜色列表，还可以自定义颜色。</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⑨</w:t>
            </w:r>
            <w:r>
              <w:rPr>
                <w:rFonts w:eastAsia="方正楷体_GBK"/>
                <w:color w:val="000000"/>
                <w:szCs w:val="21"/>
              </w:rPr>
              <w:t xml:space="preserve">支持删除涂装部位：根据涂装工艺树中涂装部位节点，根据设计需要可以从数据库中选中删除。</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⑩</w:t>
            </w:r>
            <w:r>
              <w:rPr>
                <w:rFonts w:eastAsia="方正楷体_GBK"/>
                <w:color w:val="000000"/>
                <w:szCs w:val="21"/>
              </w:rPr>
              <w:t xml:space="preserve">支持定义组合部位：通过定义组合涂装部位（区域）功能，实现与父涂装部位（区域）进行布尔加减运算，从而定义出复杂的涂装部位（区域），如梯形涂装部位、中空涂装部位等。</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⑪</w:t>
            </w:r>
            <w:r>
              <w:rPr>
                <w:rFonts w:eastAsia="方正楷体_GBK"/>
                <w:color w:val="000000"/>
                <w:szCs w:val="21"/>
              </w:rPr>
              <w:t xml:space="preserve">支持定义涂装区域：支持在涂装工艺树设计“区域涂装”节点，在该节点下可以定义外板区域、甲板区域或舱室区域节点。</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⑫</w:t>
            </w:r>
            <w:r>
              <w:rPr>
                <w:rFonts w:eastAsia="方正楷体_GBK"/>
                <w:color w:val="000000"/>
                <w:szCs w:val="21"/>
              </w:rPr>
              <w:t xml:space="preserve">支持检验涂装面积：检查涂装零件是否被正确地定义到涂装部位（区域）。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⑬</w:t>
            </w:r>
            <w:r>
              <w:rPr>
                <w:rFonts w:eastAsia="方正楷体_GBK"/>
                <w:color w:val="000000"/>
                <w:szCs w:val="21"/>
              </w:rPr>
              <w:t xml:space="preserve">支持涂装面积校验：根据检验结果以不同颜色列表显示出校验分段下所有零件。如果发现涂装面积异常的涂装零件，可以方便的返回修改涂装部位（区域）。</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⑭</w:t>
            </w:r>
            <w:r>
              <w:rPr>
                <w:rFonts w:eastAsia="方正楷体_GBK"/>
                <w:color w:val="000000"/>
                <w:szCs w:val="21"/>
              </w:rPr>
              <w:t xml:space="preserve">支持根据零件列表增、删、查看零件的属性。</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⑮</w:t>
            </w:r>
            <w:r>
              <w:rPr>
                <w:rFonts w:eastAsia="方正楷体_GBK"/>
                <w:color w:val="000000"/>
                <w:szCs w:val="21"/>
              </w:rPr>
              <w:t xml:space="preserve">支持显示和隐藏图元、批量显示和隐藏分段模型或批量预览分段下所有的涂装部位。</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（4）生产报表管理</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①</w:t>
            </w:r>
            <w:r>
              <w:rPr>
                <w:rFonts w:eastAsia="方正楷体_GBK"/>
                <w:color w:val="000000"/>
                <w:szCs w:val="21"/>
              </w:rPr>
              <w:t xml:space="preserve">支持生产报表管理：导出分段涂装除锈工艺卡</w:t>
            </w:r>
            <w:r>
              <w:rPr>
                <w:rFonts w:hint="eastAsia" w:eastAsia="方正楷体_GBK"/>
                <w:color w:val="000000"/>
                <w:szCs w:val="21"/>
              </w:rPr>
              <w:t xml:space="preserve">等</w:t>
            </w:r>
            <w:r>
              <w:rPr>
                <w:rFonts w:eastAsia="方正楷体_GBK"/>
                <w:color w:val="000000"/>
                <w:szCs w:val="21"/>
              </w:rPr>
              <w:t xml:space="preserve">。</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rPr>
              <w:t xml:space="preserve">②</w:t>
            </w:r>
            <w:r>
              <w:rPr>
                <w:rFonts w:eastAsia="方正楷体_GBK"/>
                <w:color w:val="000000"/>
                <w:szCs w:val="21"/>
              </w:rPr>
              <w:t xml:space="preserve">▲支持批量导出报表：批量导出报表，可以全自动批量导出涂装工艺设计的报表。</w:t>
            </w:r>
            <w:r>
              <w:rPr>
                <w:rFonts w:eastAsia="方正楷体_GBK"/>
                <w:color w:val="000000"/>
                <w:szCs w:val="21"/>
              </w:rPr>
            </w:r>
            <w:r/>
          </w:p>
          <w:p>
            <w:pPr>
              <w:pStyle w:val="716"/>
              <w:ind w:firstLine="420"/>
              <w:rPr>
                <w:rFonts w:eastAsia="方正楷体_GBK"/>
                <w:color w:val="000000"/>
                <w:szCs w:val="21"/>
              </w:rPr>
            </w:pPr>
            <w:r>
              <w:rPr>
                <w:rFonts w:ascii="Cambria Math" w:hAnsi="Cambria Math" w:eastAsia="方正楷体_GBK" w:cs="Cambria Math"/>
                <w:color w:val="000000"/>
                <w:szCs w:val="21"/>
                <w:lang w:bidi="ar"/>
              </w:rPr>
              <w:t xml:space="preserve">③</w:t>
            </w:r>
            <w:r>
              <w:rPr>
                <w:rFonts w:eastAsia="方正楷体_GBK"/>
                <w:color w:val="000000"/>
                <w:szCs w:val="21"/>
              </w:rPr>
              <w:t xml:space="preserve">支持报表管理：系统能够自动搜索已经生成的涂装报表，并以树的形式显示。</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（5）</w:t>
            </w:r>
            <w:r>
              <w:rPr>
                <w:rFonts w:eastAsia="方正楷体_GBK"/>
                <w:b/>
                <w:bCs/>
                <w:color w:val="000000"/>
                <w:szCs w:val="21"/>
              </w:rPr>
              <w:t xml:space="preserve">▲</w:t>
            </w:r>
            <w:r>
              <w:rPr>
                <w:rFonts w:eastAsia="方正楷体_GBK"/>
                <w:color w:val="000000"/>
                <w:szCs w:val="21"/>
              </w:rPr>
              <w:t xml:space="preserve">投标人具有船舶涂装工艺设计软件知识产权。</w:t>
            </w:r>
            <w:r>
              <w:rPr>
                <w:rFonts w:eastAsia="方正楷体_GBK"/>
                <w:b/>
                <w:bCs/>
                <w:color w:val="000000"/>
                <w:szCs w:val="21"/>
              </w:rPr>
              <w:t xml:space="preserve">投标时需提供相关知识产权证书（提供软件著作权或产品登记证书），同时附上“中国版权保护中心”登记证书查询截图及网址。</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套</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21-23</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实验室综合环境建设</w:t>
            </w:r>
            <w:r>
              <w:rPr>
                <w:rFonts w:eastAsia="方正楷体_GBK"/>
                <w:color w:val="000000"/>
                <w:szCs w:val="21"/>
                <w:lang w:bidi="ar"/>
              </w:rPr>
            </w:r>
            <w:r/>
          </w:p>
          <w:p>
            <w:pPr>
              <w:pStyle w:val="716"/>
              <w:jc w:val="center"/>
              <w:rPr>
                <w:rFonts w:eastAsia="方正楷体_GBK"/>
                <w:color w:val="000000"/>
                <w:szCs w:val="21"/>
                <w:lang w:bidi="ar"/>
              </w:rPr>
            </w:pPr>
            <w:r>
              <w:rPr>
                <w:rFonts w:eastAsia="方正楷体_GBK"/>
                <w:color w:val="000000"/>
                <w:szCs w:val="21"/>
                <w:lang w:bidi="ar"/>
              </w:rPr>
              <w:t xml:space="preserve">（限价22万）</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（1）氛围升级要求：针对约180平方米场地进行氛围升级处理，包括墙面、地面、顶面等文化氛围升级，以满足整体实训室设备、教学、实训使用需求。</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（2）综合文化布置：展示船舶与海工结构相关内容，排版合理、美观、有科技感。</w:t>
            </w:r>
            <w:r>
              <w:rPr>
                <w:rFonts w:eastAsia="方正楷体_GBK"/>
                <w:color w:val="000000"/>
                <w:szCs w:val="21"/>
              </w:rPr>
              <w:br w:type="textWrapping" w:clear="all"/>
            </w:r>
            <w:r>
              <w:rPr>
                <w:rFonts w:eastAsia="方正楷体_GBK"/>
                <w:color w:val="000000"/>
                <w:szCs w:val="21"/>
              </w:rPr>
              <w:t xml:space="preserve">（3）</w:t>
            </w:r>
            <w:r>
              <w:rPr>
                <w:rFonts w:ascii="Segoe UI Symbol" w:hAnsi="Segoe UI Symbol" w:eastAsia="方正楷体_GBK" w:cs="Segoe UI Symbol"/>
                <w:color w:val="000000"/>
                <w:szCs w:val="21"/>
                <w:lang w:bidi="ar"/>
              </w:rPr>
              <w:t xml:space="preserve">★</w:t>
            </w:r>
            <w:r>
              <w:rPr>
                <w:rFonts w:eastAsia="方正楷体_GBK"/>
                <w:color w:val="000000"/>
                <w:szCs w:val="21"/>
              </w:rPr>
              <w:t xml:space="preserve">提供实训布局及文化展陈规划</w:t>
            </w:r>
            <w:r>
              <w:rPr>
                <w:rFonts w:hint="eastAsia" w:eastAsia="方正楷体_GBK"/>
                <w:color w:val="000000"/>
                <w:szCs w:val="21"/>
              </w:rPr>
              <w:t xml:space="preserve">，作为建设方案的一部分</w:t>
            </w:r>
            <w:r>
              <w:rPr>
                <w:rFonts w:eastAsia="方正楷体_GBK"/>
                <w:color w:val="000000"/>
                <w:szCs w:val="21"/>
              </w:rPr>
              <w:t xml:space="preserve">：</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提供实训室平面布局方案，工位布置科学合理、</w:t>
            </w:r>
            <w:r>
              <w:rPr>
                <w:rFonts w:hint="eastAsia" w:eastAsia="方正楷体_GBK"/>
                <w:color w:val="000000"/>
                <w:szCs w:val="21"/>
              </w:rPr>
              <w:t xml:space="preserve">匹配本项目功能区布置</w:t>
            </w:r>
            <w:r>
              <w:rPr>
                <w:rFonts w:eastAsia="方正楷体_GBK"/>
                <w:color w:val="000000"/>
                <w:szCs w:val="21"/>
              </w:rPr>
              <w:t xml:space="preserve">。</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投标时提供整体二维平面布局图：对本项目涉及的全部设备的布置位置进行科学、合理规划，制图规范、整洁，文字性指示齐全，便于读图。</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投标时提供三维设计效果图：效果图规划内容应完整呈现本项目硬件设备及空间布局，同时直观体现教学演示讲授区、小组研讨仿真区、虚实融合实操区三大区域布局，效果真实、比例协调、空间规划合理，能够真实反映项目整体设计方案与实训功能组织形式。</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（4）具体建设内容及要求详见附件15-17中的两份清单和施工图（附件中的价格明细仅作为参考，实际以本表中的限价为准）：</w:t>
            </w:r>
            <w:r>
              <w:rPr>
                <w:rFonts w:eastAsia="方正楷体_GBK"/>
                <w:color w:val="000000"/>
                <w:szCs w:val="21"/>
              </w:rPr>
            </w:r>
            <w:r/>
          </w:p>
          <w:p>
            <w:pPr>
              <w:pStyle w:val="824"/>
              <w:contextualSpacing/>
              <w:widowControl/>
              <w:rPr>
                <w:rFonts w:eastAsia="方正楷体_GBK"/>
                <w:color w:val="000000"/>
                <w:sz w:val="21"/>
                <w:szCs w:val="21"/>
              </w:rPr>
            </w:pPr>
            <w:r>
              <w:rPr>
                <w:rFonts w:eastAsia="方正楷体_GBK"/>
                <w:color w:val="000000"/>
                <w:sz w:val="21"/>
                <w:szCs w:val="21"/>
              </w:rPr>
              <w:t xml:space="preserve">1.附件15：船舶海工结构虚拟仿真中心室内装饰清单。</w:t>
            </w:r>
            <w:r>
              <w:rPr>
                <w:rFonts w:eastAsia="方正楷体_GBK"/>
                <w:color w:val="000000"/>
                <w:sz w:val="21"/>
                <w:szCs w:val="21"/>
              </w:rPr>
            </w:r>
            <w:r/>
          </w:p>
          <w:p>
            <w:pPr>
              <w:pStyle w:val="824"/>
              <w:contextualSpacing/>
              <w:widowControl/>
              <w:rPr>
                <w:rFonts w:eastAsia="方正楷体_GBK"/>
                <w:color w:val="000000"/>
                <w:sz w:val="21"/>
                <w:szCs w:val="21"/>
              </w:rPr>
            </w:pPr>
            <w:r>
              <w:rPr>
                <w:rFonts w:eastAsia="方正楷体_GBK"/>
                <w:color w:val="000000"/>
                <w:sz w:val="21"/>
                <w:szCs w:val="21"/>
              </w:rPr>
              <w:t xml:space="preserve">2.附件16：船舶海工结构虚拟仿真中心思政文化建设清单。</w:t>
            </w:r>
            <w:r>
              <w:rPr>
                <w:rFonts w:eastAsia="方正楷体_GBK"/>
                <w:color w:val="000000"/>
                <w:sz w:val="21"/>
                <w:szCs w:val="21"/>
              </w:rPr>
            </w:r>
            <w:r/>
          </w:p>
          <w:p>
            <w:pPr>
              <w:pStyle w:val="824"/>
              <w:contextualSpacing/>
              <w:widowControl/>
              <w:rPr>
                <w:rFonts w:eastAsia="方正楷体_GBK"/>
                <w:color w:val="000000"/>
                <w:sz w:val="21"/>
                <w:szCs w:val="21"/>
              </w:rPr>
            </w:pPr>
            <w:r>
              <w:rPr>
                <w:rFonts w:eastAsia="方正楷体_GBK"/>
                <w:color w:val="000000"/>
                <w:sz w:val="21"/>
                <w:szCs w:val="21"/>
                <w:lang w:bidi="ar"/>
              </w:rPr>
              <w:t xml:space="preserve">3.附件17：船舶海工结构虚拟仿真中心施工图</w:t>
            </w:r>
            <w:r>
              <w:rPr>
                <w:rFonts w:eastAsia="方正楷体_GBK"/>
                <w:color w:val="000000"/>
                <w:sz w:val="21"/>
                <w:szCs w:val="21"/>
              </w:rPr>
              <w:t xml:space="preserve">。</w:t>
            </w:r>
            <w:r>
              <w:rPr>
                <w:rFonts w:eastAsia="方正楷体_GBK"/>
                <w:color w:val="000000"/>
                <w:sz w:val="21"/>
                <w:szCs w:val="21"/>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pStyle w:val="716"/>
              <w:jc w:val="center"/>
              <w:rPr>
                <w:rFonts w:eastAsia="方正楷体_GBK"/>
                <w:color w:val="000000"/>
                <w:szCs w:val="21"/>
                <w:lang w:bidi="ar"/>
              </w:rPr>
            </w:pPr>
            <w:r>
              <w:rPr>
                <w:rStyle w:val="1060"/>
                <w:rFonts w:ascii="Times New Roman" w:hAnsi="Times New Roman" w:eastAsia="方正楷体_GBK" w:cs="Times New Roman"/>
                <w:sz w:val="21"/>
                <w:szCs w:val="21"/>
                <w:lang w:bidi="ar"/>
              </w:rPr>
              <w:t xml:space="preserve">项</w:t>
            </w:r>
            <w:r>
              <w:rPr>
                <w:rFonts w:eastAsia="方正楷体_GBK"/>
                <w:color w:val="000000"/>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24</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其他要求</w:t>
            </w:r>
            <w:r>
              <w:rPr>
                <w:rFonts w:eastAsia="方正楷体_GBK"/>
                <w:color w:val="000000"/>
                <w:szCs w:val="21"/>
                <w:lang w:bidi="ar"/>
              </w:rPr>
            </w:r>
            <w:r/>
          </w:p>
        </w:tc>
        <w:tc>
          <w:tcPr>
            <w:gridSpan w:val="3"/>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16"/>
              <w:ind w:firstLine="422"/>
              <w:rPr>
                <w:rFonts w:eastAsia="方正楷体_GBK"/>
                <w:b/>
                <w:bCs/>
                <w:color w:val="000000"/>
                <w:szCs w:val="21"/>
              </w:rPr>
            </w:pPr>
            <w:r>
              <w:rPr>
                <w:rFonts w:eastAsia="方正楷体_GBK"/>
                <w:b/>
                <w:bCs/>
                <w:color w:val="000000"/>
                <w:szCs w:val="21"/>
              </w:rPr>
              <w:t xml:space="preserve">1.软件部署与校内在线访问技术要求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本项目中软件（序号</w:t>
            </w:r>
            <w:r>
              <w:rPr>
                <w:rFonts w:hint="eastAsia" w:eastAsia="方正楷体_GBK"/>
                <w:color w:val="000000"/>
                <w:szCs w:val="21"/>
              </w:rPr>
              <w:t xml:space="preserve">8</w:t>
            </w:r>
            <w:r>
              <w:rPr>
                <w:rFonts w:eastAsia="方正楷体_GBK"/>
                <w:color w:val="000000"/>
                <w:szCs w:val="21"/>
              </w:rPr>
              <w:t xml:space="preserve">-</w:t>
            </w:r>
            <w:r>
              <w:rPr>
                <w:rFonts w:hint="eastAsia" w:eastAsia="方正楷体_GBK"/>
                <w:color w:val="000000"/>
                <w:szCs w:val="21"/>
              </w:rPr>
              <w:t xml:space="preserve">14</w:t>
            </w:r>
            <w:r>
              <w:rPr>
                <w:rFonts w:eastAsia="方正楷体_GBK"/>
                <w:color w:val="000000"/>
                <w:szCs w:val="21"/>
              </w:rPr>
              <w:t xml:space="preserve">），均需同时支持本地终端私有化部署运行与校园网范围内在线访问使用双模式，具体要求如下：</w:t>
            </w:r>
            <w:r>
              <w:rPr>
                <w:rFonts w:eastAsia="方正楷体_GBK"/>
                <w:color w:val="000000"/>
                <w:szCs w:val="21"/>
              </w:rPr>
            </w:r>
            <w:r/>
          </w:p>
          <w:p>
            <w:pPr>
              <w:pStyle w:val="716"/>
              <w:ind w:firstLine="422"/>
              <w:rPr>
                <w:rFonts w:eastAsia="方正楷体_GBK"/>
                <w:b/>
                <w:bCs/>
                <w:color w:val="000000"/>
                <w:szCs w:val="21"/>
              </w:rPr>
            </w:pPr>
            <w:r>
              <w:rPr>
                <w:rFonts w:hint="eastAsia" w:eastAsia="方正楷体_GBK"/>
                <w:b/>
                <w:bCs/>
                <w:color w:val="000000"/>
                <w:szCs w:val="21"/>
              </w:rPr>
              <w:t xml:space="preserve">（1）</w:t>
            </w:r>
            <w:r>
              <w:rPr>
                <w:rFonts w:eastAsia="方正楷体_GBK"/>
                <w:b/>
                <w:bCs/>
                <w:color w:val="000000"/>
                <w:szCs w:val="21"/>
              </w:rPr>
              <w:t xml:space="preserve">本地部署要求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所有软件须完整部署于项目配套的教师管控终端、48 台教学实训专用终端及专用服务器上，支持离线状态下全功能运行，48 台终端同时启动实训无卡顿、无掉线，实训数据本地存储，适配现有硬件性能与操作系统环境。</w:t>
            </w:r>
            <w:r>
              <w:rPr>
                <w:rFonts w:eastAsia="方正楷体_GBK"/>
                <w:color w:val="000000"/>
                <w:szCs w:val="21"/>
              </w:rPr>
            </w:r>
            <w:r/>
          </w:p>
          <w:p>
            <w:pPr>
              <w:pStyle w:val="716"/>
              <w:ind w:firstLine="422"/>
              <w:rPr>
                <w:rFonts w:eastAsia="方正楷体_GBK"/>
                <w:b/>
                <w:bCs/>
                <w:color w:val="000000"/>
                <w:szCs w:val="21"/>
              </w:rPr>
            </w:pPr>
            <w:r>
              <w:rPr>
                <w:rFonts w:hint="eastAsia" w:eastAsia="方正楷体_GBK"/>
                <w:b/>
                <w:bCs/>
                <w:color w:val="000000"/>
                <w:szCs w:val="21"/>
              </w:rPr>
              <w:t xml:space="preserve">（2）</w:t>
            </w:r>
            <w:r>
              <w:rPr>
                <w:rFonts w:eastAsia="方正楷体_GBK"/>
                <w:b/>
                <w:bCs/>
                <w:color w:val="000000"/>
                <w:szCs w:val="21"/>
              </w:rPr>
              <w:t xml:space="preserve">校内在线访问要求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在校园网 IP 覆盖范围内，通过 Chrome、Edge、Firefox 等主流浏览器或独立客户端即可直接访问使用，支持 PC 电脑、</w:t>
            </w:r>
            <w:r>
              <w:rPr>
                <w:rFonts w:hint="eastAsia" w:eastAsia="方正楷体_GBK"/>
                <w:color w:val="000000"/>
                <w:szCs w:val="21"/>
              </w:rPr>
              <w:t xml:space="preserve">手机</w:t>
            </w:r>
            <w:r>
              <w:rPr>
                <w:rFonts w:eastAsia="方正楷体_GBK"/>
                <w:color w:val="000000"/>
                <w:szCs w:val="21"/>
              </w:rPr>
              <w:t xml:space="preserve">、平板等多类设备接入。</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并发性能：支持不少于100个用户同时在线开展实训操作，满足整班教学与多班级复用需求；三维模型加载时长≤5 秒，交互操作响应延迟</w:t>
            </w:r>
            <w:r>
              <w:rPr>
                <w:rFonts w:hint="eastAsia" w:eastAsia="方正楷体_GBK"/>
                <w:color w:val="000000"/>
                <w:szCs w:val="21"/>
              </w:rPr>
              <w:t xml:space="preserve">低</w:t>
            </w:r>
            <w:r>
              <w:rPr>
                <w:rFonts w:eastAsia="方正楷体_GBK"/>
                <w:color w:val="000000"/>
                <w:szCs w:val="21"/>
              </w:rPr>
              <w:t xml:space="preserve">，无明显卡顿、掉帧。</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功能一致性：在线版本须完整保留本地端核心功能，包括教学/实训/考试三模式切换、三维模型交互操作、工艺流程编辑、自动评分、成绩管理、资料库查询等。</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数据互通：本地部署端与在线访问端共用统一用户体系与数据库，账号权限、实训记录、考核成绩、学习进度实时同步，数据双向一致。</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安全管控：仅对校园内网开放访问权限，禁止公网直接访问；支持与学校统一身份认证体系对接。</w:t>
            </w:r>
            <w:r>
              <w:rPr>
                <w:rFonts w:eastAsia="方正楷体_GBK"/>
                <w:color w:val="000000"/>
                <w:szCs w:val="21"/>
              </w:rPr>
            </w:r>
            <w:r/>
          </w:p>
          <w:p>
            <w:pPr>
              <w:pStyle w:val="716"/>
              <w:ind w:firstLine="420"/>
              <w:rPr>
                <w:rFonts w:eastAsia="方正楷体_GBK"/>
                <w:color w:val="000000"/>
                <w:szCs w:val="21"/>
              </w:rPr>
            </w:pPr>
            <w:r>
              <w:rPr>
                <w:rFonts w:eastAsia="方正楷体_GBK"/>
                <w:color w:val="000000"/>
                <w:szCs w:val="21"/>
              </w:rPr>
              <w:t xml:space="preserve">实施要求：供应商负责完成两套部署环境的安装、调试与适配，提供部署手册与运维说明，确保与学校现有校园网、服务器环境兼容，验收时须现场完成多终端、多并发场景的在线访问实测。</w:t>
            </w:r>
            <w:r>
              <w:rPr>
                <w:rFonts w:eastAsia="方正楷体_GBK"/>
                <w:color w:val="000000"/>
                <w:szCs w:val="21"/>
              </w:rPr>
            </w:r>
            <w:r/>
          </w:p>
          <w:p>
            <w:pPr>
              <w:pStyle w:val="716"/>
              <w:ind w:firstLine="422"/>
              <w:rPr>
                <w:rFonts w:eastAsia="方正楷体_GBK"/>
                <w:b/>
                <w:bCs/>
                <w:color w:val="000000"/>
                <w:szCs w:val="21"/>
              </w:rPr>
            </w:pPr>
            <w:r>
              <w:rPr>
                <w:rFonts w:eastAsia="方正楷体_GBK"/>
                <w:b/>
                <w:bCs/>
                <w:color w:val="000000"/>
                <w:szCs w:val="21"/>
              </w:rPr>
              <w:t xml:space="preserve">2.软件使用手册要求</w:t>
            </w:r>
            <w:r>
              <w:rPr>
                <w:rFonts w:eastAsia="方正楷体_GBK"/>
                <w:b/>
                <w:bCs/>
                <w:color w:val="000000"/>
                <w:szCs w:val="21"/>
              </w:rPr>
            </w:r>
            <w:r/>
          </w:p>
          <w:p>
            <w:pPr>
              <w:pStyle w:val="716"/>
              <w:ind w:firstLine="420"/>
              <w:rPr>
                <w:rFonts w:eastAsia="方正楷体_GBK"/>
                <w:color w:val="000000"/>
                <w:szCs w:val="21"/>
              </w:rPr>
            </w:pPr>
            <w:r>
              <w:rPr>
                <w:rFonts w:eastAsia="方正楷体_GBK"/>
                <w:color w:val="000000"/>
                <w:szCs w:val="21"/>
              </w:rPr>
              <w:t xml:space="preserve">交付范围：本项目全部软件系统（含船舶与海工结构认知教学系统、船舶与海工虚拟装配教学系统、海工建造交互实训系统、船舶建造交互实训系统、各船型教学实训系统、船体放样仿真教学实训系统、AR 实训系统、分段协同装配 VR 实训系统、结构构件智能涂装作业模拟器软件、船体结构涂装工艺设计系统</w:t>
            </w:r>
            <w:r>
              <w:rPr>
                <w:rFonts w:hint="eastAsia" w:eastAsia="方正楷体_GBK"/>
                <w:color w:val="000000"/>
                <w:szCs w:val="21"/>
              </w:rPr>
              <w:t xml:space="preserve">、4个定制开发软件系统</w:t>
            </w:r>
            <w:r>
              <w:rPr>
                <w:rFonts w:eastAsia="方正楷体_GBK"/>
                <w:color w:val="000000"/>
                <w:szCs w:val="21"/>
              </w:rPr>
              <w:t xml:space="preserve">等所有软件类货物），每套软件须单独编制配套官方使用手册，随软件产品同步交付。</w:t>
            </w:r>
            <w:r>
              <w:rPr>
                <w:rFonts w:eastAsia="方正楷体_GBK"/>
                <w:color w:val="000000"/>
                <w:szCs w:val="21"/>
              </w:rPr>
            </w:r>
            <w:r/>
          </w:p>
          <w:p>
            <w:pPr>
              <w:pStyle w:val="716"/>
              <w:ind w:firstLine="420"/>
              <w:rPr>
                <w:rStyle w:val="1060"/>
                <w:rFonts w:ascii="Times New Roman" w:hAnsi="Times New Roman" w:eastAsia="方正楷体_GBK" w:cs="Times New Roman"/>
                <w:b w:val="0"/>
                <w:sz w:val="21"/>
                <w:szCs w:val="21"/>
              </w:rPr>
            </w:pPr>
            <w:r>
              <w:rPr>
                <w:rFonts w:eastAsia="方正楷体_GBK"/>
                <w:color w:val="000000"/>
                <w:szCs w:val="21"/>
              </w:rPr>
              <w:t xml:space="preserve">手册内容要求：使用手册须完整覆盖对应软件的全部功能，包含系统部署安装、账号与角色权限管理、各功能模块操作步骤、实训教学应用指引、数据查询与导出、常见故障排查、日常运维说明等全流程内容，图文对应、表述清晰，满足教师教学使用与管理员运维需求。</w:t>
            </w:r>
            <w:r>
              <w:rPr>
                <w:rStyle w:val="1060"/>
                <w:rFonts w:ascii="Times New Roman" w:hAnsi="Times New Roman" w:eastAsia="方正楷体_GBK" w:cs="Times New Roman"/>
                <w:b w:val="0"/>
                <w:sz w:val="21"/>
                <w:szCs w:val="21"/>
              </w:rPr>
            </w:r>
            <w:r/>
          </w:p>
        </w:tc>
      </w:tr>
    </w:tbl>
    <w:p>
      <w:pPr>
        <w:pStyle w:val="716"/>
        <w:ind w:firstLine="562"/>
        <w:rPr>
          <w:rFonts w:eastAsia="方正仿宋_GBK"/>
          <w:b/>
          <w:color w:val="000000"/>
          <w:sz w:val="28"/>
          <w:szCs w:val="28"/>
        </w:rPr>
        <w:outlineLvl w:val="2"/>
      </w:pPr>
      <w:r>
        <w:rPr>
          <w:rFonts w:eastAsia="方正仿宋_GBK"/>
          <w:b/>
          <w:color w:val="000000"/>
          <w:sz w:val="28"/>
          <w:szCs w:val="28"/>
        </w:rPr>
        <w:t xml:space="preserve">六 商务要求</w:t>
      </w:r>
      <w:r>
        <w:rPr>
          <w:rFonts w:eastAsia="方正仿宋_GBK"/>
          <w:b/>
          <w:color w:val="000000"/>
          <w:sz w:val="28"/>
          <w:szCs w:val="28"/>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4"/>
        <w:gridCol w:w="1607"/>
        <w:gridCol w:w="6157"/>
      </w:tblGrid>
      <w:tr>
        <w:trPr>
          <w:trHeight w:val="454"/>
          <w:tblHeader/>
        </w:trPr>
        <w:tc>
          <w:tcPr>
            <w:shd w:val="clear" w:color="auto" w:fill="d9d9d9"/>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rPr>
                <w:rFonts w:eastAsia="方正楷体_GBK"/>
                <w:b/>
                <w:bCs/>
                <w:color w:val="000000"/>
                <w:szCs w:val="21"/>
              </w:rPr>
            </w:pPr>
            <w:r>
              <w:rPr>
                <w:rFonts w:eastAsia="方正楷体_GBK"/>
                <w:b/>
                <w:bCs/>
                <w:color w:val="000000"/>
                <w:szCs w:val="21"/>
                <w:lang w:bidi="ar"/>
              </w:rPr>
              <w:t xml:space="preserve">序号</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名称</w:t>
            </w:r>
            <w:r>
              <w:rPr>
                <w:rFonts w:eastAsia="方正楷体_GBK"/>
                <w:b/>
                <w:bCs/>
                <w:color w:val="000000"/>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jc w:val="center"/>
              <w:rPr>
                <w:rFonts w:eastAsia="方正楷体_GBK"/>
                <w:b/>
                <w:bCs/>
                <w:color w:val="000000"/>
                <w:szCs w:val="21"/>
              </w:rPr>
            </w:pPr>
            <w:r>
              <w:rPr>
                <w:rFonts w:eastAsia="方正楷体_GBK"/>
                <w:b/>
                <w:bCs/>
                <w:color w:val="000000"/>
                <w:szCs w:val="21"/>
                <w:lang w:bidi="ar"/>
              </w:rPr>
              <w:t xml:space="preserve">详细参数</w:t>
            </w:r>
            <w:r>
              <w:rPr>
                <w:rFonts w:eastAsia="方正楷体_GBK"/>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1</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验收要求</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widowControl/>
              <w:rPr>
                <w:rFonts w:eastAsia="方正楷体_GBK"/>
                <w:color w:val="000000"/>
                <w:szCs w:val="21"/>
              </w:rPr>
            </w:pPr>
            <w:r>
              <w:rPr>
                <w:rFonts w:eastAsia="方正楷体_GBK"/>
                <w:color w:val="000000"/>
                <w:szCs w:val="21"/>
              </w:rPr>
              <w:t xml:space="preserve">1. 硬件设备验收标准</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外观与资质：所有设备为全新原厂正品，外观无破损、划痕、变形，附带原厂产品合格证、防伪标识；进口设备提供合法合规的报关与商检凭证。</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参数符合性：核心硬件配置（处理器、内存、显卡、屏幕参数、核心元器件规格等）与投标响应完全一致，抽检设备参数检测合格率 100%。</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功能与性能：通电运行稳定，基础功能与专项功能全部正常，满足对应教学实训场景性能要求，无卡顿、死机、异响、漏液等异常问题。</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兼容适配性：与项目内其他软硬件设备互联互通，适配现有教室供电、网络、布线环境，无驱动冲突、接口不匹配等问题。所有硬件使用时确保不会相互干扰。</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安装与布线：设备安装牢固合规，线缆隐蔽收纳、规整有序，符合用电安全与教学场景整洁要求。</w:t>
            </w:r>
            <w:r>
              <w:rPr>
                <w:rFonts w:eastAsia="方正楷体_GBK"/>
                <w:color w:val="000000"/>
                <w:szCs w:val="21"/>
              </w:rPr>
            </w:r>
            <w:r/>
          </w:p>
          <w:p>
            <w:pPr>
              <w:pStyle w:val="716"/>
              <w:numPr>
                <w:ilvl w:val="0"/>
                <w:numId w:val="3"/>
              </w:numPr>
              <w:ind w:left="0" w:firstLine="420"/>
              <w:widowControl/>
              <w:tabs>
                <w:tab w:val="left" w:pos="720" w:leader="none"/>
              </w:tabs>
              <w:rPr>
                <w:rFonts w:eastAsia="方正楷体_GBK"/>
                <w:color w:val="000000"/>
                <w:szCs w:val="21"/>
              </w:rPr>
            </w:pPr>
            <w:r>
              <w:rPr>
                <w:rFonts w:eastAsia="方正楷体_GBK"/>
                <w:color w:val="000000"/>
                <w:szCs w:val="21"/>
              </w:rPr>
              <w:t xml:space="preserve">资料交付：同步交付原厂使用说明书、质保函、驱动安装包、配件清单等全套资料。</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2. 软件系统验收标准</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部署验收：完成本地终端私有化部署与校园网在线访问双环境搭建，全部授权节点激活正常，无授权数量不足、过期、限制功能等问题。</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功能符合性：软件核心功能、带▲/</w:t>
            </w:r>
            <w:r>
              <w:rPr>
                <w:rFonts w:ascii="Segoe UI Symbol" w:hAnsi="Segoe UI Symbol" w:eastAsia="方正楷体_GBK" w:cs="Segoe UI Symbol"/>
                <w:color w:val="000000"/>
                <w:szCs w:val="21"/>
              </w:rPr>
              <w:t xml:space="preserve">★</w:t>
            </w:r>
            <w:r>
              <w:rPr>
                <w:rFonts w:eastAsia="方正楷体_GBK"/>
                <w:color w:val="000000"/>
                <w:szCs w:val="21"/>
              </w:rPr>
              <w:t xml:space="preserve">的关键参数全部满足招标要求；实训工艺流程、模型结构、专业内容无知识性错误，符合船舶行业规范与船级社标准。</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性能指标：满足约定并发数同时在线实训，三维模型加载速度、交互响应延迟达标；连续满负荷运行无闪退、崩溃、数据丢失等异常。</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管理与安全：三级用户权限体系运行正常，成绩统计、数据备份、操作日志功能有效；教学数据加密存储，符合校园网络安全管理要求。</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文档交付：每套软件同步交付纸质版</w:t>
            </w:r>
            <w:r>
              <w:rPr>
                <w:rFonts w:hint="eastAsia" w:eastAsia="方正楷体_GBK"/>
                <w:color w:val="000000"/>
                <w:szCs w:val="21"/>
              </w:rPr>
              <w:t xml:space="preserve">+</w:t>
            </w:r>
            <w:r>
              <w:rPr>
                <w:rFonts w:eastAsia="方正楷体_GBK"/>
                <w:color w:val="000000"/>
                <w:szCs w:val="21"/>
              </w:rPr>
              <w:t xml:space="preserve">可检索电子版使用手册；同时提供部署手册、运维指南、故障排查手册。</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知识产权：提供完整的软件正版授权证明、对应软件著作权证书，无版权纠纷，覆盖校方全教学场景使用授权。</w:t>
            </w:r>
            <w:r>
              <w:rPr>
                <w:rFonts w:eastAsia="方正楷体_GBK"/>
                <w:color w:val="000000"/>
                <w:szCs w:val="21"/>
              </w:rPr>
            </w:r>
            <w:r/>
          </w:p>
          <w:p>
            <w:pPr>
              <w:pStyle w:val="716"/>
              <w:numPr>
                <w:ilvl w:val="0"/>
                <w:numId w:val="4"/>
              </w:numPr>
              <w:ind w:left="0" w:firstLine="420"/>
              <w:widowControl/>
              <w:tabs>
                <w:tab w:val="left" w:pos="720" w:leader="none"/>
              </w:tabs>
              <w:rPr>
                <w:rFonts w:eastAsia="方正楷体_GBK"/>
                <w:color w:val="000000"/>
                <w:szCs w:val="21"/>
              </w:rPr>
            </w:pPr>
            <w:r>
              <w:rPr>
                <w:rFonts w:eastAsia="方正楷体_GBK"/>
                <w:color w:val="000000"/>
                <w:szCs w:val="21"/>
              </w:rPr>
              <w:t xml:space="preserve">试运行验证：试用期内全功能、全负荷运行无重大故障；问题响应与整改时效符合服务要求。</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3. 实训模型与环境建设验收标准</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外观工艺：模型制作精细、涂装均匀无脱落，展台、沙盘结构稳固；环境施工平整美观，与设计方案效果一致，无施工瑕疵。</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规格准确性：整体尺寸、缩比比例、关键结构完全符合招标要求，与真实船型</w:t>
            </w:r>
            <w:r>
              <w:rPr>
                <w:rFonts w:hint="eastAsia" w:eastAsia="方正楷体_GBK"/>
                <w:color w:val="000000"/>
                <w:szCs w:val="21"/>
              </w:rPr>
              <w:t xml:space="preserve">/</w:t>
            </w:r>
            <w:r>
              <w:rPr>
                <w:rFonts w:eastAsia="方正楷体_GBK"/>
                <w:color w:val="000000"/>
                <w:szCs w:val="21"/>
              </w:rPr>
              <w:t xml:space="preserve">海工平台标准构型一致，无结构错位、比例失真问题。</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内容合规性：模型结构、标识标注、配套教学资源无知识性错误；实物模型与对应软件模型形成虚实对应，满足双轨教学要求。</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配套功能：标识牌、教学展板、二维码教学资源齐全，内容准确可正常访问；灯光系统、集控系统、展示终端等配套设备功能全部正常。</w:t>
            </w:r>
            <w:r>
              <w:rPr>
                <w:rFonts w:eastAsia="方正楷体_GBK"/>
                <w:color w:val="000000"/>
                <w:szCs w:val="21"/>
              </w:rPr>
            </w:r>
            <w:r/>
          </w:p>
          <w:p>
            <w:pPr>
              <w:pStyle w:val="716"/>
              <w:numPr>
                <w:ilvl w:val="0"/>
                <w:numId w:val="5"/>
              </w:numPr>
              <w:ind w:left="0" w:firstLine="420"/>
              <w:widowControl/>
              <w:tabs>
                <w:tab w:val="left" w:pos="720" w:leader="none"/>
              </w:tabs>
              <w:rPr>
                <w:rFonts w:eastAsia="方正楷体_GBK"/>
                <w:color w:val="000000"/>
                <w:szCs w:val="21"/>
              </w:rPr>
            </w:pPr>
            <w:r>
              <w:rPr>
                <w:rFonts w:eastAsia="方正楷体_GBK"/>
                <w:color w:val="000000"/>
                <w:szCs w:val="21"/>
              </w:rPr>
              <w:t xml:space="preserve">施工资料：环境建设项目提交竣工图（CAD 电子档）、隐蔽工程验收记录、质量验收资料，符合《建设工程文件归档整理规范》要求。</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4. 项目整体验收要求</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分阶段验收：按照招标文件约定的分段交付节点同步开展阶段验收，阶段验收合格后方可进入下一实施环节。货物1-10、15-23</w:t>
            </w:r>
            <w:r>
              <w:rPr>
                <w:rFonts w:hint="eastAsia" w:eastAsia="方正楷体_GBK"/>
                <w:color w:val="000000"/>
                <w:szCs w:val="21"/>
              </w:rPr>
              <w:t xml:space="preserve">（包括在线及本地部署）</w:t>
            </w:r>
            <w:r>
              <w:rPr>
                <w:rFonts w:eastAsia="方正楷体_GBK"/>
                <w:color w:val="000000"/>
                <w:szCs w:val="21"/>
              </w:rPr>
              <w:t xml:space="preserve">签订合同起75天内（施工期包含假期）供货并安装调试完成，试用</w:t>
            </w:r>
            <w:r>
              <w:rPr>
                <w:rFonts w:hint="eastAsia" w:eastAsia="方正楷体_GBK"/>
                <w:color w:val="000000"/>
                <w:szCs w:val="21"/>
              </w:rPr>
              <w:t xml:space="preserve">5</w:t>
            </w:r>
            <w:r>
              <w:rPr>
                <w:rFonts w:eastAsia="方正楷体_GBK"/>
                <w:color w:val="000000"/>
                <w:szCs w:val="21"/>
              </w:rPr>
              <w:t xml:space="preserve">天；货物11-14</w:t>
            </w:r>
            <w:r>
              <w:rPr>
                <w:rFonts w:hint="eastAsia" w:eastAsia="方正楷体_GBK"/>
                <w:color w:val="000000"/>
                <w:szCs w:val="21"/>
              </w:rPr>
              <w:t xml:space="preserve">（包括在线及本地部署）</w:t>
            </w:r>
            <w:r>
              <w:rPr>
                <w:rFonts w:eastAsia="方正楷体_GBK"/>
                <w:color w:val="000000"/>
                <w:szCs w:val="21"/>
              </w:rPr>
              <w:t xml:space="preserve">签订合同起</w:t>
            </w:r>
            <w:r>
              <w:rPr>
                <w:rFonts w:hint="eastAsia" w:eastAsia="方正楷体_GBK"/>
                <w:color w:val="000000"/>
                <w:szCs w:val="21"/>
              </w:rPr>
              <w:t xml:space="preserve">90</w:t>
            </w:r>
            <w:r>
              <w:rPr>
                <w:rFonts w:eastAsia="方正楷体_GBK"/>
                <w:color w:val="000000"/>
                <w:szCs w:val="21"/>
              </w:rPr>
              <w:t xml:space="preserve">天内供货并安装调试完成，试用</w:t>
            </w:r>
            <w:r>
              <w:rPr>
                <w:rFonts w:hint="eastAsia" w:eastAsia="方正楷体_GBK"/>
                <w:color w:val="000000"/>
                <w:szCs w:val="21"/>
              </w:rPr>
              <w:t xml:space="preserve">5</w:t>
            </w:r>
            <w:r>
              <w:rPr>
                <w:rFonts w:eastAsia="方正楷体_GBK"/>
                <w:color w:val="000000"/>
                <w:szCs w:val="21"/>
              </w:rPr>
              <w:t xml:space="preserve">天；试用不合格，需在24小时内响应并提交整改方案，15天内完成整改。</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验收资料：供应商提交完整验收资料，包括供货清单、产品合格证、授权文件、检测报告、施工记录、试运行报告、运维手册、使用手册等。</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验收方式：通过现场实测、功能演示、资料核查、抽检测试等方式开展验收；关键参数与核心功能逐项核验。</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整改机制：验收不合格项，供应商须在约定期限内完成整改并申请复检，整改产生的全部费用由供应商承担；逾期未整改按违约处理。</w:t>
            </w:r>
            <w:r>
              <w:rPr>
                <w:rFonts w:eastAsia="方正楷体_GBK"/>
                <w:color w:val="000000"/>
                <w:szCs w:val="21"/>
              </w:rPr>
            </w:r>
            <w:r/>
          </w:p>
          <w:p>
            <w:pPr>
              <w:pStyle w:val="716"/>
              <w:numPr>
                <w:ilvl w:val="0"/>
                <w:numId w:val="6"/>
              </w:numPr>
              <w:ind w:left="0" w:firstLine="420"/>
              <w:widowControl/>
              <w:tabs>
                <w:tab w:val="left" w:pos="720" w:leader="none"/>
              </w:tabs>
              <w:rPr>
                <w:rFonts w:eastAsia="方正楷体_GBK"/>
                <w:color w:val="000000"/>
                <w:szCs w:val="21"/>
              </w:rPr>
            </w:pPr>
            <w:r>
              <w:rPr>
                <w:rFonts w:eastAsia="方正楷体_GBK"/>
                <w:color w:val="000000"/>
                <w:szCs w:val="21"/>
              </w:rPr>
              <w:t xml:space="preserve">验收结论：全部货物、软件、配套服务均符合要求，资料齐全且试运行正常，由双方共同签署项目终验收合格证书。</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2</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服务要求</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widowControl/>
              <w:rPr>
                <w:rFonts w:eastAsia="方正楷体_GBK"/>
                <w:color w:val="000000"/>
                <w:szCs w:val="21"/>
              </w:rPr>
            </w:pPr>
            <w:r>
              <w:rPr>
                <w:rFonts w:eastAsia="方正楷体_GBK"/>
                <w:color w:val="000000"/>
                <w:szCs w:val="21"/>
              </w:rPr>
              <w:t xml:space="preserve">1.投标产品中软件部分终身免费升级维护。其他按有关规定执行（国际标准、国家标准、行业标准或企业标准）。</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2.所购全部硬件设备质保期</w:t>
            </w:r>
            <w:r>
              <w:rPr>
                <w:rFonts w:hint="eastAsia" w:eastAsia="方正楷体_GBK"/>
                <w:color w:val="000000"/>
                <w:szCs w:val="21"/>
              </w:rPr>
              <w:t xml:space="preserve">5</w:t>
            </w:r>
            <w:r>
              <w:rPr>
                <w:rFonts w:eastAsia="方正楷体_GBK"/>
                <w:color w:val="000000"/>
                <w:szCs w:val="21"/>
              </w:rPr>
              <w:t xml:space="preserve">年，产品符合国家或行业标准相关要求。</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3.产品使用中，接到招标人电话通知后，在一小时内提供技术指导或远程维护，如招标人需要在接到招标人通知5小时（省外单位8小时）内派出技术人员到达用户现场进行相关服务。</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4.安装、调试、培训要求：项目实施阶段安排专业技术人员现场实施，中标人对招标人进行现场至少两次免费使用培训。验收合格后进行一次使用、简单维护、维修培训，确保招标人了解全套设备使用、维护方法和进行简单的维修操作。使用1-2月后，中标人再提供一次培训。</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5.中标人在本项目“实验室综合环境建设”子项（质保期3年）验收前需提交竣工图（含CAD格式电子档）、隐蔽工程验收记录及图片、质量验收资料等（包括但不限于施工现场质量管理检查记录、工程材料质量记录、施工过程作业活动质量记录资料），且符合《建设工程文件归档整理规范》及相关规定。</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3</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付款方式</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widowControl/>
              <w:rPr>
                <w:rFonts w:eastAsia="方正楷体_GBK"/>
                <w:color w:val="000000"/>
                <w:szCs w:val="21"/>
              </w:rPr>
            </w:pPr>
            <w:r>
              <w:rPr>
                <w:rFonts w:eastAsia="方正楷体_GBK"/>
                <w:color w:val="000000"/>
                <w:szCs w:val="21"/>
              </w:rPr>
              <w:t xml:space="preserve">1.阶段付款</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预付款：合同签订生效且乙方提交增值税专用发票后，甲方向乙方支付合同总价的10%。</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阶段进度款：货物清单第1-10项、第15-23项全部供货安装调试完成，通过第一阶段验收且乙方提交增值税专用发票后，甲方向乙方支付合同总价的50%。</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最终验收款：项目全部货物、系统、环境建设实施完成，通过最终验收并经过审计，再乙方提交增值税专用发票后</w:t>
            </w:r>
            <w:r>
              <w:rPr>
                <w:rFonts w:hint="eastAsia" w:eastAsia="方正楷体_GBK"/>
                <w:color w:val="000000"/>
                <w:szCs w:val="21"/>
              </w:rPr>
              <w:t xml:space="preserve">，</w:t>
            </w:r>
            <w:r>
              <w:rPr>
                <w:rFonts w:eastAsia="方正楷体_GBK"/>
                <w:color w:val="000000"/>
                <w:szCs w:val="21"/>
              </w:rPr>
              <w:t xml:space="preserve">甲方向乙方支付合同总价的 40%。</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每次付款前，乙方须提供符合甲方财务要求的正规增值税专用发票，否则甲方有权延</w:t>
            </w:r>
            <w:r>
              <w:rPr>
                <w:rFonts w:hint="eastAsia" w:eastAsia="方正楷体_GBK"/>
                <w:color w:val="000000"/>
                <w:szCs w:val="21"/>
              </w:rPr>
              <w:t xml:space="preserve">期</w:t>
            </w:r>
            <w:r>
              <w:rPr>
                <w:rFonts w:eastAsia="方正楷体_GBK"/>
                <w:color w:val="000000"/>
                <w:szCs w:val="21"/>
              </w:rPr>
              <w:t xml:space="preserve">付款，且不承担违约责任。 </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2.本项目履约保证金为项目合同金额的10%，供方的履约保证金须在中标通知书发出之日起至合同签订前汇入需方账户（账户名：江苏航运职业技术学院，开户行：中国建设银行南通经济技术开发区支行，账号：32001642336052515609，统一社会信用代码：123200004660042577，应当以现金、支票、汇票或者招标人认可的金融机构、担保机构出具的保函等形式提交），供方凭中标通知书与需方签订合同。由于供方原因造成超期未签订合同的，则视为自动放弃成交资格。</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3.供方安装调试完毕，全部履行合同义务，经需方验收合格无质量、进度等问题的。需方在</w:t>
            </w:r>
            <w:r>
              <w:rPr>
                <w:rFonts w:hint="eastAsia" w:eastAsia="方正楷体_GBK"/>
                <w:color w:val="000000"/>
                <w:szCs w:val="21"/>
              </w:rPr>
              <w:t xml:space="preserve">合同签订日起至</w:t>
            </w:r>
            <w:r>
              <w:rPr>
                <w:rFonts w:eastAsia="方正楷体_GBK"/>
                <w:color w:val="000000"/>
                <w:szCs w:val="21"/>
              </w:rPr>
              <w:t xml:space="preserve">硬件质保期满（3年）后退还履约保证金（保函除外）。</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4.发生以下情况的，履约保证金不予退还或部分退还：</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a.签订合同后，供方不履行合同义务的，需方有权全额扣除履约保证金，全额不予退还，同时需方亦有权终止合同，供方还需承担相应的法律赔偿责任。</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b.供方在履约过程中发生违约行为，给需方造成损失的，需方有权在供方缴纳的履约保证金中予以扣款，以弥补需方经济损失，不足的部分供方另外补齐。</w:t>
            </w:r>
            <w:r>
              <w:rPr>
                <w:rFonts w:eastAsia="方正楷体_GBK"/>
                <w:color w:val="000000"/>
                <w:szCs w:val="21"/>
              </w:rPr>
            </w:r>
            <w:r/>
          </w:p>
          <w:p>
            <w:pPr>
              <w:pStyle w:val="716"/>
              <w:ind w:firstLine="420"/>
              <w:widowControl/>
              <w:rPr>
                <w:rFonts w:eastAsia="方正楷体_GBK"/>
                <w:color w:val="000000"/>
                <w:szCs w:val="21"/>
              </w:rPr>
            </w:pPr>
            <w:r>
              <w:rPr>
                <w:rFonts w:eastAsia="方正楷体_GBK"/>
                <w:color w:val="000000"/>
                <w:szCs w:val="21"/>
              </w:rPr>
              <w:t xml:space="preserve">c.因供方违约应向需方支付违约金或承担损失超过履约保函额度，或者提供履约保函的担保人未在30日内完成相关款项支付的，供方负有先行垫付义务，且需方保留扣除供方合同款、向供方追偿不予支付超过保函额度以外的款项的权利。</w:t>
            </w:r>
            <w:r>
              <w:rPr>
                <w:rFonts w:eastAsia="方正楷体_GBK"/>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pStyle w:val="716"/>
              <w:jc w:val="center"/>
              <w:rPr>
                <w:rFonts w:eastAsia="方正楷体_GBK"/>
                <w:color w:val="000000"/>
                <w:szCs w:val="21"/>
                <w:lang w:bidi="ar"/>
              </w:rPr>
            </w:pPr>
            <w:r>
              <w:rPr>
                <w:rFonts w:eastAsia="方正楷体_GBK"/>
                <w:color w:val="000000"/>
                <w:szCs w:val="21"/>
                <w:lang w:bidi="ar"/>
              </w:rPr>
              <w:t xml:space="preserve">4</w:t>
            </w:r>
            <w:r>
              <w:rPr>
                <w:rFonts w:eastAsia="方正楷体_GBK"/>
                <w:color w:val="000000"/>
                <w:szCs w:val="21"/>
                <w:lang w:bidi="ar"/>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其他要求</w:t>
            </w:r>
            <w:r>
              <w:rPr>
                <w:rFonts w:eastAsia="方正楷体_GBK"/>
                <w:color w:val="000000"/>
                <w:szCs w:val="21"/>
              </w:rPr>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pStyle w:val="716"/>
              <w:ind w:firstLine="420"/>
              <w:widowControl/>
              <w:rPr>
                <w:rFonts w:eastAsia="方正楷体_GBK"/>
                <w:color w:val="000000"/>
                <w:szCs w:val="21"/>
              </w:rPr>
            </w:pPr>
            <w:r>
              <w:rPr>
                <w:rFonts w:eastAsia="方正楷体_GBK"/>
                <w:color w:val="000000"/>
                <w:szCs w:val="21"/>
              </w:rPr>
              <w:t xml:space="preserve">中标后签订合同前，中标人须提供己方盖章后的正版软件授权承诺函。</w:t>
            </w:r>
            <w:r>
              <w:rPr>
                <w:rFonts w:eastAsia="方正楷体_GBK"/>
                <w:color w:val="000000"/>
                <w:szCs w:val="21"/>
              </w:rPr>
            </w:r>
            <w:r/>
          </w:p>
        </w:tc>
      </w:tr>
    </w:tbl>
    <w:p>
      <w:pPr>
        <w:pStyle w:val="716"/>
        <w:rPr>
          <w:rFonts w:hint="eastAsia" w:eastAsia="方正仿宋_GBK"/>
          <w:b/>
          <w:color w:val="000000"/>
          <w:sz w:val="28"/>
          <w:szCs w:val="28"/>
        </w:rPr>
      </w:pPr>
      <w:r>
        <w:rPr>
          <w:rFonts w:hint="eastAsia" w:eastAsia="方正仿宋_GBK"/>
          <w:b/>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七 履约保证金</w:t>
      </w:r>
      <w:r>
        <w:rPr>
          <w:rFonts w:eastAsia="方正仿宋_GBK"/>
          <w:b/>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（一）保证金提交</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w:t>
      </w:r>
      <w:r>
        <w:rPr>
          <w:rFonts w:eastAsia="方正仿宋_GBK"/>
          <w:color w:val="000000"/>
          <w:sz w:val="28"/>
          <w:szCs w:val="28"/>
        </w:rPr>
        <w:t xml:space="preserve">本项目成交后的履约保证金为项目成交价的10%，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2.账户信息</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开户名：江苏航运职业技术学院</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开户行：中国建设银行南通经济技术开发区支行</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账 号：32001642336052515609</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（二） 保证金退还</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乙方全部履行合同义务，项目经甲方最终验收合格，且硬件设备三年质保期满无质量问题、无未解决的违约纠纷后，</w:t>
      </w:r>
      <w:r>
        <w:rPr>
          <w:rFonts w:eastAsia="方正仿宋_GBK"/>
          <w:color w:val="000000"/>
          <w:sz w:val="28"/>
          <w:szCs w:val="28"/>
        </w:rPr>
        <w:t xml:space="preserve">甲方在合同签订日起至硬件质保期满（3年）后</w:t>
      </w:r>
      <w:r>
        <w:rPr>
          <w:rFonts w:eastAsia="方正仿宋_GBK"/>
          <w:bCs/>
          <w:color w:val="000000"/>
          <w:sz w:val="28"/>
          <w:szCs w:val="28"/>
        </w:rPr>
        <w:t xml:space="preserve">将履约保证金无息退还乙方。</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（三） 保证金扣除</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发生以下情形之一的，甲方有权全额或部分扣除履约保证金；若履约保证金不足以弥补甲方损失的，乙方还应承担差额赔偿责任：</w:t>
      </w:r>
      <w:r>
        <w:rPr>
          <w:rFonts w:eastAsia="方正仿宋_GBK"/>
          <w:bCs/>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（四） 保证金减免</w:t>
      </w:r>
      <w:r>
        <w:rPr>
          <w:rFonts w:eastAsia="方正仿宋_GBK"/>
          <w:color w:val="000000"/>
          <w:sz w:val="28"/>
          <w:szCs w:val="28"/>
        </w:rPr>
      </w:r>
      <w:r/>
    </w:p>
    <w:p>
      <w:pPr>
        <w:pStyle w:val="716"/>
        <w:ind w:firstLine="562"/>
        <w:rPr>
          <w:rFonts w:eastAsia="方正仿宋_GBK"/>
          <w:b/>
          <w:bCs/>
          <w:color w:val="000000"/>
          <w:sz w:val="28"/>
          <w:szCs w:val="28"/>
        </w:rPr>
      </w:pPr>
      <w:r>
        <w:rPr>
          <w:rFonts w:eastAsia="方正仿宋_GBK"/>
          <w:b/>
          <w:bCs/>
          <w:color w:val="000000"/>
          <w:sz w:val="28"/>
          <w:szCs w:val="28"/>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eastAsia="方正仿宋_GBK"/>
          <w:b/>
          <w:bCs/>
          <w:color w:val="000000"/>
          <w:sz w:val="28"/>
          <w:szCs w:val="28"/>
        </w:rPr>
        <w:fldChar w:fldCharType="begin"/>
      </w:r>
      <w:r>
        <w:rPr>
          <w:rFonts w:eastAsia="方正仿宋_GBK"/>
          <w:b/>
          <w:bCs/>
          <w:color w:val="000000"/>
          <w:sz w:val="28"/>
          <w:szCs w:val="28"/>
        </w:rPr>
        <w:instrText xml:space="preserve"> HYPERLINK "http://ggzyjy.nantong.gov.cn/NTdzbhweb/supermarket/" </w:instrText>
      </w:r>
      <w:r>
        <w:rPr>
          <w:rFonts w:eastAsia="方正仿宋_GBK"/>
          <w:b/>
          <w:bCs/>
          <w:color w:val="000000"/>
          <w:sz w:val="28"/>
          <w:szCs w:val="28"/>
        </w:rPr>
        <w:fldChar w:fldCharType="separate"/>
      </w:r>
      <w:r>
        <w:rPr>
          <w:rFonts w:eastAsia="方正仿宋_GBK"/>
          <w:b/>
          <w:bCs/>
          <w:color w:val="000000"/>
          <w:sz w:val="28"/>
          <w:szCs w:val="28"/>
        </w:rPr>
        <w:t xml:space="preserve">http://ggzyjy.nantong.gov.cn/NTdzbhweb/supermarket/</w:t>
      </w:r>
      <w:r>
        <w:rPr>
          <w:rFonts w:eastAsia="方正仿宋_GBK"/>
          <w:b/>
          <w:bCs/>
          <w:color w:val="000000"/>
          <w:sz w:val="28"/>
          <w:szCs w:val="28"/>
        </w:rPr>
        <w:fldChar w:fldCharType="end"/>
      </w:r>
      <w:r>
        <w:rPr>
          <w:rFonts w:eastAsia="方正仿宋_GBK"/>
          <w:b/>
          <w:bCs/>
          <w:color w:val="000000"/>
          <w:sz w:val="28"/>
          <w:szCs w:val="28"/>
        </w:rPr>
        <w:t xml:space="preserve">）“履约保证保险”模块在线申请履约保证保险投保。</w:t>
      </w:r>
      <w:r>
        <w:rPr>
          <w:rFonts w:eastAsia="方正仿宋_GBK"/>
          <w:b/>
          <w:bCs/>
          <w:color w:val="000000"/>
          <w:sz w:val="28"/>
          <w:szCs w:val="28"/>
        </w:rPr>
      </w:r>
      <w:r/>
    </w:p>
    <w:p>
      <w:pPr>
        <w:pStyle w:val="716"/>
        <w:ind w:firstLine="562"/>
        <w:rPr>
          <w:rFonts w:eastAsia="方正仿宋_GBK"/>
          <w:b/>
          <w:bCs/>
          <w:color w:val="000000"/>
          <w:sz w:val="28"/>
          <w:szCs w:val="28"/>
        </w:rPr>
      </w:pPr>
      <w:r>
        <w:rPr>
          <w:rFonts w:eastAsia="方正仿宋_GBK"/>
          <w:b/>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八 供货</w:t>
      </w:r>
      <w:r>
        <w:rPr>
          <w:rFonts w:eastAsia="方正仿宋_GBK"/>
          <w:b/>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（一） 包装与运输</w:t>
      </w:r>
      <w:r>
        <w:rPr>
          <w:rFonts w:eastAsia="方正仿宋_GBK"/>
          <w:bCs/>
          <w:color w:val="000000"/>
          <w:sz w:val="28"/>
          <w:szCs w:val="28"/>
        </w:rPr>
      </w:r>
      <w:r/>
    </w:p>
    <w:p>
      <w:pPr>
        <w:pStyle w:val="716"/>
        <w:numPr>
          <w:ilvl w:val="0"/>
          <w:numId w:val="7"/>
        </w:numPr>
        <w:tabs>
          <w:tab w:val="left" w:pos="720" w:leader="none"/>
        </w:tabs>
        <w:rPr>
          <w:rFonts w:eastAsia="方正仿宋_GBK"/>
          <w:bCs/>
          <w:color w:val="000000"/>
          <w:sz w:val="28"/>
          <w:szCs w:val="28"/>
        </w:rPr>
      </w:pPr>
      <w:r>
        <w:rPr>
          <w:rFonts w:eastAsia="方正仿宋_GBK"/>
          <w:bCs/>
          <w:color w:val="000000"/>
          <w:sz w:val="28"/>
          <w:szCs w:val="28"/>
        </w:rPr>
        <w:t xml:space="preserve">乙方应采用国家标准防护包装，具备防潮、防震、防锈、防碰撞功能，适合长途运输与装卸。</w:t>
      </w:r>
      <w:r>
        <w:rPr>
          <w:rFonts w:eastAsia="方正仿宋_GBK"/>
          <w:bCs/>
          <w:color w:val="000000"/>
          <w:sz w:val="28"/>
          <w:szCs w:val="28"/>
        </w:rPr>
      </w:r>
      <w:r/>
    </w:p>
    <w:p>
      <w:pPr>
        <w:pStyle w:val="716"/>
        <w:numPr>
          <w:ilvl w:val="0"/>
          <w:numId w:val="7"/>
        </w:numPr>
        <w:tabs>
          <w:tab w:val="left" w:pos="720" w:leader="none"/>
        </w:tabs>
        <w:rPr>
          <w:rFonts w:eastAsia="方正仿宋_GBK"/>
          <w:bCs/>
          <w:color w:val="000000"/>
          <w:sz w:val="28"/>
          <w:szCs w:val="28"/>
        </w:rPr>
      </w:pPr>
      <w:r>
        <w:rPr>
          <w:rFonts w:eastAsia="方正仿宋_GBK"/>
          <w:bCs/>
          <w:color w:val="000000"/>
          <w:sz w:val="28"/>
          <w:szCs w:val="28"/>
        </w:rPr>
        <w:t xml:space="preserve">乙方负责全程运输，承担运输途中的全部风险与费用，货物送达现场前的损毁、灭失风险由乙方承担。</w:t>
      </w:r>
      <w:r>
        <w:rPr>
          <w:rFonts w:eastAsia="方正仿宋_GBK"/>
          <w:bCs/>
          <w:color w:val="000000"/>
          <w:sz w:val="28"/>
          <w:szCs w:val="28"/>
        </w:rPr>
      </w:r>
      <w:r/>
    </w:p>
    <w:p>
      <w:pPr>
        <w:pStyle w:val="716"/>
        <w:numPr>
          <w:ilvl w:val="0"/>
          <w:numId w:val="7"/>
        </w:numPr>
        <w:tabs>
          <w:tab w:val="left" w:pos="720" w:leader="none"/>
        </w:tabs>
        <w:rPr>
          <w:rFonts w:eastAsia="方正仿宋_GBK"/>
          <w:bCs/>
          <w:color w:val="000000"/>
          <w:sz w:val="28"/>
          <w:szCs w:val="28"/>
        </w:rPr>
      </w:pPr>
      <w:r>
        <w:rPr>
          <w:rFonts w:eastAsia="方正仿宋_GBK"/>
          <w:bCs/>
          <w:color w:val="000000"/>
          <w:sz w:val="28"/>
          <w:szCs w:val="28"/>
        </w:rPr>
        <w:t xml:space="preserve">货物包装外须标注产品名称、型号、数量、重量、收发单位等信息，易碎、防潮部位标注醒目标识。</w:t>
      </w:r>
      <w:r>
        <w:rPr>
          <w:rFonts w:eastAsia="方正仿宋_GBK"/>
          <w:bCs/>
          <w:color w:val="000000"/>
          <w:sz w:val="28"/>
          <w:szCs w:val="28"/>
        </w:rPr>
      </w:r>
      <w:r/>
    </w:p>
    <w:p>
      <w:pPr>
        <w:pStyle w:val="716"/>
        <w:ind w:left="360"/>
        <w:rPr>
          <w:rFonts w:hint="eastAsia" w:eastAsia="方正仿宋_GBK"/>
          <w:bCs/>
          <w:color w:val="000000"/>
          <w:sz w:val="28"/>
          <w:szCs w:val="28"/>
        </w:rPr>
      </w:pPr>
      <w:r>
        <w:rPr>
          <w:rFonts w:hint="eastAsia"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（二） 安装与调试</w:t>
      </w:r>
      <w:r>
        <w:rPr>
          <w:rFonts w:eastAsia="方正仿宋_GBK"/>
          <w:bCs/>
          <w:color w:val="000000"/>
          <w:sz w:val="28"/>
          <w:szCs w:val="28"/>
        </w:rPr>
      </w:r>
      <w:r/>
    </w:p>
    <w:p>
      <w:pPr>
        <w:pStyle w:val="716"/>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乙方负责全部货物的卸货、搬运、安装、布线、调试、集成等全部工作，费用包含在合同总价内。</w:t>
      </w:r>
      <w:r>
        <w:rPr>
          <w:rFonts w:eastAsia="方正仿宋_GBK"/>
          <w:bCs/>
          <w:color w:val="000000"/>
          <w:sz w:val="28"/>
          <w:szCs w:val="28"/>
        </w:rPr>
      </w:r>
      <w:r/>
    </w:p>
    <w:p>
      <w:pPr>
        <w:pStyle w:val="716"/>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所有线缆须通过隐蔽线槽收纳，布线规整，符合用电安全规范，保持教学环境整洁美观。</w:t>
      </w:r>
      <w:r>
        <w:rPr>
          <w:rFonts w:eastAsia="方正仿宋_GBK"/>
          <w:bCs/>
          <w:color w:val="000000"/>
          <w:sz w:val="28"/>
          <w:szCs w:val="28"/>
        </w:rPr>
      </w:r>
      <w:r/>
    </w:p>
    <w:p>
      <w:pPr>
        <w:pStyle w:val="716"/>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施工过程中乙方须遵守甲方校园管理、安全施工、消防安全等规定，配备专职安全员，采取安全防护措施，承担施工期间全部安全责任；若因乙方原因造成人员伤亡、财产损失，由乙方全额承担。</w:t>
      </w:r>
      <w:r>
        <w:rPr>
          <w:rFonts w:eastAsia="方正仿宋_GBK"/>
          <w:bCs/>
          <w:color w:val="000000"/>
          <w:sz w:val="28"/>
          <w:szCs w:val="28"/>
        </w:rPr>
      </w:r>
      <w:r/>
    </w:p>
    <w:p>
      <w:pPr>
        <w:pStyle w:val="716"/>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实验室综合环境建设隐蔽工程施工前，乙方须提前24小时通知甲方现场验收，验收合格后方可进行下一道工序。</w:t>
      </w:r>
      <w:r>
        <w:rPr>
          <w:rFonts w:eastAsia="方正仿宋_GBK"/>
          <w:bCs/>
          <w:color w:val="000000"/>
          <w:sz w:val="28"/>
          <w:szCs w:val="28"/>
        </w:rPr>
      </w:r>
      <w:r/>
    </w:p>
    <w:p>
      <w:pPr>
        <w:pStyle w:val="716"/>
        <w:numPr>
          <w:ilvl w:val="0"/>
          <w:numId w:val="8"/>
        </w:numPr>
        <w:tabs>
          <w:tab w:val="left" w:pos="720" w:leader="none"/>
        </w:tabs>
        <w:rPr>
          <w:rFonts w:eastAsia="方正仿宋_GBK"/>
          <w:bCs/>
          <w:color w:val="000000"/>
          <w:sz w:val="28"/>
          <w:szCs w:val="28"/>
        </w:rPr>
      </w:pPr>
      <w:r>
        <w:rPr>
          <w:rFonts w:eastAsia="方正仿宋_GBK"/>
          <w:bCs/>
          <w:color w:val="000000"/>
          <w:sz w:val="28"/>
          <w:szCs w:val="28"/>
        </w:rPr>
        <w:t xml:space="preserve">安装完成后，乙方须对设备进行全面清洁，清理施工垃圾，恢复场地原貌。</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九 验收</w:t>
      </w:r>
      <w:r>
        <w:rPr>
          <w:rFonts w:eastAsia="方正仿宋_GBK"/>
          <w:b/>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（一） 验收依据</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1.本合同第四部分《供货清单》和第五部分《技术要求》、乙方投标文件、中标通知书；</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2.国家及行业相关质量标准、技术规范、施工验收规范；</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3.产品原厂技术标准、合格证、说明书等资料。</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（二） 验收安排</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1.阶段验收：货物清单第1-10项、第15-23项于合同签订后75天</w:t>
      </w:r>
      <w:r>
        <w:rPr>
          <w:rFonts w:hint="eastAsia" w:eastAsia="方正仿宋_GBK"/>
          <w:bCs/>
          <w:color w:val="000000"/>
          <w:sz w:val="28"/>
          <w:szCs w:val="28"/>
        </w:rPr>
        <w:t xml:space="preserve">（含假期）</w:t>
      </w:r>
      <w:r>
        <w:rPr>
          <w:rFonts w:eastAsia="方正仿宋_GBK"/>
          <w:bCs/>
          <w:color w:val="000000"/>
          <w:sz w:val="28"/>
          <w:szCs w:val="28"/>
        </w:rPr>
        <w:t xml:space="preserve">内完成供货安装调试</w:t>
      </w:r>
      <w:r>
        <w:rPr>
          <w:rFonts w:hint="eastAsia" w:eastAsia="方正仿宋_GBK"/>
          <w:bCs/>
          <w:color w:val="000000"/>
          <w:sz w:val="28"/>
          <w:szCs w:val="28"/>
        </w:rPr>
        <w:t xml:space="preserve">（包括线上与本地部署）</w:t>
      </w:r>
      <w:r>
        <w:rPr>
          <w:rFonts w:eastAsia="方正仿宋_GBK"/>
          <w:bCs/>
          <w:color w:val="000000"/>
          <w:sz w:val="28"/>
          <w:szCs w:val="28"/>
        </w:rPr>
        <w:t xml:space="preserve">，乙方提交验收申请后甲方在5个工作日内组织试运行，试运行</w:t>
      </w:r>
      <w:r>
        <w:rPr>
          <w:rFonts w:hint="eastAsia" w:eastAsia="方正仿宋_GBK"/>
          <w:bCs/>
          <w:color w:val="000000"/>
          <w:sz w:val="28"/>
          <w:szCs w:val="28"/>
        </w:rPr>
        <w:t xml:space="preserve">5</w:t>
      </w:r>
      <w:r>
        <w:rPr>
          <w:rFonts w:eastAsia="方正仿宋_GBK"/>
          <w:bCs/>
          <w:color w:val="000000"/>
          <w:sz w:val="28"/>
          <w:szCs w:val="28"/>
        </w:rPr>
        <w:t xml:space="preserve">天内无问题可组织验收。</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2.最终验收：货物清单第11-14项于合同签订后</w:t>
      </w:r>
      <w:r>
        <w:rPr>
          <w:rFonts w:hint="eastAsia" w:eastAsia="方正仿宋_GBK"/>
          <w:bCs/>
          <w:color w:val="000000"/>
          <w:sz w:val="28"/>
          <w:szCs w:val="28"/>
        </w:rPr>
        <w:t xml:space="preserve">90</w:t>
      </w:r>
      <w:r>
        <w:rPr>
          <w:rFonts w:eastAsia="方正仿宋_GBK"/>
          <w:bCs/>
          <w:color w:val="000000"/>
          <w:sz w:val="28"/>
          <w:szCs w:val="28"/>
        </w:rPr>
        <w:t xml:space="preserve">天</w:t>
      </w:r>
      <w:r>
        <w:rPr>
          <w:rFonts w:hint="eastAsia" w:eastAsia="方正仿宋_GBK"/>
          <w:bCs/>
          <w:color w:val="000000"/>
          <w:sz w:val="28"/>
          <w:szCs w:val="28"/>
        </w:rPr>
        <w:t xml:space="preserve">（含假期）</w:t>
      </w:r>
      <w:r>
        <w:rPr>
          <w:rFonts w:eastAsia="方正仿宋_GBK"/>
          <w:bCs/>
          <w:color w:val="000000"/>
          <w:sz w:val="28"/>
          <w:szCs w:val="28"/>
        </w:rPr>
        <w:t xml:space="preserve">内完成供货安装调试</w:t>
      </w:r>
      <w:r>
        <w:rPr>
          <w:rFonts w:hint="eastAsia" w:eastAsia="方正仿宋_GBK"/>
          <w:bCs/>
          <w:color w:val="000000"/>
          <w:sz w:val="28"/>
          <w:szCs w:val="28"/>
        </w:rPr>
        <w:t xml:space="preserve">（包括线上与本地部署）</w:t>
      </w:r>
      <w:r>
        <w:rPr>
          <w:rFonts w:eastAsia="方正仿宋_GBK"/>
          <w:bCs/>
          <w:color w:val="000000"/>
          <w:sz w:val="28"/>
          <w:szCs w:val="28"/>
        </w:rPr>
        <w:t xml:space="preserve">，乙方提交书面验收申请，甲方在5个工作日内组织试运行，试运行</w:t>
      </w:r>
      <w:r>
        <w:rPr>
          <w:rFonts w:hint="eastAsia" w:eastAsia="方正仿宋_GBK"/>
          <w:bCs/>
          <w:color w:val="000000"/>
          <w:sz w:val="28"/>
          <w:szCs w:val="28"/>
        </w:rPr>
        <w:t xml:space="preserve">5</w:t>
      </w:r>
      <w:r>
        <w:rPr>
          <w:rFonts w:eastAsia="方正仿宋_GBK"/>
          <w:bCs/>
          <w:color w:val="000000"/>
          <w:sz w:val="28"/>
          <w:szCs w:val="28"/>
        </w:rPr>
        <w:t xml:space="preserve">天内无问题可组织验收。全部货物、系统、环境建设实施完成，所有试运行期运行合格，乙方提交完整验收资料后，甲方组织最终验收。</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（三） 硬件设备验收标准</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1.外观与资质：所有设备为全新原厂正品，外观无破损、划痕、变形，附带原厂产品合格证、防伪标识；进口设备提供合法合规的报关与商检凭证。</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2.参数符合性：核心硬件配置（处理器、内存、显卡、屏幕参数、核心元器件等）与投标响应完全一致，抽检设备参数检测合格率 100%。</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3.功能与性能：通电运行稳定，基础功能与专项功能全部正常，满足对应教学实训场景性能要求，无卡顿、死机、异响、漏液等异常问题。</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4.兼容适配性：与项目内其他软硬件设备互联互通，适配甲方现有教室供电、网络、布线环境，无驱动冲突、接口不匹配等问题。</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5.安装与布线：设备安装牢固合规，线缆隐蔽收纳、规整有序，符合用电安全与教学场景整洁要求。</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（四） 软件系统验收标准</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1.部署验收：完成本地终端私有化部署与校园网在线访问双环境搭建，全部授权节点激活正常，无授权数量不足、功能限制等问题。</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2.功能符合性：软件参数全部满足招标要求；实训工艺流程、模型结构、专业内容无知识性错误，符合船舶行业规范与船级社标准。</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3.性能指标：满足约定并发数同时在线实训，三维模型加载速度、交互响应延迟达标；连续72小时满负荷运行无闪退、崩溃、数据丢失等异常。</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4.管理与安全：管理员、教师、学员三级用户权限体系运行正常，成绩统计、数据备份、操作日志功能有效；教学数据加密存储，符合校园网络安全管理要求。</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5.文档交付：每套软件同步交付纸质版+可检索电子版官方使用手册</w:t>
      </w:r>
      <w:r>
        <w:rPr>
          <w:rFonts w:hint="eastAsia" w:eastAsia="方正仿宋_GBK"/>
          <w:bCs/>
          <w:color w:val="000000"/>
          <w:sz w:val="28"/>
          <w:szCs w:val="28"/>
        </w:rPr>
        <w:t xml:space="preserve">等</w:t>
      </w:r>
      <w:r>
        <w:rPr>
          <w:rFonts w:eastAsia="方正仿宋_GBK"/>
          <w:bCs/>
          <w:color w:val="000000"/>
          <w:sz w:val="28"/>
          <w:szCs w:val="28"/>
        </w:rPr>
        <w:t xml:space="preserve">，覆盖系统部署、账号管理、功能操作、教学应用、运维排查等全部内容。</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（五） 实训模型与环境建设验收标准</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1.外观工艺：模型制作精细、涂装均匀无脱落，沙盘、展台结构稳固；环境施工平整美观，与设计方案效果一致，无施工瑕疵。</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2.规格准确性：整体尺寸、缩比比例、关键结构完全符合招标要求，与真实船型/海工平台标准构型一致，无结构错位、比例失真问题。</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3.内容合规性：模型结构、标识标注、配套教学资源无知识性错误；实物模型与对应软件模型形成虚实对应，满足双轨教学要求。</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4.配套功能：标识牌、教学展板、二维码教学资源齐全，内容准确可正常访问；灯光系统、集控系统、展示终端等配套设备功能全部正常。</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5.施工资料：提交竣工图（含CAD电子档）、隐蔽工程验收记录及图片、质量验收资料等，符合《建设工程文件归档整理规范》及相关规定。</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（六） 验收整改</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1.验收不合格项，乙方须在24小时内响应并提交书面整改方案，</w:t>
      </w:r>
      <w:r>
        <w:rPr>
          <w:rFonts w:hint="eastAsia" w:eastAsia="方正仿宋_GBK"/>
          <w:bCs/>
          <w:color w:val="000000"/>
          <w:sz w:val="28"/>
          <w:szCs w:val="28"/>
        </w:rPr>
        <w:t xml:space="preserve">7</w:t>
      </w:r>
      <w:r>
        <w:rPr>
          <w:rFonts w:eastAsia="方正仿宋_GBK"/>
          <w:bCs/>
          <w:color w:val="000000"/>
          <w:sz w:val="28"/>
          <w:szCs w:val="28"/>
        </w:rPr>
        <w:t xml:space="preserve">天内完成整改并申请复检，整改产生的全部费用由乙方承担；</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2.逾期未整改或整改后仍不合格的，按乙方违约处理，甲方有权扣除相应履约保证金，直至解除合同。</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十 质量保证与售后服务</w:t>
      </w:r>
      <w:r>
        <w:rPr>
          <w:rFonts w:eastAsia="方正仿宋_GBK"/>
          <w:b/>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（一） 质量保证期</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1.硬件设备：整体质量保证期为</w:t>
      </w:r>
      <w:r>
        <w:rPr>
          <w:rFonts w:hint="eastAsia" w:eastAsia="方正仿宋_GBK"/>
          <w:bCs/>
          <w:color w:val="000000"/>
          <w:sz w:val="28"/>
          <w:szCs w:val="28"/>
        </w:rPr>
        <w:t xml:space="preserve">5</w:t>
      </w:r>
      <w:r>
        <w:rPr>
          <w:rFonts w:eastAsia="方正仿宋_GBK"/>
          <w:bCs/>
          <w:color w:val="000000"/>
          <w:sz w:val="28"/>
          <w:szCs w:val="28"/>
        </w:rPr>
        <w:t xml:space="preserve">年，自项目最终验收合格之日起计算；质保期内硬件出现非人为损坏的故障，乙方免费维修、更换零配件与整机。</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2.软件系统：终身免费升级维护，自项目终验合格之日起，提供终身免费原厂维保服务，包括故障修复、漏洞修补、系统迭代、兼容适配等。</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3.数字化资源：自验收合格之日起，</w:t>
      </w:r>
      <w:r>
        <w:rPr>
          <w:rFonts w:hint="eastAsia" w:eastAsia="方正仿宋_GBK"/>
          <w:bCs/>
          <w:color w:val="000000"/>
          <w:sz w:val="28"/>
          <w:szCs w:val="28"/>
        </w:rPr>
        <w:t xml:space="preserve">5</w:t>
      </w:r>
      <w:r>
        <w:rPr>
          <w:rFonts w:eastAsia="方正仿宋_GBK"/>
          <w:bCs/>
          <w:color w:val="000000"/>
          <w:sz w:val="28"/>
          <w:szCs w:val="28"/>
        </w:rPr>
        <w:t xml:space="preserve">年内免费提供1次资源更新服务（更新数量≥4个，包含核心智能制造资源）；资源若出现知识性、工艺性、规范性错误，乙方提供永久免费修改保障。</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（二） 服务响应时效</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1.甲方提出服务需求后，乙方须在1小时内提供技术指导或远程维护。</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2.远程无法解决的，乙方须在5小时内（省外供应商8小时内）派遣技术人员到达甲方现场提供服务。</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3.一般故障24小时内解决，重大故障48小时内修复；无法及时修复的，乙方须提供备用设备保障教学正常开展。</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（三） 培训服务</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1.乙方为甲方提供至少两次免费技术培训，确保甲方教师、管理员能够熟练操作设备、使用软件系统、进行日常运维与简单故障排查。</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2.第一次培训：项目验收合格后，开展设备操作、软件使用、基础运维的现场培训。</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3.第二次培训：项目交付使用1-2个月后，结合甲方实际教学使用情况，开展进阶应用、教学资源开发、故障排查的提升培训。</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4.乙方须提供纸质培训教材、操作手册，培训方式为现场实操教学，培训人数由甲方指定。</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（四） 软件内容更新机制</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行业标准强制更新：因IMO、IACS、CCS等行业主管部门发布强制性新规、新标准、新规范，涉及船舶/海工装备或具体船型建造等内容的，乙方须在新规发布后3个月内免费完成软件内容更新并交付；本项免费更新基础期限为自终验合格之日起</w:t>
      </w:r>
      <w:r>
        <w:rPr>
          <w:rFonts w:hint="eastAsia" w:eastAsia="方正仿宋_GBK"/>
          <w:bCs/>
          <w:color w:val="000000"/>
          <w:sz w:val="28"/>
          <w:szCs w:val="28"/>
        </w:rPr>
        <w:t xml:space="preserve">5</w:t>
      </w:r>
      <w:r>
        <w:rPr>
          <w:rFonts w:eastAsia="方正仿宋_GBK"/>
          <w:bCs/>
          <w:color w:val="000000"/>
          <w:sz w:val="28"/>
          <w:szCs w:val="28"/>
        </w:rPr>
        <w:t xml:space="preserve"> 年。</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2.工艺迭代版本更新：适配行业技术发展、绿色造船、智能制造或具体船型主流工艺迭代，乙方承诺自终验合格之日起</w:t>
      </w:r>
      <w:r>
        <w:rPr>
          <w:rFonts w:hint="eastAsia" w:eastAsia="方正仿宋_GBK"/>
          <w:bCs/>
          <w:color w:val="000000"/>
          <w:sz w:val="28"/>
          <w:szCs w:val="28"/>
        </w:rPr>
        <w:t xml:space="preserve">5</w:t>
      </w:r>
      <w:r>
        <w:rPr>
          <w:rFonts w:eastAsia="方正仿宋_GBK"/>
          <w:bCs/>
          <w:color w:val="000000"/>
          <w:sz w:val="28"/>
          <w:szCs w:val="28"/>
        </w:rPr>
        <w:t xml:space="preserve">年内提供1次免费版本大更新，包含模型、场景、工艺流程、考核题库等；更新均在每年9月开学前完成交付，不影响甲方正常教学。</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3.教学适配优化更新：因甲方教材更新、实训大纲调整，乙方</w:t>
      </w:r>
      <w:r>
        <w:rPr>
          <w:rFonts w:hint="eastAsia" w:eastAsia="方正仿宋_GBK"/>
          <w:bCs/>
          <w:color w:val="000000"/>
          <w:sz w:val="28"/>
          <w:szCs w:val="28"/>
        </w:rPr>
        <w:t xml:space="preserve">5</w:t>
      </w:r>
      <w:r>
        <w:rPr>
          <w:rFonts w:eastAsia="方正仿宋_GBK"/>
          <w:bCs/>
          <w:color w:val="000000"/>
          <w:sz w:val="28"/>
          <w:szCs w:val="28"/>
        </w:rPr>
        <w:t xml:space="preserve">年内按甲方需求免费提供1次实训流程、考核模块、交互逻辑的优化调整；甲方提出需求后3个月内完成并交付，更新后提供更新说明、操作手册，经甲方测试无bug、符合行业规范、满足实训要求视为验收通过。</w:t>
      </w:r>
      <w:r>
        <w:rPr>
          <w:rFonts w:eastAsia="方正仿宋_GBK"/>
          <w:bCs/>
          <w:color w:val="000000"/>
          <w:sz w:val="28"/>
          <w:szCs w:val="28"/>
        </w:rPr>
        <w:br w:type="textWrapping" w:clear="all"/>
      </w:r>
      <w:r>
        <w:rPr>
          <w:rFonts w:eastAsia="方正仿宋_GBK"/>
          <w:bCs/>
          <w:color w:val="000000"/>
          <w:sz w:val="28"/>
          <w:szCs w:val="28"/>
        </w:rPr>
        <w:t xml:space="preserve">（五） 质保期满后优惠政策</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1.第</w:t>
      </w:r>
      <w:r>
        <w:rPr>
          <w:rFonts w:hint="eastAsia" w:eastAsia="方正仿宋_GBK"/>
          <w:bCs/>
          <w:color w:val="000000"/>
          <w:sz w:val="28"/>
          <w:szCs w:val="28"/>
        </w:rPr>
        <w:t xml:space="preserve">6</w:t>
      </w:r>
      <w:r>
        <w:rPr>
          <w:rFonts w:eastAsia="方正仿宋_GBK"/>
          <w:bCs/>
          <w:color w:val="000000"/>
          <w:sz w:val="28"/>
          <w:szCs w:val="28"/>
        </w:rPr>
        <w:t xml:space="preserve">年起，乙方每年提供的维保服务/内容更新费用，不高于本合同对应软件（货物7-15）标价的 5%；</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2.甲方如需新增定制化实训模块，乙方给予不低于7折的优惠价格，仅收取合理的人工与研发成本。</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ind w:firstLine="562"/>
        <w:rPr>
          <w:rFonts w:hint="eastAsia" w:eastAsia="方正仿宋_GBK"/>
          <w:b/>
          <w:color w:val="000000"/>
          <w:sz w:val="28"/>
          <w:szCs w:val="28"/>
        </w:rPr>
        <w:outlineLvl w:val="2"/>
      </w:pPr>
      <w:r>
        <w:rPr>
          <w:rFonts w:eastAsia="方正仿宋_GBK"/>
          <w:b/>
          <w:color w:val="000000"/>
          <w:sz w:val="28"/>
          <w:szCs w:val="28"/>
        </w:rPr>
        <w:t xml:space="preserve">十一 知识产权</w:t>
      </w:r>
      <w:r>
        <w:rPr>
          <w:rFonts w:hint="eastAsia" w:eastAsia="方正仿宋_GBK"/>
          <w:b/>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1.乙方保证所提供的货物、软件、数字化资源、技术服务等均拥有合法的知识产权或已获得充分授权，不存在任何侵权纠纷。</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2.若因乙方提供的产品或服务侵犯第三方知识产权引发纠纷，由乙方承担全部法律责任与经济赔偿，因此给甲方造成损失的，乙方应全额赔偿。</w:t>
      </w:r>
      <w:r>
        <w:rPr>
          <w:rFonts w:eastAsia="方正仿宋_GBK"/>
          <w:bCs/>
          <w:color w:val="000000"/>
          <w:sz w:val="28"/>
          <w:szCs w:val="28"/>
        </w:rPr>
      </w:r>
      <w:r/>
    </w:p>
    <w:p>
      <w:pPr>
        <w:pStyle w:val="716"/>
        <w:ind w:firstLine="560"/>
        <w:tabs>
          <w:tab w:val="left" w:pos="720" w:leader="none"/>
        </w:tabs>
        <w:rPr>
          <w:rFonts w:hint="eastAsia" w:eastAsia="方正仿宋_GBK"/>
          <w:bCs/>
          <w:color w:val="000000"/>
          <w:sz w:val="28"/>
          <w:szCs w:val="28"/>
        </w:rPr>
      </w:pPr>
      <w:r>
        <w:rPr>
          <w:rFonts w:eastAsia="方正仿宋_GBK"/>
          <w:bCs/>
          <w:color w:val="000000"/>
          <w:sz w:val="28"/>
          <w:szCs w:val="28"/>
        </w:rPr>
        <w:t xml:space="preserve">3.甲方有权在教学、科研、</w:t>
      </w:r>
      <w:r>
        <w:rPr>
          <w:rFonts w:hint="eastAsia" w:eastAsia="方正仿宋_GBK"/>
          <w:bCs/>
          <w:color w:val="000000"/>
          <w:sz w:val="28"/>
          <w:szCs w:val="28"/>
        </w:rPr>
        <w:t xml:space="preserve">培训、</w:t>
      </w:r>
      <w:r>
        <w:rPr>
          <w:rFonts w:eastAsia="方正仿宋_GBK"/>
          <w:bCs/>
          <w:color w:val="000000"/>
          <w:sz w:val="28"/>
          <w:szCs w:val="28"/>
        </w:rPr>
        <w:t xml:space="preserve">竞赛等场景下永久使用本项目全部软件、数字化资源，无需额外支付费用。</w:t>
      </w:r>
      <w:r>
        <w:rPr>
          <w:rFonts w:hint="eastAsia" w:eastAsia="方正仿宋_GBK"/>
          <w:bCs/>
          <w:color w:val="000000"/>
          <w:sz w:val="28"/>
          <w:szCs w:val="28"/>
        </w:rPr>
      </w:r>
      <w:r/>
    </w:p>
    <w:p>
      <w:pPr>
        <w:pStyle w:val="716"/>
        <w:rPr>
          <w:rFonts w:hint="eastAsia" w:eastAsia="方正仿宋_GBK"/>
          <w:bCs/>
          <w:color w:val="000000"/>
          <w:sz w:val="28"/>
          <w:szCs w:val="28"/>
        </w:rPr>
      </w:pPr>
      <w:r>
        <w:rPr>
          <w:rFonts w:hint="eastAsia"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十二 双方权利与义务</w:t>
      </w:r>
      <w:r>
        <w:rPr>
          <w:rFonts w:eastAsia="方正仿宋_GBK"/>
          <w:b/>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（一） 甲方权利与义务</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1.有权对项目进度、质量、安全进行全程监督检查，对不符合要求的内容提出整改要求。</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2.按合同约定及时支付合同款项。</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3.提供项目实施所需的场地、供电、网络接口等基础条件，协调校内相关部门配合乙方开展工作。</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4.指派专人作为项目联系人，负责日常沟通、协调与现场管理。</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5.按合同约定及时组织项目各阶段验收。</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（二） 乙方权利与义务</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1.按合同约定收取合同款项。</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2.严格按照合同约定的技术标准、质量要求、工期完成全部工作，确保项目质量符合国家规范与教学使用需求。</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3.建立项目管理团队，指派专职项目经理负责项目全程组织协调，定期向甲方汇报项目进度。</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4.遵守甲方校园管理、安全施工、消防安全、保密管理等相关规定，文明施工，及时清理施工垃圾。</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5.负责施工人员的安全管理与劳动保障，承担施工期间全部安全责任与人员用工责任。</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6.按合同约定提供培训、售后服务与技术支持，及时响应甲方服务需求。</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7.若为联合体投标，牵头人负责整体项目协调、款项收付与对接，联合体各方对合同全部义务承担连带责任。</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十三 违约责任</w:t>
      </w:r>
      <w:r>
        <w:rPr>
          <w:rFonts w:eastAsia="方正仿宋_GBK"/>
          <w:b/>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（一） 乙方逾期履约责任</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乙方未能按合同约定工期完成供货、安装、调试及验收的，超过3天的，每逾期1天，按合同总金额的0.5‰向甲方支付违约金；逾期超过15天的，甲方有权解除合同，乙方须退还甲方已支付的全部款项，并按合同总金额的10% 向甲方支付违约金，违约金不足以弥补甲方损失的，乙方还应赔偿差额部分。</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（二） 质量不合格责任</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1.乙方交付的货物、系统、工程质量不符合合同约定的，乙方须在甲方要求的期限内免费更换、整改，直至符合要求，由此造成的工期延误按逾期履约承担违约责任。</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2.经2次整改后仍不符合合同要求的，甲方有权拒收并解除合同，乙方须退还全部已付款项，并按合同总金额的20%向甲方支付违约金，承担由此给甲方造成的全部损失。</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（三） 服务违约责</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乙方未按合同约定提供售后服务、培训服务，或响应时效不达标，每次按合同总金额的0.2‰向甲方支付违约金；累计3次服务不达标，甲方有权扣除相应履约保证金，由此造成教学中断等损失的，乙方承担全部赔偿责任。</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（四） 甲方逾期付款责任</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甲方无正当理由逾期支付合同款项的，超过10天的，每逾期 1 天，按当期应付未付金额的0.5‰向乙方支付违约金；逾期付款违约金累计不超过合同总金额的5%。</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（五） 其他违约</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若乙方存在提供虚假材料谋取中标、与其他供应商串通投标、向甲方人员行贿等违法违规行为，一经查实，甲方有权取消其中标资格、解除合同，全额扣除履约保证金，乙方须赔偿甲方全部损失，并承担相应法律责任。</w:t>
      </w:r>
      <w:r>
        <w:rPr>
          <w:rFonts w:eastAsia="方正仿宋_GBK"/>
          <w:bCs/>
          <w:color w:val="000000"/>
          <w:sz w:val="28"/>
          <w:szCs w:val="28"/>
        </w:rPr>
      </w:r>
      <w:r/>
    </w:p>
    <w:p>
      <w:pPr>
        <w:pStyle w:val="716"/>
        <w:ind w:firstLine="560"/>
        <w:rPr>
          <w:rFonts w:hint="eastAsia" w:eastAsia="方正仿宋_GBK"/>
          <w:bCs/>
          <w:color w:val="000000"/>
          <w:sz w:val="28"/>
          <w:szCs w:val="28"/>
        </w:rPr>
      </w:pPr>
      <w:r>
        <w:rPr>
          <w:rFonts w:hint="eastAsia"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十四 不可抗力</w:t>
      </w:r>
      <w:r>
        <w:rPr>
          <w:rFonts w:eastAsia="方正仿宋_GBK"/>
          <w:b/>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1.不可抗力是指合同双方在签订合同时不能预见、对其发生和后果不能避免且不能克服的事件，包括但不限于地震、台风、洪水、火灾、战争、政府突发管制行为等。</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2.发生不可抗力事件后，受影响一方应立即以书面形式通知对方，并在7天内提供不可抗力详情及权威机构出具的有效证明文件，说明无法履行或部分无法履行、需延期履行的理由。</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3.双方应根据不可抗力对合同履行的影响程度，协商决定延期履行、部分履行或解除合同，互不承担违约责任。但受影响方应采取合理措施减少损失扩大，否则应对扩大的损失承担责任。</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十五 合同的变更、解除与终止</w:t>
      </w:r>
      <w:r>
        <w:rPr>
          <w:rFonts w:eastAsia="方正仿宋_GBK"/>
          <w:b/>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（一） 合同变更</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本合同的任何变更、补充，均须经双方协商一致，签订书面补充协议后方可生效；补充协议与本合同具有同等法律效力。</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（二） 合同解除</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1.双方协商一致，可以解除合同。</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2.一方严重违约，经催告后15天内仍未纠正的，另一方有权单方解除合同。</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3.发生不可抗力导致合同全部义务无法履行的，双方均可解除合同。</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（三） 合同终止</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1.合同全部义务履行完毕，质保期满且无未解决纠纷，合同自动终止。</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2.合同解除后，双方完成清算与交接，合同终止。</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十六 争议解决</w:t>
      </w:r>
      <w:r>
        <w:rPr>
          <w:rFonts w:eastAsia="方正仿宋_GBK"/>
          <w:b/>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1.本合同履行过程中发生的争议，双方应首先通过友好协商解决。</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2.协商不成的，任何一方均有权向甲方所在地有管辖权的人民法院提起诉讼。</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3.争议解决期间，除争议事项外，双方应继续履行合同其他条款。</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r>
      <w:r/>
    </w:p>
    <w:p>
      <w:pPr>
        <w:pStyle w:val="716"/>
        <w:ind w:firstLine="562"/>
        <w:rPr>
          <w:rFonts w:eastAsia="方正仿宋_GBK"/>
          <w:b/>
          <w:color w:val="000000"/>
          <w:sz w:val="28"/>
          <w:szCs w:val="28"/>
        </w:rPr>
        <w:outlineLvl w:val="2"/>
      </w:pPr>
      <w:r>
        <w:rPr>
          <w:rFonts w:eastAsia="方正仿宋_GBK"/>
          <w:b/>
          <w:color w:val="000000"/>
          <w:sz w:val="28"/>
          <w:szCs w:val="28"/>
        </w:rPr>
        <w:t xml:space="preserve">十七 其他约定</w:t>
      </w:r>
      <w:r>
        <w:rPr>
          <w:rFonts w:eastAsia="方正仿宋_GBK"/>
          <w:b/>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1.廉洁条款：双方均应遵守廉洁自律相关规定，不得向对方工作人员提供任何形式的回扣、礼品、宴请或其他不正当利益；若违反，违约方须承担相应法律责任与经济赔偿。</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2.本合同未尽事宜，由双方协商一致后签订补充协议，补充协议与本合同具有同等法律效力。</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3.本合同一式三份，甲方执一份，乙方执一份，采购代理机构留存一份，具有同等法律效力。</w:t>
      </w:r>
      <w:r>
        <w:rPr>
          <w:rFonts w:eastAsia="方正仿宋_GBK"/>
          <w:bCs/>
          <w:color w:val="000000"/>
          <w:sz w:val="28"/>
          <w:szCs w:val="28"/>
        </w:rPr>
      </w:r>
      <w:r/>
    </w:p>
    <w:p>
      <w:pPr>
        <w:pStyle w:val="716"/>
        <w:ind w:firstLine="560"/>
        <w:tabs>
          <w:tab w:val="left" w:pos="720" w:leader="none"/>
        </w:tabs>
        <w:rPr>
          <w:rFonts w:eastAsia="方正仿宋_GBK"/>
          <w:bCs/>
          <w:color w:val="000000"/>
          <w:sz w:val="28"/>
          <w:szCs w:val="28"/>
        </w:rPr>
      </w:pPr>
      <w:r>
        <w:rPr>
          <w:rFonts w:eastAsia="方正仿宋_GBK"/>
          <w:bCs/>
          <w:color w:val="000000"/>
          <w:sz w:val="28"/>
          <w:szCs w:val="28"/>
        </w:rPr>
        <w:t xml:space="preserve">4.本合同自双方法定代表人或授权代表签字并加盖公章之日起生效。</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rPr>
          <w:rFonts w:hint="eastAsia" w:eastAsia="方正仿宋_GBK"/>
          <w:bCs/>
          <w:color w:val="000000"/>
          <w:sz w:val="28"/>
          <w:szCs w:val="28"/>
        </w:rPr>
      </w:pPr>
      <w:r>
        <w:rPr>
          <w:rFonts w:hint="eastAsia"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甲方（盖章）：江苏航运职业技术学院</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法定代表人/授权代表（签字）：</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日期： 年 月 日</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乙方（盖章）：</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法定代表人/授权代表（签字）：</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日期： 年 月 日</w:t>
      </w:r>
      <w:r>
        <w:rPr>
          <w:rFonts w:eastAsia="方正仿宋_GBK"/>
          <w:bCs/>
          <w:color w:val="000000"/>
          <w:sz w:val="28"/>
          <w:szCs w:val="28"/>
        </w:rPr>
      </w:r>
      <w:r/>
    </w:p>
    <w:p>
      <w:pPr>
        <w:pStyle w:val="716"/>
        <w:rPr>
          <w:rFonts w:hint="eastAsia" w:eastAsia="方正仿宋_GBK"/>
          <w:bCs/>
          <w:color w:val="000000"/>
          <w:sz w:val="28"/>
          <w:szCs w:val="28"/>
        </w:rPr>
      </w:pPr>
      <w:r>
        <w:rPr>
          <w:rFonts w:hint="eastAsia"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联合体成员单位（盖章）：</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法定代表人/授权代表（签字）：</w:t>
      </w:r>
      <w:r>
        <w:rPr>
          <w:rFonts w:eastAsia="方正仿宋_GBK"/>
          <w:bCs/>
          <w:color w:val="000000"/>
          <w:sz w:val="28"/>
          <w:szCs w:val="28"/>
        </w:rPr>
      </w:r>
      <w:r/>
    </w:p>
    <w:p>
      <w:pPr>
        <w:pStyle w:val="716"/>
        <w:rPr>
          <w:rFonts w:eastAsia="方正仿宋_GBK"/>
          <w:bCs/>
          <w:color w:val="000000"/>
          <w:sz w:val="28"/>
          <w:szCs w:val="28"/>
        </w:rPr>
      </w:pPr>
      <w:r>
        <w:rPr>
          <w:rFonts w:eastAsia="方正仿宋_GBK"/>
          <w:bCs/>
          <w:color w:val="000000"/>
          <w:sz w:val="28"/>
          <w:szCs w:val="28"/>
        </w:rPr>
        <w:t xml:space="preserve">日期： 年 月 日</w:t>
      </w:r>
      <w:r>
        <w:rPr>
          <w:rFonts w:eastAsia="方正仿宋_GBK"/>
          <w:bCs/>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rPr>
          <w:rFonts w:eastAsia="方正仿宋_GBK"/>
          <w:b/>
          <w:color w:val="000000"/>
          <w:sz w:val="28"/>
          <w:szCs w:val="28"/>
        </w:rPr>
      </w:pPr>
      <w:r>
        <w:rPr>
          <w:rFonts w:eastAsia="方正仿宋_GBK"/>
          <w:b/>
          <w:color w:val="000000"/>
          <w:sz w:val="28"/>
          <w:szCs w:val="28"/>
        </w:rPr>
      </w:r>
      <w:r/>
    </w:p>
    <w:p>
      <w:pPr>
        <w:pStyle w:val="716"/>
        <w:jc w:val="center"/>
        <w:rPr>
          <w:rFonts w:eastAsia="方正仿宋_GBK"/>
          <w:b/>
          <w:color w:val="000000"/>
          <w:sz w:val="28"/>
          <w:szCs w:val="28"/>
        </w:rPr>
        <w:sectPr>
          <w:footnotePr/>
          <w:endnotePr/>
          <w:type w:val="nextPage"/>
          <w:pgSz w:w="11906" w:h="16838" w:orient="portrait"/>
          <w:pgMar w:top="1440" w:right="1797" w:bottom="1440" w:left="1797" w:header="851" w:footer="992" w:gutter="0"/>
          <w:cols w:num="1" w:sep="0" w:space="1701" w:equalWidth="1"/>
          <w:docGrid w:linePitch="360"/>
        </w:sectPr>
        <w:outlineLvl w:val="1"/>
      </w:pPr>
      <w:r>
        <w:rPr>
          <w:rFonts w:eastAsia="方正仿宋_GBK"/>
          <w:b/>
          <w:color w:val="000000"/>
          <w:sz w:val="28"/>
          <w:szCs w:val="28"/>
        </w:rPr>
      </w:r>
      <w:r/>
    </w:p>
    <w:p>
      <w:pPr>
        <w:pStyle w:val="716"/>
        <w:jc w:val="center"/>
        <w:rPr>
          <w:rFonts w:eastAsia="方正仿宋_GBK"/>
          <w:b/>
          <w:color w:val="000000"/>
          <w:sz w:val="28"/>
          <w:szCs w:val="28"/>
        </w:rPr>
        <w:outlineLvl w:val="1"/>
      </w:pPr>
      <w:r>
        <w:rPr>
          <w:rFonts w:eastAsia="方正仿宋_GBK"/>
          <w:b/>
          <w:color w:val="000000"/>
          <w:sz w:val="28"/>
          <w:szCs w:val="28"/>
        </w:rPr>
        <w:t xml:space="preserve">第五部分  开标和评标</w:t>
      </w:r>
      <w:r>
        <w:rPr>
          <w:rFonts w:eastAsia="方正仿宋_GBK"/>
          <w:b/>
          <w:color w:val="000000"/>
          <w:sz w:val="28"/>
          <w:szCs w:val="28"/>
        </w:rPr>
      </w:r>
      <w:r/>
    </w:p>
    <w:p>
      <w:pPr>
        <w:pStyle w:val="827"/>
        <w:ind w:left="0" w:right="0" w:firstLine="562"/>
        <w:jc w:val="left"/>
        <w:spacing w:before="0" w:after="0" w:line="240" w:lineRule="auto"/>
        <w:rPr>
          <w:rFonts w:ascii="Times New Roman" w:hAnsi="Times New Roman" w:eastAsia="方正仿宋_GBK"/>
          <w:b/>
          <w:color w:val="000000"/>
          <w:sz w:val="28"/>
          <w:szCs w:val="28"/>
        </w:rPr>
        <w:outlineLvl w:val="2"/>
      </w:pPr>
      <w:r>
        <w:rPr>
          <w:rFonts w:ascii="Times New Roman" w:hAnsi="Times New Roman" w:eastAsia="方正仿宋_GBK"/>
          <w:b/>
          <w:color w:val="000000"/>
          <w:sz w:val="28"/>
          <w:szCs w:val="28"/>
        </w:rPr>
        <w:t xml:space="preserve">一、开标</w:t>
      </w:r>
      <w:r>
        <w:rPr>
          <w:rFonts w:ascii="Times New Roman" w:hAnsi="Times New Roman" w:eastAsia="方正仿宋_GBK"/>
          <w:b/>
          <w:color w:val="000000"/>
          <w:sz w:val="28"/>
          <w:szCs w:val="28"/>
        </w:rPr>
      </w:r>
      <w:r/>
    </w:p>
    <w:p>
      <w:pPr>
        <w:pStyle w:val="827"/>
        <w:ind w:left="0" w:right="0" w:firstLine="560"/>
        <w:jc w:val="left"/>
        <w:spacing w:before="0" w:after="0" w:line="240" w:lineRule="auto"/>
        <w:rPr>
          <w:rFonts w:ascii="Times New Roman" w:hAnsi="Times New Roman" w:eastAsia="方正仿宋_GBK"/>
          <w:color w:val="000000"/>
          <w:sz w:val="28"/>
          <w:szCs w:val="28"/>
        </w:rPr>
      </w:pPr>
      <w:r>
        <w:rPr>
          <w:rFonts w:ascii="Times New Roman" w:hAnsi="Times New Roman" w:eastAsia="方正仿宋_GBK"/>
          <w:color w:val="000000"/>
          <w:sz w:val="28"/>
          <w:szCs w:val="28"/>
        </w:rPr>
        <w:t xml:space="preserve">交易中心将在招标公告中规定的时间和地点组织公开开标。投标人应当按照规定参加开标活动和在苏采云系统规定的时间内对投标文件进行解密。</w:t>
      </w:r>
      <w:r>
        <w:rPr>
          <w:rFonts w:ascii="Times New Roman" w:hAnsi="Times New Roman" w:eastAsia="方正仿宋_GBK"/>
          <w:color w:val="000000"/>
          <w:sz w:val="28"/>
          <w:szCs w:val="28"/>
        </w:rPr>
      </w:r>
      <w:r/>
    </w:p>
    <w:p>
      <w:pPr>
        <w:pStyle w:val="827"/>
        <w:ind w:left="0" w:right="0" w:firstLine="562"/>
        <w:jc w:val="left"/>
        <w:spacing w:before="0" w:after="0" w:line="240" w:lineRule="auto"/>
        <w:rPr>
          <w:rFonts w:ascii="Times New Roman" w:hAnsi="Times New Roman" w:eastAsia="方正仿宋_GBK"/>
          <w:b/>
          <w:color w:val="000000"/>
          <w:sz w:val="28"/>
          <w:szCs w:val="28"/>
        </w:rPr>
        <w:outlineLvl w:val="2"/>
      </w:pPr>
      <w:r>
        <w:rPr>
          <w:rFonts w:ascii="Times New Roman" w:hAnsi="Times New Roman" w:eastAsia="方正仿宋_GBK"/>
          <w:b/>
          <w:color w:val="000000"/>
          <w:sz w:val="28"/>
          <w:szCs w:val="28"/>
        </w:rPr>
        <w:t xml:space="preserve">二、评标流程和评标标准</w:t>
      </w:r>
      <w:r>
        <w:rPr>
          <w:rFonts w:ascii="Times New Roman" w:hAnsi="Times New Roman" w:eastAsia="方正仿宋_GBK"/>
          <w:b/>
          <w:color w:val="000000"/>
          <w:sz w:val="28"/>
          <w:szCs w:val="28"/>
        </w:rPr>
      </w:r>
      <w:r/>
    </w:p>
    <w:p>
      <w:pPr>
        <w:pStyle w:val="716"/>
        <w:ind w:firstLine="555"/>
        <w:rPr>
          <w:rFonts w:eastAsia="方正仿宋_GBK"/>
          <w:color w:val="000000"/>
          <w:sz w:val="28"/>
          <w:szCs w:val="28"/>
        </w:rPr>
      </w:pPr>
      <w:r>
        <w:rPr>
          <w:rFonts w:eastAsia="方正仿宋_GBK"/>
          <w:color w:val="000000"/>
          <w:sz w:val="28"/>
          <w:szCs w:val="28"/>
        </w:rPr>
        <w:t xml:space="preserve">采用综合评分法。分资格审查、商务技术标、价格标、三部分评审，总分值为100分，加分和减分因素除外。</w:t>
      </w:r>
      <w:r>
        <w:rPr>
          <w:rFonts w:eastAsia="方正仿宋_GBK"/>
          <w:color w:val="000000"/>
          <w:sz w:val="28"/>
          <w:szCs w:val="28"/>
        </w:rPr>
      </w:r>
      <w:r/>
    </w:p>
    <w:p>
      <w:pPr>
        <w:pStyle w:val="716"/>
        <w:ind w:firstLine="555"/>
        <w:rPr>
          <w:rFonts w:eastAsia="方正仿宋_GBK"/>
          <w:color w:val="000000"/>
          <w:sz w:val="28"/>
          <w:szCs w:val="28"/>
        </w:rPr>
      </w:pPr>
      <w:r>
        <w:rPr>
          <w:rFonts w:eastAsia="方正仿宋_GBK"/>
          <w:color w:val="000000"/>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rPr>
          <w:rFonts w:eastAsia="方正仿宋_GBK"/>
          <w:color w:val="000000"/>
          <w:sz w:val="28"/>
          <w:szCs w:val="28"/>
        </w:rPr>
      </w:r>
      <w:r/>
    </w:p>
    <w:p>
      <w:pPr>
        <w:pStyle w:val="716"/>
        <w:ind w:firstLine="555"/>
        <w:rPr>
          <w:rFonts w:eastAsia="方正仿宋_GBK"/>
          <w:color w:val="000000"/>
          <w:sz w:val="28"/>
          <w:szCs w:val="28"/>
        </w:rPr>
      </w:pPr>
      <w:r>
        <w:rPr>
          <w:rFonts w:eastAsia="方正仿宋_GBK"/>
          <w:color w:val="000000"/>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eastAsia="方正仿宋_GBK"/>
          <w:color w:val="000000"/>
          <w:sz w:val="28"/>
          <w:szCs w:val="28"/>
        </w:rPr>
      </w:r>
      <w:r/>
    </w:p>
    <w:p>
      <w:pPr>
        <w:pStyle w:val="716"/>
        <w:ind w:firstLine="555"/>
        <w:rPr>
          <w:rFonts w:eastAsia="方正仿宋_GBK"/>
          <w:color w:val="000000"/>
          <w:sz w:val="28"/>
          <w:szCs w:val="28"/>
        </w:rPr>
      </w:pPr>
      <w:r>
        <w:rPr>
          <w:rFonts w:eastAsia="方正仿宋_GBK"/>
          <w:color w:val="000000"/>
          <w:sz w:val="28"/>
          <w:szCs w:val="28"/>
        </w:rPr>
        <w:t xml:space="preserve">评委在认真审阅投标文件的基础上，根据各投标文件的响应程度独立评判，不得统一打分。</w:t>
      </w:r>
      <w:r>
        <w:rPr>
          <w:rFonts w:eastAsia="方正仿宋_GBK"/>
          <w:color w:val="000000"/>
          <w:sz w:val="28"/>
          <w:szCs w:val="28"/>
        </w:rPr>
      </w:r>
      <w:r/>
    </w:p>
    <w:p>
      <w:pPr>
        <w:pStyle w:val="716"/>
        <w:ind w:firstLine="413"/>
        <w:rPr>
          <w:rFonts w:eastAsia="方正仿宋_GBK"/>
          <w:b/>
          <w:color w:val="000000"/>
          <w:sz w:val="28"/>
          <w:szCs w:val="28"/>
        </w:rPr>
      </w:pPr>
      <w:r>
        <w:rPr>
          <w:rFonts w:eastAsia="方正仿宋_GBK"/>
          <w:b/>
          <w:color w:val="000000"/>
          <w:sz w:val="28"/>
          <w:szCs w:val="28"/>
        </w:rPr>
        <w:t xml:space="preserve">（一）采购人（代表）对投标人资格进行审查。</w:t>
      </w:r>
      <w:r>
        <w:rPr>
          <w:rFonts w:eastAsia="方正仿宋_GBK"/>
          <w:b/>
          <w:color w:val="000000"/>
          <w:sz w:val="28"/>
          <w:szCs w:val="28"/>
        </w:rPr>
      </w:r>
      <w:r/>
    </w:p>
    <w:p>
      <w:pPr>
        <w:pStyle w:val="831"/>
        <w:ind w:firstLine="577"/>
        <w:spacing w:line="240" w:lineRule="auto"/>
        <w:rPr>
          <w:rFonts w:ascii="Times New Roman" w:hAnsi="Times New Roman" w:eastAsia="方正仿宋_GBK"/>
          <w:color w:val="000000"/>
          <w:sz w:val="28"/>
        </w:rPr>
      </w:pPr>
      <w:r>
        <w:rPr>
          <w:rFonts w:ascii="Times New Roman" w:hAnsi="Times New Roman" w:eastAsia="方正仿宋_GBK"/>
          <w:color w:val="000000"/>
          <w:sz w:val="28"/>
        </w:rPr>
        <w:t xml:space="preserve">投标人资格不合格的，其投标文件判定为无效投标文件。</w:t>
      </w:r>
      <w:r>
        <w:rPr>
          <w:rFonts w:ascii="Times New Roman" w:hAnsi="Times New Roman" w:eastAsia="方正仿宋_GBK"/>
          <w:color w:val="000000"/>
          <w:sz w:val="28"/>
        </w:rPr>
      </w:r>
      <w:r/>
    </w:p>
    <w:p>
      <w:pPr>
        <w:pStyle w:val="716"/>
        <w:ind w:firstLine="413"/>
        <w:jc w:val="left"/>
        <w:rPr>
          <w:rFonts w:eastAsia="方正仿宋_GBK"/>
          <w:b/>
          <w:color w:val="000000"/>
          <w:sz w:val="28"/>
          <w:szCs w:val="28"/>
        </w:rPr>
      </w:pPr>
      <w:r>
        <w:rPr>
          <w:rFonts w:eastAsia="方正仿宋_GBK"/>
          <w:b/>
          <w:color w:val="000000"/>
          <w:sz w:val="28"/>
          <w:szCs w:val="28"/>
        </w:rPr>
        <w:t xml:space="preserve">（二）评标委员会对符合资格投标人的投标文件进行符合性审</w:t>
      </w:r>
      <w:r>
        <w:rPr>
          <w:rFonts w:eastAsia="方正仿宋_GBK"/>
          <w:b/>
          <w:color w:val="000000"/>
          <w:sz w:val="28"/>
          <w:szCs w:val="28"/>
        </w:rPr>
      </w:r>
      <w:r/>
    </w:p>
    <w:p>
      <w:pPr>
        <w:pStyle w:val="716"/>
        <w:jc w:val="left"/>
        <w:rPr>
          <w:rFonts w:eastAsia="方正仿宋_GBK"/>
          <w:b/>
          <w:color w:val="000000"/>
          <w:sz w:val="28"/>
          <w:szCs w:val="28"/>
        </w:rPr>
      </w:pPr>
      <w:r>
        <w:rPr>
          <w:rFonts w:eastAsia="方正仿宋_GBK"/>
          <w:b/>
          <w:color w:val="000000"/>
          <w:sz w:val="28"/>
          <w:szCs w:val="28"/>
        </w:rPr>
        <w:t xml:space="preserve">查。</w:t>
      </w:r>
      <w:r>
        <w:rPr>
          <w:rFonts w:eastAsia="方正仿宋_GBK"/>
          <w:b/>
          <w:color w:val="000000"/>
          <w:sz w:val="28"/>
          <w:szCs w:val="28"/>
        </w:rPr>
      </w:r>
      <w:r/>
    </w:p>
    <w:p>
      <w:pPr>
        <w:pStyle w:val="831"/>
        <w:ind w:firstLine="577"/>
        <w:spacing w:line="240" w:lineRule="auto"/>
        <w:rPr>
          <w:rFonts w:ascii="Times New Roman" w:hAnsi="Times New Roman" w:eastAsia="方正仿宋_GBK"/>
          <w:color w:val="000000"/>
          <w:sz w:val="28"/>
        </w:rPr>
      </w:pPr>
      <w:r>
        <w:rPr>
          <w:rFonts w:ascii="Times New Roman" w:hAnsi="Times New Roman" w:eastAsia="方正仿宋_GBK"/>
          <w:color w:val="000000"/>
          <w:sz w:val="28"/>
        </w:rPr>
        <w:t xml:space="preserve">未通过符合性审查的投标文件，将被判为不满足招标文件实质性要求。 </w:t>
      </w:r>
      <w:r>
        <w:rPr>
          <w:rFonts w:ascii="Times New Roman" w:hAnsi="Times New Roman" w:eastAsia="方正仿宋_GBK"/>
          <w:color w:val="000000"/>
          <w:sz w:val="28"/>
        </w:rPr>
      </w:r>
      <w:r/>
    </w:p>
    <w:p>
      <w:pPr>
        <w:pStyle w:val="716"/>
        <w:ind w:firstLine="562"/>
        <w:jc w:val="left"/>
        <w:rPr>
          <w:rFonts w:eastAsia="方正仿宋_GBK"/>
          <w:color w:val="000000"/>
          <w:sz w:val="28"/>
          <w:szCs w:val="28"/>
          <w:lang w:val="zh-CN"/>
        </w:rPr>
      </w:pPr>
      <w:r>
        <w:rPr>
          <w:rFonts w:eastAsia="方正仿宋_GBK"/>
          <w:b/>
          <w:color w:val="000000"/>
          <w:sz w:val="28"/>
          <w:szCs w:val="28"/>
        </w:rPr>
        <w:t xml:space="preserve">（</w:t>
      </w:r>
      <w:r>
        <w:rPr>
          <w:rFonts w:eastAsia="方正仿宋_GBK"/>
          <w:b/>
          <w:color w:val="000000"/>
          <w:sz w:val="28"/>
          <w:szCs w:val="28"/>
          <w:lang w:val="zh-CN"/>
        </w:rPr>
        <w:t xml:space="preserve">三</w:t>
      </w:r>
      <w:r>
        <w:rPr>
          <w:rFonts w:eastAsia="方正仿宋_GBK"/>
          <w:b/>
          <w:color w:val="000000"/>
          <w:sz w:val="28"/>
          <w:szCs w:val="28"/>
        </w:rPr>
        <w:t xml:space="preserve">）</w:t>
      </w:r>
      <w:r>
        <w:rPr>
          <w:rFonts w:eastAsia="方正仿宋_GBK"/>
          <w:b/>
          <w:color w:val="000000"/>
          <w:sz w:val="28"/>
          <w:szCs w:val="28"/>
          <w:lang w:val="zh-CN"/>
        </w:rPr>
        <w:t xml:space="preserve">商务技术分</w:t>
      </w:r>
      <w:r>
        <w:rPr>
          <w:rFonts w:eastAsia="方正仿宋_GBK"/>
          <w:color w:val="000000"/>
          <w:sz w:val="28"/>
          <w:szCs w:val="28"/>
          <w:lang w:val="zh-CN"/>
        </w:rPr>
        <w:t xml:space="preserve">：</w:t>
      </w:r>
      <w:r>
        <w:rPr>
          <w:rFonts w:eastAsia="方正仿宋_GBK"/>
          <w:color w:val="000000"/>
          <w:sz w:val="28"/>
          <w:szCs w:val="28"/>
        </w:rPr>
        <w:t xml:space="preserve">70.00</w:t>
      </w:r>
      <w:r>
        <w:rPr>
          <w:rFonts w:eastAsia="方正仿宋_GBK"/>
          <w:color w:val="000000"/>
          <w:sz w:val="28"/>
          <w:szCs w:val="28"/>
          <w:lang w:val="zh-CN"/>
        </w:rPr>
        <w:t xml:space="preserve">分</w:t>
      </w:r>
      <w:r>
        <w:rPr>
          <w:rFonts w:eastAsia="方正仿宋_GBK"/>
          <w:color w:val="000000"/>
          <w:sz w:val="28"/>
          <w:szCs w:val="28"/>
          <w:lang w:val="zh-CN"/>
        </w:rPr>
      </w:r>
      <w:r/>
    </w:p>
    <w:p>
      <w:pPr>
        <w:pStyle w:val="716"/>
        <w:ind w:firstLine="700"/>
        <w:jc w:val="left"/>
        <w:rPr>
          <w:rFonts w:eastAsia="方正仿宋_GBK"/>
          <w:color w:val="000000"/>
          <w:sz w:val="28"/>
          <w:szCs w:val="28"/>
        </w:rPr>
      </w:pPr>
      <w:r>
        <w:rPr>
          <w:rFonts w:eastAsia="方正仿宋_GBK"/>
          <w:color w:val="000000"/>
          <w:sz w:val="28"/>
          <w:szCs w:val="28"/>
        </w:rPr>
        <w:t xml:space="preserve">各投标人得分为评委会成员评分的算术平均分，分值保留小数点后两位。</w:t>
      </w:r>
      <w:r>
        <w:rPr>
          <w:rFonts w:eastAsia="方正仿宋_GBK"/>
          <w:color w:val="000000"/>
          <w:sz w:val="28"/>
          <w:szCs w:val="28"/>
        </w:rPr>
      </w:r>
      <w:r/>
    </w:p>
    <w:tbl>
      <w:tblPr>
        <w:tblW w:w="93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6796"/>
        <w:gridCol w:w="710"/>
      </w:tblGrid>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序号</w:t>
            </w:r>
            <w:r>
              <w:rPr>
                <w:rFonts w:eastAsia="方正楷体_GBK"/>
                <w:color w:val="000000"/>
                <w:szCs w:val="21"/>
              </w:rPr>
            </w:r>
            <w:r/>
          </w:p>
        </w:tc>
        <w:tc>
          <w:tcPr>
            <w:tcW w:w="113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评分点</w:t>
            </w:r>
            <w:r>
              <w:rPr>
                <w:rFonts w:eastAsia="方正楷体_GBK"/>
                <w:color w:val="000000"/>
                <w:szCs w:val="21"/>
              </w:rPr>
            </w:r>
            <w:r/>
          </w:p>
        </w:tc>
        <w:tc>
          <w:tcPr>
            <w:tcW w:w="6796"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评分标准</w:t>
            </w:r>
            <w:r>
              <w:rPr>
                <w:rFonts w:eastAsia="方正楷体_GBK"/>
                <w:color w:val="000000"/>
                <w:szCs w:val="21"/>
              </w:rPr>
            </w:r>
            <w:r/>
          </w:p>
        </w:tc>
        <w:tc>
          <w:tcPr>
            <w:tcW w:w="71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分值</w:t>
            </w:r>
            <w:r>
              <w:rPr>
                <w:rFonts w:eastAsia="方正楷体_GBK"/>
                <w:color w:val="000000"/>
                <w:szCs w:val="21"/>
              </w:rPr>
            </w:r>
            <w:r/>
          </w:p>
        </w:tc>
      </w:tr>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1</w:t>
            </w:r>
            <w:r>
              <w:rPr>
                <w:rFonts w:eastAsia="方正楷体_GBK"/>
                <w:color w:val="000000"/>
                <w:szCs w:val="21"/>
              </w:rPr>
            </w:r>
            <w:r/>
          </w:p>
        </w:tc>
        <w:tc>
          <w:tcPr>
            <w:tcW w:w="1134" w:type="dxa"/>
            <w:vAlign w:val="center"/>
            <w:textDirection w:val="lrTb"/>
            <w:noWrap w:val="false"/>
          </w:tcPr>
          <w:p>
            <w:pPr>
              <w:pStyle w:val="716"/>
              <w:jc w:val="center"/>
              <w:rPr>
                <w:rFonts w:hint="eastAsia" w:eastAsia="方正楷体_GBK"/>
                <w:color w:val="000000"/>
                <w:szCs w:val="21"/>
              </w:rPr>
            </w:pPr>
            <w:r>
              <w:rPr>
                <w:rFonts w:eastAsia="方正楷体_GBK"/>
                <w:color w:val="000000"/>
                <w:szCs w:val="21"/>
              </w:rPr>
              <w:t xml:space="preserve">技术指标</w:t>
            </w:r>
            <w:r>
              <w:rPr>
                <w:rFonts w:hint="eastAsia" w:eastAsia="方正楷体_GBK"/>
                <w:color w:val="000000"/>
                <w:szCs w:val="21"/>
              </w:rPr>
            </w:r>
            <w:r/>
          </w:p>
        </w:tc>
        <w:tc>
          <w:tcPr>
            <w:tcW w:w="6796" w:type="dxa"/>
            <w:vAlign w:val="center"/>
            <w:textDirection w:val="lrTb"/>
            <w:noWrap w:val="false"/>
          </w:tcPr>
          <w:p>
            <w:pPr>
              <w:pStyle w:val="716"/>
              <w:rPr>
                <w:rFonts w:eastAsia="方正楷体_GBK"/>
                <w:color w:val="000000"/>
                <w:szCs w:val="21"/>
              </w:rPr>
            </w:pPr>
            <w:r>
              <w:rPr>
                <w:rFonts w:eastAsia="方正楷体_GBK"/>
                <w:color w:val="000000"/>
                <w:szCs w:val="21"/>
              </w:rPr>
              <w:t xml:space="preserve">根据投标人所投产品的技术参数及性能与招标文件要求的响应程度进行评分，投标人所投产品的设备技术参数及功能全部满足招标要求的得40分。项目需求内标注“</w:t>
            </w:r>
            <w:r>
              <w:rPr>
                <w:rFonts w:ascii="Segoe UI Symbol" w:hAnsi="Segoe UI Symbol" w:eastAsia="方正楷体_GBK" w:cs="Segoe UI Symbol"/>
                <w:color w:val="000000"/>
                <w:szCs w:val="21"/>
              </w:rPr>
              <w:t xml:space="preserve">★</w:t>
            </w:r>
            <w:r>
              <w:rPr>
                <w:rFonts w:eastAsia="方正楷体_GBK"/>
                <w:color w:val="000000"/>
                <w:szCs w:val="21"/>
              </w:rPr>
              <w:t xml:space="preserve">”技术参数不允许负偏离，否则作不响应实质性要求处理；项目需求内标注“▲”</w:t>
            </w:r>
            <w:r>
              <w:rPr>
                <w:rFonts w:hint="eastAsia" w:eastAsia="方正楷体_GBK"/>
                <w:color w:val="000000"/>
                <w:szCs w:val="21"/>
              </w:rPr>
              <w:t xml:space="preserve">且要求提供功能演示的</w:t>
            </w:r>
            <w:r>
              <w:rPr>
                <w:rFonts w:eastAsia="方正楷体_GBK"/>
                <w:color w:val="000000"/>
                <w:szCs w:val="21"/>
              </w:rPr>
              <w:t xml:space="preserve">技术参数，每有一项负偏离扣0.</w:t>
            </w:r>
            <w:r>
              <w:rPr>
                <w:rFonts w:hint="eastAsia" w:eastAsia="方正楷体_GBK"/>
                <w:color w:val="000000"/>
                <w:szCs w:val="21"/>
              </w:rPr>
              <w:t xml:space="preserve">5</w:t>
            </w:r>
            <w:r>
              <w:rPr>
                <w:rFonts w:eastAsia="方正楷体_GBK"/>
                <w:color w:val="000000"/>
                <w:szCs w:val="21"/>
              </w:rPr>
              <w:t xml:space="preserve">分，扣完为止；项目需求内标注“▲”</w:t>
            </w:r>
            <w:r>
              <w:rPr>
                <w:rFonts w:hint="eastAsia" w:eastAsia="方正楷体_GBK"/>
                <w:color w:val="000000"/>
                <w:szCs w:val="21"/>
              </w:rPr>
              <w:t xml:space="preserve">但未要求提供功能演示或其他证明材料的</w:t>
            </w:r>
            <w:r>
              <w:rPr>
                <w:rFonts w:eastAsia="方正楷体_GBK"/>
                <w:color w:val="000000"/>
                <w:szCs w:val="21"/>
              </w:rPr>
              <w:t xml:space="preserve">技术参数，每有一项负偏离扣0.</w:t>
            </w:r>
            <w:r>
              <w:rPr>
                <w:rFonts w:hint="eastAsia" w:eastAsia="方正楷体_GBK"/>
                <w:color w:val="000000"/>
                <w:szCs w:val="21"/>
              </w:rPr>
              <w:t xml:space="preserve">3</w:t>
            </w:r>
            <w:r>
              <w:rPr>
                <w:rFonts w:eastAsia="方正楷体_GBK"/>
                <w:color w:val="000000"/>
                <w:szCs w:val="21"/>
              </w:rPr>
              <w:t xml:space="preserve">分，扣完为止</w:t>
            </w:r>
            <w:r>
              <w:rPr>
                <w:rFonts w:hint="eastAsia" w:eastAsia="方正楷体_GBK"/>
                <w:color w:val="000000"/>
                <w:szCs w:val="21"/>
              </w:rPr>
              <w:t xml:space="preserve">；</w:t>
            </w:r>
            <w:r>
              <w:rPr>
                <w:rFonts w:eastAsia="方正楷体_GBK"/>
                <w:color w:val="000000"/>
                <w:szCs w:val="21"/>
              </w:rPr>
              <w:t xml:space="preserve">其他技术参数为一般技术参数，每有一项负偏离扣0.</w:t>
            </w:r>
            <w:r>
              <w:rPr>
                <w:rFonts w:hint="eastAsia" w:eastAsia="方正楷体_GBK"/>
                <w:color w:val="000000"/>
                <w:szCs w:val="21"/>
              </w:rPr>
              <w:t xml:space="preserve">2</w:t>
            </w:r>
            <w:r>
              <w:rPr>
                <w:rFonts w:eastAsia="方正楷体_GBK"/>
                <w:color w:val="000000"/>
                <w:szCs w:val="21"/>
              </w:rPr>
              <w:t xml:space="preserve">分</w:t>
            </w:r>
            <w:r>
              <w:rPr>
                <w:rFonts w:hint="eastAsia" w:eastAsia="方正楷体_GBK"/>
                <w:color w:val="000000"/>
                <w:szCs w:val="21"/>
              </w:rPr>
              <w:t xml:space="preserve">（精确到最小层级）</w:t>
            </w:r>
            <w:r>
              <w:rPr>
                <w:rFonts w:eastAsia="方正楷体_GBK"/>
                <w:color w:val="000000"/>
                <w:szCs w:val="21"/>
              </w:rPr>
              <w:t xml:space="preserve">，扣完为止。</w:t>
            </w:r>
            <w:r>
              <w:rPr>
                <w:rFonts w:eastAsia="方正楷体_GBK"/>
                <w:color w:val="000000"/>
                <w:szCs w:val="21"/>
              </w:rPr>
            </w:r>
            <w:r/>
          </w:p>
          <w:p>
            <w:pPr>
              <w:pStyle w:val="716"/>
              <w:rPr>
                <w:rFonts w:eastAsia="方正楷体_GBK"/>
                <w:b/>
                <w:color w:val="000000"/>
                <w:szCs w:val="21"/>
              </w:rPr>
            </w:pPr>
            <w:r>
              <w:rPr>
                <w:rFonts w:eastAsia="方正楷体_GBK"/>
                <w:b/>
                <w:color w:val="000000"/>
                <w:szCs w:val="21"/>
              </w:rPr>
              <w:t xml:space="preserve">注：</w:t>
            </w:r>
            <w:r>
              <w:rPr>
                <w:rFonts w:eastAsia="方正楷体_GBK"/>
                <w:b/>
                <w:color w:val="000000"/>
                <w:szCs w:val="21"/>
              </w:rPr>
            </w:r>
            <w:r/>
          </w:p>
          <w:p>
            <w:pPr>
              <w:pStyle w:val="716"/>
              <w:rPr>
                <w:rFonts w:eastAsia="方正楷体_GBK"/>
                <w:b/>
                <w:color w:val="000000"/>
                <w:szCs w:val="21"/>
              </w:rPr>
            </w:pPr>
            <w:r>
              <w:rPr>
                <w:rFonts w:eastAsia="方正楷体_GBK"/>
                <w:b/>
                <w:color w:val="000000"/>
                <w:szCs w:val="21"/>
              </w:rPr>
              <w:t xml:space="preserve">1.投标文件中须列明技术部分正负偏离表，并作逐条响应。（要求提供功能演示</w:t>
            </w:r>
            <w:r>
              <w:rPr>
                <w:rFonts w:hint="eastAsia" w:eastAsia="方正楷体_GBK"/>
                <w:b/>
                <w:color w:val="000000"/>
                <w:szCs w:val="21"/>
              </w:rPr>
              <w:t xml:space="preserve">等</w:t>
            </w:r>
            <w:r>
              <w:rPr>
                <w:rFonts w:eastAsia="方正楷体_GBK"/>
                <w:b/>
                <w:color w:val="000000"/>
                <w:szCs w:val="21"/>
              </w:rPr>
              <w:t xml:space="preserve">的技术参数未提供功能演示</w:t>
            </w:r>
            <w:r>
              <w:rPr>
                <w:rFonts w:hint="eastAsia" w:eastAsia="方正楷体_GBK"/>
                <w:b/>
                <w:color w:val="000000"/>
                <w:szCs w:val="21"/>
              </w:rPr>
              <w:t xml:space="preserve">等</w:t>
            </w:r>
            <w:r>
              <w:rPr>
                <w:rFonts w:eastAsia="方正楷体_GBK"/>
                <w:b/>
                <w:color w:val="000000"/>
                <w:szCs w:val="21"/>
              </w:rPr>
              <w:t xml:space="preserve">或提供功能演示</w:t>
            </w:r>
            <w:r>
              <w:rPr>
                <w:rFonts w:hint="eastAsia" w:eastAsia="方正楷体_GBK"/>
                <w:b/>
                <w:color w:val="000000"/>
                <w:szCs w:val="21"/>
              </w:rPr>
              <w:t xml:space="preserve">等</w:t>
            </w:r>
            <w:r>
              <w:rPr>
                <w:rFonts w:eastAsia="方正楷体_GBK"/>
                <w:b/>
                <w:color w:val="000000"/>
                <w:szCs w:val="21"/>
              </w:rPr>
              <w:t xml:space="preserve">不符合要求的视为负偏离）</w:t>
            </w:r>
            <w:r>
              <w:rPr>
                <w:rFonts w:eastAsia="方正楷体_GBK"/>
                <w:b/>
                <w:color w:val="000000"/>
                <w:szCs w:val="21"/>
              </w:rPr>
            </w:r>
            <w:r/>
          </w:p>
          <w:p>
            <w:pPr>
              <w:pStyle w:val="716"/>
              <w:rPr>
                <w:rFonts w:eastAsia="方正楷体_GBK"/>
                <w:b/>
                <w:color w:val="000000"/>
                <w:szCs w:val="21"/>
              </w:rPr>
            </w:pPr>
            <w:r>
              <w:rPr>
                <w:rFonts w:eastAsia="方正楷体_GBK"/>
                <w:b/>
                <w:color w:val="000000"/>
                <w:szCs w:val="21"/>
              </w:rPr>
              <w:t xml:space="preserve">2.投标文件中要求提供的功能演示应为录屏，视频时间控制在25分钟内，视频文件压缩后大小控制在1G内（视频文件直接上传至系统）。演示视频格式为MP4，演示视频未提供或者无法打开的视为未实质性响应。演示内容如下（演示时仅支持倍速播放、添加字幕讲解剪辑手段，采用违规剪辑或AI生成手段演示视为未实质性响应）：</w:t>
            </w:r>
            <w:r>
              <w:rPr>
                <w:rFonts w:eastAsia="方正楷体_GBK"/>
                <w:b/>
                <w:color w:val="000000"/>
                <w:szCs w:val="21"/>
              </w:rPr>
            </w:r>
            <w:r/>
          </w:p>
          <w:p>
            <w:pPr>
              <w:pStyle w:val="716"/>
              <w:rPr>
                <w:rFonts w:eastAsia="方正楷体_GBK"/>
                <w:b/>
                <w:color w:val="000000"/>
                <w:szCs w:val="21"/>
              </w:rPr>
            </w:pPr>
            <w:r>
              <w:rPr>
                <w:rFonts w:hint="eastAsia" w:eastAsia="方正楷体_GBK"/>
                <w:b/>
                <w:color w:val="000000"/>
                <w:szCs w:val="21"/>
              </w:rPr>
              <w:t xml:space="preserve">（1）序号7：</w:t>
            </w:r>
            <w:r>
              <w:rPr>
                <w:rFonts w:eastAsia="方正楷体_GBK"/>
                <w:b/>
                <w:color w:val="000000"/>
                <w:szCs w:val="21"/>
              </w:rPr>
              <w:t xml:space="preserve">船舶与海工结构认知教学系统</w:t>
            </w:r>
            <w:r>
              <w:rPr>
                <w:rFonts w:eastAsia="方正楷体_GBK"/>
                <w:b/>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支持记录和管理设计评审意见：通过评审意见管理器记录、管理设计评审意见，便于对评审意见进行回顾、处理、关闭等操作。</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支持三维场景的交互式沉浸浏览，可进行产品三维漫游、建造过程仿真和可视化评审展示。</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以结构化产品结构树进行模型管理，可从设计系统中载入结构化的产品结构树，支持结构树、模型互相关联，可通过结构树选择展示模型，也可通过模型定位结构树位置，从而方便评审过程中模型的查找及信息查看。</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支持常用的三维模型数据转换功能：支持导入导出DXF、IVE、NVZ等通用数据格式的三维模型数据。</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支持模型轻量化、压缩、光滑等优化处理。</w:t>
            </w:r>
            <w:r>
              <w:rPr>
                <w:rFonts w:eastAsia="方正楷体_GBK"/>
                <w:bCs/>
                <w:color w:val="000000"/>
                <w:szCs w:val="21"/>
              </w:rPr>
            </w:r>
            <w:r/>
          </w:p>
          <w:p>
            <w:pPr>
              <w:pStyle w:val="716"/>
              <w:rPr>
                <w:rFonts w:eastAsia="方正楷体_GBK"/>
                <w:b/>
                <w:color w:val="000000"/>
                <w:szCs w:val="21"/>
              </w:rPr>
            </w:pPr>
            <w:r>
              <w:rPr>
                <w:rFonts w:hint="eastAsia" w:eastAsia="方正楷体_GBK"/>
                <w:b/>
                <w:color w:val="000000"/>
                <w:szCs w:val="21"/>
              </w:rPr>
              <w:t xml:space="preserve">（2）序号8：</w:t>
            </w:r>
            <w:r>
              <w:rPr>
                <w:rFonts w:eastAsia="方正楷体_GBK"/>
                <w:b/>
                <w:color w:val="000000"/>
                <w:szCs w:val="21"/>
              </w:rPr>
              <w:t xml:space="preserve">船舶与海工虚拟装配教学系统</w:t>
            </w:r>
            <w:r>
              <w:rPr>
                <w:rFonts w:eastAsia="方正楷体_GBK"/>
                <w:b/>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支持动态装配过程自动生成的功能。</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支持属性查看和编辑功能。可以定义建造方向，包括正造、反造、卧造等。</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提供涵盖小组立、中组立、分段、总段装配的装配案例。</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需以国产豪华邮轮爱达魔都号为原型，提供整船船体三维精细化模型，同时构建酒吧、戏院、欧式客房、中式客房、餐厅、中式餐厅、中庭等典型三维精细化场景。</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支持客舱内墙板、地面、灯光、地板纹理等调整操作。</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支持灯光编辑，具有颜色编辑面板，可实现选择吸顶灯/主灯可以改变吸顶灯或主灯的颜色。</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支持地板/墙面可以改变地板纹理及墙面的颜色。</w:t>
            </w:r>
            <w:r>
              <w:rPr>
                <w:rFonts w:eastAsia="方正楷体_GBK"/>
                <w:bCs/>
                <w:color w:val="000000"/>
                <w:szCs w:val="21"/>
              </w:rPr>
            </w:r>
            <w:r/>
          </w:p>
          <w:p>
            <w:pPr>
              <w:pStyle w:val="716"/>
              <w:rPr>
                <w:rFonts w:eastAsia="方正楷体_GBK"/>
                <w:b/>
                <w:color w:val="000000"/>
                <w:szCs w:val="21"/>
              </w:rPr>
            </w:pPr>
            <w:r>
              <w:rPr>
                <w:rFonts w:eastAsia="方正楷体_GBK"/>
                <w:b/>
                <w:color w:val="000000"/>
                <w:szCs w:val="21"/>
              </w:rPr>
              <w:t xml:space="preserve">（3）</w:t>
            </w:r>
            <w:r>
              <w:rPr>
                <w:rFonts w:hint="eastAsia" w:eastAsia="方正楷体_GBK"/>
                <w:b/>
                <w:color w:val="000000"/>
                <w:szCs w:val="21"/>
              </w:rPr>
              <w:t xml:space="preserve">序号9：</w:t>
            </w:r>
            <w:r>
              <w:rPr>
                <w:rFonts w:eastAsia="方正楷体_GBK"/>
                <w:b/>
                <w:color w:val="000000"/>
                <w:szCs w:val="21"/>
              </w:rPr>
              <w:t xml:space="preserve">海工建造交互实训系统</w:t>
            </w:r>
            <w:r>
              <w:rPr>
                <w:rFonts w:eastAsia="方正楷体_GBK"/>
                <w:b/>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提供教学、实训、考试三种模式，各模式可自由切换。</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支持资料库功能，提供实操项目实施过程中涉及的工艺图纸、施工方案、各类记录及其他文件资料的查询与查阅。</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支持选取不少于4种典型海工小组（不得与本标其他软件内容重复）开展交互实训。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支持选取不少于4种典型海工中组立（不得与本标其他软件内容重复）开展交互实训。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支持选取不少于4种典型海工分段（不得与本标其他软件内容重复）开展交互实训。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支持选取不少于4种典型海工总段（不得与本标其他软件内容重复）开展交互实训。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具备选项有效性判定机制：装配时，若选择错误则无法进行装配，选择正确方可开展装配演示。</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Style w:val="1077"/>
                <w:rFonts w:ascii="Times New Roman" w:hAnsi="Times New Roman" w:eastAsia="方正楷体_GBK" w:cs="Times New Roman"/>
                <w:b w:val="0"/>
                <w:bCs/>
                <w:sz w:val="21"/>
                <w:szCs w:val="21"/>
                <w:lang w:bidi="ar"/>
              </w:rPr>
              <w:t xml:space="preserve">支持通过龙门吊吊装方式开展海工平台搭载建造实训。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Style w:val="1077"/>
                <w:rFonts w:ascii="Times New Roman" w:hAnsi="Times New Roman" w:eastAsia="方正楷体_GBK" w:cs="Times New Roman"/>
                <w:b w:val="0"/>
                <w:bCs/>
                <w:sz w:val="21"/>
                <w:szCs w:val="21"/>
                <w:lang w:bidi="ar"/>
              </w:rPr>
              <w:t xml:space="preserve">支持通过大型桥式起重机对海工平台上平台进行整体吊运搭载实训。</w:t>
            </w:r>
            <w:r>
              <w:rPr>
                <w:rFonts w:eastAsia="方正楷体_GBK"/>
                <w:bCs/>
                <w:color w:val="000000"/>
                <w:szCs w:val="21"/>
              </w:rPr>
              <w:t xml:space="preserve">流程设计需包含以下步骤：将下船体大总段机械牵引至半潜驳船上→通过驳船下潜使下船体大总段漂浮下水→按照制订的焊接工艺完成合拢缝处的焊接→精度复检→通过拖轮牵引出坞→牵引平台至深水舾装码头进行外部舾装。</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支持垂直起升装置顶升作业流程实训：a.龙门吊吊装、b.码头吊装、c.浅海吊装。</w:t>
            </w:r>
            <w:r>
              <w:rPr>
                <w:rFonts w:eastAsia="方正楷体_GBK"/>
                <w:bCs/>
                <w:color w:val="000000"/>
                <w:szCs w:val="21"/>
              </w:rPr>
            </w:r>
            <w:r/>
          </w:p>
          <w:p>
            <w:pPr>
              <w:pStyle w:val="716"/>
              <w:rPr>
                <w:rFonts w:hint="eastAsia"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半潜式钻井平台动力定位系统装配流程</w:t>
            </w:r>
            <w:r>
              <w:rPr>
                <w:rFonts w:hint="eastAsia" w:eastAsia="方正楷体_GBK"/>
                <w:bCs/>
                <w:color w:val="000000"/>
                <w:szCs w:val="21"/>
              </w:rPr>
              <w:t xml:space="preserve">：</w:t>
            </w:r>
            <w:r>
              <w:rPr>
                <w:rFonts w:eastAsia="方正楷体_GBK"/>
                <w:color w:val="000000"/>
                <w:szCs w:val="21"/>
                <w:lang w:bidi="ar"/>
              </w:rPr>
              <w:t xml:space="preserve">a.</w:t>
            </w:r>
            <w:r>
              <w:rPr>
                <w:rStyle w:val="1077"/>
                <w:rFonts w:ascii="Times New Roman" w:hAnsi="Times New Roman" w:eastAsia="方正楷体_GBK" w:cs="Times New Roman"/>
                <w:b w:val="0"/>
                <w:sz w:val="21"/>
                <w:szCs w:val="21"/>
                <w:lang w:bidi="ar"/>
              </w:rPr>
              <w:t xml:space="preserve">支持浮吊船吊装侧拉、</w:t>
            </w:r>
            <w:r>
              <w:rPr>
                <w:rFonts w:eastAsia="方正楷体_GBK"/>
                <w:color w:val="000000"/>
                <w:szCs w:val="21"/>
                <w:lang w:bidi="ar"/>
              </w:rPr>
              <w:t xml:space="preserve">b.支持扔海底安装</w:t>
            </w:r>
            <w:r>
              <w:rPr>
                <w:rFonts w:hint="eastAsia" w:eastAsia="方正楷体_GBK"/>
                <w:color w:val="000000"/>
                <w:szCs w:val="21"/>
                <w:lang w:bidi="ar"/>
              </w:rPr>
              <w:t xml:space="preserve">。</w:t>
            </w:r>
            <w:r>
              <w:rPr>
                <w:rFonts w:hint="eastAsia" w:eastAsia="方正楷体_GBK"/>
                <w:bCs/>
                <w:color w:val="000000"/>
                <w:szCs w:val="21"/>
              </w:rPr>
            </w:r>
            <w:r/>
          </w:p>
          <w:p>
            <w:pPr>
              <w:pStyle w:val="716"/>
              <w:rPr>
                <w:rFonts w:eastAsia="方正楷体_GBK"/>
                <w:b/>
                <w:color w:val="000000"/>
                <w:szCs w:val="21"/>
              </w:rPr>
            </w:pPr>
            <w:r>
              <w:rPr>
                <w:rFonts w:eastAsia="方正楷体_GBK"/>
                <w:b/>
                <w:color w:val="000000"/>
                <w:szCs w:val="21"/>
              </w:rPr>
              <w:t xml:space="preserve">（4）</w:t>
            </w:r>
            <w:r>
              <w:rPr>
                <w:rFonts w:hint="eastAsia" w:eastAsia="方正楷体_GBK"/>
                <w:b/>
                <w:color w:val="000000"/>
                <w:szCs w:val="21"/>
              </w:rPr>
              <w:t xml:space="preserve">序号10：</w:t>
            </w:r>
            <w:r>
              <w:rPr>
                <w:rFonts w:eastAsia="方正楷体_GBK"/>
                <w:b/>
                <w:color w:val="000000"/>
                <w:szCs w:val="21"/>
              </w:rPr>
              <w:t xml:space="preserve">船舶建造交互实训系统</w:t>
            </w:r>
            <w:r>
              <w:rPr>
                <w:rFonts w:eastAsia="方正楷体_GBK"/>
                <w:b/>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支持船舶与海工建造过程中5种典型小组立结构的装配实训。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支持船舶与海工建造过程中5种典型中组立结构的装配实训。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支持双层底分段、底边舱分段、舱壁分段、甲板分段、舷侧分段等5种典型船舶分段的装配实训。</w:t>
            </w:r>
            <w:r>
              <w:rPr>
                <w:rFonts w:eastAsia="方正楷体_GBK"/>
                <w:bCs/>
                <w:color w:val="000000"/>
                <w:szCs w:val="21"/>
              </w:rPr>
            </w:r>
            <w:r/>
          </w:p>
          <w:p>
            <w:pPr>
              <w:pStyle w:val="716"/>
              <w:rPr>
                <w:rFonts w:hint="eastAsia"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color w:val="000000"/>
                <w:szCs w:val="21"/>
                <w:lang w:bidi="ar"/>
              </w:rPr>
              <w:t xml:space="preserve">支持艏部总段、舯部总段、艉部总段等3种典型船舶总段的装配实训。</w:t>
            </w:r>
            <w:r>
              <w:rPr>
                <w:rFonts w:hint="eastAsia"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color w:val="000000"/>
                <w:szCs w:val="21"/>
                <w:lang w:bidi="ar"/>
              </w:rPr>
              <w:t xml:space="preserve">支持塔式搭载、岛式搭载两种典型方式的船舶建造搭载实训。</w:t>
            </w:r>
            <w:r>
              <w:rPr>
                <w:rFonts w:eastAsia="方正楷体_GBK"/>
                <w:bCs/>
                <w:color w:val="000000"/>
                <w:szCs w:val="21"/>
              </w:rPr>
            </w:r>
            <w:r/>
          </w:p>
          <w:p>
            <w:pPr>
              <w:pStyle w:val="716"/>
              <w:rPr>
                <w:rFonts w:eastAsia="方正楷体_GBK"/>
                <w:b/>
                <w:color w:val="000000"/>
                <w:szCs w:val="21"/>
              </w:rPr>
            </w:pPr>
            <w:r>
              <w:rPr>
                <w:rFonts w:eastAsia="方正楷体_GBK"/>
                <w:b/>
                <w:color w:val="000000"/>
                <w:szCs w:val="21"/>
              </w:rPr>
              <w:t xml:space="preserve">（</w:t>
            </w:r>
            <w:r>
              <w:rPr>
                <w:rFonts w:hint="eastAsia" w:eastAsia="方正楷体_GBK"/>
                <w:b/>
                <w:color w:val="000000"/>
                <w:szCs w:val="21"/>
              </w:rPr>
              <w:t xml:space="preserve">5</w:t>
            </w:r>
            <w:r>
              <w:rPr>
                <w:rFonts w:eastAsia="方正楷体_GBK"/>
                <w:b/>
                <w:color w:val="000000"/>
                <w:szCs w:val="21"/>
              </w:rPr>
              <w:t xml:space="preserve">）</w:t>
            </w:r>
            <w:r>
              <w:rPr>
                <w:rFonts w:hint="eastAsia" w:eastAsia="方正楷体_GBK"/>
                <w:b/>
                <w:color w:val="000000"/>
                <w:szCs w:val="21"/>
              </w:rPr>
              <w:t xml:space="preserve">序号15：</w:t>
            </w:r>
            <w:r>
              <w:rPr>
                <w:rFonts w:eastAsia="方正楷体_GBK"/>
                <w:b/>
                <w:color w:val="000000"/>
                <w:szCs w:val="21"/>
              </w:rPr>
              <w:t xml:space="preserve">船体放样仿真教学实训系统</w:t>
            </w:r>
            <w:r>
              <w:rPr>
                <w:rFonts w:eastAsia="方正楷体_GBK"/>
                <w:b/>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理想型线放样：支持依据三向投影原理，通过三组相互垂直的平行剖面（横剖面、纵剖面、水线面）与船体表面相交，生成三组型线（横剖线、纵剖线、水线），并绘制形成三类投影图（横剖线图、纵剖线图、半宽水线图）予以表示。</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扭曲状纵向构件展开：支持依据纵桁图和实线图，获取各构件实长线并绘制展开图；支持准线实长线线段、展开图间距线段、半径线段等关键步骤的操作，实现根据展开图坐标信息标注交点，完成展开图绘制。</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支持典型外板展开法：支持十字线展开法、测地线展开法、三角线展开法、定线展开法，涵盖船首、舷墙等特殊结构；可针对不同外板采用对应的展开方法。</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支持样箱制作：支持依据肋骨型线图，在虚拟环境中完成样箱制作，可实现侧面线、基面框、剖面样板等操作实训。</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支持外板加工成形：支持对外板加工全流程进行虚拟操作，还原外板加工各环节细节，帮助用户明晰各细节、关键节点的信息获取方式及操作方法，完成外板加工操作。</w:t>
            </w:r>
            <w:r>
              <w:rPr>
                <w:rFonts w:eastAsia="方正楷体_GBK"/>
                <w:bCs/>
                <w:color w:val="000000"/>
                <w:szCs w:val="21"/>
              </w:rPr>
            </w:r>
            <w:r/>
          </w:p>
          <w:p>
            <w:pPr>
              <w:pStyle w:val="716"/>
              <w:rPr>
                <w:rFonts w:eastAsia="方正楷体_GBK"/>
                <w:b/>
                <w:color w:val="000000"/>
                <w:szCs w:val="21"/>
              </w:rPr>
            </w:pPr>
            <w:r>
              <w:rPr>
                <w:rFonts w:eastAsia="方正楷体_GBK"/>
                <w:b/>
                <w:color w:val="000000"/>
                <w:szCs w:val="21"/>
              </w:rPr>
              <w:t xml:space="preserve">（</w:t>
            </w:r>
            <w:r>
              <w:rPr>
                <w:rFonts w:hint="eastAsia" w:eastAsia="方正楷体_GBK"/>
                <w:b/>
                <w:color w:val="000000"/>
                <w:szCs w:val="21"/>
              </w:rPr>
              <w:t xml:space="preserve">6</w:t>
            </w:r>
            <w:r>
              <w:rPr>
                <w:rFonts w:eastAsia="方正楷体_GBK"/>
                <w:b/>
                <w:color w:val="000000"/>
                <w:szCs w:val="21"/>
              </w:rPr>
              <w:t xml:space="preserve">）</w:t>
            </w:r>
            <w:r>
              <w:rPr>
                <w:rFonts w:hint="eastAsia" w:eastAsia="方正楷体_GBK"/>
                <w:b/>
                <w:color w:val="000000"/>
                <w:szCs w:val="21"/>
              </w:rPr>
              <w:t xml:space="preserve">序号19：</w:t>
            </w:r>
            <w:r>
              <w:rPr>
                <w:rFonts w:eastAsia="方正楷体_GBK"/>
                <w:b/>
                <w:color w:val="000000"/>
                <w:szCs w:val="21"/>
              </w:rPr>
              <w:t xml:space="preserve">分段协同装配VR实训系统</w:t>
            </w:r>
            <w:r>
              <w:rPr>
                <w:rFonts w:eastAsia="方正楷体_GBK"/>
                <w:b/>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装配工：核心操作工具包含气割割炬、CO2焊机（带焊枪）、钢直尺（钢卷尺）、锤子、粉线、线锤、洋冲、拉撑、油泵等；作业流程涵盖用钢直尺（钢卷尺）量取尺寸、粉线划线、锤子配合洋冲敲击标记、气割割炬切割钢板零件、CO2焊机（带焊枪）装配定位、线锤检测垂直度、拉撑与油泵配合装配，以及使用拉撑装焊固定组立件。</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支持电焊工，核心操作工具包含CO2焊机（带焊枪）、埋弧自动焊焊机等；作业流程涵盖用埋弧自动焊焊机焊接拼板、自动角焊机焊接平角焊、CO2焊机（带焊枪）焊接其他焊缝，以及焊角测量尺测量焊角尺寸。</w:t>
            </w:r>
            <w:r>
              <w:rPr>
                <w:rFonts w:eastAsia="方正楷体_GBK"/>
                <w:bCs/>
                <w:color w:val="000000"/>
                <w:szCs w:val="21"/>
              </w:rPr>
            </w:r>
            <w:r/>
          </w:p>
          <w:p>
            <w:pPr>
              <w:pStyle w:val="716"/>
              <w:rPr>
                <w:rFonts w:eastAsia="方正楷体_GBK"/>
                <w:b/>
                <w:color w:val="000000"/>
                <w:szCs w:val="21"/>
              </w:rPr>
            </w:pPr>
            <w:r>
              <w:rPr>
                <w:rFonts w:eastAsia="方正楷体_GBK"/>
                <w:b/>
                <w:color w:val="000000"/>
                <w:szCs w:val="21"/>
              </w:rPr>
              <w:t xml:space="preserve">（</w:t>
            </w:r>
            <w:r>
              <w:rPr>
                <w:rFonts w:hint="eastAsia" w:eastAsia="方正楷体_GBK"/>
                <w:b/>
                <w:color w:val="000000"/>
                <w:szCs w:val="21"/>
              </w:rPr>
              <w:t xml:space="preserve">7</w:t>
            </w:r>
            <w:r>
              <w:rPr>
                <w:rFonts w:eastAsia="方正楷体_GBK"/>
                <w:b/>
                <w:color w:val="000000"/>
                <w:szCs w:val="21"/>
              </w:rPr>
              <w:t xml:space="preserve">）</w:t>
            </w:r>
            <w:r>
              <w:rPr>
                <w:rFonts w:hint="eastAsia" w:eastAsia="方正楷体_GBK"/>
                <w:b/>
                <w:color w:val="000000"/>
                <w:szCs w:val="21"/>
              </w:rPr>
              <w:t xml:space="preserve">序号20：</w:t>
            </w:r>
            <w:r>
              <w:rPr>
                <w:rFonts w:eastAsia="方正楷体_GBK"/>
                <w:b/>
                <w:color w:val="000000"/>
                <w:szCs w:val="21"/>
              </w:rPr>
              <w:t xml:space="preserve">结构构件智能涂装作业模拟器</w:t>
            </w:r>
            <w:r>
              <w:rPr>
                <w:rFonts w:eastAsia="方正楷体_GBK"/>
                <w:b/>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支持根据喷枪的倾角、运枪速度、喷嘴到工件距离、喷射角度、气压、涂料等参数模拟喷涂效果，训练过程中会动态显示。</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支持模拟不同的涂料的雾化效果和附着效果，并模拟涂料喷涂过程中产生的烟气效果。</w:t>
            </w:r>
            <w:r>
              <w:rPr>
                <w:rFonts w:eastAsia="方正楷体_GBK"/>
                <w:bCs/>
                <w:color w:val="000000"/>
                <w:szCs w:val="21"/>
              </w:rPr>
            </w:r>
            <w:r/>
          </w:p>
          <w:p>
            <w:pPr>
              <w:pStyle w:val="716"/>
              <w:rPr>
                <w:rFonts w:eastAsia="方正楷体_GBK"/>
                <w:bCs/>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模型数据导入功能：支持从船体三维建模软件中导入模型数据（如Tribon M3系统数据导入）。</w:t>
            </w:r>
            <w:r>
              <w:rPr>
                <w:rFonts w:eastAsia="方正楷体_GBK"/>
                <w:bCs/>
                <w:color w:val="000000"/>
                <w:szCs w:val="21"/>
              </w:rPr>
            </w:r>
            <w:r/>
          </w:p>
          <w:p>
            <w:pPr>
              <w:pStyle w:val="716"/>
              <w:rPr>
                <w:rFonts w:eastAsia="方正楷体_GBK"/>
                <w:b/>
                <w:color w:val="000000"/>
                <w:szCs w:val="21"/>
              </w:rPr>
            </w:pPr>
            <w:r>
              <w:rPr>
                <w:rFonts w:eastAsia="方正楷体_GBK"/>
                <w:bCs/>
                <w:color w:val="000000"/>
                <w:szCs w:val="21"/>
              </w:rPr>
              <w:t xml:space="preserve"></w:t>
            </w:r>
            <w:r>
              <w:rPr>
                <w:rFonts w:eastAsia="方正楷体_GBK"/>
                <w:bCs/>
                <w:color w:val="000000"/>
                <w:szCs w:val="21"/>
              </w:rPr>
              <w:tab/>
            </w:r>
            <w:r>
              <w:rPr>
                <w:rFonts w:eastAsia="方正楷体_GBK"/>
                <w:bCs/>
                <w:color w:val="000000"/>
                <w:szCs w:val="21"/>
              </w:rPr>
              <w:t xml:space="preserve">支持批量导出报表：批量导出报表，可以全自动批量导出涂装工艺设计的报表。</w:t>
            </w:r>
            <w:r>
              <w:rPr>
                <w:rFonts w:eastAsia="方正楷体_GBK"/>
                <w:b/>
                <w:color w:val="000000"/>
                <w:szCs w:val="21"/>
              </w:rPr>
            </w:r>
            <w:r/>
          </w:p>
        </w:tc>
        <w:tc>
          <w:tcPr>
            <w:tcW w:w="71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40</w:t>
            </w:r>
            <w:r>
              <w:rPr>
                <w:rFonts w:eastAsia="方正楷体_GBK"/>
                <w:color w:val="000000"/>
                <w:szCs w:val="21"/>
              </w:rPr>
            </w:r>
            <w:r/>
          </w:p>
        </w:tc>
      </w:tr>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2</w:t>
            </w:r>
            <w:r>
              <w:rPr>
                <w:rFonts w:eastAsia="方正楷体_GBK"/>
                <w:color w:val="000000"/>
                <w:szCs w:val="21"/>
              </w:rPr>
            </w:r>
            <w:r/>
          </w:p>
        </w:tc>
        <w:tc>
          <w:tcPr>
            <w:tcW w:w="1134" w:type="dxa"/>
            <w:vAlign w:val="center"/>
            <w:textDirection w:val="lrTb"/>
            <w:noWrap w:val="false"/>
          </w:tcPr>
          <w:p>
            <w:pPr>
              <w:pStyle w:val="716"/>
              <w:jc w:val="center"/>
              <w:rPr>
                <w:rFonts w:hint="eastAsia" w:eastAsia="方正楷体_GBK"/>
                <w:color w:val="000000"/>
                <w:szCs w:val="21"/>
              </w:rPr>
            </w:pPr>
            <w:r>
              <w:rPr>
                <w:rFonts w:eastAsia="方正楷体_GBK"/>
                <w:color w:val="000000"/>
                <w:szCs w:val="21"/>
              </w:rPr>
              <w:t xml:space="preserve">企业实力</w:t>
            </w:r>
            <w:r>
              <w:rPr>
                <w:rFonts w:hint="eastAsia" w:eastAsia="方正楷体_GBK"/>
                <w:color w:val="000000"/>
                <w:szCs w:val="21"/>
              </w:rPr>
            </w:r>
            <w:r/>
          </w:p>
        </w:tc>
        <w:tc>
          <w:tcPr>
            <w:tcW w:w="6796" w:type="dxa"/>
            <w:vAlign w:val="center"/>
            <w:textDirection w:val="lrTb"/>
            <w:noWrap w:val="false"/>
          </w:tcPr>
          <w:p>
            <w:pPr>
              <w:pStyle w:val="716"/>
              <w:rPr>
                <w:rFonts w:eastAsia="方正楷体_GBK"/>
                <w:color w:val="000000"/>
                <w:szCs w:val="21"/>
              </w:rPr>
            </w:pPr>
            <w:r>
              <w:rPr>
                <w:rFonts w:eastAsia="方正楷体_GBK"/>
                <w:color w:val="000000"/>
                <w:szCs w:val="21"/>
              </w:rPr>
              <w:t xml:space="preserve">1.投标人自2021年1月1日以来获得省级科技厅/工信厅/省级造船工程学会颁发的船舶领域科技奖或科学技术奖的得1分，投标人自2021年1月1日以来获得国家级船舶领域科技奖或科学技术奖的得2分，本项最多得2分。</w:t>
            </w:r>
            <w:r>
              <w:rPr>
                <w:rFonts w:eastAsia="方正楷体_GBK"/>
                <w:color w:val="000000"/>
                <w:szCs w:val="21"/>
              </w:rPr>
            </w:r>
            <w:r/>
          </w:p>
          <w:p>
            <w:pPr>
              <w:pStyle w:val="750"/>
              <w:rPr>
                <w:rFonts w:ascii="Times New Roman" w:eastAsia="方正楷体_GBK"/>
                <w:color w:val="000000"/>
                <w:sz w:val="21"/>
                <w:szCs w:val="21"/>
              </w:rPr>
            </w:pPr>
            <w:r>
              <w:rPr>
                <w:rFonts w:ascii="Times New Roman" w:eastAsia="方正楷体_GBK"/>
                <w:color w:val="000000"/>
                <w:sz w:val="21"/>
                <w:szCs w:val="21"/>
              </w:rPr>
              <w:t xml:space="preserve">2.投标人拟提供的本项目团队人员应具备一定的专业技术水平，由评委进行评分：投标人需提供团队人员信息（至少包括姓名、学历、职称、本项目所承担角色、相关项目经验），同时承诺不随意变更团队人员的前提下，还需满足以下条件：</w:t>
            </w:r>
            <w:r>
              <w:rPr>
                <w:rFonts w:ascii="Times New Roman" w:eastAsia="方正楷体_GBK"/>
                <w:color w:val="000000"/>
                <w:sz w:val="21"/>
                <w:szCs w:val="21"/>
              </w:rPr>
            </w:r>
            <w:r/>
          </w:p>
          <w:p>
            <w:pPr>
              <w:pStyle w:val="750"/>
              <w:rPr>
                <w:rFonts w:ascii="Times New Roman" w:eastAsia="方正楷体_GBK"/>
                <w:color w:val="000000"/>
                <w:sz w:val="21"/>
                <w:szCs w:val="21"/>
              </w:rPr>
            </w:pPr>
            <w:r>
              <w:rPr>
                <w:rFonts w:ascii="Times New Roman" w:eastAsia="方正楷体_GBK"/>
                <w:color w:val="000000"/>
                <w:sz w:val="21"/>
                <w:szCs w:val="21"/>
              </w:rPr>
              <w:t xml:space="preserve">(1)拟提供项目总负责人1人且具有船舶领域工程系列专业副高级及以上技术职称的，得1分。</w:t>
            </w:r>
            <w:r>
              <w:rPr>
                <w:rFonts w:ascii="Times New Roman" w:eastAsia="方正楷体_GBK"/>
                <w:color w:val="000000"/>
                <w:sz w:val="21"/>
                <w:szCs w:val="21"/>
              </w:rPr>
            </w:r>
            <w:r/>
          </w:p>
          <w:p>
            <w:pPr>
              <w:pStyle w:val="750"/>
              <w:rPr>
                <w:rFonts w:ascii="Times New Roman" w:eastAsia="方正楷体_GBK"/>
                <w:color w:val="000000"/>
                <w:sz w:val="21"/>
                <w:szCs w:val="21"/>
              </w:rPr>
            </w:pPr>
            <w:r>
              <w:rPr>
                <w:rFonts w:ascii="Times New Roman" w:eastAsia="方正楷体_GBK"/>
                <w:color w:val="000000"/>
                <w:sz w:val="21"/>
                <w:szCs w:val="21"/>
              </w:rPr>
              <w:t xml:space="preserve">(2)拟提供技术专家1人且具有船舶领域工程系列专业副高级及以上技术职称的，得1分。</w:t>
            </w:r>
            <w:r>
              <w:rPr>
                <w:rFonts w:ascii="Times New Roman" w:eastAsia="方正楷体_GBK"/>
                <w:color w:val="000000"/>
                <w:sz w:val="21"/>
                <w:szCs w:val="21"/>
              </w:rPr>
            </w:r>
            <w:r/>
          </w:p>
          <w:p>
            <w:pPr>
              <w:pStyle w:val="750"/>
              <w:rPr>
                <w:rFonts w:ascii="Times New Roman" w:eastAsia="方正楷体_GBK"/>
                <w:color w:val="000000"/>
                <w:sz w:val="21"/>
                <w:szCs w:val="21"/>
              </w:rPr>
            </w:pPr>
            <w:r>
              <w:rPr>
                <w:rFonts w:ascii="Times New Roman" w:eastAsia="方正楷体_GBK"/>
                <w:color w:val="000000"/>
                <w:sz w:val="21"/>
                <w:szCs w:val="21"/>
              </w:rPr>
              <w:t xml:space="preserve">(3)拟提供其他项目组成员具有船舶领域工程系列专业中级及以上技术职称的，每提供一名得 0.5 分。</w:t>
            </w:r>
            <w:r>
              <w:rPr>
                <w:rFonts w:ascii="Times New Roman" w:eastAsia="方正楷体_GBK"/>
                <w:color w:val="000000"/>
                <w:sz w:val="21"/>
                <w:szCs w:val="21"/>
              </w:rPr>
            </w:r>
            <w:r/>
          </w:p>
          <w:p>
            <w:pPr>
              <w:pStyle w:val="750"/>
              <w:rPr>
                <w:rFonts w:hint="eastAsia" w:ascii="Times New Roman" w:eastAsia="方正楷体_GBK"/>
                <w:color w:val="000000"/>
                <w:sz w:val="21"/>
                <w:szCs w:val="21"/>
              </w:rPr>
            </w:pPr>
            <w:r>
              <w:rPr>
                <w:rFonts w:ascii="Times New Roman" w:eastAsia="方正楷体_GBK"/>
                <w:color w:val="000000"/>
                <w:sz w:val="21"/>
                <w:szCs w:val="21"/>
              </w:rPr>
              <w:t xml:space="preserve">(</w:t>
            </w:r>
            <w:r>
              <w:rPr>
                <w:rFonts w:hint="eastAsia" w:ascii="Times New Roman" w:eastAsia="方正楷体_GBK"/>
                <w:color w:val="000000"/>
                <w:sz w:val="21"/>
                <w:szCs w:val="21"/>
              </w:rPr>
              <w:t xml:space="preserve">4</w:t>
            </w:r>
            <w:r>
              <w:rPr>
                <w:rFonts w:ascii="Times New Roman" w:eastAsia="方正楷体_GBK"/>
                <w:color w:val="000000"/>
                <w:sz w:val="21"/>
                <w:szCs w:val="21"/>
              </w:rPr>
              <w:t xml:space="preserve">)</w:t>
            </w:r>
            <w:r>
              <w:rPr>
                <w:rFonts w:hint="eastAsia" w:ascii="Times New Roman" w:eastAsia="方正楷体_GBK"/>
                <w:color w:val="000000"/>
                <w:sz w:val="21"/>
                <w:szCs w:val="21"/>
              </w:rPr>
              <w:t xml:space="preserve">本项目</w:t>
            </w:r>
            <w:r>
              <w:rPr>
                <w:rFonts w:ascii="Times New Roman" w:eastAsia="方正楷体_GBK"/>
                <w:color w:val="000000"/>
                <w:sz w:val="21"/>
                <w:szCs w:val="21"/>
              </w:rPr>
              <w:t xml:space="preserve">满分3分</w:t>
            </w:r>
            <w:r>
              <w:rPr>
                <w:rFonts w:hint="eastAsia" w:ascii="Times New Roman" w:eastAsia="方正楷体_GBK"/>
                <w:color w:val="000000"/>
                <w:sz w:val="21"/>
                <w:szCs w:val="21"/>
              </w:rPr>
            </w:r>
            <w:r/>
          </w:p>
          <w:p>
            <w:pPr>
              <w:pStyle w:val="716"/>
              <w:rPr>
                <w:rFonts w:eastAsia="方正楷体_GBK"/>
                <w:b/>
                <w:bCs/>
                <w:color w:val="000000"/>
                <w:szCs w:val="21"/>
              </w:rPr>
            </w:pPr>
            <w:r>
              <w:rPr>
                <w:rFonts w:eastAsia="方正楷体_GBK"/>
                <w:b/>
                <w:bCs/>
                <w:color w:val="000000"/>
                <w:szCs w:val="21"/>
              </w:rPr>
              <w:t xml:space="preserve">注：</w:t>
            </w:r>
            <w:r>
              <w:rPr>
                <w:rFonts w:eastAsia="方正楷体_GBK"/>
                <w:b/>
                <w:bCs/>
                <w:color w:val="000000"/>
                <w:szCs w:val="21"/>
              </w:rPr>
            </w:r>
            <w:r/>
          </w:p>
          <w:p>
            <w:pPr>
              <w:pStyle w:val="716"/>
              <w:rPr>
                <w:rFonts w:eastAsia="方正楷体_GBK"/>
                <w:b/>
                <w:bCs/>
                <w:color w:val="000000"/>
                <w:szCs w:val="21"/>
              </w:rPr>
            </w:pPr>
            <w:r>
              <w:rPr>
                <w:rFonts w:eastAsia="方正楷体_GBK"/>
                <w:b/>
                <w:bCs/>
                <w:color w:val="000000"/>
                <w:szCs w:val="21"/>
              </w:rPr>
              <w:t xml:space="preserve">1.投标时须提供上述人员职称证书扫描件和投标人为其缴交投标截止时间前任意1个月的有效社保缴纳证明材料（证明材料应由国家社会保险相关机构出具，非投标人缴纳等代缴情形不予认可），并加盖投标人公章，否则不得分。</w:t>
            </w:r>
            <w:r>
              <w:rPr>
                <w:rFonts w:eastAsia="方正楷体_GBK"/>
                <w:b/>
                <w:bCs/>
                <w:color w:val="000000"/>
                <w:szCs w:val="21"/>
              </w:rPr>
            </w:r>
            <w:r/>
          </w:p>
          <w:p>
            <w:pPr>
              <w:pStyle w:val="716"/>
              <w:rPr>
                <w:rFonts w:eastAsia="方正楷体_GBK"/>
                <w:b/>
                <w:bCs/>
                <w:color w:val="000000"/>
                <w:szCs w:val="21"/>
              </w:rPr>
            </w:pPr>
            <w:r>
              <w:rPr>
                <w:rFonts w:eastAsia="方正楷体_GBK"/>
                <w:b/>
                <w:bCs/>
                <w:color w:val="000000"/>
                <w:szCs w:val="21"/>
              </w:rPr>
              <w:t xml:space="preserve">2.（1）、（2）和（3）中的人员不得重复，若重复，则重复人员不得分。证书原件备查。</w:t>
            </w:r>
            <w:r>
              <w:rPr>
                <w:rFonts w:eastAsia="方正楷体_GBK"/>
                <w:b/>
                <w:bCs/>
                <w:color w:val="000000"/>
                <w:szCs w:val="21"/>
              </w:rPr>
            </w:r>
            <w:r/>
          </w:p>
          <w:p>
            <w:pPr>
              <w:pStyle w:val="716"/>
              <w:rPr>
                <w:rFonts w:eastAsia="方正楷体_GBK"/>
                <w:color w:val="000000"/>
                <w:szCs w:val="21"/>
              </w:rPr>
            </w:pPr>
            <w:r>
              <w:rPr>
                <w:rFonts w:eastAsia="方正楷体_GBK"/>
                <w:color w:val="000000"/>
                <w:szCs w:val="21"/>
              </w:rPr>
              <w:t xml:space="preserve">本项最高得5分，投标人须提供有效的证书扫描件，未提供或证明材料无效均不得分。</w:t>
            </w:r>
            <w:r>
              <w:rPr>
                <w:rFonts w:eastAsia="方正楷体_GBK"/>
                <w:color w:val="000000"/>
                <w:szCs w:val="21"/>
              </w:rPr>
            </w:r>
            <w:r/>
          </w:p>
        </w:tc>
        <w:tc>
          <w:tcPr>
            <w:tcW w:w="71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5</w:t>
            </w:r>
            <w:r>
              <w:rPr>
                <w:rFonts w:eastAsia="方正楷体_GBK"/>
                <w:color w:val="000000"/>
                <w:szCs w:val="21"/>
              </w:rPr>
            </w:r>
            <w:r/>
          </w:p>
        </w:tc>
      </w:tr>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3</w:t>
            </w:r>
            <w:r>
              <w:rPr>
                <w:rFonts w:eastAsia="方正楷体_GBK"/>
                <w:color w:val="000000"/>
                <w:szCs w:val="21"/>
              </w:rPr>
            </w:r>
            <w:r/>
          </w:p>
        </w:tc>
        <w:tc>
          <w:tcPr>
            <w:tcW w:w="1134" w:type="dxa"/>
            <w:vAlign w:val="center"/>
            <w:textDirection w:val="lrTb"/>
            <w:noWrap w:val="false"/>
          </w:tcPr>
          <w:p>
            <w:pPr>
              <w:pStyle w:val="716"/>
              <w:jc w:val="center"/>
              <w:rPr>
                <w:rFonts w:hint="eastAsia" w:eastAsia="方正楷体_GBK"/>
                <w:color w:val="000000"/>
                <w:szCs w:val="21"/>
              </w:rPr>
            </w:pPr>
            <w:r>
              <w:rPr>
                <w:rFonts w:eastAsia="方正楷体_GBK"/>
                <w:color w:val="000000"/>
                <w:szCs w:val="21"/>
              </w:rPr>
              <w:t xml:space="preserve">企业业绩</w:t>
            </w:r>
            <w:r>
              <w:rPr>
                <w:rFonts w:hint="eastAsia" w:eastAsia="方正楷体_GBK"/>
                <w:color w:val="000000"/>
                <w:szCs w:val="21"/>
              </w:rPr>
            </w:r>
            <w:r/>
          </w:p>
        </w:tc>
        <w:tc>
          <w:tcPr>
            <w:tcW w:w="6796" w:type="dxa"/>
            <w:vAlign w:val="center"/>
            <w:textDirection w:val="lrTb"/>
            <w:noWrap w:val="false"/>
          </w:tcPr>
          <w:p>
            <w:pPr>
              <w:pStyle w:val="716"/>
              <w:numPr>
                <w:ilvl w:val="0"/>
                <w:numId w:val="9"/>
              </w:numPr>
              <w:tabs>
                <w:tab w:val="left" w:pos="312" w:leader="none"/>
              </w:tabs>
              <w:rPr>
                <w:rFonts w:eastAsia="方正楷体_GBK"/>
                <w:color w:val="000000"/>
                <w:szCs w:val="21"/>
              </w:rPr>
            </w:pPr>
            <w:r>
              <w:rPr>
                <w:rFonts w:eastAsia="方正楷体_GBK"/>
                <w:color w:val="000000"/>
                <w:szCs w:val="21"/>
              </w:rPr>
              <w:t xml:space="preserve">投标人自2023年1月1日（以采购合同签订时间为准）以来承担过类似船舶仿真实训项目的业绩的，每提供一个得</w:t>
            </w:r>
            <w:r>
              <w:rPr>
                <w:rFonts w:hint="eastAsia" w:eastAsia="方正楷体_GBK"/>
                <w:color w:val="000000"/>
                <w:szCs w:val="21"/>
              </w:rPr>
              <w:t xml:space="preserve">1.5</w:t>
            </w:r>
            <w:r>
              <w:rPr>
                <w:rFonts w:eastAsia="方正楷体_GBK"/>
                <w:color w:val="000000"/>
                <w:szCs w:val="21"/>
              </w:rPr>
              <w:t xml:space="preserve">分，本项最多得</w:t>
            </w:r>
            <w:r>
              <w:rPr>
                <w:rFonts w:hint="eastAsia" w:eastAsia="方正楷体_GBK"/>
                <w:color w:val="000000"/>
                <w:szCs w:val="21"/>
              </w:rPr>
              <w:t xml:space="preserve">3</w:t>
            </w:r>
            <w:r>
              <w:rPr>
                <w:rFonts w:eastAsia="方正楷体_GBK"/>
                <w:color w:val="000000"/>
                <w:szCs w:val="21"/>
              </w:rPr>
              <w:t xml:space="preserve">分。</w:t>
            </w:r>
            <w:r>
              <w:rPr>
                <w:rFonts w:eastAsia="方正楷体_GBK"/>
                <w:color w:val="000000"/>
                <w:szCs w:val="21"/>
              </w:rPr>
            </w:r>
            <w:r/>
          </w:p>
          <w:p>
            <w:pPr>
              <w:pStyle w:val="716"/>
              <w:numPr>
                <w:ilvl w:val="0"/>
                <w:numId w:val="9"/>
              </w:numPr>
              <w:tabs>
                <w:tab w:val="left" w:pos="312" w:leader="none"/>
              </w:tabs>
              <w:rPr>
                <w:rFonts w:eastAsia="方正楷体_GBK"/>
                <w:color w:val="000000"/>
                <w:szCs w:val="21"/>
              </w:rPr>
            </w:pPr>
            <w:r>
              <w:rPr>
                <w:rFonts w:eastAsia="方正楷体_GBK"/>
                <w:color w:val="000000"/>
                <w:szCs w:val="21"/>
              </w:rPr>
              <w:t xml:space="preserve">投标人自2023年1月1日（以合同签订时间为准）承接过公共建筑室内外装修，如场馆改造、办公楼、学校、医院、展厅等类似工程业绩的，每提供一个得</w:t>
            </w:r>
            <w:r>
              <w:rPr>
                <w:rFonts w:hint="eastAsia" w:eastAsia="方正楷体_GBK"/>
                <w:color w:val="000000"/>
                <w:szCs w:val="21"/>
              </w:rPr>
              <w:t xml:space="preserve">1.5</w:t>
            </w:r>
            <w:r>
              <w:rPr>
                <w:rFonts w:eastAsia="方正楷体_GBK"/>
                <w:color w:val="000000"/>
                <w:szCs w:val="21"/>
              </w:rPr>
              <w:t xml:space="preserve">分，本项最多得</w:t>
            </w:r>
            <w:r>
              <w:rPr>
                <w:rFonts w:hint="eastAsia" w:eastAsia="方正楷体_GBK"/>
                <w:color w:val="000000"/>
                <w:szCs w:val="21"/>
              </w:rPr>
              <w:t xml:space="preserve">3</w:t>
            </w:r>
            <w:r>
              <w:rPr>
                <w:rFonts w:eastAsia="方正楷体_GBK"/>
                <w:color w:val="000000"/>
                <w:szCs w:val="21"/>
              </w:rPr>
              <w:t xml:space="preserve">分</w:t>
            </w:r>
            <w:r>
              <w:rPr>
                <w:rFonts w:eastAsia="方正楷体_GBK"/>
                <w:b/>
                <w:bCs/>
                <w:color w:val="000000"/>
                <w:szCs w:val="21"/>
              </w:rPr>
              <w:t xml:space="preserve">。</w:t>
            </w:r>
            <w:r>
              <w:rPr>
                <w:rFonts w:eastAsia="方正楷体_GBK"/>
                <w:color w:val="000000"/>
                <w:szCs w:val="21"/>
              </w:rPr>
            </w:r>
            <w:r/>
          </w:p>
          <w:p>
            <w:pPr>
              <w:pStyle w:val="716"/>
              <w:rPr>
                <w:rFonts w:eastAsia="方正楷体_GBK"/>
                <w:b/>
                <w:bCs/>
                <w:color w:val="000000"/>
                <w:szCs w:val="21"/>
              </w:rPr>
            </w:pPr>
            <w:r>
              <w:rPr>
                <w:rFonts w:eastAsia="方正楷体_GBK"/>
                <w:b/>
                <w:bCs/>
                <w:color w:val="000000"/>
                <w:szCs w:val="21"/>
              </w:rPr>
              <w:t xml:space="preserve">注：投标时须同时提供以下资料，并加盖投标人公章，所有材料缺一不可，否则相应业绩不得分：</w:t>
            </w:r>
            <w:r>
              <w:rPr>
                <w:rFonts w:ascii="Cambria Math" w:hAnsi="Cambria Math" w:eastAsia="方正楷体_GBK" w:cs="Cambria Math"/>
                <w:b/>
                <w:bCs/>
                <w:color w:val="000000"/>
                <w:szCs w:val="21"/>
              </w:rPr>
              <w:t xml:space="preserve">①</w:t>
            </w:r>
            <w:r>
              <w:rPr>
                <w:rFonts w:eastAsia="方正楷体_GBK"/>
                <w:b/>
                <w:bCs/>
                <w:color w:val="000000"/>
                <w:szCs w:val="21"/>
              </w:rPr>
              <w:t xml:space="preserve">中标（成交）公告（须提供相关中标（成交）公告的</w:t>
            </w:r>
            <w:r>
              <w:rPr>
                <w:rFonts w:ascii="Times New Roman" w:hAnsi="Times New Roman" w:eastAsia="方正楷体_GBK" w:cs="Times New Roman"/>
                <w:b/>
                <w:bCs/>
                <w:color w:val="000000"/>
                <w:szCs w:val="21"/>
              </w:rPr>
              <w:t xml:space="preserve">网站截图并注明网址</w:t>
            </w:r>
            <w:r>
              <w:rPr>
                <w:rFonts w:eastAsia="方正楷体_GBK"/>
                <w:b/>
                <w:bCs/>
                <w:color w:val="000000"/>
                <w:szCs w:val="21"/>
              </w:rPr>
              <w:t xml:space="preserve">）；</w:t>
            </w:r>
            <w:r>
              <w:rPr>
                <w:rFonts w:ascii="Cambria Math" w:hAnsi="Cambria Math" w:eastAsia="方正楷体_GBK" w:cs="Cambria Math"/>
                <w:b/>
                <w:bCs/>
                <w:color w:val="000000"/>
                <w:szCs w:val="21"/>
              </w:rPr>
              <w:t xml:space="preserve">②</w:t>
            </w:r>
            <w:r>
              <w:rPr>
                <w:rFonts w:eastAsia="方正楷体_GBK"/>
                <w:b/>
                <w:bCs/>
                <w:color w:val="000000"/>
                <w:szCs w:val="21"/>
              </w:rPr>
              <w:t xml:space="preserve">中标（成交）通知书扫描件；</w:t>
            </w:r>
            <w:r>
              <w:rPr>
                <w:rFonts w:ascii="Cambria Math" w:hAnsi="Cambria Math" w:eastAsia="方正楷体_GBK" w:cs="Cambria Math"/>
                <w:b/>
                <w:bCs/>
                <w:color w:val="000000"/>
                <w:szCs w:val="21"/>
              </w:rPr>
              <w:t xml:space="preserve">③</w:t>
            </w:r>
            <w:r>
              <w:rPr>
                <w:rFonts w:eastAsia="方正楷体_GBK"/>
                <w:b/>
                <w:bCs/>
                <w:color w:val="000000"/>
                <w:szCs w:val="21"/>
              </w:rPr>
              <w:t xml:space="preserve">合同文本扫描件（包括但不限于客户名称、产品、合同总金额、签订日期及签章内容）；</w:t>
            </w:r>
            <w:r>
              <w:rPr>
                <w:rFonts w:ascii="Cambria Math" w:hAnsi="Cambria Math" w:eastAsia="方正楷体_GBK" w:cs="Cambria Math"/>
                <w:b/>
                <w:bCs/>
                <w:color w:val="000000"/>
                <w:szCs w:val="21"/>
              </w:rPr>
              <w:t xml:space="preserve">④</w:t>
            </w:r>
            <w:r>
              <w:rPr>
                <w:rFonts w:eastAsia="方正楷体_GBK"/>
                <w:b/>
                <w:bCs/>
                <w:color w:val="000000"/>
                <w:szCs w:val="21"/>
              </w:rPr>
              <w:t xml:space="preserve">项目业绩验收合格证明文件扫描件；</w:t>
            </w:r>
            <w:r>
              <w:rPr>
                <w:rFonts w:ascii="Cambria Math" w:hAnsi="Cambria Math" w:eastAsia="方正楷体_GBK" w:cs="Cambria Math"/>
                <w:b/>
                <w:bCs/>
                <w:color w:val="000000"/>
                <w:szCs w:val="21"/>
              </w:rPr>
              <w:t xml:space="preserve">⑤</w:t>
            </w:r>
            <w:r>
              <w:rPr>
                <w:rFonts w:eastAsia="方正楷体_GBK"/>
                <w:b/>
                <w:bCs/>
                <w:color w:val="000000"/>
                <w:szCs w:val="21"/>
              </w:rPr>
              <w:t xml:space="preserve">合同总额30%及以上对应发票和银行收款进账凭证扫描件。</w:t>
            </w:r>
            <w:r>
              <w:rPr>
                <w:rFonts w:eastAsia="方正楷体_GBK"/>
                <w:b/>
                <w:bCs/>
                <w:color w:val="000000"/>
                <w:szCs w:val="21"/>
              </w:rPr>
            </w:r>
            <w:r/>
          </w:p>
        </w:tc>
        <w:tc>
          <w:tcPr>
            <w:tcW w:w="710" w:type="dxa"/>
            <w:vAlign w:val="center"/>
            <w:textDirection w:val="lrTb"/>
            <w:noWrap w:val="false"/>
          </w:tcPr>
          <w:p>
            <w:pPr>
              <w:pStyle w:val="716"/>
              <w:jc w:val="center"/>
              <w:rPr>
                <w:rFonts w:hint="eastAsia" w:eastAsia="方正楷体_GBK"/>
                <w:color w:val="000000"/>
                <w:szCs w:val="21"/>
              </w:rPr>
            </w:pPr>
            <w:r>
              <w:rPr>
                <w:rFonts w:hint="eastAsia" w:eastAsia="方正楷体_GBK"/>
                <w:color w:val="000000"/>
                <w:szCs w:val="21"/>
              </w:rPr>
              <w:t xml:space="preserve">6</w:t>
            </w:r>
            <w:r>
              <w:rPr>
                <w:rFonts w:hint="eastAsia" w:eastAsia="方正楷体_GBK"/>
                <w:color w:val="000000"/>
                <w:szCs w:val="21"/>
              </w:rPr>
            </w:r>
            <w:r/>
          </w:p>
        </w:tc>
      </w:tr>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4</w:t>
            </w:r>
            <w:r>
              <w:rPr>
                <w:rFonts w:eastAsia="方正楷体_GBK"/>
                <w:color w:val="000000"/>
                <w:szCs w:val="21"/>
              </w:rPr>
            </w:r>
            <w:r/>
          </w:p>
        </w:tc>
        <w:tc>
          <w:tcPr>
            <w:tcW w:w="1134" w:type="dxa"/>
            <w:vAlign w:val="center"/>
            <w:textDirection w:val="lrTb"/>
            <w:noWrap w:val="false"/>
          </w:tcPr>
          <w:p>
            <w:pPr>
              <w:pStyle w:val="716"/>
              <w:jc w:val="center"/>
              <w:rPr>
                <w:rFonts w:hint="eastAsia" w:eastAsia="方正楷体_GBK"/>
                <w:color w:val="000000"/>
                <w:szCs w:val="21"/>
              </w:rPr>
            </w:pPr>
            <w:r>
              <w:rPr>
                <w:rFonts w:eastAsia="方正楷体_GBK"/>
                <w:color w:val="000000"/>
                <w:szCs w:val="21"/>
              </w:rPr>
              <w:t xml:space="preserve">项目实施方案</w:t>
            </w:r>
            <w:r>
              <w:rPr>
                <w:rFonts w:hint="eastAsia" w:eastAsia="方正楷体_GBK"/>
                <w:color w:val="000000"/>
                <w:szCs w:val="21"/>
              </w:rPr>
            </w:r>
            <w:r/>
          </w:p>
        </w:tc>
        <w:tc>
          <w:tcPr>
            <w:tcW w:w="6796" w:type="dxa"/>
            <w:vAlign w:val="center"/>
            <w:textDirection w:val="lrTb"/>
            <w:noWrap w:val="false"/>
          </w:tcPr>
          <w:p>
            <w:pPr>
              <w:pStyle w:val="716"/>
              <w:rPr>
                <w:rFonts w:eastAsia="方正楷体_GBK"/>
                <w:color w:val="000000"/>
                <w:szCs w:val="21"/>
              </w:rPr>
            </w:pPr>
            <w:r>
              <w:rPr>
                <w:rFonts w:eastAsia="方正楷体_GBK"/>
                <w:color w:val="000000"/>
                <w:szCs w:val="21"/>
              </w:rPr>
              <w:t xml:space="preserve">根据投标人针对本项目，制定供货计划及实施方案，具体包括部署架构、项目组织实施、安装调试、项目实施进度安排、验收等内容，评标委员会根据保证措施方案进行综合打分。</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1.项目计划与实施方案科学合理、完整切实可行的，得</w:t>
            </w:r>
            <w:r>
              <w:rPr>
                <w:rFonts w:hint="eastAsia" w:eastAsia="方正楷体_GBK"/>
                <w:color w:val="000000"/>
                <w:szCs w:val="21"/>
              </w:rPr>
              <w:t xml:space="preserve">3</w:t>
            </w:r>
            <w:r>
              <w:rPr>
                <w:rFonts w:eastAsia="方正楷体_GBK"/>
                <w:color w:val="000000"/>
                <w:szCs w:val="21"/>
              </w:rPr>
              <w:t xml:space="preserve">分；</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2.项目计划与实施方案完整，但科学合理性及可行性欠缺的，得2分；</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3.项目计划与实施方案欠缺且科学合理性及可行性欠缺的，得1分；</w:t>
            </w:r>
            <w:r>
              <w:rPr>
                <w:rFonts w:eastAsia="方正楷体_GBK"/>
                <w:color w:val="000000"/>
                <w:szCs w:val="21"/>
              </w:rPr>
            </w:r>
            <w:r/>
          </w:p>
          <w:p>
            <w:pPr>
              <w:pStyle w:val="716"/>
              <w:rPr>
                <w:rFonts w:eastAsia="方正楷体_GBK"/>
                <w:color w:val="000000"/>
                <w:szCs w:val="21"/>
              </w:rPr>
            </w:pPr>
            <w:r>
              <w:rPr>
                <w:rFonts w:eastAsia="方正楷体_GBK"/>
                <w:color w:val="000000"/>
                <w:szCs w:val="21"/>
              </w:rPr>
              <w:t xml:space="preserve">4.不合理、不提供的，不得分。</w:t>
            </w:r>
            <w:r>
              <w:rPr>
                <w:rFonts w:eastAsia="方正楷体_GBK"/>
                <w:color w:val="000000"/>
                <w:szCs w:val="21"/>
              </w:rPr>
            </w:r>
            <w:r/>
          </w:p>
        </w:tc>
        <w:tc>
          <w:tcPr>
            <w:tcW w:w="710" w:type="dxa"/>
            <w:vAlign w:val="center"/>
            <w:textDirection w:val="lrTb"/>
            <w:noWrap w:val="false"/>
          </w:tcPr>
          <w:p>
            <w:pPr>
              <w:pStyle w:val="716"/>
              <w:jc w:val="center"/>
              <w:rPr>
                <w:rFonts w:hint="eastAsia" w:eastAsia="方正楷体_GBK"/>
                <w:color w:val="000000"/>
                <w:szCs w:val="21"/>
              </w:rPr>
            </w:pPr>
            <w:r>
              <w:rPr>
                <w:rFonts w:hint="eastAsia" w:eastAsia="方正楷体_GBK"/>
                <w:color w:val="000000"/>
                <w:szCs w:val="21"/>
              </w:rPr>
              <w:t xml:space="preserve">3</w:t>
            </w:r>
            <w:r>
              <w:rPr>
                <w:rFonts w:hint="eastAsia" w:eastAsia="方正楷体_GBK"/>
                <w:color w:val="000000"/>
                <w:szCs w:val="21"/>
              </w:rPr>
            </w:r>
            <w:r/>
          </w:p>
        </w:tc>
      </w:tr>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5</w:t>
            </w:r>
            <w:r>
              <w:rPr>
                <w:rFonts w:eastAsia="方正楷体_GBK"/>
                <w:color w:val="000000"/>
                <w:szCs w:val="21"/>
              </w:rPr>
            </w:r>
            <w:r/>
          </w:p>
        </w:tc>
        <w:tc>
          <w:tcPr>
            <w:tcW w:w="1134" w:type="dxa"/>
            <w:vAlign w:val="center"/>
            <w:textDirection w:val="lrTb"/>
            <w:noWrap w:val="false"/>
          </w:tcPr>
          <w:p>
            <w:pPr>
              <w:pStyle w:val="716"/>
              <w:jc w:val="center"/>
              <w:rPr>
                <w:rFonts w:hint="eastAsia" w:eastAsia="方正楷体_GBK"/>
                <w:color w:val="000000"/>
                <w:szCs w:val="21"/>
              </w:rPr>
            </w:pPr>
            <w:r>
              <w:rPr>
                <w:rFonts w:eastAsia="方正楷体_GBK"/>
                <w:color w:val="000000"/>
                <w:szCs w:val="21"/>
              </w:rPr>
              <w:t xml:space="preserve">售后服务</w:t>
            </w:r>
            <w:r>
              <w:rPr>
                <w:rFonts w:hint="eastAsia" w:eastAsia="方正楷体_GBK"/>
                <w:color w:val="000000"/>
                <w:szCs w:val="21"/>
              </w:rPr>
            </w:r>
            <w:r/>
          </w:p>
        </w:tc>
        <w:tc>
          <w:tcPr>
            <w:tcW w:w="6796"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1.本项目硬件设备质保期最低要求为</w:t>
            </w:r>
            <w:r>
              <w:rPr>
                <w:rFonts w:hint="eastAsia" w:eastAsia="方正楷体_GBK"/>
                <w:color w:val="000000"/>
                <w:szCs w:val="21"/>
              </w:rPr>
              <w:t xml:space="preserve">5</w:t>
            </w:r>
            <w:r>
              <w:rPr>
                <w:rFonts w:eastAsia="方正楷体_GBK"/>
                <w:color w:val="000000"/>
                <w:szCs w:val="21"/>
              </w:rPr>
              <w:t xml:space="preserve">年，每多提供一年质保，得</w:t>
            </w:r>
            <w:r>
              <w:rPr>
                <w:rFonts w:hint="eastAsia" w:eastAsia="方正楷体_GBK"/>
                <w:color w:val="000000"/>
                <w:szCs w:val="21"/>
              </w:rPr>
              <w:t xml:space="preserve">1.5</w:t>
            </w:r>
            <w:r>
              <w:rPr>
                <w:rFonts w:eastAsia="方正楷体_GBK"/>
                <w:color w:val="000000"/>
                <w:szCs w:val="21"/>
              </w:rPr>
              <w:t xml:space="preserve">分，最高得</w:t>
            </w:r>
            <w:r>
              <w:rPr>
                <w:rFonts w:hint="eastAsia" w:eastAsia="方正楷体_GBK"/>
                <w:color w:val="000000"/>
                <w:szCs w:val="21"/>
              </w:rPr>
              <w:t xml:space="preserve">3</w:t>
            </w:r>
            <w:r>
              <w:rPr>
                <w:rFonts w:eastAsia="方正楷体_GBK"/>
                <w:color w:val="000000"/>
                <w:szCs w:val="21"/>
              </w:rPr>
              <w:t xml:space="preserve">分（提供质保承诺）。</w:t>
            </w:r>
            <w:r>
              <w:rPr>
                <w:rFonts w:eastAsia="方正楷体_GBK"/>
                <w:color w:val="000000"/>
                <w:szCs w:val="21"/>
              </w:rPr>
            </w:r>
            <w:r/>
          </w:p>
          <w:p>
            <w:pPr>
              <w:pStyle w:val="716"/>
              <w:widowControl/>
              <w:rPr>
                <w:rFonts w:eastAsia="方正楷体_GBK"/>
                <w:color w:val="000000"/>
                <w:szCs w:val="21"/>
              </w:rPr>
            </w:pPr>
            <w:r>
              <w:rPr>
                <w:rFonts w:hint="eastAsia" w:eastAsia="方正楷体_GBK"/>
                <w:color w:val="000000"/>
                <w:szCs w:val="21"/>
              </w:rPr>
              <w:t xml:space="preserve">2</w:t>
            </w:r>
            <w:r>
              <w:rPr>
                <w:rFonts w:eastAsia="方正楷体_GBK"/>
                <w:color w:val="000000"/>
                <w:szCs w:val="21"/>
              </w:rPr>
              <w:t xml:space="preserve">.软件内容更新机制：</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（1）本项目软件及数字化资源因IMO、IACS、CCS、行业主管部门等发布强制性新规/新标准/新规范等，涉及船舶/海工装备或具体船型建造等内容，</w:t>
            </w:r>
            <w:r>
              <w:rPr>
                <w:rFonts w:hint="eastAsia" w:eastAsia="方正楷体_GBK"/>
                <w:color w:val="000000"/>
                <w:szCs w:val="21"/>
              </w:rPr>
              <w:t xml:space="preserve">5</w:t>
            </w:r>
            <w:r>
              <w:rPr>
                <w:rFonts w:eastAsia="方正楷体_GBK"/>
                <w:color w:val="000000"/>
                <w:szCs w:val="21"/>
              </w:rPr>
              <w:t xml:space="preserve">年内必须免费更新，每延长1年得</w:t>
            </w:r>
            <w:r>
              <w:rPr>
                <w:rFonts w:hint="eastAsia" w:eastAsia="方正楷体_GBK"/>
                <w:color w:val="000000"/>
                <w:szCs w:val="21"/>
              </w:rPr>
              <w:t xml:space="preserve">1.5</w:t>
            </w:r>
            <w:r>
              <w:rPr>
                <w:rFonts w:eastAsia="方正楷体_GBK"/>
                <w:color w:val="000000"/>
                <w:szCs w:val="21"/>
              </w:rPr>
              <w:t xml:space="preserve">分，最多</w:t>
            </w:r>
            <w:r>
              <w:rPr>
                <w:rFonts w:hint="eastAsia" w:eastAsia="方正楷体_GBK"/>
                <w:color w:val="000000"/>
                <w:szCs w:val="21"/>
              </w:rPr>
              <w:t xml:space="preserve">3</w:t>
            </w:r>
            <w:r>
              <w:rPr>
                <w:rFonts w:eastAsia="方正楷体_GBK"/>
                <w:color w:val="000000"/>
                <w:szCs w:val="21"/>
              </w:rPr>
              <w:t xml:space="preserve">分。要求在新规发布后3个月内完成更新并交付。</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（2）本项目软件及数字化资源因适配行业技术发展、绿色造船、智能制造或具体船型主流工艺迭代等变化，</w:t>
            </w:r>
            <w:r>
              <w:rPr>
                <w:rFonts w:hint="eastAsia" w:eastAsia="方正楷体_GBK"/>
                <w:color w:val="000000"/>
                <w:szCs w:val="21"/>
              </w:rPr>
              <w:t xml:space="preserve">5</w:t>
            </w:r>
            <w:r>
              <w:rPr>
                <w:rFonts w:eastAsia="方正楷体_GBK"/>
                <w:color w:val="000000"/>
                <w:szCs w:val="21"/>
              </w:rPr>
              <w:t xml:space="preserve">年内提供1次免费版本更新，更新数量≥50%，更新内容包含模型、场景、工艺流程、考核题库等。</w:t>
            </w:r>
            <w:r>
              <w:rPr>
                <w:rFonts w:hint="eastAsia" w:eastAsia="方正楷体_GBK"/>
                <w:color w:val="000000"/>
                <w:szCs w:val="21"/>
              </w:rPr>
              <w:t xml:space="preserve">5年后</w:t>
            </w:r>
            <w:r>
              <w:rPr>
                <w:rFonts w:eastAsia="方正楷体_GBK"/>
                <w:color w:val="000000"/>
                <w:szCs w:val="21"/>
              </w:rPr>
              <w:t xml:space="preserve">每提供1次得</w:t>
            </w:r>
            <w:r>
              <w:rPr>
                <w:rFonts w:hint="eastAsia" w:eastAsia="方正楷体_GBK"/>
                <w:color w:val="000000"/>
                <w:szCs w:val="21"/>
              </w:rPr>
              <w:t xml:space="preserve">1.5</w:t>
            </w:r>
            <w:r>
              <w:rPr>
                <w:rFonts w:eastAsia="方正楷体_GBK"/>
                <w:color w:val="000000"/>
                <w:szCs w:val="21"/>
              </w:rPr>
              <w:t xml:space="preserve">分，最多</w:t>
            </w:r>
            <w:r>
              <w:rPr>
                <w:rFonts w:hint="eastAsia" w:eastAsia="方正楷体_GBK"/>
                <w:color w:val="000000"/>
                <w:szCs w:val="21"/>
              </w:rPr>
              <w:t xml:space="preserve">3</w:t>
            </w:r>
            <w:r>
              <w:rPr>
                <w:rFonts w:eastAsia="方正楷体_GBK"/>
                <w:color w:val="000000"/>
                <w:szCs w:val="21"/>
              </w:rPr>
              <w:t xml:space="preserve">分。每次更新在每年9 月开学前完成交付，不影响教学。</w:t>
            </w:r>
            <w:r>
              <w:rPr>
                <w:rFonts w:eastAsia="方正楷体_GBK"/>
                <w:color w:val="000000"/>
                <w:szCs w:val="21"/>
              </w:rPr>
            </w:r>
            <w:r/>
          </w:p>
          <w:p>
            <w:pPr>
              <w:pStyle w:val="716"/>
              <w:widowControl/>
              <w:rPr>
                <w:rFonts w:hint="eastAsia" w:eastAsia="方正楷体_GBK"/>
                <w:color w:val="000000"/>
                <w:szCs w:val="21"/>
              </w:rPr>
            </w:pPr>
            <w:r>
              <w:rPr>
                <w:rFonts w:eastAsia="方正楷体_GBK"/>
                <w:color w:val="000000"/>
                <w:szCs w:val="21"/>
              </w:rPr>
              <w:t xml:space="preserve">（3）本项目软件因教材更新、实训大纲调整，</w:t>
            </w:r>
            <w:r>
              <w:rPr>
                <w:rFonts w:hint="eastAsia" w:eastAsia="方正楷体_GBK"/>
                <w:color w:val="000000"/>
                <w:szCs w:val="21"/>
              </w:rPr>
              <w:t xml:space="preserve">5</w:t>
            </w:r>
            <w:r>
              <w:rPr>
                <w:rFonts w:eastAsia="方正楷体_GBK"/>
                <w:color w:val="000000"/>
                <w:szCs w:val="21"/>
              </w:rPr>
              <w:t xml:space="preserve">年内需按校方需求免费提供1次优化实训流程、考核模块、交互逻辑等。每次更新后提供更新说明、操作手册，经校方测试无 bug、符合行业规范、满足实训要求，视为验收通过。</w:t>
            </w:r>
            <w:r>
              <w:rPr>
                <w:rFonts w:hint="eastAsia" w:eastAsia="方正楷体_GBK"/>
                <w:color w:val="000000"/>
                <w:szCs w:val="21"/>
              </w:rPr>
              <w:t xml:space="preserve">5年后</w:t>
            </w:r>
            <w:r>
              <w:rPr>
                <w:rFonts w:eastAsia="方正楷体_GBK"/>
                <w:color w:val="000000"/>
                <w:szCs w:val="21"/>
              </w:rPr>
              <w:t xml:space="preserve">每多提供1次得</w:t>
            </w:r>
            <w:r>
              <w:rPr>
                <w:rFonts w:hint="eastAsia" w:eastAsia="方正楷体_GBK"/>
                <w:color w:val="000000"/>
                <w:szCs w:val="21"/>
              </w:rPr>
              <w:t xml:space="preserve">1</w:t>
            </w:r>
            <w:r>
              <w:rPr>
                <w:rFonts w:eastAsia="方正楷体_GBK"/>
                <w:color w:val="000000"/>
                <w:szCs w:val="21"/>
              </w:rPr>
              <w:t xml:space="preserve">分，最多</w:t>
            </w:r>
            <w:r>
              <w:rPr>
                <w:rFonts w:hint="eastAsia" w:eastAsia="方正楷体_GBK"/>
                <w:color w:val="000000"/>
                <w:szCs w:val="21"/>
              </w:rPr>
              <w:t xml:space="preserve">2</w:t>
            </w:r>
            <w:r>
              <w:rPr>
                <w:rFonts w:eastAsia="方正楷体_GBK"/>
                <w:color w:val="000000"/>
                <w:szCs w:val="21"/>
              </w:rPr>
              <w:t xml:space="preserve">分。校方提出后3 个月内完成并交付。</w:t>
            </w:r>
            <w:r>
              <w:rPr>
                <w:rFonts w:hint="eastAsia" w:eastAsia="方正楷体_GBK"/>
                <w:color w:val="000000"/>
                <w:szCs w:val="21"/>
              </w:rPr>
            </w:r>
            <w:r/>
          </w:p>
        </w:tc>
        <w:tc>
          <w:tcPr>
            <w:tcW w:w="710" w:type="dxa"/>
            <w:vAlign w:val="center"/>
            <w:textDirection w:val="lrTb"/>
            <w:noWrap w:val="false"/>
          </w:tcPr>
          <w:p>
            <w:pPr>
              <w:pStyle w:val="716"/>
              <w:jc w:val="center"/>
              <w:rPr>
                <w:rFonts w:hint="eastAsia" w:eastAsia="方正楷体_GBK"/>
                <w:color w:val="000000"/>
                <w:szCs w:val="21"/>
              </w:rPr>
            </w:pPr>
            <w:r>
              <w:rPr>
                <w:rFonts w:hint="eastAsia" w:eastAsia="方正楷体_GBK"/>
                <w:color w:val="000000"/>
                <w:szCs w:val="21"/>
              </w:rPr>
              <w:t xml:space="preserve">11</w:t>
            </w:r>
            <w:r>
              <w:rPr>
                <w:rFonts w:hint="eastAsia" w:eastAsia="方正楷体_GBK"/>
                <w:color w:val="000000"/>
                <w:szCs w:val="21"/>
              </w:rPr>
            </w:r>
            <w:r/>
          </w:p>
        </w:tc>
      </w:tr>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6</w:t>
            </w:r>
            <w:r>
              <w:rPr>
                <w:rFonts w:eastAsia="方正楷体_GBK"/>
                <w:color w:val="000000"/>
                <w:szCs w:val="21"/>
              </w:rPr>
            </w:r>
            <w:r/>
          </w:p>
        </w:tc>
        <w:tc>
          <w:tcPr>
            <w:tcW w:w="1134" w:type="dxa"/>
            <w:vAlign w:val="center"/>
            <w:textDirection w:val="lrTb"/>
            <w:noWrap w:val="false"/>
          </w:tcPr>
          <w:p>
            <w:pPr>
              <w:pStyle w:val="716"/>
              <w:jc w:val="center"/>
              <w:rPr>
                <w:rFonts w:hint="eastAsia" w:eastAsia="方正楷体_GBK"/>
                <w:color w:val="000000"/>
                <w:szCs w:val="21"/>
              </w:rPr>
            </w:pPr>
            <w:r>
              <w:rPr>
                <w:rFonts w:eastAsia="方正楷体_GBK"/>
                <w:color w:val="000000"/>
                <w:szCs w:val="21"/>
              </w:rPr>
              <w:t xml:space="preserve">培训方案</w:t>
            </w:r>
            <w:r>
              <w:rPr>
                <w:rFonts w:hint="eastAsia" w:eastAsia="方正楷体_GBK"/>
                <w:color w:val="000000"/>
                <w:szCs w:val="21"/>
              </w:rPr>
            </w:r>
            <w:r/>
          </w:p>
        </w:tc>
        <w:tc>
          <w:tcPr>
            <w:tcW w:w="6796"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针对投标人为本项目提供的培训方案进行综合打分，内容至少包括培训目标、培训对象、培训内容、培训方式、培训时间安排等核心要素。评标委员会根据培训方案的完整性、针对性与可操作性进行评分：培训方案要素齐全、目标明确、内容贴合项目实际需求、方式灵活多样的，得3分；培训方案基本完整但针对性或可操作性有所欠缺的，得2分；培训方案要素缺失较多或与实际需求匹配度较低的，得1分；未提供培训方案或方案明显不合理的，不得分。</w:t>
            </w:r>
            <w:r>
              <w:rPr>
                <w:rFonts w:eastAsia="方正楷体_GBK"/>
                <w:color w:val="000000"/>
                <w:szCs w:val="21"/>
              </w:rPr>
            </w:r>
            <w:r/>
          </w:p>
        </w:tc>
        <w:tc>
          <w:tcPr>
            <w:tcW w:w="710" w:type="dxa"/>
            <w:vAlign w:val="center"/>
            <w:textDirection w:val="lrTb"/>
            <w:noWrap w:val="false"/>
          </w:tcPr>
          <w:p>
            <w:pPr>
              <w:pStyle w:val="716"/>
              <w:jc w:val="center"/>
              <w:rPr>
                <w:rFonts w:eastAsia="方正楷体_GBK"/>
                <w:color w:val="000000"/>
                <w:szCs w:val="21"/>
              </w:rPr>
            </w:pPr>
            <w:r>
              <w:rPr>
                <w:rFonts w:hint="eastAsia" w:eastAsia="方正楷体_GBK"/>
                <w:color w:val="000000"/>
                <w:szCs w:val="21"/>
              </w:rPr>
              <w:t xml:space="preserve">3</w:t>
            </w:r>
            <w:r>
              <w:rPr>
                <w:rFonts w:eastAsia="方正楷体_GBK"/>
                <w:color w:val="000000"/>
                <w:szCs w:val="21"/>
              </w:rPr>
            </w:r>
            <w:r/>
          </w:p>
        </w:tc>
      </w:tr>
      <w:tr>
        <w:trPr/>
        <w:tc>
          <w:tcPr>
            <w:tcW w:w="70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7</w:t>
            </w:r>
            <w:r>
              <w:rPr>
                <w:rFonts w:eastAsia="方正楷体_GBK"/>
                <w:color w:val="000000"/>
                <w:szCs w:val="21"/>
              </w:rPr>
            </w:r>
            <w:r/>
          </w:p>
        </w:tc>
        <w:tc>
          <w:tcPr>
            <w:tcW w:w="1134" w:type="dxa"/>
            <w:vAlign w:val="center"/>
            <w:textDirection w:val="lrTb"/>
            <w:noWrap w:val="false"/>
          </w:tcPr>
          <w:p>
            <w:pPr>
              <w:pStyle w:val="716"/>
              <w:jc w:val="center"/>
              <w:rPr>
                <w:rFonts w:hint="eastAsia" w:eastAsia="方正楷体_GBK"/>
                <w:color w:val="000000"/>
                <w:szCs w:val="21"/>
              </w:rPr>
            </w:pPr>
            <w:r>
              <w:rPr>
                <w:rFonts w:eastAsia="方正楷体_GBK"/>
                <w:color w:val="000000"/>
                <w:szCs w:val="21"/>
              </w:rPr>
              <w:t xml:space="preserve">节能环保</w:t>
            </w:r>
            <w:r>
              <w:rPr>
                <w:rFonts w:hint="eastAsia" w:eastAsia="方正楷体_GBK"/>
                <w:color w:val="000000"/>
                <w:szCs w:val="21"/>
              </w:rPr>
            </w:r>
            <w:r/>
          </w:p>
        </w:tc>
        <w:tc>
          <w:tcPr>
            <w:tcW w:w="6796" w:type="dxa"/>
            <w:vAlign w:val="center"/>
            <w:textDirection w:val="lrTb"/>
            <w:noWrap w:val="false"/>
          </w:tcPr>
          <w:p>
            <w:pPr>
              <w:pStyle w:val="716"/>
              <w:widowControl/>
              <w:rPr>
                <w:rFonts w:eastAsia="方正楷体_GBK"/>
                <w:color w:val="000000"/>
                <w:szCs w:val="21"/>
              </w:rPr>
            </w:pPr>
            <w:r>
              <w:rPr>
                <w:rFonts w:eastAsia="方正楷体_GBK"/>
                <w:color w:val="000000"/>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eastAsia="方正楷体_GBK"/>
                <w:color w:val="000000"/>
                <w:szCs w:val="21"/>
              </w:rPr>
            </w:r>
            <w:r/>
          </w:p>
          <w:p>
            <w:pPr>
              <w:pStyle w:val="716"/>
              <w:widowControl/>
              <w:rPr>
                <w:rFonts w:eastAsia="方正楷体_GBK"/>
                <w:color w:val="000000"/>
                <w:szCs w:val="21"/>
              </w:rPr>
            </w:pPr>
            <w:r>
              <w:rPr>
                <w:rFonts w:eastAsia="方正楷体_GBK"/>
                <w:color w:val="000000"/>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eastAsia="方正楷体_GBK"/>
                <w:color w:val="000000"/>
                <w:szCs w:val="21"/>
              </w:rPr>
            </w:r>
            <w:r/>
          </w:p>
        </w:tc>
        <w:tc>
          <w:tcPr>
            <w:tcW w:w="71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2</w:t>
            </w:r>
            <w:r>
              <w:rPr>
                <w:rFonts w:eastAsia="方正楷体_GBK"/>
                <w:color w:val="000000"/>
                <w:szCs w:val="21"/>
              </w:rPr>
            </w:r>
            <w:r/>
          </w:p>
        </w:tc>
      </w:tr>
      <w:tr>
        <w:trPr/>
        <w:tc>
          <w:tcPr>
            <w:gridSpan w:val="3"/>
            <w:tcW w:w="8634"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总计</w:t>
            </w:r>
            <w:r>
              <w:rPr>
                <w:rFonts w:eastAsia="方正楷体_GBK"/>
                <w:color w:val="000000"/>
                <w:szCs w:val="21"/>
              </w:rPr>
            </w:r>
            <w:r/>
          </w:p>
        </w:tc>
        <w:tc>
          <w:tcPr>
            <w:tcW w:w="710" w:type="dxa"/>
            <w:vAlign w:val="center"/>
            <w:textDirection w:val="lrTb"/>
            <w:noWrap w:val="false"/>
          </w:tcPr>
          <w:p>
            <w:pPr>
              <w:pStyle w:val="716"/>
              <w:jc w:val="center"/>
              <w:rPr>
                <w:rFonts w:eastAsia="方正楷体_GBK"/>
                <w:color w:val="000000"/>
                <w:szCs w:val="21"/>
              </w:rPr>
            </w:pPr>
            <w:r>
              <w:rPr>
                <w:rFonts w:eastAsia="方正楷体_GBK"/>
                <w:color w:val="000000"/>
                <w:szCs w:val="21"/>
              </w:rPr>
              <w:t xml:space="preserve">70</w:t>
            </w:r>
            <w:r>
              <w:rPr>
                <w:rFonts w:eastAsia="方正楷体_GBK"/>
                <w:color w:val="000000"/>
                <w:szCs w:val="21"/>
              </w:rPr>
            </w:r>
            <w:r/>
          </w:p>
        </w:tc>
      </w:tr>
    </w:tbl>
    <w:p>
      <w:pPr>
        <w:pStyle w:val="716"/>
        <w:jc w:val="center"/>
        <w:rPr>
          <w:rFonts w:eastAsia="方正仿宋_GBK"/>
          <w:color w:val="000000"/>
          <w:sz w:val="28"/>
          <w:szCs w:val="28"/>
        </w:rPr>
      </w:pPr>
      <w:r>
        <w:rPr>
          <w:rFonts w:eastAsia="方正仿宋_GBK"/>
          <w:color w:val="000000"/>
          <w:sz w:val="28"/>
          <w:szCs w:val="28"/>
        </w:rPr>
      </w:r>
      <w:r/>
    </w:p>
    <w:p>
      <w:pPr>
        <w:pStyle w:val="716"/>
        <w:ind w:firstLine="560"/>
        <w:rPr>
          <w:rFonts w:eastAsia="方正仿宋_GBK"/>
          <w:color w:val="000000"/>
          <w:sz w:val="28"/>
          <w:szCs w:val="28"/>
        </w:rPr>
      </w:pPr>
      <w:r>
        <w:rPr>
          <w:rFonts w:eastAsia="方正仿宋_GBK"/>
          <w:b/>
          <w:color w:val="000000"/>
          <w:sz w:val="28"/>
          <w:szCs w:val="28"/>
        </w:rPr>
        <w:t xml:space="preserve">（四）</w:t>
      </w:r>
      <w:r>
        <w:rPr>
          <w:rFonts w:eastAsia="方正仿宋_GBK"/>
          <w:b/>
          <w:color w:val="000000"/>
          <w:sz w:val="28"/>
          <w:szCs w:val="28"/>
          <w:lang w:val="zh-CN"/>
        </w:rPr>
        <w:t xml:space="preserve">价格分</w:t>
      </w:r>
      <w:r>
        <w:rPr>
          <w:rFonts w:eastAsia="方正仿宋_GBK"/>
          <w:b/>
          <w:color w:val="000000"/>
          <w:sz w:val="28"/>
          <w:szCs w:val="28"/>
        </w:rPr>
        <w:t xml:space="preserve">：</w:t>
      </w:r>
      <w:r>
        <w:rPr>
          <w:rFonts w:eastAsia="方正仿宋_GBK"/>
          <w:color w:val="000000"/>
          <w:sz w:val="28"/>
          <w:szCs w:val="28"/>
        </w:rPr>
        <w:t xml:space="preserve">30.00</w:t>
      </w:r>
      <w:r>
        <w:rPr>
          <w:rFonts w:eastAsia="方正仿宋_GBK"/>
          <w:color w:val="000000"/>
          <w:sz w:val="28"/>
          <w:szCs w:val="28"/>
          <w:lang w:val="zh-CN"/>
        </w:rPr>
        <w:t xml:space="preserve">分</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投标报价得分=（评标基准价/投标报价）×价格权值×100</w:t>
      </w:r>
      <w:r>
        <w:rPr>
          <w:rFonts w:eastAsia="方正仿宋_GBK"/>
          <w:color w:val="000000"/>
          <w:sz w:val="28"/>
          <w:szCs w:val="28"/>
        </w:rPr>
      </w:r>
      <w:r/>
    </w:p>
    <w:p>
      <w:pPr>
        <w:pStyle w:val="827"/>
        <w:ind w:left="0" w:right="0" w:firstLine="562"/>
        <w:jc w:val="both"/>
        <w:spacing w:before="0" w:after="0" w:line="240" w:lineRule="auto"/>
        <w:rPr>
          <w:rFonts w:ascii="Times New Roman" w:hAnsi="Times New Roman" w:eastAsia="方正仿宋_GBK"/>
          <w:b/>
          <w:bCs/>
          <w:color w:val="000000"/>
          <w:sz w:val="28"/>
          <w:szCs w:val="28"/>
        </w:rPr>
      </w:pPr>
      <w:r>
        <w:rPr>
          <w:rFonts w:ascii="Times New Roman" w:hAnsi="Times New Roman" w:eastAsia="方正仿宋_GBK"/>
          <w:b/>
          <w:color w:val="000000"/>
          <w:sz w:val="28"/>
          <w:szCs w:val="28"/>
        </w:rPr>
        <w:t xml:space="preserve">（</w:t>
      </w:r>
      <w:r>
        <w:rPr>
          <w:rFonts w:ascii="Times New Roman" w:hAnsi="Times New Roman" w:eastAsia="方正仿宋_GBK"/>
          <w:b/>
          <w:bCs/>
          <w:color w:val="000000"/>
          <w:sz w:val="28"/>
          <w:szCs w:val="28"/>
        </w:rPr>
        <w:t xml:space="preserve">五</w:t>
      </w:r>
      <w:r>
        <w:rPr>
          <w:rFonts w:ascii="Times New Roman" w:hAnsi="Times New Roman" w:eastAsia="方正仿宋_GBK"/>
          <w:b/>
          <w:color w:val="000000"/>
          <w:sz w:val="28"/>
          <w:szCs w:val="28"/>
        </w:rPr>
        <w:t xml:space="preserve">）</w:t>
      </w:r>
      <w:r>
        <w:rPr>
          <w:rFonts w:ascii="Times New Roman" w:hAnsi="Times New Roman" w:eastAsia="方正仿宋_GBK"/>
          <w:b/>
          <w:bCs/>
          <w:color w:val="000000"/>
          <w:sz w:val="28"/>
          <w:szCs w:val="28"/>
        </w:rPr>
        <w:t xml:space="preserve">政府采购政策功能落实</w:t>
      </w:r>
      <w:r>
        <w:rPr>
          <w:rFonts w:ascii="Times New Roman" w:hAnsi="Times New Roman" w:eastAsia="方正仿宋_GBK"/>
          <w:b/>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1、小微型企业价格扣除</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（1）本项目对小型和微型企业产品给予</w:t>
      </w:r>
      <w:r>
        <w:rPr>
          <w:rFonts w:eastAsia="方正仿宋_GBK"/>
          <w:b/>
          <w:color w:val="000000"/>
          <w:sz w:val="28"/>
          <w:szCs w:val="28"/>
        </w:rPr>
        <w:t xml:space="preserve">10%</w:t>
      </w:r>
      <w:r>
        <w:rPr>
          <w:rFonts w:eastAsia="方正仿宋_GBK"/>
          <w:bCs/>
          <w:color w:val="000000"/>
          <w:sz w:val="28"/>
          <w:szCs w:val="28"/>
        </w:rPr>
        <w:t xml:space="preserve">的扣除价格，用扣除后的价格参与评审。</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（2）供应商需按照《政府采购促进中小企业发展管理办法》（财库﹝2020﹞46 号）的规定提供相应的《中小企业声明函》。</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（3）企业标准请参照《关于印发中小企业划型标准规定的通知》（工信部联企业[2011]300号）文件规定自行填写。</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2、残疾人福利单位价格扣除</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（1）本项目对残疾人福利性单位，给予</w:t>
      </w:r>
      <w:r>
        <w:rPr>
          <w:rFonts w:eastAsia="方正仿宋_GBK"/>
          <w:b/>
          <w:color w:val="000000"/>
          <w:sz w:val="28"/>
          <w:szCs w:val="28"/>
        </w:rPr>
        <w:t xml:space="preserve">10%</w:t>
      </w:r>
      <w:r>
        <w:rPr>
          <w:rFonts w:eastAsia="方正仿宋_GBK"/>
          <w:bCs/>
          <w:color w:val="000000"/>
          <w:sz w:val="28"/>
          <w:szCs w:val="28"/>
        </w:rPr>
        <w:t xml:space="preserve">的价格扣除，用扣除后的价格参与评审。</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（2）残疾人福利单位需按照采购文件的要求提供《残疾人福利性单位声明函》。</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（3）残疾人福利单位标准请参照《关于促进残疾人就业政府采购政策的通知》（财库〔2017〕141号）。</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3、监狱和戒毒企业价格扣除</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（1）本项目对监狱和戒毒企业（简称监狱企业）给予</w:t>
      </w:r>
      <w:r>
        <w:rPr>
          <w:rFonts w:eastAsia="方正仿宋_GBK"/>
          <w:b/>
          <w:color w:val="000000"/>
          <w:sz w:val="28"/>
          <w:szCs w:val="28"/>
        </w:rPr>
        <w:t xml:space="preserve">10%</w:t>
      </w:r>
      <w:r>
        <w:rPr>
          <w:rFonts w:eastAsia="方正仿宋_GBK"/>
          <w:bCs/>
          <w:color w:val="000000"/>
          <w:sz w:val="28"/>
          <w:szCs w:val="28"/>
        </w:rPr>
        <w:t xml:space="preserve">的价格扣除，用扣除后的价格参与评审。</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（3）监狱企业标准请参照《关于政府采购支持监狱企业发展有关问题的通知》（财库[2014]68号）。</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4、残疾人福利单位、监狱企业属于小型、微型企业的，不重复享受政策。</w:t>
      </w:r>
      <w:r>
        <w:rPr>
          <w:rFonts w:eastAsia="方正仿宋_GBK"/>
          <w:bCs/>
          <w:color w:val="000000"/>
          <w:sz w:val="28"/>
          <w:szCs w:val="28"/>
        </w:rPr>
      </w:r>
      <w:r/>
    </w:p>
    <w:p>
      <w:pPr>
        <w:pStyle w:val="716"/>
        <w:ind w:firstLine="570"/>
        <w:rPr>
          <w:rFonts w:eastAsia="方正仿宋_GBK"/>
          <w:b/>
          <w:color w:val="000000"/>
          <w:sz w:val="28"/>
          <w:szCs w:val="28"/>
        </w:rPr>
      </w:pPr>
      <w:r>
        <w:rPr>
          <w:rFonts w:eastAsia="方正仿宋_GBK"/>
          <w:b/>
          <w:color w:val="000000"/>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6、联合体各方均为小型、微型企业（残疾人福利单位、监狱企业）的，联合体享受上述同类价格扣除，用扣除后的价格参与评审。</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7、专门面向中小企业采购的项目或者采购包，不再执行价格评审优惠的扶持政策。</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Cs/>
          <w:color w:val="000000"/>
          <w:sz w:val="28"/>
          <w:szCs w:val="28"/>
        </w:rPr>
        <w:t xml:space="preserve">8、根据《江苏省政府采购信用管理暂行办法》的规定，供应商信用评价结果为三星的扣2分，评价结果为二星的扣3分，评价结果为一星的扣4分。</w:t>
      </w:r>
      <w:r>
        <w:rPr>
          <w:rFonts w:eastAsia="方正仿宋_GBK"/>
          <w:bCs/>
          <w:color w:val="000000"/>
          <w:sz w:val="28"/>
          <w:szCs w:val="28"/>
        </w:rPr>
      </w:r>
      <w:r/>
    </w:p>
    <w:p>
      <w:pPr>
        <w:pStyle w:val="716"/>
        <w:ind w:firstLine="570"/>
        <w:rPr>
          <w:rFonts w:eastAsia="方正仿宋_GBK"/>
          <w:bCs/>
          <w:color w:val="000000"/>
          <w:sz w:val="28"/>
          <w:szCs w:val="28"/>
        </w:rPr>
      </w:pPr>
      <w:r>
        <w:rPr>
          <w:rFonts w:eastAsia="方正仿宋_GBK"/>
          <w:b/>
          <w:color w:val="000000"/>
          <w:sz w:val="28"/>
          <w:szCs w:val="28"/>
        </w:rPr>
        <w:t xml:space="preserve">（六）中标人的确定</w:t>
      </w:r>
      <w:r>
        <w:rPr>
          <w:rFonts w:eastAsia="方正仿宋_GBK"/>
          <w:bCs/>
          <w:color w:val="000000"/>
          <w:sz w:val="28"/>
          <w:szCs w:val="28"/>
        </w:rPr>
      </w:r>
      <w:r/>
    </w:p>
    <w:p>
      <w:pPr>
        <w:pStyle w:val="716"/>
        <w:ind w:firstLine="570"/>
        <w:rPr>
          <w:rFonts w:eastAsia="方正仿宋_GBK"/>
          <w:color w:val="000000"/>
          <w:sz w:val="28"/>
          <w:szCs w:val="28"/>
        </w:rPr>
      </w:pPr>
      <w:r>
        <w:rPr>
          <w:rFonts w:eastAsia="方正仿宋_GBK"/>
          <w:color w:val="000000"/>
          <w:sz w:val="28"/>
          <w:szCs w:val="28"/>
        </w:rPr>
        <w:t xml:space="preserve">评委会汇总各评委评分后，按照得分从高到低的顺序推荐三名中标候选人，并编写评标报告。</w:t>
      </w:r>
      <w:r>
        <w:rPr>
          <w:rFonts w:eastAsia="方正仿宋_GBK"/>
          <w:color w:val="000000"/>
          <w:sz w:val="28"/>
          <w:szCs w:val="28"/>
        </w:rPr>
      </w:r>
      <w:r/>
    </w:p>
    <w:p>
      <w:pPr>
        <w:pStyle w:val="716"/>
        <w:ind w:firstLine="570"/>
        <w:rPr>
          <w:rFonts w:eastAsia="方正仿宋_GBK"/>
          <w:color w:val="000000"/>
          <w:sz w:val="28"/>
          <w:szCs w:val="28"/>
        </w:rPr>
      </w:pPr>
      <w:r>
        <w:rPr>
          <w:rFonts w:eastAsia="方正仿宋_GBK"/>
          <w:color w:val="000000"/>
          <w:sz w:val="28"/>
          <w:szCs w:val="28"/>
        </w:rPr>
        <w:t xml:space="preserve">采购人委托评标委员会直接确定排名第一的中标候选人为中标人。</w:t>
      </w:r>
      <w:r>
        <w:rPr>
          <w:rFonts w:eastAsia="方正仿宋_GBK"/>
          <w:color w:val="000000"/>
          <w:sz w:val="28"/>
          <w:szCs w:val="28"/>
        </w:rPr>
      </w:r>
      <w:r/>
    </w:p>
    <w:p>
      <w:pPr>
        <w:pStyle w:val="716"/>
        <w:ind w:firstLine="557"/>
        <w:rPr>
          <w:rFonts w:eastAsia="方正仿宋_GBK"/>
          <w:b/>
          <w:color w:val="000000"/>
          <w:sz w:val="28"/>
          <w:szCs w:val="28"/>
        </w:rPr>
      </w:pPr>
      <w:r>
        <w:rPr>
          <w:rFonts w:eastAsia="方正仿宋_GBK"/>
          <w:b/>
          <w:color w:val="000000"/>
          <w:sz w:val="28"/>
          <w:szCs w:val="28"/>
        </w:rPr>
        <w:t xml:space="preserve">（七）采购人代表宣布评标结果。</w:t>
      </w:r>
      <w:r>
        <w:rPr>
          <w:rFonts w:eastAsia="方正仿宋_GBK"/>
          <w:b/>
          <w:color w:val="000000"/>
          <w:sz w:val="28"/>
          <w:szCs w:val="28"/>
        </w:rPr>
      </w:r>
      <w:r/>
    </w:p>
    <w:p>
      <w:pPr>
        <w:pStyle w:val="716"/>
        <w:ind w:firstLine="562"/>
        <w:rPr>
          <w:rFonts w:eastAsia="方正仿宋_GBK"/>
          <w:b/>
          <w:color w:val="000000"/>
          <w:sz w:val="28"/>
          <w:szCs w:val="28"/>
        </w:rPr>
      </w:pPr>
      <w:r>
        <w:rPr>
          <w:rFonts w:eastAsia="方正仿宋_GBK"/>
          <w:b/>
          <w:color w:val="000000"/>
          <w:sz w:val="28"/>
          <w:szCs w:val="28"/>
        </w:rPr>
        <w:t xml:space="preserve">（八）公告中标结果</w:t>
      </w:r>
      <w:r>
        <w:rPr>
          <w:rFonts w:eastAsia="方正仿宋_GBK"/>
          <w:b/>
          <w:color w:val="000000"/>
          <w:sz w:val="28"/>
          <w:szCs w:val="28"/>
        </w:rPr>
      </w:r>
      <w:r/>
    </w:p>
    <w:p>
      <w:pPr>
        <w:pStyle w:val="716"/>
        <w:ind w:firstLine="560"/>
        <w:rPr>
          <w:rFonts w:eastAsia="方正仿宋_GBK"/>
          <w:color w:val="000000"/>
          <w:sz w:val="28"/>
          <w:szCs w:val="28"/>
        </w:rPr>
      </w:pPr>
      <w:r>
        <w:rPr>
          <w:rFonts w:eastAsia="方正仿宋_GBK"/>
          <w:color w:val="000000"/>
          <w:sz w:val="28"/>
          <w:szCs w:val="28"/>
        </w:rPr>
        <w:t xml:space="preserve">交易中心将在“江苏政府采购网”发布中标公告，公告期限为1个工作日。</w:t>
      </w:r>
      <w:r>
        <w:rPr>
          <w:rFonts w:eastAsia="方正仿宋_GBK"/>
          <w:color w:val="000000"/>
          <w:sz w:val="28"/>
          <w:szCs w:val="28"/>
        </w:rPr>
      </w:r>
      <w:r/>
    </w:p>
    <w:p>
      <w:pPr>
        <w:pStyle w:val="716"/>
        <w:ind w:firstLine="562"/>
        <w:rPr>
          <w:rFonts w:eastAsia="方正仿宋_GBK"/>
          <w:b/>
          <w:bCs/>
          <w:color w:val="000000"/>
          <w:sz w:val="28"/>
          <w:szCs w:val="28"/>
        </w:rPr>
      </w:pPr>
      <w:r>
        <w:rPr>
          <w:rFonts w:eastAsia="方正仿宋_GBK"/>
          <w:b/>
          <w:color w:val="000000"/>
          <w:sz w:val="28"/>
          <w:szCs w:val="28"/>
        </w:rPr>
        <w:t xml:space="preserve">（</w:t>
      </w:r>
      <w:r>
        <w:rPr>
          <w:rFonts w:eastAsia="方正仿宋_GBK"/>
          <w:b/>
          <w:bCs/>
          <w:color w:val="000000"/>
          <w:sz w:val="28"/>
          <w:szCs w:val="28"/>
        </w:rPr>
        <w:t xml:space="preserve">九</w:t>
      </w:r>
      <w:r>
        <w:rPr>
          <w:rFonts w:eastAsia="方正仿宋_GBK"/>
          <w:b/>
          <w:color w:val="000000"/>
          <w:sz w:val="28"/>
          <w:szCs w:val="28"/>
        </w:rPr>
        <w:t xml:space="preserve">）</w:t>
      </w:r>
      <w:r>
        <w:rPr>
          <w:rFonts w:eastAsia="方正仿宋_GBK"/>
          <w:b/>
          <w:bCs/>
          <w:color w:val="000000"/>
          <w:sz w:val="28"/>
          <w:szCs w:val="28"/>
        </w:rPr>
        <w:t xml:space="preserve">发放中标通知书</w:t>
      </w:r>
      <w:r>
        <w:rPr>
          <w:rFonts w:eastAsia="方正仿宋_GBK"/>
          <w:b/>
          <w:bCs/>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rPr>
          <w:rFonts w:eastAsia="方正仿宋_GBK"/>
          <w:color w:val="000000"/>
          <w:sz w:val="28"/>
          <w:szCs w:val="28"/>
        </w:rPr>
      </w:r>
      <w:r/>
    </w:p>
    <w:p>
      <w:pPr>
        <w:pStyle w:val="716"/>
        <w:ind w:firstLine="557"/>
        <w:rPr>
          <w:rFonts w:eastAsia="方正仿宋_GBK"/>
          <w:b/>
          <w:color w:val="000000"/>
          <w:sz w:val="28"/>
          <w:szCs w:val="28"/>
        </w:rPr>
      </w:pPr>
      <w:r>
        <w:rPr>
          <w:rFonts w:eastAsia="方正仿宋_GBK"/>
          <w:b/>
          <w:color w:val="000000"/>
          <w:sz w:val="28"/>
          <w:szCs w:val="28"/>
        </w:rPr>
        <w:t xml:space="preserve">中标供应商须提供一份纸质版投标文件正本至采购人处，否则不予签订合同。</w:t>
      </w:r>
      <w:r>
        <w:rPr>
          <w:rFonts w:eastAsia="方正仿宋_GBK"/>
          <w:b/>
          <w:color w:val="000000"/>
          <w:sz w:val="28"/>
          <w:szCs w:val="28"/>
        </w:rPr>
      </w:r>
      <w:r/>
    </w:p>
    <w:p>
      <w:pPr>
        <w:pStyle w:val="827"/>
        <w:ind w:left="0" w:right="0" w:firstLine="562"/>
        <w:jc w:val="left"/>
        <w:spacing w:before="0" w:after="0" w:line="240" w:lineRule="auto"/>
        <w:rPr>
          <w:rFonts w:ascii="Times New Roman" w:hAnsi="Times New Roman" w:eastAsia="方正仿宋_GBK"/>
          <w:b/>
          <w:color w:val="000000"/>
          <w:sz w:val="28"/>
          <w:szCs w:val="28"/>
        </w:rPr>
        <w:outlineLvl w:val="2"/>
      </w:pPr>
      <w:r>
        <w:rPr>
          <w:rFonts w:ascii="Times New Roman" w:hAnsi="Times New Roman" w:eastAsia="方正仿宋_GBK"/>
          <w:b/>
          <w:color w:val="000000"/>
          <w:sz w:val="28"/>
          <w:szCs w:val="28"/>
        </w:rPr>
        <w:t xml:space="preserve">三、无效投标条款和废标条款</w:t>
      </w:r>
      <w:r>
        <w:rPr>
          <w:rFonts w:ascii="Times New Roman" w:hAnsi="Times New Roman" w:eastAsia="方正仿宋_GBK"/>
          <w:b/>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（一）无效投标条款</w:t>
      </w:r>
      <w:r>
        <w:rPr>
          <w:rFonts w:eastAsia="方正仿宋_GBK"/>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1）投标人在”苏采云不见面交易系统”规定的时间内未成功解密电子投标文件的。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2）投标人未按照招标文件要求上传电子投标文件的。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3）同一投标人提交两个（含两个）以上不同的投标报价的。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4）投标人不具备招标文件中规定资格要求的。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5）投标人的报价超过了采购预算或最高限价的。</w:t>
      </w:r>
      <w:r>
        <w:rPr>
          <w:rFonts w:eastAsia="方正仿宋_GBK"/>
          <w:bCs/>
          <w:color w:val="000000"/>
          <w:sz w:val="28"/>
          <w:szCs w:val="28"/>
        </w:rPr>
      </w:r>
      <w:r/>
    </w:p>
    <w:p>
      <w:pPr>
        <w:pStyle w:val="716"/>
        <w:ind w:firstLine="560"/>
        <w:rPr>
          <w:rFonts w:eastAsia="方正仿宋_GBK"/>
          <w:bCs/>
          <w:i/>
          <w:color w:val="000000"/>
          <w:sz w:val="28"/>
          <w:szCs w:val="28"/>
          <w:u w:val="single"/>
        </w:rPr>
      </w:pPr>
      <w:r>
        <w:rPr>
          <w:rFonts w:eastAsia="方正仿宋_GBK"/>
          <w:bCs/>
          <w:color w:val="000000"/>
          <w:sz w:val="28"/>
          <w:szCs w:val="28"/>
        </w:rPr>
        <w:t xml:space="preserve">6）未通过符合性检查的。</w:t>
      </w:r>
      <w:r>
        <w:rPr>
          <w:rFonts w:eastAsia="方正仿宋_GBK"/>
          <w:bCs/>
          <w:i/>
          <w:color w:val="000000"/>
          <w:sz w:val="28"/>
          <w:szCs w:val="28"/>
          <w:u w:val="single"/>
        </w:rPr>
      </w:r>
      <w:r/>
    </w:p>
    <w:p>
      <w:pPr>
        <w:pStyle w:val="716"/>
        <w:ind w:firstLine="420"/>
        <w:rPr>
          <w:rFonts w:eastAsia="方正仿宋_GBK"/>
          <w:bCs/>
          <w:i/>
          <w:color w:val="000000"/>
          <w:sz w:val="28"/>
          <w:szCs w:val="28"/>
          <w:u w:val="single"/>
        </w:rPr>
      </w:pPr>
      <w:r>
        <w:rPr>
          <w:rFonts w:eastAsia="方正仿宋_GBK"/>
          <w:bCs/>
          <w:color w:val="000000"/>
          <w:sz w:val="28"/>
          <w:szCs w:val="28"/>
        </w:rPr>
        <w:t xml:space="preserve"> 7）不符合招标文件中规定的其他实质性要求和条件的。</w:t>
      </w:r>
      <w:r>
        <w:rPr>
          <w:rFonts w:eastAsia="方正仿宋_GBK"/>
          <w:bCs/>
          <w:i/>
          <w:color w:val="000000"/>
          <w:sz w:val="28"/>
          <w:szCs w:val="28"/>
          <w:u w:val="single"/>
        </w:rPr>
      </w:r>
      <w:r/>
    </w:p>
    <w:p>
      <w:pPr>
        <w:pStyle w:val="716"/>
        <w:ind w:firstLine="560"/>
        <w:rPr>
          <w:rFonts w:eastAsia="方正仿宋_GBK"/>
          <w:bCs/>
          <w:color w:val="000000"/>
          <w:sz w:val="28"/>
          <w:szCs w:val="28"/>
        </w:rPr>
      </w:pPr>
      <w:r>
        <w:rPr>
          <w:rFonts w:eastAsia="方正仿宋_GBK"/>
          <w:bCs/>
          <w:color w:val="000000"/>
          <w:sz w:val="28"/>
          <w:szCs w:val="28"/>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9）投标文件含有采购人不能接受的附加条件的。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10）评标委员会认为投标人的报价明显低于其他通过符合性审查投标人的报价，有可能影响产品质量或者不能诚信履约的，将通过”苏采云不见面交易系统”要求其在合理的时间内提供说明，必要时提交相关证明材料；投标人不能证明其报价合理性的，评标委员会应当将其作为无效投标处理。启动异常低价响应审查后，供应商不能在规定时间内提供书面说明、证明材料，或者提供的书面说明、证明材料不能证明其报价合理性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12）投标文件未按照招标文件要求加盖电子签章。</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13）不同的投标人投标文件制作机器码、文件创建标识码一致的。</w:t>
      </w:r>
      <w:r>
        <w:rPr>
          <w:rFonts w:eastAsia="方正仿宋_GBK"/>
          <w:bCs/>
          <w:color w:val="000000"/>
          <w:sz w:val="28"/>
          <w:szCs w:val="28"/>
        </w:rPr>
      </w:r>
      <w:r/>
    </w:p>
    <w:p>
      <w:pPr>
        <w:pStyle w:val="716"/>
        <w:ind w:firstLine="560"/>
        <w:rPr>
          <w:rFonts w:eastAsia="方正仿宋_GBK"/>
          <w:bCs/>
          <w:color w:val="000000"/>
          <w:sz w:val="28"/>
          <w:szCs w:val="28"/>
        </w:rPr>
      </w:pPr>
      <w:r>
        <w:rPr>
          <w:rFonts w:eastAsia="方正仿宋_GBK"/>
          <w:bCs/>
          <w:color w:val="000000"/>
          <w:sz w:val="28"/>
          <w:szCs w:val="28"/>
        </w:rPr>
        <w:t xml:space="preserve">14）投标人的商务技术部分得分相差悬殊，评标委员会认为得分畸低者没有实质性响应的。</w:t>
      </w:r>
      <w:r>
        <w:rPr>
          <w:rFonts w:eastAsia="方正仿宋_GBK"/>
          <w:bCs/>
          <w:color w:val="000000"/>
          <w:sz w:val="28"/>
          <w:szCs w:val="28"/>
        </w:rPr>
      </w:r>
      <w:r/>
    </w:p>
    <w:p>
      <w:pPr>
        <w:pStyle w:val="716"/>
        <w:ind w:firstLine="554"/>
        <w:rPr>
          <w:rFonts w:eastAsia="方正仿宋_GBK"/>
          <w:color w:val="000000"/>
          <w:sz w:val="28"/>
          <w:szCs w:val="28"/>
        </w:rPr>
      </w:pPr>
      <w:r>
        <w:rPr>
          <w:rFonts w:eastAsia="方正仿宋_GBK"/>
          <w:bCs/>
          <w:color w:val="000000"/>
          <w:sz w:val="28"/>
          <w:szCs w:val="28"/>
        </w:rPr>
        <w:t xml:space="preserve">15）其他法律、法规及本招标文件规定的属无效投标的情形。</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（二）强化政府采购异常低价审查</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1、采购人应当在采购文件中明确,政府采购评审中出现下列情形之一的,评审委员会应当启动异常低价投标(响应)审查程序:</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1) 投标(响应)报价低于全部通过符合性审查供应商投标(响应)报价平均值50%的,即投标(响应)报价＜全部通过符合性审查供应商投标(响应)报价平均值×50%；</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2) 投标(响应)报价低于通过符合性审查的次低报价供应商投标(响应)报价50% 的,即投标(响应)报价＜通过符合性审查的次低报价供应商投标(响应)报价×50%；</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3) 投标(响应)报价低于采购项目最高限价45%的,即投标(响应)报价＜采购项目最高限价×45%；</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4)评审委员会基于专业判断,认为供应商报价过低,有可能影响产品质量或者不能诚信履约的其他情形。</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采购人可以结合具体项目实际情况,提高上述第1项至第3项中启动异常低价投标(响应)审查的数值标准,但是最高不得超过65%相关法律法规对供应商报价有规定的,从其规定。</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（三）废标条款</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1）符合专业条件的投标人或者对招标文件作实质响应的投标人不足三家的；</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2）出现影响采购公正的违法、违规行为的；</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3）因重大变故，采购任务取消的；</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t xml:space="preserve">4）评标委员会认定招标文件存在歧义、重大缺陷导致评审工作无法进行的。</w:t>
      </w:r>
      <w:r>
        <w:rPr>
          <w:rFonts w:eastAsia="方正仿宋_GBK"/>
          <w:color w:val="000000"/>
          <w:sz w:val="28"/>
          <w:szCs w:val="28"/>
        </w:rPr>
      </w:r>
      <w:r/>
    </w:p>
    <w:p>
      <w:pPr>
        <w:pStyle w:val="716"/>
        <w:ind w:firstLine="554"/>
        <w:rPr>
          <w:rFonts w:eastAsia="方正仿宋_GBK"/>
          <w:color w:val="000000"/>
          <w:sz w:val="28"/>
          <w:szCs w:val="28"/>
        </w:rPr>
      </w:pPr>
      <w:r>
        <w:rPr>
          <w:rFonts w:eastAsia="方正仿宋_GBK"/>
          <w:color w:val="000000"/>
          <w:sz w:val="28"/>
          <w:szCs w:val="28"/>
        </w:rPr>
      </w:r>
      <w:r/>
    </w:p>
    <w:p>
      <w:pPr>
        <w:pStyle w:val="716"/>
        <w:jc w:val="center"/>
        <w:rPr>
          <w:rFonts w:eastAsia="方正仿宋_GBK"/>
          <w:b/>
          <w:color w:val="000000"/>
          <w:sz w:val="28"/>
          <w:szCs w:val="28"/>
        </w:rPr>
        <w:outlineLvl w:val="1"/>
      </w:pPr>
      <w:r>
        <w:rPr>
          <w:rFonts w:eastAsia="方正仿宋_GBK"/>
          <w:color w:val="000000"/>
          <w:sz w:val="28"/>
          <w:szCs w:val="28"/>
        </w:rPr>
        <w:br w:type="page" w:clear="all"/>
      </w:r>
      <w:r>
        <w:rPr>
          <w:rFonts w:eastAsia="方正仿宋_GBK"/>
          <w:b/>
          <w:color w:val="000000"/>
          <w:sz w:val="28"/>
          <w:szCs w:val="28"/>
        </w:rPr>
        <w:t xml:space="preserve">第六部分  投标文件组成</w:t>
      </w:r>
      <w:r>
        <w:rPr>
          <w:rFonts w:eastAsia="方正仿宋_GBK"/>
          <w:b/>
          <w:color w:val="000000"/>
          <w:sz w:val="28"/>
          <w:szCs w:val="28"/>
        </w:rPr>
      </w:r>
      <w:r/>
    </w:p>
    <w:p>
      <w:pPr>
        <w:pStyle w:val="716"/>
        <w:ind w:firstLine="555"/>
        <w:jc w:val="left"/>
        <w:rPr>
          <w:rFonts w:eastAsia="方正仿宋_GBK"/>
          <w:b/>
          <w:color w:val="000000"/>
          <w:sz w:val="28"/>
          <w:szCs w:val="28"/>
        </w:rPr>
      </w:pPr>
      <w:r>
        <w:rPr>
          <w:rFonts w:eastAsia="方正仿宋_GBK"/>
          <w:b/>
          <w:color w:val="000000"/>
          <w:sz w:val="28"/>
          <w:szCs w:val="28"/>
        </w:rPr>
        <w:t xml:space="preserve">投标文件由资格审查证明材料、商务技术标、价格标、三部分组成。</w:t>
      </w:r>
      <w:r>
        <w:rPr>
          <w:rFonts w:eastAsia="方正仿宋_GBK"/>
          <w:b/>
          <w:bCs/>
          <w:color w:val="000000"/>
          <w:sz w:val="28"/>
          <w:szCs w:val="28"/>
          <w:lang w:val="zh-CN"/>
        </w:rPr>
        <w:t xml:space="preserve">请投标人根据本招标文件的要求在以上</w:t>
      </w:r>
      <w:r>
        <w:rPr>
          <w:rFonts w:eastAsia="方正仿宋_GBK"/>
          <w:b/>
          <w:color w:val="000000"/>
          <w:sz w:val="28"/>
          <w:szCs w:val="28"/>
        </w:rPr>
        <w:t xml:space="preserve">三部分中</w:t>
      </w:r>
      <w:r>
        <w:rPr>
          <w:rFonts w:eastAsia="方正仿宋_GBK"/>
          <w:b/>
          <w:bCs/>
          <w:color w:val="000000"/>
          <w:sz w:val="28"/>
          <w:szCs w:val="28"/>
          <w:lang w:val="zh-CN"/>
        </w:rPr>
        <w:t xml:space="preserve">分别上传响应的投标材料。</w:t>
      </w:r>
      <w:r>
        <w:rPr>
          <w:rFonts w:eastAsia="方正仿宋_GBK"/>
          <w:b/>
          <w:color w:val="000000"/>
          <w:sz w:val="28"/>
          <w:szCs w:val="28"/>
        </w:rPr>
      </w:r>
      <w:r/>
    </w:p>
    <w:p>
      <w:pPr>
        <w:pStyle w:val="716"/>
        <w:ind w:firstLine="562"/>
        <w:rPr>
          <w:rFonts w:eastAsia="方正仿宋_GBK"/>
          <w:b/>
          <w:bCs/>
          <w:color w:val="000000"/>
          <w:sz w:val="28"/>
          <w:szCs w:val="28"/>
          <w:lang w:val="zh-CN"/>
        </w:rPr>
        <w:outlineLvl w:val="2"/>
      </w:pPr>
      <w:r>
        <w:rPr>
          <w:rFonts w:eastAsia="方正仿宋_GBK"/>
          <w:b/>
          <w:bCs/>
          <w:color w:val="000000"/>
          <w:sz w:val="28"/>
          <w:szCs w:val="28"/>
          <w:lang w:val="zh-CN"/>
        </w:rPr>
        <w:t xml:space="preserve">二、商务技术标（不能出现价格标）</w:t>
      </w:r>
      <w:r>
        <w:rPr>
          <w:rFonts w:eastAsia="方正仿宋_GBK"/>
          <w:b/>
          <w:bCs/>
          <w:color w:val="000000"/>
          <w:sz w:val="28"/>
          <w:szCs w:val="28"/>
          <w:lang w:val="zh-CN"/>
        </w:rPr>
      </w:r>
      <w:r/>
    </w:p>
    <w:p>
      <w:pPr>
        <w:pStyle w:val="716"/>
        <w:rPr>
          <w:rFonts w:eastAsia="方正仿宋_GBK"/>
          <w:bCs/>
          <w:color w:val="000000"/>
          <w:sz w:val="28"/>
          <w:szCs w:val="28"/>
          <w:lang w:val="zh-CN"/>
        </w:rPr>
      </w:pPr>
      <w:r>
        <w:rPr>
          <w:rFonts w:eastAsia="方正仿宋_GBK"/>
          <w:bCs/>
          <w:color w:val="000000"/>
          <w:sz w:val="28"/>
          <w:szCs w:val="28"/>
          <w:lang w:val="zh-CN"/>
        </w:rPr>
        <w:t xml:space="preserve">1.投标人情况一览表；（格式见附件4）</w:t>
      </w:r>
      <w:r>
        <w:rPr>
          <w:rFonts w:eastAsia="方正仿宋_GBK"/>
          <w:bCs/>
          <w:color w:val="000000"/>
          <w:sz w:val="28"/>
          <w:szCs w:val="28"/>
          <w:lang w:val="zh-CN"/>
        </w:rPr>
      </w:r>
      <w:r/>
    </w:p>
    <w:p>
      <w:pPr>
        <w:pStyle w:val="716"/>
        <w:rPr>
          <w:rFonts w:eastAsia="方正仿宋_GBK"/>
          <w:bCs/>
          <w:color w:val="000000"/>
          <w:sz w:val="28"/>
          <w:szCs w:val="28"/>
          <w:lang w:val="zh-CN"/>
        </w:rPr>
      </w:pPr>
      <w:r>
        <w:rPr>
          <w:rFonts w:eastAsia="方正仿宋_GBK"/>
          <w:bCs/>
          <w:color w:val="000000"/>
          <w:sz w:val="28"/>
          <w:szCs w:val="28"/>
          <w:lang w:val="zh-CN"/>
        </w:rPr>
        <w:t xml:space="preserve">2.商务部分正负偏离表；（格式见附件5）</w:t>
      </w:r>
      <w:r>
        <w:rPr>
          <w:rFonts w:eastAsia="方正仿宋_GBK"/>
          <w:bCs/>
          <w:color w:val="000000"/>
          <w:sz w:val="28"/>
          <w:szCs w:val="28"/>
          <w:lang w:val="zh-CN"/>
        </w:rPr>
      </w:r>
      <w:r/>
    </w:p>
    <w:p>
      <w:pPr>
        <w:pStyle w:val="716"/>
        <w:rPr>
          <w:rFonts w:eastAsia="方正仿宋_GBK"/>
          <w:bCs/>
          <w:color w:val="000000"/>
          <w:sz w:val="28"/>
          <w:szCs w:val="28"/>
          <w:lang w:val="zh-CN"/>
        </w:rPr>
      </w:pPr>
      <w:r>
        <w:rPr>
          <w:rFonts w:eastAsia="方正仿宋_GBK"/>
          <w:bCs/>
          <w:color w:val="000000"/>
          <w:sz w:val="28"/>
          <w:szCs w:val="28"/>
          <w:lang w:val="zh-CN"/>
        </w:rPr>
        <w:t xml:space="preserve">3.技术部分正负偏离表；（格式见附件6）</w:t>
      </w:r>
      <w:r>
        <w:rPr>
          <w:rFonts w:eastAsia="方正仿宋_GBK"/>
          <w:bCs/>
          <w:color w:val="000000"/>
          <w:sz w:val="28"/>
          <w:szCs w:val="28"/>
          <w:lang w:val="zh-CN"/>
        </w:rPr>
      </w:r>
      <w:r/>
    </w:p>
    <w:p>
      <w:pPr>
        <w:pStyle w:val="716"/>
        <w:rPr>
          <w:rFonts w:eastAsia="方正仿宋_GBK"/>
          <w:bCs/>
          <w:color w:val="000000"/>
          <w:sz w:val="28"/>
          <w:szCs w:val="28"/>
          <w:lang w:val="zh-CN"/>
        </w:rPr>
      </w:pPr>
      <w:r>
        <w:rPr>
          <w:rFonts w:eastAsia="方正仿宋_GBK"/>
          <w:bCs/>
          <w:color w:val="000000"/>
          <w:sz w:val="28"/>
          <w:szCs w:val="28"/>
          <w:lang w:val="zh-CN"/>
        </w:rPr>
        <w:t xml:space="preserve">4.投标方案、货物（服务）清单。具有项目、数量、品牌、型号、配置性能等；</w:t>
      </w:r>
      <w:r>
        <w:rPr>
          <w:rFonts w:eastAsia="方正仿宋_GBK"/>
          <w:bCs/>
          <w:color w:val="000000"/>
          <w:sz w:val="28"/>
          <w:szCs w:val="28"/>
          <w:lang w:val="zh-CN"/>
        </w:rPr>
      </w:r>
      <w:r/>
    </w:p>
    <w:p>
      <w:pPr>
        <w:pStyle w:val="716"/>
        <w:rPr>
          <w:rFonts w:eastAsia="方正仿宋_GBK"/>
          <w:bCs/>
          <w:color w:val="000000"/>
          <w:sz w:val="28"/>
          <w:szCs w:val="28"/>
          <w:lang w:val="zh-CN"/>
        </w:rPr>
      </w:pPr>
      <w:r>
        <w:rPr>
          <w:rFonts w:eastAsia="方正仿宋_GBK"/>
          <w:bCs/>
          <w:color w:val="000000"/>
          <w:sz w:val="28"/>
          <w:szCs w:val="28"/>
          <w:lang w:val="zh-CN"/>
        </w:rPr>
        <w:t xml:space="preserve">5.商务技术评分标准中须提供的相关得分佐证材料；</w:t>
      </w:r>
      <w:r>
        <w:rPr>
          <w:rFonts w:eastAsia="方正仿宋_GBK"/>
          <w:bCs/>
          <w:color w:val="000000"/>
          <w:sz w:val="28"/>
          <w:szCs w:val="28"/>
          <w:lang w:val="zh-CN"/>
        </w:rPr>
      </w:r>
      <w:r/>
    </w:p>
    <w:p>
      <w:pPr>
        <w:pStyle w:val="716"/>
        <w:rPr>
          <w:rFonts w:eastAsia="方正仿宋_GBK"/>
          <w:bCs/>
          <w:color w:val="000000"/>
          <w:sz w:val="28"/>
          <w:szCs w:val="28"/>
          <w:lang w:val="zh-CN"/>
        </w:rPr>
      </w:pPr>
      <w:r>
        <w:rPr>
          <w:rFonts w:eastAsia="方正仿宋_GBK"/>
          <w:bCs/>
          <w:color w:val="000000"/>
          <w:sz w:val="28"/>
          <w:szCs w:val="28"/>
          <w:lang w:val="zh-CN"/>
        </w:rPr>
        <w:t xml:space="preserve">6.投标人认为需要提交的其他商务技术材料。</w:t>
      </w:r>
      <w:r>
        <w:rPr>
          <w:rFonts w:eastAsia="方正仿宋_GBK"/>
          <w:bCs/>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（招标文件要求提供的</w:t>
      </w:r>
      <w:r>
        <w:rPr>
          <w:rFonts w:eastAsia="方正仿宋_GBK"/>
          <w:b/>
          <w:bCs/>
          <w:color w:val="000000"/>
          <w:sz w:val="28"/>
          <w:szCs w:val="28"/>
          <w:lang w:val="zh-CN"/>
        </w:rPr>
        <w:t xml:space="preserve">商务技术标材料</w:t>
      </w:r>
      <w:r>
        <w:rPr>
          <w:rFonts w:eastAsia="方正仿宋_GBK"/>
          <w:color w:val="000000"/>
          <w:sz w:val="28"/>
          <w:szCs w:val="28"/>
          <w:lang w:val="zh-CN"/>
        </w:rPr>
        <w:t xml:space="preserve">中没有对应的接口上传的资料，可以在本部分的其他材料的接口中上传）</w:t>
      </w:r>
      <w:r>
        <w:rPr>
          <w:rFonts w:eastAsia="方正仿宋_GBK"/>
          <w:color w:val="000000"/>
          <w:sz w:val="28"/>
          <w:szCs w:val="28"/>
          <w:lang w:val="zh-CN"/>
        </w:rPr>
      </w:r>
      <w:r/>
    </w:p>
    <w:p>
      <w:pPr>
        <w:pStyle w:val="716"/>
        <w:ind w:firstLine="562"/>
        <w:rPr>
          <w:rFonts w:eastAsia="方正仿宋_GBK"/>
          <w:b/>
          <w:bCs/>
          <w:color w:val="000000"/>
          <w:sz w:val="28"/>
          <w:szCs w:val="28"/>
          <w:lang w:val="zh-CN"/>
        </w:rPr>
        <w:outlineLvl w:val="2"/>
      </w:pPr>
      <w:r>
        <w:rPr>
          <w:rFonts w:eastAsia="方正仿宋_GBK"/>
          <w:b/>
          <w:bCs/>
          <w:color w:val="000000"/>
          <w:sz w:val="28"/>
          <w:szCs w:val="28"/>
          <w:lang w:val="zh-CN"/>
        </w:rPr>
        <w:t xml:space="preserve">三、价格标</w:t>
      </w:r>
      <w:r>
        <w:rPr>
          <w:rFonts w:eastAsia="方正仿宋_GBK"/>
          <w:b/>
          <w:bCs/>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1.开标一览表（格式见附件7）；</w:t>
      </w:r>
      <w:r>
        <w:rPr>
          <w:rFonts w:eastAsia="方正仿宋_GBK"/>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2.分项报价明细表（格式见附件8）。</w:t>
      </w:r>
      <w:r>
        <w:rPr>
          <w:rFonts w:eastAsia="方正仿宋_GBK"/>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3.</w:t>
      </w:r>
      <w:r>
        <w:rPr>
          <w:rFonts w:eastAsia="方正仿宋_GBK"/>
          <w:color w:val="000000"/>
          <w:sz w:val="28"/>
          <w:szCs w:val="28"/>
        </w:rPr>
        <w:t xml:space="preserve">小型、微型企业声明函（格式见附件</w:t>
      </w:r>
      <w:r>
        <w:rPr>
          <w:rFonts w:hint="eastAsia" w:eastAsia="方正仿宋_GBK"/>
          <w:color w:val="000000"/>
          <w:sz w:val="28"/>
          <w:szCs w:val="28"/>
        </w:rPr>
        <w:t xml:space="preserve">10</w:t>
      </w:r>
      <w:r>
        <w:rPr>
          <w:rFonts w:eastAsia="方正仿宋_GBK"/>
          <w:color w:val="000000"/>
          <w:sz w:val="28"/>
          <w:szCs w:val="28"/>
        </w:rPr>
        <w:t xml:space="preserve">）</w:t>
      </w:r>
      <w:r>
        <w:rPr>
          <w:rFonts w:eastAsia="方正仿宋_GBK"/>
          <w:color w:val="000000"/>
          <w:sz w:val="28"/>
          <w:szCs w:val="28"/>
          <w:lang w:val="zh-CN"/>
        </w:rPr>
      </w:r>
      <w:r/>
    </w:p>
    <w:p>
      <w:pPr>
        <w:pStyle w:val="716"/>
        <w:rPr>
          <w:rFonts w:eastAsia="方正仿宋_GBK"/>
          <w:color w:val="000000"/>
          <w:sz w:val="28"/>
          <w:szCs w:val="28"/>
        </w:rPr>
      </w:pPr>
      <w:r>
        <w:rPr>
          <w:rFonts w:eastAsia="方正仿宋_GBK"/>
          <w:color w:val="000000"/>
          <w:sz w:val="28"/>
          <w:szCs w:val="28"/>
          <w:lang w:val="zh-CN"/>
        </w:rPr>
        <w:t xml:space="preserve">4.</w:t>
      </w:r>
      <w:r>
        <w:rPr>
          <w:rFonts w:eastAsia="方正仿宋_GBK"/>
          <w:color w:val="000000"/>
          <w:sz w:val="28"/>
          <w:szCs w:val="28"/>
        </w:rPr>
        <w:t xml:space="preserve">残疾人福利性单位声明函（格式见附件1</w:t>
      </w:r>
      <w:r>
        <w:rPr>
          <w:rFonts w:hint="eastAsia" w:eastAsia="方正仿宋_GBK"/>
          <w:color w:val="000000"/>
          <w:sz w:val="28"/>
          <w:szCs w:val="28"/>
        </w:rPr>
        <w:t xml:space="preserve">1</w:t>
      </w:r>
      <w:r>
        <w:rPr>
          <w:rFonts w:eastAsia="方正仿宋_GBK"/>
          <w:color w:val="000000"/>
          <w:sz w:val="28"/>
          <w:szCs w:val="28"/>
        </w:rPr>
        <w:t xml:space="preserve">）</w:t>
      </w:r>
      <w:r>
        <w:rPr>
          <w:rFonts w:eastAsia="方正仿宋_GBK"/>
          <w:color w:val="000000"/>
          <w:sz w:val="28"/>
          <w:szCs w:val="28"/>
        </w:rPr>
      </w:r>
      <w:r/>
    </w:p>
    <w:p>
      <w:pPr>
        <w:pStyle w:val="716"/>
        <w:rPr>
          <w:rFonts w:eastAsia="方正仿宋_GBK"/>
          <w:color w:val="000000"/>
          <w:sz w:val="28"/>
          <w:szCs w:val="28"/>
          <w:lang w:val="zh-CN"/>
        </w:rPr>
      </w:pPr>
      <w:r>
        <w:rPr>
          <w:rFonts w:eastAsia="方正仿宋_GBK"/>
          <w:color w:val="000000"/>
          <w:sz w:val="28"/>
          <w:szCs w:val="28"/>
        </w:rPr>
        <w:t xml:space="preserve">5.</w:t>
      </w:r>
      <w:r>
        <w:rPr>
          <w:rFonts w:eastAsia="方正仿宋_GBK"/>
          <w:bCs/>
          <w:color w:val="000000"/>
          <w:sz w:val="28"/>
          <w:szCs w:val="28"/>
        </w:rPr>
        <w:t xml:space="preserve">监狱和戒毒企业证明材料（格式见附件1</w:t>
      </w:r>
      <w:r>
        <w:rPr>
          <w:rFonts w:hint="eastAsia" w:eastAsia="方正仿宋_GBK"/>
          <w:bCs/>
          <w:color w:val="000000"/>
          <w:sz w:val="28"/>
          <w:szCs w:val="28"/>
        </w:rPr>
        <w:t xml:space="preserve">2</w:t>
      </w:r>
      <w:r>
        <w:rPr>
          <w:rFonts w:eastAsia="方正仿宋_GBK"/>
          <w:bCs/>
          <w:color w:val="000000"/>
          <w:sz w:val="28"/>
          <w:szCs w:val="28"/>
        </w:rPr>
        <w:t xml:space="preserve">）</w:t>
      </w:r>
      <w:r>
        <w:rPr>
          <w:rFonts w:eastAsia="方正仿宋_GBK"/>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（如招标文件要求提供的</w:t>
      </w:r>
      <w:r>
        <w:rPr>
          <w:rFonts w:eastAsia="方正仿宋_GBK"/>
          <w:b/>
          <w:bCs/>
          <w:color w:val="000000"/>
          <w:sz w:val="28"/>
          <w:szCs w:val="28"/>
          <w:lang w:val="zh-CN"/>
        </w:rPr>
        <w:t xml:space="preserve">价格标资料</w:t>
      </w:r>
      <w:r>
        <w:rPr>
          <w:rFonts w:eastAsia="方正仿宋_GBK"/>
          <w:color w:val="000000"/>
          <w:sz w:val="28"/>
          <w:szCs w:val="28"/>
          <w:lang w:val="zh-CN"/>
        </w:rPr>
        <w:t xml:space="preserve">中没有对应的接口上传的资料可以在本部分的其他材料的接口中上传）</w:t>
      </w:r>
      <w:r>
        <w:rPr>
          <w:rFonts w:eastAsia="方正仿宋_GBK"/>
          <w:color w:val="000000"/>
          <w:sz w:val="28"/>
          <w:szCs w:val="28"/>
          <w:lang w:val="zh-CN"/>
        </w:rPr>
      </w:r>
      <w:r/>
    </w:p>
    <w:p>
      <w:pPr>
        <w:pStyle w:val="716"/>
        <w:contextualSpacing/>
        <w:rPr>
          <w:rFonts w:hint="eastAsia" w:eastAsia="方正仿宋_GBK"/>
          <w:color w:val="000000"/>
          <w:sz w:val="28"/>
          <w:szCs w:val="28"/>
          <w:lang w:val="zh-CN"/>
        </w:rPr>
        <w:sectPr>
          <w:footnotePr/>
          <w:endnotePr/>
          <w:type w:val="nextPage"/>
          <w:pgSz w:w="11906" w:h="16838" w:orient="portrait"/>
          <w:pgMar w:top="1440" w:right="1797" w:bottom="1440" w:left="1797" w:header="851" w:footer="992" w:gutter="0"/>
          <w:cols w:num="1" w:sep="0" w:space="1701" w:equalWidth="1"/>
          <w:docGrid w:linePitch="360"/>
        </w:sectPr>
        <w:outlineLvl w:val="1"/>
      </w:pPr>
      <w:r>
        <w:rPr>
          <w:rFonts w:hint="eastAsia" w:eastAsia="方正仿宋_GBK"/>
          <w:color w:val="000000"/>
          <w:sz w:val="28"/>
          <w:szCs w:val="28"/>
          <w:lang w:val="zh-CN"/>
        </w:rPr>
      </w:r>
      <w:r/>
    </w:p>
    <w:p>
      <w:pPr>
        <w:pStyle w:val="716"/>
        <w:ind w:firstLine="562"/>
        <w:rPr>
          <w:rFonts w:eastAsia="方正仿宋_GBK"/>
          <w:b/>
          <w:bCs/>
          <w:color w:val="000000"/>
          <w:sz w:val="28"/>
          <w:szCs w:val="28"/>
          <w:lang w:val="zh-CN"/>
        </w:rPr>
        <w:outlineLvl w:val="2"/>
      </w:pPr>
      <w:r>
        <w:rPr>
          <w:rFonts w:eastAsia="方正仿宋_GBK"/>
          <w:b/>
          <w:bCs/>
          <w:color w:val="000000"/>
          <w:sz w:val="28"/>
          <w:szCs w:val="28"/>
          <w:lang w:val="zh-CN"/>
        </w:rPr>
        <w:t xml:space="preserve">一、资格审查证明材料（不能出现商务技术标、价格标）</w:t>
      </w:r>
      <w:r>
        <w:rPr>
          <w:rFonts w:eastAsia="方正仿宋_GBK"/>
          <w:b/>
          <w:bCs/>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1.</w:t>
      </w:r>
      <w:r>
        <w:rPr>
          <w:rFonts w:eastAsia="方正仿宋_GBK"/>
          <w:color w:val="000000"/>
          <w:sz w:val="28"/>
          <w:szCs w:val="28"/>
        </w:rPr>
        <w:t xml:space="preserve">投标人符合《政府采购法》第二十二条规定条件的承诺函</w:t>
      </w:r>
      <w:r>
        <w:rPr>
          <w:rFonts w:eastAsia="方正仿宋_GBK"/>
          <w:color w:val="000000"/>
          <w:sz w:val="28"/>
          <w:szCs w:val="28"/>
          <w:lang w:val="zh-CN"/>
        </w:rPr>
        <w:t xml:space="preserve">（格式见附件1）；</w:t>
      </w:r>
      <w:r>
        <w:rPr>
          <w:rFonts w:eastAsia="方正仿宋_GBK"/>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2.法定代表人身份证明书（格式见附件2）；</w:t>
      </w:r>
      <w:r>
        <w:rPr>
          <w:rFonts w:eastAsia="方正仿宋_GBK"/>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3.法定代表人授权委托书原件，投标代表本人身份证复印件（格式见附件3）；</w:t>
      </w:r>
      <w:r>
        <w:rPr>
          <w:rFonts w:eastAsia="方正仿宋_GBK"/>
          <w:color w:val="000000"/>
          <w:sz w:val="28"/>
          <w:szCs w:val="28"/>
          <w:lang w:val="zh-CN"/>
        </w:rPr>
      </w:r>
      <w:r/>
    </w:p>
    <w:p>
      <w:pPr>
        <w:pStyle w:val="716"/>
        <w:rPr>
          <w:rFonts w:eastAsia="方正仿宋_GBK"/>
          <w:color w:val="000000"/>
          <w:sz w:val="28"/>
          <w:szCs w:val="28"/>
        </w:rPr>
      </w:pPr>
      <w:r>
        <w:rPr>
          <w:rFonts w:eastAsia="方正仿宋_GBK"/>
          <w:color w:val="000000"/>
          <w:sz w:val="28"/>
          <w:szCs w:val="28"/>
        </w:rPr>
        <w:t xml:space="preserve">4.联合体协议书（如有，格式见附件9）；</w:t>
      </w:r>
      <w:r>
        <w:rPr>
          <w:rFonts w:eastAsia="方正仿宋_GBK"/>
          <w:color w:val="000000"/>
          <w:sz w:val="28"/>
          <w:szCs w:val="28"/>
        </w:rPr>
      </w:r>
      <w:r/>
    </w:p>
    <w:p>
      <w:pPr>
        <w:pStyle w:val="716"/>
        <w:rPr>
          <w:rFonts w:eastAsia="方正仿宋_GBK"/>
          <w:color w:val="000000"/>
          <w:sz w:val="28"/>
          <w:szCs w:val="28"/>
          <w:lang w:val="zh-CN"/>
        </w:rPr>
      </w:pPr>
      <w:r>
        <w:rPr>
          <w:rFonts w:eastAsia="方正仿宋_GBK"/>
          <w:color w:val="000000"/>
          <w:sz w:val="28"/>
          <w:szCs w:val="28"/>
        </w:rPr>
        <w:t xml:space="preserve">5</w:t>
      </w:r>
      <w:r>
        <w:rPr>
          <w:rFonts w:eastAsia="方正仿宋_GBK"/>
          <w:color w:val="000000"/>
          <w:sz w:val="28"/>
          <w:szCs w:val="28"/>
          <w:lang w:val="zh-CN"/>
        </w:rPr>
        <w:t xml:space="preserve">.招标公告资格要求提供相应的佐证材料；</w:t>
      </w:r>
      <w:r>
        <w:rPr>
          <w:rFonts w:eastAsia="方正仿宋_GBK"/>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rPr>
        <w:t xml:space="preserve">6</w:t>
      </w:r>
      <w:r>
        <w:rPr>
          <w:rFonts w:eastAsia="方正仿宋_GBK"/>
          <w:color w:val="000000"/>
          <w:sz w:val="28"/>
          <w:szCs w:val="28"/>
          <w:lang w:val="zh-CN"/>
        </w:rPr>
        <w:t xml:space="preserve">.其它需要提交的资格审查证明材料。</w:t>
      </w:r>
      <w:r>
        <w:rPr>
          <w:rFonts w:eastAsia="方正仿宋_GBK"/>
          <w:color w:val="000000"/>
          <w:sz w:val="28"/>
          <w:szCs w:val="28"/>
          <w:lang w:val="zh-CN"/>
        </w:rPr>
      </w:r>
      <w:r/>
    </w:p>
    <w:p>
      <w:pPr>
        <w:pStyle w:val="716"/>
        <w:rPr>
          <w:rFonts w:eastAsia="方正仿宋_GBK"/>
          <w:color w:val="000000"/>
          <w:sz w:val="28"/>
          <w:szCs w:val="28"/>
          <w:lang w:val="zh-CN"/>
        </w:rPr>
      </w:pPr>
      <w:r>
        <w:rPr>
          <w:rFonts w:eastAsia="方正仿宋_GBK"/>
          <w:color w:val="000000"/>
          <w:sz w:val="28"/>
          <w:szCs w:val="28"/>
          <w:lang w:val="zh-CN"/>
        </w:rPr>
        <w:t xml:space="preserve">（招标文件要求提供的</w:t>
      </w:r>
      <w:r>
        <w:rPr>
          <w:rFonts w:eastAsia="方正仿宋_GBK"/>
          <w:b/>
          <w:bCs/>
          <w:color w:val="000000"/>
          <w:sz w:val="28"/>
          <w:szCs w:val="28"/>
          <w:lang w:val="zh-CN"/>
        </w:rPr>
        <w:t xml:space="preserve">资格审查证明材料</w:t>
      </w:r>
      <w:r>
        <w:rPr>
          <w:rFonts w:eastAsia="方正仿宋_GBK"/>
          <w:color w:val="000000"/>
          <w:sz w:val="28"/>
          <w:szCs w:val="28"/>
          <w:lang w:val="zh-CN"/>
        </w:rPr>
        <w:t xml:space="preserve">中没有对应的接口上传的资料，可以在本部分的其他材料的接口中上传）</w:t>
      </w:r>
      <w:r>
        <w:rPr>
          <w:rFonts w:eastAsia="方正仿宋_GBK"/>
          <w:color w:val="000000"/>
          <w:sz w:val="28"/>
          <w:szCs w:val="28"/>
          <w:lang w:val="zh-CN"/>
        </w:rPr>
      </w:r>
      <w:r/>
    </w:p>
    <w:p>
      <w:pPr>
        <w:pStyle w:val="716"/>
        <w:contextualSpacing/>
        <w:rPr>
          <w:color w:val="000000"/>
          <w:sz w:val="28"/>
          <w:szCs w:val="28"/>
          <w:lang w:val="zh-CN"/>
        </w:rPr>
        <w:sectPr>
          <w:footnotePr/>
          <w:endnotePr/>
          <w:type w:val="nextPage"/>
          <w:pgSz w:w="11906" w:h="16838" w:orient="portrait"/>
          <w:pgMar w:top="1440" w:right="1797" w:bottom="1440" w:left="1797" w:header="851" w:footer="992" w:gutter="0"/>
          <w:cols w:num="1" w:sep="0" w:space="1701" w:equalWidth="1"/>
          <w:docGrid w:linePitch="360"/>
        </w:sectPr>
        <w:outlineLvl w:val="1"/>
      </w:pPr>
      <w:r>
        <w:rPr>
          <w:color w:val="000000"/>
          <w:sz w:val="28"/>
          <w:szCs w:val="28"/>
          <w:lang w:val="zh-CN"/>
        </w:rPr>
      </w:r>
      <w:r/>
    </w:p>
    <w:p>
      <w:pPr>
        <w:pStyle w:val="716"/>
        <w:contextualSpacing/>
        <w:rPr>
          <w:color w:val="000000"/>
          <w:sz w:val="28"/>
          <w:szCs w:val="28"/>
          <w:lang w:val="zh-CN"/>
        </w:rPr>
        <w:outlineLvl w:val="1"/>
      </w:pPr>
      <w:r>
        <w:rPr>
          <w:color w:val="000000"/>
          <w:sz w:val="28"/>
          <w:szCs w:val="28"/>
          <w:lang w:val="zh-CN"/>
        </w:rPr>
        <w:t xml:space="preserve">附件1</w:t>
      </w:r>
      <w:r>
        <w:rPr>
          <w:color w:val="000000"/>
          <w:sz w:val="28"/>
          <w:szCs w:val="28"/>
          <w:lang w:val="zh-CN"/>
        </w:rPr>
      </w:r>
      <w:r/>
    </w:p>
    <w:p>
      <w:pPr>
        <w:pStyle w:val="716"/>
        <w:jc w:val="center"/>
        <w:rPr>
          <w:b/>
          <w:color w:val="000000"/>
          <w:sz w:val="28"/>
          <w:szCs w:val="28"/>
        </w:rPr>
      </w:pPr>
      <w:r>
        <w:rPr>
          <w:b/>
          <w:color w:val="000000"/>
          <w:sz w:val="28"/>
          <w:szCs w:val="28"/>
        </w:rPr>
        <w:t xml:space="preserve">投标人符合《政府采购法》第二十二条规定条件的声明函</w:t>
      </w:r>
      <w:r>
        <w:rPr>
          <w:b/>
          <w:color w:val="000000"/>
          <w:sz w:val="28"/>
          <w:szCs w:val="28"/>
        </w:rPr>
      </w:r>
      <w:r/>
    </w:p>
    <w:p>
      <w:pPr>
        <w:pStyle w:val="716"/>
        <w:rPr>
          <w:b/>
          <w:bCs/>
          <w:color w:val="000000"/>
          <w:sz w:val="28"/>
          <w:szCs w:val="28"/>
        </w:rPr>
      </w:pPr>
      <w:r>
        <w:rPr>
          <w:b/>
          <w:bCs/>
          <w:color w:val="000000"/>
          <w:sz w:val="28"/>
          <w:szCs w:val="28"/>
        </w:rPr>
        <w:t xml:space="preserve">                          </w:t>
      </w:r>
      <w:r>
        <w:rPr>
          <w:b/>
          <w:bCs/>
          <w:color w:val="000000"/>
          <w:sz w:val="28"/>
          <w:szCs w:val="28"/>
        </w:rPr>
      </w:r>
      <w:r/>
    </w:p>
    <w:p>
      <w:pPr>
        <w:pStyle w:val="716"/>
        <w:ind w:firstLine="560"/>
        <w:rPr>
          <w:b/>
          <w:bCs/>
          <w:color w:val="000000"/>
          <w:sz w:val="28"/>
          <w:szCs w:val="28"/>
        </w:rPr>
      </w:pPr>
      <w:r>
        <w:rPr>
          <w:bCs/>
          <w:color w:val="000000"/>
          <w:sz w:val="28"/>
          <w:szCs w:val="28"/>
        </w:rPr>
        <w:t xml:space="preserve">我单位参加</w:t>
      </w:r>
      <w:r>
        <w:rPr>
          <w:bCs/>
          <w:color w:val="000000"/>
          <w:sz w:val="28"/>
          <w:szCs w:val="28"/>
          <w:u w:val="single"/>
        </w:rPr>
        <w:t xml:space="preserve">________________ _</w:t>
      </w:r>
      <w:r>
        <w:rPr>
          <w:bCs/>
          <w:color w:val="000000"/>
          <w:sz w:val="28"/>
          <w:szCs w:val="28"/>
        </w:rPr>
        <w:t xml:space="preserve">（项目名称），</w:t>
      </w:r>
      <w:r>
        <w:rPr>
          <w:bCs/>
          <w:color w:val="000000"/>
          <w:sz w:val="28"/>
          <w:szCs w:val="28"/>
          <w:u w:val="single"/>
        </w:rPr>
        <w:t xml:space="preserve">_______ __________</w:t>
      </w:r>
      <w:r>
        <w:rPr>
          <w:bCs/>
          <w:color w:val="000000"/>
          <w:sz w:val="28"/>
          <w:szCs w:val="28"/>
        </w:rPr>
        <w:t xml:space="preserve">（项目编号）投标活动。针对《中华人民共和国政府采购法》第二十二条规定做出如下声明：</w:t>
      </w:r>
      <w:r>
        <w:rPr>
          <w:b/>
          <w:bCs/>
          <w:color w:val="000000"/>
          <w:sz w:val="28"/>
          <w:szCs w:val="28"/>
        </w:rPr>
      </w:r>
      <w:r/>
    </w:p>
    <w:p>
      <w:pPr>
        <w:pStyle w:val="716"/>
        <w:ind w:firstLine="482"/>
        <w:rPr>
          <w:color w:val="000000"/>
          <w:sz w:val="28"/>
          <w:szCs w:val="28"/>
        </w:rPr>
      </w:pPr>
      <w:r>
        <w:rPr>
          <w:bCs/>
          <w:color w:val="000000"/>
          <w:sz w:val="28"/>
          <w:szCs w:val="28"/>
        </w:rPr>
        <w:t xml:space="preserve">1.我单位具有独立承担民事责任的能力；</w:t>
      </w:r>
      <w:r>
        <w:rPr>
          <w:color w:val="000000"/>
          <w:sz w:val="28"/>
          <w:szCs w:val="28"/>
        </w:rPr>
      </w:r>
      <w:r/>
    </w:p>
    <w:p>
      <w:pPr>
        <w:pStyle w:val="716"/>
        <w:ind w:firstLine="482"/>
        <w:rPr>
          <w:color w:val="000000"/>
          <w:sz w:val="28"/>
          <w:szCs w:val="28"/>
        </w:rPr>
      </w:pPr>
      <w:r>
        <w:rPr>
          <w:color w:val="000000"/>
          <w:sz w:val="28"/>
          <w:szCs w:val="28"/>
        </w:rPr>
        <w:t xml:space="preserve">2.我单位具有良好的商业信誉和健全的财务会计制度；</w:t>
      </w:r>
      <w:r>
        <w:rPr>
          <w:color w:val="000000"/>
          <w:sz w:val="28"/>
          <w:szCs w:val="28"/>
        </w:rPr>
      </w:r>
      <w:r/>
    </w:p>
    <w:p>
      <w:pPr>
        <w:pStyle w:val="716"/>
        <w:ind w:firstLine="482"/>
        <w:rPr>
          <w:color w:val="000000"/>
          <w:sz w:val="28"/>
          <w:szCs w:val="28"/>
        </w:rPr>
      </w:pPr>
      <w:r>
        <w:rPr>
          <w:color w:val="000000"/>
          <w:sz w:val="28"/>
          <w:szCs w:val="28"/>
        </w:rPr>
        <w:t xml:space="preserve">3.我单位具有履行合同所必需的设备和专业技术能力；</w:t>
      </w:r>
      <w:r>
        <w:rPr>
          <w:color w:val="000000"/>
          <w:sz w:val="28"/>
          <w:szCs w:val="28"/>
        </w:rPr>
      </w:r>
      <w:r/>
    </w:p>
    <w:p>
      <w:pPr>
        <w:pStyle w:val="716"/>
        <w:ind w:firstLine="482"/>
        <w:rPr>
          <w:color w:val="000000"/>
          <w:sz w:val="28"/>
          <w:szCs w:val="28"/>
        </w:rPr>
      </w:pPr>
      <w:r>
        <w:rPr>
          <w:color w:val="000000"/>
          <w:sz w:val="28"/>
          <w:szCs w:val="28"/>
        </w:rPr>
        <w:t xml:space="preserve">4.我单位有依法缴纳税收和社会保障资金的良好记录；</w:t>
      </w:r>
      <w:r>
        <w:rPr>
          <w:color w:val="000000"/>
          <w:sz w:val="28"/>
          <w:szCs w:val="28"/>
        </w:rPr>
      </w:r>
      <w:r/>
    </w:p>
    <w:p>
      <w:pPr>
        <w:pStyle w:val="716"/>
        <w:ind w:firstLine="482"/>
        <w:rPr>
          <w:color w:val="000000"/>
          <w:sz w:val="28"/>
          <w:szCs w:val="28"/>
        </w:rPr>
      </w:pPr>
      <w:r>
        <w:rPr>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sz w:val="28"/>
          <w:szCs w:val="28"/>
        </w:rPr>
      </w:r>
      <w:r/>
    </w:p>
    <w:p>
      <w:pPr>
        <w:pStyle w:val="716"/>
        <w:ind w:firstLine="482"/>
        <w:rPr>
          <w:rFonts w:hint="eastAsia"/>
          <w:color w:val="000000"/>
          <w:sz w:val="28"/>
          <w:szCs w:val="28"/>
        </w:rPr>
      </w:pPr>
      <w:r>
        <w:rPr>
          <w:color w:val="000000"/>
          <w:sz w:val="28"/>
          <w:szCs w:val="28"/>
        </w:rPr>
        <w:t xml:space="preserve">6.我单位满足法律、行政法规规定的其他条件</w:t>
      </w:r>
      <w:r>
        <w:rPr>
          <w:rFonts w:hint="eastAsia"/>
          <w:color w:val="000000"/>
          <w:sz w:val="28"/>
          <w:szCs w:val="28"/>
        </w:rPr>
        <w:t xml:space="preserve">。</w:t>
      </w:r>
      <w:r>
        <w:rPr>
          <w:rFonts w:hint="eastAsia"/>
          <w:color w:val="000000"/>
          <w:sz w:val="28"/>
          <w:szCs w:val="28"/>
        </w:rPr>
      </w:r>
      <w:r/>
    </w:p>
    <w:p>
      <w:pPr>
        <w:pStyle w:val="716"/>
        <w:rPr>
          <w:bCs/>
          <w:color w:val="000000"/>
          <w:sz w:val="28"/>
          <w:szCs w:val="28"/>
        </w:rPr>
      </w:pPr>
      <w:r>
        <w:rPr>
          <w:bCs/>
          <w:color w:val="000000"/>
          <w:sz w:val="28"/>
          <w:szCs w:val="28"/>
        </w:rPr>
      </w:r>
      <w:r/>
    </w:p>
    <w:p>
      <w:pPr>
        <w:pStyle w:val="716"/>
        <w:jc w:val="center"/>
        <w:rPr>
          <w:bCs/>
          <w:color w:val="000000"/>
          <w:sz w:val="28"/>
          <w:szCs w:val="28"/>
        </w:rPr>
      </w:pPr>
      <w:r>
        <w:rPr>
          <w:bCs/>
          <w:color w:val="000000"/>
          <w:sz w:val="28"/>
          <w:szCs w:val="28"/>
        </w:rPr>
        <w:t xml:space="preserve">       承诺人名称（公章）：</w:t>
      </w:r>
      <w:r>
        <w:rPr>
          <w:bCs/>
          <w:color w:val="000000"/>
          <w:sz w:val="28"/>
          <w:szCs w:val="28"/>
        </w:rPr>
      </w:r>
      <w:r/>
    </w:p>
    <w:p>
      <w:pPr>
        <w:pStyle w:val="716"/>
        <w:jc w:val="right"/>
        <w:rPr>
          <w:bCs/>
          <w:color w:val="000000"/>
          <w:sz w:val="28"/>
          <w:szCs w:val="28"/>
        </w:rPr>
      </w:pPr>
      <w:r>
        <w:rPr>
          <w:bCs/>
          <w:color w:val="000000"/>
          <w:sz w:val="28"/>
          <w:szCs w:val="28"/>
        </w:rPr>
        <w:t xml:space="preserve">    </w:t>
      </w:r>
      <w:r>
        <w:rPr>
          <w:bCs/>
          <w:color w:val="000000"/>
          <w:sz w:val="28"/>
          <w:szCs w:val="28"/>
        </w:rPr>
      </w:r>
      <w:r/>
    </w:p>
    <w:p>
      <w:pPr>
        <w:pStyle w:val="716"/>
        <w:jc w:val="right"/>
        <w:rPr>
          <w:bCs/>
          <w:color w:val="000000"/>
          <w:sz w:val="28"/>
          <w:szCs w:val="28"/>
        </w:rPr>
      </w:pPr>
      <w:r>
        <w:rPr>
          <w:bCs/>
          <w:color w:val="000000"/>
          <w:sz w:val="28"/>
          <w:szCs w:val="28"/>
        </w:rPr>
        <w:t xml:space="preserve">                                 日期：</w:t>
      </w:r>
      <w:r>
        <w:rPr>
          <w:bCs/>
          <w:color w:val="000000"/>
          <w:sz w:val="28"/>
          <w:szCs w:val="28"/>
          <w:u w:val="single"/>
        </w:rPr>
        <w:t xml:space="preserve">______</w:t>
      </w:r>
      <w:r>
        <w:rPr>
          <w:bCs/>
          <w:color w:val="000000"/>
          <w:sz w:val="28"/>
          <w:szCs w:val="28"/>
        </w:rPr>
        <w:t xml:space="preserve">年</w:t>
      </w:r>
      <w:r>
        <w:rPr>
          <w:bCs/>
          <w:color w:val="000000"/>
          <w:sz w:val="28"/>
          <w:szCs w:val="28"/>
          <w:u w:val="single"/>
        </w:rPr>
        <w:t xml:space="preserve">    </w:t>
      </w:r>
      <w:r>
        <w:rPr>
          <w:bCs/>
          <w:color w:val="000000"/>
          <w:sz w:val="28"/>
          <w:szCs w:val="28"/>
        </w:rPr>
        <w:t xml:space="preserve">月</w:t>
      </w:r>
      <w:r>
        <w:rPr>
          <w:bCs/>
          <w:color w:val="000000"/>
          <w:sz w:val="28"/>
          <w:szCs w:val="28"/>
          <w:u w:val="single"/>
        </w:rPr>
        <w:t xml:space="preserve">    </w:t>
      </w:r>
      <w:r>
        <w:rPr>
          <w:bCs/>
          <w:color w:val="000000"/>
          <w:sz w:val="28"/>
          <w:szCs w:val="28"/>
        </w:rPr>
        <w:t xml:space="preserve">日</w:t>
      </w:r>
      <w:r>
        <w:rPr>
          <w:bCs/>
          <w:color w:val="000000"/>
          <w:sz w:val="28"/>
          <w:szCs w:val="28"/>
        </w:rPr>
      </w:r>
      <w:r/>
    </w:p>
    <w:p>
      <w:pPr>
        <w:pStyle w:val="716"/>
        <w:contextualSpacing/>
        <w:rPr>
          <w:rFonts w:hint="eastAsia"/>
          <w:b/>
          <w:color w:val="000000"/>
          <w:sz w:val="28"/>
          <w:szCs w:val="28"/>
          <w:lang w:val="zh-CN"/>
        </w:rPr>
      </w:pPr>
      <w:r>
        <w:rPr>
          <w:rFonts w:hint="eastAsia"/>
          <w:b/>
          <w:color w:val="000000"/>
          <w:sz w:val="28"/>
          <w:szCs w:val="28"/>
          <w:lang w:val="zh-CN"/>
        </w:rPr>
      </w:r>
      <w:r/>
    </w:p>
    <w:p>
      <w:pPr>
        <w:pStyle w:val="716"/>
        <w:contextualSpacing/>
        <w:rPr>
          <w:color w:val="000000"/>
          <w:sz w:val="28"/>
          <w:szCs w:val="28"/>
          <w:lang w:val="zh-CN"/>
        </w:rPr>
        <w:outlineLvl w:val="1"/>
      </w:pPr>
      <w:r>
        <w:rPr>
          <w:color w:val="000000"/>
          <w:sz w:val="28"/>
          <w:szCs w:val="28"/>
          <w:lang w:val="zh-CN"/>
        </w:rPr>
        <w:t xml:space="preserve">附件2</w:t>
      </w:r>
      <w:r>
        <w:rPr>
          <w:color w:val="000000"/>
          <w:sz w:val="28"/>
          <w:szCs w:val="28"/>
          <w:lang w:val="zh-CN"/>
        </w:rPr>
      </w:r>
      <w:r/>
    </w:p>
    <w:p>
      <w:pPr>
        <w:pStyle w:val="872"/>
        <w:jc w:val="center"/>
        <w:rPr>
          <w:b/>
          <w:bCs/>
          <w:color w:val="000000"/>
          <w:sz w:val="28"/>
          <w:szCs w:val="28"/>
        </w:rPr>
      </w:pPr>
      <w:r>
        <w:rPr>
          <w:b/>
          <w:bCs/>
          <w:color w:val="000000"/>
          <w:sz w:val="28"/>
          <w:szCs w:val="28"/>
        </w:rPr>
        <w:t xml:space="preserve">法定代表人身份证明</w:t>
      </w:r>
      <w:r>
        <w:rPr>
          <w:b/>
          <w:bCs/>
          <w:color w:val="000000"/>
          <w:sz w:val="28"/>
          <w:szCs w:val="28"/>
        </w:rPr>
      </w:r>
      <w:r/>
    </w:p>
    <w:p>
      <w:pPr>
        <w:pStyle w:val="716"/>
        <w:rPr>
          <w:color w:val="000000"/>
          <w:sz w:val="28"/>
          <w:szCs w:val="28"/>
        </w:rPr>
      </w:pPr>
      <w:r>
        <w:rPr>
          <w:color w:val="000000"/>
          <w:sz w:val="28"/>
          <w:szCs w:val="28"/>
        </w:rPr>
      </w:r>
      <w:r/>
    </w:p>
    <w:p>
      <w:pPr>
        <w:pStyle w:val="716"/>
        <w:ind w:firstLine="560"/>
        <w:rPr>
          <w:color w:val="000000"/>
          <w:sz w:val="28"/>
          <w:szCs w:val="28"/>
        </w:rPr>
      </w:pPr>
      <w:r>
        <w:rPr>
          <w:color w:val="000000"/>
          <w:sz w:val="28"/>
          <w:szCs w:val="28"/>
          <w:u w:val="single"/>
        </w:rPr>
        <w:t xml:space="preserve">        </w:t>
      </w:r>
      <w:r>
        <w:rPr>
          <w:color w:val="000000"/>
          <w:sz w:val="28"/>
          <w:szCs w:val="28"/>
        </w:rPr>
        <w:t xml:space="preserve">先生/女士： 现任我单位</w:t>
      </w:r>
      <w:r>
        <w:rPr>
          <w:color w:val="000000"/>
          <w:sz w:val="28"/>
          <w:szCs w:val="28"/>
          <w:u w:val="single"/>
        </w:rPr>
        <w:t xml:space="preserve">        </w:t>
      </w:r>
      <w:r>
        <w:rPr>
          <w:color w:val="000000"/>
          <w:sz w:val="28"/>
          <w:szCs w:val="28"/>
        </w:rPr>
        <w:t xml:space="preserve">职务，为法定代表人，特此证明。</w:t>
      </w:r>
      <w:r>
        <w:rPr>
          <w:color w:val="000000"/>
          <w:sz w:val="28"/>
          <w:szCs w:val="28"/>
        </w:rPr>
      </w:r>
      <w:r/>
    </w:p>
    <w:p>
      <w:pPr>
        <w:pStyle w:val="716"/>
        <w:ind w:firstLine="480"/>
        <w:rPr>
          <w:color w:val="000000"/>
          <w:sz w:val="28"/>
          <w:szCs w:val="28"/>
          <w:u w:val="single"/>
        </w:rPr>
      </w:pPr>
      <w:r>
        <w:rPr>
          <w:color w:val="000000"/>
          <w:sz w:val="28"/>
          <w:szCs w:val="28"/>
        </w:rPr>
        <w:t xml:space="preserve">身份证号码：</w:t>
      </w:r>
      <w:r>
        <w:rPr>
          <w:color w:val="000000"/>
          <w:sz w:val="28"/>
          <w:szCs w:val="28"/>
          <w:u w:val="single"/>
        </w:rPr>
        <w:t xml:space="preserve">                                               </w:t>
      </w:r>
      <w:r>
        <w:rPr>
          <w:color w:val="000000"/>
          <w:sz w:val="28"/>
          <w:szCs w:val="28"/>
          <w:u w:val="single"/>
        </w:rPr>
      </w:r>
      <w:r/>
    </w:p>
    <w:p>
      <w:pPr>
        <w:pStyle w:val="716"/>
        <w:ind w:firstLine="480"/>
        <w:rPr>
          <w:color w:val="000000"/>
          <w:sz w:val="28"/>
          <w:szCs w:val="28"/>
        </w:rPr>
      </w:pPr>
      <w:r>
        <w:rPr>
          <w:color w:val="000000"/>
          <w:sz w:val="28"/>
          <w:szCs w:val="28"/>
        </w:rPr>
      </w:r>
      <w:r/>
    </w:p>
    <w:p>
      <w:pPr>
        <w:pStyle w:val="871"/>
        <w:rPr>
          <w:b/>
          <w:color w:val="000000"/>
          <w:sz w:val="28"/>
          <w:szCs w:val="28"/>
        </w:rPr>
      </w:pPr>
      <w:r>
        <w:rPr>
          <w:b/>
          <w:color w:val="000000"/>
          <w:sz w:val="28"/>
          <w:szCs w:val="28"/>
        </w:rPr>
        <w:t xml:space="preserve">注：提供法定代表人的身份证复印件盖公章</w:t>
      </w:r>
      <w:r>
        <w:rPr>
          <w:b/>
          <w:color w:val="000000"/>
          <w:sz w:val="28"/>
          <w:szCs w:val="28"/>
        </w:rPr>
      </w:r>
      <w:r/>
    </w:p>
    <w:p>
      <w:pPr>
        <w:pStyle w:val="716"/>
        <w:ind w:firstLine="560"/>
        <w:rPr>
          <w:color w:val="000000"/>
          <w:sz w:val="28"/>
          <w:szCs w:val="28"/>
        </w:rPr>
      </w:pPr>
      <w:r>
        <w:rPr>
          <w:color w:val="000000"/>
          <w:sz w:val="28"/>
          <w:szCs w:val="28"/>
        </w:rPr>
      </w:r>
      <w:r/>
    </w:p>
    <w:p>
      <w:pPr>
        <w:pStyle w:val="716"/>
        <w:rPr>
          <w:color w:val="000000"/>
          <w:sz w:val="28"/>
          <w:szCs w:val="28"/>
        </w:rPr>
      </w:pPr>
      <w:r>
        <w:rPr>
          <w:color w:val="000000"/>
          <w:sz w:val="28"/>
          <w:szCs w:val="28"/>
        </w:rPr>
        <w:t xml:space="preserve">     </w:t>
      </w:r>
      <w:r>
        <w:rPr>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ind w:firstLine="540"/>
        <w:rPr>
          <w:b/>
          <w:color w:val="000000"/>
          <w:sz w:val="28"/>
          <w:szCs w:val="28"/>
          <w:lang w:val="zh-CN"/>
        </w:rPr>
      </w:pPr>
      <w:r>
        <w:rPr>
          <w:b/>
          <w:color w:val="000000"/>
          <w:sz w:val="28"/>
          <w:szCs w:val="28"/>
          <w:lang w:val="zh-CN"/>
        </w:rPr>
      </w:r>
      <w:r/>
    </w:p>
    <w:p>
      <w:pPr>
        <w:pStyle w:val="716"/>
        <w:contextualSpacing/>
        <w:rPr>
          <w:b/>
          <w:color w:val="000000"/>
          <w:sz w:val="28"/>
          <w:szCs w:val="28"/>
          <w:lang w:val="zh-CN"/>
        </w:rPr>
      </w:pPr>
      <w:r>
        <w:rPr>
          <w:b/>
          <w:color w:val="000000"/>
          <w:sz w:val="28"/>
          <w:szCs w:val="28"/>
          <w:lang w:val="zh-CN"/>
        </w:rPr>
      </w:r>
      <w:r/>
    </w:p>
    <w:p>
      <w:pPr>
        <w:pStyle w:val="716"/>
        <w:contextualSpacing/>
        <w:rPr>
          <w:color w:val="000000"/>
          <w:sz w:val="28"/>
          <w:szCs w:val="28"/>
          <w:lang w:val="zh-CN"/>
        </w:rPr>
        <w:outlineLvl w:val="1"/>
      </w:pPr>
      <w:r>
        <w:rPr>
          <w:color w:val="000000"/>
          <w:sz w:val="28"/>
          <w:szCs w:val="28"/>
          <w:lang w:val="zh-CN"/>
        </w:rPr>
        <w:t xml:space="preserve">附件3</w:t>
      </w:r>
      <w:r>
        <w:rPr>
          <w:color w:val="000000"/>
          <w:sz w:val="28"/>
          <w:szCs w:val="28"/>
          <w:lang w:val="zh-CN"/>
        </w:rPr>
      </w:r>
      <w:r/>
    </w:p>
    <w:p>
      <w:pPr>
        <w:pStyle w:val="716"/>
        <w:jc w:val="center"/>
        <w:rPr>
          <w:b/>
          <w:bCs/>
          <w:color w:val="000000"/>
          <w:sz w:val="28"/>
          <w:szCs w:val="28"/>
        </w:rPr>
      </w:pPr>
      <w:r>
        <w:rPr>
          <w:b/>
          <w:bCs/>
          <w:color w:val="000000"/>
          <w:sz w:val="28"/>
          <w:szCs w:val="28"/>
        </w:rPr>
        <w:t xml:space="preserve">法定代表人授权委托书</w:t>
      </w:r>
      <w:r>
        <w:rPr>
          <w:b/>
          <w:bCs/>
          <w:color w:val="000000"/>
          <w:sz w:val="28"/>
          <w:szCs w:val="28"/>
        </w:rPr>
      </w:r>
      <w:r/>
    </w:p>
    <w:p>
      <w:pPr>
        <w:pStyle w:val="716"/>
        <w:rPr>
          <w:color w:val="000000"/>
          <w:sz w:val="28"/>
          <w:szCs w:val="28"/>
        </w:rPr>
      </w:pPr>
      <w:r>
        <w:rPr>
          <w:color w:val="000000"/>
          <w:sz w:val="28"/>
          <w:szCs w:val="28"/>
        </w:rPr>
      </w:r>
      <w:r/>
    </w:p>
    <w:p>
      <w:pPr>
        <w:pStyle w:val="716"/>
        <w:ind w:firstLine="560"/>
        <w:rPr>
          <w:color w:val="000000"/>
          <w:sz w:val="28"/>
          <w:szCs w:val="28"/>
        </w:rPr>
      </w:pPr>
      <w:r>
        <w:rPr>
          <w:color w:val="000000"/>
          <w:sz w:val="28"/>
          <w:szCs w:val="28"/>
        </w:rPr>
        <w:t xml:space="preserve">本人------（姓名）系————（授权单位名称）的法定代表人，现委托-------（姓名）（身份证号——————）为我方代理人，以我方名义全权处理与本次采购项目（编号：----------）有关的一切事务，其法律后果由我方承担。</w:t>
      </w:r>
      <w:r>
        <w:rPr>
          <w:color w:val="000000"/>
          <w:sz w:val="28"/>
          <w:szCs w:val="28"/>
        </w:rPr>
      </w:r>
      <w:r/>
    </w:p>
    <w:p>
      <w:pPr>
        <w:pStyle w:val="716"/>
        <w:ind w:firstLine="560"/>
        <w:rPr>
          <w:color w:val="000000"/>
          <w:sz w:val="28"/>
          <w:szCs w:val="28"/>
        </w:rPr>
      </w:pPr>
      <w:r>
        <w:rPr>
          <w:color w:val="000000"/>
          <w:sz w:val="28"/>
          <w:szCs w:val="28"/>
        </w:rPr>
        <w:t xml:space="preserve">本授权书于---年---月---日起生效。代理人无转委托权。</w:t>
      </w:r>
      <w:r>
        <w:rPr>
          <w:color w:val="000000"/>
          <w:sz w:val="28"/>
          <w:szCs w:val="28"/>
        </w:rPr>
      </w:r>
      <w:r/>
    </w:p>
    <w:p>
      <w:pPr>
        <w:pStyle w:val="716"/>
        <w:ind w:firstLine="420"/>
        <w:rPr>
          <w:color w:val="000000"/>
          <w:sz w:val="28"/>
          <w:szCs w:val="28"/>
        </w:rPr>
      </w:pPr>
      <w:r>
        <w:rPr>
          <w:color w:val="000000"/>
          <w:sz w:val="28"/>
          <w:szCs w:val="28"/>
        </w:rPr>
        <w:t xml:space="preserve">代理人(被授权人):------</w:t>
      </w:r>
      <w:r>
        <w:rPr>
          <w:color w:val="000000"/>
          <w:sz w:val="28"/>
          <w:szCs w:val="28"/>
        </w:rPr>
      </w:r>
      <w:r/>
    </w:p>
    <w:p>
      <w:pPr>
        <w:pStyle w:val="716"/>
        <w:ind w:firstLine="420"/>
        <w:rPr>
          <w:color w:val="000000"/>
          <w:sz w:val="28"/>
          <w:szCs w:val="28"/>
        </w:rPr>
      </w:pPr>
      <w:r>
        <w:rPr>
          <w:color w:val="000000"/>
          <w:sz w:val="28"/>
          <w:szCs w:val="28"/>
        </w:rPr>
        <w:t xml:space="preserve">授权单位名称（盖章）：-----</w:t>
      </w:r>
      <w:r>
        <w:rPr>
          <w:color w:val="000000"/>
          <w:sz w:val="28"/>
          <w:szCs w:val="28"/>
        </w:rPr>
      </w:r>
      <w:r/>
    </w:p>
    <w:p>
      <w:pPr>
        <w:pStyle w:val="716"/>
        <w:ind w:firstLine="420"/>
        <w:rPr>
          <w:color w:val="000000"/>
          <w:sz w:val="28"/>
          <w:szCs w:val="28"/>
        </w:rPr>
      </w:pPr>
      <w:r>
        <w:rPr>
          <w:color w:val="000000"/>
          <w:sz w:val="28"/>
          <w:szCs w:val="28"/>
        </w:rPr>
        <w:t xml:space="preserve">授权单位法定代表人（签字或盖章）：-----</w:t>
      </w:r>
      <w:r>
        <w:rPr>
          <w:color w:val="000000"/>
          <w:sz w:val="28"/>
          <w:szCs w:val="28"/>
        </w:rPr>
      </w:r>
      <w:r/>
    </w:p>
    <w:p>
      <w:pPr>
        <w:pStyle w:val="716"/>
        <w:jc w:val="right"/>
        <w:rPr>
          <w:color w:val="000000"/>
          <w:sz w:val="28"/>
          <w:szCs w:val="28"/>
        </w:rPr>
      </w:pPr>
      <w:r>
        <w:rPr>
          <w:color w:val="000000"/>
          <w:sz w:val="28"/>
          <w:szCs w:val="28"/>
        </w:rPr>
      </w:r>
      <w:r/>
    </w:p>
    <w:p>
      <w:pPr>
        <w:pStyle w:val="716"/>
        <w:jc w:val="right"/>
        <w:rPr>
          <w:color w:val="000000"/>
          <w:sz w:val="28"/>
          <w:szCs w:val="28"/>
        </w:rPr>
      </w:pPr>
      <w:r>
        <w:rPr>
          <w:color w:val="000000"/>
          <w:sz w:val="28"/>
          <w:szCs w:val="28"/>
        </w:rPr>
        <w:t xml:space="preserve">XXXX年XX月XX日</w:t>
      </w:r>
      <w:r>
        <w:rPr>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t xml:space="preserve">注：提供投标代表本人身份证复印件盖公章</w:t>
      </w: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rFonts w:hint="eastAsia"/>
          <w:b/>
          <w:color w:val="000000"/>
          <w:sz w:val="28"/>
          <w:szCs w:val="28"/>
        </w:rPr>
      </w:pPr>
      <w:r>
        <w:rPr>
          <w:rFonts w:hint="eastAsia"/>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rPr>
          <w:color w:val="000000"/>
          <w:sz w:val="28"/>
          <w:szCs w:val="28"/>
        </w:rPr>
        <w:outlineLvl w:val="1"/>
      </w:pPr>
      <w:r>
        <w:rPr>
          <w:color w:val="000000"/>
          <w:sz w:val="28"/>
          <w:szCs w:val="28"/>
        </w:rPr>
        <w:t xml:space="preserve">附件4</w:t>
      </w:r>
      <w:r>
        <w:rPr>
          <w:color w:val="000000"/>
          <w:sz w:val="28"/>
          <w:szCs w:val="28"/>
        </w:rPr>
      </w:r>
      <w:r/>
    </w:p>
    <w:p>
      <w:pPr>
        <w:pStyle w:val="716"/>
        <w:contextualSpacing/>
        <w:jc w:val="center"/>
        <w:tabs>
          <w:tab w:val="left" w:pos="1260" w:leader="none"/>
        </w:tabs>
        <w:rPr>
          <w:b/>
          <w:color w:val="000000"/>
          <w:sz w:val="28"/>
          <w:szCs w:val="28"/>
        </w:rPr>
      </w:pPr>
      <w:r>
        <w:rPr>
          <w:b/>
          <w:color w:val="000000"/>
          <w:sz w:val="28"/>
          <w:szCs w:val="28"/>
        </w:rPr>
        <w:t xml:space="preserve">投标人情况一览表</w:t>
      </w:r>
      <w:r>
        <w:rPr>
          <w:b/>
          <w:color w:val="000000"/>
          <w:sz w:val="28"/>
          <w:szCs w:val="28"/>
        </w:rPr>
      </w:r>
      <w:r/>
    </w:p>
    <w:tbl>
      <w:tblPr>
        <w:tblW w:w="91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603"/>
        <w:gridCol w:w="850"/>
        <w:gridCol w:w="1240"/>
        <w:gridCol w:w="567"/>
        <w:gridCol w:w="1170"/>
        <w:gridCol w:w="1039"/>
        <w:gridCol w:w="151"/>
        <w:gridCol w:w="1122"/>
        <w:gridCol w:w="239"/>
        <w:gridCol w:w="1367"/>
      </w:tblGrid>
      <w:tr>
        <w:trPr>
          <w:trHeight w:val="397"/>
        </w:trPr>
        <w:tc>
          <w:tcPr>
            <w:gridSpan w:val="2"/>
            <w:tcW w:w="1420"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单位名称</w:t>
            </w:r>
            <w:r>
              <w:rPr>
                <w:color w:val="000000"/>
                <w:sz w:val="28"/>
                <w:szCs w:val="28"/>
              </w:rPr>
            </w:r>
            <w:r/>
          </w:p>
        </w:tc>
        <w:tc>
          <w:tcPr>
            <w:gridSpan w:val="9"/>
            <w:tcW w:w="7745"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r>
      <w:tr>
        <w:trPr>
          <w:trHeight w:val="397"/>
        </w:trPr>
        <w:tc>
          <w:tcPr>
            <w:gridSpan w:val="3"/>
            <w:tcW w:w="2270"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单位优势及特长</w:t>
            </w:r>
            <w:r>
              <w:rPr>
                <w:color w:val="000000"/>
                <w:sz w:val="28"/>
                <w:szCs w:val="28"/>
              </w:rPr>
            </w:r>
            <w:r/>
          </w:p>
        </w:tc>
        <w:tc>
          <w:tcPr>
            <w:gridSpan w:val="8"/>
            <w:tcW w:w="6895"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W w:w="817" w:type="dxa"/>
            <w:vAlign w:val="center"/>
            <w:vMerge w:val="restart"/>
            <w:textDirection w:val="lrTb"/>
            <w:noWrap w:val="false"/>
          </w:tcPr>
          <w:p>
            <w:pPr>
              <w:pStyle w:val="716"/>
              <w:ind w:left="311" w:hanging="310"/>
              <w:jc w:val="center"/>
              <w:spacing w:line="360" w:lineRule="exact"/>
              <w:tabs>
                <w:tab w:val="left" w:pos="4320" w:leader="none"/>
              </w:tabs>
              <w:rPr>
                <w:color w:val="000000"/>
                <w:sz w:val="28"/>
                <w:szCs w:val="28"/>
              </w:rPr>
            </w:pPr>
            <w:r>
              <w:rPr>
                <w:color w:val="000000"/>
                <w:sz w:val="28"/>
                <w:szCs w:val="28"/>
              </w:rPr>
              <w:t xml:space="preserve">单位</w:t>
            </w:r>
            <w:r>
              <w:rPr>
                <w:color w:val="000000"/>
                <w:sz w:val="28"/>
                <w:szCs w:val="28"/>
              </w:rPr>
            </w:r>
            <w:r/>
          </w:p>
          <w:p>
            <w:pPr>
              <w:pStyle w:val="716"/>
              <w:ind w:left="311" w:hanging="310"/>
              <w:jc w:val="center"/>
              <w:spacing w:line="360" w:lineRule="exact"/>
              <w:tabs>
                <w:tab w:val="left" w:pos="4320" w:leader="none"/>
              </w:tabs>
              <w:rPr>
                <w:color w:val="000000"/>
                <w:sz w:val="28"/>
                <w:szCs w:val="28"/>
              </w:rPr>
            </w:pPr>
            <w:r>
              <w:rPr>
                <w:color w:val="000000"/>
                <w:sz w:val="28"/>
                <w:szCs w:val="28"/>
              </w:rPr>
              <w:t xml:space="preserve">概况</w:t>
            </w: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职工总数</w:t>
            </w:r>
            <w:r>
              <w:rPr>
                <w:color w:val="000000"/>
                <w:sz w:val="28"/>
                <w:szCs w:val="28"/>
              </w:rPr>
            </w:r>
            <w:r/>
          </w:p>
        </w:tc>
        <w:tc>
          <w:tcPr>
            <w:tcW w:w="1240" w:type="dxa"/>
            <w:vAlign w:val="center"/>
            <w:textDirection w:val="lrTb"/>
            <w:noWrap w:val="false"/>
          </w:tcPr>
          <w:p>
            <w:pPr>
              <w:pStyle w:val="716"/>
              <w:jc w:val="center"/>
              <w:spacing w:line="360" w:lineRule="exact"/>
              <w:tabs>
                <w:tab w:val="left" w:pos="4320" w:leader="none"/>
              </w:tabs>
              <w:rPr>
                <w:color w:val="000000"/>
                <w:sz w:val="28"/>
                <w:szCs w:val="28"/>
              </w:rPr>
            </w:pPr>
            <w:r>
              <w:rPr>
                <w:rFonts w:hint="eastAsia"/>
                <w:color w:val="000000"/>
                <w:sz w:val="28"/>
                <w:szCs w:val="28"/>
              </w:rPr>
              <w:t xml:space="preserve">   </w:t>
            </w:r>
            <w:r>
              <w:rPr>
                <w:color w:val="000000"/>
                <w:sz w:val="28"/>
                <w:szCs w:val="28"/>
              </w:rPr>
              <w:t xml:space="preserve">人</w:t>
            </w:r>
            <w:r>
              <w:rPr>
                <w:color w:val="000000"/>
                <w:sz w:val="28"/>
                <w:szCs w:val="28"/>
              </w:rPr>
            </w:r>
            <w:r/>
          </w:p>
        </w:tc>
        <w:tc>
          <w:tcPr>
            <w:tcW w:w="567" w:type="dxa"/>
            <w:vAlign w:val="center"/>
            <w:vMerge w:val="restart"/>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上一年主要经济指标</w:t>
            </w:r>
            <w:r>
              <w:rPr>
                <w:color w:val="000000"/>
                <w:sz w:val="28"/>
                <w:szCs w:val="28"/>
              </w:rPr>
            </w:r>
            <w:r/>
          </w:p>
        </w:tc>
        <w:tc>
          <w:tcPr>
            <w:tcW w:w="1170" w:type="dxa"/>
            <w:vAlign w:val="center"/>
            <w:vMerge w:val="restart"/>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营业额</w:t>
            </w:r>
            <w:r>
              <w:rPr>
                <w:color w:val="000000"/>
                <w:sz w:val="28"/>
                <w:szCs w:val="28"/>
              </w:rPr>
            </w:r>
            <w:r/>
          </w:p>
        </w:tc>
        <w:tc>
          <w:tcPr>
            <w:gridSpan w:val="2"/>
            <w:tcW w:w="1190"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361"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实现利润</w:t>
            </w:r>
            <w:r>
              <w:rPr>
                <w:color w:val="000000"/>
                <w:sz w:val="28"/>
                <w:szCs w:val="28"/>
              </w:rPr>
            </w:r>
            <w:r/>
          </w:p>
        </w:tc>
        <w:tc>
          <w:tcPr>
            <w:tcW w:w="1367"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W w:w="817" w:type="dxa"/>
            <w:vAlign w:val="center"/>
            <w:vMerge w:val="continue"/>
            <w:textDirection w:val="lrTb"/>
            <w:noWrap w:val="false"/>
          </w:tcPr>
          <w:p>
            <w:pPr>
              <w:pStyle w:val="716"/>
              <w:ind w:left="311" w:hanging="310"/>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流动资金</w:t>
            </w:r>
            <w:r>
              <w:rPr>
                <w:color w:val="000000"/>
                <w:sz w:val="28"/>
                <w:szCs w:val="28"/>
              </w:rPr>
            </w:r>
            <w:r/>
          </w:p>
        </w:tc>
        <w:tc>
          <w:tcPr>
            <w:tcW w:w="1240" w:type="dxa"/>
            <w:vAlign w:val="center"/>
            <w:textDirection w:val="lrTb"/>
            <w:noWrap w:val="false"/>
          </w:tcPr>
          <w:p>
            <w:pPr>
              <w:pStyle w:val="716"/>
              <w:jc w:val="center"/>
              <w:spacing w:line="360" w:lineRule="exact"/>
              <w:tabs>
                <w:tab w:val="left" w:pos="4320" w:leader="none"/>
              </w:tabs>
              <w:rPr>
                <w:color w:val="000000"/>
                <w:sz w:val="28"/>
                <w:szCs w:val="28"/>
              </w:rPr>
            </w:pPr>
            <w:r>
              <w:rPr>
                <w:rFonts w:hint="eastAsia"/>
                <w:color w:val="000000"/>
                <w:sz w:val="28"/>
                <w:szCs w:val="28"/>
              </w:rPr>
              <w:t xml:space="preserve">  </w:t>
            </w:r>
            <w:r>
              <w:rPr>
                <w:color w:val="000000"/>
                <w:sz w:val="28"/>
                <w:szCs w:val="28"/>
              </w:rPr>
              <w:t xml:space="preserve">万元</w:t>
            </w:r>
            <w:r>
              <w:rPr>
                <w:color w:val="000000"/>
                <w:sz w:val="28"/>
                <w:szCs w:val="28"/>
              </w:rPr>
            </w:r>
            <w:r/>
          </w:p>
        </w:tc>
        <w:tc>
          <w:tcPr>
            <w:tcW w:w="567"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170" w:type="dxa"/>
            <w:vAlign w:val="center"/>
            <w:vMerge w:val="restart"/>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主要</w:t>
            </w:r>
            <w:r>
              <w:rPr>
                <w:color w:val="000000"/>
                <w:sz w:val="28"/>
                <w:szCs w:val="28"/>
              </w:rPr>
            </w:r>
            <w:r/>
          </w:p>
          <w:p>
            <w:pPr>
              <w:pStyle w:val="716"/>
              <w:jc w:val="center"/>
              <w:spacing w:line="360" w:lineRule="exact"/>
              <w:tabs>
                <w:tab w:val="left" w:pos="4320" w:leader="none"/>
              </w:tabs>
              <w:rPr>
                <w:color w:val="000000"/>
                <w:sz w:val="28"/>
                <w:szCs w:val="28"/>
              </w:rPr>
            </w:pPr>
            <w:r>
              <w:rPr>
                <w:color w:val="000000"/>
                <w:sz w:val="28"/>
                <w:szCs w:val="28"/>
              </w:rPr>
              <w:t xml:space="preserve">产品</w:t>
            </w:r>
            <w:r>
              <w:rPr>
                <w:color w:val="000000"/>
                <w:sz w:val="28"/>
                <w:szCs w:val="28"/>
              </w:rPr>
            </w:r>
            <w:r/>
          </w:p>
        </w:tc>
        <w:tc>
          <w:tcPr>
            <w:gridSpan w:val="5"/>
            <w:tcW w:w="3918" w:type="dxa"/>
            <w:vAlign w:val="center"/>
            <w:textDirection w:val="lrTb"/>
            <w:noWrap w:val="false"/>
          </w:tcPr>
          <w:p>
            <w:pPr>
              <w:pStyle w:val="716"/>
              <w:spacing w:before="120" w:after="120" w:line="360" w:lineRule="exact"/>
              <w:tabs>
                <w:tab w:val="left" w:pos="4320" w:leader="none"/>
              </w:tabs>
              <w:rPr>
                <w:color w:val="000000"/>
                <w:sz w:val="28"/>
                <w:szCs w:val="28"/>
              </w:rPr>
            </w:pPr>
            <w:r>
              <w:rPr>
                <w:color w:val="000000"/>
                <w:sz w:val="28"/>
                <w:szCs w:val="28"/>
              </w:rPr>
              <w:t xml:space="preserve">1.</w:t>
            </w:r>
            <w:r>
              <w:rPr>
                <w:color w:val="000000"/>
                <w:sz w:val="28"/>
                <w:szCs w:val="28"/>
              </w:rPr>
            </w:r>
            <w:r/>
          </w:p>
        </w:tc>
      </w:tr>
      <w:tr>
        <w:trPr>
          <w:cantSplit/>
          <w:trHeight w:val="1116"/>
        </w:trPr>
        <w:tc>
          <w:tcPr>
            <w:tcW w:w="817" w:type="dxa"/>
            <w:vAlign w:val="center"/>
            <w:vMerge w:val="continue"/>
            <w:textDirection w:val="lrTb"/>
            <w:noWrap w:val="false"/>
          </w:tcPr>
          <w:p>
            <w:pPr>
              <w:pStyle w:val="716"/>
              <w:ind w:left="311" w:hanging="310"/>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固定资产</w:t>
            </w:r>
            <w:r>
              <w:rPr>
                <w:color w:val="000000"/>
                <w:sz w:val="28"/>
                <w:szCs w:val="28"/>
              </w:rPr>
            </w:r>
            <w:r/>
          </w:p>
          <w:p>
            <w:pPr>
              <w:pStyle w:val="716"/>
              <w:jc w:val="center"/>
              <w:spacing w:line="360" w:lineRule="exact"/>
              <w:tabs>
                <w:tab w:val="left" w:pos="4320" w:leader="none"/>
              </w:tabs>
              <w:rPr>
                <w:color w:val="000000"/>
                <w:sz w:val="28"/>
                <w:szCs w:val="28"/>
              </w:rPr>
            </w:pPr>
            <w:r>
              <w:rPr>
                <w:color w:val="000000"/>
                <w:sz w:val="28"/>
                <w:szCs w:val="28"/>
              </w:rPr>
              <w:t xml:space="preserve">（万元）</w:t>
            </w:r>
            <w:r>
              <w:rPr>
                <w:color w:val="000000"/>
                <w:sz w:val="28"/>
                <w:szCs w:val="28"/>
              </w:rPr>
            </w:r>
            <w:r/>
          </w:p>
        </w:tc>
        <w:tc>
          <w:tcPr>
            <w:tcW w:w="1240" w:type="dxa"/>
            <w:vAlign w:val="center"/>
            <w:textDirection w:val="lrTb"/>
            <w:noWrap w:val="false"/>
          </w:tcPr>
          <w:p>
            <w:pPr>
              <w:pStyle w:val="716"/>
              <w:ind w:right="-133" w:hanging="48"/>
              <w:jc w:val="center"/>
              <w:spacing w:line="360" w:lineRule="exact"/>
              <w:tabs>
                <w:tab w:val="left" w:pos="-48" w:leader="none"/>
                <w:tab w:val="left" w:pos="4320" w:leader="none"/>
              </w:tabs>
              <w:rPr>
                <w:color w:val="000000"/>
                <w:sz w:val="28"/>
                <w:szCs w:val="28"/>
              </w:rPr>
            </w:pPr>
            <w:r>
              <w:rPr>
                <w:color w:val="000000"/>
                <w:sz w:val="28"/>
                <w:szCs w:val="28"/>
              </w:rPr>
              <w:t xml:space="preserve">原值：</w:t>
            </w:r>
            <w:r>
              <w:rPr>
                <w:color w:val="000000"/>
                <w:sz w:val="28"/>
                <w:szCs w:val="28"/>
              </w:rPr>
            </w:r>
            <w:r/>
          </w:p>
          <w:p>
            <w:pPr>
              <w:pStyle w:val="716"/>
              <w:ind w:hanging="48"/>
              <w:jc w:val="center"/>
              <w:spacing w:line="360" w:lineRule="exact"/>
              <w:tabs>
                <w:tab w:val="left" w:pos="-48" w:leader="none"/>
                <w:tab w:val="left" w:pos="4320" w:leader="none"/>
              </w:tabs>
              <w:rPr>
                <w:color w:val="000000"/>
                <w:sz w:val="28"/>
                <w:szCs w:val="28"/>
              </w:rPr>
            </w:pPr>
            <w:r>
              <w:rPr>
                <w:color w:val="000000"/>
                <w:sz w:val="28"/>
                <w:szCs w:val="28"/>
              </w:rPr>
            </w:r>
            <w:r/>
          </w:p>
          <w:p>
            <w:pPr>
              <w:pStyle w:val="716"/>
              <w:ind w:right="-133" w:hanging="48"/>
              <w:jc w:val="center"/>
              <w:spacing w:line="360" w:lineRule="exact"/>
              <w:tabs>
                <w:tab w:val="left" w:pos="-48" w:leader="none"/>
                <w:tab w:val="left" w:pos="4320" w:leader="none"/>
              </w:tabs>
              <w:rPr>
                <w:color w:val="000000"/>
                <w:sz w:val="28"/>
                <w:szCs w:val="28"/>
              </w:rPr>
            </w:pPr>
            <w:r>
              <w:rPr>
                <w:color w:val="000000"/>
                <w:sz w:val="28"/>
                <w:szCs w:val="28"/>
              </w:rPr>
              <w:t xml:space="preserve">净值：</w:t>
            </w:r>
            <w:r>
              <w:rPr>
                <w:color w:val="000000"/>
                <w:sz w:val="28"/>
                <w:szCs w:val="28"/>
              </w:rPr>
            </w:r>
            <w:r/>
          </w:p>
          <w:p>
            <w:pPr>
              <w:pStyle w:val="716"/>
              <w:ind w:hanging="48"/>
              <w:jc w:val="center"/>
              <w:spacing w:line="360" w:lineRule="exact"/>
              <w:tabs>
                <w:tab w:val="left" w:pos="-48" w:leader="none"/>
                <w:tab w:val="left" w:pos="4320" w:leader="none"/>
              </w:tabs>
              <w:rPr>
                <w:color w:val="000000"/>
                <w:sz w:val="28"/>
                <w:szCs w:val="28"/>
              </w:rPr>
            </w:pPr>
            <w:r>
              <w:rPr>
                <w:color w:val="000000"/>
                <w:sz w:val="28"/>
                <w:szCs w:val="28"/>
              </w:rPr>
            </w:r>
            <w:r/>
          </w:p>
        </w:tc>
        <w:tc>
          <w:tcPr>
            <w:tcW w:w="567"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170"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5"/>
            <w:tcW w:w="3918" w:type="dxa"/>
            <w:vAlign w:val="center"/>
            <w:textDirection w:val="lrTb"/>
            <w:noWrap w:val="false"/>
          </w:tcPr>
          <w:p>
            <w:pPr>
              <w:pStyle w:val="716"/>
              <w:spacing w:line="360" w:lineRule="exact"/>
              <w:tabs>
                <w:tab w:val="left" w:pos="4320" w:leader="none"/>
              </w:tabs>
              <w:rPr>
                <w:color w:val="000000"/>
                <w:sz w:val="28"/>
                <w:szCs w:val="28"/>
              </w:rPr>
            </w:pPr>
            <w:r>
              <w:rPr>
                <w:color w:val="000000"/>
                <w:sz w:val="28"/>
                <w:szCs w:val="28"/>
              </w:rPr>
              <w:t xml:space="preserve">2.</w:t>
            </w:r>
            <w:r>
              <w:rPr>
                <w:color w:val="000000"/>
                <w:sz w:val="28"/>
                <w:szCs w:val="28"/>
              </w:rPr>
            </w:r>
            <w:r/>
          </w:p>
        </w:tc>
      </w:tr>
      <w:tr>
        <w:trPr>
          <w:cantSplit/>
          <w:trHeight w:val="397"/>
        </w:trPr>
        <w:tc>
          <w:tcPr>
            <w:tcW w:w="817" w:type="dxa"/>
            <w:vAlign w:val="center"/>
            <w:vMerge w:val="continue"/>
            <w:textDirection w:val="lrTb"/>
            <w:noWrap w:val="false"/>
          </w:tcPr>
          <w:p>
            <w:pPr>
              <w:pStyle w:val="716"/>
              <w:ind w:left="311" w:hanging="310"/>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占地面积</w:t>
            </w:r>
            <w:r>
              <w:rPr>
                <w:color w:val="000000"/>
                <w:sz w:val="28"/>
                <w:szCs w:val="28"/>
              </w:rPr>
            </w:r>
            <w:r/>
          </w:p>
        </w:tc>
        <w:tc>
          <w:tcPr>
            <w:tcW w:w="1240" w:type="dxa"/>
            <w:vAlign w:val="center"/>
            <w:textDirection w:val="lrTb"/>
            <w:noWrap w:val="false"/>
          </w:tcPr>
          <w:p>
            <w:pPr>
              <w:pStyle w:val="716"/>
              <w:jc w:val="center"/>
              <w:spacing w:line="360" w:lineRule="exact"/>
              <w:tabs>
                <w:tab w:val="left" w:pos="4320" w:leader="none"/>
              </w:tabs>
              <w:rPr>
                <w:color w:val="000000"/>
                <w:sz w:val="28"/>
                <w:szCs w:val="28"/>
              </w:rPr>
            </w:pPr>
            <w:r>
              <w:rPr>
                <w:rFonts w:hint="eastAsia"/>
                <w:color w:val="000000"/>
                <w:sz w:val="28"/>
                <w:szCs w:val="28"/>
              </w:rPr>
              <w:t xml:space="preserve">    </w:t>
            </w:r>
            <w:r>
              <w:rPr>
                <w:color w:val="000000"/>
                <w:sz w:val="28"/>
                <w:szCs w:val="28"/>
              </w:rPr>
              <w:t xml:space="preserve">M</w:t>
            </w:r>
            <w:r>
              <w:rPr>
                <w:color w:val="000000"/>
                <w:sz w:val="28"/>
                <w:szCs w:val="28"/>
                <w:vertAlign w:val="superscript"/>
              </w:rPr>
              <w:t xml:space="preserve">2</w:t>
            </w:r>
            <w:r>
              <w:rPr>
                <w:color w:val="000000"/>
                <w:sz w:val="28"/>
                <w:szCs w:val="28"/>
              </w:rPr>
            </w:r>
            <w:r/>
          </w:p>
        </w:tc>
        <w:tc>
          <w:tcPr>
            <w:tcW w:w="567"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170"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5"/>
            <w:tcW w:w="3918" w:type="dxa"/>
            <w:vAlign w:val="center"/>
            <w:textDirection w:val="lrTb"/>
            <w:noWrap w:val="false"/>
          </w:tcPr>
          <w:p>
            <w:pPr>
              <w:pStyle w:val="716"/>
              <w:spacing w:before="120" w:after="120" w:line="360" w:lineRule="exact"/>
              <w:tabs>
                <w:tab w:val="left" w:pos="4320" w:leader="none"/>
              </w:tabs>
              <w:rPr>
                <w:color w:val="000000"/>
                <w:sz w:val="28"/>
                <w:szCs w:val="28"/>
              </w:rPr>
            </w:pPr>
            <w:r>
              <w:rPr>
                <w:color w:val="000000"/>
                <w:sz w:val="28"/>
                <w:szCs w:val="28"/>
              </w:rPr>
              <w:t xml:space="preserve">3.</w:t>
            </w:r>
            <w:r>
              <w:rPr>
                <w:color w:val="000000"/>
                <w:sz w:val="28"/>
                <w:szCs w:val="28"/>
              </w:rPr>
            </w:r>
            <w:r/>
          </w:p>
        </w:tc>
      </w:tr>
      <w:tr>
        <w:trPr>
          <w:cantSplit/>
          <w:trHeight w:val="397"/>
        </w:trPr>
        <w:tc>
          <w:tcPr>
            <w:tcW w:w="817" w:type="dxa"/>
            <w:vAlign w:val="center"/>
            <w:vMerge w:val="restart"/>
            <w:textDirection w:val="lrTb"/>
            <w:noWrap w:val="false"/>
          </w:tcPr>
          <w:p>
            <w:pPr>
              <w:pStyle w:val="716"/>
              <w:ind w:left="311" w:hanging="310"/>
              <w:jc w:val="center"/>
              <w:spacing w:line="360" w:lineRule="exact"/>
              <w:tabs>
                <w:tab w:val="left" w:pos="4320" w:leader="none"/>
              </w:tabs>
              <w:rPr>
                <w:color w:val="000000"/>
                <w:sz w:val="28"/>
                <w:szCs w:val="28"/>
              </w:rPr>
            </w:pPr>
            <w:r>
              <w:rPr>
                <w:color w:val="000000"/>
                <w:sz w:val="28"/>
                <w:szCs w:val="28"/>
              </w:rPr>
              <w:t xml:space="preserve">本次</w:t>
            </w:r>
            <w:r>
              <w:rPr>
                <w:color w:val="000000"/>
                <w:sz w:val="28"/>
                <w:szCs w:val="28"/>
              </w:rPr>
            </w:r>
            <w:r/>
          </w:p>
          <w:p>
            <w:pPr>
              <w:pStyle w:val="716"/>
              <w:ind w:left="311" w:hanging="310"/>
              <w:jc w:val="center"/>
              <w:spacing w:line="360" w:lineRule="exact"/>
              <w:tabs>
                <w:tab w:val="left" w:pos="4320" w:leader="none"/>
              </w:tabs>
              <w:rPr>
                <w:color w:val="000000"/>
                <w:sz w:val="28"/>
                <w:szCs w:val="28"/>
              </w:rPr>
            </w:pPr>
            <w:r>
              <w:rPr>
                <w:color w:val="000000"/>
                <w:sz w:val="28"/>
                <w:szCs w:val="28"/>
              </w:rPr>
              <w:t xml:space="preserve">投标</w:t>
            </w:r>
            <w:r>
              <w:rPr>
                <w:color w:val="000000"/>
                <w:sz w:val="28"/>
                <w:szCs w:val="28"/>
              </w:rPr>
            </w:r>
            <w:r/>
          </w:p>
          <w:p>
            <w:pPr>
              <w:pStyle w:val="716"/>
              <w:ind w:left="311" w:hanging="310"/>
              <w:jc w:val="center"/>
              <w:spacing w:line="360" w:lineRule="exact"/>
              <w:tabs>
                <w:tab w:val="left" w:pos="4320" w:leader="none"/>
              </w:tabs>
              <w:rPr>
                <w:color w:val="000000"/>
                <w:sz w:val="28"/>
                <w:szCs w:val="28"/>
              </w:rPr>
            </w:pPr>
            <w:r>
              <w:rPr>
                <w:color w:val="000000"/>
                <w:sz w:val="28"/>
                <w:szCs w:val="28"/>
              </w:rPr>
              <w:t xml:space="preserve">产品</w:t>
            </w:r>
            <w:r>
              <w:rPr>
                <w:color w:val="000000"/>
                <w:sz w:val="28"/>
                <w:szCs w:val="28"/>
              </w:rPr>
            </w:r>
            <w:r/>
          </w:p>
          <w:p>
            <w:pPr>
              <w:pStyle w:val="716"/>
              <w:ind w:left="311" w:hanging="310"/>
              <w:jc w:val="center"/>
              <w:spacing w:line="360" w:lineRule="exact"/>
              <w:tabs>
                <w:tab w:val="left" w:pos="4320" w:leader="none"/>
              </w:tabs>
              <w:rPr>
                <w:color w:val="000000"/>
                <w:sz w:val="28"/>
                <w:szCs w:val="28"/>
              </w:rPr>
            </w:pPr>
            <w:r>
              <w:rPr>
                <w:color w:val="000000"/>
                <w:sz w:val="28"/>
                <w:szCs w:val="28"/>
              </w:rPr>
              <w:t xml:space="preserve">情况</w:t>
            </w:r>
            <w:r>
              <w:rPr>
                <w:color w:val="000000"/>
                <w:sz w:val="28"/>
                <w:szCs w:val="28"/>
              </w:rPr>
            </w:r>
            <w:r/>
          </w:p>
        </w:tc>
        <w:tc>
          <w:tcPr>
            <w:gridSpan w:val="2"/>
            <w:tcW w:w="1453" w:type="dxa"/>
            <w:vAlign w:val="center"/>
            <w:textDirection w:val="lrTb"/>
            <w:noWrap w:val="false"/>
          </w:tcPr>
          <w:p>
            <w:pPr>
              <w:pStyle w:val="716"/>
              <w:jc w:val="center"/>
              <w:spacing w:before="60" w:after="60" w:line="360" w:lineRule="exact"/>
              <w:tabs>
                <w:tab w:val="left" w:pos="4320" w:leader="none"/>
              </w:tabs>
              <w:rPr>
                <w:color w:val="000000"/>
                <w:sz w:val="28"/>
                <w:szCs w:val="28"/>
              </w:rPr>
            </w:pPr>
            <w:r>
              <w:rPr>
                <w:color w:val="000000"/>
                <w:sz w:val="28"/>
                <w:szCs w:val="28"/>
              </w:rPr>
              <w:t xml:space="preserve">本次投标</w:t>
            </w:r>
            <w:r>
              <w:rPr>
                <w:color w:val="000000"/>
                <w:sz w:val="28"/>
                <w:szCs w:val="28"/>
              </w:rPr>
              <w:br w:type="textWrapping" w:clear="all"/>
            </w:r>
            <w:r>
              <w:rPr>
                <w:color w:val="000000"/>
                <w:sz w:val="28"/>
                <w:szCs w:val="28"/>
              </w:rPr>
              <w:t xml:space="preserve">产品名称</w:t>
            </w:r>
            <w:r>
              <w:rPr>
                <w:color w:val="000000"/>
                <w:sz w:val="28"/>
                <w:szCs w:val="28"/>
              </w:rPr>
            </w:r>
            <w:r/>
          </w:p>
        </w:tc>
        <w:tc>
          <w:tcPr>
            <w:gridSpan w:val="2"/>
            <w:tcW w:w="1807" w:type="dxa"/>
            <w:vAlign w:val="center"/>
            <w:textDirection w:val="lrTb"/>
            <w:noWrap w:val="false"/>
          </w:tcPr>
          <w:p>
            <w:pPr>
              <w:pStyle w:val="716"/>
              <w:jc w:val="center"/>
              <w:spacing w:before="60" w:after="60" w:line="360" w:lineRule="exact"/>
              <w:tabs>
                <w:tab w:val="left" w:pos="4320" w:leader="none"/>
              </w:tabs>
              <w:rPr>
                <w:color w:val="000000"/>
                <w:sz w:val="28"/>
                <w:szCs w:val="28"/>
              </w:rPr>
            </w:pPr>
            <w:r>
              <w:rPr>
                <w:color w:val="000000"/>
                <w:sz w:val="28"/>
                <w:szCs w:val="28"/>
              </w:rPr>
              <w:t xml:space="preserve">型    号</w:t>
            </w:r>
            <w:r>
              <w:rPr>
                <w:color w:val="000000"/>
                <w:sz w:val="28"/>
                <w:szCs w:val="28"/>
              </w:rPr>
            </w:r>
            <w:r/>
          </w:p>
        </w:tc>
        <w:tc>
          <w:tcPr>
            <w:tcW w:w="1170" w:type="dxa"/>
            <w:vAlign w:val="center"/>
            <w:textDirection w:val="lrTb"/>
            <w:noWrap w:val="false"/>
          </w:tcPr>
          <w:p>
            <w:pPr>
              <w:pStyle w:val="716"/>
              <w:jc w:val="center"/>
              <w:spacing w:before="60" w:after="60" w:line="360" w:lineRule="exact"/>
              <w:tabs>
                <w:tab w:val="left" w:pos="4320" w:leader="none"/>
              </w:tabs>
              <w:rPr>
                <w:color w:val="000000"/>
                <w:sz w:val="28"/>
                <w:szCs w:val="28"/>
              </w:rPr>
            </w:pPr>
            <w:r>
              <w:rPr>
                <w:color w:val="000000"/>
                <w:sz w:val="28"/>
                <w:szCs w:val="28"/>
              </w:rPr>
              <w:t xml:space="preserve">上年</w:t>
            </w:r>
            <w:r>
              <w:rPr>
                <w:color w:val="000000"/>
                <w:sz w:val="28"/>
                <w:szCs w:val="28"/>
              </w:rPr>
              <w:br w:type="textWrapping" w:clear="all"/>
            </w:r>
            <w:r>
              <w:rPr>
                <w:color w:val="000000"/>
                <w:sz w:val="28"/>
                <w:szCs w:val="28"/>
              </w:rPr>
              <w:t xml:space="preserve">产销量</w:t>
            </w:r>
            <w:r>
              <w:rPr>
                <w:color w:val="000000"/>
                <w:sz w:val="28"/>
                <w:szCs w:val="28"/>
              </w:rPr>
            </w:r>
            <w:r/>
          </w:p>
        </w:tc>
        <w:tc>
          <w:tcPr>
            <w:tcW w:w="1039" w:type="dxa"/>
            <w:vAlign w:val="center"/>
            <w:textDirection w:val="lrTb"/>
            <w:noWrap w:val="false"/>
          </w:tcPr>
          <w:p>
            <w:pPr>
              <w:pStyle w:val="716"/>
              <w:jc w:val="center"/>
              <w:spacing w:before="60" w:after="60" w:line="360" w:lineRule="exact"/>
              <w:tabs>
                <w:tab w:val="left" w:pos="4320" w:leader="none"/>
              </w:tabs>
              <w:rPr>
                <w:color w:val="000000"/>
                <w:sz w:val="28"/>
                <w:szCs w:val="28"/>
              </w:rPr>
            </w:pPr>
            <w:r>
              <w:rPr>
                <w:color w:val="000000"/>
                <w:sz w:val="28"/>
                <w:szCs w:val="28"/>
              </w:rPr>
              <w:t xml:space="preserve">产品技术先进水平</w:t>
            </w:r>
            <w:r>
              <w:rPr>
                <w:color w:val="000000"/>
                <w:sz w:val="28"/>
                <w:szCs w:val="28"/>
              </w:rPr>
            </w:r>
            <w:r/>
          </w:p>
        </w:tc>
        <w:tc>
          <w:tcPr>
            <w:gridSpan w:val="2"/>
            <w:tcW w:w="1273" w:type="dxa"/>
            <w:vAlign w:val="center"/>
            <w:textDirection w:val="lrTb"/>
            <w:noWrap w:val="false"/>
          </w:tcPr>
          <w:p>
            <w:pPr>
              <w:pStyle w:val="716"/>
              <w:jc w:val="center"/>
              <w:spacing w:before="60" w:after="60" w:line="360" w:lineRule="exact"/>
              <w:tabs>
                <w:tab w:val="left" w:pos="4320" w:leader="none"/>
              </w:tabs>
              <w:rPr>
                <w:color w:val="000000"/>
                <w:sz w:val="28"/>
                <w:szCs w:val="28"/>
              </w:rPr>
            </w:pPr>
            <w:r>
              <w:rPr>
                <w:color w:val="000000"/>
                <w:sz w:val="28"/>
                <w:szCs w:val="28"/>
              </w:rPr>
              <w:t xml:space="preserve">曾获何级何种奖励</w:t>
            </w:r>
            <w:r>
              <w:rPr>
                <w:color w:val="000000"/>
                <w:sz w:val="28"/>
                <w:szCs w:val="28"/>
              </w:rPr>
            </w:r>
            <w:r/>
          </w:p>
        </w:tc>
        <w:tc>
          <w:tcPr>
            <w:gridSpan w:val="2"/>
            <w:tcW w:w="1606" w:type="dxa"/>
            <w:vAlign w:val="center"/>
            <w:textDirection w:val="lrTb"/>
            <w:noWrap w:val="false"/>
          </w:tcPr>
          <w:p>
            <w:pPr>
              <w:pStyle w:val="716"/>
              <w:jc w:val="center"/>
              <w:spacing w:before="60" w:after="60" w:line="360" w:lineRule="exact"/>
              <w:tabs>
                <w:tab w:val="left" w:pos="4320" w:leader="none"/>
              </w:tabs>
              <w:rPr>
                <w:color w:val="000000"/>
                <w:sz w:val="28"/>
                <w:szCs w:val="28"/>
              </w:rPr>
            </w:pPr>
            <w:r>
              <w:rPr>
                <w:color w:val="000000"/>
                <w:sz w:val="28"/>
                <w:szCs w:val="28"/>
              </w:rPr>
              <w:t xml:space="preserve">主要用户</w:t>
            </w:r>
            <w:r>
              <w:rPr>
                <w:color w:val="000000"/>
                <w:sz w:val="28"/>
                <w:szCs w:val="28"/>
              </w:rPr>
              <w:br w:type="textWrapping" w:clear="all"/>
            </w:r>
            <w:r>
              <w:rPr>
                <w:color w:val="000000"/>
                <w:sz w:val="28"/>
                <w:szCs w:val="28"/>
              </w:rPr>
              <w:t xml:space="preserve">名称</w:t>
            </w:r>
            <w:r>
              <w:rPr>
                <w:color w:val="000000"/>
                <w:sz w:val="28"/>
                <w:szCs w:val="28"/>
              </w:rPr>
            </w:r>
            <w:r/>
          </w:p>
        </w:tc>
      </w:tr>
      <w:tr>
        <w:trPr>
          <w:cantSplit/>
          <w:trHeight w:val="397"/>
        </w:trPr>
        <w:tc>
          <w:tcPr>
            <w:tcW w:w="817"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606"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W w:w="817"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606"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W w:w="817"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606"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W w:w="817" w:type="dxa"/>
            <w:vAlign w:val="center"/>
            <w:vMerge w:val="continue"/>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45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807"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170"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tcW w:w="1039"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273"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c>
          <w:tcPr>
            <w:gridSpan w:val="2"/>
            <w:tcW w:w="1606"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r>
            <w:r/>
          </w:p>
        </w:tc>
      </w:tr>
      <w:tr>
        <w:trPr>
          <w:cantSplit/>
          <w:trHeight w:val="397"/>
        </w:trPr>
        <w:tc>
          <w:tcPr>
            <w:tcW w:w="817" w:type="dxa"/>
            <w:vAlign w:val="center"/>
            <w:textDirection w:val="lrTb"/>
            <w:noWrap w:val="false"/>
          </w:tcPr>
          <w:p>
            <w:pPr>
              <w:pStyle w:val="716"/>
              <w:jc w:val="center"/>
              <w:spacing w:line="360" w:lineRule="exact"/>
              <w:tabs>
                <w:tab w:val="left" w:pos="4320" w:leader="none"/>
              </w:tabs>
              <w:rPr>
                <w:color w:val="000000"/>
                <w:sz w:val="28"/>
                <w:szCs w:val="28"/>
              </w:rPr>
            </w:pPr>
            <w:r>
              <w:rPr>
                <w:color w:val="000000"/>
                <w:sz w:val="28"/>
                <w:szCs w:val="28"/>
              </w:rPr>
              <w:t xml:space="preserve">其它</w:t>
            </w:r>
            <w:r>
              <w:rPr>
                <w:color w:val="000000"/>
                <w:sz w:val="28"/>
                <w:szCs w:val="28"/>
              </w:rPr>
            </w:r>
            <w:r/>
          </w:p>
        </w:tc>
        <w:tc>
          <w:tcPr>
            <w:gridSpan w:val="5"/>
            <w:tcW w:w="4430" w:type="dxa"/>
            <w:vAlign w:val="center"/>
            <w:textDirection w:val="lrTb"/>
            <w:noWrap w:val="false"/>
          </w:tcPr>
          <w:p>
            <w:pPr>
              <w:pStyle w:val="716"/>
              <w:spacing w:before="60" w:after="60" w:line="360" w:lineRule="exact"/>
              <w:tabs>
                <w:tab w:val="left" w:pos="4320" w:leader="none"/>
              </w:tabs>
              <w:rPr>
                <w:color w:val="000000"/>
                <w:sz w:val="28"/>
                <w:szCs w:val="28"/>
              </w:rPr>
            </w:pPr>
            <w:r>
              <w:rPr>
                <w:color w:val="000000"/>
                <w:sz w:val="28"/>
                <w:szCs w:val="28"/>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rPr>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rFonts w:hint="eastAsia"/>
                <w:color w:val="000000"/>
                <w:sz w:val="28"/>
                <w:szCs w:val="28"/>
              </w:rPr>
            </w:pPr>
            <w:r>
              <w:rPr>
                <w:rFonts w:hint="eastAsia"/>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rFonts w:hint="eastAsia"/>
                <w:color w:val="000000"/>
                <w:sz w:val="28"/>
                <w:szCs w:val="28"/>
              </w:rPr>
            </w:pPr>
            <w:r>
              <w:rPr>
                <w:rFonts w:hint="eastAsia"/>
                <w:color w:val="000000"/>
                <w:sz w:val="28"/>
                <w:szCs w:val="28"/>
              </w:rPr>
            </w:r>
            <w:r/>
          </w:p>
        </w:tc>
        <w:tc>
          <w:tcPr>
            <w:gridSpan w:val="5"/>
            <w:tcW w:w="3918" w:type="dxa"/>
            <w:vAlign w:val="center"/>
            <w:textDirection w:val="lrTb"/>
            <w:noWrap w:val="false"/>
          </w:tcPr>
          <w:p>
            <w:pPr>
              <w:pStyle w:val="716"/>
              <w:spacing w:before="60" w:after="60" w:line="360" w:lineRule="exact"/>
              <w:tabs>
                <w:tab w:val="left" w:pos="4320" w:leader="none"/>
              </w:tabs>
              <w:rPr>
                <w:color w:val="000000"/>
                <w:sz w:val="28"/>
                <w:szCs w:val="28"/>
              </w:rPr>
            </w:pPr>
            <w:r>
              <w:rPr>
                <w:color w:val="000000"/>
                <w:sz w:val="28"/>
                <w:szCs w:val="28"/>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color w:val="000000"/>
                <w:sz w:val="28"/>
                <w:szCs w:val="28"/>
              </w:rPr>
            </w:pPr>
            <w:r>
              <w:rPr>
                <w:color w:val="000000"/>
                <w:sz w:val="28"/>
                <w:szCs w:val="28"/>
              </w:rPr>
            </w:r>
            <w:r/>
          </w:p>
          <w:p>
            <w:pPr>
              <w:pStyle w:val="716"/>
              <w:spacing w:before="60" w:after="60" w:line="360" w:lineRule="exact"/>
              <w:tabs>
                <w:tab w:val="left" w:pos="4320" w:leader="none"/>
              </w:tabs>
              <w:rPr>
                <w:rFonts w:hint="eastAsia"/>
                <w:color w:val="000000"/>
                <w:sz w:val="28"/>
                <w:szCs w:val="28"/>
              </w:rPr>
            </w:pPr>
            <w:r>
              <w:rPr>
                <w:rFonts w:hint="eastAsia"/>
                <w:color w:val="000000"/>
                <w:sz w:val="28"/>
                <w:szCs w:val="28"/>
              </w:rPr>
            </w:r>
            <w:r/>
          </w:p>
        </w:tc>
      </w:tr>
    </w:tbl>
    <w:p>
      <w:pPr>
        <w:pStyle w:val="716"/>
        <w:contextualSpacing/>
        <w:rPr>
          <w:color w:val="000000"/>
          <w:sz w:val="28"/>
          <w:szCs w:val="28"/>
        </w:rPr>
      </w:pPr>
      <w:r>
        <w:rPr>
          <w:color w:val="000000"/>
          <w:sz w:val="28"/>
          <w:szCs w:val="28"/>
        </w:rPr>
      </w:r>
      <w:r/>
    </w:p>
    <w:p>
      <w:pPr>
        <w:pStyle w:val="716"/>
        <w:contextualSpacing/>
        <w:rPr>
          <w:color w:val="000000"/>
          <w:sz w:val="28"/>
          <w:szCs w:val="28"/>
        </w:rPr>
      </w:pPr>
      <w:r>
        <w:rPr>
          <w:color w:val="000000"/>
          <w:sz w:val="28"/>
          <w:szCs w:val="28"/>
        </w:rPr>
      </w:r>
      <w:r/>
    </w:p>
    <w:p>
      <w:pPr>
        <w:pStyle w:val="716"/>
        <w:contextualSpacing/>
        <w:rPr>
          <w:color w:val="000000"/>
          <w:sz w:val="28"/>
          <w:szCs w:val="28"/>
        </w:rPr>
        <w:outlineLvl w:val="1"/>
      </w:pPr>
      <w:r>
        <w:rPr>
          <w:color w:val="000000"/>
          <w:sz w:val="28"/>
          <w:szCs w:val="28"/>
        </w:rPr>
        <w:t xml:space="preserve">附件5</w:t>
      </w:r>
      <w:r>
        <w:rPr>
          <w:color w:val="000000"/>
          <w:sz w:val="28"/>
          <w:szCs w:val="28"/>
        </w:rPr>
      </w:r>
      <w:r/>
    </w:p>
    <w:p>
      <w:pPr>
        <w:pStyle w:val="716"/>
        <w:contextualSpacing/>
        <w:jc w:val="center"/>
        <w:rPr>
          <w:b/>
          <w:color w:val="000000"/>
          <w:sz w:val="28"/>
          <w:szCs w:val="28"/>
        </w:rPr>
      </w:pPr>
      <w:r>
        <w:rPr>
          <w:b/>
          <w:color w:val="000000"/>
          <w:sz w:val="28"/>
          <w:szCs w:val="28"/>
        </w:rPr>
        <w:t xml:space="preserve">商务部分正负偏离表</w:t>
      </w:r>
      <w:r>
        <w:rPr>
          <w:b/>
          <w:color w:val="000000"/>
          <w:sz w:val="28"/>
          <w:szCs w:val="28"/>
        </w:rPr>
      </w:r>
      <w:r/>
    </w:p>
    <w:p>
      <w:pPr>
        <w:pStyle w:val="716"/>
        <w:ind w:firstLine="560"/>
        <w:jc w:val="center"/>
        <w:rPr>
          <w:color w:val="000000"/>
          <w:sz w:val="28"/>
          <w:szCs w:val="28"/>
        </w:rPr>
      </w:pPr>
      <w:r>
        <w:rPr>
          <w:color w:val="000000"/>
          <w:sz w:val="28"/>
          <w:szCs w:val="28"/>
        </w:rPr>
        <w:t xml:space="preserve">（由投标人据实填写，表格不够自行添加）</w:t>
      </w:r>
      <w:r>
        <w:rPr>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716"/>
              <w:jc w:val="center"/>
              <w:rPr>
                <w:color w:val="000000"/>
                <w:sz w:val="28"/>
                <w:szCs w:val="28"/>
              </w:rPr>
            </w:pPr>
            <w:r>
              <w:rPr>
                <w:color w:val="000000"/>
                <w:sz w:val="28"/>
                <w:szCs w:val="28"/>
              </w:rPr>
              <w:t xml:space="preserve">序号</w:t>
            </w:r>
            <w:r>
              <w:rPr>
                <w:color w:val="000000"/>
                <w:sz w:val="28"/>
                <w:szCs w:val="28"/>
              </w:rPr>
            </w:r>
            <w:r/>
          </w:p>
        </w:tc>
        <w:tc>
          <w:tcPr>
            <w:tcW w:w="1254" w:type="dxa"/>
            <w:vAlign w:val="center"/>
            <w:textDirection w:val="lrTb"/>
            <w:noWrap w:val="false"/>
          </w:tcPr>
          <w:p>
            <w:pPr>
              <w:pStyle w:val="716"/>
              <w:jc w:val="center"/>
              <w:rPr>
                <w:color w:val="000000"/>
                <w:sz w:val="28"/>
                <w:szCs w:val="28"/>
              </w:rPr>
            </w:pPr>
            <w:r>
              <w:rPr>
                <w:color w:val="000000"/>
                <w:sz w:val="28"/>
                <w:szCs w:val="28"/>
              </w:rPr>
              <w:t xml:space="preserve">货物或服务名称</w:t>
            </w:r>
            <w:r>
              <w:rPr>
                <w:color w:val="000000"/>
                <w:sz w:val="28"/>
                <w:szCs w:val="28"/>
              </w:rPr>
            </w:r>
            <w:r/>
          </w:p>
        </w:tc>
        <w:tc>
          <w:tcPr>
            <w:tcW w:w="1095" w:type="dxa"/>
            <w:vAlign w:val="center"/>
            <w:textDirection w:val="lrTb"/>
            <w:noWrap w:val="false"/>
          </w:tcPr>
          <w:p>
            <w:pPr>
              <w:pStyle w:val="716"/>
              <w:jc w:val="center"/>
              <w:rPr>
                <w:color w:val="000000"/>
                <w:sz w:val="28"/>
                <w:szCs w:val="28"/>
              </w:rPr>
            </w:pPr>
            <w:r>
              <w:rPr>
                <w:color w:val="000000"/>
                <w:sz w:val="28"/>
                <w:szCs w:val="28"/>
              </w:rPr>
              <w:t xml:space="preserve">招标文件要求的商务条款</w:t>
            </w:r>
            <w:r>
              <w:rPr>
                <w:color w:val="000000"/>
                <w:sz w:val="28"/>
                <w:szCs w:val="28"/>
              </w:rPr>
            </w:r>
            <w:r/>
          </w:p>
        </w:tc>
        <w:tc>
          <w:tcPr>
            <w:tcW w:w="1413" w:type="dxa"/>
            <w:vAlign w:val="center"/>
            <w:textDirection w:val="lrTb"/>
            <w:noWrap w:val="false"/>
          </w:tcPr>
          <w:p>
            <w:pPr>
              <w:pStyle w:val="716"/>
              <w:jc w:val="center"/>
              <w:rPr>
                <w:color w:val="000000"/>
                <w:sz w:val="28"/>
                <w:szCs w:val="28"/>
              </w:rPr>
            </w:pPr>
            <w:r>
              <w:rPr>
                <w:color w:val="000000"/>
                <w:sz w:val="28"/>
                <w:szCs w:val="28"/>
              </w:rPr>
              <w:t xml:space="preserve">投标文件响应情况</w:t>
            </w:r>
            <w:r>
              <w:rPr>
                <w:color w:val="000000"/>
                <w:sz w:val="28"/>
                <w:szCs w:val="28"/>
              </w:rPr>
            </w:r>
            <w:r/>
          </w:p>
        </w:tc>
        <w:tc>
          <w:tcPr>
            <w:tcW w:w="778" w:type="dxa"/>
            <w:vAlign w:val="top"/>
            <w:textDirection w:val="lrTb"/>
            <w:noWrap w:val="false"/>
          </w:tcPr>
          <w:p>
            <w:pPr>
              <w:pStyle w:val="716"/>
              <w:jc w:val="center"/>
              <w:rPr>
                <w:color w:val="000000"/>
                <w:sz w:val="28"/>
                <w:szCs w:val="28"/>
              </w:rPr>
            </w:pPr>
            <w:r>
              <w:rPr>
                <w:color w:val="000000"/>
                <w:sz w:val="28"/>
                <w:szCs w:val="28"/>
              </w:rPr>
            </w:r>
            <w:r/>
          </w:p>
          <w:p>
            <w:pPr>
              <w:pStyle w:val="716"/>
              <w:jc w:val="center"/>
              <w:rPr>
                <w:color w:val="000000"/>
                <w:sz w:val="28"/>
                <w:szCs w:val="28"/>
              </w:rPr>
            </w:pPr>
            <w:r>
              <w:rPr>
                <w:color w:val="000000"/>
                <w:sz w:val="28"/>
                <w:szCs w:val="28"/>
              </w:rPr>
              <w:t xml:space="preserve">偏离说明</w:t>
            </w:r>
            <w:r>
              <w:rPr>
                <w:color w:val="000000"/>
                <w:sz w:val="28"/>
                <w:szCs w:val="28"/>
              </w:rPr>
            </w:r>
            <w:r/>
          </w:p>
        </w:tc>
      </w:tr>
      <w:tr>
        <w:trPr>
          <w:trHeight w:val="414"/>
        </w:trPr>
        <w:tc>
          <w:tcPr>
            <w:tcW w:w="460" w:type="dxa"/>
            <w:vAlign w:val="top"/>
            <w:textDirection w:val="lrTb"/>
            <w:noWrap w:val="false"/>
          </w:tcPr>
          <w:p>
            <w:pPr>
              <w:pStyle w:val="716"/>
              <w:jc w:val="center"/>
              <w:rPr>
                <w:color w:val="000000"/>
                <w:sz w:val="28"/>
                <w:szCs w:val="28"/>
              </w:rPr>
            </w:pPr>
            <w:r>
              <w:rPr>
                <w:color w:val="000000"/>
                <w:sz w:val="28"/>
                <w:szCs w:val="28"/>
              </w:rPr>
              <w:t xml:space="preserve">1</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r>
        <w:trPr>
          <w:trHeight w:val="548"/>
        </w:trPr>
        <w:tc>
          <w:tcPr>
            <w:tcW w:w="460" w:type="dxa"/>
            <w:vAlign w:val="top"/>
            <w:textDirection w:val="lrTb"/>
            <w:noWrap w:val="false"/>
          </w:tcPr>
          <w:p>
            <w:pPr>
              <w:pStyle w:val="716"/>
              <w:jc w:val="center"/>
              <w:rPr>
                <w:color w:val="000000"/>
                <w:sz w:val="28"/>
                <w:szCs w:val="28"/>
              </w:rPr>
            </w:pPr>
            <w:r>
              <w:rPr>
                <w:color w:val="000000"/>
                <w:sz w:val="28"/>
                <w:szCs w:val="28"/>
              </w:rPr>
              <w:t xml:space="preserve">2</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r>
        <w:trPr>
          <w:trHeight w:val="400"/>
        </w:trPr>
        <w:tc>
          <w:tcPr>
            <w:tcW w:w="460" w:type="dxa"/>
            <w:vAlign w:val="top"/>
            <w:textDirection w:val="lrTb"/>
            <w:noWrap w:val="false"/>
          </w:tcPr>
          <w:p>
            <w:pPr>
              <w:pStyle w:val="716"/>
              <w:jc w:val="center"/>
              <w:rPr>
                <w:color w:val="000000"/>
                <w:sz w:val="28"/>
                <w:szCs w:val="28"/>
              </w:rPr>
            </w:pPr>
            <w:r>
              <w:rPr>
                <w:color w:val="000000"/>
                <w:sz w:val="28"/>
                <w:szCs w:val="28"/>
              </w:rPr>
              <w:t xml:space="preserve">3</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r>
        <w:trPr>
          <w:trHeight w:val="419"/>
        </w:trPr>
        <w:tc>
          <w:tcPr>
            <w:tcW w:w="460" w:type="dxa"/>
            <w:vAlign w:val="top"/>
            <w:textDirection w:val="lrTb"/>
            <w:noWrap w:val="false"/>
          </w:tcPr>
          <w:p>
            <w:pPr>
              <w:pStyle w:val="716"/>
              <w:jc w:val="center"/>
              <w:rPr>
                <w:color w:val="000000"/>
                <w:sz w:val="28"/>
                <w:szCs w:val="28"/>
              </w:rPr>
            </w:pPr>
            <w:r>
              <w:rPr>
                <w:color w:val="000000"/>
                <w:sz w:val="28"/>
                <w:szCs w:val="28"/>
              </w:rPr>
              <w:t xml:space="preserve">4</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bl>
    <w:p>
      <w:pPr>
        <w:pStyle w:val="716"/>
        <w:contextualSpacing/>
        <w:rPr>
          <w:b/>
          <w:color w:val="000000"/>
          <w:sz w:val="28"/>
          <w:szCs w:val="28"/>
        </w:rPr>
      </w:pPr>
      <w:r>
        <w:rPr>
          <w:b/>
          <w:color w:val="000000"/>
          <w:sz w:val="28"/>
          <w:szCs w:val="28"/>
        </w:rPr>
        <w:t xml:space="preserve">注：</w:t>
      </w:r>
      <w:r>
        <w:rPr>
          <w:b/>
          <w:color w:val="000000"/>
          <w:sz w:val="28"/>
          <w:szCs w:val="28"/>
        </w:rPr>
      </w:r>
      <w:r/>
    </w:p>
    <w:p>
      <w:pPr>
        <w:pStyle w:val="716"/>
        <w:contextualSpacing/>
        <w:ind w:firstLine="560"/>
        <w:rPr>
          <w:color w:val="000000"/>
          <w:sz w:val="28"/>
          <w:szCs w:val="28"/>
        </w:rPr>
      </w:pPr>
      <w:r>
        <w:rPr>
          <w:color w:val="000000"/>
          <w:sz w:val="28"/>
          <w:szCs w:val="28"/>
        </w:rPr>
        <w:t xml:space="preserve">1.投标人提交的投标文件中与招标文件第三部分“项目需求”中的商务部分的要求，应逐条填列在偏离表中。</w:t>
      </w:r>
      <w:r>
        <w:rPr>
          <w:color w:val="000000"/>
          <w:sz w:val="28"/>
          <w:szCs w:val="28"/>
        </w:rPr>
      </w:r>
      <w:r/>
    </w:p>
    <w:p>
      <w:pPr>
        <w:pStyle w:val="716"/>
        <w:contextualSpacing/>
        <w:ind w:firstLine="560"/>
        <w:rPr>
          <w:color w:val="000000"/>
          <w:sz w:val="28"/>
          <w:szCs w:val="28"/>
        </w:rPr>
      </w:pPr>
      <w:r>
        <w:rPr>
          <w:color w:val="000000"/>
          <w:sz w:val="28"/>
          <w:szCs w:val="28"/>
        </w:rPr>
        <w:t xml:space="preserve">2.“偏离说明”一栏选择“正偏离”、“无偏离”、“负偏离”进行填写。正偏离、无偏离的确认和负偏离的是否响应招标文件，由评委认定。</w:t>
      </w:r>
      <w:r>
        <w:rPr>
          <w:color w:val="000000"/>
          <w:sz w:val="28"/>
          <w:szCs w:val="28"/>
        </w:rPr>
      </w:r>
      <w:r/>
    </w:p>
    <w:p>
      <w:pPr>
        <w:pStyle w:val="716"/>
        <w:contextualSpacing/>
        <w:ind w:firstLine="560"/>
        <w:rPr>
          <w:color w:val="000000"/>
          <w:sz w:val="28"/>
          <w:szCs w:val="28"/>
        </w:rPr>
      </w:pPr>
      <w:r>
        <w:rPr>
          <w:color w:val="000000"/>
          <w:sz w:val="28"/>
          <w:szCs w:val="28"/>
        </w:rPr>
        <w:t xml:space="preserve">3.投标人如果虚假响应，将被暂停参加南通市政府采购中心组织政府采购活动。</w:t>
      </w:r>
      <w:r>
        <w:rPr>
          <w:color w:val="000000"/>
          <w:sz w:val="28"/>
          <w:szCs w:val="28"/>
        </w:rPr>
      </w:r>
      <w:r/>
    </w:p>
    <w:p>
      <w:pPr>
        <w:pStyle w:val="716"/>
        <w:contextualSpacing/>
        <w:ind w:firstLine="560"/>
        <w:rPr>
          <w:bCs/>
          <w:color w:val="000000"/>
          <w:sz w:val="28"/>
          <w:szCs w:val="28"/>
        </w:rPr>
      </w:pPr>
      <w:r>
        <w:rPr>
          <w:bCs/>
          <w:color w:val="000000"/>
          <w:sz w:val="28"/>
          <w:szCs w:val="28"/>
        </w:rPr>
        <w:t xml:space="preserve">4.供应商若提供其他增值服务，可以在表中自行据实填写。</w:t>
      </w:r>
      <w:r>
        <w:rPr>
          <w:bCs/>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rPr>
          <w:color w:val="000000"/>
          <w:sz w:val="28"/>
          <w:szCs w:val="28"/>
        </w:rPr>
        <w:outlineLvl w:val="1"/>
      </w:pPr>
      <w:r>
        <w:rPr>
          <w:color w:val="000000"/>
          <w:sz w:val="28"/>
          <w:szCs w:val="28"/>
        </w:rPr>
        <w:t xml:space="preserve">附件6</w:t>
      </w:r>
      <w:r>
        <w:rPr>
          <w:color w:val="000000"/>
          <w:sz w:val="28"/>
          <w:szCs w:val="28"/>
        </w:rPr>
      </w:r>
      <w:r/>
    </w:p>
    <w:p>
      <w:pPr>
        <w:pStyle w:val="716"/>
        <w:contextualSpacing/>
        <w:jc w:val="center"/>
        <w:rPr>
          <w:b/>
          <w:color w:val="000000"/>
          <w:sz w:val="28"/>
          <w:szCs w:val="28"/>
        </w:rPr>
      </w:pPr>
      <w:r>
        <w:rPr>
          <w:b/>
          <w:color w:val="000000"/>
          <w:sz w:val="28"/>
          <w:szCs w:val="28"/>
        </w:rPr>
        <w:t xml:space="preserve">技术部分正负偏离表</w:t>
      </w:r>
      <w:r>
        <w:rPr>
          <w:b/>
          <w:color w:val="000000"/>
          <w:sz w:val="28"/>
          <w:szCs w:val="28"/>
        </w:rPr>
      </w:r>
      <w:r/>
    </w:p>
    <w:p>
      <w:pPr>
        <w:pStyle w:val="716"/>
        <w:ind w:firstLine="560"/>
        <w:jc w:val="center"/>
        <w:rPr>
          <w:color w:val="000000"/>
          <w:sz w:val="28"/>
          <w:szCs w:val="28"/>
        </w:rPr>
      </w:pPr>
      <w:r>
        <w:rPr>
          <w:color w:val="000000"/>
          <w:sz w:val="28"/>
          <w:szCs w:val="28"/>
        </w:rPr>
        <w:t xml:space="preserve">（由投标人据实填写，表格不够自行添加）</w:t>
      </w:r>
      <w:r>
        <w:rPr>
          <w:color w:val="000000"/>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716"/>
              <w:jc w:val="center"/>
              <w:rPr>
                <w:color w:val="000000"/>
                <w:sz w:val="28"/>
                <w:szCs w:val="28"/>
              </w:rPr>
            </w:pPr>
            <w:r>
              <w:rPr>
                <w:color w:val="000000"/>
                <w:sz w:val="28"/>
                <w:szCs w:val="28"/>
              </w:rPr>
              <w:t xml:space="preserve">序号</w:t>
            </w:r>
            <w:r>
              <w:rPr>
                <w:color w:val="000000"/>
                <w:sz w:val="28"/>
                <w:szCs w:val="28"/>
              </w:rPr>
            </w:r>
            <w:r/>
          </w:p>
        </w:tc>
        <w:tc>
          <w:tcPr>
            <w:tcW w:w="1254" w:type="dxa"/>
            <w:vAlign w:val="center"/>
            <w:textDirection w:val="lrTb"/>
            <w:noWrap w:val="false"/>
          </w:tcPr>
          <w:p>
            <w:pPr>
              <w:pStyle w:val="716"/>
              <w:jc w:val="center"/>
              <w:rPr>
                <w:color w:val="000000"/>
                <w:sz w:val="28"/>
                <w:szCs w:val="28"/>
              </w:rPr>
            </w:pPr>
            <w:r>
              <w:rPr>
                <w:color w:val="000000"/>
                <w:sz w:val="28"/>
                <w:szCs w:val="28"/>
              </w:rPr>
              <w:t xml:space="preserve">货物或服务名称</w:t>
            </w:r>
            <w:r>
              <w:rPr>
                <w:color w:val="000000"/>
                <w:sz w:val="28"/>
                <w:szCs w:val="28"/>
              </w:rPr>
            </w:r>
            <w:r/>
          </w:p>
        </w:tc>
        <w:tc>
          <w:tcPr>
            <w:tcW w:w="1095" w:type="dxa"/>
            <w:vAlign w:val="center"/>
            <w:textDirection w:val="lrTb"/>
            <w:noWrap w:val="false"/>
          </w:tcPr>
          <w:p>
            <w:pPr>
              <w:pStyle w:val="716"/>
              <w:jc w:val="center"/>
              <w:rPr>
                <w:color w:val="000000"/>
                <w:sz w:val="28"/>
                <w:szCs w:val="28"/>
              </w:rPr>
            </w:pPr>
            <w:r>
              <w:rPr>
                <w:color w:val="000000"/>
                <w:sz w:val="28"/>
                <w:szCs w:val="28"/>
              </w:rPr>
              <w:t xml:space="preserve">招标文件要求的技术要求</w:t>
            </w:r>
            <w:r>
              <w:rPr>
                <w:color w:val="000000"/>
                <w:sz w:val="28"/>
                <w:szCs w:val="28"/>
              </w:rPr>
            </w:r>
            <w:r/>
          </w:p>
        </w:tc>
        <w:tc>
          <w:tcPr>
            <w:tcW w:w="1413" w:type="dxa"/>
            <w:vAlign w:val="center"/>
            <w:textDirection w:val="lrTb"/>
            <w:noWrap w:val="false"/>
          </w:tcPr>
          <w:p>
            <w:pPr>
              <w:pStyle w:val="716"/>
              <w:jc w:val="center"/>
              <w:rPr>
                <w:color w:val="000000"/>
                <w:sz w:val="28"/>
                <w:szCs w:val="28"/>
              </w:rPr>
            </w:pPr>
            <w:r>
              <w:rPr>
                <w:color w:val="000000"/>
                <w:sz w:val="28"/>
                <w:szCs w:val="28"/>
              </w:rPr>
              <w:t xml:space="preserve">投标文件响应情况</w:t>
            </w:r>
            <w:r>
              <w:rPr>
                <w:color w:val="000000"/>
                <w:sz w:val="28"/>
                <w:szCs w:val="28"/>
              </w:rPr>
            </w:r>
            <w:r/>
          </w:p>
        </w:tc>
        <w:tc>
          <w:tcPr>
            <w:tcW w:w="778" w:type="dxa"/>
            <w:vAlign w:val="top"/>
            <w:textDirection w:val="lrTb"/>
            <w:noWrap w:val="false"/>
          </w:tcPr>
          <w:p>
            <w:pPr>
              <w:pStyle w:val="716"/>
              <w:jc w:val="center"/>
              <w:rPr>
                <w:color w:val="000000"/>
                <w:sz w:val="28"/>
                <w:szCs w:val="28"/>
              </w:rPr>
            </w:pPr>
            <w:r>
              <w:rPr>
                <w:color w:val="000000"/>
                <w:sz w:val="28"/>
                <w:szCs w:val="28"/>
              </w:rPr>
            </w:r>
            <w:r/>
          </w:p>
          <w:p>
            <w:pPr>
              <w:pStyle w:val="716"/>
              <w:jc w:val="center"/>
              <w:rPr>
                <w:color w:val="000000"/>
                <w:sz w:val="28"/>
                <w:szCs w:val="28"/>
              </w:rPr>
            </w:pPr>
            <w:r>
              <w:rPr>
                <w:color w:val="000000"/>
                <w:sz w:val="28"/>
                <w:szCs w:val="28"/>
              </w:rPr>
              <w:t xml:space="preserve">偏离说明</w:t>
            </w:r>
            <w:r>
              <w:rPr>
                <w:color w:val="000000"/>
                <w:sz w:val="28"/>
                <w:szCs w:val="28"/>
              </w:rPr>
            </w:r>
            <w:r/>
          </w:p>
        </w:tc>
      </w:tr>
      <w:tr>
        <w:trPr>
          <w:trHeight w:val="414"/>
        </w:trPr>
        <w:tc>
          <w:tcPr>
            <w:tcW w:w="460" w:type="dxa"/>
            <w:vAlign w:val="top"/>
            <w:textDirection w:val="lrTb"/>
            <w:noWrap w:val="false"/>
          </w:tcPr>
          <w:p>
            <w:pPr>
              <w:pStyle w:val="716"/>
              <w:jc w:val="center"/>
              <w:rPr>
                <w:color w:val="000000"/>
                <w:sz w:val="28"/>
                <w:szCs w:val="28"/>
              </w:rPr>
            </w:pPr>
            <w:r>
              <w:rPr>
                <w:color w:val="000000"/>
                <w:sz w:val="28"/>
                <w:szCs w:val="28"/>
              </w:rPr>
              <w:t xml:space="preserve">1</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r>
        <w:trPr>
          <w:trHeight w:val="548"/>
        </w:trPr>
        <w:tc>
          <w:tcPr>
            <w:tcW w:w="460" w:type="dxa"/>
            <w:vAlign w:val="top"/>
            <w:textDirection w:val="lrTb"/>
            <w:noWrap w:val="false"/>
          </w:tcPr>
          <w:p>
            <w:pPr>
              <w:pStyle w:val="716"/>
              <w:jc w:val="center"/>
              <w:rPr>
                <w:color w:val="000000"/>
                <w:sz w:val="28"/>
                <w:szCs w:val="28"/>
              </w:rPr>
            </w:pPr>
            <w:r>
              <w:rPr>
                <w:color w:val="000000"/>
                <w:sz w:val="28"/>
                <w:szCs w:val="28"/>
              </w:rPr>
              <w:t xml:space="preserve">2</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r>
        <w:trPr>
          <w:trHeight w:val="400"/>
        </w:trPr>
        <w:tc>
          <w:tcPr>
            <w:tcW w:w="460" w:type="dxa"/>
            <w:vAlign w:val="top"/>
            <w:textDirection w:val="lrTb"/>
            <w:noWrap w:val="false"/>
          </w:tcPr>
          <w:p>
            <w:pPr>
              <w:pStyle w:val="716"/>
              <w:jc w:val="center"/>
              <w:rPr>
                <w:color w:val="000000"/>
                <w:sz w:val="28"/>
                <w:szCs w:val="28"/>
              </w:rPr>
            </w:pPr>
            <w:r>
              <w:rPr>
                <w:color w:val="000000"/>
                <w:sz w:val="28"/>
                <w:szCs w:val="28"/>
              </w:rPr>
              <w:t xml:space="preserve">3</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r>
        <w:trPr>
          <w:trHeight w:val="419"/>
        </w:trPr>
        <w:tc>
          <w:tcPr>
            <w:tcW w:w="460" w:type="dxa"/>
            <w:vAlign w:val="top"/>
            <w:textDirection w:val="lrTb"/>
            <w:noWrap w:val="false"/>
          </w:tcPr>
          <w:p>
            <w:pPr>
              <w:pStyle w:val="716"/>
              <w:jc w:val="center"/>
              <w:rPr>
                <w:color w:val="000000"/>
                <w:sz w:val="28"/>
                <w:szCs w:val="28"/>
              </w:rPr>
            </w:pPr>
            <w:r>
              <w:rPr>
                <w:color w:val="000000"/>
                <w:sz w:val="28"/>
                <w:szCs w:val="28"/>
              </w:rPr>
              <w:t xml:space="preserve">4</w:t>
            </w:r>
            <w:r>
              <w:rPr>
                <w:color w:val="000000"/>
                <w:sz w:val="28"/>
                <w:szCs w:val="28"/>
              </w:rPr>
            </w:r>
            <w:r/>
          </w:p>
        </w:tc>
        <w:tc>
          <w:tcPr>
            <w:tcW w:w="1254" w:type="dxa"/>
            <w:vAlign w:val="center"/>
            <w:textDirection w:val="lrTb"/>
            <w:noWrap w:val="false"/>
          </w:tcPr>
          <w:p>
            <w:pPr>
              <w:pStyle w:val="716"/>
              <w:jc w:val="left"/>
              <w:rPr>
                <w:color w:val="000000"/>
                <w:sz w:val="28"/>
                <w:szCs w:val="28"/>
              </w:rPr>
            </w:pPr>
            <w:r>
              <w:rPr>
                <w:color w:val="000000"/>
                <w:sz w:val="28"/>
                <w:szCs w:val="28"/>
              </w:rPr>
            </w:r>
            <w:r/>
          </w:p>
        </w:tc>
        <w:tc>
          <w:tcPr>
            <w:tcW w:w="1095" w:type="dxa"/>
            <w:vAlign w:val="center"/>
            <w:textDirection w:val="lrTb"/>
            <w:noWrap w:val="false"/>
          </w:tcPr>
          <w:p>
            <w:pPr>
              <w:pStyle w:val="716"/>
              <w:jc w:val="left"/>
              <w:rPr>
                <w:color w:val="000000"/>
                <w:sz w:val="28"/>
                <w:szCs w:val="28"/>
              </w:rPr>
            </w:pPr>
            <w:r>
              <w:rPr>
                <w:color w:val="000000"/>
                <w:sz w:val="28"/>
                <w:szCs w:val="28"/>
              </w:rPr>
            </w:r>
            <w:r/>
          </w:p>
        </w:tc>
        <w:tc>
          <w:tcPr>
            <w:tcW w:w="1413" w:type="dxa"/>
            <w:vAlign w:val="center"/>
            <w:textDirection w:val="lrTb"/>
            <w:noWrap w:val="false"/>
          </w:tcPr>
          <w:p>
            <w:pPr>
              <w:pStyle w:val="716"/>
              <w:jc w:val="left"/>
              <w:rPr>
                <w:color w:val="000000"/>
                <w:sz w:val="28"/>
                <w:szCs w:val="28"/>
              </w:rPr>
            </w:pPr>
            <w:r>
              <w:rPr>
                <w:color w:val="000000"/>
                <w:sz w:val="28"/>
                <w:szCs w:val="28"/>
              </w:rPr>
            </w:r>
            <w:r/>
          </w:p>
        </w:tc>
        <w:tc>
          <w:tcPr>
            <w:tcW w:w="778" w:type="dxa"/>
            <w:vAlign w:val="top"/>
            <w:textDirection w:val="lrTb"/>
            <w:noWrap w:val="false"/>
          </w:tcPr>
          <w:p>
            <w:pPr>
              <w:pStyle w:val="716"/>
              <w:jc w:val="left"/>
              <w:rPr>
                <w:color w:val="000000"/>
                <w:sz w:val="28"/>
                <w:szCs w:val="28"/>
              </w:rPr>
            </w:pPr>
            <w:r>
              <w:rPr>
                <w:color w:val="000000"/>
                <w:sz w:val="28"/>
                <w:szCs w:val="28"/>
              </w:rPr>
            </w:r>
            <w:r/>
          </w:p>
        </w:tc>
      </w:tr>
    </w:tbl>
    <w:p>
      <w:pPr>
        <w:pStyle w:val="716"/>
        <w:contextualSpacing/>
        <w:rPr>
          <w:b/>
          <w:color w:val="000000"/>
          <w:sz w:val="28"/>
          <w:szCs w:val="28"/>
        </w:rPr>
      </w:pPr>
      <w:r>
        <w:rPr>
          <w:b/>
          <w:color w:val="000000"/>
          <w:sz w:val="28"/>
          <w:szCs w:val="28"/>
        </w:rPr>
        <w:t xml:space="preserve">注：</w:t>
      </w:r>
      <w:r>
        <w:rPr>
          <w:b/>
          <w:color w:val="000000"/>
          <w:sz w:val="28"/>
          <w:szCs w:val="28"/>
        </w:rPr>
      </w:r>
      <w:r/>
    </w:p>
    <w:p>
      <w:pPr>
        <w:pStyle w:val="716"/>
        <w:contextualSpacing/>
        <w:ind w:firstLine="560"/>
        <w:rPr>
          <w:color w:val="000000"/>
          <w:sz w:val="28"/>
          <w:szCs w:val="28"/>
        </w:rPr>
      </w:pPr>
      <w:r>
        <w:rPr>
          <w:color w:val="000000"/>
          <w:sz w:val="28"/>
          <w:szCs w:val="28"/>
        </w:rPr>
        <w:t xml:space="preserve">1.投标人提交的投标文件中与招标文件第三部分“项目需求”中的技术部分的要求，应逐条填列在偏离表中。</w:t>
      </w:r>
      <w:r>
        <w:rPr>
          <w:color w:val="000000"/>
          <w:sz w:val="28"/>
          <w:szCs w:val="28"/>
        </w:rPr>
      </w:r>
      <w:r/>
    </w:p>
    <w:p>
      <w:pPr>
        <w:pStyle w:val="716"/>
        <w:contextualSpacing/>
        <w:ind w:firstLine="560"/>
        <w:rPr>
          <w:color w:val="000000"/>
          <w:sz w:val="28"/>
          <w:szCs w:val="28"/>
        </w:rPr>
      </w:pPr>
      <w:r>
        <w:rPr>
          <w:color w:val="000000"/>
          <w:sz w:val="28"/>
          <w:szCs w:val="28"/>
        </w:rPr>
        <w:t xml:space="preserve">2. “偏离说明”一栏选择“正偏离”、“无偏离”、“负偏离”进行填写。正偏离、无偏离的确认和负偏离的是否响应招标文件，由评委认定。</w:t>
      </w:r>
      <w:r>
        <w:rPr>
          <w:color w:val="000000"/>
          <w:sz w:val="28"/>
          <w:szCs w:val="28"/>
        </w:rPr>
      </w:r>
      <w:r/>
    </w:p>
    <w:p>
      <w:pPr>
        <w:pStyle w:val="716"/>
        <w:contextualSpacing/>
        <w:ind w:firstLine="560"/>
        <w:rPr>
          <w:color w:val="000000"/>
          <w:sz w:val="28"/>
          <w:szCs w:val="28"/>
        </w:rPr>
      </w:pPr>
      <w:r>
        <w:rPr>
          <w:color w:val="000000"/>
          <w:sz w:val="28"/>
          <w:szCs w:val="28"/>
        </w:rPr>
        <w:t xml:space="preserve">3.投标人如果虚假响应，将被暂停参加南通市政府采购中心组织政府采购活动。</w:t>
      </w:r>
      <w:r>
        <w:rPr>
          <w:color w:val="000000"/>
          <w:sz w:val="28"/>
          <w:szCs w:val="28"/>
        </w:rPr>
      </w:r>
      <w:r/>
    </w:p>
    <w:p>
      <w:pPr>
        <w:pStyle w:val="716"/>
        <w:contextualSpacing/>
        <w:ind w:firstLine="560"/>
        <w:rPr>
          <w:bCs/>
          <w:color w:val="000000"/>
          <w:sz w:val="28"/>
          <w:szCs w:val="28"/>
        </w:rPr>
      </w:pPr>
      <w:r>
        <w:rPr>
          <w:bCs/>
          <w:color w:val="000000"/>
          <w:sz w:val="28"/>
          <w:szCs w:val="28"/>
        </w:rPr>
        <w:t xml:space="preserve">4.供应商若提供其他增值服务，可以在表中自行据实填写。</w:t>
      </w:r>
      <w:r>
        <w:rPr>
          <w:bCs/>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rPr>
          <w:color w:val="000000"/>
          <w:sz w:val="28"/>
          <w:szCs w:val="28"/>
        </w:rPr>
        <w:outlineLvl w:val="1"/>
      </w:pPr>
      <w:r>
        <w:rPr>
          <w:color w:val="000000"/>
          <w:sz w:val="28"/>
          <w:szCs w:val="28"/>
        </w:rPr>
        <w:t xml:space="preserve">附件7</w:t>
      </w:r>
      <w:r>
        <w:rPr>
          <w:color w:val="000000"/>
          <w:sz w:val="28"/>
          <w:szCs w:val="28"/>
        </w:rPr>
      </w:r>
      <w:r/>
    </w:p>
    <w:p>
      <w:pPr>
        <w:pStyle w:val="716"/>
        <w:jc w:val="center"/>
        <w:spacing w:before="100" w:beforeAutospacing="1" w:after="100" w:afterAutospacing="1"/>
        <w:widowControl/>
        <w:rPr>
          <w:color w:val="000000"/>
          <w:sz w:val="28"/>
          <w:szCs w:val="28"/>
        </w:rPr>
      </w:pPr>
      <w:r>
        <w:rPr>
          <w:b/>
          <w:bCs/>
          <w:color w:val="000000"/>
          <w:sz w:val="28"/>
          <w:szCs w:val="28"/>
        </w:rPr>
        <w:t xml:space="preserve">开  标 一 览  表</w:t>
      </w:r>
      <w:r>
        <w:rPr>
          <w:color w:val="000000"/>
          <w:sz w:val="28"/>
          <w:szCs w:val="28"/>
        </w:rPr>
      </w:r>
      <w:r/>
    </w:p>
    <w:p>
      <w:pPr>
        <w:pStyle w:val="716"/>
        <w:rPr>
          <w:color w:val="000000"/>
          <w:sz w:val="28"/>
          <w:szCs w:val="28"/>
          <w:u w:val="single"/>
        </w:rPr>
      </w:pPr>
      <w:r>
        <w:rPr>
          <w:color w:val="000000"/>
          <w:sz w:val="28"/>
          <w:szCs w:val="28"/>
        </w:rPr>
        <w:t xml:space="preserve">投标人全称（加盖公章）：</w:t>
      </w:r>
      <w:r>
        <w:rPr>
          <w:color w:val="000000"/>
          <w:sz w:val="28"/>
          <w:szCs w:val="28"/>
          <w:u w:val="single"/>
        </w:rPr>
      </w:r>
      <w:r/>
    </w:p>
    <w:p>
      <w:pPr>
        <w:pStyle w:val="716"/>
        <w:rPr>
          <w:color w:val="000000"/>
          <w:sz w:val="28"/>
          <w:szCs w:val="28"/>
          <w:u w:val="single"/>
        </w:rPr>
      </w:pPr>
      <w:r>
        <w:rPr>
          <w:color w:val="000000"/>
          <w:sz w:val="28"/>
          <w:szCs w:val="28"/>
        </w:rPr>
        <w:t xml:space="preserve">项目名称：</w:t>
      </w:r>
      <w:r>
        <w:rPr>
          <w:color w:val="000000"/>
          <w:sz w:val="28"/>
          <w:szCs w:val="28"/>
          <w:u w:val="single"/>
        </w:rPr>
      </w:r>
      <w:r/>
    </w:p>
    <w:p>
      <w:pPr>
        <w:pStyle w:val="716"/>
        <w:rPr>
          <w:color w:val="000000"/>
          <w:sz w:val="28"/>
          <w:szCs w:val="28"/>
        </w:rPr>
      </w:pPr>
      <w:r>
        <w:rPr>
          <w:color w:val="000000"/>
          <w:sz w:val="28"/>
          <w:szCs w:val="28"/>
        </w:rPr>
        <w:t xml:space="preserve">项目编号：</w:t>
      </w:r>
      <w:r>
        <w:rPr>
          <w:color w:val="000000"/>
          <w:sz w:val="28"/>
          <w:szCs w:val="28"/>
        </w:rPr>
      </w:r>
      <w:r/>
    </w:p>
    <w:p>
      <w:pPr>
        <w:pStyle w:val="716"/>
        <w:rPr>
          <w:color w:val="000000"/>
          <w:sz w:val="28"/>
          <w:szCs w:val="28"/>
        </w:rPr>
      </w:pPr>
      <w:r>
        <w:rPr>
          <w:color w:val="000000"/>
          <w:sz w:val="28"/>
          <w:szCs w:val="28"/>
        </w:rPr>
        <w:t xml:space="preserve">分包号：</w:t>
      </w:r>
      <w:r>
        <w:rPr>
          <w:color w:val="000000"/>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716"/>
              <w:jc w:val="center"/>
              <w:rPr>
                <w:color w:val="000000"/>
                <w:sz w:val="28"/>
                <w:szCs w:val="28"/>
              </w:rPr>
            </w:pPr>
            <w:r>
              <w:rPr>
                <w:color w:val="000000"/>
                <w:sz w:val="28"/>
                <w:szCs w:val="28"/>
              </w:rPr>
              <w:t xml:space="preserve">投标货物、服务名称</w:t>
            </w:r>
            <w:r>
              <w:rPr>
                <w:color w:val="000000"/>
                <w:sz w:val="28"/>
                <w:szCs w:val="28"/>
              </w:rPr>
            </w:r>
            <w:r/>
          </w:p>
        </w:tc>
        <w:tc>
          <w:tcPr>
            <w:tcW w:w="4607" w:type="dxa"/>
            <w:vAlign w:val="top"/>
            <w:textDirection w:val="lrTb"/>
            <w:noWrap w:val="false"/>
          </w:tcPr>
          <w:p>
            <w:pPr>
              <w:pStyle w:val="716"/>
              <w:jc w:val="center"/>
              <w:rPr>
                <w:color w:val="000000"/>
                <w:sz w:val="28"/>
                <w:szCs w:val="28"/>
              </w:rPr>
            </w:pPr>
            <w:r>
              <w:rPr>
                <w:color w:val="000000"/>
                <w:sz w:val="28"/>
                <w:szCs w:val="28"/>
              </w:rPr>
              <w:t xml:space="preserve">投标总报价</w:t>
            </w:r>
            <w:r>
              <w:rPr>
                <w:color w:val="000000"/>
                <w:sz w:val="28"/>
                <w:szCs w:val="28"/>
              </w:rPr>
            </w:r>
            <w:r/>
          </w:p>
        </w:tc>
      </w:tr>
      <w:tr>
        <w:trPr>
          <w:trHeight w:val="1091"/>
        </w:trPr>
        <w:tc>
          <w:tcPr>
            <w:tcW w:w="4148" w:type="dxa"/>
            <w:vAlign w:val="top"/>
            <w:textDirection w:val="lrTb"/>
            <w:noWrap w:val="false"/>
          </w:tcPr>
          <w:p>
            <w:pPr>
              <w:pStyle w:val="716"/>
              <w:rPr>
                <w:color w:val="000000"/>
                <w:sz w:val="28"/>
                <w:szCs w:val="28"/>
              </w:rPr>
            </w:pPr>
            <w:r>
              <w:rPr>
                <w:color w:val="000000"/>
                <w:sz w:val="28"/>
                <w:szCs w:val="28"/>
              </w:rPr>
            </w:r>
            <w:r/>
          </w:p>
        </w:tc>
        <w:tc>
          <w:tcPr>
            <w:tcW w:w="4607" w:type="dxa"/>
            <w:vAlign w:val="top"/>
            <w:textDirection w:val="lrTb"/>
            <w:noWrap w:val="false"/>
          </w:tcPr>
          <w:p>
            <w:pPr>
              <w:pStyle w:val="716"/>
              <w:rPr>
                <w:color w:val="000000"/>
                <w:sz w:val="28"/>
                <w:szCs w:val="28"/>
                <w:u w:val="single"/>
              </w:rPr>
            </w:pPr>
            <w:r>
              <w:rPr>
                <w:color w:val="000000"/>
                <w:sz w:val="28"/>
                <w:szCs w:val="28"/>
              </w:rPr>
              <w:t xml:space="preserve">大写：</w:t>
            </w:r>
            <w:r>
              <w:rPr>
                <w:color w:val="000000"/>
                <w:sz w:val="28"/>
                <w:szCs w:val="28"/>
              </w:rPr>
              <w:br w:type="textWrapping" w:clear="all"/>
            </w:r>
            <w:r>
              <w:rPr>
                <w:color w:val="000000"/>
                <w:sz w:val="28"/>
                <w:szCs w:val="28"/>
              </w:rPr>
              <w:t xml:space="preserve">小写：元（人民币）</w:t>
            </w:r>
            <w:r>
              <w:rPr>
                <w:color w:val="000000"/>
                <w:sz w:val="28"/>
                <w:szCs w:val="28"/>
                <w:u w:val="single"/>
              </w:rPr>
            </w:r>
            <w:r/>
          </w:p>
        </w:tc>
      </w:tr>
      <w:tr>
        <w:trPr/>
        <w:tc>
          <w:tcPr>
            <w:tcW w:w="4148" w:type="dxa"/>
            <w:vAlign w:val="top"/>
            <w:textDirection w:val="lrTb"/>
            <w:noWrap w:val="false"/>
          </w:tcPr>
          <w:p>
            <w:pPr>
              <w:pStyle w:val="716"/>
              <w:rPr>
                <w:color w:val="000000"/>
                <w:sz w:val="28"/>
                <w:szCs w:val="28"/>
              </w:rPr>
            </w:pPr>
            <w:r>
              <w:rPr>
                <w:color w:val="000000"/>
                <w:sz w:val="28"/>
                <w:szCs w:val="28"/>
              </w:rPr>
              <w:t xml:space="preserve">主要货物、服务制造商及产地</w:t>
            </w:r>
            <w:r>
              <w:rPr>
                <w:color w:val="000000"/>
                <w:sz w:val="28"/>
                <w:szCs w:val="28"/>
              </w:rPr>
            </w:r>
            <w:r/>
          </w:p>
        </w:tc>
        <w:tc>
          <w:tcPr>
            <w:tcW w:w="4607" w:type="dxa"/>
            <w:vAlign w:val="top"/>
            <w:textDirection w:val="lrTb"/>
            <w:noWrap w:val="false"/>
          </w:tcPr>
          <w:p>
            <w:pPr>
              <w:pStyle w:val="716"/>
              <w:rPr>
                <w:color w:val="000000"/>
                <w:sz w:val="28"/>
                <w:szCs w:val="28"/>
              </w:rPr>
            </w:pPr>
            <w:r>
              <w:rPr>
                <w:color w:val="000000"/>
                <w:sz w:val="28"/>
                <w:szCs w:val="28"/>
              </w:rPr>
            </w:r>
            <w:r/>
          </w:p>
        </w:tc>
      </w:tr>
      <w:tr>
        <w:trPr>
          <w:trHeight w:val="481"/>
        </w:trPr>
        <w:tc>
          <w:tcPr>
            <w:tcW w:w="4148" w:type="dxa"/>
            <w:vAlign w:val="top"/>
            <w:textDirection w:val="lrTb"/>
            <w:noWrap w:val="false"/>
          </w:tcPr>
          <w:p>
            <w:pPr>
              <w:pStyle w:val="716"/>
              <w:rPr>
                <w:color w:val="000000"/>
                <w:sz w:val="28"/>
                <w:szCs w:val="28"/>
              </w:rPr>
            </w:pPr>
            <w:r>
              <w:rPr>
                <w:color w:val="000000"/>
                <w:sz w:val="28"/>
                <w:szCs w:val="28"/>
              </w:rPr>
            </w:r>
            <w:r/>
          </w:p>
        </w:tc>
        <w:tc>
          <w:tcPr>
            <w:tcW w:w="4607" w:type="dxa"/>
            <w:vAlign w:val="top"/>
            <w:textDirection w:val="lrTb"/>
            <w:noWrap w:val="false"/>
          </w:tcPr>
          <w:p>
            <w:pPr>
              <w:pStyle w:val="716"/>
              <w:rPr>
                <w:color w:val="000000"/>
                <w:sz w:val="28"/>
                <w:szCs w:val="28"/>
              </w:rPr>
            </w:pPr>
            <w:r>
              <w:rPr>
                <w:color w:val="000000"/>
                <w:sz w:val="28"/>
                <w:szCs w:val="28"/>
              </w:rPr>
            </w:r>
            <w:r/>
          </w:p>
        </w:tc>
      </w:tr>
    </w:tbl>
    <w:p>
      <w:pPr>
        <w:pStyle w:val="716"/>
        <w:rPr>
          <w:color w:val="000000"/>
          <w:sz w:val="28"/>
          <w:szCs w:val="28"/>
        </w:rPr>
      </w:pPr>
      <w:r>
        <w:rPr>
          <w:color w:val="000000"/>
          <w:sz w:val="28"/>
          <w:szCs w:val="28"/>
        </w:rPr>
        <w:t xml:space="preserve">日期：</w:t>
      </w:r>
      <w:r>
        <w:rPr>
          <w:color w:val="000000"/>
          <w:sz w:val="28"/>
          <w:szCs w:val="28"/>
        </w:rPr>
      </w:r>
      <w:r/>
    </w:p>
    <w:p>
      <w:pPr>
        <w:pStyle w:val="716"/>
        <w:rPr>
          <w:color w:val="000000"/>
          <w:sz w:val="28"/>
          <w:szCs w:val="28"/>
        </w:rPr>
      </w:pPr>
      <w:r>
        <w:rPr>
          <w:color w:val="000000"/>
          <w:sz w:val="28"/>
          <w:szCs w:val="28"/>
        </w:rPr>
        <w:t xml:space="preserve">填写说明：</w:t>
      </w:r>
      <w:r>
        <w:rPr>
          <w:color w:val="000000"/>
          <w:sz w:val="28"/>
          <w:szCs w:val="28"/>
        </w:rPr>
      </w:r>
      <w:r/>
    </w:p>
    <w:p>
      <w:pPr>
        <w:pStyle w:val="716"/>
        <w:rPr>
          <w:color w:val="000000"/>
          <w:sz w:val="28"/>
          <w:szCs w:val="28"/>
        </w:rPr>
      </w:pPr>
      <w:r>
        <w:rPr>
          <w:color w:val="000000"/>
          <w:sz w:val="28"/>
          <w:szCs w:val="28"/>
        </w:rPr>
        <w:t xml:space="preserve">1、开标一览表必须加盖投标单位公章（复印件无效）。</w:t>
      </w:r>
      <w:r>
        <w:rPr>
          <w:color w:val="000000"/>
          <w:sz w:val="28"/>
          <w:szCs w:val="28"/>
        </w:rPr>
      </w:r>
      <w:r/>
    </w:p>
    <w:p>
      <w:pPr>
        <w:pStyle w:val="716"/>
        <w:rPr>
          <w:color w:val="000000"/>
          <w:sz w:val="28"/>
          <w:szCs w:val="28"/>
        </w:rPr>
      </w:pPr>
      <w:r>
        <w:rPr>
          <w:color w:val="000000"/>
          <w:sz w:val="28"/>
          <w:szCs w:val="28"/>
        </w:rPr>
        <w:t xml:space="preserve">2、如有分包，投标人投任何一个包的标的，都需单独填写开标一览表。</w:t>
      </w:r>
      <w:r>
        <w:rPr>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ind w:firstLine="540"/>
        <w:rPr>
          <w:b/>
          <w:color w:val="000000"/>
          <w:sz w:val="28"/>
          <w:szCs w:val="28"/>
        </w:rPr>
      </w:pPr>
      <w:r>
        <w:rPr>
          <w:b/>
          <w:color w:val="000000"/>
          <w:sz w:val="28"/>
          <w:szCs w:val="28"/>
        </w:rPr>
      </w:r>
      <w:r/>
    </w:p>
    <w:p>
      <w:pPr>
        <w:pStyle w:val="716"/>
        <w:contextualSpacing/>
        <w:rPr>
          <w:b/>
          <w:color w:val="000000"/>
          <w:sz w:val="28"/>
          <w:szCs w:val="28"/>
        </w:rPr>
      </w:pPr>
      <w:r>
        <w:rPr>
          <w:b/>
          <w:color w:val="000000"/>
          <w:sz w:val="28"/>
          <w:szCs w:val="28"/>
        </w:rPr>
      </w:r>
      <w:r/>
    </w:p>
    <w:p>
      <w:pPr>
        <w:pStyle w:val="716"/>
        <w:contextualSpacing/>
        <w:rPr>
          <w:b/>
          <w:color w:val="000000"/>
          <w:sz w:val="28"/>
          <w:szCs w:val="28"/>
        </w:rPr>
      </w:pPr>
      <w:r>
        <w:rPr>
          <w:b/>
          <w:color w:val="000000"/>
          <w:sz w:val="28"/>
          <w:szCs w:val="28"/>
        </w:rPr>
      </w:r>
      <w:r/>
    </w:p>
    <w:p>
      <w:pPr>
        <w:pStyle w:val="716"/>
        <w:contextualSpacing/>
        <w:rPr>
          <w:rFonts w:hint="eastAsia"/>
          <w:b/>
          <w:color w:val="000000"/>
          <w:sz w:val="28"/>
          <w:szCs w:val="28"/>
        </w:rPr>
      </w:pPr>
      <w:r>
        <w:rPr>
          <w:rFonts w:hint="eastAsia"/>
          <w:b/>
          <w:color w:val="000000"/>
          <w:sz w:val="28"/>
          <w:szCs w:val="28"/>
        </w:rPr>
      </w:r>
      <w:r/>
    </w:p>
    <w:p>
      <w:pPr>
        <w:pStyle w:val="716"/>
        <w:contextualSpacing/>
        <w:rPr>
          <w:b/>
          <w:color w:val="000000"/>
          <w:sz w:val="28"/>
          <w:szCs w:val="28"/>
        </w:rPr>
      </w:pPr>
      <w:r>
        <w:rPr>
          <w:b/>
          <w:color w:val="000000"/>
          <w:sz w:val="28"/>
          <w:szCs w:val="28"/>
        </w:rPr>
      </w:r>
      <w:r/>
    </w:p>
    <w:p>
      <w:pPr>
        <w:pStyle w:val="716"/>
        <w:contextualSpacing/>
        <w:rPr>
          <w:rFonts w:hint="eastAsia"/>
          <w:color w:val="000000"/>
          <w:sz w:val="28"/>
          <w:szCs w:val="28"/>
        </w:rPr>
        <w:outlineLvl w:val="1"/>
      </w:pPr>
      <w:r>
        <w:rPr>
          <w:color w:val="000000"/>
          <w:sz w:val="28"/>
          <w:szCs w:val="28"/>
        </w:rPr>
        <w:t xml:space="preserve">附件8</w:t>
      </w:r>
      <w:r>
        <w:rPr>
          <w:rFonts w:hint="eastAsia"/>
          <w:color w:val="000000"/>
          <w:sz w:val="28"/>
          <w:szCs w:val="28"/>
        </w:rPr>
      </w:r>
      <w:r/>
    </w:p>
    <w:p>
      <w:pPr>
        <w:pStyle w:val="716"/>
        <w:jc w:val="center"/>
        <w:rPr>
          <w:color w:val="000000"/>
          <w:sz w:val="28"/>
          <w:szCs w:val="28"/>
        </w:rPr>
      </w:pPr>
      <w:r>
        <w:rPr>
          <w:b/>
          <w:bCs/>
          <w:color w:val="000000"/>
          <w:sz w:val="28"/>
          <w:szCs w:val="28"/>
        </w:rPr>
        <w:t xml:space="preserve">分项报价明细表（货物类）</w:t>
      </w:r>
      <w:r>
        <w:rPr>
          <w:color w:val="000000"/>
          <w:sz w:val="28"/>
          <w:szCs w:val="28"/>
        </w:rPr>
      </w:r>
      <w:r/>
    </w:p>
    <w:p>
      <w:pPr>
        <w:pStyle w:val="716"/>
        <w:rPr>
          <w:color w:val="000000"/>
          <w:sz w:val="28"/>
          <w:szCs w:val="28"/>
        </w:rPr>
      </w:pPr>
      <w:r>
        <w:rPr>
          <w:color w:val="000000"/>
          <w:sz w:val="28"/>
          <w:szCs w:val="28"/>
        </w:rPr>
        <w:t xml:space="preserve">投标人（盖章）：</w:t>
      </w:r>
      <w:r>
        <w:rPr>
          <w:color w:val="000000"/>
          <w:sz w:val="28"/>
          <w:szCs w:val="28"/>
        </w:rPr>
      </w:r>
      <w:r/>
    </w:p>
    <w:tbl>
      <w:tblPr>
        <w:tblW w:w="9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trHeight w:val="624" w:hRule="exact"/>
        </w:trPr>
        <w:tc>
          <w:tcPr>
            <w:tcW w:w="1037" w:type="dxa"/>
            <w:vAlign w:val="center"/>
            <w:textDirection w:val="lrTb"/>
            <w:noWrap w:val="false"/>
          </w:tcPr>
          <w:p>
            <w:pPr>
              <w:pStyle w:val="716"/>
              <w:jc w:val="center"/>
              <w:rPr>
                <w:b/>
                <w:color w:val="000000"/>
                <w:sz w:val="28"/>
                <w:szCs w:val="28"/>
              </w:rPr>
            </w:pPr>
            <w:r>
              <w:rPr>
                <w:b/>
                <w:color w:val="000000"/>
                <w:sz w:val="28"/>
                <w:szCs w:val="28"/>
              </w:rPr>
              <w:t xml:space="preserve">序号</w:t>
            </w:r>
            <w:r>
              <w:rPr>
                <w:b/>
                <w:color w:val="000000"/>
                <w:sz w:val="28"/>
                <w:szCs w:val="28"/>
              </w:rPr>
            </w:r>
            <w:r/>
          </w:p>
        </w:tc>
        <w:tc>
          <w:tcPr>
            <w:tcW w:w="1340" w:type="dxa"/>
            <w:vAlign w:val="center"/>
            <w:textDirection w:val="lrTb"/>
            <w:noWrap w:val="false"/>
          </w:tcPr>
          <w:p>
            <w:pPr>
              <w:pStyle w:val="716"/>
              <w:jc w:val="center"/>
              <w:rPr>
                <w:b/>
                <w:color w:val="000000"/>
                <w:sz w:val="28"/>
                <w:szCs w:val="28"/>
              </w:rPr>
            </w:pPr>
            <w:r>
              <w:rPr>
                <w:b/>
                <w:color w:val="000000"/>
                <w:sz w:val="28"/>
                <w:szCs w:val="28"/>
              </w:rPr>
              <w:t xml:space="preserve">名称</w:t>
            </w:r>
            <w:r>
              <w:rPr>
                <w:b/>
                <w:color w:val="000000"/>
                <w:sz w:val="28"/>
                <w:szCs w:val="28"/>
              </w:rPr>
            </w:r>
            <w:r/>
          </w:p>
        </w:tc>
        <w:tc>
          <w:tcPr>
            <w:tcW w:w="1211" w:type="dxa"/>
            <w:vAlign w:val="center"/>
            <w:textDirection w:val="lrTb"/>
            <w:noWrap w:val="false"/>
          </w:tcPr>
          <w:p>
            <w:pPr>
              <w:pStyle w:val="716"/>
              <w:jc w:val="center"/>
              <w:rPr>
                <w:b/>
                <w:color w:val="000000"/>
                <w:sz w:val="28"/>
                <w:szCs w:val="28"/>
              </w:rPr>
            </w:pPr>
            <w:r>
              <w:rPr>
                <w:b/>
                <w:color w:val="000000"/>
                <w:sz w:val="28"/>
                <w:szCs w:val="28"/>
              </w:rPr>
              <w:t xml:space="preserve">规格型号</w:t>
            </w:r>
            <w:r>
              <w:rPr>
                <w:b/>
                <w:color w:val="000000"/>
                <w:sz w:val="28"/>
                <w:szCs w:val="28"/>
              </w:rPr>
            </w:r>
            <w:r/>
          </w:p>
        </w:tc>
        <w:tc>
          <w:tcPr>
            <w:tcW w:w="1276" w:type="dxa"/>
            <w:vAlign w:val="center"/>
            <w:textDirection w:val="lrTb"/>
            <w:noWrap w:val="false"/>
          </w:tcPr>
          <w:p>
            <w:pPr>
              <w:pStyle w:val="716"/>
              <w:jc w:val="center"/>
              <w:rPr>
                <w:b/>
                <w:color w:val="000000"/>
                <w:sz w:val="28"/>
                <w:szCs w:val="28"/>
              </w:rPr>
            </w:pPr>
            <w:r>
              <w:rPr>
                <w:b/>
                <w:color w:val="000000"/>
                <w:sz w:val="28"/>
                <w:szCs w:val="28"/>
              </w:rPr>
              <w:t xml:space="preserve">品牌</w:t>
            </w:r>
            <w:r>
              <w:rPr>
                <w:b/>
                <w:color w:val="000000"/>
                <w:sz w:val="28"/>
                <w:szCs w:val="28"/>
              </w:rPr>
            </w:r>
            <w:r/>
          </w:p>
        </w:tc>
        <w:tc>
          <w:tcPr>
            <w:tcW w:w="992" w:type="dxa"/>
            <w:vAlign w:val="center"/>
            <w:textDirection w:val="lrTb"/>
            <w:noWrap w:val="false"/>
          </w:tcPr>
          <w:p>
            <w:pPr>
              <w:pStyle w:val="716"/>
              <w:jc w:val="center"/>
              <w:rPr>
                <w:b/>
                <w:color w:val="000000"/>
                <w:sz w:val="28"/>
                <w:szCs w:val="28"/>
              </w:rPr>
            </w:pPr>
            <w:r>
              <w:rPr>
                <w:b/>
                <w:color w:val="000000"/>
                <w:sz w:val="28"/>
                <w:szCs w:val="28"/>
              </w:rPr>
              <w:t xml:space="preserve">单位</w:t>
            </w:r>
            <w:r>
              <w:rPr>
                <w:b/>
                <w:color w:val="000000"/>
                <w:sz w:val="28"/>
                <w:szCs w:val="28"/>
              </w:rPr>
            </w:r>
            <w:r/>
          </w:p>
        </w:tc>
        <w:tc>
          <w:tcPr>
            <w:tcW w:w="851" w:type="dxa"/>
            <w:vAlign w:val="center"/>
            <w:textDirection w:val="lrTb"/>
            <w:noWrap w:val="false"/>
          </w:tcPr>
          <w:p>
            <w:pPr>
              <w:pStyle w:val="716"/>
              <w:jc w:val="center"/>
              <w:rPr>
                <w:b/>
                <w:color w:val="000000"/>
                <w:sz w:val="28"/>
                <w:szCs w:val="28"/>
              </w:rPr>
            </w:pPr>
            <w:r>
              <w:rPr>
                <w:b/>
                <w:color w:val="000000"/>
                <w:sz w:val="28"/>
                <w:szCs w:val="28"/>
              </w:rPr>
              <w:t xml:space="preserve">数量</w:t>
            </w:r>
            <w:r>
              <w:rPr>
                <w:b/>
                <w:color w:val="000000"/>
                <w:sz w:val="28"/>
                <w:szCs w:val="28"/>
              </w:rPr>
            </w:r>
            <w:r/>
          </w:p>
        </w:tc>
        <w:tc>
          <w:tcPr>
            <w:tcW w:w="850" w:type="dxa"/>
            <w:vAlign w:val="center"/>
            <w:textDirection w:val="lrTb"/>
            <w:noWrap w:val="false"/>
          </w:tcPr>
          <w:p>
            <w:pPr>
              <w:pStyle w:val="716"/>
              <w:jc w:val="center"/>
              <w:rPr>
                <w:b/>
                <w:color w:val="000000"/>
                <w:sz w:val="28"/>
                <w:szCs w:val="28"/>
              </w:rPr>
            </w:pPr>
            <w:r>
              <w:rPr>
                <w:b/>
                <w:color w:val="000000"/>
                <w:sz w:val="28"/>
                <w:szCs w:val="28"/>
              </w:rPr>
              <w:t xml:space="preserve">单价</w:t>
            </w:r>
            <w:r>
              <w:rPr>
                <w:b/>
                <w:color w:val="000000"/>
                <w:sz w:val="28"/>
                <w:szCs w:val="28"/>
              </w:rPr>
            </w:r>
            <w:r/>
          </w:p>
        </w:tc>
        <w:tc>
          <w:tcPr>
            <w:tcW w:w="851" w:type="dxa"/>
            <w:vAlign w:val="center"/>
            <w:textDirection w:val="lrTb"/>
            <w:noWrap w:val="false"/>
          </w:tcPr>
          <w:p>
            <w:pPr>
              <w:pStyle w:val="716"/>
              <w:jc w:val="center"/>
              <w:rPr>
                <w:b/>
                <w:color w:val="000000"/>
                <w:sz w:val="28"/>
                <w:szCs w:val="28"/>
              </w:rPr>
            </w:pPr>
            <w:r>
              <w:rPr>
                <w:b/>
                <w:color w:val="000000"/>
                <w:sz w:val="28"/>
                <w:szCs w:val="28"/>
              </w:rPr>
              <w:t xml:space="preserve">金额</w:t>
            </w:r>
            <w:r>
              <w:rPr>
                <w:b/>
                <w:color w:val="000000"/>
                <w:sz w:val="28"/>
                <w:szCs w:val="28"/>
              </w:rPr>
            </w:r>
            <w:r/>
          </w:p>
        </w:tc>
        <w:tc>
          <w:tcPr>
            <w:tcW w:w="1403" w:type="dxa"/>
            <w:vAlign w:val="center"/>
            <w:textDirection w:val="lrTb"/>
            <w:noWrap w:val="false"/>
          </w:tcPr>
          <w:p>
            <w:pPr>
              <w:pStyle w:val="716"/>
              <w:ind w:firstLine="141"/>
              <w:jc w:val="center"/>
              <w:rPr>
                <w:b/>
                <w:color w:val="000000"/>
                <w:sz w:val="28"/>
                <w:szCs w:val="28"/>
              </w:rPr>
            </w:pPr>
            <w:r>
              <w:rPr>
                <w:b/>
                <w:color w:val="000000"/>
                <w:sz w:val="28"/>
                <w:szCs w:val="28"/>
              </w:rPr>
              <w:t xml:space="preserve">备注</w:t>
            </w:r>
            <w:r>
              <w:rPr>
                <w:b/>
                <w:color w:val="000000"/>
                <w:sz w:val="28"/>
                <w:szCs w:val="28"/>
              </w:rPr>
            </w:r>
            <w:r/>
          </w:p>
        </w:tc>
      </w:tr>
      <w:tr>
        <w:trPr>
          <w:cantSplit/>
          <w:trHeight w:val="479"/>
        </w:trPr>
        <w:tc>
          <w:tcPr>
            <w:tcW w:w="1037" w:type="dxa"/>
            <w:vAlign w:val="center"/>
            <w:textDirection w:val="lrTb"/>
            <w:noWrap w:val="false"/>
          </w:tcPr>
          <w:p>
            <w:pPr>
              <w:pStyle w:val="716"/>
              <w:jc w:val="center"/>
              <w:rPr>
                <w:color w:val="000000"/>
                <w:sz w:val="28"/>
                <w:szCs w:val="28"/>
              </w:rPr>
            </w:pPr>
            <w:r>
              <w:rPr>
                <w:color w:val="000000"/>
                <w:sz w:val="28"/>
                <w:szCs w:val="28"/>
              </w:rPr>
              <w:t xml:space="preserve">1</w:t>
            </w:r>
            <w:r>
              <w:rPr>
                <w:color w:val="000000"/>
                <w:sz w:val="28"/>
                <w:szCs w:val="28"/>
              </w:rPr>
            </w:r>
            <w:r/>
          </w:p>
        </w:tc>
        <w:tc>
          <w:tcPr>
            <w:tcW w:w="1340" w:type="dxa"/>
            <w:vAlign w:val="center"/>
            <w:textDirection w:val="lrTb"/>
            <w:noWrap w:val="false"/>
          </w:tcPr>
          <w:p>
            <w:pPr>
              <w:pStyle w:val="716"/>
              <w:jc w:val="center"/>
              <w:rPr>
                <w:color w:val="000000"/>
                <w:sz w:val="28"/>
                <w:szCs w:val="28"/>
              </w:rPr>
            </w:pPr>
            <w:r>
              <w:rPr>
                <w:color w:val="000000"/>
                <w:sz w:val="28"/>
                <w:szCs w:val="28"/>
              </w:rPr>
            </w:r>
            <w:r/>
          </w:p>
        </w:tc>
        <w:tc>
          <w:tcPr>
            <w:tcW w:w="1211"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992"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850"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403"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02"/>
        </w:trPr>
        <w:tc>
          <w:tcPr>
            <w:tcW w:w="1037" w:type="dxa"/>
            <w:vAlign w:val="center"/>
            <w:textDirection w:val="lrTb"/>
            <w:noWrap w:val="false"/>
          </w:tcPr>
          <w:p>
            <w:pPr>
              <w:pStyle w:val="716"/>
              <w:jc w:val="center"/>
              <w:rPr>
                <w:color w:val="000000"/>
                <w:sz w:val="28"/>
                <w:szCs w:val="28"/>
              </w:rPr>
            </w:pPr>
            <w:r>
              <w:rPr>
                <w:color w:val="000000"/>
                <w:sz w:val="28"/>
                <w:szCs w:val="28"/>
              </w:rPr>
              <w:t xml:space="preserve">2</w:t>
            </w:r>
            <w:r>
              <w:rPr>
                <w:color w:val="000000"/>
                <w:sz w:val="28"/>
                <w:szCs w:val="28"/>
              </w:rPr>
            </w:r>
            <w:r/>
          </w:p>
        </w:tc>
        <w:tc>
          <w:tcPr>
            <w:tcW w:w="1340" w:type="dxa"/>
            <w:vAlign w:val="center"/>
            <w:textDirection w:val="lrTb"/>
            <w:noWrap w:val="false"/>
          </w:tcPr>
          <w:p>
            <w:pPr>
              <w:pStyle w:val="716"/>
              <w:jc w:val="center"/>
              <w:rPr>
                <w:color w:val="000000"/>
                <w:sz w:val="28"/>
                <w:szCs w:val="28"/>
              </w:rPr>
            </w:pPr>
            <w:r>
              <w:rPr>
                <w:color w:val="000000"/>
                <w:sz w:val="28"/>
                <w:szCs w:val="28"/>
              </w:rPr>
            </w:r>
            <w:r/>
          </w:p>
        </w:tc>
        <w:tc>
          <w:tcPr>
            <w:tcW w:w="1211"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992"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850"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403"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13"/>
        </w:trPr>
        <w:tc>
          <w:tcPr>
            <w:tcW w:w="1037" w:type="dxa"/>
            <w:vAlign w:val="center"/>
            <w:textDirection w:val="lrTb"/>
            <w:noWrap w:val="false"/>
          </w:tcPr>
          <w:p>
            <w:pPr>
              <w:pStyle w:val="716"/>
              <w:jc w:val="center"/>
              <w:rPr>
                <w:color w:val="000000"/>
                <w:sz w:val="28"/>
                <w:szCs w:val="28"/>
              </w:rPr>
            </w:pPr>
            <w:r>
              <w:rPr>
                <w:color w:val="000000"/>
                <w:sz w:val="28"/>
                <w:szCs w:val="28"/>
              </w:rPr>
              <w:t xml:space="preserve">3</w:t>
            </w:r>
            <w:r>
              <w:rPr>
                <w:color w:val="000000"/>
                <w:sz w:val="28"/>
                <w:szCs w:val="28"/>
              </w:rPr>
            </w:r>
            <w:r/>
          </w:p>
        </w:tc>
        <w:tc>
          <w:tcPr>
            <w:tcW w:w="1340" w:type="dxa"/>
            <w:vAlign w:val="center"/>
            <w:textDirection w:val="lrTb"/>
            <w:noWrap w:val="false"/>
          </w:tcPr>
          <w:p>
            <w:pPr>
              <w:pStyle w:val="716"/>
              <w:jc w:val="center"/>
              <w:rPr>
                <w:color w:val="000000"/>
                <w:sz w:val="28"/>
                <w:szCs w:val="28"/>
              </w:rPr>
            </w:pPr>
            <w:r>
              <w:rPr>
                <w:color w:val="000000"/>
                <w:sz w:val="28"/>
                <w:szCs w:val="28"/>
              </w:rPr>
            </w:r>
            <w:r/>
          </w:p>
        </w:tc>
        <w:tc>
          <w:tcPr>
            <w:tcW w:w="1211"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992"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850"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403"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13"/>
        </w:trPr>
        <w:tc>
          <w:tcPr>
            <w:tcW w:w="1037" w:type="dxa"/>
            <w:vAlign w:val="center"/>
            <w:textDirection w:val="lrTb"/>
            <w:noWrap w:val="false"/>
          </w:tcPr>
          <w:p>
            <w:pPr>
              <w:pStyle w:val="716"/>
              <w:jc w:val="center"/>
              <w:rPr>
                <w:color w:val="000000"/>
                <w:sz w:val="28"/>
                <w:szCs w:val="28"/>
              </w:rPr>
            </w:pPr>
            <w:r>
              <w:rPr>
                <w:color w:val="000000"/>
                <w:sz w:val="28"/>
                <w:szCs w:val="28"/>
              </w:rPr>
              <w:t xml:space="preserve">4</w:t>
            </w:r>
            <w:r>
              <w:rPr>
                <w:color w:val="000000"/>
                <w:sz w:val="28"/>
                <w:szCs w:val="28"/>
              </w:rPr>
            </w:r>
            <w:r/>
          </w:p>
        </w:tc>
        <w:tc>
          <w:tcPr>
            <w:tcW w:w="1340" w:type="dxa"/>
            <w:vAlign w:val="center"/>
            <w:textDirection w:val="lrTb"/>
            <w:noWrap w:val="false"/>
          </w:tcPr>
          <w:p>
            <w:pPr>
              <w:pStyle w:val="716"/>
              <w:jc w:val="center"/>
              <w:rPr>
                <w:color w:val="000000"/>
                <w:sz w:val="28"/>
                <w:szCs w:val="28"/>
              </w:rPr>
            </w:pPr>
            <w:r>
              <w:rPr>
                <w:color w:val="000000"/>
                <w:sz w:val="28"/>
                <w:szCs w:val="28"/>
              </w:rPr>
            </w:r>
            <w:r/>
          </w:p>
        </w:tc>
        <w:tc>
          <w:tcPr>
            <w:tcW w:w="1211"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992"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850"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403"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13"/>
        </w:trPr>
        <w:tc>
          <w:tcPr>
            <w:tcW w:w="1037" w:type="dxa"/>
            <w:vAlign w:val="center"/>
            <w:textDirection w:val="lrTb"/>
            <w:noWrap w:val="false"/>
          </w:tcPr>
          <w:p>
            <w:pPr>
              <w:pStyle w:val="716"/>
              <w:jc w:val="center"/>
              <w:rPr>
                <w:color w:val="000000"/>
                <w:sz w:val="28"/>
                <w:szCs w:val="28"/>
              </w:rPr>
            </w:pPr>
            <w:r>
              <w:rPr>
                <w:color w:val="000000"/>
                <w:sz w:val="28"/>
                <w:szCs w:val="28"/>
              </w:rPr>
            </w:r>
            <w:r/>
          </w:p>
        </w:tc>
        <w:tc>
          <w:tcPr>
            <w:tcW w:w="1340" w:type="dxa"/>
            <w:vAlign w:val="center"/>
            <w:textDirection w:val="lrTb"/>
            <w:noWrap w:val="false"/>
          </w:tcPr>
          <w:p>
            <w:pPr>
              <w:pStyle w:val="716"/>
              <w:jc w:val="center"/>
              <w:rPr>
                <w:color w:val="000000"/>
                <w:sz w:val="28"/>
                <w:szCs w:val="28"/>
              </w:rPr>
            </w:pPr>
            <w:r>
              <w:rPr>
                <w:color w:val="000000"/>
                <w:sz w:val="28"/>
                <w:szCs w:val="28"/>
              </w:rPr>
            </w:r>
            <w:r/>
          </w:p>
        </w:tc>
        <w:tc>
          <w:tcPr>
            <w:tcW w:w="1211"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992"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850"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403"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441"/>
        </w:trPr>
        <w:tc>
          <w:tcPr>
            <w:tcW w:w="1037" w:type="dxa"/>
            <w:vAlign w:val="center"/>
            <w:textDirection w:val="lrTb"/>
            <w:noWrap w:val="false"/>
          </w:tcPr>
          <w:p>
            <w:pPr>
              <w:pStyle w:val="716"/>
              <w:jc w:val="center"/>
              <w:rPr>
                <w:color w:val="000000"/>
                <w:sz w:val="28"/>
                <w:szCs w:val="28"/>
              </w:rPr>
            </w:pPr>
            <w:r>
              <w:rPr>
                <w:color w:val="000000"/>
                <w:sz w:val="28"/>
                <w:szCs w:val="28"/>
              </w:rPr>
              <w:t xml:space="preserve">合计</w:t>
            </w:r>
            <w:r>
              <w:rPr>
                <w:color w:val="000000"/>
                <w:sz w:val="28"/>
                <w:szCs w:val="28"/>
              </w:rPr>
            </w:r>
            <w:r/>
          </w:p>
        </w:tc>
        <w:tc>
          <w:tcPr>
            <w:gridSpan w:val="8"/>
            <w:tcW w:w="8774" w:type="dxa"/>
            <w:vAlign w:val="center"/>
            <w:textDirection w:val="lrTb"/>
            <w:noWrap w:val="false"/>
          </w:tcPr>
          <w:p>
            <w:pPr>
              <w:pStyle w:val="716"/>
              <w:jc w:val="center"/>
              <w:rPr>
                <w:color w:val="000000"/>
                <w:sz w:val="28"/>
                <w:szCs w:val="28"/>
              </w:rPr>
            </w:pPr>
            <w:r>
              <w:rPr>
                <w:color w:val="000000"/>
                <w:sz w:val="28"/>
                <w:szCs w:val="28"/>
              </w:rPr>
            </w:r>
            <w:r/>
          </w:p>
        </w:tc>
      </w:tr>
    </w:tbl>
    <w:p>
      <w:pPr>
        <w:pStyle w:val="716"/>
        <w:ind w:left="984" w:hanging="984"/>
        <w:rPr>
          <w:b/>
          <w:bCs/>
          <w:color w:val="000000"/>
          <w:sz w:val="28"/>
          <w:szCs w:val="28"/>
        </w:rPr>
      </w:pPr>
      <w:r>
        <w:rPr>
          <w:b/>
          <w:bCs/>
          <w:color w:val="000000"/>
          <w:sz w:val="28"/>
          <w:szCs w:val="28"/>
        </w:rPr>
      </w:r>
      <w:r/>
    </w:p>
    <w:p>
      <w:pPr>
        <w:pStyle w:val="716"/>
        <w:jc w:val="center"/>
        <w:rPr>
          <w:b/>
          <w:bCs/>
          <w:color w:val="000000"/>
          <w:sz w:val="28"/>
          <w:szCs w:val="28"/>
        </w:rPr>
      </w:pPr>
      <w:r>
        <w:rPr>
          <w:b/>
          <w:bCs/>
          <w:color w:val="000000"/>
          <w:sz w:val="28"/>
          <w:szCs w:val="28"/>
        </w:rPr>
        <w:t xml:space="preserve">分项报价明细表（服务类）</w:t>
      </w:r>
      <w:r>
        <w:rPr>
          <w:b/>
          <w:bCs/>
          <w:color w:val="000000"/>
          <w:sz w:val="28"/>
          <w:szCs w:val="28"/>
        </w:rPr>
      </w:r>
      <w:r/>
    </w:p>
    <w:p>
      <w:pPr>
        <w:pStyle w:val="716"/>
        <w:rPr>
          <w:color w:val="000000"/>
          <w:sz w:val="28"/>
          <w:szCs w:val="28"/>
        </w:rPr>
      </w:pPr>
      <w:r>
        <w:rPr>
          <w:color w:val="000000"/>
          <w:sz w:val="28"/>
          <w:szCs w:val="28"/>
        </w:rPr>
        <w:t xml:space="preserve">投标人（盖章）：</w:t>
      </w:r>
      <w:r>
        <w:rPr>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716"/>
              <w:jc w:val="center"/>
              <w:rPr>
                <w:b/>
                <w:color w:val="000000"/>
                <w:sz w:val="28"/>
                <w:szCs w:val="28"/>
              </w:rPr>
            </w:pPr>
            <w:r>
              <w:rPr>
                <w:b/>
                <w:color w:val="000000"/>
                <w:sz w:val="28"/>
                <w:szCs w:val="28"/>
              </w:rPr>
              <w:t xml:space="preserve">序号</w:t>
            </w:r>
            <w:r>
              <w:rPr>
                <w:b/>
                <w:color w:val="000000"/>
                <w:sz w:val="28"/>
                <w:szCs w:val="28"/>
              </w:rPr>
            </w:r>
            <w:r/>
          </w:p>
        </w:tc>
        <w:tc>
          <w:tcPr>
            <w:tcW w:w="1321" w:type="dxa"/>
            <w:vAlign w:val="center"/>
            <w:textDirection w:val="lrTb"/>
            <w:noWrap w:val="false"/>
          </w:tcPr>
          <w:p>
            <w:pPr>
              <w:pStyle w:val="716"/>
              <w:jc w:val="center"/>
              <w:rPr>
                <w:b/>
                <w:color w:val="000000"/>
                <w:sz w:val="28"/>
                <w:szCs w:val="28"/>
              </w:rPr>
            </w:pPr>
            <w:r>
              <w:rPr>
                <w:b/>
                <w:color w:val="000000"/>
                <w:sz w:val="28"/>
                <w:szCs w:val="28"/>
              </w:rPr>
              <w:t xml:space="preserve">名称</w:t>
            </w:r>
            <w:r>
              <w:rPr>
                <w:b/>
                <w:color w:val="000000"/>
                <w:sz w:val="28"/>
                <w:szCs w:val="28"/>
              </w:rPr>
            </w:r>
            <w:r/>
          </w:p>
        </w:tc>
        <w:tc>
          <w:tcPr>
            <w:tcW w:w="1417" w:type="dxa"/>
            <w:vAlign w:val="center"/>
            <w:textDirection w:val="lrTb"/>
            <w:noWrap w:val="false"/>
          </w:tcPr>
          <w:p>
            <w:pPr>
              <w:pStyle w:val="716"/>
              <w:jc w:val="center"/>
              <w:rPr>
                <w:b/>
                <w:color w:val="000000"/>
                <w:sz w:val="28"/>
                <w:szCs w:val="28"/>
              </w:rPr>
            </w:pPr>
            <w:r>
              <w:rPr>
                <w:b/>
                <w:color w:val="000000"/>
                <w:sz w:val="28"/>
                <w:szCs w:val="28"/>
              </w:rPr>
              <w:t xml:space="preserve">服务范围</w:t>
            </w:r>
            <w:r>
              <w:rPr>
                <w:b/>
                <w:color w:val="000000"/>
                <w:sz w:val="28"/>
                <w:szCs w:val="28"/>
              </w:rPr>
            </w:r>
            <w:r/>
          </w:p>
        </w:tc>
        <w:tc>
          <w:tcPr>
            <w:tcW w:w="1418" w:type="dxa"/>
            <w:vAlign w:val="center"/>
            <w:textDirection w:val="lrTb"/>
            <w:noWrap w:val="false"/>
          </w:tcPr>
          <w:p>
            <w:pPr>
              <w:pStyle w:val="716"/>
              <w:jc w:val="center"/>
              <w:rPr>
                <w:b/>
                <w:color w:val="000000"/>
                <w:sz w:val="28"/>
                <w:szCs w:val="28"/>
              </w:rPr>
            </w:pPr>
            <w:r>
              <w:rPr>
                <w:b/>
                <w:color w:val="000000"/>
                <w:sz w:val="28"/>
                <w:szCs w:val="28"/>
              </w:rPr>
              <w:t xml:space="preserve">服务要求</w:t>
            </w:r>
            <w:r>
              <w:rPr>
                <w:b/>
                <w:color w:val="000000"/>
                <w:sz w:val="28"/>
                <w:szCs w:val="28"/>
              </w:rPr>
            </w:r>
            <w:r/>
          </w:p>
        </w:tc>
        <w:tc>
          <w:tcPr>
            <w:tcW w:w="1275" w:type="dxa"/>
            <w:vAlign w:val="center"/>
            <w:textDirection w:val="lrTb"/>
            <w:noWrap w:val="false"/>
          </w:tcPr>
          <w:p>
            <w:pPr>
              <w:pStyle w:val="716"/>
              <w:jc w:val="center"/>
              <w:rPr>
                <w:b/>
                <w:color w:val="000000"/>
                <w:sz w:val="28"/>
                <w:szCs w:val="28"/>
              </w:rPr>
            </w:pPr>
            <w:r>
              <w:rPr>
                <w:b/>
                <w:color w:val="000000"/>
                <w:sz w:val="28"/>
                <w:szCs w:val="28"/>
              </w:rPr>
              <w:t xml:space="preserve">服务时间</w:t>
            </w:r>
            <w:r>
              <w:rPr>
                <w:b/>
                <w:color w:val="000000"/>
                <w:sz w:val="28"/>
                <w:szCs w:val="28"/>
              </w:rPr>
            </w:r>
            <w:r/>
          </w:p>
        </w:tc>
        <w:tc>
          <w:tcPr>
            <w:tcW w:w="1276" w:type="dxa"/>
            <w:vAlign w:val="center"/>
            <w:textDirection w:val="lrTb"/>
            <w:noWrap w:val="false"/>
          </w:tcPr>
          <w:p>
            <w:pPr>
              <w:pStyle w:val="716"/>
              <w:jc w:val="center"/>
              <w:rPr>
                <w:b/>
                <w:color w:val="000000"/>
                <w:sz w:val="28"/>
                <w:szCs w:val="28"/>
              </w:rPr>
            </w:pPr>
            <w:r>
              <w:rPr>
                <w:b/>
                <w:color w:val="000000"/>
                <w:sz w:val="28"/>
                <w:szCs w:val="28"/>
              </w:rPr>
              <w:t xml:space="preserve">服务标准</w:t>
            </w:r>
            <w:r>
              <w:rPr>
                <w:b/>
                <w:color w:val="000000"/>
                <w:sz w:val="28"/>
                <w:szCs w:val="28"/>
              </w:rPr>
            </w:r>
            <w:r/>
          </w:p>
        </w:tc>
        <w:tc>
          <w:tcPr>
            <w:tcW w:w="851" w:type="dxa"/>
            <w:vAlign w:val="center"/>
            <w:textDirection w:val="lrTb"/>
            <w:noWrap w:val="false"/>
          </w:tcPr>
          <w:p>
            <w:pPr>
              <w:pStyle w:val="716"/>
              <w:jc w:val="center"/>
              <w:rPr>
                <w:b/>
                <w:color w:val="000000"/>
                <w:sz w:val="28"/>
                <w:szCs w:val="28"/>
              </w:rPr>
            </w:pPr>
            <w:r>
              <w:rPr>
                <w:b/>
                <w:color w:val="000000"/>
                <w:sz w:val="28"/>
                <w:szCs w:val="28"/>
              </w:rPr>
              <w:t xml:space="preserve">金额</w:t>
            </w:r>
            <w:r>
              <w:rPr>
                <w:b/>
                <w:color w:val="000000"/>
                <w:sz w:val="28"/>
                <w:szCs w:val="28"/>
              </w:rPr>
            </w:r>
            <w:r/>
          </w:p>
        </w:tc>
        <w:tc>
          <w:tcPr>
            <w:tcW w:w="1151" w:type="dxa"/>
            <w:vAlign w:val="center"/>
            <w:textDirection w:val="lrTb"/>
            <w:noWrap w:val="false"/>
          </w:tcPr>
          <w:p>
            <w:pPr>
              <w:pStyle w:val="716"/>
              <w:ind w:firstLine="141"/>
              <w:jc w:val="center"/>
              <w:rPr>
                <w:b/>
                <w:color w:val="000000"/>
                <w:sz w:val="28"/>
                <w:szCs w:val="28"/>
              </w:rPr>
            </w:pPr>
            <w:r>
              <w:rPr>
                <w:b/>
                <w:color w:val="000000"/>
                <w:sz w:val="28"/>
                <w:szCs w:val="28"/>
              </w:rPr>
              <w:t xml:space="preserve">备注</w:t>
            </w:r>
            <w:r>
              <w:rPr>
                <w:b/>
                <w:color w:val="000000"/>
                <w:sz w:val="28"/>
                <w:szCs w:val="28"/>
              </w:rPr>
            </w:r>
            <w:r/>
          </w:p>
        </w:tc>
      </w:tr>
      <w:tr>
        <w:trPr>
          <w:cantSplit/>
          <w:trHeight w:val="479"/>
        </w:trPr>
        <w:tc>
          <w:tcPr>
            <w:tcW w:w="971" w:type="dxa"/>
            <w:vAlign w:val="center"/>
            <w:textDirection w:val="lrTb"/>
            <w:noWrap w:val="false"/>
          </w:tcPr>
          <w:p>
            <w:pPr>
              <w:pStyle w:val="716"/>
              <w:jc w:val="center"/>
              <w:rPr>
                <w:color w:val="000000"/>
                <w:sz w:val="28"/>
                <w:szCs w:val="28"/>
              </w:rPr>
            </w:pPr>
            <w:r>
              <w:rPr>
                <w:color w:val="000000"/>
                <w:sz w:val="28"/>
                <w:szCs w:val="28"/>
              </w:rPr>
              <w:t xml:space="preserve">1</w:t>
            </w:r>
            <w:r>
              <w:rPr>
                <w:color w:val="000000"/>
                <w:sz w:val="28"/>
                <w:szCs w:val="28"/>
              </w:rPr>
            </w:r>
            <w:r/>
          </w:p>
        </w:tc>
        <w:tc>
          <w:tcPr>
            <w:tcW w:w="1321" w:type="dxa"/>
            <w:vAlign w:val="center"/>
            <w:textDirection w:val="lrTb"/>
            <w:noWrap w:val="false"/>
          </w:tcPr>
          <w:p>
            <w:pPr>
              <w:pStyle w:val="716"/>
              <w:jc w:val="center"/>
              <w:rPr>
                <w:color w:val="000000"/>
                <w:sz w:val="28"/>
                <w:szCs w:val="28"/>
              </w:rPr>
            </w:pPr>
            <w:r>
              <w:rPr>
                <w:color w:val="000000"/>
                <w:sz w:val="28"/>
                <w:szCs w:val="28"/>
              </w:rPr>
            </w:r>
            <w:r/>
          </w:p>
        </w:tc>
        <w:tc>
          <w:tcPr>
            <w:tcW w:w="1417" w:type="dxa"/>
            <w:vAlign w:val="center"/>
            <w:textDirection w:val="lrTb"/>
            <w:noWrap w:val="false"/>
          </w:tcPr>
          <w:p>
            <w:pPr>
              <w:pStyle w:val="716"/>
              <w:jc w:val="center"/>
              <w:rPr>
                <w:color w:val="000000"/>
                <w:sz w:val="28"/>
                <w:szCs w:val="28"/>
              </w:rPr>
            </w:pPr>
            <w:r>
              <w:rPr>
                <w:color w:val="000000"/>
                <w:sz w:val="28"/>
                <w:szCs w:val="28"/>
              </w:rPr>
            </w:r>
            <w:r/>
          </w:p>
        </w:tc>
        <w:tc>
          <w:tcPr>
            <w:tcW w:w="1418" w:type="dxa"/>
            <w:vAlign w:val="center"/>
            <w:textDirection w:val="lrTb"/>
            <w:noWrap w:val="false"/>
          </w:tcPr>
          <w:p>
            <w:pPr>
              <w:pStyle w:val="716"/>
              <w:jc w:val="center"/>
              <w:rPr>
                <w:color w:val="000000"/>
                <w:sz w:val="28"/>
                <w:szCs w:val="28"/>
              </w:rPr>
            </w:pPr>
            <w:r>
              <w:rPr>
                <w:color w:val="000000"/>
                <w:sz w:val="28"/>
                <w:szCs w:val="28"/>
              </w:rPr>
            </w:r>
            <w:r/>
          </w:p>
        </w:tc>
        <w:tc>
          <w:tcPr>
            <w:tcW w:w="1275"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151"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02"/>
        </w:trPr>
        <w:tc>
          <w:tcPr>
            <w:tcW w:w="971" w:type="dxa"/>
            <w:vAlign w:val="center"/>
            <w:textDirection w:val="lrTb"/>
            <w:noWrap w:val="false"/>
          </w:tcPr>
          <w:p>
            <w:pPr>
              <w:pStyle w:val="716"/>
              <w:jc w:val="center"/>
              <w:rPr>
                <w:color w:val="000000"/>
                <w:sz w:val="28"/>
                <w:szCs w:val="28"/>
              </w:rPr>
            </w:pPr>
            <w:r>
              <w:rPr>
                <w:color w:val="000000"/>
                <w:sz w:val="28"/>
                <w:szCs w:val="28"/>
              </w:rPr>
              <w:t xml:space="preserve">2</w:t>
            </w:r>
            <w:r>
              <w:rPr>
                <w:color w:val="000000"/>
                <w:sz w:val="28"/>
                <w:szCs w:val="28"/>
              </w:rPr>
            </w:r>
            <w:r/>
          </w:p>
        </w:tc>
        <w:tc>
          <w:tcPr>
            <w:tcW w:w="1321" w:type="dxa"/>
            <w:vAlign w:val="center"/>
            <w:textDirection w:val="lrTb"/>
            <w:noWrap w:val="false"/>
          </w:tcPr>
          <w:p>
            <w:pPr>
              <w:pStyle w:val="716"/>
              <w:jc w:val="center"/>
              <w:rPr>
                <w:color w:val="000000"/>
                <w:sz w:val="28"/>
                <w:szCs w:val="28"/>
              </w:rPr>
            </w:pPr>
            <w:r>
              <w:rPr>
                <w:color w:val="000000"/>
                <w:sz w:val="28"/>
                <w:szCs w:val="28"/>
              </w:rPr>
            </w:r>
            <w:r/>
          </w:p>
        </w:tc>
        <w:tc>
          <w:tcPr>
            <w:tcW w:w="1417" w:type="dxa"/>
            <w:vAlign w:val="center"/>
            <w:textDirection w:val="lrTb"/>
            <w:noWrap w:val="false"/>
          </w:tcPr>
          <w:p>
            <w:pPr>
              <w:pStyle w:val="716"/>
              <w:jc w:val="center"/>
              <w:rPr>
                <w:color w:val="000000"/>
                <w:sz w:val="28"/>
                <w:szCs w:val="28"/>
              </w:rPr>
            </w:pPr>
            <w:r>
              <w:rPr>
                <w:color w:val="000000"/>
                <w:sz w:val="28"/>
                <w:szCs w:val="28"/>
              </w:rPr>
            </w:r>
            <w:r/>
          </w:p>
        </w:tc>
        <w:tc>
          <w:tcPr>
            <w:tcW w:w="1418" w:type="dxa"/>
            <w:vAlign w:val="center"/>
            <w:textDirection w:val="lrTb"/>
            <w:noWrap w:val="false"/>
          </w:tcPr>
          <w:p>
            <w:pPr>
              <w:pStyle w:val="716"/>
              <w:jc w:val="center"/>
              <w:rPr>
                <w:color w:val="000000"/>
                <w:sz w:val="28"/>
                <w:szCs w:val="28"/>
              </w:rPr>
            </w:pPr>
            <w:r>
              <w:rPr>
                <w:color w:val="000000"/>
                <w:sz w:val="28"/>
                <w:szCs w:val="28"/>
              </w:rPr>
            </w:r>
            <w:r/>
          </w:p>
        </w:tc>
        <w:tc>
          <w:tcPr>
            <w:tcW w:w="1275"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151"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13"/>
        </w:trPr>
        <w:tc>
          <w:tcPr>
            <w:tcW w:w="971" w:type="dxa"/>
            <w:vAlign w:val="center"/>
            <w:textDirection w:val="lrTb"/>
            <w:noWrap w:val="false"/>
          </w:tcPr>
          <w:p>
            <w:pPr>
              <w:pStyle w:val="716"/>
              <w:jc w:val="center"/>
              <w:rPr>
                <w:color w:val="000000"/>
                <w:sz w:val="28"/>
                <w:szCs w:val="28"/>
              </w:rPr>
            </w:pPr>
            <w:r>
              <w:rPr>
                <w:color w:val="000000"/>
                <w:sz w:val="28"/>
                <w:szCs w:val="28"/>
              </w:rPr>
              <w:t xml:space="preserve">3</w:t>
            </w:r>
            <w:r>
              <w:rPr>
                <w:color w:val="000000"/>
                <w:sz w:val="28"/>
                <w:szCs w:val="28"/>
              </w:rPr>
            </w:r>
            <w:r/>
          </w:p>
        </w:tc>
        <w:tc>
          <w:tcPr>
            <w:tcW w:w="1321" w:type="dxa"/>
            <w:vAlign w:val="center"/>
            <w:textDirection w:val="lrTb"/>
            <w:noWrap w:val="false"/>
          </w:tcPr>
          <w:p>
            <w:pPr>
              <w:pStyle w:val="716"/>
              <w:jc w:val="center"/>
              <w:rPr>
                <w:color w:val="000000"/>
                <w:sz w:val="28"/>
                <w:szCs w:val="28"/>
              </w:rPr>
            </w:pPr>
            <w:r>
              <w:rPr>
                <w:color w:val="000000"/>
                <w:sz w:val="28"/>
                <w:szCs w:val="28"/>
              </w:rPr>
            </w:r>
            <w:r/>
          </w:p>
        </w:tc>
        <w:tc>
          <w:tcPr>
            <w:tcW w:w="1417" w:type="dxa"/>
            <w:vAlign w:val="center"/>
            <w:textDirection w:val="lrTb"/>
            <w:noWrap w:val="false"/>
          </w:tcPr>
          <w:p>
            <w:pPr>
              <w:pStyle w:val="716"/>
              <w:jc w:val="center"/>
              <w:rPr>
                <w:color w:val="000000"/>
                <w:sz w:val="28"/>
                <w:szCs w:val="28"/>
              </w:rPr>
            </w:pPr>
            <w:r>
              <w:rPr>
                <w:color w:val="000000"/>
                <w:sz w:val="28"/>
                <w:szCs w:val="28"/>
              </w:rPr>
            </w:r>
            <w:r/>
          </w:p>
        </w:tc>
        <w:tc>
          <w:tcPr>
            <w:tcW w:w="1418" w:type="dxa"/>
            <w:vAlign w:val="center"/>
            <w:textDirection w:val="lrTb"/>
            <w:noWrap w:val="false"/>
          </w:tcPr>
          <w:p>
            <w:pPr>
              <w:pStyle w:val="716"/>
              <w:jc w:val="center"/>
              <w:rPr>
                <w:color w:val="000000"/>
                <w:sz w:val="28"/>
                <w:szCs w:val="28"/>
              </w:rPr>
            </w:pPr>
            <w:r>
              <w:rPr>
                <w:color w:val="000000"/>
                <w:sz w:val="28"/>
                <w:szCs w:val="28"/>
              </w:rPr>
            </w:r>
            <w:r/>
          </w:p>
        </w:tc>
        <w:tc>
          <w:tcPr>
            <w:tcW w:w="1275"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151"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13"/>
        </w:trPr>
        <w:tc>
          <w:tcPr>
            <w:tcW w:w="971" w:type="dxa"/>
            <w:vAlign w:val="center"/>
            <w:textDirection w:val="lrTb"/>
            <w:noWrap w:val="false"/>
          </w:tcPr>
          <w:p>
            <w:pPr>
              <w:pStyle w:val="716"/>
              <w:jc w:val="center"/>
              <w:rPr>
                <w:color w:val="000000"/>
                <w:sz w:val="28"/>
                <w:szCs w:val="28"/>
              </w:rPr>
            </w:pPr>
            <w:r>
              <w:rPr>
                <w:color w:val="000000"/>
                <w:sz w:val="28"/>
                <w:szCs w:val="28"/>
              </w:rPr>
              <w:t xml:space="preserve">4</w:t>
            </w:r>
            <w:r>
              <w:rPr>
                <w:color w:val="000000"/>
                <w:sz w:val="28"/>
                <w:szCs w:val="28"/>
              </w:rPr>
            </w:r>
            <w:r/>
          </w:p>
        </w:tc>
        <w:tc>
          <w:tcPr>
            <w:tcW w:w="1321" w:type="dxa"/>
            <w:vAlign w:val="center"/>
            <w:textDirection w:val="lrTb"/>
            <w:noWrap w:val="false"/>
          </w:tcPr>
          <w:p>
            <w:pPr>
              <w:pStyle w:val="716"/>
              <w:jc w:val="center"/>
              <w:rPr>
                <w:color w:val="000000"/>
                <w:sz w:val="28"/>
                <w:szCs w:val="28"/>
              </w:rPr>
            </w:pPr>
            <w:r>
              <w:rPr>
                <w:color w:val="000000"/>
                <w:sz w:val="28"/>
                <w:szCs w:val="28"/>
              </w:rPr>
            </w:r>
            <w:r/>
          </w:p>
        </w:tc>
        <w:tc>
          <w:tcPr>
            <w:tcW w:w="1417" w:type="dxa"/>
            <w:vAlign w:val="center"/>
            <w:textDirection w:val="lrTb"/>
            <w:noWrap w:val="false"/>
          </w:tcPr>
          <w:p>
            <w:pPr>
              <w:pStyle w:val="716"/>
              <w:jc w:val="center"/>
              <w:rPr>
                <w:color w:val="000000"/>
                <w:sz w:val="28"/>
                <w:szCs w:val="28"/>
              </w:rPr>
            </w:pPr>
            <w:r>
              <w:rPr>
                <w:color w:val="000000"/>
                <w:sz w:val="28"/>
                <w:szCs w:val="28"/>
              </w:rPr>
            </w:r>
            <w:r/>
          </w:p>
        </w:tc>
        <w:tc>
          <w:tcPr>
            <w:tcW w:w="1418" w:type="dxa"/>
            <w:vAlign w:val="center"/>
            <w:textDirection w:val="lrTb"/>
            <w:noWrap w:val="false"/>
          </w:tcPr>
          <w:p>
            <w:pPr>
              <w:pStyle w:val="716"/>
              <w:jc w:val="center"/>
              <w:rPr>
                <w:color w:val="000000"/>
                <w:sz w:val="28"/>
                <w:szCs w:val="28"/>
              </w:rPr>
            </w:pPr>
            <w:r>
              <w:rPr>
                <w:color w:val="000000"/>
                <w:sz w:val="28"/>
                <w:szCs w:val="28"/>
              </w:rPr>
            </w:r>
            <w:r/>
          </w:p>
        </w:tc>
        <w:tc>
          <w:tcPr>
            <w:tcW w:w="1275"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151"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513"/>
        </w:trPr>
        <w:tc>
          <w:tcPr>
            <w:tcW w:w="971" w:type="dxa"/>
            <w:vAlign w:val="center"/>
            <w:textDirection w:val="lrTb"/>
            <w:noWrap w:val="false"/>
          </w:tcPr>
          <w:p>
            <w:pPr>
              <w:pStyle w:val="716"/>
              <w:jc w:val="center"/>
              <w:rPr>
                <w:color w:val="000000"/>
                <w:sz w:val="28"/>
                <w:szCs w:val="28"/>
              </w:rPr>
            </w:pPr>
            <w:r>
              <w:rPr>
                <w:color w:val="000000"/>
                <w:sz w:val="28"/>
                <w:szCs w:val="28"/>
              </w:rPr>
            </w:r>
            <w:r/>
          </w:p>
        </w:tc>
        <w:tc>
          <w:tcPr>
            <w:tcW w:w="1321" w:type="dxa"/>
            <w:vAlign w:val="center"/>
            <w:textDirection w:val="lrTb"/>
            <w:noWrap w:val="false"/>
          </w:tcPr>
          <w:p>
            <w:pPr>
              <w:pStyle w:val="716"/>
              <w:jc w:val="center"/>
              <w:rPr>
                <w:color w:val="000000"/>
                <w:sz w:val="28"/>
                <w:szCs w:val="28"/>
              </w:rPr>
            </w:pPr>
            <w:r>
              <w:rPr>
                <w:color w:val="000000"/>
                <w:sz w:val="28"/>
                <w:szCs w:val="28"/>
              </w:rPr>
            </w:r>
            <w:r/>
          </w:p>
        </w:tc>
        <w:tc>
          <w:tcPr>
            <w:tcW w:w="1417" w:type="dxa"/>
            <w:vAlign w:val="center"/>
            <w:textDirection w:val="lrTb"/>
            <w:noWrap w:val="false"/>
          </w:tcPr>
          <w:p>
            <w:pPr>
              <w:pStyle w:val="716"/>
              <w:jc w:val="center"/>
              <w:rPr>
                <w:color w:val="000000"/>
                <w:sz w:val="28"/>
                <w:szCs w:val="28"/>
              </w:rPr>
            </w:pPr>
            <w:r>
              <w:rPr>
                <w:color w:val="000000"/>
                <w:sz w:val="28"/>
                <w:szCs w:val="28"/>
              </w:rPr>
            </w:r>
            <w:r/>
          </w:p>
        </w:tc>
        <w:tc>
          <w:tcPr>
            <w:tcW w:w="1418" w:type="dxa"/>
            <w:vAlign w:val="center"/>
            <w:textDirection w:val="lrTb"/>
            <w:noWrap w:val="false"/>
          </w:tcPr>
          <w:p>
            <w:pPr>
              <w:pStyle w:val="716"/>
              <w:jc w:val="center"/>
              <w:rPr>
                <w:color w:val="000000"/>
                <w:sz w:val="28"/>
                <w:szCs w:val="28"/>
              </w:rPr>
            </w:pPr>
            <w:r>
              <w:rPr>
                <w:color w:val="000000"/>
                <w:sz w:val="28"/>
                <w:szCs w:val="28"/>
              </w:rPr>
            </w:r>
            <w:r/>
          </w:p>
        </w:tc>
        <w:tc>
          <w:tcPr>
            <w:tcW w:w="1275" w:type="dxa"/>
            <w:vAlign w:val="center"/>
            <w:textDirection w:val="lrTb"/>
            <w:noWrap w:val="false"/>
          </w:tcPr>
          <w:p>
            <w:pPr>
              <w:pStyle w:val="716"/>
              <w:jc w:val="center"/>
              <w:rPr>
                <w:color w:val="000000"/>
                <w:sz w:val="28"/>
                <w:szCs w:val="28"/>
              </w:rPr>
            </w:pPr>
            <w:r>
              <w:rPr>
                <w:color w:val="000000"/>
                <w:sz w:val="28"/>
                <w:szCs w:val="28"/>
              </w:rPr>
            </w:r>
            <w:r/>
          </w:p>
        </w:tc>
        <w:tc>
          <w:tcPr>
            <w:tcW w:w="1276" w:type="dxa"/>
            <w:vAlign w:val="center"/>
            <w:textDirection w:val="lrTb"/>
            <w:noWrap w:val="false"/>
          </w:tcPr>
          <w:p>
            <w:pPr>
              <w:pStyle w:val="716"/>
              <w:jc w:val="center"/>
              <w:rPr>
                <w:color w:val="000000"/>
                <w:sz w:val="28"/>
                <w:szCs w:val="28"/>
              </w:rPr>
            </w:pPr>
            <w:r>
              <w:rPr>
                <w:color w:val="000000"/>
                <w:sz w:val="28"/>
                <w:szCs w:val="28"/>
              </w:rPr>
            </w:r>
            <w:r/>
          </w:p>
        </w:tc>
        <w:tc>
          <w:tcPr>
            <w:tcW w:w="851" w:type="dxa"/>
            <w:vAlign w:val="center"/>
            <w:textDirection w:val="lrTb"/>
            <w:noWrap w:val="false"/>
          </w:tcPr>
          <w:p>
            <w:pPr>
              <w:pStyle w:val="716"/>
              <w:jc w:val="center"/>
              <w:rPr>
                <w:color w:val="000000"/>
                <w:sz w:val="28"/>
                <w:szCs w:val="28"/>
              </w:rPr>
            </w:pPr>
            <w:r>
              <w:rPr>
                <w:color w:val="000000"/>
                <w:sz w:val="28"/>
                <w:szCs w:val="28"/>
              </w:rPr>
            </w:r>
            <w:r/>
          </w:p>
        </w:tc>
        <w:tc>
          <w:tcPr>
            <w:tcW w:w="1151" w:type="dxa"/>
            <w:vAlign w:val="center"/>
            <w:textDirection w:val="lrTb"/>
            <w:noWrap w:val="false"/>
          </w:tcPr>
          <w:p>
            <w:pPr>
              <w:pStyle w:val="716"/>
              <w:jc w:val="center"/>
              <w:rPr>
                <w:color w:val="000000"/>
                <w:sz w:val="28"/>
                <w:szCs w:val="28"/>
              </w:rPr>
            </w:pPr>
            <w:r>
              <w:rPr>
                <w:color w:val="000000"/>
                <w:sz w:val="28"/>
                <w:szCs w:val="28"/>
              </w:rPr>
            </w:r>
            <w:r/>
          </w:p>
        </w:tc>
      </w:tr>
      <w:tr>
        <w:trPr>
          <w:cantSplit/>
          <w:trHeight w:val="419"/>
        </w:trPr>
        <w:tc>
          <w:tcPr>
            <w:tcW w:w="971" w:type="dxa"/>
            <w:vAlign w:val="center"/>
            <w:textDirection w:val="lrTb"/>
            <w:noWrap w:val="false"/>
          </w:tcPr>
          <w:p>
            <w:pPr>
              <w:pStyle w:val="716"/>
              <w:jc w:val="center"/>
              <w:rPr>
                <w:color w:val="000000"/>
                <w:sz w:val="28"/>
                <w:szCs w:val="28"/>
              </w:rPr>
            </w:pPr>
            <w:r>
              <w:rPr>
                <w:color w:val="000000"/>
                <w:sz w:val="28"/>
                <w:szCs w:val="28"/>
              </w:rPr>
              <w:t xml:space="preserve">合计</w:t>
            </w:r>
            <w:r>
              <w:rPr>
                <w:color w:val="000000"/>
                <w:sz w:val="28"/>
                <w:szCs w:val="28"/>
              </w:rPr>
            </w:r>
            <w:r/>
          </w:p>
        </w:tc>
        <w:tc>
          <w:tcPr>
            <w:gridSpan w:val="7"/>
            <w:tcW w:w="8709" w:type="dxa"/>
            <w:vAlign w:val="center"/>
            <w:textDirection w:val="lrTb"/>
            <w:noWrap w:val="false"/>
          </w:tcPr>
          <w:p>
            <w:pPr>
              <w:pStyle w:val="716"/>
              <w:jc w:val="center"/>
              <w:rPr>
                <w:color w:val="000000"/>
                <w:sz w:val="28"/>
                <w:szCs w:val="28"/>
              </w:rPr>
            </w:pPr>
            <w:r>
              <w:rPr>
                <w:color w:val="000000"/>
                <w:sz w:val="28"/>
                <w:szCs w:val="28"/>
              </w:rPr>
            </w:r>
            <w:r/>
          </w:p>
        </w:tc>
      </w:tr>
    </w:tbl>
    <w:p>
      <w:pPr>
        <w:pStyle w:val="716"/>
        <w:rPr>
          <w:b/>
          <w:color w:val="000000"/>
          <w:sz w:val="28"/>
          <w:szCs w:val="28"/>
          <w:lang w:val="zh-CN"/>
        </w:rPr>
      </w:pPr>
      <w:r>
        <w:rPr>
          <w:b/>
          <w:color w:val="000000"/>
          <w:sz w:val="28"/>
          <w:szCs w:val="28"/>
          <w:lang w:val="zh-CN"/>
        </w:rPr>
      </w:r>
      <w:r/>
    </w:p>
    <w:p>
      <w:pPr>
        <w:pStyle w:val="716"/>
        <w:rPr>
          <w:b/>
          <w:color w:val="000000"/>
          <w:sz w:val="28"/>
          <w:szCs w:val="28"/>
          <w:lang w:val="zh-CN"/>
        </w:rPr>
      </w:pPr>
      <w:r>
        <w:rPr>
          <w:b/>
          <w:color w:val="000000"/>
          <w:sz w:val="28"/>
          <w:szCs w:val="28"/>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rPr>
          <w:b/>
          <w:color w:val="000000"/>
          <w:sz w:val="28"/>
          <w:szCs w:val="28"/>
          <w:lang w:val="zh-CN"/>
        </w:rPr>
      </w:r>
      <w:r/>
    </w:p>
    <w:p>
      <w:pPr>
        <w:pStyle w:val="716"/>
        <w:rPr>
          <w:b/>
          <w:color w:val="000000"/>
          <w:sz w:val="28"/>
          <w:szCs w:val="28"/>
          <w:lang w:val="zh-CN"/>
        </w:rPr>
      </w:pPr>
      <w:r>
        <w:rPr>
          <w:b/>
          <w:color w:val="000000"/>
          <w:sz w:val="28"/>
          <w:szCs w:val="28"/>
          <w:lang w:val="zh-CN"/>
        </w:rPr>
      </w:r>
      <w:r/>
    </w:p>
    <w:p>
      <w:pPr>
        <w:pStyle w:val="716"/>
        <w:rPr>
          <w:b/>
          <w:color w:val="000000"/>
          <w:sz w:val="28"/>
          <w:szCs w:val="28"/>
          <w:lang w:val="zh-CN"/>
        </w:rPr>
      </w:pPr>
      <w:r>
        <w:rPr>
          <w:b/>
          <w:color w:val="000000"/>
          <w:sz w:val="28"/>
          <w:szCs w:val="28"/>
          <w:lang w:val="zh-CN"/>
        </w:rPr>
      </w:r>
      <w:r/>
    </w:p>
    <w:p>
      <w:pPr>
        <w:pStyle w:val="716"/>
        <w:rPr>
          <w:b/>
          <w:color w:val="000000"/>
          <w:sz w:val="28"/>
          <w:szCs w:val="28"/>
          <w:lang w:val="zh-CN"/>
        </w:rPr>
      </w:pPr>
      <w:r>
        <w:rPr>
          <w:b/>
          <w:color w:val="000000"/>
          <w:sz w:val="28"/>
          <w:szCs w:val="28"/>
          <w:lang w:val="zh-CN"/>
        </w:rPr>
      </w:r>
      <w:r/>
    </w:p>
    <w:p>
      <w:pPr>
        <w:pStyle w:val="716"/>
        <w:rPr>
          <w:b/>
          <w:color w:val="000000"/>
          <w:sz w:val="28"/>
          <w:szCs w:val="28"/>
          <w:lang w:val="zh-CN"/>
        </w:rPr>
      </w:pPr>
      <w:r>
        <w:rPr>
          <w:b/>
          <w:color w:val="000000"/>
          <w:sz w:val="28"/>
          <w:szCs w:val="28"/>
          <w:lang w:val="zh-CN"/>
        </w:rPr>
      </w:r>
      <w:r/>
    </w:p>
    <w:p>
      <w:pPr>
        <w:pStyle w:val="716"/>
        <w:rPr>
          <w:color w:val="000000"/>
          <w:sz w:val="28"/>
          <w:szCs w:val="28"/>
        </w:rPr>
        <w:sectPr>
          <w:footnotePr/>
          <w:endnotePr/>
          <w:type w:val="nextPage"/>
          <w:pgSz w:w="11906" w:h="16838" w:orient="portrait"/>
          <w:pgMar w:top="1440" w:right="1797" w:bottom="1440" w:left="1797" w:header="851" w:footer="992" w:gutter="0"/>
          <w:cols w:num="1" w:sep="0" w:space="1701" w:equalWidth="1"/>
          <w:docGrid w:linePitch="360"/>
        </w:sectPr>
      </w:pPr>
      <w:r>
        <w:rPr>
          <w:color w:val="000000"/>
          <w:sz w:val="28"/>
          <w:szCs w:val="28"/>
        </w:rPr>
      </w:r>
      <w:r/>
    </w:p>
    <w:p>
      <w:pPr>
        <w:pStyle w:val="716"/>
        <w:contextualSpacing/>
        <w:rPr>
          <w:color w:val="000000"/>
          <w:sz w:val="28"/>
          <w:szCs w:val="28"/>
        </w:rPr>
        <w:outlineLvl w:val="1"/>
      </w:pPr>
      <w:r>
        <w:rPr>
          <w:color w:val="000000"/>
          <w:sz w:val="28"/>
          <w:szCs w:val="28"/>
        </w:rPr>
        <w:t xml:space="preserve">附件9</w:t>
      </w:r>
      <w:r>
        <w:rPr>
          <w:color w:val="000000"/>
          <w:sz w:val="28"/>
          <w:szCs w:val="28"/>
        </w:rPr>
      </w:r>
      <w:r/>
    </w:p>
    <w:p>
      <w:pPr>
        <w:pStyle w:val="716"/>
        <w:contextualSpacing/>
        <w:jc w:val="center"/>
        <w:rPr>
          <w:b/>
          <w:bCs/>
          <w:color w:val="000000"/>
          <w:sz w:val="28"/>
          <w:szCs w:val="28"/>
        </w:rPr>
      </w:pPr>
      <w:r>
        <w:rPr>
          <w:b/>
          <w:bCs/>
          <w:color w:val="000000"/>
          <w:sz w:val="28"/>
          <w:szCs w:val="28"/>
        </w:rPr>
        <w:t xml:space="preserve">联合体协议书（如有）</w:t>
      </w:r>
      <w:r>
        <w:rPr>
          <w:b/>
          <w:bCs/>
          <w:color w:val="000000"/>
          <w:sz w:val="28"/>
          <w:szCs w:val="28"/>
        </w:rPr>
      </w:r>
      <w:r/>
    </w:p>
    <w:p>
      <w:pPr>
        <w:pStyle w:val="716"/>
        <w:rPr>
          <w:color w:val="000000"/>
          <w:sz w:val="28"/>
          <w:szCs w:val="28"/>
        </w:rPr>
      </w:pPr>
      <w:r>
        <w:rPr>
          <w:color w:val="000000"/>
          <w:sz w:val="28"/>
          <w:szCs w:val="28"/>
        </w:rPr>
      </w:r>
      <w:r/>
    </w:p>
    <w:p>
      <w:pPr>
        <w:pStyle w:val="716"/>
        <w:ind w:firstLine="560"/>
        <w:keepLines/>
        <w:widowControl/>
        <w:rPr>
          <w:color w:val="000000"/>
          <w:sz w:val="28"/>
          <w:szCs w:val="28"/>
        </w:rPr>
      </w:pPr>
      <w:r>
        <w:rPr>
          <w:color w:val="000000"/>
          <w:sz w:val="28"/>
          <w:szCs w:val="28"/>
          <w:u w:val="single"/>
        </w:rPr>
        <w:t xml:space="preserve">               </w:t>
      </w:r>
      <w:r>
        <w:rPr>
          <w:color w:val="000000"/>
          <w:sz w:val="28"/>
          <w:szCs w:val="28"/>
        </w:rPr>
        <w:t xml:space="preserve">（所有成员单位名称）自愿组成</w:t>
      </w:r>
      <w:r>
        <w:rPr>
          <w:color w:val="000000"/>
          <w:sz w:val="28"/>
          <w:szCs w:val="28"/>
          <w:u w:val="single"/>
        </w:rPr>
        <w:t xml:space="preserve">                </w:t>
      </w:r>
      <w:r>
        <w:rPr>
          <w:color w:val="000000"/>
          <w:sz w:val="28"/>
          <w:szCs w:val="28"/>
        </w:rPr>
        <w:t xml:space="preserve">（联合体名称）联合体，共同参加</w:t>
      </w:r>
      <w:r>
        <w:rPr>
          <w:color w:val="000000"/>
          <w:sz w:val="28"/>
          <w:szCs w:val="28"/>
          <w:u w:val="single"/>
        </w:rPr>
        <w:t xml:space="preserve">                       </w:t>
      </w:r>
      <w:r>
        <w:rPr>
          <w:color w:val="000000"/>
          <w:sz w:val="28"/>
          <w:szCs w:val="28"/>
        </w:rPr>
        <w:t xml:space="preserve">（项目名称）项目投标。现就联合体投标事宜订立如下协议。</w:t>
      </w:r>
      <w:r>
        <w:rPr>
          <w:color w:val="000000"/>
          <w:sz w:val="28"/>
          <w:szCs w:val="28"/>
        </w:rPr>
      </w:r>
      <w:r/>
    </w:p>
    <w:p>
      <w:pPr>
        <w:pStyle w:val="716"/>
        <w:ind w:firstLine="560"/>
        <w:keepLines/>
        <w:widowControl/>
        <w:rPr>
          <w:color w:val="000000"/>
          <w:sz w:val="28"/>
          <w:szCs w:val="28"/>
        </w:rPr>
      </w:pPr>
      <w:r>
        <w:rPr>
          <w:color w:val="000000"/>
          <w:sz w:val="28"/>
          <w:szCs w:val="28"/>
        </w:rPr>
        <w:t xml:space="preserve">1. </w:t>
      </w:r>
      <w:r>
        <w:rPr>
          <w:color w:val="000000"/>
          <w:sz w:val="28"/>
          <w:szCs w:val="28"/>
          <w:u w:val="single"/>
        </w:rPr>
        <w:t xml:space="preserve">               </w:t>
      </w:r>
      <w:r>
        <w:rPr>
          <w:color w:val="000000"/>
          <w:sz w:val="28"/>
          <w:szCs w:val="28"/>
        </w:rPr>
        <w:t xml:space="preserve">（某成员单位名称）为</w:t>
      </w:r>
      <w:r>
        <w:rPr>
          <w:color w:val="000000"/>
          <w:sz w:val="28"/>
          <w:szCs w:val="28"/>
          <w:u w:val="single"/>
        </w:rPr>
        <w:t xml:space="preserve">               </w:t>
      </w:r>
      <w:r>
        <w:rPr>
          <w:color w:val="000000"/>
          <w:sz w:val="28"/>
          <w:szCs w:val="28"/>
        </w:rPr>
        <w:t xml:space="preserve">（联合体名称）牵头人。</w:t>
      </w:r>
      <w:r>
        <w:rPr>
          <w:color w:val="000000"/>
          <w:sz w:val="28"/>
          <w:szCs w:val="28"/>
        </w:rPr>
      </w:r>
      <w:r/>
    </w:p>
    <w:p>
      <w:pPr>
        <w:pStyle w:val="716"/>
        <w:ind w:firstLine="560"/>
        <w:keepLines/>
        <w:widowControl/>
        <w:rPr>
          <w:color w:val="000000"/>
          <w:sz w:val="28"/>
          <w:szCs w:val="28"/>
        </w:rPr>
      </w:pPr>
      <w:r>
        <w:rPr>
          <w:color w:val="000000"/>
          <w:sz w:val="28"/>
          <w:szCs w:val="28"/>
        </w:rPr>
        <w:t xml:space="preserve">2. 联合体各成员授权牵头人代表联合体参加投标活动，签署文件，提交和接收相关的资料、信息及指示，进行合同谈判活动，负责合同实施阶段的组织和协调工作，以及处理与本招标项目有关的一切事宜。</w:t>
      </w:r>
      <w:r>
        <w:rPr>
          <w:color w:val="000000"/>
          <w:sz w:val="28"/>
          <w:szCs w:val="28"/>
        </w:rPr>
      </w:r>
      <w:r/>
    </w:p>
    <w:p>
      <w:pPr>
        <w:pStyle w:val="716"/>
        <w:ind w:firstLine="560"/>
        <w:keepLines/>
        <w:widowControl/>
        <w:rPr>
          <w:color w:val="000000"/>
          <w:sz w:val="28"/>
          <w:szCs w:val="28"/>
        </w:rPr>
      </w:pPr>
      <w:r>
        <w:rPr>
          <w:color w:val="000000"/>
          <w:sz w:val="28"/>
          <w:szCs w:val="28"/>
        </w:rPr>
        <w:t xml:space="preserve">3. 联合体牵头人在本项目中签署的一切文件和处理的一切事宜，联合体各成员均予以承认。联合体各成员将严格按照招标文件、投标文件和合同的要求全面履行义务，并向招标人承担连带责任。</w:t>
      </w:r>
      <w:r>
        <w:rPr>
          <w:color w:val="000000"/>
          <w:sz w:val="28"/>
          <w:szCs w:val="28"/>
        </w:rPr>
      </w:r>
      <w:r/>
    </w:p>
    <w:p>
      <w:pPr>
        <w:pStyle w:val="716"/>
        <w:ind w:firstLine="560"/>
        <w:keepLines/>
        <w:widowControl/>
        <w:rPr>
          <w:color w:val="000000"/>
          <w:sz w:val="28"/>
          <w:szCs w:val="28"/>
        </w:rPr>
      </w:pPr>
      <w:r>
        <w:rPr>
          <w:color w:val="000000"/>
          <w:sz w:val="28"/>
          <w:szCs w:val="28"/>
        </w:rPr>
        <w:t xml:space="preserve">4. 联合体各成员单位内部的职责分工如下：</w:t>
      </w:r>
      <w:r>
        <w:rPr>
          <w:color w:val="000000"/>
          <w:sz w:val="28"/>
          <w:szCs w:val="28"/>
          <w:u w:val="single"/>
        </w:rPr>
        <w:t xml:space="preserve">                               </w:t>
      </w:r>
      <w:r>
        <w:rPr>
          <w:color w:val="000000"/>
          <w:sz w:val="28"/>
          <w:szCs w:val="28"/>
        </w:rPr>
        <w:t xml:space="preserve">。</w:t>
      </w:r>
      <w:r>
        <w:rPr>
          <w:color w:val="000000"/>
          <w:sz w:val="28"/>
          <w:szCs w:val="28"/>
        </w:rPr>
      </w:r>
      <w:r/>
    </w:p>
    <w:p>
      <w:pPr>
        <w:pStyle w:val="716"/>
        <w:ind w:firstLine="560"/>
        <w:keepLines/>
        <w:widowControl/>
        <w:rPr>
          <w:color w:val="000000"/>
          <w:sz w:val="28"/>
          <w:szCs w:val="28"/>
        </w:rPr>
      </w:pPr>
      <w:r>
        <w:rPr>
          <w:color w:val="000000"/>
          <w:sz w:val="28"/>
          <w:szCs w:val="28"/>
        </w:rPr>
        <w:t xml:space="preserve">5. 本协议书自所有成员单位法定代表人或其委托代理人签字或盖单位章之日起生效，合同履行完毕后自动失效。</w:t>
      </w:r>
      <w:r>
        <w:rPr>
          <w:color w:val="000000"/>
          <w:sz w:val="28"/>
          <w:szCs w:val="28"/>
        </w:rPr>
      </w:r>
      <w:r/>
    </w:p>
    <w:p>
      <w:pPr>
        <w:pStyle w:val="716"/>
        <w:ind w:firstLine="560"/>
        <w:keepLines/>
        <w:widowControl/>
        <w:rPr>
          <w:color w:val="000000"/>
          <w:sz w:val="28"/>
          <w:szCs w:val="28"/>
        </w:rPr>
      </w:pPr>
      <w:r>
        <w:rPr>
          <w:color w:val="000000"/>
          <w:sz w:val="28"/>
          <w:szCs w:val="28"/>
        </w:rPr>
        <w:t xml:space="preserve">6. 本协议书一式</w:t>
      </w:r>
      <w:r>
        <w:rPr>
          <w:color w:val="000000"/>
          <w:sz w:val="28"/>
          <w:szCs w:val="28"/>
          <w:u w:val="single"/>
        </w:rPr>
        <w:t xml:space="preserve">  三  </w:t>
      </w:r>
      <w:r>
        <w:rPr>
          <w:color w:val="000000"/>
          <w:sz w:val="28"/>
          <w:szCs w:val="28"/>
        </w:rPr>
        <w:t xml:space="preserve">份，联合体成员和招标人各执一份。</w:t>
      </w:r>
      <w:r>
        <w:rPr>
          <w:color w:val="000000"/>
          <w:sz w:val="28"/>
          <w:szCs w:val="28"/>
        </w:rPr>
      </w:r>
      <w:r/>
    </w:p>
    <w:p>
      <w:pPr>
        <w:pStyle w:val="716"/>
        <w:ind w:firstLine="560"/>
        <w:keepLines/>
        <w:widowControl/>
        <w:rPr>
          <w:color w:val="000000"/>
          <w:sz w:val="28"/>
          <w:szCs w:val="28"/>
        </w:rPr>
      </w:pPr>
      <w:r>
        <w:rPr>
          <w:color w:val="000000"/>
          <w:sz w:val="28"/>
          <w:szCs w:val="28"/>
        </w:rPr>
        <w:t xml:space="preserve">注：本协议书由法定代表人签字的，应附法定代表人身份证明；由委托代理人签字的，应附授权委托书。</w:t>
      </w:r>
      <w:r>
        <w:rPr>
          <w:color w:val="000000"/>
          <w:sz w:val="28"/>
          <w:szCs w:val="28"/>
        </w:rPr>
      </w:r>
      <w:r/>
    </w:p>
    <w:p>
      <w:pPr>
        <w:pStyle w:val="716"/>
        <w:keepLines/>
        <w:widowControl/>
        <w:rPr>
          <w:color w:val="000000"/>
          <w:sz w:val="28"/>
          <w:szCs w:val="28"/>
        </w:rPr>
      </w:pPr>
      <w:r>
        <w:rPr>
          <w:color w:val="000000"/>
          <w:sz w:val="28"/>
          <w:szCs w:val="28"/>
        </w:rPr>
      </w:r>
      <w:r/>
    </w:p>
    <w:p>
      <w:pPr>
        <w:pStyle w:val="716"/>
        <w:ind w:firstLine="1960"/>
        <w:keepLines/>
        <w:widowControl/>
        <w:rPr>
          <w:color w:val="000000"/>
          <w:sz w:val="28"/>
          <w:szCs w:val="28"/>
          <w:u w:val="single"/>
        </w:rPr>
      </w:pPr>
      <w:r>
        <w:rPr>
          <w:color w:val="000000"/>
          <w:sz w:val="28"/>
          <w:szCs w:val="28"/>
        </w:rPr>
        <w:t xml:space="preserve">联合体牵头人名称：  </w:t>
      </w:r>
      <w:r>
        <w:rPr>
          <w:color w:val="000000"/>
          <w:sz w:val="28"/>
          <w:szCs w:val="28"/>
          <w:u w:val="single"/>
        </w:rPr>
        <w:t xml:space="preserve">             （盖单位章）</w:t>
      </w:r>
      <w:r>
        <w:rPr>
          <w:color w:val="000000"/>
          <w:sz w:val="28"/>
          <w:szCs w:val="28"/>
          <w:u w:val="single"/>
        </w:rPr>
      </w:r>
      <w:r/>
    </w:p>
    <w:p>
      <w:pPr>
        <w:pStyle w:val="716"/>
        <w:ind w:left="3220" w:hanging="1960"/>
        <w:jc w:val="left"/>
        <w:keepLines/>
        <w:widowControl/>
        <w:rPr>
          <w:rFonts w:hint="eastAsia"/>
          <w:color w:val="000000"/>
          <w:sz w:val="28"/>
          <w:szCs w:val="28"/>
        </w:rPr>
      </w:pPr>
      <w:r>
        <w:rPr>
          <w:color w:val="000000"/>
          <w:sz w:val="28"/>
          <w:szCs w:val="28"/>
        </w:rPr>
        <w:t xml:space="preserve">法定代表人或其委托代理人：</w:t>
      </w:r>
      <w:r>
        <w:rPr>
          <w:color w:val="000000"/>
          <w:sz w:val="28"/>
          <w:szCs w:val="28"/>
          <w:u w:val="single"/>
        </w:rPr>
        <w:t xml:space="preserve">         </w:t>
      </w:r>
      <w:r>
        <w:rPr>
          <w:color w:val="000000"/>
          <w:sz w:val="28"/>
          <w:szCs w:val="28"/>
          <w:u w:val="single"/>
        </w:rPr>
        <w:tab/>
      </w:r>
      <w:r>
        <w:rPr>
          <w:color w:val="000000"/>
          <w:sz w:val="28"/>
          <w:szCs w:val="28"/>
        </w:rPr>
        <w:t xml:space="preserve">（签字或印鉴）</w:t>
      </w:r>
      <w:r>
        <w:rPr>
          <w:rFonts w:hint="eastAsia"/>
          <w:color w:val="000000"/>
          <w:sz w:val="28"/>
          <w:szCs w:val="28"/>
        </w:rPr>
        <w:t xml:space="preserve">   </w:t>
      </w:r>
      <w:r>
        <w:rPr>
          <w:color w:val="000000"/>
          <w:sz w:val="28"/>
          <w:szCs w:val="28"/>
        </w:rPr>
        <w:t xml:space="preserve">联合体成员名称： </w:t>
      </w:r>
      <w:r>
        <w:rPr>
          <w:color w:val="000000"/>
          <w:sz w:val="28"/>
          <w:szCs w:val="28"/>
          <w:u w:val="single"/>
        </w:rPr>
        <w:t xml:space="preserve">       （盖单位章）</w:t>
      </w:r>
      <w:r>
        <w:rPr>
          <w:rFonts w:hint="eastAsia"/>
          <w:color w:val="000000"/>
          <w:sz w:val="28"/>
          <w:szCs w:val="28"/>
        </w:rPr>
      </w:r>
      <w:r/>
    </w:p>
    <w:p>
      <w:pPr>
        <w:pStyle w:val="716"/>
        <w:ind w:firstLine="1680"/>
        <w:jc w:val="left"/>
        <w:keepLines/>
        <w:widowControl/>
        <w:rPr>
          <w:color w:val="000000"/>
          <w:sz w:val="28"/>
          <w:szCs w:val="28"/>
        </w:rPr>
      </w:pPr>
      <w:r>
        <w:rPr>
          <w:color w:val="000000"/>
          <w:sz w:val="28"/>
          <w:szCs w:val="28"/>
        </w:rPr>
        <w:t xml:space="preserve">法定代表人或其委托代理人：</w:t>
      </w:r>
      <w:r>
        <w:rPr>
          <w:color w:val="000000"/>
          <w:sz w:val="28"/>
          <w:szCs w:val="28"/>
          <w:u w:val="single"/>
        </w:rPr>
        <w:t xml:space="preserve">         </w:t>
      </w:r>
      <w:r>
        <w:rPr>
          <w:color w:val="000000"/>
          <w:sz w:val="28"/>
          <w:szCs w:val="28"/>
        </w:rPr>
        <w:t xml:space="preserve">（签字或印鉴）</w:t>
      </w:r>
      <w:r>
        <w:rPr>
          <w:color w:val="000000"/>
          <w:sz w:val="28"/>
          <w:szCs w:val="28"/>
        </w:rPr>
      </w:r>
      <w:r/>
    </w:p>
    <w:p>
      <w:pPr>
        <w:pStyle w:val="716"/>
        <w:ind w:firstLine="5040"/>
        <w:jc w:val="left"/>
        <w:keepLines/>
        <w:widowControl/>
        <w:rPr>
          <w:color w:val="000000"/>
          <w:sz w:val="28"/>
          <w:szCs w:val="28"/>
        </w:rPr>
        <w:sectPr>
          <w:footnotePr/>
          <w:endnotePr/>
          <w:type w:val="nextPage"/>
          <w:pgSz w:w="11906" w:h="16838" w:orient="portrait"/>
          <w:pgMar w:top="1440" w:right="1797" w:bottom="1440" w:left="1797" w:header="851" w:footer="992" w:gutter="0"/>
          <w:cols w:num="1" w:sep="0" w:space="1701" w:equalWidth="1"/>
          <w:docGrid w:linePitch="360"/>
        </w:sectPr>
      </w:pPr>
      <w:r>
        <w:rPr>
          <w:color w:val="000000"/>
          <w:sz w:val="28"/>
          <w:szCs w:val="28"/>
        </w:rPr>
        <w:t xml:space="preserve">日期：</w:t>
      </w:r>
      <w:r>
        <w:rPr>
          <w:color w:val="000000"/>
          <w:sz w:val="28"/>
          <w:szCs w:val="28"/>
        </w:rPr>
      </w:r>
      <w:r/>
    </w:p>
    <w:p>
      <w:pPr>
        <w:pStyle w:val="716"/>
        <w:contextualSpacing/>
        <w:rPr>
          <w:color w:val="000000"/>
          <w:sz w:val="28"/>
          <w:szCs w:val="28"/>
        </w:rPr>
        <w:outlineLvl w:val="1"/>
      </w:pPr>
      <w:r>
        <w:rPr>
          <w:color w:val="000000"/>
          <w:sz w:val="28"/>
          <w:szCs w:val="28"/>
        </w:rPr>
        <w:t xml:space="preserve">附件10</w:t>
      </w:r>
      <w:r>
        <w:rPr>
          <w:color w:val="000000"/>
          <w:sz w:val="28"/>
          <w:szCs w:val="28"/>
        </w:rPr>
      </w:r>
      <w:r/>
    </w:p>
    <w:p>
      <w:pPr>
        <w:pStyle w:val="716"/>
        <w:jc w:val="center"/>
        <w:rPr>
          <w:b/>
          <w:bCs/>
          <w:color w:val="000000"/>
          <w:sz w:val="28"/>
          <w:szCs w:val="28"/>
          <w:lang w:bidi="zh-CN"/>
        </w:rPr>
      </w:pPr>
      <w:r>
        <w:rPr>
          <w:b/>
          <w:bCs/>
          <w:color w:val="000000"/>
          <w:sz w:val="28"/>
          <w:szCs w:val="28"/>
          <w:lang w:bidi="zh-CN"/>
        </w:rPr>
        <w:t xml:space="preserve">中小企业声明函（货物）</w:t>
      </w:r>
      <w:r>
        <w:rPr>
          <w:b/>
          <w:bCs/>
          <w:color w:val="000000"/>
          <w:sz w:val="28"/>
          <w:szCs w:val="28"/>
          <w:lang w:bidi="zh-CN"/>
        </w:rPr>
      </w:r>
      <w:r/>
    </w:p>
    <w:p>
      <w:pPr>
        <w:pStyle w:val="716"/>
        <w:ind w:firstLine="560"/>
        <w:rPr>
          <w:rFonts w:hint="eastAsia"/>
          <w:color w:val="000000"/>
          <w:sz w:val="28"/>
          <w:szCs w:val="28"/>
          <w:lang w:bidi="zh-CN"/>
        </w:rPr>
      </w:pPr>
      <w:r>
        <w:rPr>
          <w:color w:val="000000"/>
          <w:sz w:val="28"/>
          <w:szCs w:val="28"/>
          <w:lang w:bidi="zh-CN"/>
        </w:rPr>
        <w:t xml:space="preserve">本公司（联合体）郑重声明，根据《政府采购促进中小企业发展管理办法》（财库﹝2020﹞46 号）的规定，本公司（联合体）参加</w:t>
      </w:r>
      <w:r>
        <w:rPr>
          <w:color w:val="000000"/>
          <w:sz w:val="28"/>
          <w:szCs w:val="28"/>
          <w:u w:val="single"/>
          <w:lang w:bidi="zh-CN"/>
        </w:rPr>
        <w:t xml:space="preserve">（单位名称）</w:t>
      </w:r>
      <w:r>
        <w:rPr>
          <w:color w:val="000000"/>
          <w:sz w:val="28"/>
          <w:szCs w:val="28"/>
          <w:lang w:bidi="zh-CN"/>
        </w:rPr>
        <w:t xml:space="preserve">的</w:t>
      </w:r>
      <w:r>
        <w:rPr>
          <w:color w:val="000000"/>
          <w:sz w:val="28"/>
          <w:szCs w:val="28"/>
          <w:u w:val="single"/>
          <w:lang w:bidi="zh-CN"/>
        </w:rPr>
        <w:t xml:space="preserve">（项目名称）</w:t>
      </w:r>
      <w:r>
        <w:rPr>
          <w:color w:val="000000"/>
          <w:sz w:val="28"/>
          <w:szCs w:val="28"/>
          <w:lang w:bidi="zh-CN"/>
        </w:rPr>
        <w:t xml:space="preserve">采购活动，提供的货物全部由符合政策要求的中小企业制造。相关企业（含联合体中的中小企业、签订分包意向协议的中小企业） 的具体情况如下：</w:t>
      </w:r>
      <w:r>
        <w:rPr>
          <w:rFonts w:hint="eastAsia"/>
          <w:color w:val="000000"/>
          <w:sz w:val="28"/>
          <w:szCs w:val="28"/>
          <w:lang w:bidi="zh-CN"/>
        </w:rPr>
      </w:r>
      <w:r/>
    </w:p>
    <w:p>
      <w:pPr>
        <w:pStyle w:val="716"/>
        <w:rPr>
          <w:color w:val="000000"/>
          <w:sz w:val="28"/>
          <w:szCs w:val="28"/>
          <w:lang w:bidi="zh-CN"/>
        </w:rPr>
      </w:pPr>
      <w:r>
        <w:rPr>
          <w:color w:val="000000"/>
          <w:sz w:val="28"/>
          <w:szCs w:val="28"/>
          <w:lang w:bidi="zh-CN"/>
        </w:rPr>
        <w:t xml:space="preserve">1.</w:t>
      </w:r>
      <w:r>
        <w:rPr>
          <w:color w:val="000000"/>
          <w:sz w:val="28"/>
          <w:szCs w:val="28"/>
          <w:u w:val="single"/>
          <w:lang w:bidi="zh-CN"/>
        </w:rPr>
        <w:t xml:space="preserve"> （标的名称）</w:t>
      </w:r>
      <w:r>
        <w:rPr>
          <w:color w:val="000000"/>
          <w:sz w:val="28"/>
          <w:szCs w:val="28"/>
          <w:lang w:bidi="zh-CN"/>
        </w:rPr>
        <w:t xml:space="preserve"> ，属于</w:t>
      </w:r>
      <w:r>
        <w:rPr>
          <w:color w:val="000000"/>
          <w:sz w:val="28"/>
          <w:szCs w:val="28"/>
          <w:u w:val="single"/>
          <w:lang w:bidi="zh-CN"/>
        </w:rPr>
        <w:t xml:space="preserve">（采购文件中明确的所属行业）</w:t>
      </w:r>
      <w:r>
        <w:rPr>
          <w:color w:val="000000"/>
          <w:sz w:val="28"/>
          <w:szCs w:val="28"/>
          <w:lang w:bidi="zh-CN"/>
        </w:rPr>
        <w:t xml:space="preserve">行业；制造商为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716"/>
        <w:rPr>
          <w:color w:val="000000"/>
          <w:sz w:val="28"/>
          <w:szCs w:val="28"/>
          <w:lang w:bidi="zh-CN"/>
        </w:rPr>
      </w:pPr>
      <w:r>
        <w:rPr>
          <w:color w:val="000000"/>
          <w:sz w:val="28"/>
          <w:szCs w:val="28"/>
          <w:lang w:bidi="zh-CN"/>
        </w:rPr>
        <w:t xml:space="preserve">2.</w:t>
      </w:r>
      <w:r>
        <w:rPr>
          <w:i/>
          <w:color w:val="000000"/>
          <w:sz w:val="28"/>
          <w:szCs w:val="28"/>
          <w:u w:val="single"/>
          <w:lang w:bidi="zh-CN"/>
        </w:rPr>
        <w:t xml:space="preserve"> </w:t>
      </w:r>
      <w:r>
        <w:rPr>
          <w:color w:val="000000"/>
          <w:sz w:val="28"/>
          <w:szCs w:val="28"/>
          <w:u w:val="single"/>
          <w:lang w:bidi="zh-CN"/>
        </w:rPr>
        <w:t xml:space="preserve">（标的名称） </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行业；制造商为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716"/>
        <w:rPr>
          <w:color w:val="000000"/>
          <w:sz w:val="28"/>
          <w:szCs w:val="28"/>
          <w:lang w:bidi="zh-CN"/>
        </w:rPr>
      </w:pPr>
      <w:r>
        <w:rPr>
          <w:color w:val="000000"/>
          <w:sz w:val="28"/>
          <w:szCs w:val="28"/>
          <w:lang w:bidi="zh-CN"/>
        </w:rPr>
        <w:t xml:space="preserve">……</w:t>
      </w:r>
      <w:r>
        <w:rPr>
          <w:color w:val="000000"/>
          <w:sz w:val="28"/>
          <w:szCs w:val="28"/>
          <w:lang w:bidi="zh-CN"/>
        </w:rPr>
      </w:r>
      <w:r/>
    </w:p>
    <w:p>
      <w:pPr>
        <w:pStyle w:val="716"/>
        <w:ind w:firstLine="560"/>
        <w:rPr>
          <w:color w:val="000000"/>
          <w:sz w:val="28"/>
          <w:szCs w:val="28"/>
          <w:lang w:bidi="zh-CN"/>
        </w:rPr>
      </w:pPr>
      <w:r>
        <w:rPr>
          <w:color w:val="000000"/>
          <w:sz w:val="28"/>
          <w:szCs w:val="28"/>
          <w:lang w:bidi="zh-CN"/>
        </w:rPr>
        <w:t xml:space="preserve">以上企业，不属于大企业的分支机构，不存在控股股东为大企业的情形，也不存在与大企业的负责人为同一人的情形。</w:t>
      </w:r>
      <w:r>
        <w:rPr>
          <w:color w:val="000000"/>
          <w:sz w:val="28"/>
          <w:szCs w:val="28"/>
          <w:lang w:bidi="zh-CN"/>
        </w:rPr>
      </w:r>
      <w:r/>
    </w:p>
    <w:p>
      <w:pPr>
        <w:pStyle w:val="716"/>
        <w:ind w:firstLine="560"/>
        <w:rPr>
          <w:color w:val="000000"/>
          <w:sz w:val="28"/>
          <w:szCs w:val="28"/>
          <w:lang w:bidi="zh-CN"/>
        </w:rPr>
      </w:pPr>
      <w:r>
        <w:rPr>
          <w:color w:val="000000"/>
          <w:sz w:val="28"/>
          <w:szCs w:val="28"/>
          <w:lang w:bidi="zh-CN"/>
        </w:rPr>
        <w:t xml:space="preserve">本企业对上述声明内容的真实性负责。如有虚假，将依法承担相应责任。</w:t>
      </w: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t xml:space="preserve">                      企业名称（盖章）：</w:t>
      </w:r>
      <w:r>
        <w:rPr>
          <w:color w:val="000000"/>
          <w:sz w:val="28"/>
          <w:szCs w:val="28"/>
          <w:lang w:bidi="zh-CN"/>
        </w:rPr>
      </w:r>
      <w:r/>
    </w:p>
    <w:p>
      <w:pPr>
        <w:pStyle w:val="716"/>
        <w:jc w:val="center"/>
        <w:rPr>
          <w:color w:val="000000"/>
          <w:sz w:val="28"/>
          <w:szCs w:val="28"/>
          <w:lang w:bidi="zh-CN"/>
        </w:rPr>
      </w:pPr>
      <w:r>
        <w:rPr>
          <w:color w:val="000000"/>
          <w:sz w:val="28"/>
          <w:szCs w:val="28"/>
          <w:lang w:bidi="zh-CN"/>
        </w:rPr>
        <w:t xml:space="preserve">          日期：</w:t>
      </w: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color w:val="000000"/>
          <w:sz w:val="28"/>
          <w:szCs w:val="28"/>
          <w:lang w:bidi="zh-CN"/>
        </w:rPr>
      </w:pPr>
      <w:r>
        <w:rPr>
          <w:color w:val="000000"/>
          <w:sz w:val="28"/>
          <w:szCs w:val="28"/>
          <w:lang w:bidi="zh-CN"/>
        </w:rPr>
      </w:r>
      <w:r/>
    </w:p>
    <w:p>
      <w:pPr>
        <w:pStyle w:val="716"/>
        <w:jc w:val="center"/>
        <w:rPr>
          <w:rFonts w:hint="eastAsia"/>
          <w:color w:val="000000"/>
          <w:sz w:val="28"/>
          <w:szCs w:val="28"/>
          <w:lang w:bidi="zh-CN"/>
        </w:rPr>
      </w:pPr>
      <w:r>
        <w:rPr>
          <w:rFonts w:hint="eastAsia"/>
          <w:color w:val="000000"/>
          <w:sz w:val="28"/>
          <w:szCs w:val="28"/>
          <w:lang w:bidi="zh-CN"/>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jc w:val="center"/>
        <w:rPr>
          <w:b/>
          <w:bCs/>
          <w:color w:val="000000"/>
          <w:sz w:val="28"/>
          <w:szCs w:val="28"/>
          <w:lang w:bidi="zh-CN"/>
        </w:rPr>
      </w:pPr>
      <w:r>
        <w:rPr>
          <w:b/>
          <w:bCs/>
          <w:color w:val="000000"/>
          <w:sz w:val="28"/>
          <w:szCs w:val="28"/>
          <w:lang w:bidi="zh-CN"/>
        </w:rPr>
        <w:t xml:space="preserve">中小企业声明函（工程、服务）</w:t>
      </w:r>
      <w:r>
        <w:rPr>
          <w:b/>
          <w:bCs/>
          <w:color w:val="000000"/>
          <w:sz w:val="28"/>
          <w:szCs w:val="28"/>
          <w:lang w:bidi="zh-CN"/>
        </w:rPr>
      </w:r>
      <w:r/>
    </w:p>
    <w:p>
      <w:pPr>
        <w:pStyle w:val="716"/>
        <w:ind w:firstLine="560"/>
        <w:rPr>
          <w:color w:val="000000"/>
          <w:sz w:val="28"/>
          <w:szCs w:val="28"/>
          <w:lang w:bidi="zh-CN"/>
        </w:rPr>
      </w:pPr>
      <w:r>
        <w:rPr>
          <w:color w:val="000000"/>
          <w:sz w:val="28"/>
          <w:szCs w:val="28"/>
          <w:lang w:bidi="zh-CN"/>
        </w:rPr>
        <w:t xml:space="preserve">本公司（联合体）郑重声明，根据《政府采购促进中小企业发展管理办法》（财库﹝2020﹞46 号）的规定，本公司（联合体）参加</w:t>
      </w:r>
      <w:r>
        <w:rPr>
          <w:color w:val="000000"/>
          <w:sz w:val="28"/>
          <w:szCs w:val="28"/>
          <w:u w:val="single"/>
          <w:lang w:bidi="zh-CN"/>
        </w:rPr>
        <w:t xml:space="preserve">（单位名称）</w:t>
      </w:r>
      <w:r>
        <w:rPr>
          <w:color w:val="000000"/>
          <w:sz w:val="28"/>
          <w:szCs w:val="28"/>
          <w:lang w:bidi="zh-CN"/>
        </w:rPr>
        <w:t xml:space="preserve">的</w:t>
      </w:r>
      <w:r>
        <w:rPr>
          <w:color w:val="000000"/>
          <w:sz w:val="28"/>
          <w:szCs w:val="28"/>
          <w:u w:val="single"/>
          <w:lang w:bidi="zh-CN"/>
        </w:rPr>
        <w:t xml:space="preserve">（项目名称）</w:t>
      </w:r>
      <w:r>
        <w:rPr>
          <w:color w:val="000000"/>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color w:val="000000"/>
          <w:sz w:val="28"/>
          <w:szCs w:val="28"/>
          <w:lang w:bidi="zh-CN"/>
        </w:rPr>
      </w:r>
      <w:r/>
    </w:p>
    <w:p>
      <w:pPr>
        <w:pStyle w:val="716"/>
        <w:jc w:val="left"/>
        <w:rPr>
          <w:color w:val="000000"/>
          <w:sz w:val="28"/>
          <w:szCs w:val="28"/>
          <w:lang w:bidi="zh-CN"/>
        </w:rPr>
      </w:pPr>
      <w:r>
        <w:rPr>
          <w:color w:val="000000"/>
          <w:sz w:val="28"/>
          <w:szCs w:val="28"/>
          <w:lang w:bidi="zh-CN"/>
        </w:rPr>
        <w:t xml:space="preserve">1.</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716"/>
        <w:jc w:val="left"/>
        <w:rPr>
          <w:color w:val="000000"/>
          <w:sz w:val="28"/>
          <w:szCs w:val="28"/>
          <w:lang w:bidi="zh-CN"/>
        </w:rPr>
      </w:pPr>
      <w:r>
        <w:rPr>
          <w:color w:val="000000"/>
          <w:sz w:val="28"/>
          <w:szCs w:val="28"/>
          <w:lang w:bidi="zh-CN"/>
        </w:rPr>
        <w:t xml:space="preserve">2.</w:t>
      </w:r>
      <w:r>
        <w:rPr>
          <w:color w:val="000000"/>
          <w:sz w:val="28"/>
          <w:szCs w:val="28"/>
          <w:u w:val="single"/>
          <w:lang w:bidi="zh-CN"/>
        </w:rPr>
        <w:t xml:space="preserve">（标的名称）</w:t>
      </w:r>
      <w:r>
        <w:rPr>
          <w:color w:val="000000"/>
          <w:sz w:val="28"/>
          <w:szCs w:val="28"/>
          <w:lang w:bidi="zh-CN"/>
        </w:rPr>
        <w:t xml:space="preserve">，属于（</w:t>
      </w:r>
      <w:r>
        <w:rPr>
          <w:color w:val="000000"/>
          <w:sz w:val="28"/>
          <w:szCs w:val="28"/>
          <w:u w:val="single"/>
          <w:lang w:bidi="zh-CN"/>
        </w:rPr>
        <w:t xml:space="preserve">采购文件中明确的所属行业）</w:t>
      </w:r>
      <w:r>
        <w:rPr>
          <w:color w:val="000000"/>
          <w:sz w:val="28"/>
          <w:szCs w:val="28"/>
          <w:lang w:bidi="zh-CN"/>
        </w:rPr>
        <w:t xml:space="preserve">；承建（承接）企业为</w:t>
      </w:r>
      <w:r>
        <w:rPr>
          <w:color w:val="000000"/>
          <w:sz w:val="28"/>
          <w:szCs w:val="28"/>
          <w:u w:val="single"/>
          <w:lang w:bidi="zh-CN"/>
        </w:rPr>
        <w:t xml:space="preserve">（企业名称）</w:t>
      </w:r>
      <w:r>
        <w:rPr>
          <w:color w:val="000000"/>
          <w:sz w:val="28"/>
          <w:szCs w:val="28"/>
          <w:lang w:bidi="zh-CN"/>
        </w:rPr>
        <w:t xml:space="preserve">，从业人员</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人，营业收入为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万元，资产总额为</w:t>
      </w:r>
      <w:r>
        <w:rPr>
          <w:color w:val="000000"/>
          <w:sz w:val="28"/>
          <w:szCs w:val="28"/>
          <w:u w:val="single"/>
          <w:lang w:bidi="zh-CN"/>
        </w:rPr>
        <w:t xml:space="preserve"> </w:t>
      </w:r>
      <w:r>
        <w:rPr>
          <w:color w:val="000000"/>
          <w:sz w:val="28"/>
          <w:szCs w:val="28"/>
          <w:u w:val="single"/>
          <w:lang w:bidi="zh-CN"/>
        </w:rPr>
        <w:tab/>
      </w:r>
      <w:r>
        <w:rPr>
          <w:color w:val="000000"/>
          <w:sz w:val="28"/>
          <w:szCs w:val="28"/>
          <w:lang w:bidi="zh-CN"/>
        </w:rPr>
        <w:t xml:space="preserve">万元，属于</w:t>
      </w:r>
      <w:r>
        <w:rPr>
          <w:color w:val="000000"/>
          <w:sz w:val="28"/>
          <w:szCs w:val="28"/>
          <w:u w:val="single"/>
          <w:lang w:bidi="zh-CN"/>
        </w:rPr>
        <w:t xml:space="preserve">（中型企业、小型企业、微型企业）</w:t>
      </w:r>
      <w:r>
        <w:rPr>
          <w:color w:val="000000"/>
          <w:sz w:val="28"/>
          <w:szCs w:val="28"/>
          <w:lang w:bidi="zh-CN"/>
        </w:rPr>
        <w:t xml:space="preserve">；</w:t>
      </w:r>
      <w:r>
        <w:rPr>
          <w:color w:val="000000"/>
          <w:sz w:val="28"/>
          <w:szCs w:val="28"/>
          <w:lang w:bidi="zh-CN"/>
        </w:rPr>
      </w:r>
      <w:r/>
    </w:p>
    <w:p>
      <w:pPr>
        <w:pStyle w:val="716"/>
        <w:jc w:val="left"/>
        <w:rPr>
          <w:color w:val="000000"/>
          <w:sz w:val="28"/>
          <w:szCs w:val="28"/>
          <w:lang w:bidi="zh-CN"/>
        </w:rPr>
      </w:pPr>
      <w:r>
        <w:rPr>
          <w:color w:val="000000"/>
          <w:sz w:val="28"/>
          <w:szCs w:val="28"/>
          <w:lang w:bidi="zh-CN"/>
        </w:rPr>
        <w:t xml:space="preserve">……</w:t>
      </w:r>
      <w:r>
        <w:rPr>
          <w:color w:val="000000"/>
          <w:sz w:val="28"/>
          <w:szCs w:val="28"/>
          <w:lang w:bidi="zh-CN"/>
        </w:rPr>
      </w:r>
      <w:r/>
    </w:p>
    <w:p>
      <w:pPr>
        <w:pStyle w:val="716"/>
        <w:ind w:firstLine="560"/>
        <w:rPr>
          <w:color w:val="000000"/>
          <w:sz w:val="28"/>
          <w:szCs w:val="28"/>
          <w:lang w:bidi="zh-CN"/>
        </w:rPr>
      </w:pPr>
      <w:r>
        <w:rPr>
          <w:color w:val="000000"/>
          <w:sz w:val="28"/>
          <w:szCs w:val="28"/>
          <w:lang w:bidi="zh-CN"/>
        </w:rPr>
        <w:t xml:space="preserve">以上企业，不属于大企业的分支机构，不存在控股股东为大企业的情形，也不存在与大企业的负责人为同一人的情形。</w:t>
      </w:r>
      <w:r>
        <w:rPr>
          <w:color w:val="000000"/>
          <w:sz w:val="28"/>
          <w:szCs w:val="28"/>
          <w:lang w:bidi="zh-CN"/>
        </w:rPr>
      </w:r>
      <w:r/>
    </w:p>
    <w:p>
      <w:pPr>
        <w:pStyle w:val="716"/>
        <w:ind w:firstLine="560"/>
        <w:rPr>
          <w:color w:val="000000"/>
          <w:sz w:val="28"/>
          <w:szCs w:val="28"/>
          <w:lang w:bidi="zh-CN"/>
        </w:rPr>
      </w:pPr>
      <w:r>
        <w:rPr>
          <w:color w:val="000000"/>
          <w:sz w:val="28"/>
          <w:szCs w:val="28"/>
          <w:lang w:bidi="zh-CN"/>
        </w:rPr>
        <w:t xml:space="preserve">本企业对上述声明内容的真实性负责。如有虚假，将依法承担相应责任。</w:t>
      </w: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rPr>
          <w:color w:val="000000"/>
          <w:sz w:val="28"/>
          <w:szCs w:val="28"/>
          <w:lang w:bidi="zh-CN"/>
        </w:rPr>
      </w:pPr>
      <w:r>
        <w:rPr>
          <w:color w:val="000000"/>
          <w:sz w:val="28"/>
          <w:szCs w:val="28"/>
          <w:lang w:bidi="zh-CN"/>
        </w:rPr>
      </w:r>
      <w:r/>
    </w:p>
    <w:p>
      <w:pPr>
        <w:pStyle w:val="716"/>
        <w:ind w:firstLine="4900"/>
        <w:rPr>
          <w:color w:val="000000"/>
          <w:sz w:val="28"/>
          <w:szCs w:val="28"/>
          <w:lang w:bidi="zh-CN"/>
        </w:rPr>
      </w:pPr>
      <w:r>
        <w:rPr>
          <w:color w:val="000000"/>
          <w:sz w:val="28"/>
          <w:szCs w:val="28"/>
          <w:lang w:bidi="zh-CN"/>
        </w:rPr>
        <w:t xml:space="preserve">企业名称（盖章）：</w:t>
      </w:r>
      <w:r>
        <w:rPr>
          <w:color w:val="000000"/>
          <w:sz w:val="28"/>
          <w:szCs w:val="28"/>
          <w:lang w:bidi="zh-CN"/>
        </w:rPr>
      </w:r>
      <w:r/>
    </w:p>
    <w:p>
      <w:pPr>
        <w:pStyle w:val="716"/>
        <w:ind w:firstLine="4900"/>
        <w:rPr>
          <w:color w:val="000000"/>
          <w:sz w:val="28"/>
          <w:szCs w:val="28"/>
          <w:lang w:bidi="zh-CN"/>
        </w:rPr>
      </w:pPr>
      <w:r>
        <w:rPr>
          <w:color w:val="000000"/>
          <w:sz w:val="28"/>
          <w:szCs w:val="28"/>
          <w:lang w:bidi="zh-CN"/>
        </w:rPr>
        <w:t xml:space="preserve">日期：</w:t>
      </w:r>
      <w:r>
        <w:rPr>
          <w:color w:val="000000"/>
          <w:sz w:val="28"/>
          <w:szCs w:val="28"/>
          <w:lang w:bidi="zh-CN"/>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rFonts w:hint="eastAsia"/>
          <w:color w:val="000000"/>
          <w:sz w:val="28"/>
          <w:szCs w:val="28"/>
        </w:rPr>
      </w:pPr>
      <w:r>
        <w:rPr>
          <w:rFonts w:hint="eastAsia"/>
          <w:color w:val="000000"/>
          <w:sz w:val="28"/>
          <w:szCs w:val="28"/>
        </w:rPr>
      </w:r>
      <w:r/>
    </w:p>
    <w:p>
      <w:pPr>
        <w:pStyle w:val="716"/>
        <w:rPr>
          <w:color w:val="000000"/>
          <w:sz w:val="28"/>
          <w:szCs w:val="28"/>
        </w:rPr>
        <w:outlineLvl w:val="1"/>
      </w:pPr>
      <w:r>
        <w:rPr>
          <w:color w:val="000000"/>
          <w:sz w:val="28"/>
          <w:szCs w:val="28"/>
        </w:rPr>
        <w:t xml:space="preserve">附件11</w:t>
      </w:r>
      <w:r>
        <w:rPr>
          <w:color w:val="000000"/>
          <w:sz w:val="28"/>
          <w:szCs w:val="28"/>
        </w:rPr>
      </w:r>
      <w:r/>
    </w:p>
    <w:p>
      <w:pPr>
        <w:pStyle w:val="716"/>
        <w:jc w:val="center"/>
        <w:rPr>
          <w:b/>
          <w:color w:val="000000"/>
          <w:sz w:val="28"/>
          <w:szCs w:val="28"/>
        </w:rPr>
      </w:pPr>
      <w:r>
        <w:rPr>
          <w:b/>
          <w:color w:val="000000"/>
          <w:sz w:val="28"/>
          <w:szCs w:val="28"/>
        </w:rPr>
        <w:t xml:space="preserve">残疾人福利性单位声明函</w:t>
      </w:r>
      <w:r>
        <w:rPr>
          <w:b/>
          <w:color w:val="000000"/>
          <w:sz w:val="28"/>
          <w:szCs w:val="28"/>
        </w:rPr>
      </w:r>
      <w:r/>
    </w:p>
    <w:p>
      <w:pPr>
        <w:pStyle w:val="716"/>
        <w:ind w:firstLine="560"/>
        <w:rPr>
          <w:color w:val="000000"/>
          <w:sz w:val="28"/>
          <w:szCs w:val="28"/>
        </w:rPr>
      </w:pPr>
      <w:r>
        <w:rPr>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000000"/>
          <w:sz w:val="28"/>
          <w:szCs w:val="28"/>
          <w:u w:val="single"/>
        </w:rPr>
        <w:t xml:space="preserve">       </w:t>
      </w:r>
      <w:r>
        <w:rPr>
          <w:color w:val="000000"/>
          <w:sz w:val="28"/>
          <w:szCs w:val="28"/>
        </w:rPr>
        <w:t xml:space="preserve">项目采购活动提供本单位制造的货物（由本单位承担工程/提供服务），或者提供其他残疾人福利性单位制造的货物（不包括使用非残疾人福利性单位注册商标的货物）。</w:t>
      </w:r>
      <w:r>
        <w:rPr>
          <w:color w:val="000000"/>
          <w:sz w:val="28"/>
          <w:szCs w:val="28"/>
        </w:rPr>
      </w:r>
      <w:r/>
    </w:p>
    <w:p>
      <w:pPr>
        <w:pStyle w:val="716"/>
        <w:ind w:firstLine="560"/>
        <w:rPr>
          <w:color w:val="000000"/>
          <w:sz w:val="28"/>
          <w:szCs w:val="28"/>
        </w:rPr>
      </w:pPr>
      <w:r>
        <w:rPr>
          <w:color w:val="000000"/>
          <w:sz w:val="28"/>
          <w:szCs w:val="28"/>
        </w:rPr>
        <w:t xml:space="preserve">本单位对上述声明的真实性负责。如有虚假，将依法承担相应责任。</w:t>
      </w:r>
      <w:r>
        <w:rPr>
          <w:color w:val="000000"/>
          <w:sz w:val="28"/>
          <w:szCs w:val="28"/>
        </w:rPr>
      </w:r>
      <w:r/>
    </w:p>
    <w:p>
      <w:pPr>
        <w:pStyle w:val="716"/>
        <w:ind w:firstLine="560"/>
        <w:rPr>
          <w:color w:val="000000"/>
          <w:sz w:val="28"/>
          <w:szCs w:val="28"/>
        </w:rPr>
      </w:pPr>
      <w:r>
        <w:rPr>
          <w:color w:val="000000"/>
          <w:sz w:val="28"/>
          <w:szCs w:val="28"/>
        </w:rPr>
        <w:t xml:space="preserve">（备注：1、供应商如不提供此声明函，价格将不做相应扣除。2、中标供应商为残疾人福利单位的，此声明函将随中标结果同时公告，接受社会监督）</w:t>
      </w:r>
      <w:r>
        <w:rPr>
          <w:color w:val="000000"/>
          <w:sz w:val="28"/>
          <w:szCs w:val="28"/>
        </w:rPr>
      </w:r>
      <w:r/>
    </w:p>
    <w:p>
      <w:pPr>
        <w:pStyle w:val="716"/>
        <w:ind w:firstLine="584"/>
        <w:rPr>
          <w:color w:val="000000"/>
          <w:spacing w:val="6"/>
          <w:sz w:val="28"/>
          <w:szCs w:val="28"/>
        </w:rPr>
      </w:pPr>
      <w:r>
        <w:rPr>
          <w:color w:val="000000"/>
          <w:spacing w:val="6"/>
          <w:sz w:val="28"/>
          <w:szCs w:val="28"/>
        </w:rPr>
      </w:r>
      <w:r/>
    </w:p>
    <w:p>
      <w:pPr>
        <w:pStyle w:val="716"/>
        <w:ind w:firstLine="584"/>
        <w:rPr>
          <w:color w:val="000000"/>
          <w:spacing w:val="6"/>
          <w:sz w:val="28"/>
          <w:szCs w:val="28"/>
        </w:rPr>
      </w:pPr>
      <w:r>
        <w:rPr>
          <w:color w:val="000000"/>
          <w:spacing w:val="6"/>
          <w:sz w:val="28"/>
          <w:szCs w:val="28"/>
        </w:rPr>
      </w:r>
      <w:r/>
    </w:p>
    <w:p>
      <w:pPr>
        <w:pStyle w:val="716"/>
        <w:ind w:firstLine="584"/>
        <w:rPr>
          <w:color w:val="000000"/>
          <w:spacing w:val="6"/>
          <w:sz w:val="28"/>
          <w:szCs w:val="28"/>
        </w:rPr>
      </w:pPr>
      <w:r>
        <w:rPr>
          <w:color w:val="000000"/>
          <w:spacing w:val="6"/>
          <w:sz w:val="28"/>
          <w:szCs w:val="28"/>
        </w:rPr>
      </w:r>
      <w:r/>
    </w:p>
    <w:p>
      <w:pPr>
        <w:pStyle w:val="716"/>
        <w:ind w:firstLine="584"/>
        <w:rPr>
          <w:color w:val="000000"/>
          <w:spacing w:val="6"/>
          <w:sz w:val="28"/>
          <w:szCs w:val="28"/>
        </w:rPr>
      </w:pPr>
      <w:r>
        <w:rPr>
          <w:color w:val="000000"/>
          <w:spacing w:val="6"/>
          <w:sz w:val="28"/>
          <w:szCs w:val="28"/>
        </w:rPr>
      </w:r>
      <w:r/>
    </w:p>
    <w:p>
      <w:pPr>
        <w:pStyle w:val="716"/>
        <w:ind w:right="1560" w:firstLine="584"/>
        <w:jc w:val="center"/>
        <w:tabs>
          <w:tab w:val="left" w:pos="4860" w:leader="none"/>
        </w:tabs>
        <w:rPr>
          <w:color w:val="000000"/>
          <w:sz w:val="28"/>
          <w:szCs w:val="28"/>
        </w:rPr>
      </w:pPr>
      <w:r>
        <w:rPr>
          <w:color w:val="000000"/>
          <w:spacing w:val="6"/>
          <w:sz w:val="28"/>
          <w:szCs w:val="28"/>
        </w:rPr>
        <w:t xml:space="preserve">             </w:t>
      </w:r>
      <w:r>
        <w:rPr>
          <w:color w:val="000000"/>
          <w:sz w:val="28"/>
          <w:szCs w:val="28"/>
        </w:rPr>
        <w:t xml:space="preserve">           供应商全称（盖章）：</w:t>
      </w:r>
      <w:r>
        <w:rPr>
          <w:color w:val="000000"/>
          <w:sz w:val="28"/>
          <w:szCs w:val="28"/>
        </w:rPr>
      </w:r>
      <w:r/>
    </w:p>
    <w:p>
      <w:pPr>
        <w:pStyle w:val="716"/>
        <w:ind w:right="1560" w:firstLine="560"/>
        <w:jc w:val="center"/>
        <w:tabs>
          <w:tab w:val="left" w:pos="4860" w:leader="none"/>
        </w:tabs>
        <w:rPr>
          <w:color w:val="000000"/>
          <w:sz w:val="28"/>
          <w:szCs w:val="28"/>
        </w:rPr>
      </w:pPr>
      <w:r>
        <w:rPr>
          <w:color w:val="000000"/>
          <w:sz w:val="28"/>
          <w:szCs w:val="28"/>
        </w:rPr>
        <w:t xml:space="preserve">              日  期：</w:t>
      </w: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outlineLvl w:val="1"/>
      </w:pPr>
      <w:r>
        <w:rPr>
          <w:color w:val="000000"/>
          <w:sz w:val="28"/>
          <w:szCs w:val="28"/>
        </w:rPr>
        <w:t xml:space="preserve">附件12</w:t>
      </w:r>
      <w:r>
        <w:rPr>
          <w:color w:val="000000"/>
          <w:sz w:val="28"/>
          <w:szCs w:val="28"/>
        </w:rPr>
      </w:r>
      <w:r/>
    </w:p>
    <w:p>
      <w:pPr>
        <w:pStyle w:val="716"/>
        <w:jc w:val="center"/>
        <w:rPr>
          <w:b/>
          <w:bCs/>
          <w:color w:val="000000"/>
          <w:sz w:val="28"/>
          <w:szCs w:val="28"/>
        </w:rPr>
      </w:pPr>
      <w:r>
        <w:rPr>
          <w:b/>
          <w:bCs/>
          <w:color w:val="000000"/>
          <w:sz w:val="28"/>
          <w:szCs w:val="28"/>
        </w:rPr>
        <w:t xml:space="preserve">监狱和戒毒企业证明材料</w:t>
      </w:r>
      <w:r>
        <w:rPr>
          <w:b/>
          <w:bCs/>
          <w:color w:val="000000"/>
          <w:sz w:val="28"/>
          <w:szCs w:val="28"/>
        </w:rPr>
      </w:r>
      <w:r/>
    </w:p>
    <w:p>
      <w:pPr>
        <w:pStyle w:val="716"/>
        <w:ind w:firstLine="495"/>
        <w:rPr>
          <w:color w:val="000000"/>
          <w:sz w:val="28"/>
          <w:szCs w:val="28"/>
        </w:rPr>
      </w:pPr>
      <w:r>
        <w:rPr>
          <w:color w:val="000000"/>
          <w:sz w:val="28"/>
          <w:szCs w:val="28"/>
        </w:rPr>
      </w:r>
      <w:r/>
    </w:p>
    <w:p>
      <w:pPr>
        <w:pStyle w:val="716"/>
        <w:ind w:firstLine="498"/>
        <w:rPr>
          <w:b/>
          <w:color w:val="000000"/>
          <w:sz w:val="28"/>
          <w:szCs w:val="28"/>
        </w:rPr>
      </w:pPr>
      <w:r>
        <w:rPr>
          <w:b/>
          <w:color w:val="000000"/>
          <w:sz w:val="28"/>
          <w:szCs w:val="28"/>
        </w:rPr>
        <w:t xml:space="preserve">（格式自拟）</w:t>
      </w:r>
      <w:r>
        <w:rPr>
          <w:b/>
          <w:color w:val="000000"/>
          <w:sz w:val="28"/>
          <w:szCs w:val="28"/>
        </w:rPr>
      </w:r>
      <w:r/>
    </w:p>
    <w:p>
      <w:pPr>
        <w:pStyle w:val="716"/>
        <w:ind w:firstLine="495"/>
        <w:rPr>
          <w:color w:val="000000"/>
          <w:sz w:val="28"/>
          <w:szCs w:val="28"/>
        </w:rPr>
      </w:pPr>
      <w:r>
        <w:rPr>
          <w:color w:val="000000"/>
          <w:sz w:val="28"/>
          <w:szCs w:val="28"/>
        </w:rPr>
      </w:r>
      <w:r/>
    </w:p>
    <w:p>
      <w:pPr>
        <w:pStyle w:val="716"/>
        <w:ind w:firstLine="660"/>
        <w:rPr>
          <w:color w:val="000000"/>
          <w:sz w:val="28"/>
          <w:szCs w:val="28"/>
        </w:rPr>
      </w:pPr>
      <w:r>
        <w:rPr>
          <w:color w:val="000000"/>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rFonts w:hint="eastAsia"/>
          <w:color w:val="000000"/>
          <w:sz w:val="28"/>
          <w:szCs w:val="28"/>
        </w:rPr>
      </w:pPr>
      <w:r>
        <w:rPr>
          <w:rFonts w:hint="eastAsia"/>
          <w:color w:val="000000"/>
          <w:sz w:val="28"/>
          <w:szCs w:val="28"/>
        </w:rPr>
      </w:r>
      <w:r/>
    </w:p>
    <w:p>
      <w:pPr>
        <w:pStyle w:val="716"/>
        <w:rPr>
          <w:bCs/>
          <w:color w:val="000000"/>
          <w:sz w:val="28"/>
          <w:szCs w:val="28"/>
          <w:lang w:bidi="ar"/>
        </w:rPr>
        <w:outlineLvl w:val="1"/>
      </w:pPr>
      <w:r>
        <w:rPr>
          <w:bCs/>
          <w:color w:val="000000"/>
          <w:sz w:val="28"/>
          <w:szCs w:val="28"/>
          <w:lang w:bidi="ar"/>
        </w:rPr>
        <w:t xml:space="preserve">附件13</w:t>
      </w:r>
      <w:r>
        <w:rPr>
          <w:bCs/>
          <w:color w:val="000000"/>
          <w:sz w:val="28"/>
          <w:szCs w:val="28"/>
          <w:lang w:bidi="ar"/>
        </w:rPr>
      </w:r>
      <w:r/>
    </w:p>
    <w:p>
      <w:pPr>
        <w:pStyle w:val="716"/>
        <w:jc w:val="center"/>
        <w:spacing w:before="240"/>
        <w:rPr>
          <w:b/>
          <w:color w:val="000000"/>
          <w:sz w:val="28"/>
          <w:szCs w:val="28"/>
          <w:lang w:bidi="ar"/>
        </w:rPr>
      </w:pPr>
      <w:r>
        <w:rPr>
          <w:b/>
          <w:color w:val="000000"/>
          <w:sz w:val="28"/>
          <w:szCs w:val="28"/>
          <w:lang w:bidi="ar"/>
        </w:rPr>
        <w:t xml:space="preserve">供应商信用承诺书</w:t>
      </w:r>
      <w:r>
        <w:rPr>
          <w:b/>
          <w:color w:val="000000"/>
          <w:sz w:val="28"/>
          <w:szCs w:val="28"/>
          <w:lang w:bidi="ar"/>
        </w:rPr>
      </w:r>
      <w:r/>
    </w:p>
    <w:p>
      <w:pPr>
        <w:pStyle w:val="716"/>
        <w:ind w:firstLine="560"/>
        <w:rPr>
          <w:color w:val="000000"/>
          <w:sz w:val="28"/>
          <w:szCs w:val="28"/>
          <w:lang w:val="zh-CN"/>
        </w:rPr>
      </w:pPr>
      <w:r>
        <w:rPr>
          <w:color w:val="000000"/>
          <w:sz w:val="28"/>
          <w:szCs w:val="28"/>
          <w:lang w:val="zh-CN" w:bidi="ar"/>
        </w:rPr>
        <w:t xml:space="preserve">为营造公开、公平、公正的公共资源交易环境，树立诚信守法的投标人形象，本人代表本单位作出以下承诺：</w:t>
      </w:r>
      <w:r>
        <w:rPr>
          <w:color w:val="000000"/>
          <w:sz w:val="28"/>
          <w:szCs w:val="28"/>
          <w:lang w:val="zh-CN"/>
        </w:rPr>
      </w:r>
      <w:r/>
    </w:p>
    <w:p>
      <w:pPr>
        <w:pStyle w:val="716"/>
        <w:ind w:firstLine="560"/>
        <w:rPr>
          <w:color w:val="000000"/>
          <w:sz w:val="28"/>
          <w:szCs w:val="28"/>
          <w:lang w:val="zh-CN"/>
        </w:rPr>
      </w:pPr>
      <w:r>
        <w:rPr>
          <w:color w:val="000000"/>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color w:val="000000"/>
          <w:sz w:val="28"/>
          <w:szCs w:val="28"/>
          <w:lang w:val="zh-CN"/>
        </w:rPr>
      </w:r>
      <w:r/>
    </w:p>
    <w:p>
      <w:pPr>
        <w:pStyle w:val="716"/>
        <w:ind w:firstLine="560"/>
        <w:rPr>
          <w:color w:val="000000"/>
          <w:sz w:val="28"/>
          <w:szCs w:val="28"/>
          <w:lang w:val="zh-CN"/>
        </w:rPr>
      </w:pPr>
      <w:r>
        <w:rPr>
          <w:color w:val="000000"/>
          <w:sz w:val="28"/>
          <w:szCs w:val="28"/>
          <w:lang w:val="zh-CN" w:bidi="ar"/>
        </w:rPr>
        <w:t xml:space="preserve">二、严格依照国家和省、市、县关于政府采购等方面的法律、法规、规章、规范性文件，参加公共资源交易招标投标活动；积极履行社会责任，促进廉政建设；</w:t>
      </w:r>
      <w:r>
        <w:rPr>
          <w:color w:val="000000"/>
          <w:sz w:val="28"/>
          <w:szCs w:val="28"/>
          <w:lang w:val="zh-CN"/>
        </w:rPr>
      </w:r>
      <w:r/>
    </w:p>
    <w:p>
      <w:pPr>
        <w:pStyle w:val="716"/>
        <w:ind w:firstLine="560"/>
        <w:rPr>
          <w:color w:val="000000"/>
          <w:sz w:val="28"/>
          <w:szCs w:val="28"/>
          <w:lang w:val="zh-CN"/>
        </w:rPr>
      </w:pPr>
      <w:r>
        <w:rPr>
          <w:color w:val="000000"/>
          <w:sz w:val="28"/>
          <w:szCs w:val="28"/>
          <w:lang w:val="zh-CN" w:bidi="ar"/>
        </w:rPr>
        <w:t xml:space="preserve">三、严格遵守即时信息公示规定，及时更新公共资源交易中心主体信息库中信息；</w:t>
      </w:r>
      <w:r>
        <w:rPr>
          <w:color w:val="000000"/>
          <w:sz w:val="28"/>
          <w:szCs w:val="28"/>
          <w:lang w:val="zh-CN"/>
        </w:rPr>
      </w:r>
      <w:r/>
    </w:p>
    <w:p>
      <w:pPr>
        <w:pStyle w:val="716"/>
        <w:ind w:firstLine="560"/>
        <w:rPr>
          <w:color w:val="000000"/>
          <w:sz w:val="28"/>
          <w:szCs w:val="28"/>
          <w:lang w:val="zh-CN"/>
        </w:rPr>
      </w:pPr>
      <w:r>
        <w:rPr>
          <w:color w:val="000000"/>
          <w:sz w:val="28"/>
          <w:szCs w:val="28"/>
          <w:lang w:val="zh-CN" w:bidi="ar"/>
        </w:rPr>
        <w:t xml:space="preserve">四、自我约束、自我管理，守合同、重信用，不参与围标串标、弄虚作假、骗取中标、干扰评标、违约毁约、恶意投诉等行为，主动维护公共资源交易招标投标的良好秩序；</w:t>
      </w:r>
      <w:r>
        <w:rPr>
          <w:color w:val="000000"/>
          <w:sz w:val="28"/>
          <w:szCs w:val="28"/>
          <w:lang w:val="zh-CN"/>
        </w:rPr>
      </w:r>
      <w:r/>
    </w:p>
    <w:p>
      <w:pPr>
        <w:pStyle w:val="716"/>
        <w:ind w:firstLine="560"/>
        <w:rPr>
          <w:color w:val="000000"/>
          <w:sz w:val="28"/>
          <w:szCs w:val="28"/>
          <w:lang w:val="zh-CN"/>
        </w:rPr>
      </w:pPr>
      <w:r>
        <w:rPr>
          <w:color w:val="000000"/>
          <w:sz w:val="28"/>
          <w:szCs w:val="28"/>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color w:val="000000"/>
          <w:sz w:val="28"/>
          <w:szCs w:val="28"/>
          <w:lang w:val="zh-CN"/>
        </w:rPr>
      </w:r>
      <w:r/>
    </w:p>
    <w:p>
      <w:pPr>
        <w:pStyle w:val="716"/>
        <w:ind w:firstLine="560"/>
        <w:rPr>
          <w:color w:val="000000"/>
          <w:sz w:val="28"/>
          <w:szCs w:val="28"/>
          <w:lang w:val="zh-CN"/>
        </w:rPr>
      </w:pPr>
      <w:r>
        <w:rPr>
          <w:color w:val="000000"/>
          <w:sz w:val="28"/>
          <w:szCs w:val="28"/>
          <w:lang w:val="zh-CN" w:bidi="ar"/>
        </w:rPr>
        <w:t xml:space="preserve">六、自觉接受政府部门、行业组织、社会公众、新闻舆论等监督；</w:t>
      </w:r>
      <w:r>
        <w:rPr>
          <w:color w:val="000000"/>
          <w:sz w:val="28"/>
          <w:szCs w:val="28"/>
          <w:lang w:val="zh-CN"/>
        </w:rPr>
      </w:r>
      <w:r/>
    </w:p>
    <w:p>
      <w:pPr>
        <w:pStyle w:val="716"/>
        <w:ind w:firstLine="560"/>
        <w:rPr>
          <w:color w:val="000000"/>
          <w:sz w:val="28"/>
          <w:szCs w:val="28"/>
          <w:lang w:val="zh-CN"/>
        </w:rPr>
      </w:pPr>
      <w:r>
        <w:rPr>
          <w:color w:val="000000"/>
          <w:sz w:val="28"/>
          <w:szCs w:val="28"/>
          <w:lang w:val="zh-CN" w:bidi="ar"/>
        </w:rPr>
        <w:t xml:space="preserve">七、上述承诺已向本单位员工作了宣传教育；</w:t>
      </w:r>
      <w:r>
        <w:rPr>
          <w:color w:val="000000"/>
          <w:sz w:val="28"/>
          <w:szCs w:val="28"/>
          <w:lang w:val="zh-CN"/>
        </w:rPr>
      </w:r>
      <w:r/>
    </w:p>
    <w:p>
      <w:pPr>
        <w:pStyle w:val="716"/>
        <w:ind w:firstLine="562"/>
        <w:rPr>
          <w:b/>
          <w:color w:val="000000"/>
          <w:sz w:val="28"/>
          <w:szCs w:val="28"/>
          <w:lang w:val="zh-CN"/>
        </w:rPr>
      </w:pPr>
      <w:r>
        <w:rPr>
          <w:b/>
          <w:color w:val="000000"/>
          <w:sz w:val="28"/>
          <w:szCs w:val="28"/>
          <w:lang w:val="zh-CN" w:bidi="ar"/>
        </w:rPr>
        <w:t xml:space="preserve">如有违反上述承诺的不良行为，本单位同意将其予以上网公示。</w:t>
      </w:r>
      <w:r>
        <w:rPr>
          <w:b/>
          <w:color w:val="000000"/>
          <w:sz w:val="28"/>
          <w:szCs w:val="28"/>
          <w:lang w:val="zh-CN"/>
        </w:rPr>
      </w:r>
      <w:r/>
    </w:p>
    <w:p>
      <w:pPr>
        <w:pStyle w:val="716"/>
        <w:rPr>
          <w:color w:val="000000"/>
          <w:sz w:val="28"/>
          <w:szCs w:val="28"/>
          <w:lang w:val="zh-CN"/>
        </w:rPr>
      </w:pPr>
      <w:r>
        <w:rPr>
          <w:color w:val="000000"/>
          <w:sz w:val="28"/>
          <w:szCs w:val="28"/>
          <w:lang w:val="zh-CN"/>
        </w:rPr>
      </w:r>
      <w:r/>
    </w:p>
    <w:p>
      <w:pPr>
        <w:pStyle w:val="716"/>
        <w:ind w:firstLine="5320"/>
        <w:rPr>
          <w:color w:val="000000"/>
          <w:sz w:val="28"/>
          <w:szCs w:val="28"/>
          <w:lang w:val="zh-CN"/>
        </w:rPr>
      </w:pPr>
      <w:r>
        <w:rPr>
          <w:color w:val="000000"/>
          <w:sz w:val="28"/>
          <w:szCs w:val="28"/>
          <w:lang w:val="zh-CN"/>
        </w:rPr>
      </w:r>
      <w:r/>
    </w:p>
    <w:p>
      <w:pPr>
        <w:pStyle w:val="716"/>
        <w:ind w:firstLine="3080"/>
        <w:rPr>
          <w:color w:val="000000"/>
          <w:sz w:val="28"/>
          <w:szCs w:val="28"/>
          <w:u w:val="single"/>
          <w:lang w:val="zh-CN"/>
        </w:rPr>
      </w:pPr>
      <w:r>
        <w:rPr>
          <w:color w:val="000000"/>
          <w:sz w:val="28"/>
          <w:szCs w:val="28"/>
          <w:lang w:val="zh-CN" w:bidi="ar"/>
        </w:rPr>
        <w:t xml:space="preserve">投标供应商全称(盖公章)：</w:t>
      </w:r>
      <w:r>
        <w:rPr>
          <w:color w:val="000000"/>
          <w:sz w:val="28"/>
          <w:szCs w:val="28"/>
          <w:u w:val="single"/>
          <w:lang w:val="zh-CN"/>
        </w:rPr>
      </w:r>
      <w:r/>
    </w:p>
    <w:p>
      <w:pPr>
        <w:pStyle w:val="716"/>
        <w:ind w:firstLine="3080"/>
        <w:rPr>
          <w:color w:val="000000"/>
          <w:sz w:val="28"/>
          <w:szCs w:val="28"/>
          <w:u w:val="single"/>
          <w:lang w:val="zh-CN"/>
        </w:rPr>
      </w:pPr>
      <w:r>
        <w:rPr>
          <w:color w:val="000000"/>
          <w:sz w:val="28"/>
          <w:szCs w:val="28"/>
          <w:lang w:val="zh-CN" w:bidi="ar"/>
        </w:rPr>
        <w:t xml:space="preserve">法定代表人（签字或盖章）：</w:t>
      </w:r>
      <w:r>
        <w:rPr>
          <w:color w:val="000000"/>
          <w:sz w:val="28"/>
          <w:szCs w:val="28"/>
          <w:u w:val="single"/>
          <w:lang w:val="zh-CN"/>
        </w:rPr>
      </w:r>
      <w:r/>
    </w:p>
    <w:p>
      <w:pPr>
        <w:pStyle w:val="716"/>
        <w:ind w:firstLine="5600"/>
        <w:rPr>
          <w:color w:val="000000"/>
          <w:sz w:val="28"/>
          <w:szCs w:val="28"/>
          <w:lang w:val="zh-CN" w:bidi="ar"/>
        </w:rPr>
      </w:pPr>
      <w:r>
        <w:rPr>
          <w:color w:val="000000"/>
          <w:sz w:val="28"/>
          <w:szCs w:val="28"/>
          <w:lang w:val="zh-CN" w:bidi="ar"/>
        </w:rPr>
        <w:t xml:space="preserve">时间：  年  月   日</w:t>
      </w: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color w:val="000000"/>
          <w:sz w:val="28"/>
          <w:szCs w:val="28"/>
          <w:lang w:val="zh-CN" w:bidi="ar"/>
        </w:rPr>
      </w:pPr>
      <w:r>
        <w:rPr>
          <w:color w:val="000000"/>
          <w:sz w:val="28"/>
          <w:szCs w:val="28"/>
          <w:lang w:val="zh-CN" w:bidi="ar"/>
        </w:rPr>
      </w:r>
      <w:r/>
    </w:p>
    <w:p>
      <w:pPr>
        <w:pStyle w:val="716"/>
        <w:ind w:firstLine="5600"/>
        <w:rPr>
          <w:rFonts w:hint="eastAsia"/>
          <w:color w:val="000000"/>
          <w:sz w:val="28"/>
          <w:szCs w:val="28"/>
          <w:lang w:val="zh-CN"/>
        </w:rPr>
      </w:pPr>
      <w:r>
        <w:rPr>
          <w:rFonts w:hint="eastAsia"/>
          <w:color w:val="000000"/>
          <w:sz w:val="28"/>
          <w:szCs w:val="28"/>
          <w:lang w:val="zh-CN"/>
        </w:rPr>
      </w:r>
      <w:r/>
    </w:p>
    <w:p>
      <w:pPr>
        <w:pStyle w:val="716"/>
        <w:rPr>
          <w:color w:val="000000"/>
          <w:sz w:val="28"/>
          <w:szCs w:val="28"/>
        </w:rPr>
        <w:outlineLvl w:val="1"/>
      </w:pPr>
      <w:r>
        <w:rPr>
          <w:color w:val="000000"/>
          <w:sz w:val="28"/>
          <w:szCs w:val="28"/>
        </w:rPr>
        <w:t xml:space="preserve">附件14</w:t>
      </w:r>
      <w:r>
        <w:rPr>
          <w:color w:val="000000"/>
          <w:sz w:val="28"/>
          <w:szCs w:val="28"/>
        </w:rPr>
      </w:r>
      <w:r/>
    </w:p>
    <w:p>
      <w:pPr>
        <w:pStyle w:val="716"/>
        <w:jc w:val="center"/>
        <w:rPr>
          <w:b/>
          <w:color w:val="000000"/>
          <w:sz w:val="28"/>
          <w:szCs w:val="28"/>
        </w:rPr>
      </w:pPr>
      <w:r>
        <w:rPr>
          <w:b/>
          <w:color w:val="000000"/>
          <w:sz w:val="28"/>
          <w:szCs w:val="28"/>
        </w:rPr>
        <w:t xml:space="preserve">质疑函范本</w:t>
      </w:r>
      <w:r>
        <w:rPr>
          <w:b/>
          <w:color w:val="000000"/>
          <w:sz w:val="28"/>
          <w:szCs w:val="28"/>
        </w:rPr>
      </w:r>
      <w:r/>
    </w:p>
    <w:p>
      <w:pPr>
        <w:pStyle w:val="716"/>
        <w:spacing w:before="312"/>
        <w:rPr>
          <w:bCs/>
          <w:color w:val="000000"/>
          <w:sz w:val="28"/>
          <w:szCs w:val="28"/>
        </w:rPr>
      </w:pPr>
      <w:r>
        <w:rPr>
          <w:bCs/>
          <w:color w:val="000000"/>
          <w:sz w:val="28"/>
          <w:szCs w:val="28"/>
        </w:rPr>
        <w:t xml:space="preserve">一、质疑供应商基本信息</w:t>
      </w:r>
      <w:r>
        <w:rPr>
          <w:bCs/>
          <w:color w:val="000000"/>
          <w:sz w:val="28"/>
          <w:szCs w:val="28"/>
        </w:rPr>
      </w:r>
      <w:r/>
    </w:p>
    <w:p>
      <w:pPr>
        <w:pStyle w:val="716"/>
        <w:rPr>
          <w:color w:val="000000"/>
          <w:sz w:val="28"/>
          <w:szCs w:val="28"/>
          <w:u w:val="single"/>
        </w:rPr>
      </w:pPr>
      <w:r>
        <w:rPr>
          <w:color w:val="000000"/>
          <w:sz w:val="28"/>
          <w:szCs w:val="28"/>
        </w:rPr>
        <w:t xml:space="preserve">质疑供应商：</w:t>
      </w:r>
      <w:r>
        <w:rPr>
          <w:color w:val="000000"/>
          <w:sz w:val="28"/>
          <w:szCs w:val="28"/>
          <w:u w:val="single"/>
        </w:rPr>
      </w:r>
      <w:r/>
    </w:p>
    <w:p>
      <w:pPr>
        <w:pStyle w:val="716"/>
        <w:rPr>
          <w:color w:val="000000"/>
          <w:sz w:val="28"/>
          <w:szCs w:val="28"/>
        </w:rPr>
      </w:pPr>
      <w:r>
        <w:rPr>
          <w:color w:val="000000"/>
          <w:sz w:val="28"/>
          <w:szCs w:val="28"/>
        </w:rPr>
        <w:t xml:space="preserve">地址：邮编：</w:t>
      </w:r>
      <w:r>
        <w:rPr>
          <w:color w:val="000000"/>
          <w:sz w:val="28"/>
          <w:szCs w:val="28"/>
        </w:rPr>
      </w:r>
      <w:r/>
    </w:p>
    <w:p>
      <w:pPr>
        <w:pStyle w:val="716"/>
        <w:rPr>
          <w:color w:val="000000"/>
          <w:sz w:val="28"/>
          <w:szCs w:val="28"/>
        </w:rPr>
      </w:pPr>
      <w:r>
        <w:rPr>
          <w:color w:val="000000"/>
          <w:sz w:val="28"/>
          <w:szCs w:val="28"/>
        </w:rPr>
        <w:t xml:space="preserve">联系人：联系电话：</w:t>
      </w:r>
      <w:r>
        <w:rPr>
          <w:color w:val="000000"/>
          <w:sz w:val="28"/>
          <w:szCs w:val="28"/>
        </w:rPr>
      </w:r>
      <w:r/>
    </w:p>
    <w:p>
      <w:pPr>
        <w:pStyle w:val="716"/>
        <w:rPr>
          <w:color w:val="000000"/>
          <w:sz w:val="28"/>
          <w:szCs w:val="28"/>
          <w:u w:val="single"/>
        </w:rPr>
      </w:pPr>
      <w:r>
        <w:rPr>
          <w:color w:val="000000"/>
          <w:sz w:val="28"/>
          <w:szCs w:val="28"/>
        </w:rPr>
        <w:t xml:space="preserve">授权代表：</w:t>
      </w:r>
      <w:r>
        <w:rPr>
          <w:color w:val="000000"/>
          <w:sz w:val="28"/>
          <w:szCs w:val="28"/>
          <w:u w:val="single"/>
        </w:rPr>
      </w:r>
      <w:r/>
    </w:p>
    <w:p>
      <w:pPr>
        <w:pStyle w:val="716"/>
        <w:rPr>
          <w:color w:val="000000"/>
          <w:sz w:val="28"/>
          <w:szCs w:val="28"/>
        </w:rPr>
      </w:pPr>
      <w:r>
        <w:rPr>
          <w:color w:val="000000"/>
          <w:sz w:val="28"/>
          <w:szCs w:val="28"/>
        </w:rPr>
        <w:t xml:space="preserve">联系电话：</w:t>
      </w:r>
      <w:r>
        <w:rPr>
          <w:color w:val="000000"/>
          <w:sz w:val="28"/>
          <w:szCs w:val="28"/>
        </w:rPr>
      </w:r>
      <w:r/>
    </w:p>
    <w:p>
      <w:pPr>
        <w:pStyle w:val="716"/>
        <w:rPr>
          <w:color w:val="000000"/>
          <w:sz w:val="28"/>
          <w:szCs w:val="28"/>
        </w:rPr>
      </w:pPr>
      <w:r>
        <w:rPr>
          <w:color w:val="000000"/>
          <w:sz w:val="28"/>
          <w:szCs w:val="28"/>
        </w:rPr>
        <w:t xml:space="preserve">地址：邮编：</w:t>
      </w:r>
      <w:r>
        <w:rPr>
          <w:color w:val="000000"/>
          <w:sz w:val="28"/>
          <w:szCs w:val="28"/>
        </w:rPr>
      </w:r>
      <w:r/>
    </w:p>
    <w:p>
      <w:pPr>
        <w:pStyle w:val="716"/>
        <w:rPr>
          <w:bCs/>
          <w:color w:val="000000"/>
          <w:sz w:val="28"/>
          <w:szCs w:val="28"/>
        </w:rPr>
      </w:pPr>
      <w:r>
        <w:rPr>
          <w:bCs/>
          <w:color w:val="000000"/>
          <w:sz w:val="28"/>
          <w:szCs w:val="28"/>
        </w:rPr>
        <w:t xml:space="preserve">二、质疑项目基本情况</w:t>
      </w:r>
      <w:r>
        <w:rPr>
          <w:bCs/>
          <w:color w:val="000000"/>
          <w:sz w:val="28"/>
          <w:szCs w:val="28"/>
        </w:rPr>
      </w:r>
      <w:r/>
    </w:p>
    <w:p>
      <w:pPr>
        <w:pStyle w:val="716"/>
        <w:rPr>
          <w:color w:val="000000"/>
          <w:sz w:val="28"/>
          <w:szCs w:val="28"/>
        </w:rPr>
      </w:pPr>
      <w:r>
        <w:rPr>
          <w:color w:val="000000"/>
          <w:sz w:val="28"/>
          <w:szCs w:val="28"/>
        </w:rPr>
        <w:t xml:space="preserve">质疑项目的名称：</w:t>
      </w:r>
      <w:r>
        <w:rPr>
          <w:color w:val="000000"/>
          <w:sz w:val="28"/>
          <w:szCs w:val="28"/>
        </w:rPr>
      </w:r>
      <w:r/>
    </w:p>
    <w:p>
      <w:pPr>
        <w:pStyle w:val="716"/>
        <w:rPr>
          <w:color w:val="000000"/>
          <w:sz w:val="28"/>
          <w:szCs w:val="28"/>
        </w:rPr>
      </w:pPr>
      <w:r>
        <w:rPr>
          <w:color w:val="000000"/>
          <w:sz w:val="28"/>
          <w:szCs w:val="28"/>
        </w:rPr>
        <w:t xml:space="preserve">质疑项目的编号：包号：</w:t>
      </w:r>
      <w:r>
        <w:rPr>
          <w:color w:val="000000"/>
          <w:sz w:val="28"/>
          <w:szCs w:val="28"/>
        </w:rPr>
      </w:r>
      <w:r/>
    </w:p>
    <w:p>
      <w:pPr>
        <w:pStyle w:val="716"/>
        <w:rPr>
          <w:color w:val="000000"/>
          <w:sz w:val="28"/>
          <w:szCs w:val="28"/>
          <w:u w:val="single"/>
        </w:rPr>
      </w:pPr>
      <w:r>
        <w:rPr>
          <w:color w:val="000000"/>
          <w:sz w:val="28"/>
          <w:szCs w:val="28"/>
        </w:rPr>
        <w:t xml:space="preserve">采购人名称：</w:t>
      </w:r>
      <w:r>
        <w:rPr>
          <w:color w:val="000000"/>
          <w:sz w:val="28"/>
          <w:szCs w:val="28"/>
          <w:u w:val="single"/>
        </w:rPr>
      </w:r>
      <w:r/>
    </w:p>
    <w:p>
      <w:pPr>
        <w:pStyle w:val="716"/>
        <w:rPr>
          <w:color w:val="000000"/>
          <w:sz w:val="28"/>
          <w:szCs w:val="28"/>
        </w:rPr>
      </w:pPr>
      <w:r>
        <w:rPr>
          <w:color w:val="000000"/>
          <w:sz w:val="28"/>
          <w:szCs w:val="28"/>
        </w:rPr>
        <w:t xml:space="preserve">采购文件获取日期：</w:t>
      </w:r>
      <w:r>
        <w:rPr>
          <w:color w:val="000000"/>
          <w:sz w:val="28"/>
          <w:szCs w:val="28"/>
        </w:rPr>
      </w:r>
      <w:r/>
    </w:p>
    <w:p>
      <w:pPr>
        <w:pStyle w:val="716"/>
        <w:rPr>
          <w:bCs/>
          <w:color w:val="000000"/>
          <w:sz w:val="28"/>
          <w:szCs w:val="28"/>
        </w:rPr>
      </w:pPr>
      <w:r>
        <w:rPr>
          <w:bCs/>
          <w:color w:val="000000"/>
          <w:sz w:val="28"/>
          <w:szCs w:val="28"/>
        </w:rPr>
        <w:t xml:space="preserve">三、质疑事项具体内容</w:t>
      </w:r>
      <w:r>
        <w:rPr>
          <w:bCs/>
          <w:color w:val="000000"/>
          <w:sz w:val="28"/>
          <w:szCs w:val="28"/>
        </w:rPr>
      </w:r>
      <w:r/>
    </w:p>
    <w:p>
      <w:pPr>
        <w:pStyle w:val="716"/>
        <w:rPr>
          <w:color w:val="000000"/>
          <w:sz w:val="28"/>
          <w:szCs w:val="28"/>
          <w:u w:val="single"/>
        </w:rPr>
      </w:pPr>
      <w:r>
        <w:rPr>
          <w:color w:val="000000"/>
          <w:sz w:val="28"/>
          <w:szCs w:val="28"/>
        </w:rPr>
        <w:t xml:space="preserve">质疑事项1：</w:t>
      </w:r>
      <w:r>
        <w:rPr>
          <w:color w:val="000000"/>
          <w:sz w:val="28"/>
          <w:szCs w:val="28"/>
          <w:u w:val="single"/>
        </w:rPr>
      </w:r>
      <w:r/>
    </w:p>
    <w:p>
      <w:pPr>
        <w:pStyle w:val="716"/>
        <w:rPr>
          <w:color w:val="000000"/>
          <w:sz w:val="28"/>
          <w:szCs w:val="28"/>
          <w:u w:val="single"/>
        </w:rPr>
      </w:pPr>
      <w:r>
        <w:rPr>
          <w:color w:val="000000"/>
          <w:sz w:val="28"/>
          <w:szCs w:val="28"/>
        </w:rPr>
        <w:t xml:space="preserve">事实依据：</w:t>
      </w:r>
      <w:r>
        <w:rPr>
          <w:color w:val="000000"/>
          <w:sz w:val="28"/>
          <w:szCs w:val="28"/>
          <w:u w:val="single"/>
        </w:rPr>
      </w:r>
      <w:r/>
    </w:p>
    <w:p>
      <w:pPr>
        <w:pStyle w:val="716"/>
        <w:rPr>
          <w:color w:val="000000"/>
          <w:sz w:val="28"/>
          <w:szCs w:val="28"/>
        </w:rPr>
      </w:pPr>
      <w:r>
        <w:rPr>
          <w:color w:val="000000"/>
          <w:sz w:val="28"/>
          <w:szCs w:val="28"/>
        </w:rPr>
      </w:r>
      <w:r/>
    </w:p>
    <w:p>
      <w:pPr>
        <w:pStyle w:val="716"/>
        <w:rPr>
          <w:color w:val="000000"/>
          <w:sz w:val="28"/>
          <w:szCs w:val="28"/>
          <w:u w:val="single"/>
        </w:rPr>
      </w:pPr>
      <w:r>
        <w:rPr>
          <w:color w:val="000000"/>
          <w:sz w:val="28"/>
          <w:szCs w:val="28"/>
        </w:rPr>
        <w:t xml:space="preserve">法律依据：</w:t>
      </w:r>
      <w:r>
        <w:rPr>
          <w:color w:val="000000"/>
          <w:sz w:val="28"/>
          <w:szCs w:val="28"/>
          <w:u w:val="single"/>
        </w:rPr>
      </w:r>
      <w:r/>
    </w:p>
    <w:p>
      <w:pPr>
        <w:pStyle w:val="716"/>
        <w:rPr>
          <w:color w:val="000000"/>
          <w:sz w:val="28"/>
          <w:szCs w:val="28"/>
          <w:u w:val="single"/>
        </w:rPr>
      </w:pPr>
      <w:r>
        <w:rPr>
          <w:color w:val="000000"/>
          <w:sz w:val="28"/>
          <w:szCs w:val="28"/>
          <w:u w:val="single"/>
        </w:rPr>
      </w:r>
      <w:r/>
    </w:p>
    <w:p>
      <w:pPr>
        <w:pStyle w:val="716"/>
        <w:rPr>
          <w:color w:val="000000"/>
          <w:sz w:val="28"/>
          <w:szCs w:val="28"/>
          <w:u w:val="single"/>
        </w:rPr>
      </w:pPr>
      <w:r>
        <w:rPr>
          <w:color w:val="000000"/>
          <w:sz w:val="28"/>
          <w:szCs w:val="28"/>
        </w:rPr>
        <w:t xml:space="preserve">质疑事项2</w:t>
      </w:r>
      <w:r>
        <w:rPr>
          <w:color w:val="000000"/>
          <w:sz w:val="28"/>
          <w:szCs w:val="28"/>
          <w:u w:val="single"/>
        </w:rPr>
      </w:r>
      <w:r/>
    </w:p>
    <w:p>
      <w:pPr>
        <w:pStyle w:val="716"/>
        <w:rPr>
          <w:color w:val="000000"/>
          <w:sz w:val="28"/>
          <w:szCs w:val="28"/>
        </w:rPr>
      </w:pPr>
      <w:r>
        <w:rPr>
          <w:color w:val="000000"/>
          <w:sz w:val="28"/>
          <w:szCs w:val="28"/>
        </w:rPr>
        <w:t xml:space="preserve">……</w:t>
      </w:r>
      <w:r>
        <w:rPr>
          <w:color w:val="000000"/>
          <w:sz w:val="28"/>
          <w:szCs w:val="28"/>
        </w:rPr>
      </w:r>
      <w:r/>
    </w:p>
    <w:p>
      <w:pPr>
        <w:pStyle w:val="716"/>
        <w:rPr>
          <w:bCs/>
          <w:color w:val="000000"/>
          <w:sz w:val="28"/>
          <w:szCs w:val="28"/>
        </w:rPr>
      </w:pPr>
      <w:r>
        <w:rPr>
          <w:bCs/>
          <w:color w:val="000000"/>
          <w:sz w:val="28"/>
          <w:szCs w:val="28"/>
        </w:rPr>
        <w:t xml:space="preserve">四、与质疑事项相关的质疑请求</w:t>
      </w:r>
      <w:r>
        <w:rPr>
          <w:bCs/>
          <w:color w:val="000000"/>
          <w:sz w:val="28"/>
          <w:szCs w:val="28"/>
        </w:rPr>
      </w:r>
      <w:r/>
    </w:p>
    <w:p>
      <w:pPr>
        <w:pStyle w:val="716"/>
        <w:rPr>
          <w:color w:val="000000"/>
          <w:sz w:val="28"/>
          <w:szCs w:val="28"/>
        </w:rPr>
      </w:pPr>
      <w:r>
        <w:rPr>
          <w:color w:val="000000"/>
          <w:sz w:val="28"/>
          <w:szCs w:val="28"/>
        </w:rPr>
        <w:t xml:space="preserve">请求：</w:t>
      </w:r>
      <w:r>
        <w:rPr>
          <w:color w:val="000000"/>
          <w:sz w:val="28"/>
          <w:szCs w:val="28"/>
        </w:rPr>
      </w:r>
      <w:r/>
    </w:p>
    <w:p>
      <w:pPr>
        <w:pStyle w:val="716"/>
        <w:rPr>
          <w:color w:val="000000"/>
          <w:sz w:val="28"/>
          <w:szCs w:val="28"/>
        </w:rPr>
      </w:pPr>
      <w:r>
        <w:rPr>
          <w:color w:val="000000"/>
          <w:sz w:val="28"/>
          <w:szCs w:val="28"/>
        </w:rPr>
      </w:r>
      <w:r/>
    </w:p>
    <w:p>
      <w:pPr>
        <w:pStyle w:val="716"/>
        <w:rPr>
          <w:color w:val="000000"/>
          <w:sz w:val="28"/>
          <w:szCs w:val="28"/>
        </w:rPr>
      </w:pPr>
      <w:r>
        <w:rPr>
          <w:color w:val="000000"/>
          <w:sz w:val="28"/>
          <w:szCs w:val="28"/>
        </w:rPr>
      </w:r>
      <w:r/>
    </w:p>
    <w:p>
      <w:pPr>
        <w:pStyle w:val="716"/>
        <w:rPr>
          <w:rFonts w:hint="eastAsia"/>
          <w:color w:val="000000"/>
          <w:sz w:val="28"/>
          <w:szCs w:val="28"/>
          <w:u w:val="single"/>
        </w:rPr>
      </w:pPr>
      <w:r>
        <w:rPr>
          <w:rFonts w:hint="eastAsia"/>
          <w:color w:val="000000"/>
          <w:sz w:val="28"/>
          <w:szCs w:val="28"/>
          <w:u w:val="single"/>
        </w:rPr>
      </w:r>
      <w:r/>
    </w:p>
    <w:p>
      <w:pPr>
        <w:pStyle w:val="716"/>
        <w:rPr>
          <w:color w:val="000000"/>
          <w:sz w:val="28"/>
          <w:szCs w:val="28"/>
        </w:rPr>
      </w:pPr>
      <w:r>
        <w:rPr>
          <w:color w:val="000000"/>
          <w:sz w:val="28"/>
          <w:szCs w:val="28"/>
        </w:rPr>
        <w:t xml:space="preserve">签字(签章)：                   公章：                      </w:t>
      </w:r>
      <w:r>
        <w:rPr>
          <w:color w:val="000000"/>
          <w:sz w:val="28"/>
          <w:szCs w:val="28"/>
        </w:rPr>
      </w:r>
      <w:r/>
    </w:p>
    <w:p>
      <w:pPr>
        <w:pStyle w:val="716"/>
        <w:ind w:firstLine="5600"/>
        <w:rPr>
          <w:color w:val="000000"/>
          <w:sz w:val="28"/>
          <w:szCs w:val="28"/>
        </w:rPr>
      </w:pPr>
      <w:r>
        <w:rPr>
          <w:color w:val="000000"/>
          <w:sz w:val="28"/>
          <w:szCs w:val="28"/>
        </w:rPr>
        <w:t xml:space="preserve">日期：    </w:t>
      </w:r>
      <w:r>
        <w:rPr>
          <w:color w:val="000000"/>
          <w:sz w:val="28"/>
          <w:szCs w:val="28"/>
        </w:rPr>
      </w:r>
      <w:r/>
    </w:p>
    <w:p>
      <w:pPr>
        <w:pStyle w:val="716"/>
        <w:rPr>
          <w:color w:val="000000"/>
          <w:sz w:val="28"/>
          <w:szCs w:val="28"/>
        </w:rPr>
      </w:pPr>
      <w:r>
        <w:rPr>
          <w:color w:val="000000"/>
          <w:sz w:val="28"/>
          <w:szCs w:val="28"/>
        </w:rPr>
      </w:r>
      <w:r/>
    </w:p>
    <w:p>
      <w:pPr>
        <w:pStyle w:val="716"/>
        <w:rPr>
          <w:b/>
          <w:color w:val="000000"/>
          <w:sz w:val="28"/>
          <w:szCs w:val="28"/>
        </w:rPr>
      </w:pPr>
      <w:r>
        <w:rPr>
          <w:b/>
          <w:color w:val="000000"/>
          <w:sz w:val="28"/>
          <w:szCs w:val="28"/>
        </w:rPr>
      </w:r>
      <w:r/>
    </w:p>
    <w:p>
      <w:pPr>
        <w:pStyle w:val="716"/>
        <w:rPr>
          <w:b/>
          <w:color w:val="000000"/>
          <w:sz w:val="28"/>
          <w:szCs w:val="28"/>
        </w:rPr>
      </w:pPr>
      <w:r>
        <w:rPr>
          <w:b/>
          <w:color w:val="000000"/>
          <w:sz w:val="28"/>
          <w:szCs w:val="28"/>
        </w:rPr>
      </w:r>
      <w:r/>
    </w:p>
    <w:p>
      <w:pPr>
        <w:pStyle w:val="716"/>
        <w:rPr>
          <w:rFonts w:hint="eastAsia"/>
          <w:b/>
          <w:color w:val="000000"/>
          <w:sz w:val="28"/>
          <w:szCs w:val="28"/>
        </w:rPr>
      </w:pPr>
      <w:r>
        <w:rPr>
          <w:rFonts w:hint="eastAsia"/>
          <w:b/>
          <w:color w:val="000000"/>
          <w:sz w:val="28"/>
          <w:szCs w:val="28"/>
        </w:rPr>
      </w:r>
      <w:r/>
    </w:p>
    <w:p>
      <w:pPr>
        <w:pStyle w:val="716"/>
        <w:rPr>
          <w:b/>
          <w:color w:val="000000"/>
          <w:sz w:val="28"/>
          <w:szCs w:val="28"/>
        </w:rPr>
      </w:pPr>
      <w:r>
        <w:rPr>
          <w:b/>
          <w:color w:val="000000"/>
          <w:sz w:val="28"/>
          <w:szCs w:val="28"/>
        </w:rPr>
        <w:t xml:space="preserve">质疑函制作说明：</w:t>
      </w:r>
      <w:r>
        <w:rPr>
          <w:b/>
          <w:color w:val="000000"/>
          <w:sz w:val="28"/>
          <w:szCs w:val="28"/>
        </w:rPr>
      </w:r>
      <w:r/>
    </w:p>
    <w:p>
      <w:pPr>
        <w:pStyle w:val="716"/>
        <w:ind w:firstLine="560"/>
        <w:jc w:val="left"/>
        <w:widowControl/>
        <w:rPr>
          <w:color w:val="000000"/>
          <w:sz w:val="28"/>
          <w:szCs w:val="28"/>
        </w:rPr>
      </w:pPr>
      <w:r>
        <w:rPr>
          <w:color w:val="000000"/>
          <w:sz w:val="28"/>
          <w:szCs w:val="28"/>
        </w:rPr>
        <w:t xml:space="preserve">1.供应商提出质疑时，应提交质疑函和必要的证明材料。</w:t>
      </w:r>
      <w:r>
        <w:rPr>
          <w:color w:val="000000"/>
          <w:sz w:val="28"/>
          <w:szCs w:val="28"/>
        </w:rPr>
      </w:r>
      <w:r/>
    </w:p>
    <w:p>
      <w:pPr>
        <w:pStyle w:val="716"/>
        <w:ind w:firstLine="560"/>
        <w:jc w:val="left"/>
        <w:widowControl/>
        <w:rPr>
          <w:color w:val="000000"/>
          <w:sz w:val="28"/>
          <w:szCs w:val="28"/>
        </w:rPr>
      </w:pPr>
      <w:r>
        <w:rPr>
          <w:color w:val="000000"/>
          <w:sz w:val="28"/>
          <w:szCs w:val="28"/>
        </w:rPr>
        <w:t xml:space="preserve">2.质疑供应商若委托代理人进行质疑的，质疑函应按要求列明“授权代表”的有关内容，并在附件中提交由质疑</w:t>
      </w:r>
      <w:r>
        <w:rPr>
          <w:color w:val="000000"/>
          <w:sz w:val="28"/>
          <w:szCs w:val="28"/>
        </w:rPr>
        <w:t xml:space="preserve">供应商签署的授权委托书。授权委托书应载明代理人的姓名或者名称、代理事项、具体权限、期限和相关事项。</w:t>
      </w:r>
      <w:r>
        <w:rPr>
          <w:color w:val="000000"/>
          <w:sz w:val="28"/>
          <w:szCs w:val="28"/>
        </w:rPr>
      </w:r>
      <w:r/>
    </w:p>
    <w:p>
      <w:pPr>
        <w:pStyle w:val="716"/>
        <w:ind w:firstLine="560"/>
        <w:jc w:val="left"/>
        <w:widowControl/>
        <w:rPr>
          <w:color w:val="000000"/>
          <w:sz w:val="28"/>
          <w:szCs w:val="28"/>
        </w:rPr>
      </w:pPr>
      <w:r>
        <w:rPr>
          <w:color w:val="000000"/>
          <w:sz w:val="28"/>
          <w:szCs w:val="28"/>
        </w:rPr>
        <w:t xml:space="preserve">3.质疑供应商若对项目的某一分包进行质疑，质疑函中应列明具体分包号。</w:t>
      </w:r>
      <w:r>
        <w:rPr>
          <w:color w:val="000000"/>
          <w:sz w:val="28"/>
          <w:szCs w:val="28"/>
        </w:rPr>
      </w:r>
      <w:r/>
    </w:p>
    <w:p>
      <w:pPr>
        <w:pStyle w:val="716"/>
        <w:ind w:firstLine="560"/>
        <w:jc w:val="left"/>
        <w:widowControl/>
        <w:rPr>
          <w:color w:val="000000"/>
          <w:sz w:val="28"/>
          <w:szCs w:val="28"/>
        </w:rPr>
      </w:pPr>
      <w:r>
        <w:rPr>
          <w:color w:val="000000"/>
          <w:sz w:val="28"/>
          <w:szCs w:val="28"/>
        </w:rPr>
        <w:t xml:space="preserve">4.质疑函的质疑事项应具体、明确，并有必要的事实依据和法律依据。</w:t>
      </w:r>
      <w:r>
        <w:rPr>
          <w:color w:val="000000"/>
          <w:sz w:val="28"/>
          <w:szCs w:val="28"/>
        </w:rPr>
      </w:r>
      <w:r/>
    </w:p>
    <w:p>
      <w:pPr>
        <w:pStyle w:val="716"/>
        <w:ind w:firstLine="560"/>
        <w:jc w:val="left"/>
        <w:widowControl/>
        <w:rPr>
          <w:color w:val="000000"/>
          <w:sz w:val="28"/>
          <w:szCs w:val="28"/>
        </w:rPr>
      </w:pPr>
      <w:r>
        <w:rPr>
          <w:color w:val="000000"/>
          <w:sz w:val="28"/>
          <w:szCs w:val="28"/>
        </w:rPr>
        <w:t xml:space="preserve">5.质疑函的质疑请求应与质疑事项相关。</w:t>
      </w:r>
      <w:r>
        <w:rPr>
          <w:color w:val="000000"/>
          <w:sz w:val="28"/>
          <w:szCs w:val="28"/>
        </w:rPr>
      </w:r>
      <w:r/>
    </w:p>
    <w:p>
      <w:pPr>
        <w:pStyle w:val="716"/>
        <w:ind w:firstLine="560"/>
        <w:jc w:val="left"/>
        <w:widowControl/>
        <w:rPr>
          <w:color w:val="000000"/>
          <w:sz w:val="28"/>
          <w:szCs w:val="28"/>
        </w:rPr>
      </w:pPr>
      <w:r>
        <w:rPr>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Arial Unicode MS">
    <w:panose1 w:val="020B0604020202020204"/>
  </w:font>
  <w:font w:name="仿宋">
    <w:panose1 w:val="02010609060101010101"/>
  </w:font>
  <w:font w:name="等线">
    <w:panose1 w:val="02010600030101010101"/>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Menlo">
    <w:panose1 w:val="020B0503020202020204"/>
  </w:font>
  <w:font w:name="Courier New">
    <w:panose1 w:val="02070309020205020404"/>
  </w:font>
  <w:font w:name="楷体_GB2312">
    <w:panose1 w:val="02010609060101010101"/>
  </w:font>
  <w:font w:name="ˎ̥">
    <w:panose1 w:val="020B0503020202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tab"/>
      <w:lvlText w:val="（%1）"/>
      <w:lvlJc w:val="left"/>
      <w:pPr>
        <w:pStyle w:val="716"/>
        <w:ind w:left="720" w:hanging="720"/>
      </w:pPr>
    </w:lvl>
    <w:lvl w:ilvl="1">
      <w:start w:val="1"/>
      <w:numFmt w:val="lowerLetter"/>
      <w:isLgl w:val="false"/>
      <w:suff w:val="tab"/>
      <w:lvlText w:val="%2)"/>
      <w:lvlJc w:val="left"/>
      <w:pPr>
        <w:pStyle w:val="716"/>
        <w:ind w:left="880" w:hanging="440"/>
      </w:pPr>
    </w:lvl>
    <w:lvl w:ilvl="2">
      <w:start w:val="1"/>
      <w:numFmt w:val="lowerRoman"/>
      <w:isLgl w:val="false"/>
      <w:suff w:val="tab"/>
      <w:lvlText w:val="%3."/>
      <w:lvlJc w:val="right"/>
      <w:pPr>
        <w:pStyle w:val="716"/>
        <w:ind w:left="1320" w:hanging="440"/>
      </w:pPr>
    </w:lvl>
    <w:lvl w:ilvl="3">
      <w:start w:val="1"/>
      <w:numFmt w:val="decimal"/>
      <w:isLgl w:val="false"/>
      <w:suff w:val="tab"/>
      <w:lvlText w:val="%4."/>
      <w:lvlJc w:val="left"/>
      <w:pPr>
        <w:pStyle w:val="716"/>
        <w:ind w:left="1760" w:hanging="440"/>
      </w:pPr>
    </w:lvl>
    <w:lvl w:ilvl="4">
      <w:start w:val="1"/>
      <w:numFmt w:val="lowerLetter"/>
      <w:isLgl w:val="false"/>
      <w:suff w:val="tab"/>
      <w:lvlText w:val="%5)"/>
      <w:lvlJc w:val="left"/>
      <w:pPr>
        <w:pStyle w:val="716"/>
        <w:ind w:left="2200" w:hanging="440"/>
      </w:pPr>
    </w:lvl>
    <w:lvl w:ilvl="5">
      <w:start w:val="1"/>
      <w:numFmt w:val="lowerRoman"/>
      <w:isLgl w:val="false"/>
      <w:suff w:val="tab"/>
      <w:lvlText w:val="%6."/>
      <w:lvlJc w:val="right"/>
      <w:pPr>
        <w:pStyle w:val="716"/>
        <w:ind w:left="2640" w:hanging="440"/>
      </w:pPr>
    </w:lvl>
    <w:lvl w:ilvl="6">
      <w:start w:val="1"/>
      <w:numFmt w:val="decimal"/>
      <w:isLgl w:val="false"/>
      <w:suff w:val="tab"/>
      <w:lvlText w:val="%7."/>
      <w:lvlJc w:val="left"/>
      <w:pPr>
        <w:pStyle w:val="716"/>
        <w:ind w:left="3080" w:hanging="440"/>
      </w:pPr>
    </w:lvl>
    <w:lvl w:ilvl="7">
      <w:start w:val="1"/>
      <w:numFmt w:val="lowerLetter"/>
      <w:isLgl w:val="false"/>
      <w:suff w:val="tab"/>
      <w:lvlText w:val="%8)"/>
      <w:lvlJc w:val="left"/>
      <w:pPr>
        <w:pStyle w:val="716"/>
        <w:ind w:left="3520" w:hanging="440"/>
      </w:pPr>
    </w:lvl>
    <w:lvl w:ilvl="8">
      <w:start w:val="1"/>
      <w:numFmt w:val="lowerRoman"/>
      <w:isLgl w:val="false"/>
      <w:suff w:val="tab"/>
      <w:lvlText w:val="%9."/>
      <w:lvlJc w:val="right"/>
      <w:pPr>
        <w:pStyle w:val="716"/>
        <w:ind w:left="3960" w:hanging="440"/>
      </w:pPr>
    </w:lvl>
  </w:abstractNum>
  <w:abstractNum w:abstractNumId="2">
    <w:multiLevelType w:val="hybridMultilevel"/>
    <w:lvl w:ilvl="0">
      <w:start w:val="1"/>
      <w:numFmt w:val="bullet"/>
      <w:pStyle w:val="868"/>
      <w:isLgl w:val="false"/>
      <w:suff w:val="tab"/>
      <w:lvlText w:val=""/>
      <w:lvlJc w:val="left"/>
      <w:pPr>
        <w:pStyle w:val="71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16"/>
        <w:ind w:left="960" w:hanging="480"/>
        <w:tabs>
          <w:tab w:val="num" w:pos="960" w:leader="none"/>
        </w:tabs>
      </w:pPr>
    </w:lvl>
    <w:lvl w:ilvl="2">
      <w:start w:val="1"/>
      <w:numFmt w:val="lowerRoman"/>
      <w:isLgl w:val="false"/>
      <w:suff w:val="tab"/>
      <w:lvlText w:val="%3."/>
      <w:lvlJc w:val="right"/>
      <w:pPr>
        <w:pStyle w:val="716"/>
        <w:ind w:left="1440" w:hanging="480"/>
        <w:tabs>
          <w:tab w:val="num" w:pos="1440" w:leader="none"/>
        </w:tabs>
      </w:pPr>
    </w:lvl>
    <w:lvl w:ilvl="3">
      <w:start w:val="1"/>
      <w:numFmt w:val="decimal"/>
      <w:isLgl w:val="false"/>
      <w:suff w:val="tab"/>
      <w:lvlText w:val="%4."/>
      <w:lvlJc w:val="left"/>
      <w:pPr>
        <w:pStyle w:val="716"/>
        <w:ind w:left="1920" w:hanging="480"/>
        <w:tabs>
          <w:tab w:val="num" w:pos="1920" w:leader="none"/>
        </w:tabs>
      </w:pPr>
    </w:lvl>
    <w:lvl w:ilvl="4">
      <w:start w:val="1"/>
      <w:numFmt w:val="ideographTraditional"/>
      <w:isLgl w:val="false"/>
      <w:suff w:val="tab"/>
      <w:lvlText w:val="%5、"/>
      <w:lvlJc w:val="left"/>
      <w:pPr>
        <w:pStyle w:val="716"/>
        <w:ind w:left="2400" w:hanging="480"/>
        <w:tabs>
          <w:tab w:val="num" w:pos="2400" w:leader="none"/>
        </w:tabs>
      </w:pPr>
    </w:lvl>
    <w:lvl w:ilvl="5">
      <w:start w:val="1"/>
      <w:numFmt w:val="lowerRoman"/>
      <w:isLgl w:val="false"/>
      <w:suff w:val="tab"/>
      <w:lvlText w:val="%6."/>
      <w:lvlJc w:val="right"/>
      <w:pPr>
        <w:pStyle w:val="716"/>
        <w:ind w:left="2880" w:hanging="480"/>
        <w:tabs>
          <w:tab w:val="num" w:pos="2880" w:leader="none"/>
        </w:tabs>
      </w:pPr>
    </w:lvl>
    <w:lvl w:ilvl="6">
      <w:start w:val="1"/>
      <w:numFmt w:val="decimal"/>
      <w:isLgl w:val="false"/>
      <w:suff w:val="tab"/>
      <w:lvlText w:val="%7."/>
      <w:lvlJc w:val="left"/>
      <w:pPr>
        <w:pStyle w:val="716"/>
        <w:ind w:left="3360" w:hanging="480"/>
        <w:tabs>
          <w:tab w:val="num" w:pos="3360" w:leader="none"/>
        </w:tabs>
      </w:pPr>
    </w:lvl>
    <w:lvl w:ilvl="7">
      <w:start w:val="1"/>
      <w:numFmt w:val="ideographTraditional"/>
      <w:isLgl w:val="false"/>
      <w:suff w:val="tab"/>
      <w:lvlText w:val="%8、"/>
      <w:lvlJc w:val="left"/>
      <w:pPr>
        <w:pStyle w:val="716"/>
        <w:ind w:left="3840" w:hanging="480"/>
        <w:tabs>
          <w:tab w:val="num" w:pos="3840" w:leader="none"/>
        </w:tabs>
      </w:pPr>
    </w:lvl>
    <w:lvl w:ilvl="8">
      <w:start w:val="1"/>
      <w:numFmt w:val="lowerRoman"/>
      <w:isLgl w:val="false"/>
      <w:suff w:val="tab"/>
      <w:lvlText w:val="%9."/>
      <w:lvlJc w:val="right"/>
      <w:pPr>
        <w:pStyle w:val="716"/>
        <w:ind w:left="4320" w:hanging="480"/>
        <w:tabs>
          <w:tab w:val="num" w:pos="4320" w:leader="none"/>
        </w:tabs>
      </w:pPr>
    </w:lvl>
  </w:abstractNum>
  <w:abstractNum w:abstractNumId="3">
    <w:multiLevelType w:val="hybridMultilevel"/>
    <w:lvl w:ilvl="0">
      <w:start w:val="1"/>
      <w:numFmt w:val="decimal"/>
      <w:isLgl w:val="false"/>
      <w:suff w:val="tab"/>
      <w:lvlText w:val="%1."/>
      <w:lvlJc w:val="left"/>
      <w:pPr>
        <w:pStyle w:val="716"/>
        <w:ind w:left="720" w:hanging="360"/>
        <w:tabs>
          <w:tab w:val="num" w:pos="720" w:leader="none"/>
        </w:tabs>
      </w:pPr>
    </w:lvl>
    <w:lvl w:ilvl="1">
      <w:start w:val="1"/>
      <w:numFmt w:val="decimal"/>
      <w:isLgl w:val="false"/>
      <w:suff w:val="tab"/>
      <w:lvlText w:val="%2."/>
      <w:lvlJc w:val="left"/>
      <w:pPr>
        <w:pStyle w:val="716"/>
        <w:ind w:left="1440" w:hanging="360"/>
        <w:tabs>
          <w:tab w:val="num" w:pos="1440" w:leader="none"/>
        </w:tabs>
      </w:pPr>
    </w:lvl>
    <w:lvl w:ilvl="2">
      <w:start w:val="1"/>
      <w:numFmt w:val="decimal"/>
      <w:isLgl w:val="false"/>
      <w:suff w:val="tab"/>
      <w:lvlText w:val="%3."/>
      <w:lvlJc w:val="left"/>
      <w:pPr>
        <w:pStyle w:val="716"/>
        <w:ind w:left="2160" w:hanging="360"/>
        <w:tabs>
          <w:tab w:val="num" w:pos="2160" w:leader="none"/>
        </w:tabs>
      </w:pPr>
    </w:lvl>
    <w:lvl w:ilvl="3">
      <w:start w:val="1"/>
      <w:numFmt w:val="decimal"/>
      <w:isLgl w:val="false"/>
      <w:suff w:val="tab"/>
      <w:lvlText w:val="%4."/>
      <w:lvlJc w:val="left"/>
      <w:pPr>
        <w:pStyle w:val="716"/>
        <w:ind w:left="2880" w:hanging="360"/>
        <w:tabs>
          <w:tab w:val="num" w:pos="2880" w:leader="none"/>
        </w:tabs>
      </w:pPr>
    </w:lvl>
    <w:lvl w:ilvl="4">
      <w:start w:val="1"/>
      <w:numFmt w:val="decimal"/>
      <w:isLgl w:val="false"/>
      <w:suff w:val="tab"/>
      <w:lvlText w:val="%5."/>
      <w:lvlJc w:val="left"/>
      <w:pPr>
        <w:pStyle w:val="716"/>
        <w:ind w:left="3600" w:hanging="360"/>
        <w:tabs>
          <w:tab w:val="num" w:pos="3600" w:leader="none"/>
        </w:tabs>
      </w:pPr>
    </w:lvl>
    <w:lvl w:ilvl="5">
      <w:start w:val="1"/>
      <w:numFmt w:val="decimal"/>
      <w:isLgl w:val="false"/>
      <w:suff w:val="tab"/>
      <w:lvlText w:val="%6."/>
      <w:lvlJc w:val="left"/>
      <w:pPr>
        <w:pStyle w:val="716"/>
        <w:ind w:left="4320" w:hanging="360"/>
        <w:tabs>
          <w:tab w:val="num" w:pos="4320" w:leader="none"/>
        </w:tabs>
      </w:pPr>
    </w:lvl>
    <w:lvl w:ilvl="6">
      <w:start w:val="1"/>
      <w:numFmt w:val="decimal"/>
      <w:isLgl w:val="false"/>
      <w:suff w:val="tab"/>
      <w:lvlText w:val="%7."/>
      <w:lvlJc w:val="left"/>
      <w:pPr>
        <w:pStyle w:val="716"/>
        <w:ind w:left="5040" w:hanging="360"/>
        <w:tabs>
          <w:tab w:val="num" w:pos="5040" w:leader="none"/>
        </w:tabs>
      </w:pPr>
    </w:lvl>
    <w:lvl w:ilvl="7">
      <w:start w:val="1"/>
      <w:numFmt w:val="decimal"/>
      <w:isLgl w:val="false"/>
      <w:suff w:val="tab"/>
      <w:lvlText w:val="%8."/>
      <w:lvlJc w:val="left"/>
      <w:pPr>
        <w:pStyle w:val="716"/>
        <w:ind w:left="5760" w:hanging="360"/>
        <w:tabs>
          <w:tab w:val="num" w:pos="5760" w:leader="none"/>
        </w:tabs>
      </w:pPr>
    </w:lvl>
    <w:lvl w:ilvl="8">
      <w:start w:val="1"/>
      <w:numFmt w:val="decimal"/>
      <w:isLgl w:val="false"/>
      <w:suff w:val="tab"/>
      <w:lvlText w:val="%9."/>
      <w:lvlJc w:val="left"/>
      <w:pPr>
        <w:pStyle w:val="716"/>
        <w:ind w:left="6480" w:hanging="360"/>
        <w:tabs>
          <w:tab w:val="num" w:pos="6480" w:leader="none"/>
        </w:tabs>
      </w:pPr>
    </w:lvl>
  </w:abstractNum>
  <w:abstractNum w:abstractNumId="4">
    <w:multiLevelType w:val="hybridMultilevel"/>
    <w:lvl w:ilvl="0">
      <w:start w:val="1"/>
      <w:numFmt w:val="bullet"/>
      <w:isLgl w:val="false"/>
      <w:suff w:val="tab"/>
      <w:lvlText w:val=""/>
      <w:lvlJc w:val="left"/>
      <w:pPr>
        <w:pStyle w:val="716"/>
        <w:ind w:left="720" w:hanging="360"/>
        <w:tabs>
          <w:tab w:val="num" w:pos="720" w:leader="none"/>
        </w:tabs>
      </w:pPr>
      <w:rPr>
        <w:rFonts w:ascii="Symbol" w:hAnsi="Symbol"/>
        <w:sz w:val="20"/>
      </w:rPr>
    </w:lvl>
    <w:lvl w:ilvl="1">
      <w:start w:val="1"/>
      <w:numFmt w:val="bullet"/>
      <w:isLgl w:val="false"/>
      <w:suff w:val="tab"/>
      <w:lvlText w:val="o"/>
      <w:lvlJc w:val="left"/>
      <w:pPr>
        <w:pStyle w:val="716"/>
        <w:ind w:left="1440" w:hanging="360"/>
        <w:tabs>
          <w:tab w:val="num" w:pos="1440" w:leader="none"/>
        </w:tabs>
      </w:pPr>
      <w:rPr>
        <w:rFonts w:ascii="Courier New" w:hAnsi="Courier New"/>
        <w:sz w:val="20"/>
      </w:rPr>
    </w:lvl>
    <w:lvl w:ilvl="2">
      <w:start w:val="1"/>
      <w:numFmt w:val="bullet"/>
      <w:isLgl w:val="false"/>
      <w:suff w:val="tab"/>
      <w:lvlText w:val=""/>
      <w:lvlJc w:val="left"/>
      <w:pPr>
        <w:pStyle w:val="716"/>
        <w:ind w:left="2160" w:hanging="360"/>
        <w:tabs>
          <w:tab w:val="num" w:pos="2160" w:leader="none"/>
        </w:tabs>
      </w:pPr>
      <w:rPr>
        <w:rFonts w:ascii="Wingdings" w:hAnsi="Wingdings"/>
        <w:sz w:val="20"/>
      </w:rPr>
    </w:lvl>
    <w:lvl w:ilvl="3">
      <w:start w:val="1"/>
      <w:numFmt w:val="bullet"/>
      <w:isLgl w:val="false"/>
      <w:suff w:val="tab"/>
      <w:lvlText w:val=""/>
      <w:lvlJc w:val="left"/>
      <w:pPr>
        <w:pStyle w:val="716"/>
        <w:ind w:left="2880" w:hanging="360"/>
        <w:tabs>
          <w:tab w:val="num" w:pos="2880" w:leader="none"/>
        </w:tabs>
      </w:pPr>
      <w:rPr>
        <w:rFonts w:ascii="Wingdings" w:hAnsi="Wingdings"/>
        <w:sz w:val="20"/>
      </w:rPr>
    </w:lvl>
    <w:lvl w:ilvl="4">
      <w:start w:val="1"/>
      <w:numFmt w:val="bullet"/>
      <w:isLgl w:val="false"/>
      <w:suff w:val="tab"/>
      <w:lvlText w:val=""/>
      <w:lvlJc w:val="left"/>
      <w:pPr>
        <w:pStyle w:val="716"/>
        <w:ind w:left="3600" w:hanging="360"/>
        <w:tabs>
          <w:tab w:val="num" w:pos="3600" w:leader="none"/>
        </w:tabs>
      </w:pPr>
      <w:rPr>
        <w:rFonts w:ascii="Wingdings" w:hAnsi="Wingdings"/>
        <w:sz w:val="20"/>
      </w:rPr>
    </w:lvl>
    <w:lvl w:ilvl="5">
      <w:start w:val="1"/>
      <w:numFmt w:val="bullet"/>
      <w:isLgl w:val="false"/>
      <w:suff w:val="tab"/>
      <w:lvlText w:val=""/>
      <w:lvlJc w:val="left"/>
      <w:pPr>
        <w:pStyle w:val="716"/>
        <w:ind w:left="4320" w:hanging="360"/>
        <w:tabs>
          <w:tab w:val="num" w:pos="4320" w:leader="none"/>
        </w:tabs>
      </w:pPr>
      <w:rPr>
        <w:rFonts w:ascii="Wingdings" w:hAnsi="Wingdings"/>
        <w:sz w:val="20"/>
      </w:rPr>
    </w:lvl>
    <w:lvl w:ilvl="6">
      <w:start w:val="1"/>
      <w:numFmt w:val="bullet"/>
      <w:isLgl w:val="false"/>
      <w:suff w:val="tab"/>
      <w:lvlText w:val=""/>
      <w:lvlJc w:val="left"/>
      <w:pPr>
        <w:pStyle w:val="716"/>
        <w:ind w:left="5040" w:hanging="360"/>
        <w:tabs>
          <w:tab w:val="num" w:pos="5040" w:leader="none"/>
        </w:tabs>
      </w:pPr>
      <w:rPr>
        <w:rFonts w:ascii="Wingdings" w:hAnsi="Wingdings"/>
        <w:sz w:val="20"/>
      </w:rPr>
    </w:lvl>
    <w:lvl w:ilvl="7">
      <w:start w:val="1"/>
      <w:numFmt w:val="bullet"/>
      <w:isLgl w:val="false"/>
      <w:suff w:val="tab"/>
      <w:lvlText w:val=""/>
      <w:lvlJc w:val="left"/>
      <w:pPr>
        <w:pStyle w:val="716"/>
        <w:ind w:left="5760" w:hanging="360"/>
        <w:tabs>
          <w:tab w:val="num" w:pos="5760" w:leader="none"/>
        </w:tabs>
      </w:pPr>
      <w:rPr>
        <w:rFonts w:ascii="Wingdings" w:hAnsi="Wingdings"/>
        <w:sz w:val="20"/>
      </w:rPr>
    </w:lvl>
    <w:lvl w:ilvl="8">
      <w:start w:val="1"/>
      <w:numFmt w:val="bullet"/>
      <w:isLgl w:val="false"/>
      <w:suff w:val="tab"/>
      <w:lvlText w:val=""/>
      <w:lvlJc w:val="left"/>
      <w:pPr>
        <w:pStyle w:val="716"/>
        <w:ind w:left="6480" w:hanging="360"/>
        <w:tabs>
          <w:tab w:val="num" w:pos="6480" w:leader="none"/>
        </w:tabs>
      </w:pPr>
      <w:rPr>
        <w:rFonts w:ascii="Wingdings" w:hAnsi="Wingdings"/>
        <w:sz w:val="20"/>
      </w:rPr>
    </w:lvl>
  </w:abstractNum>
  <w:abstractNum w:abstractNumId="5">
    <w:multiLevelType w:val="hybridMultilevel"/>
    <w:lvl w:ilvl="0">
      <w:start w:val="1"/>
      <w:numFmt w:val="bullet"/>
      <w:isLgl w:val="false"/>
      <w:suff w:val="tab"/>
      <w:lvlText w:val=""/>
      <w:lvlJc w:val="left"/>
      <w:pPr>
        <w:pStyle w:val="716"/>
        <w:ind w:left="720" w:hanging="360"/>
        <w:tabs>
          <w:tab w:val="num" w:pos="720" w:leader="none"/>
        </w:tabs>
      </w:pPr>
      <w:rPr>
        <w:rFonts w:ascii="Symbol" w:hAnsi="Symbol"/>
        <w:sz w:val="20"/>
      </w:rPr>
    </w:lvl>
    <w:lvl w:ilvl="1">
      <w:start w:val="1"/>
      <w:numFmt w:val="bullet"/>
      <w:isLgl w:val="false"/>
      <w:suff w:val="tab"/>
      <w:lvlText w:val="o"/>
      <w:lvlJc w:val="left"/>
      <w:pPr>
        <w:pStyle w:val="716"/>
        <w:ind w:left="1440" w:hanging="360"/>
        <w:tabs>
          <w:tab w:val="num" w:pos="1440" w:leader="none"/>
        </w:tabs>
      </w:pPr>
      <w:rPr>
        <w:rFonts w:ascii="Courier New" w:hAnsi="Courier New"/>
        <w:sz w:val="20"/>
      </w:rPr>
    </w:lvl>
    <w:lvl w:ilvl="2">
      <w:start w:val="1"/>
      <w:numFmt w:val="bullet"/>
      <w:isLgl w:val="false"/>
      <w:suff w:val="tab"/>
      <w:lvlText w:val=""/>
      <w:lvlJc w:val="left"/>
      <w:pPr>
        <w:pStyle w:val="716"/>
        <w:ind w:left="2160" w:hanging="360"/>
        <w:tabs>
          <w:tab w:val="num" w:pos="2160" w:leader="none"/>
        </w:tabs>
      </w:pPr>
      <w:rPr>
        <w:rFonts w:ascii="Wingdings" w:hAnsi="Wingdings"/>
        <w:sz w:val="20"/>
      </w:rPr>
    </w:lvl>
    <w:lvl w:ilvl="3">
      <w:start w:val="1"/>
      <w:numFmt w:val="bullet"/>
      <w:isLgl w:val="false"/>
      <w:suff w:val="tab"/>
      <w:lvlText w:val=""/>
      <w:lvlJc w:val="left"/>
      <w:pPr>
        <w:pStyle w:val="716"/>
        <w:ind w:left="2880" w:hanging="360"/>
        <w:tabs>
          <w:tab w:val="num" w:pos="2880" w:leader="none"/>
        </w:tabs>
      </w:pPr>
      <w:rPr>
        <w:rFonts w:ascii="Wingdings" w:hAnsi="Wingdings"/>
        <w:sz w:val="20"/>
      </w:rPr>
    </w:lvl>
    <w:lvl w:ilvl="4">
      <w:start w:val="1"/>
      <w:numFmt w:val="bullet"/>
      <w:isLgl w:val="false"/>
      <w:suff w:val="tab"/>
      <w:lvlText w:val=""/>
      <w:lvlJc w:val="left"/>
      <w:pPr>
        <w:pStyle w:val="716"/>
        <w:ind w:left="3600" w:hanging="360"/>
        <w:tabs>
          <w:tab w:val="num" w:pos="3600" w:leader="none"/>
        </w:tabs>
      </w:pPr>
      <w:rPr>
        <w:rFonts w:ascii="Wingdings" w:hAnsi="Wingdings"/>
        <w:sz w:val="20"/>
      </w:rPr>
    </w:lvl>
    <w:lvl w:ilvl="5">
      <w:start w:val="1"/>
      <w:numFmt w:val="bullet"/>
      <w:isLgl w:val="false"/>
      <w:suff w:val="tab"/>
      <w:lvlText w:val=""/>
      <w:lvlJc w:val="left"/>
      <w:pPr>
        <w:pStyle w:val="716"/>
        <w:ind w:left="4320" w:hanging="360"/>
        <w:tabs>
          <w:tab w:val="num" w:pos="4320" w:leader="none"/>
        </w:tabs>
      </w:pPr>
      <w:rPr>
        <w:rFonts w:ascii="Wingdings" w:hAnsi="Wingdings"/>
        <w:sz w:val="20"/>
      </w:rPr>
    </w:lvl>
    <w:lvl w:ilvl="6">
      <w:start w:val="1"/>
      <w:numFmt w:val="bullet"/>
      <w:isLgl w:val="false"/>
      <w:suff w:val="tab"/>
      <w:lvlText w:val=""/>
      <w:lvlJc w:val="left"/>
      <w:pPr>
        <w:pStyle w:val="716"/>
        <w:ind w:left="5040" w:hanging="360"/>
        <w:tabs>
          <w:tab w:val="num" w:pos="5040" w:leader="none"/>
        </w:tabs>
      </w:pPr>
      <w:rPr>
        <w:rFonts w:ascii="Wingdings" w:hAnsi="Wingdings"/>
        <w:sz w:val="20"/>
      </w:rPr>
    </w:lvl>
    <w:lvl w:ilvl="7">
      <w:start w:val="1"/>
      <w:numFmt w:val="bullet"/>
      <w:isLgl w:val="false"/>
      <w:suff w:val="tab"/>
      <w:lvlText w:val=""/>
      <w:lvlJc w:val="left"/>
      <w:pPr>
        <w:pStyle w:val="716"/>
        <w:ind w:left="5760" w:hanging="360"/>
        <w:tabs>
          <w:tab w:val="num" w:pos="5760" w:leader="none"/>
        </w:tabs>
      </w:pPr>
      <w:rPr>
        <w:rFonts w:ascii="Wingdings" w:hAnsi="Wingdings"/>
        <w:sz w:val="20"/>
      </w:rPr>
    </w:lvl>
    <w:lvl w:ilvl="8">
      <w:start w:val="1"/>
      <w:numFmt w:val="bullet"/>
      <w:isLgl w:val="false"/>
      <w:suff w:val="tab"/>
      <w:lvlText w:val=""/>
      <w:lvlJc w:val="left"/>
      <w:pPr>
        <w:pStyle w:val="716"/>
        <w:ind w:left="6480" w:hanging="360"/>
        <w:tabs>
          <w:tab w:val="num" w:pos="6480" w:leader="none"/>
        </w:tabs>
      </w:pPr>
      <w:rPr>
        <w:rFonts w:ascii="Wingdings" w:hAnsi="Wingdings"/>
        <w:sz w:val="20"/>
      </w:rPr>
    </w:lvl>
  </w:abstractNum>
  <w:abstractNum w:abstractNumId="6">
    <w:multiLevelType w:val="hybridMultilevel"/>
    <w:lvl w:ilvl="0">
      <w:start w:val="1"/>
      <w:numFmt w:val="bullet"/>
      <w:isLgl w:val="false"/>
      <w:suff w:val="tab"/>
      <w:lvlText w:val=""/>
      <w:lvlJc w:val="left"/>
      <w:pPr>
        <w:pStyle w:val="716"/>
        <w:ind w:left="720" w:hanging="360"/>
        <w:tabs>
          <w:tab w:val="num" w:pos="720" w:leader="none"/>
        </w:tabs>
      </w:pPr>
      <w:rPr>
        <w:rFonts w:ascii="Symbol" w:hAnsi="Symbol"/>
        <w:sz w:val="20"/>
      </w:rPr>
    </w:lvl>
    <w:lvl w:ilvl="1">
      <w:start w:val="1"/>
      <w:numFmt w:val="bullet"/>
      <w:isLgl w:val="false"/>
      <w:suff w:val="tab"/>
      <w:lvlText w:val="o"/>
      <w:lvlJc w:val="left"/>
      <w:pPr>
        <w:pStyle w:val="716"/>
        <w:ind w:left="1440" w:hanging="360"/>
        <w:tabs>
          <w:tab w:val="num" w:pos="1440" w:leader="none"/>
        </w:tabs>
      </w:pPr>
      <w:rPr>
        <w:rFonts w:ascii="Courier New" w:hAnsi="Courier New"/>
        <w:sz w:val="20"/>
      </w:rPr>
    </w:lvl>
    <w:lvl w:ilvl="2">
      <w:start w:val="1"/>
      <w:numFmt w:val="bullet"/>
      <w:isLgl w:val="false"/>
      <w:suff w:val="tab"/>
      <w:lvlText w:val=""/>
      <w:lvlJc w:val="left"/>
      <w:pPr>
        <w:pStyle w:val="716"/>
        <w:ind w:left="2160" w:hanging="360"/>
        <w:tabs>
          <w:tab w:val="num" w:pos="2160" w:leader="none"/>
        </w:tabs>
      </w:pPr>
      <w:rPr>
        <w:rFonts w:ascii="Wingdings" w:hAnsi="Wingdings"/>
        <w:sz w:val="20"/>
      </w:rPr>
    </w:lvl>
    <w:lvl w:ilvl="3">
      <w:start w:val="1"/>
      <w:numFmt w:val="bullet"/>
      <w:isLgl w:val="false"/>
      <w:suff w:val="tab"/>
      <w:lvlText w:val=""/>
      <w:lvlJc w:val="left"/>
      <w:pPr>
        <w:pStyle w:val="716"/>
        <w:ind w:left="2880" w:hanging="360"/>
        <w:tabs>
          <w:tab w:val="num" w:pos="2880" w:leader="none"/>
        </w:tabs>
      </w:pPr>
      <w:rPr>
        <w:rFonts w:ascii="Wingdings" w:hAnsi="Wingdings"/>
        <w:sz w:val="20"/>
      </w:rPr>
    </w:lvl>
    <w:lvl w:ilvl="4">
      <w:start w:val="1"/>
      <w:numFmt w:val="bullet"/>
      <w:isLgl w:val="false"/>
      <w:suff w:val="tab"/>
      <w:lvlText w:val=""/>
      <w:lvlJc w:val="left"/>
      <w:pPr>
        <w:pStyle w:val="716"/>
        <w:ind w:left="3600" w:hanging="360"/>
        <w:tabs>
          <w:tab w:val="num" w:pos="3600" w:leader="none"/>
        </w:tabs>
      </w:pPr>
      <w:rPr>
        <w:rFonts w:ascii="Wingdings" w:hAnsi="Wingdings"/>
        <w:sz w:val="20"/>
      </w:rPr>
    </w:lvl>
    <w:lvl w:ilvl="5">
      <w:start w:val="1"/>
      <w:numFmt w:val="bullet"/>
      <w:isLgl w:val="false"/>
      <w:suff w:val="tab"/>
      <w:lvlText w:val=""/>
      <w:lvlJc w:val="left"/>
      <w:pPr>
        <w:pStyle w:val="716"/>
        <w:ind w:left="4320" w:hanging="360"/>
        <w:tabs>
          <w:tab w:val="num" w:pos="4320" w:leader="none"/>
        </w:tabs>
      </w:pPr>
      <w:rPr>
        <w:rFonts w:ascii="Wingdings" w:hAnsi="Wingdings"/>
        <w:sz w:val="20"/>
      </w:rPr>
    </w:lvl>
    <w:lvl w:ilvl="6">
      <w:start w:val="1"/>
      <w:numFmt w:val="bullet"/>
      <w:isLgl w:val="false"/>
      <w:suff w:val="tab"/>
      <w:lvlText w:val=""/>
      <w:lvlJc w:val="left"/>
      <w:pPr>
        <w:pStyle w:val="716"/>
        <w:ind w:left="5040" w:hanging="360"/>
        <w:tabs>
          <w:tab w:val="num" w:pos="5040" w:leader="none"/>
        </w:tabs>
      </w:pPr>
      <w:rPr>
        <w:rFonts w:ascii="Wingdings" w:hAnsi="Wingdings"/>
        <w:sz w:val="20"/>
      </w:rPr>
    </w:lvl>
    <w:lvl w:ilvl="7">
      <w:start w:val="1"/>
      <w:numFmt w:val="bullet"/>
      <w:isLgl w:val="false"/>
      <w:suff w:val="tab"/>
      <w:lvlText w:val=""/>
      <w:lvlJc w:val="left"/>
      <w:pPr>
        <w:pStyle w:val="716"/>
        <w:ind w:left="5760" w:hanging="360"/>
        <w:tabs>
          <w:tab w:val="num" w:pos="5760" w:leader="none"/>
        </w:tabs>
      </w:pPr>
      <w:rPr>
        <w:rFonts w:ascii="Wingdings" w:hAnsi="Wingdings"/>
        <w:sz w:val="20"/>
      </w:rPr>
    </w:lvl>
    <w:lvl w:ilvl="8">
      <w:start w:val="1"/>
      <w:numFmt w:val="bullet"/>
      <w:isLgl w:val="false"/>
      <w:suff w:val="tab"/>
      <w:lvlText w:val=""/>
      <w:lvlJc w:val="left"/>
      <w:pPr>
        <w:pStyle w:val="716"/>
        <w:ind w:left="6480" w:hanging="360"/>
        <w:tabs>
          <w:tab w:val="num" w:pos="6480" w:leader="none"/>
        </w:tabs>
      </w:pPr>
      <w:rPr>
        <w:rFonts w:ascii="Wingdings" w:hAnsi="Wingdings"/>
        <w:sz w:val="20"/>
      </w:rPr>
    </w:lvl>
  </w:abstractNum>
  <w:abstractNum w:abstractNumId="7">
    <w:multiLevelType w:val="hybridMultilevel"/>
    <w:lvl w:ilvl="0">
      <w:start w:val="1"/>
      <w:numFmt w:val="bullet"/>
      <w:isLgl w:val="false"/>
      <w:suff w:val="tab"/>
      <w:lvlText w:val=""/>
      <w:lvlJc w:val="left"/>
      <w:pPr>
        <w:pStyle w:val="716"/>
        <w:ind w:left="720" w:hanging="360"/>
        <w:tabs>
          <w:tab w:val="num" w:pos="720" w:leader="none"/>
        </w:tabs>
      </w:pPr>
      <w:rPr>
        <w:rFonts w:ascii="Symbol" w:hAnsi="Symbol"/>
        <w:sz w:val="20"/>
      </w:rPr>
    </w:lvl>
    <w:lvl w:ilvl="1">
      <w:start w:val="1"/>
      <w:numFmt w:val="bullet"/>
      <w:isLgl w:val="false"/>
      <w:suff w:val="tab"/>
      <w:lvlText w:val="o"/>
      <w:lvlJc w:val="left"/>
      <w:pPr>
        <w:pStyle w:val="716"/>
        <w:ind w:left="1440" w:hanging="360"/>
        <w:tabs>
          <w:tab w:val="num" w:pos="1440" w:leader="none"/>
        </w:tabs>
      </w:pPr>
      <w:rPr>
        <w:rFonts w:ascii="Courier New" w:hAnsi="Courier New"/>
        <w:sz w:val="20"/>
      </w:rPr>
    </w:lvl>
    <w:lvl w:ilvl="2">
      <w:start w:val="1"/>
      <w:numFmt w:val="bullet"/>
      <w:isLgl w:val="false"/>
      <w:suff w:val="tab"/>
      <w:lvlText w:val=""/>
      <w:lvlJc w:val="left"/>
      <w:pPr>
        <w:pStyle w:val="716"/>
        <w:ind w:left="2160" w:hanging="360"/>
        <w:tabs>
          <w:tab w:val="num" w:pos="2160" w:leader="none"/>
        </w:tabs>
      </w:pPr>
      <w:rPr>
        <w:rFonts w:ascii="Wingdings" w:hAnsi="Wingdings"/>
        <w:sz w:val="20"/>
      </w:rPr>
    </w:lvl>
    <w:lvl w:ilvl="3">
      <w:start w:val="1"/>
      <w:numFmt w:val="bullet"/>
      <w:isLgl w:val="false"/>
      <w:suff w:val="tab"/>
      <w:lvlText w:val=""/>
      <w:lvlJc w:val="left"/>
      <w:pPr>
        <w:pStyle w:val="716"/>
        <w:ind w:left="2880" w:hanging="360"/>
        <w:tabs>
          <w:tab w:val="num" w:pos="2880" w:leader="none"/>
        </w:tabs>
      </w:pPr>
      <w:rPr>
        <w:rFonts w:ascii="Wingdings" w:hAnsi="Wingdings"/>
        <w:sz w:val="20"/>
      </w:rPr>
    </w:lvl>
    <w:lvl w:ilvl="4">
      <w:start w:val="1"/>
      <w:numFmt w:val="bullet"/>
      <w:isLgl w:val="false"/>
      <w:suff w:val="tab"/>
      <w:lvlText w:val=""/>
      <w:lvlJc w:val="left"/>
      <w:pPr>
        <w:pStyle w:val="716"/>
        <w:ind w:left="3600" w:hanging="360"/>
        <w:tabs>
          <w:tab w:val="num" w:pos="3600" w:leader="none"/>
        </w:tabs>
      </w:pPr>
      <w:rPr>
        <w:rFonts w:ascii="Wingdings" w:hAnsi="Wingdings"/>
        <w:sz w:val="20"/>
      </w:rPr>
    </w:lvl>
    <w:lvl w:ilvl="5">
      <w:start w:val="1"/>
      <w:numFmt w:val="bullet"/>
      <w:isLgl w:val="false"/>
      <w:suff w:val="tab"/>
      <w:lvlText w:val=""/>
      <w:lvlJc w:val="left"/>
      <w:pPr>
        <w:pStyle w:val="716"/>
        <w:ind w:left="4320" w:hanging="360"/>
        <w:tabs>
          <w:tab w:val="num" w:pos="4320" w:leader="none"/>
        </w:tabs>
      </w:pPr>
      <w:rPr>
        <w:rFonts w:ascii="Wingdings" w:hAnsi="Wingdings"/>
        <w:sz w:val="20"/>
      </w:rPr>
    </w:lvl>
    <w:lvl w:ilvl="6">
      <w:start w:val="1"/>
      <w:numFmt w:val="bullet"/>
      <w:isLgl w:val="false"/>
      <w:suff w:val="tab"/>
      <w:lvlText w:val=""/>
      <w:lvlJc w:val="left"/>
      <w:pPr>
        <w:pStyle w:val="716"/>
        <w:ind w:left="5040" w:hanging="360"/>
        <w:tabs>
          <w:tab w:val="num" w:pos="5040" w:leader="none"/>
        </w:tabs>
      </w:pPr>
      <w:rPr>
        <w:rFonts w:ascii="Wingdings" w:hAnsi="Wingdings"/>
        <w:sz w:val="20"/>
      </w:rPr>
    </w:lvl>
    <w:lvl w:ilvl="7">
      <w:start w:val="1"/>
      <w:numFmt w:val="bullet"/>
      <w:isLgl w:val="false"/>
      <w:suff w:val="tab"/>
      <w:lvlText w:val=""/>
      <w:lvlJc w:val="left"/>
      <w:pPr>
        <w:pStyle w:val="716"/>
        <w:ind w:left="5760" w:hanging="360"/>
        <w:tabs>
          <w:tab w:val="num" w:pos="5760" w:leader="none"/>
        </w:tabs>
      </w:pPr>
      <w:rPr>
        <w:rFonts w:ascii="Wingdings" w:hAnsi="Wingdings"/>
        <w:sz w:val="20"/>
      </w:rPr>
    </w:lvl>
    <w:lvl w:ilvl="8">
      <w:start w:val="1"/>
      <w:numFmt w:val="bullet"/>
      <w:isLgl w:val="false"/>
      <w:suff w:val="tab"/>
      <w:lvlText w:val=""/>
      <w:lvlJc w:val="left"/>
      <w:pPr>
        <w:pStyle w:val="716"/>
        <w:ind w:left="6480" w:hanging="360"/>
        <w:tabs>
          <w:tab w:val="num" w:pos="6480" w:leader="none"/>
        </w:tabs>
      </w:pPr>
      <w:rPr>
        <w:rFonts w:ascii="Wingdings" w:hAnsi="Wingdings"/>
        <w:sz w:val="20"/>
      </w:rPr>
    </w:lvl>
  </w:abstractNum>
  <w:abstractNum w:abstractNumId="8">
    <w:multiLevelType w:val="hybridMultilevel"/>
    <w:lvl w:ilvl="0">
      <w:start w:val="1"/>
      <w:numFmt w:val="decimal"/>
      <w:isLgl w:val="false"/>
      <w:suff w:val="tab"/>
      <w:lvlText w:val="%1."/>
      <w:lvlJc w:val="left"/>
      <w:pPr>
        <w:pStyle w:val="716"/>
        <w:ind w:left="720" w:hanging="360"/>
        <w:tabs>
          <w:tab w:val="num" w:pos="720" w:leader="none"/>
        </w:tabs>
      </w:pPr>
    </w:lvl>
    <w:lvl w:ilvl="1">
      <w:start w:val="1"/>
      <w:numFmt w:val="decimal"/>
      <w:isLgl w:val="false"/>
      <w:suff w:val="tab"/>
      <w:lvlText w:val="%2."/>
      <w:lvlJc w:val="left"/>
      <w:pPr>
        <w:pStyle w:val="716"/>
        <w:ind w:left="1440" w:hanging="360"/>
        <w:tabs>
          <w:tab w:val="num" w:pos="1440" w:leader="none"/>
        </w:tabs>
      </w:pPr>
    </w:lvl>
    <w:lvl w:ilvl="2">
      <w:start w:val="1"/>
      <w:numFmt w:val="decimal"/>
      <w:isLgl w:val="false"/>
      <w:suff w:val="tab"/>
      <w:lvlText w:val="%3."/>
      <w:lvlJc w:val="left"/>
      <w:pPr>
        <w:pStyle w:val="716"/>
        <w:ind w:left="2160" w:hanging="360"/>
        <w:tabs>
          <w:tab w:val="num" w:pos="2160" w:leader="none"/>
        </w:tabs>
      </w:pPr>
    </w:lvl>
    <w:lvl w:ilvl="3">
      <w:start w:val="1"/>
      <w:numFmt w:val="decimal"/>
      <w:isLgl w:val="false"/>
      <w:suff w:val="tab"/>
      <w:lvlText w:val="%4."/>
      <w:lvlJc w:val="left"/>
      <w:pPr>
        <w:pStyle w:val="716"/>
        <w:ind w:left="2880" w:hanging="360"/>
        <w:tabs>
          <w:tab w:val="num" w:pos="2880" w:leader="none"/>
        </w:tabs>
      </w:pPr>
    </w:lvl>
    <w:lvl w:ilvl="4">
      <w:start w:val="1"/>
      <w:numFmt w:val="decimal"/>
      <w:isLgl w:val="false"/>
      <w:suff w:val="tab"/>
      <w:lvlText w:val="%5."/>
      <w:lvlJc w:val="left"/>
      <w:pPr>
        <w:pStyle w:val="716"/>
        <w:ind w:left="3600" w:hanging="360"/>
        <w:tabs>
          <w:tab w:val="num" w:pos="3600" w:leader="none"/>
        </w:tabs>
      </w:pPr>
    </w:lvl>
    <w:lvl w:ilvl="5">
      <w:start w:val="1"/>
      <w:numFmt w:val="decimal"/>
      <w:isLgl w:val="false"/>
      <w:suff w:val="tab"/>
      <w:lvlText w:val="%6."/>
      <w:lvlJc w:val="left"/>
      <w:pPr>
        <w:pStyle w:val="716"/>
        <w:ind w:left="4320" w:hanging="360"/>
        <w:tabs>
          <w:tab w:val="num" w:pos="4320" w:leader="none"/>
        </w:tabs>
      </w:pPr>
    </w:lvl>
    <w:lvl w:ilvl="6">
      <w:start w:val="1"/>
      <w:numFmt w:val="decimal"/>
      <w:isLgl w:val="false"/>
      <w:suff w:val="tab"/>
      <w:lvlText w:val="%7."/>
      <w:lvlJc w:val="left"/>
      <w:pPr>
        <w:pStyle w:val="716"/>
        <w:ind w:left="5040" w:hanging="360"/>
        <w:tabs>
          <w:tab w:val="num" w:pos="5040" w:leader="none"/>
        </w:tabs>
      </w:pPr>
    </w:lvl>
    <w:lvl w:ilvl="7">
      <w:start w:val="1"/>
      <w:numFmt w:val="decimal"/>
      <w:isLgl w:val="false"/>
      <w:suff w:val="tab"/>
      <w:lvlText w:val="%8."/>
      <w:lvlJc w:val="left"/>
      <w:pPr>
        <w:pStyle w:val="716"/>
        <w:ind w:left="5760" w:hanging="360"/>
        <w:tabs>
          <w:tab w:val="num" w:pos="5760" w:leader="none"/>
        </w:tabs>
      </w:pPr>
    </w:lvl>
    <w:lvl w:ilvl="8">
      <w:start w:val="1"/>
      <w:numFmt w:val="decimal"/>
      <w:isLgl w:val="false"/>
      <w:suff w:val="tab"/>
      <w:lvlText w:val="%9."/>
      <w:lvlJc w:val="left"/>
      <w:pPr>
        <w:pStyle w:val="716"/>
        <w:ind w:left="6480" w:hanging="360"/>
        <w:tabs>
          <w:tab w:val="num" w:pos="6480" w:leader="none"/>
        </w:tabs>
      </w:pPr>
    </w:lvl>
  </w:abstractNum>
  <w:num w:numId="1">
    <w:abstractNumId w:val="2"/>
  </w:num>
  <w:num w:numId="2">
    <w:abstractNumId w:val="1"/>
  </w:num>
  <w:num w:numId="3">
    <w:abstractNumId w:val="4"/>
  </w:num>
  <w:num w:numId="4">
    <w:abstractNumId w:val="5"/>
  </w:num>
  <w:num w:numId="5">
    <w:abstractNumId w:val="6"/>
  </w:num>
  <w:num w:numId="6">
    <w:abstractNumId w:val="7"/>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name w:val="Heading 1"/>
    <w:basedOn w:val="716"/>
    <w:next w:val="716"/>
    <w:link w:val="910"/>
    <w:uiPriority w:val="9"/>
    <w:qFormat/>
    <w:pPr>
      <w:keepLines/>
      <w:keepNext/>
      <w:spacing w:before="480" w:after="200"/>
      <w:outlineLvl w:val="0"/>
    </w:pPr>
    <w:rPr>
      <w:rFonts w:ascii="Arial" w:hAnsi="Arial" w:eastAsia="Arial" w:cs="Arial"/>
      <w:sz w:val="40"/>
      <w:szCs w:val="40"/>
    </w:rPr>
  </w:style>
  <w:style w:type="paragraph" w:styleId="663">
    <w:name w:val="Heading 2"/>
    <w:basedOn w:val="716"/>
    <w:next w:val="716"/>
    <w:link w:val="911"/>
    <w:uiPriority w:val="9"/>
    <w:unhideWhenUsed/>
    <w:qFormat/>
    <w:pPr>
      <w:keepLines/>
      <w:keepNext/>
      <w:spacing w:before="360" w:after="200"/>
      <w:outlineLvl w:val="1"/>
    </w:pPr>
    <w:rPr>
      <w:rFonts w:ascii="Arial" w:hAnsi="Arial" w:eastAsia="Arial" w:cs="Arial"/>
      <w:sz w:val="34"/>
    </w:rPr>
  </w:style>
  <w:style w:type="paragraph" w:styleId="664">
    <w:name w:val="Heading 3"/>
    <w:basedOn w:val="716"/>
    <w:next w:val="716"/>
    <w:link w:val="912"/>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716"/>
    <w:next w:val="716"/>
    <w:link w:val="913"/>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716"/>
    <w:next w:val="716"/>
    <w:link w:val="899"/>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716"/>
    <w:next w:val="716"/>
    <w:link w:val="900"/>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716"/>
    <w:next w:val="716"/>
    <w:link w:val="901"/>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716"/>
    <w:next w:val="716"/>
    <w:link w:val="902"/>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716"/>
    <w:next w:val="716"/>
    <w:link w:val="903"/>
    <w:uiPriority w:val="9"/>
    <w:unhideWhenUsed/>
    <w:qFormat/>
    <w:pPr>
      <w:keepLines/>
      <w:keepNext/>
      <w:spacing w:before="320" w:after="200"/>
      <w:outlineLvl w:val="8"/>
    </w:pPr>
    <w:rPr>
      <w:rFonts w:ascii="Arial" w:hAnsi="Arial" w:eastAsia="Arial" w:cs="Arial"/>
      <w:i/>
      <w:iCs/>
      <w:sz w:val="21"/>
      <w:szCs w:val="21"/>
    </w:rPr>
  </w:style>
  <w:style w:type="paragraph" w:styleId="671">
    <w:name w:val="List Paragraph"/>
    <w:basedOn w:val="716"/>
    <w:uiPriority w:val="34"/>
    <w:qFormat/>
    <w:pPr>
      <w:contextualSpacing/>
      <w:ind w:left="720"/>
    </w:pPr>
  </w:style>
  <w:style w:type="paragraph" w:styleId="672">
    <w:name w:val="No Spacing"/>
    <w:uiPriority w:val="1"/>
    <w:qFormat/>
    <w:pPr>
      <w:spacing w:before="0" w:after="0" w:line="240" w:lineRule="auto"/>
    </w:pPr>
  </w:style>
  <w:style w:type="paragraph" w:styleId="673">
    <w:name w:val="Title"/>
    <w:basedOn w:val="716"/>
    <w:next w:val="716"/>
    <w:link w:val="904"/>
    <w:uiPriority w:val="10"/>
    <w:qFormat/>
    <w:pPr>
      <w:contextualSpacing/>
      <w:spacing w:before="300" w:after="200"/>
    </w:pPr>
    <w:rPr>
      <w:sz w:val="48"/>
      <w:szCs w:val="48"/>
    </w:rPr>
  </w:style>
  <w:style w:type="paragraph" w:styleId="674">
    <w:name w:val="Subtitle"/>
    <w:basedOn w:val="716"/>
    <w:next w:val="716"/>
    <w:link w:val="905"/>
    <w:uiPriority w:val="11"/>
    <w:qFormat/>
    <w:pPr>
      <w:spacing w:before="200" w:after="200"/>
    </w:pPr>
    <w:rPr>
      <w:sz w:val="24"/>
      <w:szCs w:val="24"/>
    </w:rPr>
  </w:style>
  <w:style w:type="paragraph" w:styleId="675">
    <w:name w:val="Quote"/>
    <w:basedOn w:val="716"/>
    <w:next w:val="716"/>
    <w:link w:val="906"/>
    <w:uiPriority w:val="29"/>
    <w:qFormat/>
    <w:pPr>
      <w:ind w:left="720" w:right="720"/>
    </w:pPr>
    <w:rPr>
      <w:i/>
    </w:rPr>
  </w:style>
  <w:style w:type="paragraph" w:styleId="676">
    <w:name w:val="Intense Quote"/>
    <w:basedOn w:val="716"/>
    <w:next w:val="716"/>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77">
    <w:name w:val="Header"/>
    <w:basedOn w:val="716"/>
    <w:link w:val="1081"/>
    <w:uiPriority w:val="99"/>
    <w:unhideWhenUsed/>
    <w:pPr>
      <w:spacing w:after="0" w:line="240" w:lineRule="auto"/>
      <w:tabs>
        <w:tab w:val="center" w:pos="7143" w:leader="none"/>
        <w:tab w:val="right" w:pos="14287" w:leader="none"/>
      </w:tabs>
    </w:pPr>
  </w:style>
  <w:style w:type="paragraph" w:styleId="678">
    <w:name w:val="Footer"/>
    <w:basedOn w:val="716"/>
    <w:link w:val="920"/>
    <w:uiPriority w:val="99"/>
    <w:unhideWhenUsed/>
    <w:pPr>
      <w:spacing w:after="0" w:line="240" w:lineRule="auto"/>
      <w:tabs>
        <w:tab w:val="center" w:pos="7143" w:leader="none"/>
        <w:tab w:val="right" w:pos="14287" w:leader="none"/>
      </w:tabs>
    </w:pPr>
  </w:style>
  <w:style w:type="paragraph" w:styleId="679">
    <w:name w:val="Caption"/>
    <w:basedOn w:val="716"/>
    <w:next w:val="716"/>
    <w:uiPriority w:val="35"/>
    <w:semiHidden/>
    <w:unhideWhenUsed/>
    <w:qFormat/>
    <w:pPr>
      <w:spacing w:line="276" w:lineRule="auto"/>
    </w:pPr>
    <w:rPr>
      <w:b/>
      <w:bCs/>
      <w:color w:val="4f81bd" w:themeColor="accent1"/>
      <w:sz w:val="18"/>
      <w:szCs w:val="18"/>
    </w:rPr>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0">
    <w:name w:val="Hyperlink"/>
    <w:uiPriority w:val="99"/>
    <w:unhideWhenUsed/>
    <w:rPr>
      <w:color w:val="0000ff" w:themeColor="hyperlink"/>
      <w:u w:val="single"/>
    </w:rPr>
  </w:style>
  <w:style w:type="paragraph" w:styleId="701">
    <w:name w:val="footnote text"/>
    <w:basedOn w:val="716"/>
    <w:link w:val="908"/>
    <w:uiPriority w:val="99"/>
    <w:semiHidden/>
    <w:unhideWhenUsed/>
    <w:pPr>
      <w:spacing w:after="40" w:line="240" w:lineRule="auto"/>
    </w:pPr>
    <w:rPr>
      <w:sz w:val="18"/>
    </w:rPr>
  </w:style>
  <w:style w:type="character" w:styleId="702">
    <w:name w:val="footnote reference"/>
    <w:uiPriority w:val="99"/>
    <w:unhideWhenUsed/>
    <w:rPr>
      <w:vertAlign w:val="superscript"/>
    </w:rPr>
  </w:style>
  <w:style w:type="paragraph" w:styleId="703">
    <w:name w:val="endnote text"/>
    <w:basedOn w:val="716"/>
    <w:link w:val="909"/>
    <w:uiPriority w:val="99"/>
    <w:semiHidden/>
    <w:unhideWhenUsed/>
    <w:pPr>
      <w:spacing w:after="0" w:line="240" w:lineRule="auto"/>
    </w:pPr>
    <w:rPr>
      <w:sz w:val="20"/>
    </w:rPr>
  </w:style>
  <w:style w:type="character" w:styleId="704">
    <w:name w:val="endnote reference"/>
    <w:uiPriority w:val="99"/>
    <w:semiHidden/>
    <w:unhideWhenUsed/>
    <w:rPr>
      <w:vertAlign w:val="superscript"/>
    </w:rPr>
  </w:style>
  <w:style w:type="paragraph" w:styleId="705">
    <w:name w:val="toc 1"/>
    <w:basedOn w:val="716"/>
    <w:next w:val="716"/>
    <w:uiPriority w:val="39"/>
    <w:unhideWhenUsed/>
    <w:pPr>
      <w:ind w:left="0" w:right="0" w:firstLine="0"/>
      <w:spacing w:after="57"/>
    </w:pPr>
  </w:style>
  <w:style w:type="paragraph" w:styleId="706">
    <w:name w:val="toc 2"/>
    <w:basedOn w:val="716"/>
    <w:next w:val="716"/>
    <w:uiPriority w:val="39"/>
    <w:unhideWhenUsed/>
    <w:pPr>
      <w:ind w:left="283" w:right="0" w:firstLine="0"/>
      <w:spacing w:after="57"/>
    </w:pPr>
  </w:style>
  <w:style w:type="paragraph" w:styleId="707">
    <w:name w:val="toc 3"/>
    <w:basedOn w:val="716"/>
    <w:next w:val="716"/>
    <w:uiPriority w:val="39"/>
    <w:unhideWhenUsed/>
    <w:pPr>
      <w:ind w:left="567" w:right="0" w:firstLine="0"/>
      <w:spacing w:after="57"/>
    </w:pPr>
  </w:style>
  <w:style w:type="paragraph" w:styleId="708">
    <w:name w:val="toc 4"/>
    <w:basedOn w:val="716"/>
    <w:next w:val="716"/>
    <w:uiPriority w:val="39"/>
    <w:unhideWhenUsed/>
    <w:pPr>
      <w:ind w:left="850" w:right="0" w:firstLine="0"/>
      <w:spacing w:after="57"/>
    </w:pPr>
  </w:style>
  <w:style w:type="paragraph" w:styleId="709">
    <w:name w:val="toc 5"/>
    <w:basedOn w:val="716"/>
    <w:next w:val="716"/>
    <w:uiPriority w:val="39"/>
    <w:unhideWhenUsed/>
    <w:pPr>
      <w:ind w:left="1134" w:right="0" w:firstLine="0"/>
      <w:spacing w:after="57"/>
    </w:pPr>
  </w:style>
  <w:style w:type="paragraph" w:styleId="710">
    <w:name w:val="toc 6"/>
    <w:basedOn w:val="716"/>
    <w:next w:val="716"/>
    <w:uiPriority w:val="39"/>
    <w:unhideWhenUsed/>
    <w:pPr>
      <w:ind w:left="1417" w:right="0" w:firstLine="0"/>
      <w:spacing w:after="57"/>
    </w:pPr>
  </w:style>
  <w:style w:type="paragraph" w:styleId="711">
    <w:name w:val="toc 7"/>
    <w:basedOn w:val="716"/>
    <w:next w:val="716"/>
    <w:uiPriority w:val="39"/>
    <w:unhideWhenUsed/>
    <w:pPr>
      <w:ind w:left="1701" w:right="0" w:firstLine="0"/>
      <w:spacing w:after="57"/>
    </w:pPr>
  </w:style>
  <w:style w:type="paragraph" w:styleId="712">
    <w:name w:val="toc 8"/>
    <w:basedOn w:val="716"/>
    <w:next w:val="716"/>
    <w:uiPriority w:val="39"/>
    <w:unhideWhenUsed/>
    <w:pPr>
      <w:ind w:left="1984" w:right="0" w:firstLine="0"/>
      <w:spacing w:after="57"/>
    </w:pPr>
  </w:style>
  <w:style w:type="paragraph" w:styleId="713">
    <w:name w:val="toc 9"/>
    <w:basedOn w:val="716"/>
    <w:next w:val="716"/>
    <w:uiPriority w:val="39"/>
    <w:unhideWhenUsed/>
    <w:pPr>
      <w:ind w:left="2268" w:right="0" w:firstLine="0"/>
      <w:spacing w:after="57"/>
    </w:pPr>
  </w:style>
  <w:style w:type="paragraph" w:styleId="714">
    <w:name w:val="TOC Heading"/>
    <w:uiPriority w:val="39"/>
    <w:unhideWhenUsed/>
  </w:style>
  <w:style w:type="paragraph" w:styleId="715">
    <w:name w:val="table of figures"/>
    <w:basedOn w:val="716"/>
    <w:next w:val="716"/>
    <w:uiPriority w:val="99"/>
    <w:unhideWhenUsed/>
    <w:pPr>
      <w:spacing w:after="0" w:afterAutospacing="0"/>
    </w:pPr>
  </w:style>
  <w:style w:type="paragraph" w:styleId="716" w:default="1">
    <w:name w:val="Normal"/>
    <w:next w:val="716"/>
    <w:link w:val="716"/>
    <w:qFormat/>
    <w:pPr>
      <w:jc w:val="both"/>
      <w:widowControl w:val="off"/>
    </w:pPr>
    <w:rPr>
      <w:sz w:val="21"/>
      <w:szCs w:val="24"/>
      <w:lang w:val="en-US" w:eastAsia="zh-CN" w:bidi="ar-SA"/>
    </w:rPr>
  </w:style>
  <w:style w:type="paragraph" w:styleId="717">
    <w:name w:val="标题 1"/>
    <w:basedOn w:val="716"/>
    <w:next w:val="716"/>
    <w:link w:val="728"/>
    <w:qFormat/>
    <w:pPr>
      <w:keepLines/>
      <w:keepNext/>
      <w:spacing w:before="340" w:after="330" w:line="578" w:lineRule="auto"/>
      <w:outlineLvl w:val="0"/>
    </w:pPr>
    <w:rPr>
      <w:b/>
      <w:bCs/>
      <w:sz w:val="44"/>
      <w:szCs w:val="44"/>
    </w:rPr>
  </w:style>
  <w:style w:type="paragraph" w:styleId="718">
    <w:name w:val="标题 2"/>
    <w:basedOn w:val="716"/>
    <w:next w:val="716"/>
    <w:link w:val="729"/>
    <w:qFormat/>
    <w:pPr>
      <w:keepLines/>
      <w:keepNext/>
      <w:spacing w:before="260" w:after="260" w:line="416" w:lineRule="auto"/>
      <w:outlineLvl w:val="1"/>
    </w:pPr>
    <w:rPr>
      <w:rFonts w:ascii="Arial" w:hAnsi="Arial" w:eastAsia="黑体"/>
      <w:b/>
      <w:bCs/>
      <w:sz w:val="32"/>
      <w:szCs w:val="32"/>
    </w:rPr>
  </w:style>
  <w:style w:type="paragraph" w:styleId="719">
    <w:name w:val="标题 3"/>
    <w:basedOn w:val="716"/>
    <w:next w:val="716"/>
    <w:link w:val="730"/>
    <w:uiPriority w:val="99"/>
    <w:qFormat/>
    <w:pPr>
      <w:keepLines/>
      <w:keepNext/>
      <w:spacing w:before="260" w:after="260" w:line="416" w:lineRule="auto"/>
      <w:outlineLvl w:val="2"/>
    </w:pPr>
    <w:rPr>
      <w:b/>
      <w:bCs/>
      <w:sz w:val="32"/>
      <w:szCs w:val="32"/>
    </w:rPr>
  </w:style>
  <w:style w:type="paragraph" w:styleId="720">
    <w:name w:val="标题 4"/>
    <w:basedOn w:val="716"/>
    <w:next w:val="716"/>
    <w:link w:val="731"/>
    <w:qFormat/>
    <w:pPr>
      <w:jc w:val="center"/>
      <w:keepNext/>
      <w:outlineLvl w:val="3"/>
    </w:pPr>
    <w:rPr>
      <w:rFonts w:eastAsia="新宋体"/>
      <w:sz w:val="30"/>
      <w:szCs w:val="21"/>
    </w:rPr>
  </w:style>
  <w:style w:type="paragraph" w:styleId="721">
    <w:name w:val="标题 5"/>
    <w:basedOn w:val="716"/>
    <w:next w:val="716"/>
    <w:link w:val="732"/>
    <w:qFormat/>
    <w:pPr>
      <w:keepLines/>
      <w:keepNext/>
      <w:spacing w:before="280" w:after="290" w:line="376" w:lineRule="auto"/>
      <w:outlineLvl w:val="4"/>
    </w:pPr>
    <w:rPr>
      <w:b/>
      <w:bCs/>
      <w:sz w:val="28"/>
      <w:szCs w:val="28"/>
    </w:rPr>
  </w:style>
  <w:style w:type="paragraph" w:styleId="722">
    <w:name w:val="标题 6"/>
    <w:basedOn w:val="716"/>
    <w:next w:val="734"/>
    <w:link w:val="733"/>
    <w:qFormat/>
    <w:pPr>
      <w:jc w:val="center"/>
      <w:keepNext/>
      <w:outlineLvl w:val="5"/>
    </w:pPr>
    <w:rPr>
      <w:b/>
      <w:sz w:val="44"/>
      <w:szCs w:val="20"/>
    </w:rPr>
  </w:style>
  <w:style w:type="paragraph" w:styleId="723">
    <w:name w:val="标题 7"/>
    <w:basedOn w:val="716"/>
    <w:next w:val="716"/>
    <w:link w:val="736"/>
    <w:qFormat/>
    <w:pPr>
      <w:keepLines/>
      <w:keepNext/>
      <w:spacing w:before="240" w:after="64" w:line="320" w:lineRule="auto"/>
      <w:outlineLvl w:val="6"/>
    </w:pPr>
    <w:rPr>
      <w:b/>
      <w:bCs/>
      <w:sz w:val="24"/>
    </w:rPr>
  </w:style>
  <w:style w:type="paragraph" w:styleId="724">
    <w:name w:val="标题 8"/>
    <w:basedOn w:val="716"/>
    <w:next w:val="716"/>
    <w:link w:val="737"/>
    <w:qFormat/>
    <w:pPr>
      <w:keepLines/>
      <w:keepNext/>
      <w:spacing w:before="240" w:after="64" w:line="320" w:lineRule="auto"/>
      <w:outlineLvl w:val="7"/>
    </w:pPr>
    <w:rPr>
      <w:rFonts w:ascii="Arial" w:hAnsi="Arial" w:eastAsia="黑体"/>
      <w:sz w:val="24"/>
    </w:rPr>
  </w:style>
  <w:style w:type="paragraph" w:styleId="725">
    <w:name w:val="标题 9"/>
    <w:basedOn w:val="716"/>
    <w:next w:val="716"/>
    <w:link w:val="738"/>
    <w:qFormat/>
    <w:pPr>
      <w:keepLines/>
      <w:keepNext/>
      <w:spacing w:before="240" w:after="64" w:line="320" w:lineRule="auto"/>
      <w:outlineLvl w:val="8"/>
    </w:pPr>
    <w:rPr>
      <w:rFonts w:ascii="Arial" w:hAnsi="Arial" w:eastAsia="黑体"/>
      <w:sz w:val="24"/>
      <w:szCs w:val="21"/>
    </w:rPr>
  </w:style>
  <w:style w:type="character" w:styleId="726">
    <w:name w:val="默认段落字体"/>
    <w:next w:val="726"/>
    <w:link w:val="716"/>
    <w:uiPriority w:val="1"/>
    <w:unhideWhenUsed/>
  </w:style>
  <w:style w:type="table" w:styleId="727">
    <w:name w:val="普通表格"/>
    <w:next w:val="727"/>
    <w:link w:val="716"/>
    <w:uiPriority w:val="99"/>
    <w:unhideWhenUsed/>
    <w:qFormat/>
    <w:tblPr/>
  </w:style>
  <w:style w:type="character" w:styleId="728">
    <w:name w:val="标题 1 字符"/>
    <w:next w:val="728"/>
    <w:link w:val="717"/>
    <w:qFormat/>
    <w:rPr>
      <w:rFonts w:ascii="Times New Roman" w:hAnsi="Times New Roman" w:eastAsia="宋体" w:cs="Times New Roman"/>
      <w:b/>
      <w:bCs/>
      <w:sz w:val="44"/>
      <w:szCs w:val="44"/>
    </w:rPr>
  </w:style>
  <w:style w:type="character" w:styleId="729">
    <w:name w:val="标题 2 字符"/>
    <w:next w:val="729"/>
    <w:link w:val="718"/>
    <w:qFormat/>
    <w:rPr>
      <w:rFonts w:ascii="Arial" w:hAnsi="Arial" w:eastAsia="黑体" w:cs="Times New Roman"/>
      <w:b/>
      <w:bCs/>
      <w:sz w:val="32"/>
      <w:szCs w:val="32"/>
    </w:rPr>
  </w:style>
  <w:style w:type="character" w:styleId="730">
    <w:name w:val="标题 3 字符"/>
    <w:next w:val="730"/>
    <w:link w:val="719"/>
    <w:uiPriority w:val="99"/>
    <w:qFormat/>
    <w:rPr>
      <w:rFonts w:ascii="Times New Roman" w:hAnsi="Times New Roman" w:eastAsia="宋体" w:cs="Times New Roman"/>
      <w:b/>
      <w:bCs/>
      <w:sz w:val="32"/>
      <w:szCs w:val="32"/>
    </w:rPr>
  </w:style>
  <w:style w:type="character" w:styleId="731">
    <w:name w:val="标题 4 字符"/>
    <w:next w:val="731"/>
    <w:link w:val="720"/>
    <w:qFormat/>
    <w:rPr>
      <w:rFonts w:ascii="Times New Roman" w:hAnsi="Times New Roman" w:eastAsia="新宋体" w:cs="Times New Roman"/>
      <w:sz w:val="30"/>
      <w:szCs w:val="21"/>
    </w:rPr>
  </w:style>
  <w:style w:type="character" w:styleId="732">
    <w:name w:val="标题 5 字符"/>
    <w:next w:val="732"/>
    <w:link w:val="721"/>
    <w:qFormat/>
    <w:rPr>
      <w:rFonts w:ascii="Times New Roman" w:hAnsi="Times New Roman" w:eastAsia="宋体" w:cs="Times New Roman"/>
      <w:b/>
      <w:bCs/>
      <w:sz w:val="28"/>
      <w:szCs w:val="28"/>
    </w:rPr>
  </w:style>
  <w:style w:type="character" w:styleId="733">
    <w:name w:val="标题 6 字符"/>
    <w:next w:val="733"/>
    <w:link w:val="722"/>
    <w:qFormat/>
    <w:rPr>
      <w:rFonts w:ascii="Times New Roman" w:hAnsi="Times New Roman" w:eastAsia="宋体" w:cs="Times New Roman"/>
      <w:b/>
      <w:sz w:val="44"/>
      <w:szCs w:val="20"/>
    </w:rPr>
  </w:style>
  <w:style w:type="paragraph" w:styleId="734">
    <w:name w:val="正文缩进"/>
    <w:basedOn w:val="716"/>
    <w:next w:val="734"/>
    <w:link w:val="735"/>
    <w:qFormat/>
    <w:pPr>
      <w:ind w:firstLine="420"/>
    </w:pPr>
    <w:rPr>
      <w:sz w:val="20"/>
      <w:szCs w:val="20"/>
    </w:rPr>
  </w:style>
  <w:style w:type="character" w:styleId="735">
    <w:name w:val="正文缩进 字符"/>
    <w:next w:val="735"/>
    <w:link w:val="734"/>
    <w:qFormat/>
    <w:rPr>
      <w:rFonts w:ascii="Times New Roman" w:hAnsi="Times New Roman" w:eastAsia="宋体" w:cs="Times New Roman"/>
      <w:sz w:val="20"/>
      <w:szCs w:val="20"/>
    </w:rPr>
  </w:style>
  <w:style w:type="character" w:styleId="736">
    <w:name w:val="标题 7 字符"/>
    <w:next w:val="736"/>
    <w:link w:val="723"/>
    <w:qFormat/>
    <w:rPr>
      <w:rFonts w:ascii="Times New Roman" w:hAnsi="Times New Roman" w:eastAsia="宋体" w:cs="Times New Roman"/>
      <w:b/>
      <w:bCs/>
      <w:sz w:val="24"/>
      <w:szCs w:val="24"/>
    </w:rPr>
  </w:style>
  <w:style w:type="character" w:styleId="737">
    <w:name w:val="标题 8 字符"/>
    <w:next w:val="737"/>
    <w:link w:val="724"/>
    <w:qFormat/>
    <w:rPr>
      <w:rFonts w:ascii="Arial" w:hAnsi="Arial" w:eastAsia="黑体" w:cs="Times New Roman"/>
      <w:sz w:val="24"/>
      <w:szCs w:val="24"/>
    </w:rPr>
  </w:style>
  <w:style w:type="character" w:styleId="738">
    <w:name w:val="标题 9 字符"/>
    <w:next w:val="738"/>
    <w:link w:val="725"/>
    <w:qFormat/>
    <w:rPr>
      <w:rFonts w:ascii="Arial" w:hAnsi="Arial" w:eastAsia="黑体" w:cs="Times New Roman"/>
      <w:sz w:val="24"/>
      <w:szCs w:val="21"/>
    </w:rPr>
  </w:style>
  <w:style w:type="paragraph" w:styleId="739">
    <w:name w:val="目录 7"/>
    <w:basedOn w:val="716"/>
    <w:next w:val="716"/>
    <w:link w:val="716"/>
    <w:uiPriority w:val="39"/>
    <w:unhideWhenUsed/>
    <w:qFormat/>
    <w:pPr>
      <w:ind w:left="1701" w:firstLine="480"/>
      <w:spacing w:after="57" w:line="440" w:lineRule="exact"/>
      <w:widowControl/>
    </w:pPr>
    <w:rPr>
      <w:rFonts w:ascii="楷体_GB2312" w:hAnsi="楷体_GB2312" w:eastAsia="楷体_GB2312" w:cs="楷体_GB2312"/>
      <w:color w:val="000000"/>
      <w:sz w:val="24"/>
    </w:rPr>
  </w:style>
  <w:style w:type="paragraph" w:styleId="740">
    <w:name w:val="索引 8"/>
    <w:basedOn w:val="716"/>
    <w:next w:val="716"/>
    <w:link w:val="716"/>
    <w:qFormat/>
    <w:pPr>
      <w:ind w:left="2940" w:firstLine="480"/>
      <w:spacing w:line="440" w:lineRule="exact"/>
      <w:widowControl/>
    </w:pPr>
    <w:rPr>
      <w:rFonts w:ascii="楷体_GB2312" w:hAnsi="楷体_GB2312" w:eastAsia="楷体_GB2312" w:cs="楷体_GB2312"/>
      <w:color w:val="000000"/>
      <w:sz w:val="24"/>
    </w:rPr>
  </w:style>
  <w:style w:type="paragraph" w:styleId="741">
    <w:name w:val="题注"/>
    <w:basedOn w:val="716"/>
    <w:next w:val="716"/>
    <w:link w:val="716"/>
    <w:uiPriority w:val="35"/>
    <w:qFormat/>
    <w:pPr>
      <w:ind w:firstLine="480"/>
      <w:spacing w:line="276" w:lineRule="auto"/>
      <w:widowControl/>
    </w:pPr>
    <w:rPr>
      <w:rFonts w:ascii="楷体_GB2312" w:hAnsi="楷体_GB2312" w:eastAsia="楷体_GB2312" w:cs="楷体_GB2312"/>
      <w:b/>
      <w:bCs/>
      <w:color w:val="4f81bd"/>
      <w:sz w:val="18"/>
      <w:szCs w:val="18"/>
    </w:rPr>
  </w:style>
  <w:style w:type="paragraph" w:styleId="742">
    <w:name w:val="索引 5"/>
    <w:basedOn w:val="716"/>
    <w:next w:val="716"/>
    <w:link w:val="716"/>
    <w:qFormat/>
    <w:pPr>
      <w:ind w:left="1680" w:firstLine="480"/>
      <w:spacing w:line="440" w:lineRule="exact"/>
      <w:widowControl/>
    </w:pPr>
    <w:rPr>
      <w:rFonts w:ascii="楷体_GB2312" w:hAnsi="楷体_GB2312" w:eastAsia="楷体_GB2312" w:cs="楷体_GB2312"/>
      <w:color w:val="000000"/>
      <w:sz w:val="24"/>
    </w:rPr>
  </w:style>
  <w:style w:type="paragraph" w:styleId="743">
    <w:name w:val="文档结构图"/>
    <w:basedOn w:val="716"/>
    <w:next w:val="743"/>
    <w:link w:val="744"/>
    <w:qFormat/>
    <w:pPr>
      <w:shd w:val="clear" w:color="auto" w:fill="000080"/>
    </w:pPr>
    <w:rPr>
      <w:sz w:val="20"/>
    </w:rPr>
  </w:style>
  <w:style w:type="character" w:styleId="744">
    <w:name w:val="文档结构图 字符"/>
    <w:next w:val="744"/>
    <w:link w:val="743"/>
    <w:qFormat/>
    <w:rPr>
      <w:szCs w:val="24"/>
      <w:shd w:val="clear" w:color="auto" w:fill="000080"/>
    </w:rPr>
  </w:style>
  <w:style w:type="paragraph" w:styleId="745">
    <w:name w:val="批注文字"/>
    <w:basedOn w:val="716"/>
    <w:next w:val="745"/>
    <w:link w:val="746"/>
    <w:unhideWhenUsed/>
    <w:qFormat/>
    <w:pPr>
      <w:jc w:val="left"/>
    </w:pPr>
  </w:style>
  <w:style w:type="character" w:styleId="746">
    <w:name w:val="批注文字 字符"/>
    <w:next w:val="746"/>
    <w:link w:val="745"/>
    <w:qFormat/>
    <w:rPr>
      <w:sz w:val="21"/>
      <w:szCs w:val="24"/>
    </w:rPr>
  </w:style>
  <w:style w:type="paragraph" w:styleId="747">
    <w:name w:val="索引 6"/>
    <w:basedOn w:val="716"/>
    <w:next w:val="716"/>
    <w:link w:val="716"/>
    <w:qFormat/>
    <w:pPr>
      <w:ind w:left="2100" w:firstLine="480"/>
      <w:spacing w:line="440" w:lineRule="exact"/>
      <w:widowControl/>
    </w:pPr>
    <w:rPr>
      <w:rFonts w:ascii="楷体_GB2312" w:hAnsi="楷体_GB2312" w:eastAsia="楷体_GB2312" w:cs="楷体_GB2312"/>
      <w:color w:val="000000"/>
      <w:sz w:val="24"/>
    </w:rPr>
  </w:style>
  <w:style w:type="paragraph" w:styleId="748">
    <w:name w:val="正文文本 3"/>
    <w:basedOn w:val="716"/>
    <w:next w:val="748"/>
    <w:link w:val="749"/>
    <w:pPr>
      <w:spacing w:after="120"/>
    </w:pPr>
    <w:rPr>
      <w:sz w:val="16"/>
      <w:szCs w:val="16"/>
    </w:rPr>
  </w:style>
  <w:style w:type="character" w:styleId="749">
    <w:name w:val="正文文本 3 字符"/>
    <w:next w:val="749"/>
    <w:link w:val="748"/>
    <w:rPr>
      <w:rFonts w:ascii="Times New Roman" w:hAnsi="Times New Roman" w:eastAsia="宋体" w:cs="Times New Roman"/>
      <w:sz w:val="16"/>
      <w:szCs w:val="16"/>
    </w:rPr>
  </w:style>
  <w:style w:type="paragraph" w:styleId="750">
    <w:name w:val="正文文本"/>
    <w:basedOn w:val="716"/>
    <w:next w:val="750"/>
    <w:link w:val="751"/>
    <w:qFormat/>
    <w:rPr>
      <w:rFonts w:ascii="仿宋_GB2312" w:eastAsia="仿宋_GB2312"/>
      <w:sz w:val="24"/>
      <w:szCs w:val="20"/>
    </w:rPr>
  </w:style>
  <w:style w:type="character" w:styleId="751">
    <w:name w:val="正文文本 字符"/>
    <w:next w:val="751"/>
    <w:link w:val="750"/>
    <w:qFormat/>
    <w:rPr>
      <w:rFonts w:ascii="仿宋_GB2312" w:hAnsi="Times New Roman" w:eastAsia="仿宋_GB2312" w:cs="Times New Roman"/>
      <w:sz w:val="24"/>
      <w:szCs w:val="20"/>
    </w:rPr>
  </w:style>
  <w:style w:type="paragraph" w:styleId="752">
    <w:name w:val="正文文本缩进"/>
    <w:basedOn w:val="716"/>
    <w:next w:val="752"/>
    <w:link w:val="753"/>
    <w:qFormat/>
    <w:pPr>
      <w:ind w:left="765"/>
    </w:pPr>
    <w:rPr>
      <w:rFonts w:ascii="仿宋_GB2312" w:eastAsia="仿宋_GB2312"/>
      <w:sz w:val="28"/>
      <w:szCs w:val="20"/>
    </w:rPr>
  </w:style>
  <w:style w:type="character" w:styleId="753">
    <w:name w:val="正文文本缩进 字符"/>
    <w:next w:val="753"/>
    <w:link w:val="752"/>
    <w:qFormat/>
    <w:rPr>
      <w:rFonts w:ascii="仿宋_GB2312" w:hAnsi="Times New Roman" w:eastAsia="仿宋_GB2312" w:cs="Times New Roman"/>
      <w:sz w:val="28"/>
      <w:szCs w:val="20"/>
    </w:rPr>
  </w:style>
  <w:style w:type="paragraph" w:styleId="754">
    <w:name w:val="索引 4"/>
    <w:basedOn w:val="716"/>
    <w:next w:val="716"/>
    <w:link w:val="716"/>
    <w:qFormat/>
    <w:pPr>
      <w:ind w:left="1260" w:firstLine="480"/>
      <w:spacing w:line="440" w:lineRule="exact"/>
      <w:widowControl/>
    </w:pPr>
    <w:rPr>
      <w:rFonts w:ascii="楷体_GB2312" w:hAnsi="楷体_GB2312" w:eastAsia="楷体_GB2312" w:cs="楷体_GB2312"/>
      <w:color w:val="000000"/>
      <w:sz w:val="24"/>
    </w:rPr>
  </w:style>
  <w:style w:type="paragraph" w:styleId="755">
    <w:name w:val="目录 5"/>
    <w:basedOn w:val="716"/>
    <w:next w:val="716"/>
    <w:link w:val="716"/>
    <w:uiPriority w:val="39"/>
    <w:unhideWhenUsed/>
    <w:qFormat/>
    <w:pPr>
      <w:ind w:left="1134" w:firstLine="480"/>
      <w:spacing w:after="57" w:line="440" w:lineRule="exact"/>
      <w:widowControl/>
    </w:pPr>
    <w:rPr>
      <w:rFonts w:ascii="楷体_GB2312" w:hAnsi="楷体_GB2312" w:eastAsia="楷体_GB2312" w:cs="楷体_GB2312"/>
      <w:color w:val="000000"/>
      <w:sz w:val="24"/>
    </w:rPr>
  </w:style>
  <w:style w:type="paragraph" w:styleId="756">
    <w:name w:val="目录 3"/>
    <w:basedOn w:val="716"/>
    <w:next w:val="716"/>
    <w:link w:val="716"/>
    <w:uiPriority w:val="39"/>
    <w:unhideWhenUsed/>
    <w:qFormat/>
    <w:pPr>
      <w:ind w:left="567" w:firstLine="480"/>
      <w:spacing w:after="57" w:line="440" w:lineRule="exact"/>
      <w:widowControl/>
    </w:pPr>
    <w:rPr>
      <w:rFonts w:ascii="楷体_GB2312" w:hAnsi="楷体_GB2312" w:eastAsia="楷体_GB2312" w:cs="楷体_GB2312"/>
      <w:color w:val="000000"/>
      <w:sz w:val="24"/>
    </w:rPr>
  </w:style>
  <w:style w:type="paragraph" w:styleId="757">
    <w:name w:val="纯文本"/>
    <w:basedOn w:val="716"/>
    <w:next w:val="757"/>
    <w:link w:val="758"/>
    <w:qFormat/>
    <w:rPr>
      <w:rFonts w:ascii="宋体" w:hAnsi="Courier New"/>
      <w:sz w:val="20"/>
      <w:szCs w:val="21"/>
    </w:rPr>
  </w:style>
  <w:style w:type="character" w:styleId="758">
    <w:name w:val="纯文本 字符"/>
    <w:next w:val="758"/>
    <w:link w:val="757"/>
    <w:qFormat/>
    <w:rPr>
      <w:rFonts w:ascii="宋体" w:hAnsi="Courier New" w:eastAsia="宋体" w:cs="Courier New"/>
      <w:szCs w:val="21"/>
    </w:rPr>
  </w:style>
  <w:style w:type="paragraph" w:styleId="759">
    <w:name w:val="目录 8"/>
    <w:basedOn w:val="716"/>
    <w:next w:val="716"/>
    <w:link w:val="716"/>
    <w:uiPriority w:val="39"/>
    <w:unhideWhenUsed/>
    <w:qFormat/>
    <w:pPr>
      <w:ind w:left="1984" w:firstLine="480"/>
      <w:spacing w:after="57" w:line="440" w:lineRule="exact"/>
      <w:widowControl/>
    </w:pPr>
    <w:rPr>
      <w:rFonts w:ascii="楷体_GB2312" w:hAnsi="楷体_GB2312" w:eastAsia="楷体_GB2312" w:cs="楷体_GB2312"/>
      <w:color w:val="000000"/>
      <w:sz w:val="24"/>
    </w:rPr>
  </w:style>
  <w:style w:type="paragraph" w:styleId="760">
    <w:name w:val="索引 3"/>
    <w:basedOn w:val="716"/>
    <w:next w:val="716"/>
    <w:link w:val="716"/>
    <w:qFormat/>
    <w:pPr>
      <w:ind w:left="840" w:firstLine="480"/>
      <w:spacing w:line="440" w:lineRule="exact"/>
      <w:widowControl/>
    </w:pPr>
    <w:rPr>
      <w:rFonts w:ascii="楷体_GB2312" w:hAnsi="楷体_GB2312" w:eastAsia="楷体_GB2312" w:cs="楷体_GB2312"/>
      <w:color w:val="000000"/>
      <w:sz w:val="24"/>
    </w:rPr>
  </w:style>
  <w:style w:type="paragraph" w:styleId="761">
    <w:name w:val="日期"/>
    <w:basedOn w:val="716"/>
    <w:next w:val="716"/>
    <w:link w:val="762"/>
    <w:qFormat/>
    <w:rPr>
      <w:sz w:val="24"/>
      <w:szCs w:val="20"/>
    </w:rPr>
  </w:style>
  <w:style w:type="character" w:styleId="762">
    <w:name w:val="日期 字符"/>
    <w:next w:val="762"/>
    <w:link w:val="761"/>
    <w:qFormat/>
    <w:rPr>
      <w:rFonts w:ascii="Times New Roman" w:hAnsi="Times New Roman" w:eastAsia="宋体" w:cs="Times New Roman"/>
      <w:sz w:val="24"/>
      <w:szCs w:val="20"/>
    </w:rPr>
  </w:style>
  <w:style w:type="paragraph" w:styleId="763">
    <w:name w:val="正文文本缩进 2"/>
    <w:basedOn w:val="716"/>
    <w:next w:val="763"/>
    <w:link w:val="764"/>
    <w:qFormat/>
    <w:pPr>
      <w:ind w:firstLine="560"/>
      <w:spacing w:line="500" w:lineRule="exact"/>
    </w:pPr>
    <w:rPr>
      <w:rFonts w:eastAsia="仿宋_GB2312"/>
      <w:sz w:val="28"/>
      <w:szCs w:val="20"/>
    </w:rPr>
  </w:style>
  <w:style w:type="character" w:styleId="764">
    <w:name w:val="正文文本缩进 2 字符"/>
    <w:next w:val="764"/>
    <w:link w:val="763"/>
    <w:rPr>
      <w:rFonts w:ascii="Times New Roman" w:hAnsi="Times New Roman" w:eastAsia="仿宋_GB2312" w:cs="Times New Roman"/>
      <w:sz w:val="28"/>
      <w:szCs w:val="20"/>
    </w:rPr>
  </w:style>
  <w:style w:type="paragraph" w:styleId="765">
    <w:name w:val="尾注文本"/>
    <w:basedOn w:val="716"/>
    <w:next w:val="765"/>
    <w:link w:val="766"/>
    <w:uiPriority w:val="99"/>
    <w:unhideWhenUsed/>
    <w:qFormat/>
    <w:pPr>
      <w:ind w:firstLine="480"/>
      <w:spacing w:line="440" w:lineRule="exact"/>
      <w:widowControl/>
    </w:pPr>
    <w:rPr>
      <w:rFonts w:ascii="楷体_GB2312" w:hAnsi="楷体_GB2312" w:eastAsia="楷体_GB2312" w:cs="楷体_GB2312"/>
      <w:color w:val="000000"/>
      <w:sz w:val="20"/>
    </w:rPr>
  </w:style>
  <w:style w:type="character" w:styleId="766">
    <w:name w:val="尾注文本 字符"/>
    <w:next w:val="766"/>
    <w:link w:val="765"/>
    <w:uiPriority w:val="99"/>
    <w:qFormat/>
    <w:rPr>
      <w:rFonts w:ascii="楷体_GB2312" w:hAnsi="楷体_GB2312" w:eastAsia="楷体_GB2312" w:cs="楷体_GB2312"/>
      <w:color w:val="000000"/>
      <w:szCs w:val="24"/>
    </w:rPr>
  </w:style>
  <w:style w:type="paragraph" w:styleId="767">
    <w:name w:val="批注框文本"/>
    <w:basedOn w:val="716"/>
    <w:next w:val="767"/>
    <w:link w:val="768"/>
    <w:qFormat/>
    <w:rPr>
      <w:sz w:val="18"/>
      <w:szCs w:val="18"/>
    </w:rPr>
  </w:style>
  <w:style w:type="character" w:styleId="768">
    <w:name w:val="批注框文本 字符"/>
    <w:next w:val="768"/>
    <w:link w:val="767"/>
    <w:qFormat/>
    <w:rPr>
      <w:sz w:val="18"/>
      <w:szCs w:val="18"/>
    </w:rPr>
  </w:style>
  <w:style w:type="paragraph" w:styleId="769">
    <w:name w:val="页脚"/>
    <w:basedOn w:val="716"/>
    <w:next w:val="769"/>
    <w:link w:val="770"/>
    <w:uiPriority w:val="99"/>
    <w:qFormat/>
    <w:pPr>
      <w:jc w:val="left"/>
      <w:tabs>
        <w:tab w:val="center" w:pos="4153" w:leader="none"/>
        <w:tab w:val="right" w:pos="8306" w:leader="none"/>
      </w:tabs>
    </w:pPr>
    <w:rPr>
      <w:sz w:val="18"/>
      <w:szCs w:val="20"/>
    </w:rPr>
  </w:style>
  <w:style w:type="character" w:styleId="770">
    <w:name w:val="页脚 字符"/>
    <w:next w:val="770"/>
    <w:link w:val="769"/>
    <w:uiPriority w:val="99"/>
    <w:qFormat/>
    <w:rPr>
      <w:rFonts w:ascii="Times New Roman" w:hAnsi="Times New Roman" w:eastAsia="宋体" w:cs="Times New Roman"/>
      <w:sz w:val="18"/>
      <w:szCs w:val="20"/>
    </w:rPr>
  </w:style>
  <w:style w:type="paragraph" w:styleId="771">
    <w:name w:val="寄信人地址"/>
    <w:basedOn w:val="716"/>
    <w:next w:val="771"/>
    <w:link w:val="716"/>
    <w:uiPriority w:val="99"/>
    <w:unhideWhenUsed/>
    <w:qFormat/>
    <w:pPr>
      <w:ind w:firstLine="480"/>
      <w:spacing w:line="440" w:lineRule="exact"/>
      <w:widowControl/>
    </w:pPr>
    <w:rPr>
      <w:rFonts w:ascii="Arial" w:hAnsi="Arial" w:eastAsia="楷体_GB2312" w:cs="楷体_GB2312"/>
      <w:color w:val="000000"/>
      <w:sz w:val="24"/>
    </w:rPr>
  </w:style>
  <w:style w:type="paragraph" w:styleId="772">
    <w:name w:val="页眉"/>
    <w:basedOn w:val="716"/>
    <w:next w:val="772"/>
    <w:link w:val="773"/>
    <w:uiPriority w:val="99"/>
    <w:qFormat/>
    <w:pPr>
      <w:jc w:val="center"/>
      <w:tabs>
        <w:tab w:val="center" w:pos="4153" w:leader="none"/>
        <w:tab w:val="right" w:pos="8306" w:leader="none"/>
      </w:tabs>
      <w:pBdr>
        <w:bottom w:val="single" w:color="000000" w:sz="6" w:space="1"/>
      </w:pBdr>
    </w:pPr>
    <w:rPr>
      <w:sz w:val="18"/>
      <w:szCs w:val="18"/>
    </w:rPr>
  </w:style>
  <w:style w:type="character" w:styleId="773">
    <w:name w:val="页眉 字符"/>
    <w:next w:val="773"/>
    <w:link w:val="772"/>
    <w:uiPriority w:val="99"/>
    <w:qFormat/>
    <w:rPr>
      <w:rFonts w:ascii="Times New Roman" w:hAnsi="Times New Roman" w:eastAsia="宋体" w:cs="Times New Roman"/>
      <w:sz w:val="18"/>
      <w:szCs w:val="18"/>
    </w:rPr>
  </w:style>
  <w:style w:type="paragraph" w:styleId="774">
    <w:name w:val="签名"/>
    <w:basedOn w:val="716"/>
    <w:next w:val="774"/>
    <w:link w:val="775"/>
    <w:qFormat/>
    <w:pPr>
      <w:ind w:firstLine="480"/>
      <w:jc w:val="center"/>
      <w:spacing w:after="600" w:line="312" w:lineRule="atLeast"/>
      <w:widowControl/>
    </w:pPr>
    <w:rPr>
      <w:rFonts w:ascii="楷体_GB2312" w:hAnsi="楷体_GB2312" w:eastAsia="仿宋_GB2312" w:cs="楷体_GB2312"/>
      <w:color w:val="000000"/>
      <w:sz w:val="24"/>
    </w:rPr>
  </w:style>
  <w:style w:type="character" w:styleId="775">
    <w:name w:val="签名 字符"/>
    <w:next w:val="775"/>
    <w:link w:val="774"/>
    <w:rPr>
      <w:rFonts w:ascii="楷体_GB2312" w:hAnsi="楷体_GB2312" w:eastAsia="仿宋_GB2312" w:cs="楷体_GB2312"/>
      <w:color w:val="000000"/>
      <w:sz w:val="24"/>
      <w:szCs w:val="24"/>
    </w:rPr>
  </w:style>
  <w:style w:type="paragraph" w:styleId="776">
    <w:name w:val="目录 1"/>
    <w:basedOn w:val="716"/>
    <w:next w:val="716"/>
    <w:link w:val="716"/>
    <w:uiPriority w:val="39"/>
    <w:qFormat/>
    <w:rPr>
      <w:sz w:val="24"/>
    </w:rPr>
  </w:style>
  <w:style w:type="paragraph" w:styleId="777">
    <w:name w:val="目录 4"/>
    <w:basedOn w:val="716"/>
    <w:next w:val="716"/>
    <w:link w:val="716"/>
    <w:uiPriority w:val="39"/>
    <w:unhideWhenUsed/>
    <w:qFormat/>
    <w:pPr>
      <w:ind w:left="850" w:firstLine="480"/>
      <w:spacing w:after="57" w:line="440" w:lineRule="exact"/>
      <w:widowControl/>
    </w:pPr>
    <w:rPr>
      <w:rFonts w:ascii="楷体_GB2312" w:hAnsi="楷体_GB2312" w:eastAsia="楷体_GB2312" w:cs="楷体_GB2312"/>
      <w:color w:val="000000"/>
      <w:sz w:val="24"/>
    </w:rPr>
  </w:style>
  <w:style w:type="paragraph" w:styleId="778">
    <w:name w:val="索引标题"/>
    <w:basedOn w:val="716"/>
    <w:next w:val="779"/>
    <w:link w:val="716"/>
    <w:qFormat/>
    <w:pPr>
      <w:ind w:firstLine="480"/>
      <w:spacing w:line="440" w:lineRule="exact"/>
      <w:widowControl/>
    </w:pPr>
    <w:rPr>
      <w:rFonts w:ascii="楷体_GB2312" w:hAnsi="楷体_GB2312" w:eastAsia="楷体_GB2312" w:cs="楷体_GB2312"/>
      <w:color w:val="000000"/>
      <w:sz w:val="24"/>
    </w:rPr>
  </w:style>
  <w:style w:type="paragraph" w:styleId="779">
    <w:name w:val="索引 1"/>
    <w:basedOn w:val="716"/>
    <w:next w:val="716"/>
    <w:link w:val="716"/>
    <w:unhideWhenUsed/>
    <w:qFormat/>
  </w:style>
  <w:style w:type="paragraph" w:styleId="780">
    <w:name w:val="副标题"/>
    <w:basedOn w:val="716"/>
    <w:next w:val="716"/>
    <w:link w:val="781"/>
    <w:uiPriority w:val="11"/>
    <w:qFormat/>
    <w:pPr>
      <w:ind w:firstLine="480"/>
      <w:spacing w:before="200" w:after="200" w:line="440" w:lineRule="exact"/>
      <w:widowControl/>
    </w:pPr>
    <w:rPr>
      <w:rFonts w:ascii="楷体_GB2312" w:hAnsi="楷体_GB2312" w:eastAsia="楷体_GB2312" w:cs="楷体_GB2312"/>
      <w:color w:val="000000"/>
      <w:sz w:val="24"/>
    </w:rPr>
  </w:style>
  <w:style w:type="character" w:styleId="781">
    <w:name w:val="副标题 字符"/>
    <w:next w:val="781"/>
    <w:link w:val="780"/>
    <w:uiPriority w:val="11"/>
    <w:qFormat/>
    <w:rPr>
      <w:rFonts w:ascii="楷体_GB2312" w:hAnsi="楷体_GB2312" w:eastAsia="楷体_GB2312" w:cs="楷体_GB2312"/>
      <w:color w:val="000000"/>
      <w:sz w:val="24"/>
      <w:szCs w:val="24"/>
    </w:rPr>
  </w:style>
  <w:style w:type="paragraph" w:styleId="782">
    <w:name w:val="列表"/>
    <w:basedOn w:val="716"/>
    <w:next w:val="782"/>
    <w:link w:val="716"/>
    <w:pPr>
      <w:ind w:left="200" w:hanging="200"/>
    </w:pPr>
  </w:style>
  <w:style w:type="paragraph" w:styleId="783">
    <w:name w:val="脚注文本"/>
    <w:basedOn w:val="716"/>
    <w:next w:val="783"/>
    <w:link w:val="784"/>
    <w:qFormat/>
    <w:pPr>
      <w:ind w:firstLine="480"/>
      <w:spacing w:line="440" w:lineRule="exact"/>
      <w:widowControl/>
    </w:pPr>
    <w:rPr>
      <w:rFonts w:ascii="楷体_GB2312" w:hAnsi="楷体_GB2312" w:eastAsia="楷体_GB2312" w:cs="楷体_GB2312"/>
      <w:color w:val="000000"/>
      <w:sz w:val="18"/>
    </w:rPr>
  </w:style>
  <w:style w:type="character" w:styleId="784">
    <w:name w:val="脚注文本 字符"/>
    <w:next w:val="784"/>
    <w:link w:val="783"/>
    <w:uiPriority w:val="99"/>
    <w:qFormat/>
    <w:rPr>
      <w:rFonts w:ascii="楷体_GB2312" w:hAnsi="楷体_GB2312" w:eastAsia="楷体_GB2312" w:cs="楷体_GB2312"/>
      <w:color w:val="000000"/>
      <w:sz w:val="18"/>
      <w:szCs w:val="24"/>
    </w:rPr>
  </w:style>
  <w:style w:type="paragraph" w:styleId="785">
    <w:name w:val="目录 6"/>
    <w:basedOn w:val="716"/>
    <w:next w:val="716"/>
    <w:link w:val="716"/>
    <w:uiPriority w:val="39"/>
    <w:unhideWhenUsed/>
    <w:qFormat/>
    <w:pPr>
      <w:ind w:left="1417" w:firstLine="480"/>
      <w:spacing w:after="57" w:line="440" w:lineRule="exact"/>
      <w:widowControl/>
    </w:pPr>
    <w:rPr>
      <w:rFonts w:ascii="楷体_GB2312" w:hAnsi="楷体_GB2312" w:eastAsia="楷体_GB2312" w:cs="楷体_GB2312"/>
      <w:color w:val="000000"/>
      <w:sz w:val="24"/>
    </w:rPr>
  </w:style>
  <w:style w:type="paragraph" w:styleId="786">
    <w:name w:val="正文文本缩进 3"/>
    <w:basedOn w:val="716"/>
    <w:next w:val="786"/>
    <w:link w:val="787"/>
    <w:qFormat/>
    <w:pPr>
      <w:ind w:left="420"/>
      <w:spacing w:after="120"/>
    </w:pPr>
    <w:rPr>
      <w:sz w:val="16"/>
      <w:szCs w:val="16"/>
    </w:rPr>
  </w:style>
  <w:style w:type="character" w:styleId="787">
    <w:name w:val="正文文本缩进 3 字符"/>
    <w:next w:val="787"/>
    <w:link w:val="786"/>
    <w:rPr>
      <w:rFonts w:ascii="Times New Roman" w:hAnsi="Times New Roman" w:eastAsia="宋体" w:cs="Times New Roman"/>
      <w:sz w:val="16"/>
      <w:szCs w:val="16"/>
    </w:rPr>
  </w:style>
  <w:style w:type="paragraph" w:styleId="788">
    <w:name w:val="索引 7"/>
    <w:basedOn w:val="716"/>
    <w:next w:val="716"/>
    <w:link w:val="716"/>
    <w:qFormat/>
    <w:pPr>
      <w:ind w:left="2520" w:firstLine="480"/>
      <w:spacing w:line="440" w:lineRule="exact"/>
      <w:widowControl/>
    </w:pPr>
    <w:rPr>
      <w:rFonts w:ascii="楷体_GB2312" w:hAnsi="楷体_GB2312" w:eastAsia="楷体_GB2312" w:cs="楷体_GB2312"/>
      <w:color w:val="000000"/>
      <w:sz w:val="24"/>
    </w:rPr>
  </w:style>
  <w:style w:type="paragraph" w:styleId="789">
    <w:name w:val="索引 9"/>
    <w:basedOn w:val="716"/>
    <w:next w:val="716"/>
    <w:link w:val="716"/>
    <w:qFormat/>
    <w:pPr>
      <w:ind w:left="3360" w:firstLine="480"/>
      <w:spacing w:line="440" w:lineRule="exact"/>
      <w:widowControl/>
    </w:pPr>
    <w:rPr>
      <w:rFonts w:ascii="楷体_GB2312" w:hAnsi="楷体_GB2312" w:eastAsia="楷体_GB2312" w:cs="楷体_GB2312"/>
      <w:color w:val="000000"/>
      <w:sz w:val="24"/>
    </w:rPr>
  </w:style>
  <w:style w:type="paragraph" w:styleId="790">
    <w:name w:val="图表目录"/>
    <w:basedOn w:val="716"/>
    <w:next w:val="716"/>
    <w:link w:val="716"/>
    <w:qFormat/>
    <w:pPr>
      <w:ind w:left="420" w:hanging="420"/>
      <w:spacing w:line="440" w:lineRule="exact"/>
      <w:widowControl/>
    </w:pPr>
    <w:rPr>
      <w:rFonts w:ascii="楷体_GB2312" w:hAnsi="楷体_GB2312" w:eastAsia="楷体_GB2312" w:cs="楷体_GB2312"/>
      <w:smallCaps/>
      <w:color w:val="000000"/>
      <w:sz w:val="24"/>
    </w:rPr>
  </w:style>
  <w:style w:type="paragraph" w:styleId="791">
    <w:name w:val="目录 2"/>
    <w:basedOn w:val="716"/>
    <w:next w:val="716"/>
    <w:link w:val="716"/>
    <w:uiPriority w:val="39"/>
    <w:unhideWhenUsed/>
    <w:qFormat/>
    <w:pPr>
      <w:ind w:left="283" w:firstLine="480"/>
      <w:spacing w:after="57" w:line="440" w:lineRule="exact"/>
      <w:widowControl/>
    </w:pPr>
    <w:rPr>
      <w:rFonts w:ascii="楷体_GB2312" w:hAnsi="楷体_GB2312" w:eastAsia="楷体_GB2312" w:cs="楷体_GB2312"/>
      <w:color w:val="000000"/>
      <w:sz w:val="24"/>
    </w:rPr>
  </w:style>
  <w:style w:type="paragraph" w:styleId="792">
    <w:name w:val="目录 9"/>
    <w:basedOn w:val="716"/>
    <w:next w:val="716"/>
    <w:link w:val="716"/>
    <w:uiPriority w:val="39"/>
    <w:unhideWhenUsed/>
    <w:qFormat/>
    <w:pPr>
      <w:ind w:left="2268" w:firstLine="480"/>
      <w:spacing w:after="57" w:line="440" w:lineRule="exact"/>
      <w:widowControl/>
    </w:pPr>
    <w:rPr>
      <w:rFonts w:ascii="楷体_GB2312" w:hAnsi="楷体_GB2312" w:eastAsia="楷体_GB2312" w:cs="楷体_GB2312"/>
      <w:color w:val="000000"/>
      <w:sz w:val="24"/>
    </w:rPr>
  </w:style>
  <w:style w:type="paragraph" w:styleId="793">
    <w:name w:val="正文文本 2"/>
    <w:basedOn w:val="716"/>
    <w:next w:val="793"/>
    <w:link w:val="794"/>
    <w:rPr>
      <w:b/>
      <w:bCs/>
      <w:sz w:val="18"/>
    </w:rPr>
  </w:style>
  <w:style w:type="character" w:styleId="794">
    <w:name w:val="正文文本 2 字符"/>
    <w:next w:val="794"/>
    <w:link w:val="793"/>
    <w:rPr>
      <w:rFonts w:ascii="Times New Roman" w:hAnsi="Times New Roman" w:eastAsia="宋体" w:cs="Times New Roman"/>
      <w:b/>
      <w:bCs/>
      <w:sz w:val="18"/>
      <w:szCs w:val="24"/>
    </w:rPr>
  </w:style>
  <w:style w:type="paragraph" w:styleId="795">
    <w:name w:val="HTML 预设格式"/>
    <w:basedOn w:val="716"/>
    <w:next w:val="795"/>
    <w:link w:val="796"/>
    <w:qFormat/>
    <w:pPr>
      <w:ind w:firstLine="48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color w:val="000000"/>
      <w:sz w:val="20"/>
    </w:rPr>
  </w:style>
  <w:style w:type="character" w:styleId="796">
    <w:name w:val="HTML 预设格式 字符"/>
    <w:next w:val="796"/>
    <w:link w:val="795"/>
    <w:rPr>
      <w:rFonts w:ascii="黑体" w:hAnsi="Courier New" w:eastAsia="黑体" w:cs="楷体_GB2312"/>
      <w:color w:val="000000"/>
      <w:szCs w:val="24"/>
    </w:rPr>
  </w:style>
  <w:style w:type="paragraph" w:styleId="797">
    <w:name w:val="普通(网站)"/>
    <w:basedOn w:val="716"/>
    <w:next w:val="797"/>
    <w:link w:val="798"/>
    <w:qFormat/>
    <w:pPr>
      <w:jc w:val="left"/>
      <w:spacing w:before="100" w:beforeAutospacing="1" w:after="100" w:afterAutospacing="1"/>
      <w:widowControl/>
    </w:pPr>
    <w:rPr>
      <w:rFonts w:ascii="宋体" w:hAnsi="宋体"/>
      <w:color w:val="000000"/>
      <w:sz w:val="24"/>
    </w:rPr>
  </w:style>
  <w:style w:type="character" w:styleId="798">
    <w:name w:val="普通(网站) 字符"/>
    <w:next w:val="798"/>
    <w:link w:val="797"/>
    <w:qFormat/>
    <w:rPr>
      <w:rFonts w:ascii="宋体" w:hAnsi="宋体"/>
      <w:color w:val="000000"/>
      <w:sz w:val="24"/>
      <w:szCs w:val="24"/>
    </w:rPr>
  </w:style>
  <w:style w:type="paragraph" w:styleId="799">
    <w:name w:val="索引 2"/>
    <w:basedOn w:val="716"/>
    <w:next w:val="716"/>
    <w:link w:val="716"/>
    <w:qFormat/>
    <w:pPr>
      <w:ind w:left="420" w:firstLine="480"/>
      <w:spacing w:line="440" w:lineRule="exact"/>
      <w:widowControl/>
    </w:pPr>
    <w:rPr>
      <w:rFonts w:ascii="楷体_GB2312" w:hAnsi="楷体_GB2312" w:eastAsia="楷体_GB2312" w:cs="楷体_GB2312"/>
      <w:color w:val="000000"/>
      <w:sz w:val="24"/>
    </w:rPr>
  </w:style>
  <w:style w:type="paragraph" w:styleId="800">
    <w:name w:val="标题"/>
    <w:basedOn w:val="716"/>
    <w:next w:val="716"/>
    <w:link w:val="801"/>
    <w:uiPriority w:val="10"/>
    <w:qFormat/>
    <w:pPr>
      <w:contextualSpacing/>
      <w:ind w:firstLine="480"/>
      <w:spacing w:before="300" w:after="200" w:line="440" w:lineRule="exact"/>
      <w:widowControl/>
    </w:pPr>
    <w:rPr>
      <w:rFonts w:ascii="楷体_GB2312" w:hAnsi="楷体_GB2312" w:eastAsia="楷体_GB2312" w:cs="楷体_GB2312"/>
      <w:color w:val="000000"/>
      <w:sz w:val="48"/>
      <w:szCs w:val="48"/>
    </w:rPr>
  </w:style>
  <w:style w:type="character" w:styleId="801">
    <w:name w:val="标题 字符"/>
    <w:next w:val="801"/>
    <w:link w:val="800"/>
    <w:uiPriority w:val="10"/>
    <w:qFormat/>
    <w:rPr>
      <w:rFonts w:ascii="楷体_GB2312" w:hAnsi="楷体_GB2312" w:eastAsia="楷体_GB2312" w:cs="楷体_GB2312"/>
      <w:color w:val="000000"/>
      <w:sz w:val="48"/>
      <w:szCs w:val="48"/>
    </w:rPr>
  </w:style>
  <w:style w:type="paragraph" w:styleId="802">
    <w:name w:val="批注主题"/>
    <w:basedOn w:val="745"/>
    <w:next w:val="745"/>
    <w:link w:val="803"/>
    <w:unhideWhenUsed/>
    <w:qFormat/>
    <w:rPr>
      <w:b/>
      <w:bCs/>
    </w:rPr>
  </w:style>
  <w:style w:type="character" w:styleId="803">
    <w:name w:val="批注主题 字符"/>
    <w:next w:val="803"/>
    <w:link w:val="802"/>
    <w:uiPriority w:val="99"/>
    <w:semiHidden/>
    <w:rPr>
      <w:b/>
      <w:bCs/>
      <w:sz w:val="21"/>
      <w:szCs w:val="24"/>
    </w:rPr>
  </w:style>
  <w:style w:type="paragraph" w:styleId="804">
    <w:name w:val="正文首行缩进"/>
    <w:basedOn w:val="750"/>
    <w:next w:val="804"/>
    <w:link w:val="805"/>
    <w:qFormat/>
    <w:pPr>
      <w:ind w:firstLine="420"/>
      <w:spacing w:after="120"/>
    </w:pPr>
    <w:rPr>
      <w:rFonts w:ascii="Times New Roman" w:eastAsia="宋体"/>
      <w:szCs w:val="24"/>
    </w:rPr>
  </w:style>
  <w:style w:type="character" w:styleId="805">
    <w:name w:val="正文文本首行缩进 字符"/>
    <w:next w:val="805"/>
    <w:link w:val="804"/>
    <w:qFormat/>
    <w:rPr>
      <w:rFonts w:ascii="Times New Roman" w:hAnsi="Times New Roman" w:eastAsia="宋体" w:cs="Times New Roman"/>
      <w:sz w:val="24"/>
      <w:szCs w:val="24"/>
    </w:rPr>
  </w:style>
  <w:style w:type="paragraph" w:styleId="806">
    <w:name w:val="正文首行缩进 2"/>
    <w:basedOn w:val="752"/>
    <w:next w:val="806"/>
    <w:link w:val="807"/>
    <w:uiPriority w:val="99"/>
    <w:unhideWhenUsed/>
    <w:qFormat/>
    <w:pPr>
      <w:ind w:left="420" w:firstLine="420"/>
      <w:spacing w:after="120"/>
      <w:widowControl/>
    </w:pPr>
    <w:rPr>
      <w:rFonts w:ascii="Times New Roman" w:hAnsi="楷体_GB2312" w:eastAsia="楷体_GB2312" w:cs="楷体_GB2312"/>
      <w:color w:val="000000"/>
      <w:sz w:val="24"/>
      <w:szCs w:val="24"/>
    </w:rPr>
  </w:style>
  <w:style w:type="character" w:styleId="807">
    <w:name w:val="正文文本首行缩进 2 字符"/>
    <w:next w:val="807"/>
    <w:link w:val="806"/>
    <w:uiPriority w:val="99"/>
    <w:qFormat/>
    <w:rPr>
      <w:rFonts w:ascii="仿宋_GB2312" w:hAnsi="楷体_GB2312" w:eastAsia="楷体_GB2312" w:cs="楷体_GB2312"/>
      <w:color w:val="000000"/>
      <w:sz w:val="24"/>
      <w:szCs w:val="24"/>
    </w:rPr>
  </w:style>
  <w:style w:type="table" w:styleId="808">
    <w:name w:val="网格型"/>
    <w:basedOn w:val="727"/>
    <w:next w:val="808"/>
    <w:link w:val="716"/>
    <w:qFormat/>
    <w:tblPr/>
  </w:style>
  <w:style w:type="character" w:styleId="809">
    <w:name w:val="要点"/>
    <w:next w:val="809"/>
    <w:link w:val="716"/>
    <w:uiPriority w:val="22"/>
    <w:qFormat/>
    <w:rPr>
      <w:b/>
      <w:bCs/>
    </w:rPr>
  </w:style>
  <w:style w:type="character" w:styleId="810">
    <w:name w:val="尾注引用"/>
    <w:next w:val="810"/>
    <w:link w:val="716"/>
    <w:uiPriority w:val="99"/>
    <w:unhideWhenUsed/>
    <w:qFormat/>
    <w:rPr>
      <w:vertAlign w:val="superscript"/>
    </w:rPr>
  </w:style>
  <w:style w:type="character" w:styleId="811">
    <w:name w:val="页码"/>
    <w:next w:val="811"/>
    <w:link w:val="716"/>
    <w:qFormat/>
  </w:style>
  <w:style w:type="character" w:styleId="812">
    <w:name w:val="已访问的超链接"/>
    <w:next w:val="812"/>
    <w:link w:val="716"/>
    <w:rPr>
      <w:color w:val="800080"/>
      <w:u w:val="single"/>
    </w:rPr>
  </w:style>
  <w:style w:type="character" w:styleId="813">
    <w:name w:val="强调"/>
    <w:next w:val="813"/>
    <w:link w:val="716"/>
    <w:qFormat/>
    <w:rPr>
      <w:i/>
      <w:iCs/>
    </w:rPr>
  </w:style>
  <w:style w:type="character" w:styleId="814">
    <w:name w:val="行号"/>
    <w:next w:val="814"/>
    <w:link w:val="716"/>
    <w:qFormat/>
  </w:style>
  <w:style w:type="character" w:styleId="815">
    <w:name w:val="HTML 定义"/>
    <w:next w:val="815"/>
    <w:link w:val="716"/>
    <w:qFormat/>
    <w:rPr>
      <w:i/>
    </w:rPr>
  </w:style>
  <w:style w:type="character" w:styleId="816">
    <w:name w:val="超链接"/>
    <w:next w:val="816"/>
    <w:link w:val="716"/>
    <w:uiPriority w:val="99"/>
    <w:qFormat/>
    <w:rPr>
      <w:color w:val="0000ff"/>
      <w:u w:val="single"/>
    </w:rPr>
  </w:style>
  <w:style w:type="character" w:styleId="817">
    <w:name w:val="HTML 代码"/>
    <w:next w:val="817"/>
    <w:link w:val="716"/>
    <w:qFormat/>
    <w:rPr>
      <w:rFonts w:ascii="Menlo" w:hAnsi="Menlo" w:eastAsia="Menlo" w:cs="Menlo"/>
      <w:color w:val="c7254e"/>
      <w:sz w:val="21"/>
      <w:szCs w:val="21"/>
      <w:shd w:val="clear" w:color="auto" w:fill="f9f2f4"/>
    </w:rPr>
  </w:style>
  <w:style w:type="character" w:styleId="818">
    <w:name w:val="批注引用"/>
    <w:next w:val="818"/>
    <w:link w:val="716"/>
    <w:unhideWhenUsed/>
    <w:qFormat/>
    <w:rPr>
      <w:sz w:val="21"/>
      <w:szCs w:val="21"/>
    </w:rPr>
  </w:style>
  <w:style w:type="character" w:styleId="819">
    <w:name w:val="HTML 引文"/>
    <w:next w:val="819"/>
    <w:link w:val="716"/>
    <w:qFormat/>
  </w:style>
  <w:style w:type="character" w:styleId="820">
    <w:name w:val="脚注引用"/>
    <w:next w:val="820"/>
    <w:link w:val="716"/>
    <w:qFormat/>
    <w:rPr>
      <w:vertAlign w:val="superscript"/>
    </w:rPr>
  </w:style>
  <w:style w:type="character" w:styleId="821">
    <w:name w:val="HTML 键盘"/>
    <w:next w:val="821"/>
    <w:link w:val="716"/>
    <w:qFormat/>
    <w:rPr>
      <w:rFonts w:ascii="Menlo" w:hAnsi="Menlo" w:eastAsia="Menlo" w:cs="Menlo"/>
      <w:sz w:val="21"/>
      <w:szCs w:val="21"/>
    </w:rPr>
  </w:style>
  <w:style w:type="character" w:styleId="822">
    <w:name w:val="HTML 样本"/>
    <w:next w:val="822"/>
    <w:link w:val="716"/>
    <w:qFormat/>
    <w:rPr>
      <w:rFonts w:ascii="Menlo" w:hAnsi="Menlo" w:eastAsia="Menlo" w:cs="Menlo"/>
      <w:sz w:val="21"/>
      <w:szCs w:val="21"/>
    </w:rPr>
  </w:style>
  <w:style w:type="character" w:styleId="823">
    <w:name w:val="列表段落 字符1"/>
    <w:next w:val="823"/>
    <w:link w:val="824"/>
    <w:uiPriority w:val="99"/>
  </w:style>
  <w:style w:type="paragraph" w:styleId="824">
    <w:name w:val="列表段落"/>
    <w:basedOn w:val="716"/>
    <w:next w:val="824"/>
    <w:link w:val="823"/>
    <w:uiPriority w:val="34"/>
    <w:qFormat/>
    <w:pPr>
      <w:ind w:firstLine="420"/>
    </w:pPr>
    <w:rPr>
      <w:sz w:val="20"/>
      <w:szCs w:val="20"/>
    </w:rPr>
  </w:style>
  <w:style w:type="character" w:styleId="825">
    <w:name w:val="文档结构图 Char1"/>
    <w:next w:val="825"/>
    <w:link w:val="716"/>
    <w:uiPriority w:val="99"/>
    <w:semiHidden/>
    <w:rPr>
      <w:rFonts w:ascii="宋体" w:hAnsi="Times New Roman" w:eastAsia="宋体" w:cs="Times New Roman"/>
      <w:sz w:val="18"/>
      <w:szCs w:val="18"/>
    </w:rPr>
  </w:style>
  <w:style w:type="character" w:styleId="826">
    <w:name w:val="普通正文 Char"/>
    <w:next w:val="826"/>
    <w:link w:val="827"/>
    <w:qFormat/>
    <w:rPr>
      <w:rFonts w:ascii="Arial" w:hAnsi="Arial"/>
      <w:sz w:val="24"/>
      <w:szCs w:val="24"/>
    </w:rPr>
  </w:style>
  <w:style w:type="paragraph" w:styleId="827">
    <w:name w:val="普通正文"/>
    <w:basedOn w:val="716"/>
    <w:next w:val="827"/>
    <w:link w:val="826"/>
    <w:qFormat/>
    <w:pPr>
      <w:ind w:left="-2" w:right="120" w:firstLine="480"/>
      <w:jc w:val="center"/>
      <w:spacing w:before="120" w:after="120" w:line="360" w:lineRule="auto"/>
    </w:pPr>
    <w:rPr>
      <w:rFonts w:ascii="Arial" w:hAnsi="Arial"/>
      <w:sz w:val="24"/>
    </w:rPr>
  </w:style>
  <w:style w:type="character" w:styleId="828">
    <w:name w:val="FA正文 Char"/>
    <w:next w:val="828"/>
    <w:link w:val="829"/>
    <w:rPr>
      <w:rFonts w:ascii="宋体" w:hAnsi="宋体" w:eastAsia="宋体" w:cs="Times New Roman"/>
      <w:sz w:val="28"/>
      <w:szCs w:val="28"/>
    </w:rPr>
  </w:style>
  <w:style w:type="paragraph" w:styleId="829">
    <w:name w:val="FA正文"/>
    <w:basedOn w:val="716"/>
    <w:next w:val="829"/>
    <w:link w:val="828"/>
    <w:pPr>
      <w:ind w:firstLine="538"/>
      <w:spacing w:line="440" w:lineRule="atLeast"/>
      <w:tabs>
        <w:tab w:val="left" w:pos="3375" w:leader="none"/>
      </w:tabs>
    </w:pPr>
    <w:rPr>
      <w:rFonts w:ascii="宋体" w:hAnsi="宋体"/>
      <w:sz w:val="28"/>
      <w:szCs w:val="28"/>
    </w:rPr>
  </w:style>
  <w:style w:type="character" w:styleId="830">
    <w:name w:val="正文缩进2格 Char"/>
    <w:next w:val="830"/>
    <w:link w:val="831"/>
    <w:rPr>
      <w:rFonts w:ascii="仿宋_GB2312" w:hAnsi="宋体" w:eastAsia="仿宋_GB2312" w:cs="Times New Roman"/>
      <w:sz w:val="31"/>
      <w:szCs w:val="28"/>
    </w:rPr>
  </w:style>
  <w:style w:type="paragraph" w:styleId="831">
    <w:name w:val="正文缩进2格"/>
    <w:basedOn w:val="716"/>
    <w:next w:val="831"/>
    <w:link w:val="830"/>
    <w:qFormat/>
    <w:pPr>
      <w:ind w:firstLine="639"/>
      <w:spacing w:line="600" w:lineRule="exact"/>
    </w:pPr>
    <w:rPr>
      <w:rFonts w:ascii="仿宋_GB2312" w:hAnsi="宋体" w:eastAsia="仿宋_GB2312"/>
      <w:sz w:val="31"/>
      <w:szCs w:val="28"/>
    </w:rPr>
  </w:style>
  <w:style w:type="character" w:styleId="832">
    <w:name w:val="cn_text1"/>
    <w:next w:val="832"/>
    <w:link w:val="716"/>
    <w:rPr>
      <w:rFonts w:ascii="ˎ̥" w:hAnsi="ˎ̥"/>
      <w:color w:val="003399"/>
      <w:spacing w:val="15"/>
      <w:sz w:val="18"/>
      <w:szCs w:val="18"/>
    </w:rPr>
  </w:style>
  <w:style w:type="character" w:styleId="833">
    <w:name w:val="ssss Char"/>
    <w:next w:val="833"/>
    <w:link w:val="716"/>
    <w:rPr>
      <w:rFonts w:eastAsia="宋体"/>
      <w:sz w:val="24"/>
      <w:szCs w:val="24"/>
      <w:lang w:val="en-US" w:eastAsia="zh-CN" w:bidi="ar-SA"/>
    </w:rPr>
  </w:style>
  <w:style w:type="character" w:styleId="834">
    <w:name w:val="ssss Char1"/>
    <w:next w:val="834"/>
    <w:link w:val="835"/>
    <w:rPr>
      <w:rFonts w:ascii="Times New Roman" w:hAnsi="Times New Roman" w:eastAsia="宋体" w:cs="Times New Roman"/>
      <w:sz w:val="24"/>
      <w:szCs w:val="24"/>
    </w:rPr>
  </w:style>
  <w:style w:type="paragraph" w:styleId="835">
    <w:name w:val="ssss"/>
    <w:basedOn w:val="716"/>
    <w:next w:val="835"/>
    <w:link w:val="834"/>
    <w:pPr>
      <w:ind w:firstLine="480"/>
      <w:spacing w:line="360" w:lineRule="auto"/>
    </w:pPr>
    <w:rPr>
      <w:sz w:val="24"/>
    </w:rPr>
  </w:style>
  <w:style w:type="character" w:styleId="836">
    <w:name w:val="标题 4 Char1,H4 Char,heading 4 Char,h4 Char,PIM 4 Char,bullet Char,bl Char,bb Char,H41 Char,H42 Char,H43 Char,H44 Char,H45 Char,H46 Char,H47 Char,H48 Char,H49 Char,H410 Char,H411 Char,H421 Char,H431 Char,H441 Char,H451 Char,H461 Char,H471 Char,H481 Char"/>
    <w:next w:val="836"/>
    <w:link w:val="716"/>
    <w:rPr>
      <w:rFonts w:ascii="Arial" w:hAnsi="Arial" w:eastAsia="黑体"/>
      <w:b/>
      <w:bCs/>
      <w:sz w:val="28"/>
      <w:szCs w:val="28"/>
      <w:lang w:val="en-US" w:eastAsia="zh-CN" w:bidi="ar-SA"/>
    </w:rPr>
  </w:style>
  <w:style w:type="character" w:styleId="83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37"/>
    <w:link w:val="716"/>
    <w:uiPriority w:val="34"/>
    <w:qFormat/>
    <w:rPr>
      <w:rFonts w:ascii="Calibri" w:hAnsi="Calibri"/>
      <w:sz w:val="21"/>
      <w:szCs w:val="22"/>
    </w:rPr>
  </w:style>
  <w:style w:type="character" w:styleId="838">
    <w:name w:val="批注框文本 Char1"/>
    <w:next w:val="838"/>
    <w:link w:val="716"/>
    <w:uiPriority w:val="99"/>
    <w:semiHidden/>
    <w:rPr>
      <w:rFonts w:ascii="Times New Roman" w:hAnsi="Times New Roman" w:eastAsia="宋体" w:cs="Times New Roman"/>
      <w:sz w:val="18"/>
      <w:szCs w:val="18"/>
    </w:rPr>
  </w:style>
  <w:style w:type="character" w:styleId="839">
    <w:name w:val="样式 ssss + 宋体 五号1 Char"/>
    <w:next w:val="839"/>
    <w:link w:val="840"/>
    <w:rPr>
      <w:rFonts w:ascii="宋体" w:hAnsi="宋体" w:eastAsia="宋体" w:cs="Times New Roman"/>
      <w:sz w:val="24"/>
      <w:szCs w:val="24"/>
    </w:rPr>
  </w:style>
  <w:style w:type="paragraph" w:styleId="840">
    <w:name w:val="样式 ssss + 宋体 五号1"/>
    <w:basedOn w:val="835"/>
    <w:next w:val="840"/>
    <w:link w:val="839"/>
    <w:rPr>
      <w:rFonts w:ascii="宋体" w:hAnsi="宋体"/>
    </w:rPr>
  </w:style>
  <w:style w:type="character" w:styleId="841">
    <w:name w:val="point_normal1"/>
    <w:next w:val="841"/>
    <w:link w:val="716"/>
    <w:rPr>
      <w:rFonts w:ascii="Arial" w:hAnsi="Arial" w:cs="Arial"/>
      <w:sz w:val="16"/>
      <w:szCs w:val="16"/>
    </w:rPr>
  </w:style>
  <w:style w:type="paragraph" w:styleId="842">
    <w:name w:val="样式 正文文本缩进 3 + 四号"/>
    <w:basedOn w:val="786"/>
    <w:next w:val="842"/>
    <w:link w:val="716"/>
    <w:pPr>
      <w:ind w:left="0" w:firstLine="437"/>
      <w:spacing w:after="0" w:line="360" w:lineRule="auto"/>
    </w:pPr>
    <w:rPr>
      <w:sz w:val="24"/>
      <w:szCs w:val="21"/>
    </w:rPr>
  </w:style>
  <w:style w:type="paragraph" w:styleId="843">
    <w:name w:val="2cxsplast"/>
    <w:basedOn w:val="716"/>
    <w:next w:val="843"/>
    <w:link w:val="716"/>
    <w:pPr>
      <w:jc w:val="left"/>
      <w:spacing w:before="100" w:beforeAutospacing="1" w:after="100" w:afterAutospacing="1"/>
      <w:widowControl/>
    </w:pPr>
    <w:rPr>
      <w:rFonts w:ascii="宋体" w:hAnsi="宋体" w:cs="宋体"/>
      <w:sz w:val="24"/>
    </w:rPr>
  </w:style>
  <w:style w:type="paragraph" w:styleId="844">
    <w:name w:val="ec_msonormal"/>
    <w:basedOn w:val="716"/>
    <w:next w:val="844"/>
    <w:link w:val="716"/>
    <w:pPr>
      <w:jc w:val="left"/>
      <w:spacing w:before="100" w:beforeAutospacing="1" w:after="100" w:afterAutospacing="1"/>
      <w:widowControl/>
    </w:pPr>
    <w:rPr>
      <w:rFonts w:ascii="宋体" w:hAnsi="宋体"/>
      <w:sz w:val="24"/>
    </w:rPr>
  </w:style>
  <w:style w:type="paragraph" w:styleId="845">
    <w:name w:val=" Char Char Char Char"/>
    <w:basedOn w:val="716"/>
    <w:next w:val="845"/>
    <w:link w:val="716"/>
    <w:rPr>
      <w:rFonts w:ascii="Tahoma" w:hAnsi="Tahoma"/>
      <w:sz w:val="24"/>
      <w:szCs w:val="20"/>
    </w:rPr>
  </w:style>
  <w:style w:type="paragraph" w:styleId="846">
    <w:name w:val=" Char Char Char Char Char Char Char Char Char Char Char Char Char"/>
    <w:basedOn w:val="716"/>
    <w:next w:val="846"/>
    <w:link w:val="716"/>
  </w:style>
  <w:style w:type="paragraph" w:styleId="847">
    <w:name w:val="表格正文"/>
    <w:basedOn w:val="716"/>
    <w:next w:val="847"/>
    <w:link w:val="716"/>
    <w:pPr>
      <w:jc w:val="left"/>
      <w:spacing w:line="360" w:lineRule="auto"/>
    </w:pPr>
    <w:rPr>
      <w:rFonts w:ascii="Calibri" w:hAnsi="Calibri"/>
      <w:color w:val="000000"/>
      <w:szCs w:val="28"/>
    </w:rPr>
  </w:style>
  <w:style w:type="paragraph" w:styleId="848">
    <w:name w:val="Normal1"/>
    <w:next w:val="848"/>
    <w:link w:val="716"/>
    <w:pPr>
      <w:jc w:val="both"/>
      <w:spacing w:line="315" w:lineRule="atLeast"/>
      <w:widowControl w:val="off"/>
    </w:pPr>
    <w:rPr>
      <w:rFonts w:ascii="宋体"/>
      <w:sz w:val="24"/>
      <w:lang w:val="en-US" w:eastAsia="zh-CN" w:bidi="ar-SA"/>
    </w:rPr>
  </w:style>
  <w:style w:type="paragraph" w:styleId="849">
    <w:name w:val="Char Char Char Char"/>
    <w:basedOn w:val="716"/>
    <w:next w:val="849"/>
    <w:link w:val="716"/>
    <w:rPr>
      <w:rFonts w:ascii="Tahoma" w:hAnsi="Tahoma"/>
      <w:sz w:val="24"/>
      <w:szCs w:val="20"/>
    </w:rPr>
  </w:style>
  <w:style w:type="paragraph" w:styleId="850">
    <w:name w:val="Char Char Char"/>
    <w:basedOn w:val="716"/>
    <w:next w:val="850"/>
    <w:link w:val="716"/>
    <w:rPr>
      <w:rFonts w:ascii="Tahoma" w:hAnsi="Tahoma"/>
      <w:sz w:val="24"/>
      <w:szCs w:val="20"/>
    </w:rPr>
  </w:style>
  <w:style w:type="paragraph" w:styleId="851">
    <w:name w:val="标题-----3"/>
    <w:basedOn w:val="719"/>
    <w:next w:val="851"/>
    <w:link w:val="716"/>
    <w:pPr>
      <w:spacing w:before="0" w:after="0" w:line="240" w:lineRule="auto"/>
      <w:outlineLvl w:val="0"/>
    </w:pPr>
    <w:rPr>
      <w:rFonts w:ascii="宋体" w:hAnsi="宋体"/>
      <w:b w:val="0"/>
      <w:bCs w:val="0"/>
      <w:sz w:val="28"/>
      <w:szCs w:val="28"/>
    </w:rPr>
  </w:style>
  <w:style w:type="paragraph" w:styleId="852">
    <w:name w:val="样式 ssss + 居中"/>
    <w:basedOn w:val="835"/>
    <w:next w:val="852"/>
    <w:link w:val="716"/>
    <w:pPr>
      <w:jc w:val="center"/>
    </w:pPr>
    <w:rPr>
      <w:rFonts w:cs="宋体"/>
      <w:szCs w:val="20"/>
    </w:rPr>
  </w:style>
  <w:style w:type="paragraph" w:styleId="853">
    <w:name w:val="样式 宋体 四号 黑色 左侧:  0.74 厘米 首行缩进:  0.74 厘米 行距: 1.5 倍行距"/>
    <w:basedOn w:val="716"/>
    <w:next w:val="853"/>
    <w:link w:val="716"/>
    <w:pPr>
      <w:ind w:firstLine="420"/>
      <w:spacing w:line="360" w:lineRule="auto"/>
    </w:pPr>
    <w:rPr>
      <w:rFonts w:ascii="宋体"/>
      <w:color w:val="000000"/>
      <w:sz w:val="24"/>
      <w:szCs w:val="21"/>
    </w:rPr>
  </w:style>
  <w:style w:type="paragraph" w:styleId="854">
    <w:name w:val="样式 样式 ssss + 宋体 五号 + 首行缩进:  2 字符"/>
    <w:basedOn w:val="855"/>
    <w:next w:val="854"/>
    <w:link w:val="716"/>
    <w:pPr>
      <w:ind w:firstLine="480"/>
    </w:pPr>
  </w:style>
  <w:style w:type="paragraph" w:styleId="855">
    <w:name w:val="样式 ssss + 宋体 五号"/>
    <w:basedOn w:val="835"/>
    <w:next w:val="855"/>
    <w:link w:val="716"/>
    <w:pPr>
      <w:ind w:firstLine="420"/>
    </w:pPr>
    <w:rPr>
      <w:rFonts w:ascii="宋体" w:hAnsi="宋体" w:cs="宋体"/>
      <w:szCs w:val="20"/>
    </w:rPr>
  </w:style>
  <w:style w:type="paragraph" w:styleId="856">
    <w:name w:val="msonormalcxsplast"/>
    <w:basedOn w:val="716"/>
    <w:next w:val="856"/>
    <w:link w:val="716"/>
    <w:pPr>
      <w:jc w:val="left"/>
      <w:spacing w:before="100" w:beforeAutospacing="1" w:after="100" w:afterAutospacing="1"/>
      <w:widowControl/>
    </w:pPr>
    <w:rPr>
      <w:rFonts w:ascii="宋体" w:hAnsi="宋体" w:cs="宋体"/>
      <w:sz w:val="24"/>
    </w:rPr>
  </w:style>
  <w:style w:type="paragraph" w:styleId="857">
    <w:name w:val=" Char"/>
    <w:basedOn w:val="716"/>
    <w:next w:val="857"/>
    <w:link w:val="716"/>
    <w:rPr>
      <w:rFonts w:ascii="Tahoma" w:hAnsi="Tahoma"/>
      <w:sz w:val="24"/>
      <w:szCs w:val="20"/>
    </w:rPr>
  </w:style>
  <w:style w:type="paragraph" w:styleId="858">
    <w:name w:val="xl25"/>
    <w:basedOn w:val="716"/>
    <w:next w:val="858"/>
    <w:link w:val="71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859">
    <w:name w:val="标题------4"/>
    <w:basedOn w:val="720"/>
    <w:next w:val="859"/>
    <w:link w:val="716"/>
    <w:pPr>
      <w:ind w:left="960" w:hanging="420"/>
      <w:jc w:val="both"/>
      <w:keepLines/>
      <w:spacing w:line="360" w:lineRule="auto"/>
    </w:pPr>
    <w:rPr>
      <w:rFonts w:ascii="仿宋_GB2312" w:hAnsi="宋体" w:eastAsia="仿宋_GB2312" w:cs="仿宋_GB2312"/>
      <w:b/>
      <w:sz w:val="28"/>
      <w:szCs w:val="28"/>
      <w:lang w:val="zh-CN"/>
    </w:rPr>
  </w:style>
  <w:style w:type="paragraph" w:styleId="860">
    <w:name w:val="msonormalcxspmiddle"/>
    <w:basedOn w:val="716"/>
    <w:next w:val="860"/>
    <w:link w:val="716"/>
    <w:pPr>
      <w:jc w:val="left"/>
      <w:spacing w:before="100" w:beforeAutospacing="1" w:after="100" w:afterAutospacing="1"/>
      <w:widowControl/>
    </w:pPr>
    <w:rPr>
      <w:rFonts w:ascii="宋体" w:hAnsi="宋体" w:cs="宋体"/>
      <w:sz w:val="24"/>
    </w:rPr>
  </w:style>
  <w:style w:type="paragraph" w:styleId="861">
    <w:name w:val="Char Char Char Char Char Char Char Char Char Char Char Char Char"/>
    <w:basedOn w:val="716"/>
    <w:next w:val="861"/>
    <w:link w:val="716"/>
    <w:rPr>
      <w:sz w:val="24"/>
    </w:rPr>
  </w:style>
  <w:style w:type="paragraph" w:styleId="862">
    <w:name w:val="表格"/>
    <w:basedOn w:val="716"/>
    <w:next w:val="862"/>
    <w:link w:val="716"/>
    <w:uiPriority w:val="1"/>
    <w:qFormat/>
    <w:rPr>
      <w:rFonts w:ascii="Arial" w:hAnsi="Arial"/>
      <w:sz w:val="24"/>
    </w:rPr>
  </w:style>
  <w:style w:type="paragraph" w:styleId="863">
    <w:name w:val="正文样式1"/>
    <w:basedOn w:val="716"/>
    <w:next w:val="863"/>
    <w:link w:val="716"/>
    <w:pPr>
      <w:ind w:firstLine="480"/>
      <w:spacing w:before="120" w:after="120" w:line="360" w:lineRule="auto"/>
    </w:pPr>
    <w:rPr>
      <w:sz w:val="24"/>
      <w:szCs w:val="20"/>
    </w:rPr>
  </w:style>
  <w:style w:type="paragraph" w:styleId="864">
    <w:name w:val=" Char Char1 Char Char Char Char Char Char"/>
    <w:basedOn w:val="716"/>
    <w:next w:val="864"/>
    <w:link w:val="716"/>
    <w:pPr>
      <w:jc w:val="left"/>
      <w:spacing w:after="160" w:line="240" w:lineRule="exact"/>
      <w:widowControl/>
    </w:pPr>
    <w:rPr>
      <w:rFonts w:ascii="Verdana" w:hAnsi="Verdana" w:eastAsia="仿宋_GB2312"/>
      <w:sz w:val="24"/>
      <w:szCs w:val="20"/>
      <w:lang w:eastAsia="en-US"/>
    </w:rPr>
  </w:style>
  <w:style w:type="paragraph" w:styleId="865">
    <w:name w:val="Char Char Char Char Char Char Char Char Char Char"/>
    <w:basedOn w:val="716"/>
    <w:next w:val="865"/>
    <w:link w:val="716"/>
    <w:rPr>
      <w:rFonts w:ascii="Tahoma" w:hAnsi="Tahoma"/>
      <w:sz w:val="24"/>
      <w:szCs w:val="20"/>
    </w:rPr>
  </w:style>
  <w:style w:type="paragraph" w:styleId="866">
    <w:name w:val="Char"/>
    <w:basedOn w:val="716"/>
    <w:next w:val="866"/>
    <w:link w:val="716"/>
    <w:qFormat/>
    <w:pPr>
      <w:tabs>
        <w:tab w:val="left" w:pos="360" w:leader="none"/>
      </w:tabs>
    </w:pPr>
    <w:rPr>
      <w:sz w:val="24"/>
    </w:rPr>
  </w:style>
  <w:style w:type="paragraph" w:styleId="867">
    <w:name w:val="标题1"/>
    <w:basedOn w:val="716"/>
    <w:next w:val="716"/>
    <w:link w:val="716"/>
    <w:pPr>
      <w:jc w:val="center"/>
      <w:spacing w:line="700" w:lineRule="atLeast"/>
      <w:tabs>
        <w:tab w:val="left" w:pos="9193" w:leader="none"/>
        <w:tab w:val="left" w:pos="9827" w:leader="none"/>
      </w:tabs>
    </w:pPr>
    <w:rPr>
      <w:rFonts w:ascii="方正小标宋_GBK" w:eastAsia="方正小标宋_GBK"/>
      <w:sz w:val="44"/>
      <w:szCs w:val="20"/>
    </w:rPr>
  </w:style>
  <w:style w:type="paragraph" w:styleId="868">
    <w:name w:val="Header2"/>
    <w:basedOn w:val="716"/>
    <w:next w:val="868"/>
    <w:link w:val="716"/>
    <w:pPr>
      <w:numPr>
        <w:ilvl w:val="0"/>
        <w:numId w:val="1"/>
      </w:numPr>
      <w:tabs>
        <w:tab w:val="left" w:pos="480" w:leader="none"/>
      </w:tabs>
    </w:pPr>
  </w:style>
  <w:style w:type="paragraph" w:styleId="869">
    <w:name w:val=" Char Char 字元 字元 字元 Char Char Char Char"/>
    <w:basedOn w:val="716"/>
    <w:next w:val="869"/>
    <w:link w:val="716"/>
    <w:pPr>
      <w:spacing w:line="360" w:lineRule="auto"/>
    </w:pPr>
    <w:rPr>
      <w:sz w:val="24"/>
      <w:szCs w:val="20"/>
    </w:rPr>
  </w:style>
  <w:style w:type="paragraph" w:styleId="870">
    <w:name w:val="2cxspmiddle"/>
    <w:basedOn w:val="716"/>
    <w:next w:val="870"/>
    <w:link w:val="716"/>
    <w:pPr>
      <w:jc w:val="left"/>
      <w:spacing w:before="100" w:beforeAutospacing="1" w:after="100" w:afterAutospacing="1"/>
      <w:widowControl/>
    </w:pPr>
    <w:rPr>
      <w:rFonts w:ascii="宋体" w:hAnsi="宋体" w:cs="宋体"/>
      <w:sz w:val="24"/>
    </w:rPr>
  </w:style>
  <w:style w:type="paragraph" w:styleId="871">
    <w:name w:val="正文_0_0"/>
    <w:next w:val="871"/>
    <w:link w:val="716"/>
    <w:qFormat/>
    <w:pPr>
      <w:jc w:val="both"/>
      <w:widowControl w:val="off"/>
    </w:pPr>
    <w:rPr>
      <w:sz w:val="21"/>
      <w:szCs w:val="24"/>
      <w:lang w:val="en-US" w:eastAsia="zh-CN" w:bidi="ar-SA"/>
    </w:rPr>
  </w:style>
  <w:style w:type="paragraph" w:styleId="872">
    <w:name w:val="正文_1_0"/>
    <w:next w:val="872"/>
    <w:link w:val="716"/>
    <w:qFormat/>
    <w:pPr>
      <w:jc w:val="both"/>
      <w:widowControl w:val="off"/>
    </w:pPr>
    <w:rPr>
      <w:sz w:val="21"/>
      <w:szCs w:val="24"/>
      <w:lang w:val="en-US" w:eastAsia="zh-CN" w:bidi="ar-SA"/>
    </w:rPr>
  </w:style>
  <w:style w:type="table" w:styleId="873">
    <w:name w:val="网格型1"/>
    <w:basedOn w:val="727"/>
    <w:next w:val="873"/>
    <w:link w:val="716"/>
    <w:qFormat/>
    <w:rPr>
      <w:rFonts w:ascii="等线" w:hAnsi="等线" w:eastAsia="等线" w:cs="Times New Roman"/>
      <w:sz w:val="21"/>
      <w:szCs w:val="22"/>
    </w:rPr>
    <w:tblPr/>
  </w:style>
  <w:style w:type="table" w:styleId="874">
    <w:name w:val="无格式表格 11"/>
    <w:basedOn w:val="727"/>
    <w:next w:val="874"/>
    <w:link w:val="716"/>
    <w:uiPriority w:val="59"/>
    <w:qFormat/>
    <w:tblPr/>
  </w:style>
  <w:style w:type="table" w:styleId="875">
    <w:name w:val="无格式表格 21"/>
    <w:basedOn w:val="727"/>
    <w:next w:val="875"/>
    <w:link w:val="716"/>
    <w:uiPriority w:val="59"/>
    <w:qFormat/>
    <w:tblPr/>
  </w:style>
  <w:style w:type="table" w:styleId="876">
    <w:name w:val="无格式表格 31"/>
    <w:basedOn w:val="727"/>
    <w:next w:val="876"/>
    <w:link w:val="716"/>
    <w:uiPriority w:val="99"/>
    <w:qFormat/>
    <w:tblPr/>
  </w:style>
  <w:style w:type="table" w:styleId="877">
    <w:name w:val="无格式表格 41"/>
    <w:basedOn w:val="727"/>
    <w:next w:val="877"/>
    <w:link w:val="716"/>
    <w:uiPriority w:val="99"/>
    <w:qFormat/>
    <w:tblPr/>
  </w:style>
  <w:style w:type="table" w:styleId="878">
    <w:name w:val="无格式表格 51"/>
    <w:basedOn w:val="727"/>
    <w:next w:val="878"/>
    <w:link w:val="716"/>
    <w:uiPriority w:val="99"/>
    <w:qFormat/>
    <w:tblPr/>
  </w:style>
  <w:style w:type="table" w:styleId="879">
    <w:name w:val="网格表 1 浅色1"/>
    <w:basedOn w:val="727"/>
    <w:next w:val="879"/>
    <w:link w:val="716"/>
    <w:uiPriority w:val="99"/>
    <w:qFormat/>
    <w:tblPr/>
  </w:style>
  <w:style w:type="table" w:styleId="880">
    <w:name w:val="网格表 21"/>
    <w:basedOn w:val="727"/>
    <w:next w:val="880"/>
    <w:link w:val="716"/>
    <w:uiPriority w:val="99"/>
    <w:qFormat/>
    <w:tblPr/>
  </w:style>
  <w:style w:type="table" w:styleId="881">
    <w:name w:val="网格表 31"/>
    <w:basedOn w:val="727"/>
    <w:next w:val="881"/>
    <w:link w:val="716"/>
    <w:uiPriority w:val="99"/>
    <w:qFormat/>
    <w:tblPr/>
  </w:style>
  <w:style w:type="table" w:styleId="882">
    <w:name w:val="网格表 41"/>
    <w:basedOn w:val="727"/>
    <w:next w:val="882"/>
    <w:link w:val="716"/>
    <w:uiPriority w:val="59"/>
    <w:qFormat/>
    <w:tblPr/>
  </w:style>
  <w:style w:type="table" w:styleId="883">
    <w:name w:val="网格表 5 深色1"/>
    <w:basedOn w:val="727"/>
    <w:next w:val="883"/>
    <w:link w:val="716"/>
    <w:uiPriority w:val="99"/>
    <w:qFormat/>
    <w:tblPr/>
  </w:style>
  <w:style w:type="table" w:styleId="884">
    <w:name w:val="网格表 6 彩色1"/>
    <w:basedOn w:val="727"/>
    <w:next w:val="884"/>
    <w:link w:val="716"/>
    <w:uiPriority w:val="99"/>
    <w:qFormat/>
    <w:tblPr/>
  </w:style>
  <w:style w:type="table" w:styleId="885">
    <w:name w:val="网格表 7 彩色1"/>
    <w:basedOn w:val="727"/>
    <w:next w:val="885"/>
    <w:link w:val="716"/>
    <w:uiPriority w:val="99"/>
    <w:qFormat/>
    <w:tblPr/>
  </w:style>
  <w:style w:type="table" w:styleId="886">
    <w:name w:val="清单表 1 浅色1"/>
    <w:basedOn w:val="727"/>
    <w:next w:val="886"/>
    <w:link w:val="716"/>
    <w:uiPriority w:val="99"/>
    <w:qFormat/>
    <w:tblPr/>
  </w:style>
  <w:style w:type="table" w:styleId="887">
    <w:name w:val="清单表 21"/>
    <w:basedOn w:val="727"/>
    <w:next w:val="887"/>
    <w:link w:val="716"/>
    <w:uiPriority w:val="99"/>
    <w:qFormat/>
    <w:tblPr/>
  </w:style>
  <w:style w:type="table" w:styleId="888">
    <w:name w:val="清单表 31"/>
    <w:basedOn w:val="727"/>
    <w:next w:val="888"/>
    <w:link w:val="716"/>
    <w:uiPriority w:val="99"/>
    <w:qFormat/>
    <w:tblPr/>
  </w:style>
  <w:style w:type="table" w:styleId="889">
    <w:name w:val="清单表 41"/>
    <w:basedOn w:val="727"/>
    <w:next w:val="889"/>
    <w:link w:val="716"/>
    <w:uiPriority w:val="99"/>
    <w:qFormat/>
    <w:tblPr/>
  </w:style>
  <w:style w:type="table" w:styleId="890">
    <w:name w:val="清单表 5 深色1"/>
    <w:basedOn w:val="727"/>
    <w:next w:val="890"/>
    <w:link w:val="716"/>
    <w:uiPriority w:val="99"/>
    <w:qFormat/>
    <w:tblPr/>
  </w:style>
  <w:style w:type="table" w:styleId="891">
    <w:name w:val="清单表 6 彩色1"/>
    <w:basedOn w:val="727"/>
    <w:next w:val="891"/>
    <w:link w:val="716"/>
    <w:uiPriority w:val="99"/>
    <w:qFormat/>
    <w:tblPr/>
  </w:style>
  <w:style w:type="table" w:styleId="892">
    <w:name w:val="清单表 7 彩色1"/>
    <w:basedOn w:val="727"/>
    <w:next w:val="892"/>
    <w:link w:val="716"/>
    <w:uiPriority w:val="99"/>
    <w:qFormat/>
    <w:tblPr/>
  </w:style>
  <w:style w:type="paragraph" w:styleId="893">
    <w:name w:val="TOC 标题1"/>
    <w:next w:val="893"/>
    <w:link w:val="716"/>
    <w:uiPriority w:val="39"/>
    <w:unhideWhenUsed/>
    <w:qFormat/>
    <w:rPr>
      <w:lang w:val="en-US" w:eastAsia="zh-CN" w:bidi="ar-SA"/>
    </w:rPr>
  </w:style>
  <w:style w:type="character" w:styleId="894">
    <w:name w:val="正文文本 字符2"/>
    <w:next w:val="894"/>
    <w:link w:val="716"/>
    <w:qFormat/>
    <w:rPr>
      <w:rFonts w:ascii="楷体_GB2312" w:eastAsia="楷体_GB2312"/>
      <w:sz w:val="28"/>
      <w:lang w:eastAsia="en-US"/>
    </w:rPr>
  </w:style>
  <w:style w:type="character" w:styleId="895">
    <w:name w:val="正文文本首行缩进 字符1"/>
    <w:next w:val="895"/>
    <w:link w:val="716"/>
    <w:qFormat/>
    <w:rPr>
      <w:rFonts w:ascii="Calibri" w:eastAsia="楷体_GB2312"/>
      <w:sz w:val="26"/>
    </w:rPr>
  </w:style>
  <w:style w:type="character" w:styleId="896">
    <w:name w:val="纯文本 字符1"/>
    <w:next w:val="896"/>
    <w:link w:val="716"/>
    <w:qFormat/>
    <w:rPr>
      <w:rFonts w:ascii="宋体" w:hAnsi="Courier New" w:eastAsia="楷体_GB2312"/>
      <w:sz w:val="26"/>
    </w:rPr>
  </w:style>
  <w:style w:type="paragraph" w:styleId="897">
    <w:name w:val="Default"/>
    <w:next w:val="898"/>
    <w:link w:val="716"/>
    <w:qFormat/>
    <w:pPr>
      <w:widowControl w:val="off"/>
    </w:pPr>
    <w:rPr>
      <w:rFonts w:ascii="仿宋" w:hAnsi="仿宋" w:cs="仿宋"/>
      <w:color w:val="000000"/>
      <w:sz w:val="24"/>
      <w:szCs w:val="24"/>
      <w:lang w:val="en-US" w:eastAsia="zh-CN" w:bidi="ar-SA"/>
    </w:rPr>
  </w:style>
  <w:style w:type="paragraph" w:styleId="898">
    <w:name w:val="TOC 71"/>
    <w:basedOn w:val="716"/>
    <w:next w:val="716"/>
    <w:link w:val="716"/>
    <w:qFormat/>
    <w:pPr>
      <w:ind w:left="2550" w:firstLine="480"/>
      <w:spacing w:before="100" w:beforeAutospacing="1" w:after="100" w:afterAutospacing="1" w:line="440" w:lineRule="exact"/>
      <w:widowControl/>
    </w:pPr>
    <w:rPr>
      <w:rFonts w:ascii="楷体_GB2312" w:hAnsi="楷体_GB2312" w:eastAsia="楷体_GB2312" w:cs="楷体_GB2312"/>
      <w:color w:val="000000"/>
      <w:sz w:val="24"/>
      <w:szCs w:val="21"/>
    </w:rPr>
  </w:style>
  <w:style w:type="character" w:styleId="899">
    <w:name w:val="Heading 5 Char"/>
    <w:next w:val="899"/>
    <w:link w:val="716"/>
    <w:uiPriority w:val="9"/>
    <w:qFormat/>
    <w:rPr>
      <w:rFonts w:ascii="Arial" w:hAnsi="Arial" w:eastAsia="Arial" w:cs="Arial"/>
      <w:b/>
      <w:bCs/>
      <w:sz w:val="24"/>
      <w:szCs w:val="24"/>
    </w:rPr>
  </w:style>
  <w:style w:type="character" w:styleId="900">
    <w:name w:val="Heading 6 Char"/>
    <w:next w:val="900"/>
    <w:link w:val="716"/>
    <w:uiPriority w:val="9"/>
    <w:qFormat/>
    <w:rPr>
      <w:rFonts w:ascii="Arial" w:hAnsi="Arial" w:eastAsia="Arial" w:cs="Arial"/>
      <w:b/>
      <w:bCs/>
      <w:sz w:val="22"/>
      <w:szCs w:val="22"/>
    </w:rPr>
  </w:style>
  <w:style w:type="character" w:styleId="901">
    <w:name w:val="Heading 7 Char"/>
    <w:next w:val="901"/>
    <w:link w:val="716"/>
    <w:uiPriority w:val="9"/>
    <w:qFormat/>
    <w:rPr>
      <w:rFonts w:ascii="Arial" w:hAnsi="Arial" w:eastAsia="Arial" w:cs="Arial"/>
      <w:b/>
      <w:bCs/>
      <w:i/>
      <w:iCs/>
      <w:sz w:val="22"/>
      <w:szCs w:val="22"/>
    </w:rPr>
  </w:style>
  <w:style w:type="character" w:styleId="902">
    <w:name w:val="Heading 8 Char"/>
    <w:next w:val="902"/>
    <w:link w:val="716"/>
    <w:uiPriority w:val="9"/>
    <w:qFormat/>
    <w:rPr>
      <w:rFonts w:ascii="Arial" w:hAnsi="Arial" w:eastAsia="Arial" w:cs="Arial"/>
      <w:i/>
      <w:iCs/>
      <w:sz w:val="22"/>
      <w:szCs w:val="22"/>
    </w:rPr>
  </w:style>
  <w:style w:type="character" w:styleId="903">
    <w:name w:val="Heading 9 Char"/>
    <w:next w:val="903"/>
    <w:link w:val="716"/>
    <w:uiPriority w:val="9"/>
    <w:qFormat/>
    <w:rPr>
      <w:rFonts w:ascii="Arial" w:hAnsi="Arial" w:eastAsia="Arial" w:cs="Arial"/>
      <w:i/>
      <w:iCs/>
      <w:sz w:val="21"/>
      <w:szCs w:val="21"/>
    </w:rPr>
  </w:style>
  <w:style w:type="character" w:styleId="904">
    <w:name w:val="Title Char"/>
    <w:next w:val="904"/>
    <w:link w:val="716"/>
    <w:uiPriority w:val="10"/>
    <w:qFormat/>
    <w:rPr>
      <w:sz w:val="48"/>
      <w:szCs w:val="48"/>
    </w:rPr>
  </w:style>
  <w:style w:type="character" w:styleId="905">
    <w:name w:val="Subtitle Char"/>
    <w:next w:val="905"/>
    <w:link w:val="716"/>
    <w:uiPriority w:val="11"/>
    <w:qFormat/>
    <w:rPr>
      <w:sz w:val="24"/>
      <w:szCs w:val="24"/>
    </w:rPr>
  </w:style>
  <w:style w:type="character" w:styleId="906">
    <w:name w:val="Quote Char"/>
    <w:next w:val="906"/>
    <w:link w:val="716"/>
    <w:uiPriority w:val="29"/>
    <w:qFormat/>
    <w:rPr>
      <w:i/>
    </w:rPr>
  </w:style>
  <w:style w:type="character" w:styleId="907">
    <w:name w:val="Intense Quote Char"/>
    <w:next w:val="907"/>
    <w:link w:val="716"/>
    <w:uiPriority w:val="30"/>
    <w:qFormat/>
    <w:rPr>
      <w:i/>
    </w:rPr>
  </w:style>
  <w:style w:type="character" w:styleId="908">
    <w:name w:val="Footnote Text Char"/>
    <w:next w:val="908"/>
    <w:link w:val="716"/>
    <w:uiPriority w:val="99"/>
    <w:qFormat/>
    <w:rPr>
      <w:sz w:val="18"/>
    </w:rPr>
  </w:style>
  <w:style w:type="character" w:styleId="909">
    <w:name w:val="Endnote Text Char"/>
    <w:next w:val="909"/>
    <w:link w:val="716"/>
    <w:uiPriority w:val="99"/>
    <w:qFormat/>
    <w:rPr>
      <w:sz w:val="20"/>
    </w:rPr>
  </w:style>
  <w:style w:type="character" w:styleId="910">
    <w:name w:val="Heading 1 Char"/>
    <w:next w:val="910"/>
    <w:link w:val="716"/>
    <w:uiPriority w:val="9"/>
    <w:qFormat/>
    <w:rPr>
      <w:rFonts w:ascii="Arial" w:hAnsi="Arial" w:eastAsia="Arial" w:cs="Arial"/>
      <w:sz w:val="40"/>
      <w:szCs w:val="40"/>
    </w:rPr>
  </w:style>
  <w:style w:type="character" w:styleId="911">
    <w:name w:val="Heading 2 Char"/>
    <w:next w:val="911"/>
    <w:link w:val="716"/>
    <w:uiPriority w:val="9"/>
    <w:qFormat/>
    <w:rPr>
      <w:rFonts w:ascii="Arial" w:hAnsi="Arial" w:eastAsia="Arial" w:cs="Arial"/>
      <w:sz w:val="34"/>
    </w:rPr>
  </w:style>
  <w:style w:type="character" w:styleId="912">
    <w:name w:val="Heading 3 Char"/>
    <w:next w:val="912"/>
    <w:link w:val="716"/>
    <w:uiPriority w:val="9"/>
    <w:qFormat/>
    <w:rPr>
      <w:rFonts w:ascii="Arial" w:hAnsi="Arial" w:eastAsia="Arial" w:cs="Arial"/>
      <w:sz w:val="30"/>
      <w:szCs w:val="30"/>
    </w:rPr>
  </w:style>
  <w:style w:type="character" w:styleId="913">
    <w:name w:val="Heading 4 Char"/>
    <w:next w:val="913"/>
    <w:link w:val="716"/>
    <w:uiPriority w:val="9"/>
    <w:qFormat/>
    <w:rPr>
      <w:rFonts w:ascii="Arial" w:hAnsi="Arial" w:eastAsia="Arial" w:cs="Arial"/>
      <w:b/>
      <w:bCs/>
      <w:sz w:val="26"/>
      <w:szCs w:val="26"/>
    </w:rPr>
  </w:style>
  <w:style w:type="paragraph" w:styleId="914">
    <w:name w:val="无间隔"/>
    <w:next w:val="914"/>
    <w:link w:val="716"/>
    <w:uiPriority w:val="99"/>
    <w:qFormat/>
    <w:pPr>
      <w:jc w:val="both"/>
      <w:widowControl w:val="off"/>
    </w:pPr>
    <w:rPr>
      <w:rFonts w:eastAsia="楷体_GB2312"/>
      <w:sz w:val="26"/>
      <w:lang w:val="en-US" w:eastAsia="zh-CN" w:bidi="ar-SA"/>
    </w:rPr>
  </w:style>
  <w:style w:type="paragraph" w:styleId="915">
    <w:name w:val="引用"/>
    <w:basedOn w:val="716"/>
    <w:next w:val="716"/>
    <w:link w:val="916"/>
    <w:uiPriority w:val="29"/>
    <w:qFormat/>
    <w:pPr>
      <w:ind w:left="720" w:right="720" w:firstLine="480"/>
      <w:spacing w:line="440" w:lineRule="exact"/>
      <w:widowControl/>
    </w:pPr>
    <w:rPr>
      <w:rFonts w:ascii="楷体_GB2312" w:hAnsi="楷体_GB2312" w:eastAsia="楷体_GB2312" w:cs="楷体_GB2312"/>
      <w:i/>
      <w:color w:val="000000"/>
      <w:sz w:val="24"/>
    </w:rPr>
  </w:style>
  <w:style w:type="character" w:styleId="916">
    <w:name w:val="引用 字符"/>
    <w:next w:val="916"/>
    <w:link w:val="915"/>
    <w:uiPriority w:val="29"/>
    <w:qFormat/>
    <w:rPr>
      <w:rFonts w:ascii="楷体_GB2312" w:hAnsi="楷体_GB2312" w:eastAsia="楷体_GB2312" w:cs="楷体_GB2312"/>
      <w:i/>
      <w:color w:val="000000"/>
      <w:sz w:val="24"/>
      <w:szCs w:val="24"/>
    </w:rPr>
  </w:style>
  <w:style w:type="paragraph" w:styleId="917">
    <w:name w:val="明显引用"/>
    <w:basedOn w:val="716"/>
    <w:next w:val="716"/>
    <w:link w:val="918"/>
    <w:uiPriority w:val="30"/>
    <w:qFormat/>
    <w:pPr>
      <w:ind w:left="720" w:right="720" w:firstLine="480"/>
      <w:spacing w:line="440" w:lineRule="exact"/>
      <w:shd w:val="clear" w:color="auto" w:fill="f2f2f2"/>
      <w:widowControl/>
      <w:pBdr>
        <w:top w:val="single" w:color="FFFFFF" w:sz="4" w:space="5"/>
        <w:left w:val="single" w:color="FFFFFF" w:sz="4" w:space="10"/>
        <w:bottom w:val="single" w:color="FFFFFF" w:sz="4" w:space="5"/>
        <w:right w:val="single" w:color="FFFFFF" w:sz="4" w:space="10"/>
      </w:pBdr>
    </w:pPr>
    <w:rPr>
      <w:rFonts w:ascii="楷体_GB2312" w:hAnsi="楷体_GB2312" w:eastAsia="楷体_GB2312" w:cs="楷体_GB2312"/>
      <w:i/>
      <w:color w:val="000000"/>
      <w:sz w:val="24"/>
    </w:rPr>
  </w:style>
  <w:style w:type="character" w:styleId="918">
    <w:name w:val="明显引用 字符"/>
    <w:next w:val="918"/>
    <w:link w:val="917"/>
    <w:uiPriority w:val="30"/>
    <w:qFormat/>
    <w:rPr>
      <w:rFonts w:ascii="楷体_GB2312" w:hAnsi="楷体_GB2312" w:eastAsia="楷体_GB2312" w:cs="楷体_GB2312"/>
      <w:i/>
      <w:color w:val="000000"/>
      <w:sz w:val="24"/>
      <w:szCs w:val="24"/>
      <w:shd w:val="clear" w:color="auto" w:fill="f2f2f2"/>
    </w:rPr>
  </w:style>
  <w:style w:type="character" w:styleId="919">
    <w:name w:val="Footer Char"/>
    <w:next w:val="919"/>
    <w:link w:val="716"/>
    <w:uiPriority w:val="99"/>
    <w:qFormat/>
  </w:style>
  <w:style w:type="character" w:styleId="920">
    <w:name w:val="Caption Char"/>
    <w:next w:val="920"/>
    <w:link w:val="716"/>
    <w:uiPriority w:val="99"/>
    <w:qFormat/>
  </w:style>
  <w:style w:type="table" w:styleId="921">
    <w:name w:val="Table Grid Light"/>
    <w:next w:val="921"/>
    <w:link w:val="716"/>
    <w:uiPriority w:val="59"/>
    <w:qFormat/>
    <w:rPr>
      <w:lang w:val="en-US" w:eastAsia="zh-CN" w:bidi="ar-SA"/>
    </w:rPr>
    <w:tblPr/>
  </w:style>
  <w:style w:type="table" w:styleId="922">
    <w:name w:val="Grid Table 1 Light - Accent 1"/>
    <w:next w:val="922"/>
    <w:link w:val="716"/>
    <w:uiPriority w:val="99"/>
    <w:qFormat/>
    <w:rPr>
      <w:lang w:val="en-US" w:eastAsia="zh-CN" w:bidi="ar-SA"/>
    </w:rPr>
    <w:tblPr/>
  </w:style>
  <w:style w:type="table" w:styleId="923">
    <w:name w:val="Grid Table 1 Light - Accent 2"/>
    <w:next w:val="923"/>
    <w:link w:val="716"/>
    <w:uiPriority w:val="99"/>
    <w:qFormat/>
    <w:rPr>
      <w:lang w:val="en-US" w:eastAsia="zh-CN" w:bidi="ar-SA"/>
    </w:rPr>
    <w:tblPr/>
  </w:style>
  <w:style w:type="table" w:styleId="924">
    <w:name w:val="Grid Table 1 Light - Accent 3"/>
    <w:next w:val="924"/>
    <w:link w:val="716"/>
    <w:uiPriority w:val="99"/>
    <w:qFormat/>
    <w:rPr>
      <w:lang w:val="en-US" w:eastAsia="zh-CN" w:bidi="ar-SA"/>
    </w:rPr>
    <w:tblPr/>
  </w:style>
  <w:style w:type="table" w:styleId="925">
    <w:name w:val="Grid Table 1 Light - Accent 4"/>
    <w:next w:val="925"/>
    <w:link w:val="716"/>
    <w:uiPriority w:val="99"/>
    <w:qFormat/>
    <w:rPr>
      <w:lang w:val="en-US" w:eastAsia="zh-CN" w:bidi="ar-SA"/>
    </w:rPr>
    <w:tblPr/>
  </w:style>
  <w:style w:type="table" w:styleId="926">
    <w:name w:val="Grid Table 1 Light - Accent 5"/>
    <w:next w:val="926"/>
    <w:link w:val="716"/>
    <w:uiPriority w:val="99"/>
    <w:qFormat/>
    <w:rPr>
      <w:lang w:val="en-US" w:eastAsia="zh-CN" w:bidi="ar-SA"/>
    </w:rPr>
    <w:tblPr/>
  </w:style>
  <w:style w:type="table" w:styleId="927">
    <w:name w:val="Grid Table 1 Light - Accent 6"/>
    <w:next w:val="927"/>
    <w:link w:val="716"/>
    <w:uiPriority w:val="99"/>
    <w:qFormat/>
    <w:rPr>
      <w:lang w:val="en-US" w:eastAsia="zh-CN" w:bidi="ar-SA"/>
    </w:rPr>
    <w:tblPr/>
  </w:style>
  <w:style w:type="table" w:styleId="928">
    <w:name w:val="Grid Table 2 - Accent 1"/>
    <w:next w:val="928"/>
    <w:link w:val="716"/>
    <w:uiPriority w:val="99"/>
    <w:qFormat/>
    <w:rPr>
      <w:lang w:val="en-US" w:eastAsia="zh-CN" w:bidi="ar-SA"/>
    </w:rPr>
    <w:tblPr/>
  </w:style>
  <w:style w:type="table" w:styleId="929">
    <w:name w:val="Grid Table 2 - Accent 2"/>
    <w:next w:val="929"/>
    <w:link w:val="716"/>
    <w:uiPriority w:val="99"/>
    <w:qFormat/>
    <w:rPr>
      <w:lang w:val="en-US" w:eastAsia="zh-CN" w:bidi="ar-SA"/>
    </w:rPr>
    <w:tblPr/>
  </w:style>
  <w:style w:type="table" w:styleId="930">
    <w:name w:val="Grid Table 2 - Accent 3"/>
    <w:next w:val="930"/>
    <w:link w:val="716"/>
    <w:uiPriority w:val="99"/>
    <w:qFormat/>
    <w:rPr>
      <w:lang w:val="en-US" w:eastAsia="zh-CN" w:bidi="ar-SA"/>
    </w:rPr>
    <w:tblPr/>
  </w:style>
  <w:style w:type="table" w:styleId="931">
    <w:name w:val="Grid Table 2 - Accent 4"/>
    <w:next w:val="931"/>
    <w:link w:val="716"/>
    <w:uiPriority w:val="99"/>
    <w:qFormat/>
    <w:rPr>
      <w:lang w:val="en-US" w:eastAsia="zh-CN" w:bidi="ar-SA"/>
    </w:rPr>
    <w:tblPr/>
  </w:style>
  <w:style w:type="table" w:styleId="932">
    <w:name w:val="Grid Table 2 - Accent 5"/>
    <w:next w:val="932"/>
    <w:link w:val="716"/>
    <w:uiPriority w:val="99"/>
    <w:qFormat/>
    <w:rPr>
      <w:lang w:val="en-US" w:eastAsia="zh-CN" w:bidi="ar-SA"/>
    </w:rPr>
    <w:tblPr/>
  </w:style>
  <w:style w:type="table" w:styleId="933">
    <w:name w:val="Grid Table 2 - Accent 6"/>
    <w:next w:val="933"/>
    <w:link w:val="716"/>
    <w:uiPriority w:val="99"/>
    <w:qFormat/>
    <w:rPr>
      <w:lang w:val="en-US" w:eastAsia="zh-CN" w:bidi="ar-SA"/>
    </w:rPr>
    <w:tblPr/>
  </w:style>
  <w:style w:type="table" w:styleId="934">
    <w:name w:val="Grid Table 3 - Accent 1"/>
    <w:next w:val="934"/>
    <w:link w:val="716"/>
    <w:uiPriority w:val="99"/>
    <w:qFormat/>
    <w:rPr>
      <w:lang w:val="en-US" w:eastAsia="zh-CN" w:bidi="ar-SA"/>
    </w:rPr>
    <w:tblPr/>
  </w:style>
  <w:style w:type="table" w:styleId="935">
    <w:name w:val="Grid Table 3 - Accent 2"/>
    <w:next w:val="935"/>
    <w:link w:val="716"/>
    <w:uiPriority w:val="99"/>
    <w:qFormat/>
    <w:rPr>
      <w:lang w:val="en-US" w:eastAsia="zh-CN" w:bidi="ar-SA"/>
    </w:rPr>
    <w:tblPr/>
  </w:style>
  <w:style w:type="table" w:styleId="936">
    <w:name w:val="Grid Table 3 - Accent 3"/>
    <w:next w:val="936"/>
    <w:link w:val="716"/>
    <w:uiPriority w:val="99"/>
    <w:qFormat/>
    <w:rPr>
      <w:lang w:val="en-US" w:eastAsia="zh-CN" w:bidi="ar-SA"/>
    </w:rPr>
    <w:tblPr/>
  </w:style>
  <w:style w:type="table" w:styleId="937">
    <w:name w:val="Grid Table 3 - Accent 4"/>
    <w:next w:val="937"/>
    <w:link w:val="716"/>
    <w:uiPriority w:val="99"/>
    <w:qFormat/>
    <w:rPr>
      <w:lang w:val="en-US" w:eastAsia="zh-CN" w:bidi="ar-SA"/>
    </w:rPr>
    <w:tblPr/>
  </w:style>
  <w:style w:type="table" w:styleId="938">
    <w:name w:val="Grid Table 3 - Accent 5"/>
    <w:next w:val="938"/>
    <w:link w:val="716"/>
    <w:uiPriority w:val="99"/>
    <w:qFormat/>
    <w:rPr>
      <w:lang w:val="en-US" w:eastAsia="zh-CN" w:bidi="ar-SA"/>
    </w:rPr>
    <w:tblPr/>
  </w:style>
  <w:style w:type="table" w:styleId="939">
    <w:name w:val="Grid Table 3 - Accent 6"/>
    <w:next w:val="939"/>
    <w:link w:val="716"/>
    <w:uiPriority w:val="99"/>
    <w:qFormat/>
    <w:rPr>
      <w:lang w:val="en-US" w:eastAsia="zh-CN" w:bidi="ar-SA"/>
    </w:rPr>
    <w:tblPr/>
  </w:style>
  <w:style w:type="table" w:styleId="940">
    <w:name w:val="Grid Table 4 - Accent 1"/>
    <w:next w:val="940"/>
    <w:link w:val="716"/>
    <w:uiPriority w:val="59"/>
    <w:qFormat/>
    <w:rPr>
      <w:lang w:val="en-US" w:eastAsia="zh-CN" w:bidi="ar-SA"/>
    </w:rPr>
    <w:tblPr/>
  </w:style>
  <w:style w:type="table" w:styleId="941">
    <w:name w:val="Grid Table 4 - Accent 2"/>
    <w:next w:val="941"/>
    <w:link w:val="716"/>
    <w:uiPriority w:val="59"/>
    <w:qFormat/>
    <w:rPr>
      <w:lang w:val="en-US" w:eastAsia="zh-CN" w:bidi="ar-SA"/>
    </w:rPr>
    <w:tblPr/>
  </w:style>
  <w:style w:type="table" w:styleId="942">
    <w:name w:val="Grid Table 4 - Accent 3"/>
    <w:next w:val="942"/>
    <w:link w:val="716"/>
    <w:uiPriority w:val="59"/>
    <w:qFormat/>
    <w:rPr>
      <w:lang w:val="en-US" w:eastAsia="zh-CN" w:bidi="ar-SA"/>
    </w:rPr>
    <w:tblPr/>
  </w:style>
  <w:style w:type="table" w:styleId="943">
    <w:name w:val="Grid Table 4 - Accent 4"/>
    <w:next w:val="943"/>
    <w:link w:val="716"/>
    <w:uiPriority w:val="59"/>
    <w:qFormat/>
    <w:rPr>
      <w:lang w:val="en-US" w:eastAsia="zh-CN" w:bidi="ar-SA"/>
    </w:rPr>
    <w:tblPr/>
  </w:style>
  <w:style w:type="table" w:styleId="944">
    <w:name w:val="Grid Table 4 - Accent 5"/>
    <w:next w:val="944"/>
    <w:link w:val="716"/>
    <w:uiPriority w:val="59"/>
    <w:qFormat/>
    <w:rPr>
      <w:lang w:val="en-US" w:eastAsia="zh-CN" w:bidi="ar-SA"/>
    </w:rPr>
    <w:tblPr/>
  </w:style>
  <w:style w:type="table" w:styleId="945">
    <w:name w:val="Grid Table 4 - Accent 6"/>
    <w:next w:val="945"/>
    <w:link w:val="716"/>
    <w:uiPriority w:val="59"/>
    <w:qFormat/>
    <w:rPr>
      <w:lang w:val="en-US" w:eastAsia="zh-CN" w:bidi="ar-SA"/>
    </w:rPr>
    <w:tblPr/>
  </w:style>
  <w:style w:type="table" w:styleId="946">
    <w:name w:val="Grid Table 5 Dark- Accent 1"/>
    <w:next w:val="946"/>
    <w:link w:val="716"/>
    <w:uiPriority w:val="99"/>
    <w:qFormat/>
    <w:rPr>
      <w:lang w:val="en-US" w:eastAsia="zh-CN" w:bidi="ar-SA"/>
    </w:rPr>
    <w:tblPr/>
  </w:style>
  <w:style w:type="table" w:styleId="947">
    <w:name w:val="Grid Table 5 Dark - Accent 2"/>
    <w:next w:val="947"/>
    <w:link w:val="716"/>
    <w:uiPriority w:val="99"/>
    <w:qFormat/>
    <w:rPr>
      <w:lang w:val="en-US" w:eastAsia="zh-CN" w:bidi="ar-SA"/>
    </w:rPr>
    <w:tblPr/>
  </w:style>
  <w:style w:type="table" w:styleId="948">
    <w:name w:val="Grid Table 5 Dark - Accent 3"/>
    <w:next w:val="948"/>
    <w:link w:val="716"/>
    <w:uiPriority w:val="99"/>
    <w:qFormat/>
    <w:rPr>
      <w:lang w:val="en-US" w:eastAsia="zh-CN" w:bidi="ar-SA"/>
    </w:rPr>
    <w:tblPr/>
  </w:style>
  <w:style w:type="table" w:styleId="949">
    <w:name w:val="Grid Table 5 Dark- Accent 4"/>
    <w:next w:val="949"/>
    <w:link w:val="716"/>
    <w:uiPriority w:val="99"/>
    <w:qFormat/>
    <w:rPr>
      <w:lang w:val="en-US" w:eastAsia="zh-CN" w:bidi="ar-SA"/>
    </w:rPr>
    <w:tblPr/>
  </w:style>
  <w:style w:type="table" w:styleId="950">
    <w:name w:val="Grid Table 5 Dark - Accent 5"/>
    <w:next w:val="950"/>
    <w:link w:val="716"/>
    <w:uiPriority w:val="99"/>
    <w:qFormat/>
    <w:rPr>
      <w:lang w:val="en-US" w:eastAsia="zh-CN" w:bidi="ar-SA"/>
    </w:rPr>
    <w:tblPr/>
  </w:style>
  <w:style w:type="table" w:styleId="951">
    <w:name w:val="Grid Table 5 Dark - Accent 6"/>
    <w:next w:val="951"/>
    <w:link w:val="716"/>
    <w:uiPriority w:val="99"/>
    <w:qFormat/>
    <w:rPr>
      <w:lang w:val="en-US" w:eastAsia="zh-CN" w:bidi="ar-SA"/>
    </w:rPr>
    <w:tblPr/>
  </w:style>
  <w:style w:type="table" w:styleId="952">
    <w:name w:val="Grid Table 6 Colorful - Accent 1"/>
    <w:next w:val="952"/>
    <w:link w:val="716"/>
    <w:uiPriority w:val="99"/>
    <w:qFormat/>
    <w:rPr>
      <w:lang w:val="en-US" w:eastAsia="zh-CN" w:bidi="ar-SA"/>
    </w:rPr>
    <w:tblPr/>
  </w:style>
  <w:style w:type="table" w:styleId="953">
    <w:name w:val="Grid Table 6 Colorful - Accent 2"/>
    <w:next w:val="953"/>
    <w:link w:val="716"/>
    <w:uiPriority w:val="99"/>
    <w:qFormat/>
    <w:rPr>
      <w:lang w:val="en-US" w:eastAsia="zh-CN" w:bidi="ar-SA"/>
    </w:rPr>
    <w:tblPr/>
  </w:style>
  <w:style w:type="table" w:styleId="954">
    <w:name w:val="Grid Table 6 Colorful - Accent 3"/>
    <w:next w:val="954"/>
    <w:link w:val="716"/>
    <w:uiPriority w:val="99"/>
    <w:qFormat/>
    <w:rPr>
      <w:lang w:val="en-US" w:eastAsia="zh-CN" w:bidi="ar-SA"/>
    </w:rPr>
    <w:tblPr/>
  </w:style>
  <w:style w:type="table" w:styleId="955">
    <w:name w:val="Grid Table 6 Colorful - Accent 4"/>
    <w:next w:val="955"/>
    <w:link w:val="716"/>
    <w:uiPriority w:val="99"/>
    <w:qFormat/>
    <w:rPr>
      <w:lang w:val="en-US" w:eastAsia="zh-CN" w:bidi="ar-SA"/>
    </w:rPr>
    <w:tblPr/>
  </w:style>
  <w:style w:type="table" w:styleId="956">
    <w:name w:val="Grid Table 6 Colorful - Accent 5"/>
    <w:next w:val="956"/>
    <w:link w:val="716"/>
    <w:uiPriority w:val="99"/>
    <w:qFormat/>
    <w:rPr>
      <w:lang w:val="en-US" w:eastAsia="zh-CN" w:bidi="ar-SA"/>
    </w:rPr>
    <w:tblPr/>
  </w:style>
  <w:style w:type="table" w:styleId="957">
    <w:name w:val="Grid Table 6 Colorful - Accent 6"/>
    <w:next w:val="957"/>
    <w:link w:val="716"/>
    <w:uiPriority w:val="99"/>
    <w:qFormat/>
    <w:rPr>
      <w:lang w:val="en-US" w:eastAsia="zh-CN" w:bidi="ar-SA"/>
    </w:rPr>
    <w:tblPr/>
  </w:style>
  <w:style w:type="table" w:styleId="958">
    <w:name w:val="Grid Table 7 Colorful - Accent 1"/>
    <w:next w:val="958"/>
    <w:link w:val="716"/>
    <w:uiPriority w:val="99"/>
    <w:qFormat/>
    <w:rPr>
      <w:lang w:val="en-US" w:eastAsia="zh-CN" w:bidi="ar-SA"/>
    </w:rPr>
    <w:tblPr/>
  </w:style>
  <w:style w:type="table" w:styleId="959">
    <w:name w:val="Grid Table 7 Colorful - Accent 2"/>
    <w:next w:val="959"/>
    <w:link w:val="716"/>
    <w:uiPriority w:val="99"/>
    <w:qFormat/>
    <w:rPr>
      <w:lang w:val="en-US" w:eastAsia="zh-CN" w:bidi="ar-SA"/>
    </w:rPr>
    <w:tblPr/>
  </w:style>
  <w:style w:type="table" w:styleId="960">
    <w:name w:val="Grid Table 7 Colorful - Accent 3"/>
    <w:next w:val="960"/>
    <w:link w:val="716"/>
    <w:uiPriority w:val="99"/>
    <w:qFormat/>
    <w:rPr>
      <w:lang w:val="en-US" w:eastAsia="zh-CN" w:bidi="ar-SA"/>
    </w:rPr>
    <w:tblPr/>
  </w:style>
  <w:style w:type="table" w:styleId="961">
    <w:name w:val="Grid Table 7 Colorful - Accent 4"/>
    <w:next w:val="961"/>
    <w:link w:val="716"/>
    <w:uiPriority w:val="99"/>
    <w:qFormat/>
    <w:rPr>
      <w:lang w:val="en-US" w:eastAsia="zh-CN" w:bidi="ar-SA"/>
    </w:rPr>
    <w:tblPr/>
  </w:style>
  <w:style w:type="table" w:styleId="962">
    <w:name w:val="Grid Table 7 Colorful - Accent 5"/>
    <w:next w:val="962"/>
    <w:link w:val="716"/>
    <w:uiPriority w:val="99"/>
    <w:qFormat/>
    <w:rPr>
      <w:lang w:val="en-US" w:eastAsia="zh-CN" w:bidi="ar-SA"/>
    </w:rPr>
    <w:tblPr/>
  </w:style>
  <w:style w:type="table" w:styleId="963">
    <w:name w:val="Grid Table 7 Colorful - Accent 6"/>
    <w:next w:val="963"/>
    <w:link w:val="716"/>
    <w:uiPriority w:val="99"/>
    <w:qFormat/>
    <w:rPr>
      <w:lang w:val="en-US" w:eastAsia="zh-CN" w:bidi="ar-SA"/>
    </w:rPr>
    <w:tblPr/>
  </w:style>
  <w:style w:type="table" w:styleId="964">
    <w:name w:val="List Table 1 Light - Accent 1"/>
    <w:next w:val="964"/>
    <w:link w:val="716"/>
    <w:uiPriority w:val="99"/>
    <w:qFormat/>
    <w:rPr>
      <w:lang w:val="en-US" w:eastAsia="zh-CN" w:bidi="ar-SA"/>
    </w:rPr>
    <w:tblPr/>
  </w:style>
  <w:style w:type="table" w:styleId="965">
    <w:name w:val="List Table 1 Light - Accent 2"/>
    <w:next w:val="965"/>
    <w:link w:val="716"/>
    <w:uiPriority w:val="99"/>
    <w:qFormat/>
    <w:rPr>
      <w:lang w:val="en-US" w:eastAsia="zh-CN" w:bidi="ar-SA"/>
    </w:rPr>
    <w:tblPr/>
  </w:style>
  <w:style w:type="table" w:styleId="966">
    <w:name w:val="List Table 1 Light - Accent 3"/>
    <w:next w:val="966"/>
    <w:link w:val="716"/>
    <w:uiPriority w:val="99"/>
    <w:qFormat/>
    <w:rPr>
      <w:lang w:val="en-US" w:eastAsia="zh-CN" w:bidi="ar-SA"/>
    </w:rPr>
    <w:tblPr/>
  </w:style>
  <w:style w:type="table" w:styleId="967">
    <w:name w:val="List Table 1 Light - Accent 4"/>
    <w:next w:val="967"/>
    <w:link w:val="716"/>
    <w:uiPriority w:val="99"/>
    <w:qFormat/>
    <w:rPr>
      <w:lang w:val="en-US" w:eastAsia="zh-CN" w:bidi="ar-SA"/>
    </w:rPr>
    <w:tblPr/>
  </w:style>
  <w:style w:type="table" w:styleId="968">
    <w:name w:val="List Table 1 Light - Accent 5"/>
    <w:next w:val="968"/>
    <w:link w:val="716"/>
    <w:uiPriority w:val="99"/>
    <w:qFormat/>
    <w:rPr>
      <w:lang w:val="en-US" w:eastAsia="zh-CN" w:bidi="ar-SA"/>
    </w:rPr>
    <w:tblPr/>
  </w:style>
  <w:style w:type="table" w:styleId="969">
    <w:name w:val="List Table 1 Light - Accent 6"/>
    <w:next w:val="969"/>
    <w:link w:val="716"/>
    <w:uiPriority w:val="99"/>
    <w:qFormat/>
    <w:rPr>
      <w:lang w:val="en-US" w:eastAsia="zh-CN" w:bidi="ar-SA"/>
    </w:rPr>
    <w:tblPr/>
  </w:style>
  <w:style w:type="table" w:styleId="970">
    <w:name w:val="List Table 2 - Accent 1"/>
    <w:next w:val="970"/>
    <w:link w:val="716"/>
    <w:uiPriority w:val="99"/>
    <w:qFormat/>
    <w:rPr>
      <w:lang w:val="en-US" w:eastAsia="zh-CN" w:bidi="ar-SA"/>
    </w:rPr>
    <w:tblPr/>
  </w:style>
  <w:style w:type="table" w:styleId="971">
    <w:name w:val="List Table 2 - Accent 2"/>
    <w:next w:val="971"/>
    <w:link w:val="716"/>
    <w:uiPriority w:val="99"/>
    <w:qFormat/>
    <w:rPr>
      <w:lang w:val="en-US" w:eastAsia="zh-CN" w:bidi="ar-SA"/>
    </w:rPr>
    <w:tblPr/>
  </w:style>
  <w:style w:type="table" w:styleId="972">
    <w:name w:val="List Table 2 - Accent 3"/>
    <w:next w:val="972"/>
    <w:link w:val="716"/>
    <w:uiPriority w:val="99"/>
    <w:qFormat/>
    <w:rPr>
      <w:lang w:val="en-US" w:eastAsia="zh-CN" w:bidi="ar-SA"/>
    </w:rPr>
    <w:tblPr/>
  </w:style>
  <w:style w:type="table" w:styleId="973">
    <w:name w:val="List Table 2 - Accent 4"/>
    <w:next w:val="973"/>
    <w:link w:val="716"/>
    <w:uiPriority w:val="99"/>
    <w:qFormat/>
    <w:rPr>
      <w:lang w:val="en-US" w:eastAsia="zh-CN" w:bidi="ar-SA"/>
    </w:rPr>
    <w:tblPr/>
  </w:style>
  <w:style w:type="table" w:styleId="974">
    <w:name w:val="List Table 2 - Accent 5"/>
    <w:next w:val="974"/>
    <w:link w:val="716"/>
    <w:uiPriority w:val="99"/>
    <w:qFormat/>
    <w:rPr>
      <w:lang w:val="en-US" w:eastAsia="zh-CN" w:bidi="ar-SA"/>
    </w:rPr>
    <w:tblPr/>
  </w:style>
  <w:style w:type="table" w:styleId="975">
    <w:name w:val="List Table 2 - Accent 6"/>
    <w:next w:val="975"/>
    <w:link w:val="716"/>
    <w:uiPriority w:val="99"/>
    <w:qFormat/>
    <w:rPr>
      <w:lang w:val="en-US" w:eastAsia="zh-CN" w:bidi="ar-SA"/>
    </w:rPr>
    <w:tblPr/>
  </w:style>
  <w:style w:type="table" w:styleId="976">
    <w:name w:val="List Table 3 - Accent 1"/>
    <w:next w:val="976"/>
    <w:link w:val="716"/>
    <w:uiPriority w:val="99"/>
    <w:qFormat/>
    <w:rPr>
      <w:lang w:val="en-US" w:eastAsia="zh-CN" w:bidi="ar-SA"/>
    </w:rPr>
    <w:tblPr/>
  </w:style>
  <w:style w:type="table" w:styleId="977">
    <w:name w:val="List Table 3 - Accent 2"/>
    <w:next w:val="977"/>
    <w:link w:val="716"/>
    <w:uiPriority w:val="99"/>
    <w:qFormat/>
    <w:rPr>
      <w:lang w:val="en-US" w:eastAsia="zh-CN" w:bidi="ar-SA"/>
    </w:rPr>
    <w:tblPr/>
  </w:style>
  <w:style w:type="table" w:styleId="978">
    <w:name w:val="List Table 3 - Accent 3"/>
    <w:next w:val="978"/>
    <w:link w:val="716"/>
    <w:uiPriority w:val="99"/>
    <w:qFormat/>
    <w:rPr>
      <w:lang w:val="en-US" w:eastAsia="zh-CN" w:bidi="ar-SA"/>
    </w:rPr>
    <w:tblPr/>
  </w:style>
  <w:style w:type="table" w:styleId="979">
    <w:name w:val="List Table 3 - Accent 4"/>
    <w:next w:val="979"/>
    <w:link w:val="716"/>
    <w:uiPriority w:val="99"/>
    <w:qFormat/>
    <w:rPr>
      <w:lang w:val="en-US" w:eastAsia="zh-CN" w:bidi="ar-SA"/>
    </w:rPr>
    <w:tblPr/>
  </w:style>
  <w:style w:type="table" w:styleId="980">
    <w:name w:val="List Table 3 - Accent 5"/>
    <w:next w:val="980"/>
    <w:link w:val="716"/>
    <w:uiPriority w:val="99"/>
    <w:qFormat/>
    <w:rPr>
      <w:lang w:val="en-US" w:eastAsia="zh-CN" w:bidi="ar-SA"/>
    </w:rPr>
    <w:tblPr/>
  </w:style>
  <w:style w:type="table" w:styleId="981">
    <w:name w:val="List Table 3 - Accent 6"/>
    <w:next w:val="981"/>
    <w:link w:val="716"/>
    <w:uiPriority w:val="99"/>
    <w:qFormat/>
    <w:rPr>
      <w:lang w:val="en-US" w:eastAsia="zh-CN" w:bidi="ar-SA"/>
    </w:rPr>
    <w:tblPr/>
  </w:style>
  <w:style w:type="table" w:styleId="982">
    <w:name w:val="List Table 4 - Accent 1"/>
    <w:next w:val="982"/>
    <w:link w:val="716"/>
    <w:uiPriority w:val="99"/>
    <w:qFormat/>
    <w:rPr>
      <w:lang w:val="en-US" w:eastAsia="zh-CN" w:bidi="ar-SA"/>
    </w:rPr>
    <w:tblPr/>
  </w:style>
  <w:style w:type="table" w:styleId="983">
    <w:name w:val="List Table 4 - Accent 2"/>
    <w:next w:val="983"/>
    <w:link w:val="716"/>
    <w:uiPriority w:val="99"/>
    <w:qFormat/>
    <w:rPr>
      <w:lang w:val="en-US" w:eastAsia="zh-CN" w:bidi="ar-SA"/>
    </w:rPr>
    <w:tblPr/>
  </w:style>
  <w:style w:type="table" w:styleId="984">
    <w:name w:val="List Table 4 - Accent 3"/>
    <w:next w:val="984"/>
    <w:link w:val="716"/>
    <w:uiPriority w:val="99"/>
    <w:qFormat/>
    <w:rPr>
      <w:lang w:val="en-US" w:eastAsia="zh-CN" w:bidi="ar-SA"/>
    </w:rPr>
    <w:tblPr/>
  </w:style>
  <w:style w:type="table" w:styleId="985">
    <w:name w:val="List Table 4 - Accent 4"/>
    <w:next w:val="985"/>
    <w:link w:val="716"/>
    <w:uiPriority w:val="99"/>
    <w:qFormat/>
    <w:rPr>
      <w:lang w:val="en-US" w:eastAsia="zh-CN" w:bidi="ar-SA"/>
    </w:rPr>
    <w:tblPr/>
  </w:style>
  <w:style w:type="table" w:styleId="986">
    <w:name w:val="List Table 4 - Accent 5"/>
    <w:next w:val="986"/>
    <w:link w:val="716"/>
    <w:uiPriority w:val="99"/>
    <w:qFormat/>
    <w:rPr>
      <w:lang w:val="en-US" w:eastAsia="zh-CN" w:bidi="ar-SA"/>
    </w:rPr>
    <w:tblPr/>
  </w:style>
  <w:style w:type="table" w:styleId="987">
    <w:name w:val="List Table 4 - Accent 6"/>
    <w:next w:val="987"/>
    <w:link w:val="716"/>
    <w:uiPriority w:val="99"/>
    <w:qFormat/>
    <w:rPr>
      <w:lang w:val="en-US" w:eastAsia="zh-CN" w:bidi="ar-SA"/>
    </w:rPr>
    <w:tblPr/>
  </w:style>
  <w:style w:type="table" w:styleId="988">
    <w:name w:val="List Table 5 Dark - Accent 1"/>
    <w:next w:val="988"/>
    <w:link w:val="716"/>
    <w:uiPriority w:val="99"/>
    <w:qFormat/>
    <w:rPr>
      <w:lang w:val="en-US" w:eastAsia="zh-CN" w:bidi="ar-SA"/>
    </w:rPr>
    <w:tblPr/>
  </w:style>
  <w:style w:type="table" w:styleId="989">
    <w:name w:val="List Table 5 Dark - Accent 2"/>
    <w:next w:val="989"/>
    <w:link w:val="716"/>
    <w:uiPriority w:val="99"/>
    <w:qFormat/>
    <w:rPr>
      <w:lang w:val="en-US" w:eastAsia="zh-CN" w:bidi="ar-SA"/>
    </w:rPr>
    <w:tblPr/>
  </w:style>
  <w:style w:type="table" w:styleId="990">
    <w:name w:val="List Table 5 Dark - Accent 3"/>
    <w:next w:val="990"/>
    <w:link w:val="716"/>
    <w:uiPriority w:val="99"/>
    <w:qFormat/>
    <w:rPr>
      <w:lang w:val="en-US" w:eastAsia="zh-CN" w:bidi="ar-SA"/>
    </w:rPr>
    <w:tblPr/>
  </w:style>
  <w:style w:type="table" w:styleId="991">
    <w:name w:val="List Table 5 Dark - Accent 4"/>
    <w:next w:val="991"/>
    <w:link w:val="716"/>
    <w:uiPriority w:val="99"/>
    <w:qFormat/>
    <w:rPr>
      <w:lang w:val="en-US" w:eastAsia="zh-CN" w:bidi="ar-SA"/>
    </w:rPr>
    <w:tblPr/>
  </w:style>
  <w:style w:type="table" w:styleId="992">
    <w:name w:val="List Table 5 Dark - Accent 5"/>
    <w:next w:val="992"/>
    <w:link w:val="716"/>
    <w:uiPriority w:val="99"/>
    <w:qFormat/>
    <w:rPr>
      <w:lang w:val="en-US" w:eastAsia="zh-CN" w:bidi="ar-SA"/>
    </w:rPr>
    <w:tblPr/>
  </w:style>
  <w:style w:type="table" w:styleId="993">
    <w:name w:val="List Table 5 Dark - Accent 6"/>
    <w:next w:val="993"/>
    <w:link w:val="716"/>
    <w:uiPriority w:val="99"/>
    <w:qFormat/>
    <w:rPr>
      <w:lang w:val="en-US" w:eastAsia="zh-CN" w:bidi="ar-SA"/>
    </w:rPr>
    <w:tblPr/>
  </w:style>
  <w:style w:type="table" w:styleId="994">
    <w:name w:val="List Table 6 Colorful - Accent 1"/>
    <w:next w:val="994"/>
    <w:link w:val="716"/>
    <w:uiPriority w:val="99"/>
    <w:qFormat/>
    <w:rPr>
      <w:lang w:val="en-US" w:eastAsia="zh-CN" w:bidi="ar-SA"/>
    </w:rPr>
    <w:tblPr/>
  </w:style>
  <w:style w:type="table" w:styleId="995">
    <w:name w:val="List Table 6 Colorful - Accent 2"/>
    <w:next w:val="995"/>
    <w:link w:val="716"/>
    <w:uiPriority w:val="99"/>
    <w:qFormat/>
    <w:rPr>
      <w:lang w:val="en-US" w:eastAsia="zh-CN" w:bidi="ar-SA"/>
    </w:rPr>
    <w:tblPr/>
  </w:style>
  <w:style w:type="table" w:styleId="996">
    <w:name w:val="List Table 6 Colorful - Accent 3"/>
    <w:next w:val="996"/>
    <w:link w:val="716"/>
    <w:uiPriority w:val="99"/>
    <w:qFormat/>
    <w:rPr>
      <w:lang w:val="en-US" w:eastAsia="zh-CN" w:bidi="ar-SA"/>
    </w:rPr>
    <w:tblPr/>
  </w:style>
  <w:style w:type="table" w:styleId="997">
    <w:name w:val="List Table 6 Colorful - Accent 4"/>
    <w:next w:val="997"/>
    <w:link w:val="716"/>
    <w:uiPriority w:val="99"/>
    <w:qFormat/>
    <w:rPr>
      <w:lang w:val="en-US" w:eastAsia="zh-CN" w:bidi="ar-SA"/>
    </w:rPr>
    <w:tblPr/>
  </w:style>
  <w:style w:type="table" w:styleId="998">
    <w:name w:val="List Table 6 Colorful - Accent 5"/>
    <w:next w:val="998"/>
    <w:link w:val="716"/>
    <w:uiPriority w:val="99"/>
    <w:qFormat/>
    <w:rPr>
      <w:lang w:val="en-US" w:eastAsia="zh-CN" w:bidi="ar-SA"/>
    </w:rPr>
    <w:tblPr/>
  </w:style>
  <w:style w:type="table" w:styleId="999">
    <w:name w:val="List Table 6 Colorful - Accent 6"/>
    <w:next w:val="999"/>
    <w:link w:val="716"/>
    <w:uiPriority w:val="99"/>
    <w:qFormat/>
    <w:rPr>
      <w:lang w:val="en-US" w:eastAsia="zh-CN" w:bidi="ar-SA"/>
    </w:rPr>
    <w:tblPr/>
  </w:style>
  <w:style w:type="table" w:styleId="1000">
    <w:name w:val="List Table 7 Colorful - Accent 1"/>
    <w:next w:val="1000"/>
    <w:link w:val="716"/>
    <w:uiPriority w:val="99"/>
    <w:qFormat/>
    <w:rPr>
      <w:lang w:val="en-US" w:eastAsia="zh-CN" w:bidi="ar-SA"/>
    </w:rPr>
    <w:tblPr/>
  </w:style>
  <w:style w:type="table" w:styleId="1001">
    <w:name w:val="List Table 7 Colorful - Accent 2"/>
    <w:next w:val="1001"/>
    <w:link w:val="716"/>
    <w:uiPriority w:val="99"/>
    <w:qFormat/>
    <w:rPr>
      <w:lang w:val="en-US" w:eastAsia="zh-CN" w:bidi="ar-SA"/>
    </w:rPr>
    <w:tblPr/>
  </w:style>
  <w:style w:type="table" w:styleId="1002">
    <w:name w:val="List Table 7 Colorful - Accent 3"/>
    <w:next w:val="1002"/>
    <w:link w:val="716"/>
    <w:uiPriority w:val="99"/>
    <w:qFormat/>
    <w:rPr>
      <w:lang w:val="en-US" w:eastAsia="zh-CN" w:bidi="ar-SA"/>
    </w:rPr>
    <w:tblPr/>
  </w:style>
  <w:style w:type="table" w:styleId="1003">
    <w:name w:val="List Table 7 Colorful - Accent 4"/>
    <w:next w:val="1003"/>
    <w:link w:val="716"/>
    <w:uiPriority w:val="99"/>
    <w:qFormat/>
    <w:rPr>
      <w:lang w:val="en-US" w:eastAsia="zh-CN" w:bidi="ar-SA"/>
    </w:rPr>
    <w:tblPr/>
  </w:style>
  <w:style w:type="table" w:styleId="1004">
    <w:name w:val="List Table 7 Colorful - Accent 5"/>
    <w:next w:val="1004"/>
    <w:link w:val="716"/>
    <w:uiPriority w:val="99"/>
    <w:qFormat/>
    <w:rPr>
      <w:lang w:val="en-US" w:eastAsia="zh-CN" w:bidi="ar-SA"/>
    </w:rPr>
    <w:tblPr/>
  </w:style>
  <w:style w:type="table" w:styleId="1005">
    <w:name w:val="List Table 7 Colorful - Accent 6"/>
    <w:next w:val="1005"/>
    <w:link w:val="716"/>
    <w:uiPriority w:val="99"/>
    <w:qFormat/>
    <w:rPr>
      <w:lang w:val="en-US" w:eastAsia="zh-CN" w:bidi="ar-SA"/>
    </w:rPr>
    <w:tblPr/>
  </w:style>
  <w:style w:type="table" w:styleId="1006">
    <w:name w:val="Lined - Accent"/>
    <w:next w:val="1006"/>
    <w:link w:val="716"/>
    <w:uiPriority w:val="99"/>
    <w:qFormat/>
    <w:rPr>
      <w:color w:val="404040"/>
      <w:lang w:val="en-US" w:eastAsia="zh-CN" w:bidi="ar-SA"/>
    </w:rPr>
    <w:tblPr/>
  </w:style>
  <w:style w:type="table" w:styleId="1007">
    <w:name w:val="Lined - Accent 1"/>
    <w:next w:val="1007"/>
    <w:link w:val="716"/>
    <w:uiPriority w:val="99"/>
    <w:qFormat/>
    <w:rPr>
      <w:color w:val="404040"/>
      <w:lang w:val="en-US" w:eastAsia="zh-CN" w:bidi="ar-SA"/>
    </w:rPr>
    <w:tblPr/>
  </w:style>
  <w:style w:type="table" w:styleId="1008">
    <w:name w:val="Lined - Accent 2"/>
    <w:next w:val="1008"/>
    <w:link w:val="716"/>
    <w:uiPriority w:val="99"/>
    <w:qFormat/>
    <w:rPr>
      <w:color w:val="404040"/>
      <w:lang w:val="en-US" w:eastAsia="zh-CN" w:bidi="ar-SA"/>
    </w:rPr>
    <w:tblPr/>
  </w:style>
  <w:style w:type="table" w:styleId="1009">
    <w:name w:val="Lined - Accent 3"/>
    <w:next w:val="1009"/>
    <w:link w:val="716"/>
    <w:uiPriority w:val="99"/>
    <w:qFormat/>
    <w:rPr>
      <w:color w:val="404040"/>
      <w:lang w:val="en-US" w:eastAsia="zh-CN" w:bidi="ar-SA"/>
    </w:rPr>
    <w:tblPr/>
  </w:style>
  <w:style w:type="table" w:styleId="1010">
    <w:name w:val="Lined - Accent 4"/>
    <w:next w:val="1010"/>
    <w:link w:val="716"/>
    <w:uiPriority w:val="99"/>
    <w:qFormat/>
    <w:rPr>
      <w:color w:val="404040"/>
      <w:lang w:val="en-US" w:eastAsia="zh-CN" w:bidi="ar-SA"/>
    </w:rPr>
    <w:tblPr/>
  </w:style>
  <w:style w:type="table" w:styleId="1011">
    <w:name w:val="Lined - Accent 5"/>
    <w:next w:val="1011"/>
    <w:link w:val="716"/>
    <w:uiPriority w:val="99"/>
    <w:qFormat/>
    <w:rPr>
      <w:color w:val="404040"/>
      <w:lang w:val="en-US" w:eastAsia="zh-CN" w:bidi="ar-SA"/>
    </w:rPr>
    <w:tblPr/>
  </w:style>
  <w:style w:type="table" w:styleId="1012">
    <w:name w:val="Lined - Accent 6"/>
    <w:next w:val="1012"/>
    <w:link w:val="716"/>
    <w:uiPriority w:val="99"/>
    <w:qFormat/>
    <w:rPr>
      <w:color w:val="404040"/>
      <w:lang w:val="en-US" w:eastAsia="zh-CN" w:bidi="ar-SA"/>
    </w:rPr>
    <w:tblPr/>
  </w:style>
  <w:style w:type="table" w:styleId="1013">
    <w:name w:val="Bordered &amp; Lined - Accent"/>
    <w:next w:val="1013"/>
    <w:link w:val="716"/>
    <w:uiPriority w:val="99"/>
    <w:qFormat/>
    <w:rPr>
      <w:color w:val="404040"/>
      <w:lang w:val="en-US" w:eastAsia="zh-CN" w:bidi="ar-SA"/>
    </w:rPr>
    <w:tblPr/>
  </w:style>
  <w:style w:type="table" w:styleId="1014">
    <w:name w:val="Bordered &amp; Lined - Accent 1"/>
    <w:next w:val="1014"/>
    <w:link w:val="716"/>
    <w:uiPriority w:val="99"/>
    <w:qFormat/>
    <w:rPr>
      <w:color w:val="404040"/>
      <w:lang w:val="en-US" w:eastAsia="zh-CN" w:bidi="ar-SA"/>
    </w:rPr>
    <w:tblPr/>
  </w:style>
  <w:style w:type="table" w:styleId="1015">
    <w:name w:val="Bordered &amp; Lined - Accent 2"/>
    <w:next w:val="1015"/>
    <w:link w:val="716"/>
    <w:uiPriority w:val="99"/>
    <w:qFormat/>
    <w:rPr>
      <w:color w:val="404040"/>
      <w:lang w:val="en-US" w:eastAsia="zh-CN" w:bidi="ar-SA"/>
    </w:rPr>
    <w:tblPr/>
  </w:style>
  <w:style w:type="table" w:styleId="1016">
    <w:name w:val="Bordered &amp; Lined - Accent 3"/>
    <w:next w:val="1016"/>
    <w:link w:val="716"/>
    <w:uiPriority w:val="99"/>
    <w:qFormat/>
    <w:rPr>
      <w:color w:val="404040"/>
      <w:lang w:val="en-US" w:eastAsia="zh-CN" w:bidi="ar-SA"/>
    </w:rPr>
    <w:tblPr/>
  </w:style>
  <w:style w:type="table" w:styleId="1017">
    <w:name w:val="Bordered &amp; Lined - Accent 4"/>
    <w:next w:val="1017"/>
    <w:link w:val="716"/>
    <w:uiPriority w:val="99"/>
    <w:qFormat/>
    <w:rPr>
      <w:color w:val="404040"/>
      <w:lang w:val="en-US" w:eastAsia="zh-CN" w:bidi="ar-SA"/>
    </w:rPr>
    <w:tblPr/>
  </w:style>
  <w:style w:type="table" w:styleId="1018">
    <w:name w:val="Bordered &amp; Lined - Accent 5"/>
    <w:next w:val="1018"/>
    <w:link w:val="716"/>
    <w:uiPriority w:val="99"/>
    <w:qFormat/>
    <w:rPr>
      <w:color w:val="404040"/>
      <w:lang w:val="en-US" w:eastAsia="zh-CN" w:bidi="ar-SA"/>
    </w:rPr>
    <w:tblPr/>
  </w:style>
  <w:style w:type="table" w:styleId="1019">
    <w:name w:val="Bordered &amp; Lined - Accent 6"/>
    <w:next w:val="1019"/>
    <w:link w:val="716"/>
    <w:uiPriority w:val="99"/>
    <w:qFormat/>
    <w:rPr>
      <w:color w:val="404040"/>
      <w:lang w:val="en-US" w:eastAsia="zh-CN" w:bidi="ar-SA"/>
    </w:rPr>
    <w:tblPr/>
  </w:style>
  <w:style w:type="table" w:styleId="1020">
    <w:name w:val="Bordered"/>
    <w:next w:val="1020"/>
    <w:link w:val="716"/>
    <w:uiPriority w:val="99"/>
    <w:qFormat/>
    <w:rPr>
      <w:lang w:val="en-US" w:eastAsia="zh-CN" w:bidi="ar-SA"/>
    </w:rPr>
    <w:tblPr/>
  </w:style>
  <w:style w:type="table" w:styleId="1021">
    <w:name w:val="Bordered - Accent 1"/>
    <w:next w:val="1021"/>
    <w:link w:val="716"/>
    <w:uiPriority w:val="99"/>
    <w:qFormat/>
    <w:rPr>
      <w:lang w:val="en-US" w:eastAsia="zh-CN" w:bidi="ar-SA"/>
    </w:rPr>
    <w:tblPr/>
  </w:style>
  <w:style w:type="table" w:styleId="1022">
    <w:name w:val="Bordered - Accent 2"/>
    <w:next w:val="1022"/>
    <w:link w:val="716"/>
    <w:uiPriority w:val="99"/>
    <w:qFormat/>
    <w:rPr>
      <w:lang w:val="en-US" w:eastAsia="zh-CN" w:bidi="ar-SA"/>
    </w:rPr>
    <w:tblPr/>
  </w:style>
  <w:style w:type="table" w:styleId="1023">
    <w:name w:val="Bordered - Accent 3"/>
    <w:next w:val="1023"/>
    <w:link w:val="716"/>
    <w:uiPriority w:val="99"/>
    <w:qFormat/>
    <w:rPr>
      <w:lang w:val="en-US" w:eastAsia="zh-CN" w:bidi="ar-SA"/>
    </w:rPr>
    <w:tblPr/>
  </w:style>
  <w:style w:type="table" w:styleId="1024">
    <w:name w:val="Bordered - Accent 4"/>
    <w:next w:val="1024"/>
    <w:link w:val="716"/>
    <w:uiPriority w:val="99"/>
    <w:qFormat/>
    <w:rPr>
      <w:lang w:val="en-US" w:eastAsia="zh-CN" w:bidi="ar-SA"/>
    </w:rPr>
    <w:tblPr/>
  </w:style>
  <w:style w:type="table" w:styleId="1025">
    <w:name w:val="Bordered - Accent 5"/>
    <w:next w:val="1025"/>
    <w:link w:val="716"/>
    <w:uiPriority w:val="99"/>
    <w:qFormat/>
    <w:rPr>
      <w:lang w:val="en-US" w:eastAsia="zh-CN" w:bidi="ar-SA"/>
    </w:rPr>
    <w:tblPr/>
  </w:style>
  <w:style w:type="table" w:styleId="1026">
    <w:name w:val="Bordered - Accent 6"/>
    <w:next w:val="1026"/>
    <w:link w:val="716"/>
    <w:uiPriority w:val="99"/>
    <w:qFormat/>
    <w:rPr>
      <w:lang w:val="en-US" w:eastAsia="zh-CN" w:bidi="ar-SA"/>
    </w:rPr>
    <w:tblPr/>
  </w:style>
  <w:style w:type="paragraph" w:styleId="1027">
    <w:name w:val="TOC 标题11"/>
    <w:next w:val="1027"/>
    <w:link w:val="716"/>
    <w:uiPriority w:val="39"/>
    <w:unhideWhenUsed/>
    <w:qFormat/>
    <w:rPr>
      <w:lang w:val="en-US" w:eastAsia="zh-CN" w:bidi="ar-SA"/>
    </w:rPr>
  </w:style>
  <w:style w:type="paragraph" w:styleId="1028">
    <w:name w:val="目录 71"/>
    <w:basedOn w:val="716"/>
    <w:next w:val="716"/>
    <w:link w:val="716"/>
    <w:qFormat/>
    <w:pPr>
      <w:ind w:left="2520" w:firstLine="480"/>
      <w:spacing w:line="440" w:lineRule="exact"/>
      <w:widowControl/>
    </w:pPr>
    <w:rPr>
      <w:rFonts w:ascii="楷体_GB2312" w:hAnsi="楷体_GB2312" w:eastAsia="楷体_GB2312" w:cs="楷体_GB2312"/>
      <w:color w:val="000000"/>
      <w:sz w:val="24"/>
    </w:rPr>
  </w:style>
  <w:style w:type="paragraph" w:styleId="1029">
    <w:name w:val="目录 51"/>
    <w:basedOn w:val="716"/>
    <w:next w:val="716"/>
    <w:link w:val="716"/>
    <w:qFormat/>
    <w:pPr>
      <w:ind w:left="1680" w:firstLine="480"/>
      <w:spacing w:line="440" w:lineRule="exact"/>
      <w:widowControl/>
    </w:pPr>
    <w:rPr>
      <w:rFonts w:ascii="楷体_GB2312" w:hAnsi="楷体_GB2312" w:eastAsia="楷体_GB2312" w:cs="楷体_GB2312"/>
      <w:color w:val="000000"/>
      <w:sz w:val="24"/>
    </w:rPr>
  </w:style>
  <w:style w:type="paragraph" w:styleId="1030">
    <w:name w:val="目录 31"/>
    <w:basedOn w:val="716"/>
    <w:next w:val="716"/>
    <w:link w:val="1031"/>
    <w:qFormat/>
    <w:pPr>
      <w:ind w:left="840" w:firstLine="480"/>
      <w:spacing w:line="440" w:lineRule="exact"/>
      <w:widowControl/>
    </w:pPr>
    <w:rPr>
      <w:rFonts w:ascii="楷体_GB2312" w:hAnsi="楷体_GB2312" w:eastAsia="楷体_GB2312" w:cs="楷体_GB2312"/>
      <w:color w:val="000000"/>
      <w:sz w:val="24"/>
      <w:lang w:eastAsia="en-US"/>
    </w:rPr>
  </w:style>
  <w:style w:type="character" w:styleId="1031">
    <w:name w:val="目录 3 Char"/>
    <w:next w:val="1031"/>
    <w:link w:val="1030"/>
    <w:qFormat/>
    <w:rPr>
      <w:rFonts w:ascii="楷体_GB2312" w:hAnsi="楷体_GB2312" w:eastAsia="楷体_GB2312" w:cs="楷体_GB2312"/>
      <w:color w:val="000000"/>
      <w:sz w:val="24"/>
      <w:szCs w:val="24"/>
      <w:lang w:eastAsia="en-US"/>
    </w:rPr>
  </w:style>
  <w:style w:type="paragraph" w:styleId="1032">
    <w:name w:val="目录 81"/>
    <w:basedOn w:val="716"/>
    <w:next w:val="716"/>
    <w:link w:val="716"/>
    <w:qFormat/>
    <w:pPr>
      <w:ind w:left="2940" w:firstLine="480"/>
      <w:spacing w:line="440" w:lineRule="exact"/>
      <w:widowControl/>
    </w:pPr>
    <w:rPr>
      <w:rFonts w:ascii="楷体_GB2312" w:hAnsi="楷体_GB2312" w:eastAsia="楷体_GB2312" w:cs="楷体_GB2312"/>
      <w:color w:val="000000"/>
      <w:sz w:val="24"/>
    </w:rPr>
  </w:style>
  <w:style w:type="paragraph" w:styleId="1033">
    <w:name w:val="目录 11"/>
    <w:basedOn w:val="716"/>
    <w:next w:val="716"/>
    <w:link w:val="716"/>
    <w:qFormat/>
    <w:pPr>
      <w:ind w:firstLine="480"/>
      <w:spacing w:line="440" w:lineRule="exact"/>
      <w:widowControl/>
    </w:pPr>
    <w:rPr>
      <w:rFonts w:ascii="楷体_GB2312" w:hAnsi="楷体_GB2312" w:eastAsia="楷体_GB2312" w:cs="楷体_GB2312"/>
      <w:color w:val="000000"/>
      <w:sz w:val="24"/>
    </w:rPr>
  </w:style>
  <w:style w:type="paragraph" w:styleId="1034">
    <w:name w:val="目录 41"/>
    <w:basedOn w:val="716"/>
    <w:next w:val="716"/>
    <w:link w:val="716"/>
    <w:qFormat/>
    <w:pPr>
      <w:ind w:left="1260" w:firstLine="480"/>
      <w:spacing w:line="440" w:lineRule="exact"/>
      <w:widowControl/>
    </w:pPr>
    <w:rPr>
      <w:rFonts w:ascii="楷体_GB2312" w:hAnsi="楷体_GB2312" w:eastAsia="楷体_GB2312" w:cs="楷体_GB2312"/>
      <w:color w:val="000000"/>
      <w:sz w:val="24"/>
    </w:rPr>
  </w:style>
  <w:style w:type="paragraph" w:styleId="1035">
    <w:name w:val="目录 61"/>
    <w:basedOn w:val="716"/>
    <w:next w:val="716"/>
    <w:link w:val="716"/>
    <w:qFormat/>
    <w:pPr>
      <w:ind w:left="2100" w:firstLine="480"/>
      <w:spacing w:line="440" w:lineRule="exact"/>
      <w:widowControl/>
    </w:pPr>
    <w:rPr>
      <w:rFonts w:ascii="楷体_GB2312" w:hAnsi="楷体_GB2312" w:eastAsia="楷体_GB2312" w:cs="楷体_GB2312"/>
      <w:color w:val="000000"/>
      <w:sz w:val="24"/>
    </w:rPr>
  </w:style>
  <w:style w:type="paragraph" w:styleId="1036">
    <w:name w:val="目录 21"/>
    <w:basedOn w:val="716"/>
    <w:next w:val="716"/>
    <w:link w:val="716"/>
    <w:qFormat/>
    <w:pPr>
      <w:ind w:left="420" w:firstLine="480"/>
      <w:spacing w:line="440" w:lineRule="exact"/>
      <w:widowControl/>
    </w:pPr>
    <w:rPr>
      <w:rFonts w:ascii="楷体_GB2312" w:hAnsi="楷体_GB2312" w:eastAsia="楷体_GB2312" w:cs="楷体_GB2312"/>
      <w:color w:val="000000"/>
      <w:sz w:val="24"/>
    </w:rPr>
  </w:style>
  <w:style w:type="paragraph" w:styleId="1037">
    <w:name w:val="目录 91"/>
    <w:basedOn w:val="716"/>
    <w:next w:val="716"/>
    <w:link w:val="716"/>
    <w:qFormat/>
    <w:pPr>
      <w:ind w:left="3360" w:firstLine="480"/>
      <w:spacing w:line="440" w:lineRule="exact"/>
      <w:widowControl/>
    </w:pPr>
    <w:rPr>
      <w:rFonts w:ascii="楷体_GB2312" w:hAnsi="楷体_GB2312" w:eastAsia="楷体_GB2312" w:cs="楷体_GB2312"/>
      <w:color w:val="000000"/>
      <w:sz w:val="24"/>
    </w:rPr>
  </w:style>
  <w:style w:type="paragraph" w:styleId="1038">
    <w:name w:val="正文首行缩进1"/>
    <w:basedOn w:val="750"/>
    <w:next w:val="1038"/>
    <w:link w:val="1039"/>
    <w:qFormat/>
    <w:pPr>
      <w:ind w:firstLine="420"/>
      <w:spacing w:after="120"/>
      <w:widowControl/>
      <w:framePr w:hSpace="180" w:wrap="around" w:vAnchor="text" w:hAnchor="page" w:xAlign="center" w:y="388"/>
    </w:pPr>
    <w:rPr>
      <w:rFonts w:ascii="Calibri" w:hAnsi="楷体_GB2312" w:eastAsia="楷体_GB2312" w:cs="楷体_GB2312"/>
      <w:color w:val="000000"/>
      <w:sz w:val="26"/>
      <w:szCs w:val="24"/>
      <w:lang w:eastAsia="en-US"/>
    </w:rPr>
  </w:style>
  <w:style w:type="character" w:styleId="1039">
    <w:name w:val="正文首行缩进 Char"/>
    <w:next w:val="1039"/>
    <w:link w:val="1038"/>
    <w:qFormat/>
    <w:rPr>
      <w:rFonts w:ascii="Calibri" w:hAnsi="楷体_GB2312" w:eastAsia="楷体_GB2312" w:cs="楷体_GB2312"/>
      <w:color w:val="000000"/>
      <w:sz w:val="26"/>
      <w:szCs w:val="24"/>
      <w:lang w:eastAsia="en-US"/>
    </w:rPr>
  </w:style>
  <w:style w:type="paragraph" w:styleId="1040">
    <w:name w:val="正文首行缩进 21"/>
    <w:basedOn w:val="752"/>
    <w:next w:val="1040"/>
    <w:link w:val="1041"/>
    <w:unhideWhenUsed/>
    <w:qFormat/>
    <w:pPr>
      <w:ind w:left="570" w:firstLine="420"/>
      <w:spacing w:line="520" w:lineRule="exact"/>
      <w:widowControl/>
    </w:pPr>
    <w:rPr>
      <w:rFonts w:ascii="楷体_GB2312" w:hAnsi="楷体_GB2312" w:eastAsia="楷体_GB2312" w:cs="楷体_GB2312"/>
      <w:color w:val="000000"/>
      <w:sz w:val="24"/>
      <w:szCs w:val="24"/>
      <w:lang w:eastAsia="en-US"/>
    </w:rPr>
  </w:style>
  <w:style w:type="character" w:styleId="1041">
    <w:name w:val="正文首行缩进 2 Char"/>
    <w:next w:val="1041"/>
    <w:link w:val="1040"/>
    <w:qFormat/>
    <w:rPr>
      <w:rFonts w:ascii="楷体_GB2312" w:hAnsi="楷体_GB2312" w:eastAsia="楷体_GB2312" w:cs="楷体_GB2312"/>
      <w:color w:val="000000"/>
      <w:sz w:val="24"/>
      <w:szCs w:val="24"/>
      <w:lang w:eastAsia="en-US"/>
    </w:rPr>
  </w:style>
  <w:style w:type="character" w:styleId="1042">
    <w:name w:val="已访问的超链接1"/>
    <w:next w:val="1042"/>
    <w:link w:val="716"/>
    <w:uiPriority w:val="99"/>
    <w:qFormat/>
    <w:rPr>
      <w:color w:val="333333"/>
      <w:u w:val="none"/>
    </w:rPr>
  </w:style>
  <w:style w:type="character" w:styleId="1043">
    <w:name w:val="Char Char4"/>
    <w:next w:val="1043"/>
    <w:link w:val="716"/>
    <w:qFormat/>
    <w:rPr>
      <w:rFonts w:ascii="方正仿宋简体" w:hAnsi="创艺简仿宋" w:eastAsia="方正仿宋简体"/>
      <w:sz w:val="24"/>
      <w:lang w:val="en-US" w:eastAsia="zh-CN" w:bidi="ar-SA"/>
    </w:rPr>
  </w:style>
  <w:style w:type="character" w:styleId="1044">
    <w:name w:val="state"/>
    <w:next w:val="1044"/>
    <w:link w:val="716"/>
    <w:qFormat/>
    <w:rPr>
      <w:b/>
      <w:color w:val="ffffff"/>
      <w:sz w:val="19"/>
      <w:szCs w:val="19"/>
    </w:rPr>
  </w:style>
  <w:style w:type="character" w:styleId="1045">
    <w:name w:val="bds_more6"/>
    <w:next w:val="1045"/>
    <w:link w:val="716"/>
    <w:qFormat/>
  </w:style>
  <w:style w:type="character" w:styleId="1046">
    <w:name w:val="hilite"/>
    <w:next w:val="1046"/>
    <w:link w:val="716"/>
    <w:qFormat/>
    <w:rPr>
      <w:color w:val="ffffff"/>
      <w:shd w:val="clear" w:color="auto" w:fill="776666"/>
    </w:rPr>
  </w:style>
  <w:style w:type="character" w:styleId="1047">
    <w:name w:val="bds_nopic"/>
    <w:next w:val="1047"/>
    <w:link w:val="716"/>
    <w:qFormat/>
  </w:style>
  <w:style w:type="character" w:styleId="1048">
    <w:name w:val="Char Char2"/>
    <w:next w:val="1048"/>
    <w:link w:val="716"/>
    <w:qFormat/>
    <w:rPr>
      <w:rFonts w:ascii="宋体" w:hAnsi="宋体" w:eastAsia="楷体_GB2312"/>
      <w:b/>
      <w:sz w:val="26"/>
      <w:lang w:val="en-US" w:eastAsia="zh-CN" w:bidi="ar-SA"/>
    </w:rPr>
  </w:style>
  <w:style w:type="character" w:styleId="1049">
    <w:name w:val="hover61"/>
    <w:next w:val="1049"/>
    <w:link w:val="716"/>
    <w:qFormat/>
    <w:rPr>
      <w:shd w:val="clear" w:color="auto" w:fill="ff0000"/>
    </w:rPr>
  </w:style>
  <w:style w:type="character" w:styleId="1050">
    <w:name w:val="font51"/>
    <w:next w:val="1050"/>
    <w:link w:val="716"/>
    <w:uiPriority w:val="99"/>
    <w:qFormat/>
    <w:rPr>
      <w:rFonts w:hint="eastAsia" w:ascii="宋体" w:hAnsi="宋体" w:eastAsia="宋体" w:cs="宋体"/>
      <w:color w:val="ff0000"/>
      <w:sz w:val="20"/>
      <w:szCs w:val="20"/>
      <w:u w:val="none"/>
    </w:rPr>
  </w:style>
  <w:style w:type="character" w:styleId="1051">
    <w:name w:val="grid"/>
    <w:next w:val="1051"/>
    <w:link w:val="716"/>
    <w:qFormat/>
  </w:style>
  <w:style w:type="character" w:styleId="1052">
    <w:name w:val="bds_more7"/>
    <w:next w:val="1052"/>
    <w:link w:val="716"/>
    <w:qFormat/>
  </w:style>
  <w:style w:type="character" w:styleId="1053">
    <w:name w:val="bds_more8"/>
    <w:next w:val="1053"/>
    <w:link w:val="716"/>
    <w:qFormat/>
    <w:rPr>
      <w:rFonts w:hint="eastAsia" w:ascii="宋体" w:hAnsi="宋体" w:eastAsia="宋体" w:cs="宋体"/>
    </w:rPr>
  </w:style>
  <w:style w:type="character" w:styleId="1054">
    <w:name w:val="bds_more4"/>
    <w:next w:val="1054"/>
    <w:link w:val="716"/>
    <w:qFormat/>
    <w:rPr>
      <w:rFonts w:hint="eastAsia" w:ascii="宋体" w:hAnsi="宋体" w:eastAsia="宋体" w:cs="宋体"/>
    </w:rPr>
  </w:style>
  <w:style w:type="character" w:styleId="1055">
    <w:name w:val="bds_nopic1"/>
    <w:next w:val="1055"/>
    <w:link w:val="716"/>
    <w:qFormat/>
  </w:style>
  <w:style w:type="character" w:styleId="1056">
    <w:name w:val="hilite6"/>
    <w:next w:val="1056"/>
    <w:link w:val="716"/>
    <w:qFormat/>
    <w:rPr>
      <w:color w:val="ffffff"/>
      <w:shd w:val="clear" w:color="auto" w:fill="776666"/>
    </w:rPr>
  </w:style>
  <w:style w:type="character" w:styleId="1057">
    <w:name w:val="正文缩进2格 Char Char"/>
    <w:next w:val="1057"/>
    <w:link w:val="716"/>
    <w:qFormat/>
    <w:rPr>
      <w:rFonts w:ascii="仿宋_GB2312" w:hAnsi="宋体" w:eastAsia="仿宋_GB2312"/>
      <w:sz w:val="31"/>
      <w:szCs w:val="28"/>
    </w:rPr>
  </w:style>
  <w:style w:type="character" w:styleId="1058">
    <w:name w:val="grid2"/>
    <w:next w:val="1058"/>
    <w:link w:val="716"/>
    <w:qFormat/>
  </w:style>
  <w:style w:type="character" w:styleId="1059">
    <w:name w:val="other"/>
    <w:next w:val="1059"/>
    <w:link w:val="716"/>
    <w:qFormat/>
  </w:style>
  <w:style w:type="character" w:styleId="1060">
    <w:name w:val="font01"/>
    <w:next w:val="1060"/>
    <w:link w:val="716"/>
    <w:qFormat/>
    <w:rPr>
      <w:rFonts w:hint="eastAsia" w:ascii="宋体" w:hAnsi="宋体" w:eastAsia="宋体" w:cs="宋体"/>
      <w:b/>
      <w:color w:val="000000"/>
      <w:sz w:val="20"/>
      <w:szCs w:val="20"/>
      <w:u w:val="none"/>
    </w:rPr>
  </w:style>
  <w:style w:type="character" w:styleId="1061">
    <w:name w:val="noused"/>
    <w:next w:val="1061"/>
    <w:link w:val="716"/>
    <w:qFormat/>
    <w:rPr>
      <w:b/>
      <w:color w:val="ffffff"/>
      <w:sz w:val="21"/>
      <w:szCs w:val="21"/>
    </w:rPr>
  </w:style>
  <w:style w:type="character" w:styleId="1062">
    <w:name w:val="active8"/>
    <w:next w:val="1062"/>
    <w:link w:val="716"/>
    <w:qFormat/>
    <w:rPr>
      <w:color w:val="00ff00"/>
      <w:shd w:val="clear" w:color="auto" w:fill="000000"/>
    </w:rPr>
  </w:style>
  <w:style w:type="character" w:styleId="1063">
    <w:name w:val="font61"/>
    <w:next w:val="1063"/>
    <w:link w:val="716"/>
    <w:qFormat/>
    <w:rPr>
      <w:rFonts w:hint="eastAsia" w:ascii="宋体" w:hAnsi="宋体" w:eastAsia="宋体" w:cs="宋体"/>
      <w:color w:val="000000"/>
      <w:sz w:val="20"/>
      <w:szCs w:val="20"/>
      <w:u w:val="none"/>
    </w:rPr>
  </w:style>
  <w:style w:type="character" w:styleId="1064">
    <w:name w:val="bds_more5"/>
    <w:next w:val="1064"/>
    <w:link w:val="716"/>
    <w:qFormat/>
  </w:style>
  <w:style w:type="character" w:styleId="1065">
    <w:name w:val="bds_nopic2"/>
    <w:next w:val="1065"/>
    <w:link w:val="716"/>
    <w:qFormat/>
  </w:style>
  <w:style w:type="character" w:styleId="1066">
    <w:name w:val="active"/>
    <w:next w:val="1066"/>
    <w:link w:val="716"/>
    <w:qFormat/>
    <w:rPr>
      <w:color w:val="00ff00"/>
      <w:shd w:val="clear" w:color="auto" w:fill="000000"/>
    </w:rPr>
  </w:style>
  <w:style w:type="character" w:styleId="1067">
    <w:name w:val="列出段落 Char"/>
    <w:next w:val="1067"/>
    <w:link w:val="1068"/>
    <w:qFormat/>
    <w:rPr>
      <w:sz w:val="21"/>
      <w:szCs w:val="24"/>
    </w:rPr>
  </w:style>
  <w:style w:type="paragraph" w:styleId="1068">
    <w:name w:val="列出段落1"/>
    <w:basedOn w:val="716"/>
    <w:next w:val="1068"/>
    <w:link w:val="1067"/>
    <w:qFormat/>
    <w:pPr>
      <w:ind w:firstLine="420"/>
      <w:spacing w:line="440" w:lineRule="exact"/>
      <w:widowControl/>
    </w:pPr>
  </w:style>
  <w:style w:type="character" w:styleId="1069">
    <w:name w:val="font41"/>
    <w:next w:val="1069"/>
    <w:link w:val="716"/>
    <w:qFormat/>
    <w:rPr>
      <w:rFonts w:hint="eastAsia" w:ascii="宋体" w:hAnsi="宋体" w:eastAsia="宋体" w:cs="宋体"/>
      <w:color w:val="000000"/>
      <w:sz w:val="20"/>
      <w:szCs w:val="20"/>
      <w:u w:val="none"/>
    </w:rPr>
  </w:style>
  <w:style w:type="character" w:styleId="1070">
    <w:name w:val="font11"/>
    <w:next w:val="1070"/>
    <w:link w:val="716"/>
    <w:qFormat/>
    <w:rPr>
      <w:rFonts w:ascii="宋体" w:hAnsi="宋体" w:eastAsia="宋体"/>
      <w:color w:val="000000"/>
      <w:sz w:val="28"/>
      <w:u w:val="none"/>
    </w:rPr>
  </w:style>
  <w:style w:type="character" w:styleId="1071">
    <w:name w:val="font81"/>
    <w:next w:val="1071"/>
    <w:link w:val="716"/>
    <w:qFormat/>
    <w:rPr>
      <w:rFonts w:ascii="宋体" w:hAnsi="宋体" w:eastAsia="宋体"/>
      <w:b/>
      <w:color w:val="000000"/>
      <w:sz w:val="18"/>
      <w:u w:val="none"/>
    </w:rPr>
  </w:style>
  <w:style w:type="character" w:styleId="1072">
    <w:name w:val="font71"/>
    <w:next w:val="1072"/>
    <w:link w:val="716"/>
    <w:qFormat/>
    <w:rPr>
      <w:rFonts w:hint="eastAsia" w:ascii="宋体" w:hAnsi="宋体" w:eastAsia="宋体" w:cs="宋体"/>
      <w:color w:val="000000"/>
      <w:sz w:val="20"/>
      <w:szCs w:val="20"/>
      <w:u w:val="none"/>
      <w:vertAlign w:val="superscript"/>
    </w:rPr>
  </w:style>
  <w:style w:type="character" w:styleId="1073">
    <w:name w:val="正文文本缩进 Char1"/>
    <w:next w:val="1073"/>
    <w:link w:val="716"/>
    <w:qFormat/>
    <w:rPr>
      <w:rFonts w:eastAsia="楷体_GB2312"/>
      <w:sz w:val="26"/>
    </w:rPr>
  </w:style>
  <w:style w:type="character" w:styleId="1074">
    <w:name w:val="font101"/>
    <w:next w:val="1074"/>
    <w:link w:val="716"/>
    <w:qFormat/>
    <w:rPr>
      <w:rFonts w:hint="eastAsia" w:ascii="微软雅黑" w:hAnsi="微软雅黑" w:eastAsia="微软雅黑" w:cs="微软雅黑"/>
      <w:color w:val="000000"/>
      <w:sz w:val="20"/>
      <w:szCs w:val="20"/>
      <w:u w:val="none"/>
      <w:vertAlign w:val="superscript"/>
    </w:rPr>
  </w:style>
  <w:style w:type="character" w:styleId="1075">
    <w:name w:val="日期 Char1"/>
    <w:next w:val="1075"/>
    <w:link w:val="716"/>
    <w:qFormat/>
    <w:rPr>
      <w:rFonts w:eastAsia="楷体_GB2312"/>
      <w:sz w:val="26"/>
      <w:szCs w:val="26"/>
    </w:rPr>
  </w:style>
  <w:style w:type="character" w:styleId="1076">
    <w:name w:val="Balloon Text Char"/>
    <w:next w:val="1076"/>
    <w:link w:val="716"/>
    <w:semiHidden/>
    <w:qFormat/>
    <w:rPr>
      <w:rFonts w:eastAsia="宋体"/>
      <w:sz w:val="18"/>
      <w:lang w:val="en-US" w:eastAsia="zh-CN"/>
    </w:rPr>
  </w:style>
  <w:style w:type="character" w:styleId="1077">
    <w:name w:val="font21"/>
    <w:next w:val="1077"/>
    <w:link w:val="716"/>
    <w:qFormat/>
    <w:rPr>
      <w:rFonts w:hint="eastAsia" w:ascii="宋体" w:hAnsi="宋体" w:eastAsia="宋体" w:cs="宋体"/>
      <w:b/>
      <w:color w:val="000000"/>
      <w:sz w:val="20"/>
      <w:szCs w:val="20"/>
      <w:u w:val="none"/>
    </w:rPr>
  </w:style>
  <w:style w:type="character" w:styleId="1078">
    <w:name w:val="font31"/>
    <w:next w:val="1078"/>
    <w:link w:val="716"/>
    <w:qFormat/>
    <w:rPr>
      <w:rFonts w:ascii="宋体" w:hAnsi="宋体" w:eastAsia="宋体"/>
      <w:color w:val="000000"/>
      <w:sz w:val="20"/>
      <w:u w:val="none"/>
    </w:rPr>
  </w:style>
  <w:style w:type="character" w:styleId="1079">
    <w:name w:val="Body Text Indent Char"/>
    <w:next w:val="1079"/>
    <w:link w:val="716"/>
    <w:qFormat/>
    <w:rPr>
      <w:rFonts w:ascii="方正仿宋简体" w:hAnsi="创艺简仿宋" w:eastAsia="方正仿宋简体"/>
      <w:sz w:val="24"/>
    </w:rPr>
  </w:style>
  <w:style w:type="character" w:styleId="1080">
    <w:name w:val="Header Char1"/>
    <w:next w:val="1080"/>
    <w:link w:val="716"/>
    <w:qFormat/>
    <w:rPr>
      <w:rFonts w:eastAsia="楷体_GB2312"/>
      <w:sz w:val="18"/>
    </w:rPr>
  </w:style>
  <w:style w:type="character" w:styleId="1081">
    <w:name w:val="Header Char"/>
    <w:next w:val="1081"/>
    <w:link w:val="716"/>
    <w:qFormat/>
    <w:rPr>
      <w:sz w:val="18"/>
    </w:rPr>
  </w:style>
  <w:style w:type="character" w:styleId="1082">
    <w:name w:val="正文文本缩进 Char2"/>
    <w:next w:val="1082"/>
    <w:link w:val="716"/>
    <w:qFormat/>
    <w:rPr>
      <w:rFonts w:eastAsia="楷体_GB2312"/>
      <w:sz w:val="26"/>
      <w:szCs w:val="26"/>
    </w:rPr>
  </w:style>
  <w:style w:type="character" w:styleId="1083">
    <w:name w:val="NormalCharacter1"/>
    <w:next w:val="1083"/>
    <w:link w:val="716"/>
    <w:qFormat/>
  </w:style>
  <w:style w:type="paragraph" w:styleId="1084">
    <w:name w:val="列出段落111"/>
    <w:basedOn w:val="716"/>
    <w:next w:val="1084"/>
    <w:link w:val="716"/>
    <w:qFormat/>
    <w:pPr>
      <w:ind w:firstLine="420"/>
      <w:spacing w:line="440" w:lineRule="exact"/>
      <w:widowControl/>
    </w:pPr>
    <w:rPr>
      <w:rFonts w:ascii="Calibri" w:hAnsi="Calibri" w:cs="黑体"/>
      <w:color w:val="000000"/>
      <w:sz w:val="24"/>
      <w:szCs w:val="22"/>
    </w:rPr>
  </w:style>
  <w:style w:type="paragraph" w:styleId="1085">
    <w:name w:val="p0"/>
    <w:basedOn w:val="716"/>
    <w:next w:val="1085"/>
    <w:link w:val="716"/>
    <w:qFormat/>
    <w:pPr>
      <w:ind w:firstLine="480"/>
      <w:spacing w:line="440" w:lineRule="exact"/>
      <w:widowControl/>
    </w:pPr>
    <w:rPr>
      <w:rFonts w:ascii="楷体_GB2312" w:hAnsi="楷体_GB2312" w:cs="楷体_GB2312"/>
      <w:color w:val="000000"/>
      <w:szCs w:val="21"/>
    </w:rPr>
  </w:style>
  <w:style w:type="paragraph" w:styleId="1086">
    <w:name w:val="纯文本1"/>
    <w:basedOn w:val="716"/>
    <w:next w:val="1086"/>
    <w:link w:val="716"/>
    <w:qFormat/>
    <w:pPr>
      <w:ind w:firstLine="480"/>
      <w:spacing w:line="440" w:lineRule="exact"/>
      <w:widowControl/>
    </w:pPr>
    <w:rPr>
      <w:rFonts w:ascii="宋体" w:hAnsi="Courier New" w:eastAsia="楷体_GB2312" w:cs="楷体_GB2312"/>
      <w:color w:val="000000"/>
      <w:sz w:val="28"/>
    </w:rPr>
  </w:style>
  <w:style w:type="paragraph" w:styleId="1087">
    <w:name w:val="Char Char1 Char Char Char Char"/>
    <w:basedOn w:val="743"/>
    <w:next w:val="1087"/>
    <w:link w:val="716"/>
    <w:qFormat/>
    <w:pPr>
      <w:ind w:firstLine="480"/>
      <w:spacing w:line="440" w:lineRule="exact"/>
      <w:widowControl/>
    </w:pPr>
    <w:rPr>
      <w:rFonts w:ascii="Tahoma" w:hAnsi="Tahoma" w:cs="楷体_GB2312"/>
      <w:color w:val="000000"/>
      <w:sz w:val="24"/>
      <w:lang w:eastAsia="en-US"/>
    </w:rPr>
  </w:style>
  <w:style w:type="paragraph" w:styleId="1088">
    <w:name w:val="Char Char1 Char Char Char Char Char Char Char"/>
    <w:basedOn w:val="716"/>
    <w:next w:val="1088"/>
    <w:link w:val="716"/>
    <w:qFormat/>
    <w:pPr>
      <w:ind w:firstLine="480"/>
      <w:spacing w:line="440" w:lineRule="exact"/>
      <w:widowControl/>
    </w:pPr>
    <w:rPr>
      <w:rFonts w:ascii="Tahoma" w:hAnsi="Tahoma" w:eastAsia="楷体_GB2312" w:cs="楷体_GB2312"/>
      <w:color w:val="000000"/>
      <w:sz w:val="24"/>
    </w:rPr>
  </w:style>
  <w:style w:type="paragraph" w:styleId="1089">
    <w:name w:val="Char1"/>
    <w:basedOn w:val="716"/>
    <w:next w:val="1089"/>
    <w:link w:val="716"/>
    <w:qFormat/>
    <w:pPr>
      <w:ind w:firstLine="480"/>
      <w:spacing w:line="440" w:lineRule="exact"/>
      <w:widowControl/>
    </w:pPr>
    <w:rPr>
      <w:rFonts w:ascii="Tahoma" w:hAnsi="Tahoma" w:cs="楷体_GB2312"/>
      <w:color w:val="000000"/>
      <w:sz w:val="24"/>
    </w:rPr>
  </w:style>
  <w:style w:type="paragraph" w:styleId="1090">
    <w:name w:val="图"/>
    <w:basedOn w:val="716"/>
    <w:next w:val="1090"/>
    <w:link w:val="716"/>
    <w:qFormat/>
    <w:pPr>
      <w:ind w:firstLine="480"/>
      <w:jc w:val="center"/>
      <w:keepNext/>
      <w:spacing w:before="60" w:after="60" w:line="300" w:lineRule="auto"/>
      <w:widowControl/>
    </w:pPr>
    <w:rPr>
      <w:rFonts w:ascii="楷体_GB2312" w:hAnsi="楷体_GB2312" w:cs="楷体_GB2312"/>
      <w:color w:val="000000"/>
      <w:spacing w:val="20"/>
      <w:sz w:val="24"/>
    </w:rPr>
  </w:style>
  <w:style w:type="paragraph" w:styleId="1091">
    <w:name w:val="纯文本2"/>
    <w:basedOn w:val="716"/>
    <w:next w:val="1091"/>
    <w:link w:val="716"/>
    <w:qFormat/>
    <w:pPr>
      <w:ind w:firstLine="480"/>
      <w:spacing w:line="440" w:lineRule="exact"/>
      <w:widowControl/>
    </w:pPr>
    <w:rPr>
      <w:rFonts w:ascii="宋体" w:hAnsi="Courier New" w:eastAsia="楷体_GB2312" w:cs="楷体_GB2312"/>
      <w:color w:val="000000"/>
      <w:sz w:val="24"/>
    </w:rPr>
  </w:style>
  <w:style w:type="paragraph" w:styleId="1092">
    <w:name w:val="Table Paragraph"/>
    <w:basedOn w:val="716"/>
    <w:next w:val="1092"/>
    <w:link w:val="716"/>
    <w:uiPriority w:val="1"/>
    <w:qFormat/>
    <w:pPr>
      <w:ind w:firstLine="480"/>
      <w:spacing w:line="440" w:lineRule="exact"/>
      <w:widowControl/>
    </w:pPr>
    <w:rPr>
      <w:rFonts w:ascii="仿宋" w:hAnsi="仿宋" w:eastAsia="仿宋" w:cs="仿宋"/>
      <w:color w:val="000000"/>
      <w:szCs w:val="22"/>
      <w:lang w:val="zh-CN" w:bidi="zh-CN"/>
    </w:rPr>
  </w:style>
  <w:style w:type="paragraph" w:styleId="1093">
    <w:name w:val="xl107"/>
    <w:basedOn w:val="716"/>
    <w:next w:val="1093"/>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94">
    <w:name w:val="font10"/>
    <w:basedOn w:val="716"/>
    <w:next w:val="1094"/>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95">
    <w:name w:val="xl108"/>
    <w:basedOn w:val="716"/>
    <w:next w:val="1095"/>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096">
    <w:name w:val="xl127"/>
    <w:basedOn w:val="716"/>
    <w:next w:val="1096"/>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97">
    <w:name w:val="xl124"/>
    <w:basedOn w:val="716"/>
    <w:next w:val="1097"/>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098">
    <w:name w:val="font7"/>
    <w:basedOn w:val="716"/>
    <w:next w:val="1098"/>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099">
    <w:name w:val="xl162"/>
    <w:basedOn w:val="716"/>
    <w:next w:val="1099"/>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100">
    <w:name w:val="xl123"/>
    <w:basedOn w:val="716"/>
    <w:next w:val="1100"/>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01">
    <w:name w:val="xl113"/>
    <w:basedOn w:val="716"/>
    <w:next w:val="1101"/>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02">
    <w:name w:val="font12"/>
    <w:basedOn w:val="716"/>
    <w:next w:val="1102"/>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03">
    <w:name w:val="xl145"/>
    <w:basedOn w:val="716"/>
    <w:next w:val="1103"/>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04">
    <w:name w:val="font22"/>
    <w:basedOn w:val="716"/>
    <w:next w:val="1104"/>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05">
    <w:name w:val="xl157"/>
    <w:basedOn w:val="716"/>
    <w:next w:val="1105"/>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106">
    <w:name w:val="xl156"/>
    <w:basedOn w:val="716"/>
    <w:next w:val="1106"/>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107">
    <w:name w:val="xl111"/>
    <w:basedOn w:val="716"/>
    <w:next w:val="1107"/>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08">
    <w:name w:val="xl143"/>
    <w:basedOn w:val="716"/>
    <w:next w:val="1108"/>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09">
    <w:name w:val="xl128"/>
    <w:basedOn w:val="716"/>
    <w:next w:val="1109"/>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0">
    <w:name w:val="xl138"/>
    <w:basedOn w:val="716"/>
    <w:next w:val="1110"/>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11">
    <w:name w:val="xl152"/>
    <w:basedOn w:val="716"/>
    <w:next w:val="1111"/>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2">
    <w:name w:val="xl117"/>
    <w:basedOn w:val="716"/>
    <w:next w:val="1112"/>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3">
    <w:name w:val="xl149"/>
    <w:basedOn w:val="716"/>
    <w:next w:val="1113"/>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4">
    <w:name w:val="xl154"/>
    <w:basedOn w:val="716"/>
    <w:next w:val="1114"/>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5">
    <w:name w:val="xl146"/>
    <w:basedOn w:val="716"/>
    <w:next w:val="1115"/>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6">
    <w:name w:val="xl122"/>
    <w:basedOn w:val="716"/>
    <w:next w:val="1116"/>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17">
    <w:name w:val="font8"/>
    <w:basedOn w:val="716"/>
    <w:next w:val="1117"/>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18">
    <w:name w:val="xl142"/>
    <w:basedOn w:val="716"/>
    <w:next w:val="1118"/>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19">
    <w:name w:val="xl125"/>
    <w:basedOn w:val="716"/>
    <w:next w:val="1119"/>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20">
    <w:name w:val="font6"/>
    <w:basedOn w:val="716"/>
    <w:next w:val="1120"/>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21">
    <w:name w:val="xl126"/>
    <w:basedOn w:val="716"/>
    <w:next w:val="1121"/>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22">
    <w:name w:val="xl105"/>
    <w:basedOn w:val="716"/>
    <w:next w:val="1122"/>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23">
    <w:name w:val="xl109"/>
    <w:basedOn w:val="716"/>
    <w:next w:val="1123"/>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24">
    <w:name w:val="xl136"/>
    <w:basedOn w:val="716"/>
    <w:next w:val="1124"/>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25">
    <w:name w:val="xl101"/>
    <w:basedOn w:val="716"/>
    <w:next w:val="1125"/>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126">
    <w:name w:val="列出段落11"/>
    <w:basedOn w:val="716"/>
    <w:next w:val="1126"/>
    <w:link w:val="716"/>
    <w:uiPriority w:val="34"/>
    <w:qFormat/>
    <w:pPr>
      <w:ind w:firstLine="420"/>
      <w:spacing w:line="440" w:lineRule="exact"/>
      <w:widowControl/>
    </w:pPr>
    <w:rPr>
      <w:rFonts w:ascii="Calibri" w:hAnsi="Calibri" w:cs="楷体_GB2312"/>
      <w:color w:val="000000"/>
      <w:sz w:val="24"/>
      <w:szCs w:val="26"/>
    </w:rPr>
  </w:style>
  <w:style w:type="paragraph" w:styleId="1127">
    <w:name w:val="font15"/>
    <w:basedOn w:val="716"/>
    <w:next w:val="1127"/>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28">
    <w:name w:val="xl161"/>
    <w:basedOn w:val="716"/>
    <w:next w:val="1128"/>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129">
    <w:name w:val="xl141"/>
    <w:basedOn w:val="716"/>
    <w:next w:val="1129"/>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30">
    <w:name w:val="xl118"/>
    <w:basedOn w:val="716"/>
    <w:next w:val="1130"/>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31">
    <w:name w:val="xl153"/>
    <w:basedOn w:val="716"/>
    <w:next w:val="1131"/>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32">
    <w:name w:val="xl133"/>
    <w:basedOn w:val="716"/>
    <w:next w:val="1132"/>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33">
    <w:name w:val="font17"/>
    <w:basedOn w:val="716"/>
    <w:next w:val="1133"/>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34">
    <w:name w:val="xl140"/>
    <w:basedOn w:val="716"/>
    <w:next w:val="1134"/>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35">
    <w:name w:val="xl159"/>
    <w:basedOn w:val="716"/>
    <w:next w:val="1135"/>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36">
    <w:name w:val="xl103"/>
    <w:basedOn w:val="716"/>
    <w:next w:val="1136"/>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37">
    <w:name w:val="xl120"/>
    <w:basedOn w:val="716"/>
    <w:next w:val="1137"/>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38">
    <w:name w:val="xl148"/>
    <w:basedOn w:val="716"/>
    <w:next w:val="1138"/>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39">
    <w:name w:val="xl150"/>
    <w:basedOn w:val="716"/>
    <w:next w:val="1139"/>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40">
    <w:name w:val="xl110"/>
    <w:basedOn w:val="716"/>
    <w:next w:val="1140"/>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41">
    <w:name w:val="正文1"/>
    <w:next w:val="1141"/>
    <w:link w:val="716"/>
    <w:qFormat/>
    <w:pPr>
      <w:ind w:firstLine="200"/>
      <w:jc w:val="both"/>
      <w:spacing w:line="240" w:lineRule="atLeast"/>
    </w:pPr>
    <w:rPr>
      <w:sz w:val="21"/>
      <w:szCs w:val="21"/>
      <w:lang w:val="en-US" w:eastAsia="zh-CN" w:bidi="ar-SA"/>
    </w:rPr>
  </w:style>
  <w:style w:type="paragraph" w:styleId="1142">
    <w:name w:val="xl132"/>
    <w:basedOn w:val="716"/>
    <w:next w:val="1142"/>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43">
    <w:name w:val="font16"/>
    <w:basedOn w:val="716"/>
    <w:next w:val="1143"/>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44">
    <w:name w:val="Normal_20"/>
    <w:next w:val="1144"/>
    <w:link w:val="716"/>
    <w:qFormat/>
    <w:pPr>
      <w:jc w:val="both"/>
      <w:spacing w:before="120" w:after="240"/>
    </w:pPr>
    <w:rPr>
      <w:rFonts w:eastAsia="Calibri"/>
      <w:sz w:val="22"/>
      <w:szCs w:val="22"/>
      <w:lang w:val="ru-RU" w:eastAsia="en-US" w:bidi="ar-SA"/>
    </w:rPr>
  </w:style>
  <w:style w:type="paragraph" w:styleId="1145">
    <w:name w:val="xl114"/>
    <w:basedOn w:val="716"/>
    <w:next w:val="1145"/>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46">
    <w:name w:val="xl131"/>
    <w:basedOn w:val="716"/>
    <w:next w:val="1146"/>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47">
    <w:name w:val="_Style 7"/>
    <w:basedOn w:val="716"/>
    <w:next w:val="1147"/>
    <w:link w:val="716"/>
    <w:qFormat/>
    <w:pPr>
      <w:ind w:firstLine="420"/>
      <w:spacing w:line="440" w:lineRule="exact"/>
      <w:widowControl/>
    </w:pPr>
    <w:rPr>
      <w:rFonts w:ascii="楷体_GB2312" w:hAnsi="楷体_GB2312" w:cs="楷体_GB2312"/>
      <w:color w:val="000000"/>
      <w:sz w:val="24"/>
      <w:szCs w:val="26"/>
    </w:rPr>
  </w:style>
  <w:style w:type="paragraph" w:styleId="1148">
    <w:name w:val="xl106"/>
    <w:basedOn w:val="716"/>
    <w:next w:val="1148"/>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49">
    <w:name w:val="xl137"/>
    <w:basedOn w:val="716"/>
    <w:next w:val="1149"/>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50">
    <w:name w:val="font14"/>
    <w:basedOn w:val="716"/>
    <w:next w:val="1150"/>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51">
    <w:name w:val="xl100"/>
    <w:basedOn w:val="716"/>
    <w:next w:val="1151"/>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152">
    <w:name w:val="xl99"/>
    <w:basedOn w:val="716"/>
    <w:next w:val="1152"/>
    <w:link w:val="716"/>
    <w:qFormat/>
    <w:pPr>
      <w:ind w:firstLine="480"/>
      <w:jc w:val="center"/>
      <w:spacing w:before="100" w:beforeAutospacing="1" w:after="100" w:afterAutospacing="1" w:line="440" w:lineRule="exact"/>
      <w:widowControl/>
    </w:pPr>
    <w:rPr>
      <w:rFonts w:ascii="Courier New" w:hAnsi="Courier New" w:cs="Courier New"/>
      <w:color w:val="000000"/>
      <w:sz w:val="20"/>
    </w:rPr>
  </w:style>
  <w:style w:type="paragraph" w:styleId="1153">
    <w:name w:val="xl151"/>
    <w:basedOn w:val="716"/>
    <w:next w:val="1153"/>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54">
    <w:name w:val="_Style 26"/>
    <w:next w:val="716"/>
    <w:link w:val="716"/>
    <w:uiPriority w:val="99"/>
    <w:qFormat/>
    <w:pPr>
      <w:jc w:val="both"/>
      <w:widowControl w:val="off"/>
    </w:pPr>
    <w:rPr>
      <w:rFonts w:eastAsia="楷体_GB2312"/>
      <w:sz w:val="26"/>
      <w:szCs w:val="26"/>
      <w:lang w:val="en-US" w:eastAsia="zh-CN" w:bidi="ar-SA"/>
    </w:rPr>
  </w:style>
  <w:style w:type="paragraph" w:styleId="1155">
    <w:name w:val="样式 标题 1 + 宋体 段前: 0 磅 段后: 0 磅 行距: 单倍行距"/>
    <w:basedOn w:val="717"/>
    <w:next w:val="716"/>
    <w:link w:val="716"/>
    <w:qFormat/>
    <w:pPr>
      <w:ind w:firstLine="480"/>
      <w:jc w:val="center"/>
      <w:spacing w:line="240" w:lineRule="auto"/>
      <w:widowControl/>
    </w:pPr>
    <w:rPr>
      <w:rFonts w:ascii="仿宋_GB2312" w:hAnsi="宋体" w:eastAsia="仿宋_GB2312" w:cs="宋体"/>
      <w:color w:val="000000"/>
      <w:lang w:eastAsia="en-US"/>
    </w:rPr>
  </w:style>
  <w:style w:type="paragraph" w:styleId="1156">
    <w:name w:val="font9"/>
    <w:basedOn w:val="716"/>
    <w:next w:val="1156"/>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57">
    <w:name w:val="font20"/>
    <w:basedOn w:val="716"/>
    <w:next w:val="1157"/>
    <w:link w:val="716"/>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158">
    <w:name w:val="font13"/>
    <w:basedOn w:val="716"/>
    <w:next w:val="1158"/>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59">
    <w:name w:val="xl102"/>
    <w:basedOn w:val="716"/>
    <w:next w:val="1159"/>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60">
    <w:name w:val="xl116"/>
    <w:basedOn w:val="716"/>
    <w:next w:val="1160"/>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61">
    <w:name w:val="xl134"/>
    <w:basedOn w:val="716"/>
    <w:next w:val="1161"/>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62">
    <w:name w:val="font18"/>
    <w:basedOn w:val="716"/>
    <w:next w:val="1162"/>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63">
    <w:name w:val="xl121"/>
    <w:basedOn w:val="716"/>
    <w:next w:val="1163"/>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64">
    <w:name w:val="xl158"/>
    <w:basedOn w:val="716"/>
    <w:next w:val="1164"/>
    <w:link w:val="716"/>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165">
    <w:name w:val="xl119"/>
    <w:basedOn w:val="716"/>
    <w:next w:val="1165"/>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66">
    <w:name w:val="xl135"/>
    <w:basedOn w:val="716"/>
    <w:next w:val="1166"/>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67">
    <w:name w:val="font5"/>
    <w:basedOn w:val="716"/>
    <w:next w:val="1167"/>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68">
    <w:name w:val="xl155"/>
    <w:basedOn w:val="716"/>
    <w:next w:val="1168"/>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69">
    <w:name w:val="font19"/>
    <w:basedOn w:val="716"/>
    <w:next w:val="1169"/>
    <w:link w:val="71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170">
    <w:name w:val="xl160"/>
    <w:basedOn w:val="716"/>
    <w:next w:val="1170"/>
    <w:link w:val="71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171">
    <w:name w:val="xl112"/>
    <w:basedOn w:val="716"/>
    <w:next w:val="1171"/>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72">
    <w:name w:val="xl104"/>
    <w:basedOn w:val="716"/>
    <w:next w:val="1172"/>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73">
    <w:name w:val="xl139"/>
    <w:basedOn w:val="716"/>
    <w:next w:val="1173"/>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74">
    <w:name w:val="xl130"/>
    <w:basedOn w:val="716"/>
    <w:next w:val="1174"/>
    <w:link w:val="71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75">
    <w:name w:val="xl129"/>
    <w:basedOn w:val="716"/>
    <w:next w:val="1175"/>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76">
    <w:name w:val="xl115"/>
    <w:basedOn w:val="716"/>
    <w:next w:val="1176"/>
    <w:link w:val="71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77">
    <w:name w:val="xl147"/>
    <w:basedOn w:val="716"/>
    <w:next w:val="1177"/>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78">
    <w:name w:val="xl144"/>
    <w:basedOn w:val="716"/>
    <w:next w:val="1178"/>
    <w:link w:val="71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179">
    <w:name w:val="_Style 225"/>
    <w:next w:val="1179"/>
    <w:link w:val="716"/>
    <w:qFormat/>
    <w:pPr>
      <w:ind w:firstLine="420"/>
      <w:jc w:val="both"/>
      <w:spacing w:after="120"/>
      <w:widowControl w:val="off"/>
    </w:pPr>
    <w:rPr>
      <w:rFonts w:eastAsia="楷体_GB2312"/>
      <w:sz w:val="26"/>
      <w:lang w:val="en-US" w:eastAsia="zh-CN" w:bidi="ar-SA"/>
    </w:rPr>
  </w:style>
  <w:style w:type="character" w:styleId="1180">
    <w:name w:val="正文文本 字符1"/>
    <w:next w:val="1180"/>
    <w:link w:val="716"/>
    <w:qFormat/>
    <w:rPr>
      <w:rFonts w:ascii="楷体_GB2312" w:eastAsia="楷体_GB2312"/>
      <w:sz w:val="28"/>
    </w:rPr>
  </w:style>
  <w:style w:type="table" w:styleId="1181">
    <w:name w:val="Table Normal"/>
    <w:next w:val="1181"/>
    <w:link w:val="716"/>
    <w:uiPriority w:val="2"/>
    <w:unhideWhenUsed/>
    <w:qFormat/>
    <w:pPr>
      <w:widowControl w:val="off"/>
    </w:pPr>
    <w:rPr>
      <w:sz w:val="22"/>
      <w:szCs w:val="22"/>
      <w:lang w:val="en-US" w:eastAsia="en-US" w:bidi="ar-SA"/>
    </w:rPr>
    <w:tblPr/>
  </w:style>
  <w:style w:type="table" w:styleId="1182">
    <w:name w:val="Table Normal1"/>
    <w:next w:val="1182"/>
    <w:link w:val="716"/>
    <w:uiPriority w:val="2"/>
    <w:unhideWhenUsed/>
    <w:qFormat/>
    <w:pPr>
      <w:widowControl w:val="off"/>
    </w:pPr>
    <w:rPr>
      <w:sz w:val="22"/>
      <w:szCs w:val="22"/>
      <w:lang w:val="en-US" w:eastAsia="en-US" w:bidi="ar-SA"/>
    </w:rPr>
    <w:tblPr/>
  </w:style>
  <w:style w:type="table" w:styleId="1183">
    <w:name w:val="Table Normal2"/>
    <w:next w:val="1183"/>
    <w:link w:val="716"/>
    <w:uiPriority w:val="2"/>
    <w:unhideWhenUsed/>
    <w:qFormat/>
    <w:pPr>
      <w:widowControl w:val="off"/>
    </w:pPr>
    <w:rPr>
      <w:sz w:val="22"/>
      <w:szCs w:val="22"/>
      <w:lang w:val="en-US" w:eastAsia="en-US" w:bidi="ar-SA"/>
    </w:rPr>
    <w:tblPr/>
  </w:style>
  <w:style w:type="table" w:styleId="1184">
    <w:name w:val="Table Normal3"/>
    <w:next w:val="1184"/>
    <w:link w:val="716"/>
    <w:uiPriority w:val="2"/>
    <w:unhideWhenUsed/>
    <w:qFormat/>
    <w:pPr>
      <w:widowControl w:val="off"/>
    </w:pPr>
    <w:rPr>
      <w:sz w:val="22"/>
      <w:szCs w:val="22"/>
      <w:lang w:val="en-US" w:eastAsia="en-US" w:bidi="ar-SA"/>
    </w:rPr>
    <w:tblPr/>
  </w:style>
  <w:style w:type="character" w:styleId="1185">
    <w:name w:val="UserStyle_2"/>
    <w:next w:val="1185"/>
    <w:link w:val="1186"/>
    <w:qFormat/>
    <w:rPr>
      <w:rFonts w:ascii="宋体" w:hAnsi="宋体"/>
      <w:color w:val="000000"/>
      <w:sz w:val="21"/>
    </w:rPr>
  </w:style>
  <w:style w:type="paragraph" w:styleId="1186">
    <w:name w:val="UserStyle_3"/>
    <w:basedOn w:val="716"/>
    <w:next w:val="1186"/>
    <w:link w:val="1185"/>
    <w:qFormat/>
    <w:pPr>
      <w:ind w:firstLine="420"/>
      <w:spacing w:before="40" w:after="160" w:line="288" w:lineRule="auto"/>
      <w:widowControl/>
    </w:pPr>
    <w:rPr>
      <w:rFonts w:ascii="宋体" w:hAnsi="宋体"/>
      <w:color w:val="000000"/>
      <w:szCs w:val="20"/>
    </w:rPr>
  </w:style>
  <w:style w:type="character" w:styleId="1187">
    <w:name w:val="未处理的提及1"/>
    <w:next w:val="1187"/>
    <w:link w:val="716"/>
    <w:uiPriority w:val="99"/>
    <w:unhideWhenUsed/>
    <w:qFormat/>
    <w:rPr>
      <w:color w:val="605e5c"/>
      <w:shd w:val="clear" w:color="auto" w:fill="e1dfdd"/>
    </w:rPr>
  </w:style>
  <w:style w:type="paragraph" w:styleId="1188">
    <w:name w:val="修订1"/>
    <w:next w:val="1188"/>
    <w:link w:val="716"/>
    <w:uiPriority w:val="99"/>
    <w:semiHidden/>
    <w:qFormat/>
    <w:rPr>
      <w:rFonts w:eastAsia="楷体_GB2312"/>
      <w:sz w:val="26"/>
      <w:lang w:val="en-US" w:eastAsia="zh-CN" w:bidi="ar-SA"/>
    </w:rPr>
  </w:style>
  <w:style w:type="paragraph" w:styleId="1189">
    <w:name w:val="正文 A"/>
    <w:next w:val="1189"/>
    <w:link w:val="716"/>
    <w:qFormat/>
    <w:pPr>
      <w:jc w:val="both"/>
      <w:widowControl w:val="off"/>
    </w:pPr>
    <w:rPr>
      <w:rFonts w:eastAsia="Arial Unicode MS" w:cs="Arial Unicode MS"/>
      <w:color w:val="000000"/>
      <w:sz w:val="21"/>
      <w:szCs w:val="21"/>
      <w:lang w:val="en-US" w:eastAsia="zh-CN" w:bidi="ar-SA"/>
    </w:rPr>
  </w:style>
  <w:style w:type="paragraph" w:styleId="1190">
    <w:name w:val="BodyTextIndent1"/>
    <w:basedOn w:val="716"/>
    <w:next w:val="1190"/>
    <w:link w:val="716"/>
    <w:qFormat/>
    <w:pPr>
      <w:ind w:left="420" w:firstLine="480"/>
      <w:spacing w:after="120" w:line="440" w:lineRule="exact"/>
      <w:widowControl/>
    </w:pPr>
    <w:rPr>
      <w:rFonts w:ascii="楷体_GB2312" w:hAnsi="楷体_GB2312" w:eastAsia="楷体_GB2312" w:cs="楷体_GB2312"/>
      <w:color w:val="000000"/>
      <w:sz w:val="24"/>
    </w:rPr>
  </w:style>
  <w:style w:type="character" w:styleId="1191">
    <w:name w:val="NormalCharacter1"/>
    <w:next w:val="1191"/>
    <w:link w:val="716"/>
    <w:qFormat/>
  </w:style>
  <w:style w:type="paragraph" w:styleId="1192">
    <w:name w:val="修订2"/>
    <w:next w:val="1192"/>
    <w:link w:val="716"/>
    <w:uiPriority w:val="99"/>
    <w:unhideWhenUsed/>
    <w:qFormat/>
    <w:rPr>
      <w:rFonts w:eastAsia="楷体_GB2312"/>
      <w:sz w:val="26"/>
      <w:lang w:val="en-US" w:eastAsia="zh-CN" w:bidi="ar-SA"/>
    </w:rPr>
  </w:style>
  <w:style w:type="paragraph" w:styleId="1193">
    <w:name w:val="样式 样式 首行缩进:  2 字符 + 宋体"/>
    <w:basedOn w:val="716"/>
    <w:next w:val="1193"/>
    <w:link w:val="716"/>
    <w:qFormat/>
    <w:pPr>
      <w:ind w:firstLine="200"/>
      <w:spacing w:line="440" w:lineRule="exact"/>
      <w:widowControl/>
    </w:pPr>
    <w:rPr>
      <w:rFonts w:ascii="宋体" w:hAnsi="宋体" w:eastAsia="楷体_GB2312" w:cs="宋体"/>
      <w:color w:val="000000"/>
      <w:sz w:val="28"/>
      <w:szCs w:val="20"/>
    </w:rPr>
  </w:style>
  <w:style w:type="paragraph" w:styleId="1194">
    <w:name w:val="标题 21"/>
    <w:basedOn w:val="716"/>
    <w:next w:val="716"/>
    <w:link w:val="716"/>
    <w:qFormat/>
    <w:pPr>
      <w:ind w:firstLine="480"/>
      <w:keepLines/>
      <w:keepNext/>
      <w:spacing w:before="260" w:after="260" w:line="416" w:lineRule="auto"/>
      <w:widowControl/>
      <w:outlineLvl w:val="1"/>
    </w:pPr>
    <w:rPr>
      <w:rFonts w:ascii="Arial" w:hAnsi="Arial" w:eastAsia="黑体" w:cs="楷体_GB2312"/>
      <w:b/>
      <w:bCs/>
      <w:color w:val="000000"/>
      <w:sz w:val="32"/>
      <w:szCs w:val="32"/>
    </w:rPr>
  </w:style>
  <w:style w:type="character" w:styleId="1195">
    <w:name w:val="font111"/>
    <w:next w:val="1195"/>
    <w:link w:val="716"/>
    <w:qFormat/>
    <w:rPr>
      <w:rFonts w:ascii="Times New Roman" w:hAnsi="Times New Roman" w:cs="Times New Roman"/>
      <w:color w:val="ff0000"/>
      <w:sz w:val="22"/>
      <w:szCs w:val="22"/>
      <w:u w:val="none"/>
    </w:rPr>
  </w:style>
  <w:style w:type="paragraph" w:styleId="1196">
    <w:name w:val="标题 61"/>
    <w:basedOn w:val="716"/>
    <w:next w:val="716"/>
    <w:link w:val="716"/>
    <w:qFormat/>
    <w:pPr>
      <w:jc w:val="center"/>
      <w:keepNext/>
      <w:outlineLvl w:val="5"/>
    </w:pPr>
    <w:rPr>
      <w:b/>
      <w:sz w:val="44"/>
      <w:szCs w:val="20"/>
    </w:rPr>
  </w:style>
  <w:style w:type="character" w:styleId="1197" w:default="1">
    <w:name w:val="Default Paragraph Font"/>
    <w:uiPriority w:val="1"/>
    <w:semiHidden/>
    <w:unhideWhenUsed/>
  </w:style>
  <w:style w:type="numbering" w:styleId="1198" w:default="1">
    <w:name w:val="No List"/>
    <w:uiPriority w:val="99"/>
    <w:semiHidden/>
    <w:unhideWhenUsed/>
  </w:style>
  <w:style w:type="table" w:styleId="1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w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经办一</cp:lastModifiedBy>
  <cp:revision>6</cp:revision>
  <dcterms:created xsi:type="dcterms:W3CDTF">2026-07-05T05:05:00Z</dcterms:created>
  <dcterms:modified xsi:type="dcterms:W3CDTF">2026-07-22T09:24:51Z</dcterms:modified>
</cp:coreProperties>
</file>