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r>
      <w:r/>
    </w:p>
    <w:p>
      <w:pPr>
        <w:jc w:val="center"/>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t xml:space="preserve">招　标　文　件</w:t>
      </w:r>
      <w:r/>
    </w:p>
    <w:p>
      <w:pPr>
        <w:jc w:val="center"/>
        <w:spacing w:before="120" w:after="120" w:line="360" w:lineRule="auto"/>
        <w:rPr>
          <w:rFonts w:hint="eastAsia" w:ascii="Arial" w:hAnsi="Arial" w:eastAsia="宋体" w:cs="Times New Roman"/>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项目名称</w:t>
      </w:r>
      <w:r>
        <w:rPr>
          <w:rFonts w:hint="eastAsia" w:ascii="Arial" w:hAnsi="Arial" w:eastAsia="宋体" w:cs="Times New Roman"/>
          <w:b/>
          <w:bCs/>
          <w:color w:val="000000" w:themeColor="text1"/>
          <w:sz w:val="32"/>
          <w:szCs w:val="24"/>
          <w:highlight w:val="none"/>
          <w14:textFill>
            <w14:solidFill>
              <w14:schemeClr w14:val="tx1"/>
            </w14:solidFill>
          </w14:textFill>
        </w:rPr>
        <w:t xml:space="preserve">：宿迁学院新校区学生公寓北、东组团室内配套家具采购</w:t>
      </w:r>
      <w:r>
        <w:rPr>
          <w:rFonts w:hint="eastAsia" w:ascii="Times New Roman" w:hAnsi="Times New Roman"/>
          <w:b/>
          <w:color w:val="000000" w:themeColor="text1"/>
          <w:sz w:val="30"/>
          <w:szCs w:val="30"/>
          <w:highlight w:val="none"/>
          <w:lang w:val="en-US" w:eastAsia="zh-CN"/>
          <w14:textFill>
            <w14:solidFill>
              <w14:schemeClr w14:val="tx1"/>
            </w14:solidFill>
          </w14:textFill>
        </w:rPr>
        <w:t xml:space="preserve">项目</w:t>
      </w:r>
      <w:r/>
    </w:p>
    <w:p>
      <w:pPr>
        <w:jc w:val="center"/>
        <w:spacing w:before="120" w:after="120" w:line="360" w:lineRule="auto"/>
        <w:rPr>
          <w:rFonts w:hint="eastAsia" w:ascii="Arial" w:hAnsi="Arial" w:eastAsia="宋体" w:cs="Times New Roman"/>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eastAsia" w:ascii="Arial" w:hAnsi="Arial" w:eastAsia="宋体" w:cs="Times New Roman"/>
          <w:b/>
          <w:bCs/>
          <w:color w:val="000000" w:themeColor="text1"/>
          <w:sz w:val="32"/>
          <w:szCs w:val="24"/>
          <w:highlight w:val="none"/>
          <w14:textFill>
            <w14:solidFill>
              <w14:schemeClr w14:val="tx1"/>
            </w14:solidFill>
          </w14:textFill>
        </w:rPr>
        <w:t xml:space="preserve">：JSZC-320000-SQJW-G2026-0013</w:t>
      </w:r>
      <w:r/>
    </w:p>
    <w:p>
      <w:pPr>
        <w:ind w:left="2800" w:hanging="2800"/>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color w:val="000000" w:themeColor="text1"/>
          <w:sz w:val="28"/>
          <w:szCs w:val="28"/>
          <w:highlight w:val="none"/>
          <w14:textFill>
            <w14:solidFill>
              <w14:schemeClr w14:val="tx1"/>
            </w14:solidFill>
          </w14:textFill>
        </w:rPr>
        <w:t xml:space="preserve">       </w:t>
      </w:r>
      <w:r>
        <w:rPr>
          <w:rFonts w:hint="eastAsia" w:ascii="Times New Roman" w:hAnsi="Times New Roman"/>
          <w:b/>
          <w:color w:val="000000" w:themeColor="text1"/>
          <w:sz w:val="28"/>
          <w:szCs w:val="28"/>
          <w:highlight w:val="none"/>
          <w14:textFill>
            <w14:solidFill>
              <w14:schemeClr w14:val="tx1"/>
            </w14:solidFill>
          </w14:textFill>
        </w:rPr>
        <w:t xml:space="preserve"> </w:t>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spacing w:before="120" w:after="120" w:line="360" w:lineRule="auto"/>
        <w:rPr>
          <w:rFonts w:hint="default" w:ascii="Arial" w:hAnsi="Arial" w:eastAsia="宋体"/>
          <w:b/>
          <w:bCs/>
          <w:color w:val="000000" w:themeColor="text1"/>
          <w:sz w:val="32"/>
          <w:szCs w:val="24"/>
          <w:highlight w:val="none"/>
          <w:lang w:val="en-US" w:eastAsia="zh-CN"/>
          <w14:textFill>
            <w14:solidFill>
              <w14:schemeClr w14:val="tx1"/>
            </w14:solidFill>
          </w14:textFill>
        </w:rPr>
      </w:pPr>
      <w:r>
        <w:rPr>
          <w:rFonts w:hint="eastAsia" w:ascii="Arial" w:hAnsi="Arial"/>
          <w:b/>
          <w:bCs/>
          <w:color w:val="000000" w:themeColor="text1"/>
          <w:sz w:val="32"/>
          <w:szCs w:val="24"/>
          <w:highlight w:val="none"/>
          <w:lang w:val="en-US" w:eastAsia="zh-CN"/>
          <w14:textFill>
            <w14:solidFill>
              <w14:schemeClr w14:val="tx1"/>
            </w14:solidFill>
          </w14:textFill>
        </w:rPr>
        <w:t xml:space="preserve">宿迁建威工程咨询有限公司</w:t>
      </w:r>
      <w:r/>
    </w:p>
    <w:p>
      <w:pPr>
        <w:jc w:val="center"/>
        <w:spacing w:before="120" w:after="120" w:line="360" w:lineRule="auto"/>
        <w:rPr>
          <w:rFonts w:hint="eastAsia" w:ascii="Arial" w:hAnsi="Arial"/>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lang w:val="en-US" w:eastAsia="zh-CN"/>
          <w14:textFill>
            <w14:solidFill>
              <w14:schemeClr w14:val="tx1"/>
            </w14:solidFill>
          </w14:textFill>
        </w:rPr>
        <w:t xml:space="preserve">2026</w:t>
      </w:r>
      <w:r>
        <w:rPr>
          <w:rFonts w:hint="eastAsia" w:ascii="Arial" w:hAnsi="Arial"/>
          <w:b/>
          <w:bCs/>
          <w:color w:val="000000" w:themeColor="text1"/>
          <w:sz w:val="32"/>
          <w:szCs w:val="24"/>
          <w:highlight w:val="none"/>
          <w14:textFill>
            <w14:solidFill>
              <w14:schemeClr w14:val="tx1"/>
            </w14:solidFill>
          </w14:textFill>
        </w:rPr>
        <w:t xml:space="preserve">年</w:t>
      </w:r>
      <w:r>
        <w:rPr>
          <w:rFonts w:hint="eastAsia" w:ascii="Arial" w:hAnsi="Arial"/>
          <w:b/>
          <w:bCs/>
          <w:color w:val="000000" w:themeColor="text1"/>
          <w:sz w:val="32"/>
          <w:szCs w:val="24"/>
          <w:highlight w:val="none"/>
          <w:lang w:val="en-US" w:eastAsia="zh-CN"/>
          <w14:textFill>
            <w14:solidFill>
              <w14:schemeClr w14:val="tx1"/>
            </w14:solidFill>
          </w14:textFill>
        </w:rPr>
        <w:t xml:space="preserve">6</w:t>
      </w:r>
      <w:r>
        <w:rPr>
          <w:rFonts w:hint="eastAsia" w:ascii="Arial" w:hAnsi="Arial"/>
          <w:b/>
          <w:bCs/>
          <w:color w:val="000000" w:themeColor="text1"/>
          <w:sz w:val="32"/>
          <w:szCs w:val="24"/>
          <w:highlight w:val="none"/>
          <w14:textFill>
            <w14:solidFill>
              <w14:schemeClr w14:val="tx1"/>
            </w14:solidFill>
          </w14:textFill>
        </w:rPr>
        <w:t xml:space="preserve">月</w:t>
      </w:r>
      <w:r/>
    </w:p>
    <w:p>
      <w:pPr>
        <w:jc w:val="left"/>
        <w:spacing w:before="120" w:after="120" w:line="360" w:lineRule="auto"/>
        <w:rPr>
          <w:rFonts w:hint="eastAsia" w:ascii="Arial" w:hAnsi="Arial"/>
          <w:color w:val="000000" w:themeColor="text1"/>
          <w:sz w:val="24"/>
          <w:szCs w:val="24"/>
          <w:highlight w:val="none"/>
          <w:u w:val="singl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                        </w:t>
      </w:r>
      <w:r/>
    </w:p>
    <w:p>
      <w:pPr>
        <w:jc w:val="center"/>
        <w:spacing w:before="120" w:after="120" w:line="360" w:lineRule="auto"/>
        <w:rPr>
          <w:rFonts w:hint="eastAsia" w:ascii="Arial" w:hAnsi="Arial"/>
          <w:color w:val="000000" w:themeColor="text1"/>
          <w:sz w:val="24"/>
          <w:szCs w:val="24"/>
          <w:highlight w:val="non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r>
      <w:r/>
    </w:p>
    <w:p>
      <w:pPr>
        <w:jc w:val="center"/>
        <w:spacing w:line="480" w:lineRule="auto"/>
        <w:rPr>
          <w:rFonts w:hint="eastAsia" w:ascii="黑体" w:hAnsi="Arial" w:eastAsia="黑体"/>
          <w:b/>
          <w:color w:val="000000" w:themeColor="text1"/>
          <w:sz w:val="44"/>
          <w:szCs w:val="21"/>
          <w:highlight w:val="none"/>
          <w14:textFill>
            <w14:solidFill>
              <w14:schemeClr w14:val="tx1"/>
            </w14:solidFill>
          </w14:textFill>
        </w:rPr>
        <w:outlineLvl w:val="0"/>
      </w:pPr>
      <w:r>
        <w:rPr>
          <w:rFonts w:ascii="Times New Roman" w:hAnsi="Times New Roman"/>
          <w:color w:val="000000" w:themeColor="text1"/>
          <w:szCs w:val="21"/>
          <w:highlight w:val="none"/>
          <w14:textFill>
            <w14:solidFill>
              <w14:schemeClr w14:val="tx1"/>
            </w14:solidFill>
          </w14:textFill>
        </w:rPr>
        <w:br w:type="page" w:clear="all"/>
      </w:r>
      <w:bookmarkStart w:id="0" w:name="_Toc120614210"/>
      <w:r/>
      <w:bookmarkStart w:id="1" w:name="_Toc479757206"/>
      <w:r/>
      <w:bookmarkStart w:id="2" w:name="_Toc523127445"/>
      <w:r/>
      <w:bookmarkStart w:id="3" w:name="_Toc16938516"/>
      <w:r/>
      <w:bookmarkStart w:id="4" w:name="_Toc20823272"/>
      <w:r/>
      <w:bookmarkStart w:id="5" w:name="_Toc513029200"/>
      <w:r>
        <w:rPr>
          <w:rFonts w:hint="eastAsia" w:ascii="黑体" w:hAnsi="Arial" w:eastAsia="黑体"/>
          <w:b/>
          <w:color w:val="000000" w:themeColor="text1"/>
          <w:sz w:val="44"/>
          <w:szCs w:val="21"/>
          <w:highlight w:val="none"/>
          <w14:textFill>
            <w14:solidFill>
              <w14:schemeClr w14:val="tx1"/>
            </w14:solidFill>
          </w14:textFill>
        </w:rPr>
        <w:t xml:space="preserve">总  目  录</w:t>
      </w:r>
      <w:r/>
    </w:p>
    <w:p>
      <w:pPr>
        <w:spacing w:line="480" w:lineRule="auto"/>
        <w:rPr>
          <w:rFonts w:hint="eastAsia" w:ascii="仿宋_GB2312" w:hAnsi="Arial" w:eastAsia="仿宋_GB2312"/>
          <w:b/>
          <w:color w:val="000000" w:themeColor="text1"/>
          <w:sz w:val="28"/>
          <w:szCs w:val="21"/>
          <w:highlight w:val="none"/>
          <w14:textFill>
            <w14:solidFill>
              <w14:schemeClr w14:val="tx1"/>
            </w14:solidFill>
          </w14:textFill>
        </w:rPr>
      </w:pPr>
      <w:r>
        <w:rPr>
          <w:rFonts w:hint="eastAsia" w:ascii="仿宋_GB2312" w:hAnsi="Arial" w:eastAsia="仿宋_GB2312"/>
          <w:b/>
          <w:color w:val="000000" w:themeColor="text1"/>
          <w:sz w:val="28"/>
          <w:szCs w:val="21"/>
          <w:highlight w:val="none"/>
          <w14:textFill>
            <w14:solidFill>
              <w14:schemeClr w14:val="tx1"/>
            </w14:solidFill>
          </w14:textFill>
        </w:rPr>
      </w:r>
      <w:r/>
    </w:p>
    <w:p>
      <w:pPr>
        <w:numPr>
          <w:ilvl w:val="0"/>
          <w:numId w:val="4"/>
        </w:numPr>
        <w:spacing w:line="480" w:lineRule="auto"/>
        <w:rPr>
          <w:rFonts w:hint="eastAsia" w:ascii="黑体" w:hAnsi="Showcard Gothic" w:eastAsia="黑体"/>
          <w:color w:val="000000" w:themeColor="text1"/>
          <w:sz w:val="32"/>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投标邀请</w:t>
      </w:r>
      <w:r>
        <w:rPr>
          <w:rFonts w:hint="eastAsia" w:ascii="黑体" w:hAnsi="Showcard Gothic" w:eastAsia="黑体"/>
          <w:color w:val="000000" w:themeColor="text1"/>
          <w:sz w:val="36"/>
          <w:szCs w:val="21"/>
          <w:highlight w:val="none"/>
          <w14:textFill>
            <w14:solidFill>
              <w14:schemeClr w14:val="tx1"/>
            </w14:solidFill>
          </w14:textFill>
        </w:rPr>
        <w:t xml:space="preserve">…………………………………</w:t>
      </w:r>
      <w:r>
        <w:rPr>
          <w:rFonts w:hint="eastAsia" w:ascii="黑体" w:hAnsi="Showcard Gothic" w:eastAsia="黑体"/>
          <w:color w:val="000000" w:themeColor="text1"/>
          <w:sz w:val="36"/>
          <w:szCs w:val="21"/>
          <w:highlight w:val="none"/>
          <w:lang w:val="en-US" w:eastAsia="zh-CN"/>
          <w14:textFill>
            <w14:solidFill>
              <w14:schemeClr w14:val="tx1"/>
            </w14:solidFill>
          </w14:textFill>
        </w:rPr>
        <w:t xml:space="preserve">3</w:t>
      </w:r>
      <w:r>
        <w:rPr>
          <w:rFonts w:hint="eastAsia" w:ascii="黑体" w:hAnsi="Showcard Gothic" w:eastAsia="黑体"/>
          <w:color w:val="000000" w:themeColor="text1"/>
          <w:sz w:val="36"/>
          <w:szCs w:val="21"/>
          <w:highlight w:val="none"/>
          <w14:textFill>
            <w14:solidFill>
              <w14:schemeClr w14:val="tx1"/>
            </w14:solidFill>
          </w14:textFill>
        </w:rPr>
        <w:t xml:space="preserve"> </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bCs/>
          <w:color w:val="000000" w:themeColor="text1"/>
          <w:sz w:val="36"/>
          <w:szCs w:val="36"/>
          <w:highlight w:val="none"/>
          <w14:textFill>
            <w14:solidFill>
              <w14:schemeClr w14:val="tx1"/>
            </w14:solidFill>
          </w14:textFill>
        </w:rPr>
        <w:t xml:space="preserve">投标人须知</w:t>
      </w:r>
      <w:r>
        <w:rPr>
          <w:rFonts w:hint="eastAsia" w:ascii="黑体" w:hAnsi="Showcard Gothic" w:eastAsia="黑体"/>
          <w:color w:val="000000" w:themeColor="text1"/>
          <w:sz w:val="36"/>
          <w:szCs w:val="36"/>
          <w:highlight w:val="none"/>
          <w14:textFill>
            <w14:solidFill>
              <w14:schemeClr w14:val="tx1"/>
            </w14:solidFill>
          </w14:textFill>
        </w:rPr>
        <w:t xml:space="preserve">…</w:t>
      </w:r>
      <w:r>
        <w:rPr>
          <w:rFonts w:hint="eastAsia" w:ascii="黑体" w:hAnsi="Showcard Gothic" w:eastAsia="黑体"/>
          <w:color w:val="000000" w:themeColor="text1"/>
          <w:sz w:val="36"/>
          <w:szCs w:val="21"/>
          <w:highlight w:val="none"/>
          <w14:textFill>
            <w14:solidFill>
              <w14:schemeClr w14:val="tx1"/>
            </w14:solidFill>
          </w14:textFill>
        </w:rPr>
        <w:t xml:space="preserve">……………………………</w:t>
      </w:r>
      <w:r>
        <w:rPr>
          <w:rFonts w:hint="eastAsia" w:ascii="黑体" w:hAnsi="Showcard Gothic" w:eastAsia="黑体"/>
          <w:color w:val="000000" w:themeColor="text1"/>
          <w:sz w:val="36"/>
          <w:szCs w:val="21"/>
          <w:highlight w:val="none"/>
          <w:lang w:val="en-US" w:eastAsia="zh-CN"/>
          <w14:textFill>
            <w14:solidFill>
              <w14:schemeClr w14:val="tx1"/>
            </w14:solidFill>
          </w14:textFill>
        </w:rPr>
        <w:t xml:space="preserve">7</w:t>
      </w:r>
      <w:r>
        <w:rPr>
          <w:rFonts w:hint="eastAsia" w:ascii="黑体" w:hAnsi="Showcard Gothic" w:eastAsia="黑体"/>
          <w:color w:val="000000" w:themeColor="text1"/>
          <w:sz w:val="36"/>
          <w:szCs w:val="21"/>
          <w:highlight w:val="none"/>
          <w14:textFill>
            <w14:solidFill>
              <w14:schemeClr w14:val="tx1"/>
            </w14:solidFill>
          </w14:textFill>
        </w:rPr>
        <w:t xml:space="preserve">  </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合同文本</w:t>
      </w:r>
      <w:r>
        <w:rPr>
          <w:rFonts w:hint="eastAsia" w:ascii="黑体" w:hAnsi="Showcard Gothic" w:eastAsia="黑体"/>
          <w:color w:val="000000" w:themeColor="text1"/>
          <w:sz w:val="36"/>
          <w:szCs w:val="21"/>
          <w:highlight w:val="none"/>
          <w14:textFill>
            <w14:solidFill>
              <w14:schemeClr w14:val="tx1"/>
            </w14:solidFill>
          </w14:textFill>
        </w:rPr>
        <w:t xml:space="preserve">…………………………………</w:t>
      </w:r>
      <w:r>
        <w:rPr>
          <w:rFonts w:hint="eastAsia" w:ascii="黑体" w:hAnsi="Showcard Gothic" w:eastAsia="黑体"/>
          <w:color w:val="000000" w:themeColor="text1"/>
          <w:sz w:val="36"/>
          <w:szCs w:val="21"/>
          <w:highlight w:val="none"/>
          <w:lang w:val="en-US" w:eastAsia="zh-CN"/>
          <w14:textFill>
            <w14:solidFill>
              <w14:schemeClr w14:val="tx1"/>
            </w14:solidFill>
          </w14:textFill>
        </w:rPr>
        <w:t xml:space="preserve">18</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采购需求</w:t>
      </w:r>
      <w:r>
        <w:rPr>
          <w:rFonts w:hint="eastAsia" w:ascii="黑体" w:hAnsi="Showcard Gothic" w:eastAsia="黑体"/>
          <w:color w:val="000000" w:themeColor="text1"/>
          <w:sz w:val="36"/>
          <w:szCs w:val="21"/>
          <w:highlight w:val="none"/>
          <w14:textFill>
            <w14:solidFill>
              <w14:schemeClr w14:val="tx1"/>
            </w14:solidFill>
          </w14:textFill>
        </w:rPr>
        <w:t xml:space="preserve">…………………………………</w:t>
      </w:r>
      <w:r>
        <w:rPr>
          <w:rFonts w:hint="eastAsia" w:ascii="黑体" w:hAnsi="Showcard Gothic" w:eastAsia="黑体"/>
          <w:color w:val="000000" w:themeColor="text1"/>
          <w:sz w:val="36"/>
          <w:szCs w:val="21"/>
          <w:highlight w:val="none"/>
          <w:lang w:val="en-US" w:eastAsia="zh-CN"/>
          <w14:textFill>
            <w14:solidFill>
              <w14:schemeClr w14:val="tx1"/>
            </w14:solidFill>
          </w14:textFill>
        </w:rPr>
        <w:t xml:space="preserve">34</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bCs/>
          <w:color w:val="000000" w:themeColor="text1"/>
          <w:sz w:val="36"/>
          <w:szCs w:val="36"/>
          <w:highlight w:val="none"/>
          <w14:textFill>
            <w14:solidFill>
              <w14:schemeClr w14:val="tx1"/>
            </w14:solidFill>
          </w14:textFill>
        </w:rPr>
        <w:t xml:space="preserve">评标方法与评标标准</w:t>
      </w:r>
      <w:r>
        <w:rPr>
          <w:rFonts w:hint="eastAsia" w:ascii="黑体" w:hAnsi="Showcard Gothic" w:eastAsia="黑体"/>
          <w:color w:val="000000" w:themeColor="text1"/>
          <w:sz w:val="36"/>
          <w:szCs w:val="21"/>
          <w:highlight w:val="none"/>
          <w14:textFill>
            <w14:solidFill>
              <w14:schemeClr w14:val="tx1"/>
            </w14:solidFill>
          </w14:textFill>
        </w:rPr>
        <w:t xml:space="preserve">……………………</w:t>
      </w:r>
      <w:r>
        <w:rPr>
          <w:rFonts w:hint="eastAsia" w:ascii="黑体" w:hAnsi="Showcard Gothic" w:eastAsia="黑体"/>
          <w:color w:val="000000" w:themeColor="text1"/>
          <w:sz w:val="36"/>
          <w:szCs w:val="21"/>
          <w:highlight w:val="none"/>
          <w:lang w:val="en-US" w:eastAsia="zh-CN"/>
          <w14:textFill>
            <w14:solidFill>
              <w14:schemeClr w14:val="tx1"/>
            </w14:solidFill>
          </w14:textFill>
        </w:rPr>
        <w:t xml:space="preserve">50</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投标文件格式</w:t>
      </w:r>
      <w:r>
        <w:rPr>
          <w:rFonts w:hint="eastAsia" w:ascii="黑体" w:hAnsi="Showcard Gothic" w:eastAsia="黑体"/>
          <w:color w:val="000000" w:themeColor="text1"/>
          <w:sz w:val="36"/>
          <w:szCs w:val="21"/>
          <w:highlight w:val="none"/>
          <w14:textFill>
            <w14:solidFill>
              <w14:schemeClr w14:val="tx1"/>
            </w14:solidFill>
          </w14:textFill>
        </w:rPr>
        <w:t xml:space="preserve">……………………………</w:t>
      </w:r>
      <w:r>
        <w:rPr>
          <w:rFonts w:hint="eastAsia" w:ascii="黑体" w:hAnsi="Showcard Gothic" w:eastAsia="黑体"/>
          <w:color w:val="000000" w:themeColor="text1"/>
          <w:sz w:val="36"/>
          <w:szCs w:val="21"/>
          <w:highlight w:val="none"/>
          <w:lang w:val="en-US" w:eastAsia="zh-CN"/>
          <w14:textFill>
            <w14:solidFill>
              <w14:schemeClr w14:val="tx1"/>
            </w14:solidFill>
          </w14:textFill>
        </w:rPr>
        <w:t xml:space="preserve">54</w:t>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jc w:val="center"/>
        <w:keepNext/>
        <w:rPr>
          <w:rFonts w:hint="eastAsia" w:ascii="黑体" w:hAnsi="Times New Roman" w:eastAsia="黑体"/>
          <w:bCs/>
          <w:color w:val="000000" w:themeColor="text1"/>
          <w:sz w:val="44"/>
          <w:szCs w:val="44"/>
          <w:highlight w:val="none"/>
          <w14:textFill>
            <w14:solidFill>
              <w14:schemeClr w14:val="tx1"/>
            </w14:solidFill>
          </w14:textFill>
        </w:rPr>
        <w:outlineLvl w:val="0"/>
      </w:pPr>
      <w:r>
        <w:rPr>
          <w:rFonts w:hint="eastAsia" w:ascii="黑体" w:hAnsi="Times New Roman" w:eastAsia="黑体"/>
          <w:color w:val="000000" w:themeColor="text1"/>
          <w:sz w:val="44"/>
          <w:szCs w:val="44"/>
          <w:highlight w:val="none"/>
          <w14:textFill>
            <w14:solidFill>
              <w14:schemeClr w14:val="tx1"/>
            </w14:solidFill>
          </w14:textFill>
        </w:rPr>
        <w:t xml:space="preserve">第一章  </w:t>
      </w:r>
      <w:bookmarkEnd w:id="0"/>
      <w:r>
        <w:rPr>
          <w:rFonts w:hint="eastAsia" w:ascii="黑体" w:hAnsi="Times New Roman" w:eastAsia="黑体"/>
          <w:color w:val="000000" w:themeColor="text1"/>
          <w:sz w:val="44"/>
          <w:szCs w:val="44"/>
          <w:highlight w:val="none"/>
          <w14:textFill>
            <w14:solidFill>
              <w14:schemeClr w14:val="tx1"/>
            </w14:solidFill>
          </w14:textFill>
        </w:rPr>
        <w:t xml:space="preserve">投标邀请</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val="en-US" w:eastAsia="zh-CN"/>
          <w14:textFill>
            <w14:solidFill>
              <w14:schemeClr w14:val="tx1"/>
            </w14:solidFill>
          </w14:textFill>
        </w:rPr>
        <w:t xml:space="preserve">宿迁学院</w:t>
      </w:r>
      <w:r>
        <w:rPr>
          <w:rFonts w:hint="eastAsia" w:ascii="宋体" w:hAnsi="宋体"/>
          <w:color w:val="000000" w:themeColor="text1"/>
          <w:sz w:val="24"/>
          <w:szCs w:val="24"/>
          <w:highlight w:val="none"/>
          <w14:textFill>
            <w14:solidFill>
              <w14:schemeClr w14:val="tx1"/>
            </w14:solidFill>
          </w14:textFill>
        </w:rPr>
        <w:t xml:space="preserve">的委托，宿迁建威工程咨询有限公司就宿迁学院新校区学生公寓北、东组团室内配套家具采购(JSZC-320000-SQJW-G2026-0013)项目进行公开招标采购，欢迎符合条件的供应商投标。</w:t>
      </w:r>
      <w:r/>
    </w:p>
    <w:p>
      <w:pPr>
        <w:spacing w:line="400" w:lineRule="exact"/>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400" w:lineRule="exact"/>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u w:val="single"/>
          <w14:textFill>
            <w14:solidFill>
              <w14:schemeClr w14:val="tx1"/>
            </w14:solidFill>
          </w14:textFill>
        </w:rPr>
        <w:t xml:space="preserve">宿迁学院新校区学生公寓北、东组团室内配套家具采购</w:t>
      </w:r>
      <w:r>
        <w:rPr>
          <w:rFonts w:hint="eastAsia" w:ascii="宋体" w:hAnsi="宋体"/>
          <w:color w:val="000000" w:themeColor="text1"/>
          <w:sz w:val="24"/>
          <w:szCs w:val="24"/>
          <w:highlight w:val="none"/>
          <w14:textFill>
            <w14:solidFill>
              <w14:schemeClr w14:val="tx1"/>
            </w14:solidFill>
          </w14:textFill>
        </w:rPr>
        <w:t xml:space="preserve">招标项目的潜在投标人可在</w:t>
      </w:r>
      <w:r>
        <w:rPr>
          <w:rFonts w:hint="eastAsia" w:ascii="宋体" w:hAnsi="宋体"/>
          <w:color w:val="000000" w:themeColor="text1"/>
          <w:sz w:val="24"/>
          <w:szCs w:val="24"/>
          <w:highlight w:val="none"/>
          <w:u w:val="single"/>
          <w14:textFill>
            <w14:solidFill>
              <w14:schemeClr w14:val="tx1"/>
            </w14:solidFill>
          </w14:textFill>
        </w:rPr>
        <w:t xml:space="preserve">“江苏政府采购网”自行免费下载</w:t>
      </w:r>
      <w:r>
        <w:rPr>
          <w:rFonts w:hint="eastAsia" w:ascii="宋体" w:hAnsi="宋体"/>
          <w:color w:val="000000" w:themeColor="text1"/>
          <w:sz w:val="24"/>
          <w:szCs w:val="24"/>
          <w:highlight w:val="none"/>
          <w14:textFill>
            <w14:solidFill>
              <w14:schemeClr w14:val="tx1"/>
            </w14:solidFill>
          </w14:textFill>
        </w:rPr>
        <w:t xml:space="preserve">招标文件，并于</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2026</w:t>
      </w:r>
      <w:r>
        <w:rPr>
          <w:rFonts w:hint="eastAsia" w:ascii="宋体" w:hAnsi="宋体"/>
          <w:bCs/>
          <w:color w:val="000000" w:themeColor="text1"/>
          <w:sz w:val="24"/>
          <w:szCs w:val="24"/>
          <w:highlight w:val="none"/>
          <w:u w:val="single"/>
          <w14:textFill>
            <w14:solidFill>
              <w14:schemeClr w14:val="tx1"/>
            </w14:solidFill>
          </w14:textFill>
        </w:rPr>
        <w:t xml:space="preserve">年</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07</w:t>
      </w:r>
      <w:r>
        <w:rPr>
          <w:rFonts w:hint="eastAsia" w:ascii="宋体" w:hAnsi="宋体"/>
          <w:bCs/>
          <w:color w:val="000000" w:themeColor="text1"/>
          <w:sz w:val="24"/>
          <w:szCs w:val="24"/>
          <w:highlight w:val="none"/>
          <w:u w:val="single"/>
          <w14:textFill>
            <w14:solidFill>
              <w14:schemeClr w14:val="tx1"/>
            </w14:solidFill>
          </w14:textFill>
        </w:rPr>
        <w:t xml:space="preserve">月</w:t>
      </w:r>
      <w:r>
        <w:rPr>
          <w:rFonts w:hint="eastAsia" w:ascii="宋体" w:hAnsi="宋体"/>
          <w:bCs/>
          <w:color w:val="ff0000"/>
          <w:sz w:val="24"/>
          <w:szCs w:val="24"/>
          <w:highlight w:val="none"/>
          <w:u w:val="single"/>
        </w:rPr>
        <w:t xml:space="preserve">17</w:t>
      </w:r>
      <w:r>
        <w:rPr>
          <w:rFonts w:hint="eastAsia" w:ascii="宋体" w:hAnsi="宋体"/>
          <w:bCs/>
          <w:color w:val="000000" w:themeColor="text1"/>
          <w:sz w:val="24"/>
          <w:szCs w:val="24"/>
          <w:highlight w:val="none"/>
          <w:u w:val="single"/>
          <w14:textFill>
            <w14:solidFill>
              <w14:schemeClr w14:val="tx1"/>
            </w14:solidFill>
          </w14:textFill>
        </w:rPr>
        <w:t xml:space="preserve">日</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bCs/>
          <w:color w:val="000000" w:themeColor="text1"/>
          <w:sz w:val="24"/>
          <w:szCs w:val="24"/>
          <w:highlight w:val="none"/>
          <w:u w:val="single"/>
          <w14:textFill>
            <w14:solidFill>
              <w14:schemeClr w14:val="tx1"/>
            </w14:solidFill>
          </w14:textFill>
        </w:rPr>
        <w:t xml:space="preserve">点</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bCs/>
          <w:color w:val="000000" w:themeColor="text1"/>
          <w:sz w:val="24"/>
          <w:szCs w:val="24"/>
          <w:highlight w:val="none"/>
          <w:u w:val="single"/>
          <w14:textFill>
            <w14:solidFill>
              <w14:schemeClr w14:val="tx1"/>
            </w14:solidFill>
          </w14:textFill>
        </w:rPr>
        <w:t xml:space="preserve">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ind w:firstLine="496"/>
        <w:keepLines/>
        <w:keepNext/>
        <w:spacing w:before="156" w:after="156" w:line="400" w:lineRule="exact"/>
        <w:rPr>
          <w:rFonts w:ascii="Times New Roman" w:hAnsi="Times New Roman"/>
          <w:b/>
          <w:bCs/>
          <w:color w:val="000000" w:themeColor="text1"/>
          <w:sz w:val="32"/>
          <w:szCs w:val="32"/>
          <w:highlight w:val="none"/>
          <w14:textFill>
            <w14:solidFill>
              <w14:schemeClr w14:val="tx1"/>
            </w14:solidFill>
          </w14:textFill>
        </w:rPr>
        <w:outlineLvl w:val="2"/>
      </w:pPr>
      <w:r/>
      <w:bookmarkStart w:id="6" w:name="_Toc35393621"/>
      <w:r/>
      <w:bookmarkStart w:id="7" w:name="_Toc35393790"/>
      <w:r/>
      <w:bookmarkStart w:id="8" w:name="_Toc28359079"/>
      <w:r/>
      <w:bookmarkStart w:id="9" w:name="_Toc28359002"/>
      <w:r/>
      <w:bookmarkStart w:id="10" w:name="_Toc38985263"/>
      <w:r/>
      <w:bookmarkStart w:id="11" w:name="_Hlk24379207"/>
      <w:r>
        <w:rPr>
          <w:rFonts w:hint="eastAsia" w:ascii="Times New Roman" w:hAnsi="Times New Roman"/>
          <w:b/>
          <w:bCs/>
          <w:color w:val="000000" w:themeColor="text1"/>
          <w:sz w:val="32"/>
          <w:szCs w:val="32"/>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1.项目编号：JSZC-320000-SQJW-G2026-0013</w:t>
      </w:r>
      <w:r/>
    </w:p>
    <w:p>
      <w:pPr>
        <w:ind w:firstLine="480"/>
        <w:spacing w:line="40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2.项目名称：宿迁学院新校区学生公寓北、东组团室内配套家具采购</w:t>
      </w:r>
      <w:r>
        <w:rPr>
          <w:rFonts w:hint="eastAsia" w:ascii="宋体" w:hAnsi="宋体"/>
          <w:color w:val="000000" w:themeColor="text1"/>
          <w:sz w:val="24"/>
          <w:szCs w:val="24"/>
          <w:highlight w:val="none"/>
          <w:lang w:val="en-US" w:eastAsia="zh-CN"/>
          <w14:textFill>
            <w14:solidFill>
              <w14:schemeClr w14:val="tx1"/>
            </w14:solidFill>
          </w14:textFill>
        </w:rPr>
        <w:t xml:space="preserve">项目</w:t>
      </w:r>
      <w:bookmarkEnd w:id="11"/>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3.预算金额</w:t>
      </w:r>
      <w:r/>
    </w:p>
    <w:tbl>
      <w:tblPr>
        <w:tblStyle w:val="705"/>
        <w:tblW w:w="5671"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4523"/>
      </w:tblGrid>
      <w:tr>
        <w:trPr/>
        <w:tc>
          <w:tcPr>
            <w:tcW w:w="1148" w:type="dxa"/>
            <w:vAlign w:val="center"/>
            <w:textDirection w:val="lrTb"/>
            <w:noWrap w:val="false"/>
          </w:tcPr>
          <w:p>
            <w:pPr>
              <w:jc w:val="center"/>
              <w:spacing w:line="0" w:lineRule="atLeas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采购</w:t>
            </w:r>
            <w:r/>
          </w:p>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包号</w:t>
            </w:r>
            <w:r/>
          </w:p>
        </w:tc>
        <w:tc>
          <w:tcPr>
            <w:tcW w:w="4523"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预算</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金额</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（人民币</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：万元</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r>
      <w:tr>
        <w:trPr>
          <w:trHeight w:val="320"/>
        </w:trPr>
        <w:tc>
          <w:tcPr>
            <w:tcW w:w="1148" w:type="dxa"/>
            <w:vAlign w:val="center"/>
            <w:textDirection w:val="lrTb"/>
            <w:noWrap w:val="false"/>
          </w:tcPr>
          <w:p>
            <w:pPr>
              <w:jc w:val="center"/>
              <w:spacing w:line="0" w:lineRule="atLeast"/>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1</w:t>
            </w:r>
            <w:r/>
          </w:p>
        </w:tc>
        <w:tc>
          <w:tcPr>
            <w:tcW w:w="4523" w:type="dxa"/>
            <w:vAlign w:val="center"/>
            <w:textDirection w:val="lrTb"/>
            <w:noWrap w:val="false"/>
          </w:tcPr>
          <w:p>
            <w:pPr>
              <w:jc w:val="center"/>
              <w:keepLines w:val="0"/>
              <w:keepNext w:val="0"/>
              <w:widowControl/>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2160.2</w:t>
            </w:r>
            <w:r/>
          </w:p>
        </w:tc>
      </w:tr>
      <w:tr>
        <w:trPr>
          <w:trHeight w:val="320"/>
        </w:trPr>
        <w:tc>
          <w:tcPr>
            <w:tcW w:w="1148" w:type="dxa"/>
            <w:vAlign w:val="center"/>
            <w:textDirection w:val="lrTb"/>
            <w:noWrap w:val="false"/>
          </w:tcPr>
          <w:p>
            <w:pPr>
              <w:jc w:val="center"/>
              <w:spacing w:line="0" w:lineRule="atLeast"/>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p>
        </w:tc>
        <w:tc>
          <w:tcPr>
            <w:tcW w:w="4523" w:type="dxa"/>
            <w:vAlign w:val="center"/>
            <w:textDirection w:val="lrTb"/>
            <w:noWrap w:val="false"/>
          </w:tcPr>
          <w:p>
            <w:pPr>
              <w:jc w:val="center"/>
              <w:keepLines w:val="0"/>
              <w:keepNext w:val="0"/>
              <w:widowControl/>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1012</w:t>
            </w:r>
            <w:r/>
          </w:p>
        </w:tc>
      </w:tr>
      <w:tr>
        <w:trPr>
          <w:trHeight w:val="320"/>
        </w:trPr>
        <w:tc>
          <w:tcPr>
            <w:tcW w:w="1148" w:type="dxa"/>
            <w:vAlign w:val="center"/>
            <w:textDirection w:val="lrTb"/>
            <w:noWrap w:val="false"/>
          </w:tcPr>
          <w:p>
            <w:pPr>
              <w:jc w:val="center"/>
              <w:spacing w:line="0" w:lineRule="atLeast"/>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3</w:t>
            </w:r>
            <w:r/>
          </w:p>
        </w:tc>
        <w:tc>
          <w:tcPr>
            <w:tcW w:w="4523" w:type="dxa"/>
            <w:vAlign w:val="center"/>
            <w:textDirection w:val="lrTb"/>
            <w:noWrap w:val="false"/>
          </w:tcPr>
          <w:p>
            <w:pPr>
              <w:jc w:val="center"/>
              <w:keepLines w:val="0"/>
              <w:keepNext w:val="0"/>
              <w:widowControl/>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526</w:t>
            </w:r>
            <w:r/>
          </w:p>
        </w:tc>
      </w:tr>
    </w:tbl>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4.最高</w:t>
      </w:r>
      <w:r>
        <w:rPr>
          <w:rFonts w:ascii="宋体" w:hAnsi="宋体"/>
          <w:color w:val="000000" w:themeColor="text1"/>
          <w:sz w:val="24"/>
          <w:szCs w:val="24"/>
          <w:highlight w:val="none"/>
          <w14:textFill>
            <w14:solidFill>
              <w14:schemeClr w14:val="tx1"/>
            </w14:solidFill>
          </w14:textFill>
        </w:rPr>
        <w:t xml:space="preserve">限价</w:t>
      </w:r>
      <w:r/>
    </w:p>
    <w:tbl>
      <w:tblPr>
        <w:tblStyle w:val="705"/>
        <w:tblW w:w="7083"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0" w:lineRule="atLeas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采购</w:t>
            </w:r>
            <w:r/>
          </w:p>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包号</w:t>
            </w:r>
            <w:r/>
          </w:p>
        </w:tc>
        <w:tc>
          <w:tcPr>
            <w:tcW w:w="2800" w:type="dxa"/>
            <w:vAlign w:val="top"/>
            <w:textDirection w:val="lrTb"/>
            <w:noWrap w:val="false"/>
          </w:tcPr>
          <w:p>
            <w:pPr>
              <w:jc w:val="center"/>
              <w:spacing w:line="0" w:lineRule="atLeas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是否</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设定最高</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限价</w:t>
            </w:r>
            <w:r/>
          </w:p>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是/否</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c>
          <w:tcPr>
            <w:tcW w:w="3135" w:type="dxa"/>
            <w:vAlign w:val="top"/>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最高</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限价</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（人民币</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：万元</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r>
      <w:tr>
        <w:trPr/>
        <w:tc>
          <w:tcPr>
            <w:tcW w:w="1148" w:type="dxa"/>
            <w:vAlign w:val="top"/>
            <w:textDirection w:val="lrTb"/>
            <w:noWrap w:val="false"/>
          </w:tcPr>
          <w:p>
            <w:pPr>
              <w:jc w:val="center"/>
              <w:spacing w:line="0" w:lineRule="atLeas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p>
        </w:tc>
        <w:tc>
          <w:tcPr>
            <w:tcW w:w="2800" w:type="dxa"/>
            <w:vAlign w:val="top"/>
            <w:textDirection w:val="lrTb"/>
            <w:noWrap w:val="false"/>
          </w:tcPr>
          <w:p>
            <w:pPr>
              <w:jc w:val="center"/>
              <w:spacing w:line="0" w:lineRule="atLeas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是</w:t>
            </w:r>
            <w:r/>
          </w:p>
        </w:tc>
        <w:tc>
          <w:tcPr>
            <w:tcW w:w="3135" w:type="dxa"/>
            <w:vAlign w:val="center"/>
            <w:textDirection w:val="lrTb"/>
            <w:noWrap w:val="false"/>
          </w:tcPr>
          <w:p>
            <w:pPr>
              <w:jc w:val="center"/>
              <w:spacing w:line="0" w:lineRule="atLeas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2024.22</w:t>
            </w:r>
            <w:r/>
          </w:p>
        </w:tc>
      </w:tr>
      <w:tr>
        <w:trPr/>
        <w:tc>
          <w:tcPr>
            <w:tcW w:w="1148" w:type="dxa"/>
            <w:vAlign w:val="top"/>
            <w:textDirection w:val="lrTb"/>
            <w:noWrap w:val="false"/>
          </w:tcPr>
          <w:p>
            <w:pPr>
              <w:jc w:val="center"/>
              <w:spacing w:line="0" w:lineRule="atLeast"/>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bookmarkStart w:id="12" w:name="_Toc28359003"/>
            <w:r/>
            <w:bookmarkStart w:id="13" w:name="_Toc35393791"/>
            <w:r/>
            <w:bookmarkStart w:id="14" w:name="_Toc38985264"/>
            <w:r/>
            <w:bookmarkStart w:id="15" w:name="_Toc28359080"/>
            <w:r/>
            <w:bookmarkStart w:id="16" w:name="_Toc35393622"/>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p>
        </w:tc>
        <w:tc>
          <w:tcPr>
            <w:tcW w:w="2800" w:type="dxa"/>
            <w:vAlign w:val="top"/>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是</w:t>
            </w:r>
            <w:r/>
          </w:p>
        </w:tc>
        <w:tc>
          <w:tcPr>
            <w:tcW w:w="3135" w:type="dxa"/>
            <w:vAlign w:val="center"/>
            <w:textDirection w:val="lrTb"/>
            <w:noWrap w:val="false"/>
          </w:tcPr>
          <w:p>
            <w:pPr>
              <w:jc w:val="center"/>
              <w:spacing w:line="0" w:lineRule="atLeast"/>
              <w:widowControl w:val="off"/>
              <w:rPr>
                <w:rFonts w:hint="eastAsia" w:ascii="Times New Roman" w:hAnsi="Times New Roman" w:eastAsia="宋体" w:cs="仿宋"/>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912.12</w:t>
            </w:r>
            <w:r/>
          </w:p>
        </w:tc>
      </w:tr>
      <w:tr>
        <w:trPr/>
        <w:tc>
          <w:tcPr>
            <w:tcW w:w="1148" w:type="dxa"/>
            <w:vAlign w:val="top"/>
            <w:textDirection w:val="lrTb"/>
            <w:noWrap w:val="false"/>
          </w:tcPr>
          <w:p>
            <w:pPr>
              <w:jc w:val="center"/>
              <w:spacing w:line="0" w:lineRule="atLeast"/>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3</w:t>
            </w:r>
            <w:r/>
          </w:p>
        </w:tc>
        <w:tc>
          <w:tcPr>
            <w:tcW w:w="2800" w:type="dxa"/>
            <w:vAlign w:val="top"/>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是</w:t>
            </w:r>
            <w:r/>
          </w:p>
        </w:tc>
        <w:tc>
          <w:tcPr>
            <w:tcW w:w="3135" w:type="dxa"/>
            <w:vAlign w:val="center"/>
            <w:textDirection w:val="lrTb"/>
            <w:noWrap w:val="false"/>
          </w:tcPr>
          <w:p>
            <w:pPr>
              <w:jc w:val="center"/>
              <w:spacing w:line="0" w:lineRule="atLeast"/>
              <w:widowControl w:val="off"/>
              <w:rPr>
                <w:rFonts w:hint="eastAsia" w:ascii="Times New Roman" w:hAnsi="Times New Roman" w:eastAsia="宋体" w:cs="仿宋"/>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426</w:t>
            </w:r>
            <w:r/>
          </w:p>
        </w:tc>
      </w:tr>
    </w:tbl>
    <w:p>
      <w:pPr>
        <w:numPr>
          <w:ilvl w:val="0"/>
          <w:numId w:val="5"/>
        </w:numPr>
        <w:ind w:firstLine="480"/>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采购需求(简介)：宿迁学院</w:t>
      </w:r>
      <w:r>
        <w:rPr>
          <w:rFonts w:hint="eastAsia" w:ascii="宋体" w:hAnsi="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color w:val="000000" w:themeColor="text1"/>
          <w:sz w:val="24"/>
          <w:szCs w:val="24"/>
          <w:highlight w:val="none"/>
          <w14:textFill>
            <w14:solidFill>
              <w14:schemeClr w14:val="tx1"/>
            </w14:solidFill>
          </w14:textFill>
        </w:rPr>
        <w:t xml:space="preserve">新校区学生公寓北、东组团室内配套家具</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Times New Roman" w:hAnsi="Times New Roman" w:cs="方正仿宋_GBK"/>
          <w:color w:val="000000" w:themeColor="text1"/>
          <w:sz w:val="24"/>
          <w:szCs w:val="24"/>
          <w:highlight w:val="none"/>
          <w:u w:val="none"/>
          <w14:textFill>
            <w14:solidFill>
              <w14:schemeClr w14:val="tx1"/>
            </w14:solidFill>
          </w14:textFill>
        </w:rPr>
        <w:t xml:space="preserve">包括家具制作、运输、装卸、安装、调试及售后三包服务等</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（详细内容见本招标文件第四章）</w:t>
      </w:r>
      <w:r/>
    </w:p>
    <w:tbl>
      <w:tblPr>
        <w:tblStyle w:val="705"/>
        <w:tblW w:w="7159"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5653"/>
      </w:tblGrid>
      <w:tr>
        <w:trPr>
          <w:trHeight w:val="637"/>
        </w:trPr>
        <w:tc>
          <w:tcPr>
            <w:tcW w:w="1506"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采购包号</w:t>
            </w:r>
            <w:r/>
          </w:p>
        </w:tc>
        <w:tc>
          <w:tcPr>
            <w:tcW w:w="5653"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 xml:space="preserve">家具类型</w:t>
            </w:r>
            <w:r/>
          </w:p>
        </w:tc>
      </w:tr>
      <w:tr>
        <w:trPr>
          <w:trHeight w:val="323"/>
        </w:trPr>
        <w:tc>
          <w:tcPr>
            <w:tcW w:w="1506" w:type="dxa"/>
            <w:vAlign w:val="top"/>
            <w:textDirection w:val="lrTb"/>
            <w:noWrap w:val="false"/>
          </w:tcPr>
          <w:p>
            <w:pPr>
              <w:jc w:val="center"/>
              <w:spacing w:line="0" w:lineRule="atLeas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p>
        </w:tc>
        <w:tc>
          <w:tcPr>
            <w:tcW w:w="5653" w:type="dxa"/>
            <w:vAlign w:val="top"/>
            <w:textDirection w:val="lrTb"/>
            <w:noWrap w:val="false"/>
          </w:tcPr>
          <w:p>
            <w:pPr>
              <w:jc w:val="center"/>
              <w:spacing w:line="0" w:lineRule="atLeast"/>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北组团步梯款</w:t>
            </w:r>
            <w:r/>
          </w:p>
        </w:tc>
      </w:tr>
      <w:tr>
        <w:trPr>
          <w:trHeight w:val="323"/>
        </w:trPr>
        <w:tc>
          <w:tcPr>
            <w:tcW w:w="1506" w:type="dxa"/>
            <w:vAlign w:val="top"/>
            <w:textDirection w:val="lrTb"/>
            <w:noWrap w:val="false"/>
          </w:tcPr>
          <w:p>
            <w:pPr>
              <w:jc w:val="center"/>
              <w:spacing w:line="0" w:lineRule="atLeast"/>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w:t>
            </w:r>
            <w:r/>
          </w:p>
        </w:tc>
        <w:tc>
          <w:tcPr>
            <w:tcW w:w="5653" w:type="dxa"/>
            <w:vAlign w:val="top"/>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东组团步梯款</w:t>
            </w:r>
            <w:r/>
          </w:p>
        </w:tc>
      </w:tr>
      <w:tr>
        <w:trPr>
          <w:trHeight w:val="333"/>
        </w:trPr>
        <w:tc>
          <w:tcPr>
            <w:tcW w:w="1506" w:type="dxa"/>
            <w:vAlign w:val="top"/>
            <w:textDirection w:val="lrTb"/>
            <w:noWrap w:val="false"/>
          </w:tcPr>
          <w:p>
            <w:pPr>
              <w:jc w:val="center"/>
              <w:spacing w:line="0" w:lineRule="atLeast"/>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3</w:t>
            </w:r>
            <w:r/>
          </w:p>
        </w:tc>
        <w:tc>
          <w:tcPr>
            <w:tcW w:w="5653" w:type="dxa"/>
            <w:vAlign w:val="top"/>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爬梯款</w:t>
            </w:r>
            <w:r/>
          </w:p>
        </w:tc>
      </w:tr>
    </w:tbl>
    <w:p>
      <w:pPr>
        <w:pStyle w:val="714"/>
        <w:numPr>
          <w:ilvl w:val="0"/>
          <w:numId w:val="0"/>
        </w:numPr>
        <w:jc w:val="both"/>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0"/>
        </w:numPr>
        <w:jc w:val="left"/>
        <w:spacing w:line="400" w:lineRule="exact"/>
        <w:rPr>
          <w:rFonts w:hint="default" w:ascii="Times New Roman" w:hAnsi="Times New Roman" w:eastAsia="宋体" w:cs="Times New Roman"/>
          <w:b w:val="0"/>
          <w:bCs w:val="0"/>
          <w:color w:val="000000" w:themeColor="text1"/>
          <w:sz w:val="24"/>
          <w:szCs w:val="24"/>
          <w:highlight w:val="none"/>
          <w:lang w:val="en-US"/>
          <w14:textFill>
            <w14:solidFill>
              <w14:schemeClr w14:val="tx1"/>
            </w14:solidFill>
          </w14:textFill>
        </w:rPr>
      </w:pPr>
      <w:r>
        <w:rPr>
          <w:rFonts w:hint="default" w:ascii="Times New Roman" w:hAnsi="Times New Roman" w:eastAsia="宋体" w:cs="Times New Roman"/>
          <w:b w:val="0"/>
          <w:bCs w:val="0"/>
          <w:color w:val="000000" w:themeColor="text1"/>
          <w:sz w:val="24"/>
          <w:szCs w:val="24"/>
          <w:highlight w:val="none"/>
          <w:lang w:eastAsia="zh-CN"/>
          <w14:textFill>
            <w14:solidFill>
              <w14:schemeClr w14:val="tx1"/>
            </w14:solidFill>
          </w14:textFill>
        </w:rPr>
        <w:t xml:space="preserve">注：（</w:t>
      </w:r>
      <w:r>
        <w:rPr>
          <w:rFonts w:hint="default"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本项目共分</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个采购包，</w:t>
      </w:r>
      <w:r>
        <w:rPr>
          <w:rFonts w:hint="eastAsia" w:ascii="Times New Roman" w:hAnsi="Times New Roman" w:eastAsia="宋体" w:cs="Times New Roman"/>
          <w:b w:val="0"/>
          <w:bCs w:val="0"/>
          <w:color w:val="000000" w:themeColor="text1"/>
          <w:sz w:val="24"/>
          <w:szCs w:val="24"/>
          <w:highlight w:val="none"/>
          <w:lang w:val="en-US"/>
          <w14:textFill>
            <w14:solidFill>
              <w14:schemeClr w14:val="tx1"/>
            </w14:solidFill>
          </w14:textFill>
        </w:rPr>
        <w:t xml:space="preserve">投标人应针对不同采购包分别编制投标文件，并上传至对应的采购包。如若未按要求操作和上传失误，自行负责。</w:t>
      </w:r>
      <w:r/>
    </w:p>
    <w:p>
      <w:pPr>
        <w:numPr>
          <w:ilvl w:val="0"/>
          <w:numId w:val="0"/>
        </w:numPr>
        <w:ind w:right="0"/>
        <w:jc w:val="left"/>
        <w:keepLines w:val="0"/>
        <w:keepNext w:val="0"/>
        <w:pageBreakBefore w:val="0"/>
        <w:spacing w:before="0" w:beforeAutospacing="0" w:after="0" w:afterAutospacing="0" w:line="450" w:lineRule="atLeast"/>
        <w:shd w:val="clear" w:color="auto" w:fill="ffffff"/>
        <w:widowControl/>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cs="Times New Roman"/>
          <w:b w:val="0"/>
          <w:bCs w:val="0"/>
          <w:color w:val="000000" w:themeColor="text1"/>
          <w:sz w:val="24"/>
          <w:szCs w:val="24"/>
          <w:highlight w:val="none"/>
          <w:lang w:eastAsia="zh-CN"/>
          <w14:textFill>
            <w14:solidFill>
              <w14:schemeClr w14:val="tx1"/>
            </w14:solidFill>
          </w14:textFill>
        </w:rPr>
        <w:t xml:space="preserve">（</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2</w:t>
      </w:r>
      <w:r>
        <w:rPr>
          <w:rFonts w:hint="eastAsia"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兼投不兼中，即投标人可参与任意采购包或全部采购包的投标，需对拟参与采购包分别进行制作投标文件，但同一供应商最多只能中一个采购包。评标、中标的顺序为：</w:t>
      </w:r>
      <w:r>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t xml:space="preserve">采购包1、采购包2</w:t>
      </w:r>
      <w:r>
        <w:rPr>
          <w:rFonts w:hint="eastAsia" w:ascii="Times New Roman" w:hAnsi="Times New Roman" w:eastAsia="宋体" w:cs="Times New Roman"/>
          <w:b w:val="0"/>
          <w:bCs w:val="0"/>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t xml:space="preserve">采购包</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，已被推荐为</w:t>
      </w:r>
      <w:r>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t xml:space="preserve">采购</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包</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1的中标候选人不再参与</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采购</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2</w:t>
      </w:r>
      <w:r>
        <w:rPr>
          <w:rFonts w:hint="eastAsia" w:cs="Times New Roman"/>
          <w:b w:val="0"/>
          <w:bCs w:val="0"/>
          <w:color w:val="000000" w:themeColor="text1"/>
          <w:sz w:val="24"/>
          <w:szCs w:val="24"/>
          <w:highlight w:val="none"/>
          <w:lang w:eastAsia="zh-CN"/>
          <w14:textFill>
            <w14:solidFill>
              <w14:schemeClr w14:val="tx1"/>
            </w14:solidFill>
          </w14:textFill>
        </w:rPr>
        <w:t xml:space="preserve">、</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采购包3</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的评审</w:t>
      </w:r>
      <w:r>
        <w:rPr>
          <w:rFonts w:hint="eastAsia" w:cs="Times New Roman"/>
          <w:b w:val="0"/>
          <w:bCs w:val="0"/>
          <w:color w:val="000000" w:themeColor="text1"/>
          <w:sz w:val="24"/>
          <w:szCs w:val="24"/>
          <w:highlight w:val="none"/>
          <w:lang w:eastAsia="zh-CN"/>
          <w14:textFill>
            <w14:solidFill>
              <w14:schemeClr w14:val="tx1"/>
            </w14:solidFill>
          </w14:textFill>
        </w:rPr>
        <w:t xml:space="preserve">，</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已被推荐为</w:t>
      </w:r>
      <w:r>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t xml:space="preserve">采购</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包2</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的中标候选人不再参与</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采购包3</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的评审。</w:t>
      </w:r>
      <w:r/>
    </w:p>
    <w:p>
      <w:pPr>
        <w:numPr>
          <w:ilvl w:val="0"/>
          <w:numId w:val="0"/>
        </w:numPr>
        <w:ind w:right="0"/>
        <w:jc w:val="left"/>
        <w:keepLines w:val="0"/>
        <w:keepNext w:val="0"/>
        <w:pageBreakBefore w:val="0"/>
        <w:spacing w:before="0" w:beforeAutospacing="0" w:after="0" w:afterAutospacing="0" w:line="450" w:lineRule="atLeast"/>
        <w:shd w:val="clear" w:color="auto" w:fill="ffffff"/>
        <w:widowControl/>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cs="Times New Roman"/>
          <w:b w:val="0"/>
          <w:bCs w:val="0"/>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在合同签订之前，若</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采购包</w:t>
      </w:r>
      <w:r>
        <w:rPr>
          <w:rFonts w:hint="default"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因质疑、投诉等事项导致</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中标</w:t>
      </w:r>
      <w:r>
        <w:rPr>
          <w:rFonts w:hint="default"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结果改变的，不影响其余</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采购包</w:t>
      </w:r>
      <w:r>
        <w:rPr>
          <w:rFonts w:hint="default"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的</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中标</w:t>
      </w:r>
      <w:r>
        <w:rPr>
          <w:rFonts w:hint="default"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结果。</w:t>
      </w:r>
      <w:r/>
    </w:p>
    <w:p>
      <w:pPr>
        <w:numPr>
          <w:ilvl w:val="0"/>
          <w:numId w:val="5"/>
        </w:numPr>
        <w:ind w:left="0" w:right="0" w:firstLine="480"/>
        <w:jc w:val="left"/>
        <w:keepLines w:val="0"/>
        <w:keepNext w:val="0"/>
        <w:pageBreakBefore w:val="0"/>
        <w:spacing w:before="0" w:beforeAutospacing="0" w:after="0" w:afterAutospacing="0" w:line="450" w:lineRule="atLeast"/>
        <w:shd w:val="clear" w:color="auto" w:fill="ffffff"/>
        <w:widowControl/>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b w:val="0"/>
          <w:bCs w:val="0"/>
          <w:color w:val="000000" w:themeColor="text1"/>
          <w:sz w:val="24"/>
          <w:szCs w:val="24"/>
          <w:highlight w:val="none"/>
          <w:lang w:eastAsia="zh-CN"/>
          <w14:textFill>
            <w14:solidFill>
              <w14:schemeClr w14:val="tx1"/>
            </w14:solidFill>
          </w14:textFill>
        </w:rPr>
        <w:t xml:space="preserve">合同履行期限</w:t>
      </w:r>
      <w:r>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t xml:space="preserve">：</w:t>
      </w:r>
      <w:r/>
    </w:p>
    <w:p>
      <w:pPr>
        <w:ind w:left="0" w:right="0" w:firstLine="480"/>
        <w:jc w:val="left"/>
        <w:keepLines w:val="0"/>
        <w:keepNext w:val="0"/>
        <w:pageBreakBefore w:val="0"/>
        <w:spacing w:before="0" w:beforeAutospacing="0" w:after="0" w:afterAutospacing="0" w:line="450" w:lineRule="atLeast"/>
        <w:shd w:val="clear" w:color="auto" w:fill="ffffff"/>
        <w:widowControl/>
        <w:rPr>
          <w:rFonts w:hint="eastAsia" w:cs="Times New Roman"/>
          <w:b w:val="0"/>
          <w:bCs w:val="0"/>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cs="Times New Roman"/>
          <w:b w:val="0"/>
          <w:bCs w:val="0"/>
          <w:color w:val="000000" w:themeColor="text1"/>
          <w:sz w:val="24"/>
          <w:szCs w:val="24"/>
          <w:highlight w:val="none"/>
          <w:lang w:eastAsia="zh-CN"/>
          <w14:textFill>
            <w14:solidFill>
              <w14:schemeClr w14:val="tx1"/>
            </w14:solidFill>
          </w14:textFill>
        </w:rPr>
        <w:t xml:space="preserve">采购包</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1：合同签订后50日历天内送到甲方指定地点完成安装、调试、检测并经验收合格后交付甲方使用（含二次搬运费）。</w:t>
      </w:r>
      <w:r/>
    </w:p>
    <w:p>
      <w:pPr>
        <w:ind w:left="0" w:right="0" w:firstLine="480"/>
        <w:jc w:val="left"/>
        <w:keepLines w:val="0"/>
        <w:keepNext w:val="0"/>
        <w:pageBreakBefore w:val="0"/>
        <w:spacing w:before="0" w:beforeAutospacing="0" w:after="0" w:afterAutospacing="0" w:line="450" w:lineRule="atLeast"/>
        <w:shd w:val="clear" w:color="auto" w:fill="ffffff"/>
        <w:widowControl/>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cs="Times New Roman"/>
          <w:b w:val="0"/>
          <w:bCs w:val="0"/>
          <w:color w:val="000000" w:themeColor="text1"/>
          <w:sz w:val="24"/>
          <w:szCs w:val="24"/>
          <w:highlight w:val="none"/>
          <w:lang w:eastAsia="zh-CN"/>
          <w14:textFill>
            <w14:solidFill>
              <w14:schemeClr w14:val="tx1"/>
            </w14:solidFill>
          </w14:textFill>
        </w:rPr>
        <w:t xml:space="preserve">采购包</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合同签订后50日历天内送到甲方指定地点完成安装、调试、检测并经验收合格后交付甲方使用（含二次搬运费）。</w:t>
      </w:r>
      <w:r/>
    </w:p>
    <w:p>
      <w:pPr>
        <w:ind w:left="0" w:right="0" w:firstLine="480"/>
        <w:jc w:val="left"/>
        <w:keepLines w:val="0"/>
        <w:keepNext w:val="0"/>
        <w:pageBreakBefore w:val="0"/>
        <w:spacing w:before="0" w:beforeAutospacing="0" w:after="0" w:afterAutospacing="0" w:line="450" w:lineRule="atLeast"/>
        <w:shd w:val="clear" w:color="auto" w:fill="ffffff"/>
        <w:widowControl/>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cs="Times New Roman"/>
          <w:b w:val="0"/>
          <w:bCs w:val="0"/>
          <w:color w:val="000000" w:themeColor="text1"/>
          <w:sz w:val="24"/>
          <w:szCs w:val="24"/>
          <w:highlight w:val="none"/>
          <w:lang w:eastAsia="zh-CN"/>
          <w14:textFill>
            <w14:solidFill>
              <w14:schemeClr w14:val="tx1"/>
            </w14:solidFill>
          </w14:textFill>
        </w:rPr>
        <w:t xml:space="preserve">采购包</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3：</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合同签订后50日历天内送到甲方指定地点完成安装、调试、检测并经验收合格后交付甲方使用（含二次搬运费）。</w:t>
      </w:r>
      <w:r/>
    </w:p>
    <w:p>
      <w:pPr>
        <w:ind w:firstLine="496"/>
        <w:keepLines/>
        <w:keepNext/>
        <w:spacing w:before="156" w:after="156" w:line="360" w:lineRule="auto"/>
        <w:rPr>
          <w:rFonts w:ascii="Times New Roman" w:hAnsi="Times New Roman"/>
          <w:b/>
          <w:bCs/>
          <w:color w:val="000000" w:themeColor="text1"/>
          <w:sz w:val="32"/>
          <w:szCs w:val="32"/>
          <w:highlight w:val="none"/>
          <w14:textFill>
            <w14:solidFill>
              <w14:schemeClr w14:val="tx1"/>
            </w14:solidFill>
          </w14:textFill>
        </w:rPr>
        <w:outlineLvl w:val="2"/>
      </w:pPr>
      <w:r>
        <w:rPr>
          <w:rFonts w:hint="eastAsia" w:ascii="Times New Roman" w:hAnsi="Times New Roman"/>
          <w:b/>
          <w:bCs/>
          <w:color w:val="000000" w:themeColor="text1"/>
          <w:sz w:val="32"/>
          <w:szCs w:val="32"/>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560"/>
        <w:spacing w:line="400" w:lineRule="exact"/>
        <w:rPr>
          <w:rFonts w:hint="eastAsia" w:ascii="宋体" w:hAnsi="宋体"/>
          <w:color w:val="000000" w:themeColor="text1"/>
          <w:sz w:val="28"/>
          <w:szCs w:val="28"/>
          <w:highlight w:val="none"/>
          <w14:textFill>
            <w14:solidFill>
              <w14:schemeClr w14:val="tx1"/>
            </w14:solidFill>
          </w14:textFill>
        </w:rPr>
      </w:pPr>
      <w:r/>
      <w:bookmarkStart w:id="17" w:name="_Toc38985265"/>
      <w:r/>
      <w:bookmarkStart w:id="18" w:name="_Toc28359004"/>
      <w:r/>
      <w:bookmarkStart w:id="19" w:name="_Toc35393623"/>
      <w:r/>
      <w:bookmarkStart w:id="20" w:name="_Toc35393792"/>
      <w:r/>
      <w:bookmarkStart w:id="21" w:name="_Toc28359081"/>
      <w:r>
        <w:rPr>
          <w:rFonts w:hint="eastAsia" w:ascii="宋体" w:hAnsi="宋体"/>
          <w:color w:val="000000" w:themeColor="text1"/>
          <w:sz w:val="28"/>
          <w:szCs w:val="28"/>
          <w:highlight w:val="none"/>
          <w14:textFill>
            <w14:solidFill>
              <w14:schemeClr w14:val="tx1"/>
            </w14:solidFill>
          </w14:textFill>
        </w:rPr>
        <w:t xml:space="preserve">（一</w:t>
      </w:r>
      <w:r>
        <w:rPr>
          <w:rFonts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通用</w:t>
      </w:r>
      <w:r>
        <w:rPr>
          <w:rFonts w:ascii="宋体" w:hAnsi="宋体"/>
          <w:color w:val="000000" w:themeColor="text1"/>
          <w:sz w:val="28"/>
          <w:szCs w:val="28"/>
          <w:highlight w:val="none"/>
          <w14:textFill>
            <w14:solidFill>
              <w14:schemeClr w14:val="tx1"/>
            </w14:solidFill>
          </w14:textFill>
        </w:rPr>
        <w:t xml:space="preserve">资格要求</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 法人或者其他组织的营业执照等证明文件，自然人的身份证明；</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lang w:val="en-US" w:eastAsia="zh-CN"/>
          <w14:textFill>
            <w14:solidFill>
              <w14:schemeClr w14:val="tx1"/>
            </w14:solidFill>
          </w14:textFill>
        </w:rPr>
        <w:t xml:space="preserve"> 2024或2025</w:t>
      </w:r>
      <w:r>
        <w:rPr>
          <w:rFonts w:hint="eastAsia" w:ascii="宋体" w:hAnsi="宋体"/>
          <w:color w:val="000000" w:themeColor="text1"/>
          <w:sz w:val="24"/>
          <w:szCs w:val="24"/>
          <w:highlight w:val="none"/>
          <w14:textFill>
            <w14:solidFill>
              <w14:schemeClr w14:val="tx1"/>
            </w14:solidFill>
          </w14:textFill>
        </w:rPr>
        <w:t xml:space="preserve">年度的财务状况报告（成立不满一年无需提供）；</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1.4具备履行合同所必需的设备和专业技术能力的书面声明；</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1.5参加政府采购活动前3年内在经营活动中没有重大违法记录的书面声明。</w:t>
      </w:r>
      <w:r/>
    </w:p>
    <w:p>
      <w:pPr>
        <w:ind w:firstLine="480"/>
        <w:spacing w:line="400" w:lineRule="exact"/>
        <w:rPr>
          <w:rFonts w:hint="eastAsia" w:ascii="华文新魏"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spacing w:line="4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3.落实政府采购政策需满足的资格要求：无</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4.联合</w:t>
      </w:r>
      <w:r>
        <w:rPr>
          <w:rFonts w:ascii="宋体" w:hAnsi="宋体"/>
          <w:color w:val="000000" w:themeColor="text1"/>
          <w:sz w:val="24"/>
          <w:szCs w:val="24"/>
          <w:highlight w:val="none"/>
          <w14:textFill>
            <w14:solidFill>
              <w14:schemeClr w14:val="tx1"/>
            </w14:solidFill>
          </w14:textFill>
        </w:rPr>
        <w:t xml:space="preserve">体投标</w:t>
      </w:r>
      <w:r/>
    </w:p>
    <w:tbl>
      <w:tblPr>
        <w:tblStyle w:val="705"/>
        <w:tblW w:w="7083"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spacing w:line="400" w:lineRule="exac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采购</w:t>
            </w:r>
            <w:r/>
          </w:p>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包号</w:t>
            </w:r>
            <w:r/>
          </w:p>
        </w:tc>
        <w:tc>
          <w:tcPr>
            <w:tcW w:w="2968" w:type="dxa"/>
            <w:vAlign w:val="top"/>
            <w:textDirection w:val="lrTb"/>
            <w:noWrap w:val="false"/>
          </w:tcPr>
          <w:p>
            <w:pPr>
              <w:jc w:val="center"/>
              <w:spacing w:line="400" w:lineRule="exac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是否接受联合体</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投标</w:t>
            </w:r>
            <w:r/>
          </w:p>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是/否</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c>
          <w:tcPr>
            <w:tcW w:w="2967"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该采购包中</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联合体成员数量</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上限</w:t>
            </w:r>
            <w:r/>
          </w:p>
        </w:tc>
      </w:tr>
      <w:tr>
        <w:trPr/>
        <w:tc>
          <w:tcPr>
            <w:tcW w:w="1148"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p>
        </w:tc>
        <w:tc>
          <w:tcPr>
            <w:tcW w:w="2968" w:type="dxa"/>
            <w:vAlign w:val="top"/>
            <w:textDirection w:val="lrTb"/>
            <w:noWrap w:val="false"/>
          </w:tcPr>
          <w:p>
            <w:pPr>
              <w:jc w:val="center"/>
              <w:spacing w:line="400" w:lineRule="exac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否</w:t>
            </w:r>
            <w:r/>
          </w:p>
        </w:tc>
        <w:tc>
          <w:tcPr>
            <w:tcW w:w="2967"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r>
      <w:tr>
        <w:trPr/>
        <w:tc>
          <w:tcPr>
            <w:tcW w:w="1148" w:type="dxa"/>
            <w:vAlign w:val="top"/>
            <w:textDirection w:val="lrTb"/>
            <w:noWrap w:val="false"/>
          </w:tcPr>
          <w:p>
            <w:pPr>
              <w:jc w:val="center"/>
              <w:spacing w:line="400" w:lineRule="exact"/>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p>
        </w:tc>
        <w:tc>
          <w:tcPr>
            <w:tcW w:w="2968"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否</w:t>
            </w:r>
            <w:r/>
          </w:p>
        </w:tc>
        <w:tc>
          <w:tcPr>
            <w:tcW w:w="2967"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r>
      <w:tr>
        <w:trPr/>
        <w:tc>
          <w:tcPr>
            <w:tcW w:w="1148" w:type="dxa"/>
            <w:vAlign w:val="top"/>
            <w:textDirection w:val="lrTb"/>
            <w:noWrap w:val="false"/>
          </w:tcPr>
          <w:p>
            <w:pPr>
              <w:jc w:val="center"/>
              <w:spacing w:line="400" w:lineRule="exact"/>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3</w:t>
            </w:r>
            <w:r/>
          </w:p>
        </w:tc>
        <w:tc>
          <w:tcPr>
            <w:tcW w:w="2968"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否</w:t>
            </w:r>
            <w:r/>
          </w:p>
        </w:tc>
        <w:tc>
          <w:tcPr>
            <w:tcW w:w="2967"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r>
    </w:tbl>
    <w:p>
      <w:pPr>
        <w:ind w:firstLine="560"/>
        <w:spacing w:line="40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（二）本项目的特定资格要求</w:t>
      </w:r>
      <w:r/>
    </w:p>
    <w:tbl>
      <w:tblPr>
        <w:tblStyle w:val="705"/>
        <w:tblW w:w="7069"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8"/>
        <w:gridCol w:w="5631"/>
      </w:tblGrid>
      <w:tr>
        <w:trPr/>
        <w:tc>
          <w:tcPr>
            <w:tcW w:w="1438"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采购包号</w:t>
            </w:r>
            <w:r/>
          </w:p>
        </w:tc>
        <w:tc>
          <w:tcPr>
            <w:tcW w:w="5631"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特定</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资格要求</w:t>
            </w:r>
            <w:r/>
          </w:p>
        </w:tc>
      </w:tr>
      <w:tr>
        <w:trPr/>
        <w:tc>
          <w:tcPr>
            <w:tcW w:w="1438"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p>
        </w:tc>
        <w:tc>
          <w:tcPr>
            <w:tcW w:w="5631"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r>
      <w:tr>
        <w:trPr/>
        <w:tc>
          <w:tcPr>
            <w:tcW w:w="1438" w:type="dxa"/>
            <w:vAlign w:val="top"/>
            <w:textDirection w:val="lrTb"/>
            <w:noWrap w:val="false"/>
          </w:tcPr>
          <w:p>
            <w:pPr>
              <w:jc w:val="center"/>
              <w:spacing w:line="400" w:lineRule="exact"/>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p>
        </w:tc>
        <w:tc>
          <w:tcPr>
            <w:tcW w:w="5631"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r>
      <w:tr>
        <w:trPr/>
        <w:tc>
          <w:tcPr>
            <w:tcW w:w="1438" w:type="dxa"/>
            <w:vAlign w:val="top"/>
            <w:textDirection w:val="lrTb"/>
            <w:noWrap w:val="false"/>
          </w:tcPr>
          <w:p>
            <w:pPr>
              <w:jc w:val="center"/>
              <w:spacing w:line="400" w:lineRule="exact"/>
              <w:widowControl w:val="off"/>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3</w:t>
            </w:r>
            <w:r/>
          </w:p>
        </w:tc>
        <w:tc>
          <w:tcPr>
            <w:tcW w:w="5631"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r>
    </w:tbl>
    <w:p>
      <w:pPr>
        <w:ind w:firstLine="496"/>
        <w:keepLines/>
        <w:keepNext/>
        <w:spacing w:before="156" w:after="156" w:line="360" w:lineRule="auto"/>
        <w:rPr>
          <w:rFonts w:ascii="Times New Roman" w:hAnsi="Times New Roman"/>
          <w:b/>
          <w:bCs/>
          <w:color w:val="000000" w:themeColor="text1"/>
          <w:sz w:val="32"/>
          <w:szCs w:val="32"/>
          <w:highlight w:val="none"/>
          <w14:textFill>
            <w14:solidFill>
              <w14:schemeClr w14:val="tx1"/>
            </w14:solidFill>
          </w14:textFill>
        </w:rPr>
        <w:outlineLvl w:val="2"/>
      </w:pPr>
      <w:r>
        <w:rPr>
          <w:rFonts w:hint="eastAsia" w:ascii="Times New Roman" w:hAnsi="Times New Roman"/>
          <w:b/>
          <w:bCs/>
          <w:color w:val="000000" w:themeColor="text1"/>
          <w:sz w:val="32"/>
          <w:szCs w:val="32"/>
          <w:highlight w:val="none"/>
          <w14:textFill>
            <w14:solidFill>
              <w14:schemeClr w14:val="tx1"/>
            </w14:solidFill>
          </w14:textFill>
        </w:rPr>
        <w:t xml:space="preserve">三、获取招标文件</w:t>
      </w:r>
      <w:r/>
    </w:p>
    <w:p>
      <w:pPr>
        <w:ind w:firstLine="5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1.时间：自招标文件公告发布之日起5个工作日。</w:t>
      </w:r>
      <w:r/>
    </w:p>
    <w:p>
      <w:pPr>
        <w:ind w:firstLine="540"/>
        <w:spacing w:line="360"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2.方式：在“江苏政府采购网”自行免费下载招标文件。</w:t>
      </w:r>
      <w:bookmarkEnd w:id="17"/>
      <w:r/>
      <w:bookmarkEnd w:id="18"/>
      <w:r/>
      <w:bookmarkEnd w:id="19"/>
      <w:r/>
      <w:bookmarkEnd w:id="20"/>
      <w:r/>
      <w:bookmarkEnd w:id="21"/>
      <w:r/>
      <w:r/>
    </w:p>
    <w:p>
      <w:pPr>
        <w:ind w:firstLine="496"/>
        <w:keepLines/>
        <w:keepNext/>
        <w:spacing w:before="156" w:after="156" w:line="400" w:lineRule="exact"/>
        <w:rPr>
          <w:rFonts w:ascii="Times New Roman" w:hAnsi="Times New Roman"/>
          <w:b/>
          <w:bCs/>
          <w:color w:val="000000" w:themeColor="text1"/>
          <w:sz w:val="32"/>
          <w:szCs w:val="32"/>
          <w:highlight w:val="none"/>
          <w14:textFill>
            <w14:solidFill>
              <w14:schemeClr w14:val="tx1"/>
            </w14:solidFill>
          </w14:textFill>
        </w:rPr>
        <w:outlineLvl w:val="2"/>
      </w:pPr>
      <w:r/>
      <w:bookmarkStart w:id="22" w:name="_Toc28359005"/>
      <w:r/>
      <w:bookmarkStart w:id="23" w:name="_Toc28359082"/>
      <w:r/>
      <w:bookmarkStart w:id="24" w:name="_Toc35393793"/>
      <w:r/>
      <w:bookmarkStart w:id="25" w:name="_Toc35393624"/>
      <w:r/>
      <w:bookmarkStart w:id="26" w:name="_Toc38985266"/>
      <w:r>
        <w:rPr>
          <w:rFonts w:hint="eastAsia" w:ascii="Times New Roman" w:hAnsi="Times New Roman"/>
          <w:b/>
          <w:bCs/>
          <w:color w:val="000000" w:themeColor="text1"/>
          <w:sz w:val="32"/>
          <w:szCs w:val="32"/>
          <w:highlight w:val="none"/>
          <w14:textFill>
            <w14:solidFill>
              <w14:schemeClr w14:val="tx1"/>
            </w14:solidFill>
          </w14:textFill>
        </w:rPr>
        <w:t xml:space="preserve">四、提交投标文件</w:t>
      </w:r>
      <w:bookmarkEnd w:id="22"/>
      <w:r/>
      <w:bookmarkEnd w:id="23"/>
      <w:r>
        <w:rPr>
          <w:rFonts w:hint="eastAsia" w:ascii="Times New Roman" w:hAnsi="Times New Roman"/>
          <w:b/>
          <w:bCs/>
          <w:color w:val="000000" w:themeColor="text1"/>
          <w:sz w:val="32"/>
          <w:szCs w:val="32"/>
          <w:highlight w:val="none"/>
          <w14:textFill>
            <w14:solidFill>
              <w14:schemeClr w14:val="tx1"/>
            </w14:solidFill>
          </w14:textFill>
        </w:rPr>
        <w:t xml:space="preserve">截止时间、开标时间和地点</w:t>
      </w:r>
      <w:bookmarkEnd w:id="24"/>
      <w:r/>
      <w:bookmarkEnd w:id="25"/>
      <w:r/>
      <w:bookmarkEnd w:id="26"/>
      <w:r/>
      <w:r/>
    </w:p>
    <w:p>
      <w:pPr>
        <w:ind w:firstLine="480"/>
        <w:spacing w:line="400" w:lineRule="exact"/>
        <w:rPr>
          <w:rFonts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u w:val="single"/>
          <w14:textFill>
            <w14:solidFill>
              <w14:schemeClr w14:val="tx1"/>
            </w14:solidFill>
          </w14:textFill>
        </w:rPr>
        <w:t xml:space="preserve">2026年</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07</w:t>
      </w:r>
      <w:r>
        <w:rPr>
          <w:rFonts w:hint="eastAsia" w:ascii="宋体" w:hAnsi="宋体"/>
          <w:bCs/>
          <w:color w:val="000000" w:themeColor="text1"/>
          <w:sz w:val="24"/>
          <w:szCs w:val="24"/>
          <w:highlight w:val="none"/>
          <w:u w:val="single"/>
          <w14:textFill>
            <w14:solidFill>
              <w14:schemeClr w14:val="tx1"/>
            </w14:solidFill>
          </w14:textFill>
        </w:rPr>
        <w:t xml:space="preserve">月</w:t>
      </w:r>
      <w:r>
        <w:rPr>
          <w:rFonts w:hint="eastAsia" w:ascii="宋体" w:hAnsi="宋体"/>
          <w:bCs/>
          <w:color w:val="ff0000"/>
          <w:sz w:val="24"/>
          <w:szCs w:val="24"/>
          <w:highlight w:val="none"/>
          <w:u w:val="single"/>
          <w:lang w:val="en-US" w:eastAsia="zh-CN"/>
        </w:rPr>
        <w:t xml:space="preserve">17</w:t>
      </w:r>
      <w:r>
        <w:rPr>
          <w:rFonts w:hint="eastAsia" w:ascii="宋体" w:hAnsi="宋体"/>
          <w:bCs/>
          <w:color w:val="000000" w:themeColor="text1"/>
          <w:sz w:val="24"/>
          <w:szCs w:val="24"/>
          <w:highlight w:val="none"/>
          <w:u w:val="single"/>
          <w14:textFill>
            <w14:solidFill>
              <w14:schemeClr w14:val="tx1"/>
            </w14:solidFill>
          </w14:textFill>
        </w:rPr>
        <w:t xml:space="preserve">日</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bCs/>
          <w:color w:val="000000" w:themeColor="text1"/>
          <w:sz w:val="24"/>
          <w:szCs w:val="24"/>
          <w:highlight w:val="none"/>
          <w:u w:val="single"/>
          <w:lang w:eastAsia="zh-CN"/>
          <w14:textFill>
            <w14:solidFill>
              <w14:schemeClr w14:val="tx1"/>
            </w14:solidFill>
          </w14:textFill>
        </w:rPr>
        <w:t xml:space="preserve">时</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bCs/>
          <w:color w:val="000000" w:themeColor="text1"/>
          <w:sz w:val="24"/>
          <w:szCs w:val="24"/>
          <w:highlight w:val="none"/>
          <w:u w:val="single"/>
          <w14:textFill>
            <w14:solidFill>
              <w14:schemeClr w14:val="tx1"/>
            </w14:solidFill>
          </w14:textFill>
        </w:rPr>
        <w:t xml:space="preserve">分</w:t>
      </w:r>
      <w:r>
        <w:rPr>
          <w:rFonts w:hint="eastAsia" w:ascii="宋体" w:hAnsi="宋体"/>
          <w:bCs/>
          <w:color w:val="000000" w:themeColor="text1"/>
          <w:sz w:val="24"/>
          <w:szCs w:val="24"/>
          <w:highlight w:val="none"/>
          <w14:textFill>
            <w14:solidFill>
              <w14:schemeClr w14:val="tx1"/>
            </w14:solidFill>
          </w14:textFill>
        </w:rPr>
        <w:t xml:space="preserve">（北京时间）。</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2.地点：“苏采云”政府采购交易系统。</w:t>
      </w:r>
      <w:r/>
    </w:p>
    <w:p>
      <w:pPr>
        <w:ind w:firstLine="496"/>
        <w:keepLines/>
        <w:keepNext/>
        <w:spacing w:before="156" w:after="156" w:line="360" w:lineRule="auto"/>
        <w:rPr>
          <w:rFonts w:ascii="Times New Roman" w:hAnsi="Times New Roman"/>
          <w:b/>
          <w:bCs/>
          <w:color w:val="000000" w:themeColor="text1"/>
          <w:sz w:val="32"/>
          <w:szCs w:val="32"/>
          <w:highlight w:val="none"/>
          <w14:textFill>
            <w14:solidFill>
              <w14:schemeClr w14:val="tx1"/>
            </w14:solidFill>
          </w14:textFill>
        </w:rPr>
        <w:outlineLvl w:val="2"/>
      </w:pPr>
      <w:r/>
      <w:bookmarkStart w:id="27" w:name="_Toc28359084"/>
      <w:r/>
      <w:bookmarkStart w:id="28" w:name="_Toc35393794"/>
      <w:r/>
      <w:bookmarkStart w:id="29" w:name="_Toc38985267"/>
      <w:r/>
      <w:bookmarkStart w:id="30" w:name="_Toc28359007"/>
      <w:r/>
      <w:bookmarkStart w:id="31" w:name="_Toc35393625"/>
      <w:r>
        <w:rPr>
          <w:rFonts w:hint="eastAsia" w:ascii="Times New Roman" w:hAnsi="Times New Roman"/>
          <w:b/>
          <w:bCs/>
          <w:color w:val="000000" w:themeColor="text1"/>
          <w:sz w:val="32"/>
          <w:szCs w:val="32"/>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招标公告及招标文件公告期限为自本公告发布之日起5个工作日。</w:t>
      </w:r>
      <w:r/>
    </w:p>
    <w:p>
      <w:pPr>
        <w:ind w:firstLine="496"/>
        <w:keepLines/>
        <w:keepNext/>
        <w:spacing w:before="156" w:after="156" w:line="400" w:lineRule="exact"/>
        <w:rPr>
          <w:rFonts w:hint="eastAsia" w:ascii="Times New Roman" w:hAnsi="Times New Roman" w:eastAsia="宋体"/>
          <w:b/>
          <w:bCs/>
          <w:color w:val="000000" w:themeColor="text1"/>
          <w:sz w:val="32"/>
          <w:szCs w:val="32"/>
          <w:highlight w:val="none"/>
          <w:u w:val="single"/>
          <w14:textFill>
            <w14:solidFill>
              <w14:schemeClr w14:val="tx1"/>
            </w14:solidFill>
          </w14:textFill>
        </w:rPr>
        <w:outlineLvl w:val="2"/>
      </w:pPr>
      <w:r/>
      <w:bookmarkStart w:id="32" w:name="_Toc35393626"/>
      <w:r/>
      <w:bookmarkStart w:id="33" w:name="_Toc38985268"/>
      <w:r/>
      <w:bookmarkStart w:id="34" w:name="_Toc35393795"/>
      <w:r>
        <w:rPr>
          <w:rFonts w:hint="eastAsia" w:ascii="Times New Roman" w:hAnsi="Times New Roman"/>
          <w:b/>
          <w:bCs/>
          <w:color w:val="000000" w:themeColor="text1"/>
          <w:sz w:val="32"/>
          <w:szCs w:val="32"/>
          <w:highlight w:val="none"/>
          <w14:textFill>
            <w14:solidFill>
              <w14:schemeClr w14:val="tx1"/>
            </w14:solidFill>
          </w14:textFill>
        </w:rPr>
        <w:t xml:space="preserve">六、其他补充事宜</w:t>
      </w:r>
      <w:bookmarkEnd w:id="32"/>
      <w:r/>
      <w:bookmarkEnd w:id="33"/>
      <w:r/>
      <w:bookmarkEnd w:id="34"/>
      <w:r>
        <w:rPr>
          <w:rFonts w:hint="eastAsia"/>
          <w:b/>
          <w:bCs/>
          <w:color w:val="000000" w:themeColor="text1"/>
          <w:sz w:val="32"/>
          <w:szCs w:val="32"/>
          <w:highlight w:val="none"/>
          <w:lang w:val="en-US" w:eastAsia="zh-CN"/>
          <w14:textFill>
            <w14:solidFill>
              <w14:schemeClr w14:val="tx1"/>
            </w14:solidFill>
          </w14:textFill>
        </w:rPr>
        <w:t xml:space="preserve">  </w:t>
      </w:r>
      <w:r>
        <w:rPr>
          <w:rFonts w:hint="eastAsia"/>
          <w:b/>
          <w:bCs/>
          <w:color w:val="000000" w:themeColor="text1"/>
          <w:sz w:val="32"/>
          <w:szCs w:val="32"/>
          <w:highlight w:val="none"/>
          <w:u w:val="single"/>
          <w:lang w:val="en-US" w:eastAsia="zh-CN"/>
          <w14:textFill>
            <w14:solidFill>
              <w14:schemeClr w14:val="tx1"/>
            </w14:solidFill>
          </w14:textFill>
        </w:rPr>
        <w:t xml:space="preserve">无</w:t>
      </w:r>
      <w:r/>
    </w:p>
    <w:p>
      <w:pPr>
        <w:ind w:firstLine="496"/>
        <w:keepLines/>
        <w:keepNext/>
        <w:spacing w:before="156" w:after="156" w:line="400" w:lineRule="exact"/>
        <w:rPr>
          <w:rFonts w:ascii="Times New Roman" w:hAnsi="Times New Roman"/>
          <w:b/>
          <w:bCs/>
          <w:color w:val="000000" w:themeColor="text1"/>
          <w:sz w:val="32"/>
          <w:szCs w:val="32"/>
          <w:highlight w:val="none"/>
          <w14:textFill>
            <w14:solidFill>
              <w14:schemeClr w14:val="tx1"/>
            </w14:solidFill>
          </w14:textFill>
        </w:rPr>
        <w:outlineLvl w:val="2"/>
      </w:pPr>
      <w:r/>
      <w:bookmarkStart w:id="35" w:name="_Toc38985269"/>
      <w:r/>
      <w:bookmarkStart w:id="36" w:name="_Toc35393627"/>
      <w:r/>
      <w:bookmarkStart w:id="37" w:name="_Toc28359008"/>
      <w:r/>
      <w:bookmarkStart w:id="38" w:name="_Toc35393796"/>
      <w:r/>
      <w:bookmarkStart w:id="39" w:name="_Toc28359085"/>
      <w:r>
        <w:rPr>
          <w:rFonts w:hint="eastAsia" w:ascii="Times New Roman" w:hAnsi="Times New Roman"/>
          <w:b/>
          <w:bCs/>
          <w:color w:val="000000" w:themeColor="text1"/>
          <w:sz w:val="32"/>
          <w:szCs w:val="32"/>
          <w:highlight w:val="none"/>
          <w14:textFill>
            <w14:solidFill>
              <w14:schemeClr w14:val="tx1"/>
            </w14:solidFill>
          </w14:textFill>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w:t>
      </w:r>
      <w:bookmarkStart w:id="40" w:name="_Toc28359086"/>
      <w:r/>
      <w:bookmarkStart w:id="41" w:name="_Toc28359009"/>
      <w:r>
        <w:rPr>
          <w:rFonts w:hint="eastAsia" w:ascii="仿宋" w:hAnsi="仿宋" w:eastAsia="仿宋" w:cs="宋体"/>
          <w:color w:val="000000" w:themeColor="text1"/>
          <w:sz w:val="28"/>
          <w:szCs w:val="28"/>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jc w:val="left"/>
        <w:spacing w:line="40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 称：</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宿迁学院</w:t>
      </w:r>
      <w:r/>
    </w:p>
    <w:p>
      <w:pPr>
        <w:ind w:firstLine="480"/>
        <w:jc w:val="left"/>
        <w:spacing w:line="400" w:lineRule="exac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w:t>
      </w:r>
      <w:r>
        <w:rPr>
          <w:rFonts w:hint="eastAsia" w:ascii="宋体" w:hAnsi="宋体"/>
          <w:color w:val="000000" w:themeColor="text1"/>
          <w:sz w:val="24"/>
          <w:szCs w:val="24"/>
          <w:highlight w:val="none"/>
          <w:u w:val="single"/>
          <w14:textFill>
            <w14:solidFill>
              <w14:schemeClr w14:val="tx1"/>
            </w14:solidFill>
          </w14:textFill>
        </w:rPr>
        <w:t xml:space="preserve">宿迁市</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黄河南路399号</w:t>
      </w:r>
      <w:r/>
    </w:p>
    <w:p>
      <w:pPr>
        <w:ind w:firstLine="480"/>
        <w:jc w:val="left"/>
        <w:spacing w:line="400" w:lineRule="exact"/>
        <w:rPr>
          <w:rFonts w:ascii="宋体" w:hAnsi="宋体" w:eastAsia="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w:t>
      </w:r>
      <w:r>
        <w:rPr>
          <w:rFonts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宗老师</w:t>
      </w:r>
      <w:r>
        <w:rPr>
          <w:rFonts w:ascii="宋体" w:hAnsi="宋体"/>
          <w:color w:val="000000" w:themeColor="text1"/>
          <w:sz w:val="24"/>
          <w:szCs w:val="24"/>
          <w:highlight w:val="none"/>
          <w:u w:val="single"/>
          <w:lang w:val="en-US" w:eastAsia="zh-CN"/>
          <w14:textFill>
            <w14:solidFill>
              <w14:schemeClr w14:val="tx1"/>
            </w14:solidFill>
          </w14:textFill>
        </w:rPr>
        <w:t xml:space="preserve">       </w:t>
      </w:r>
      <w:r/>
    </w:p>
    <w:p>
      <w:pPr>
        <w:ind w:firstLine="480"/>
        <w:jc w:val="left"/>
        <w:spacing w:line="400" w:lineRule="exact"/>
        <w:rPr>
          <w:rFonts w:ascii="宋体" w:hAnsi="宋体" w:eastAsia="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联系方式：</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0527-84201886</w:t>
      </w:r>
      <w:bookmarkEnd w:id="40"/>
      <w:r/>
      <w:bookmarkEnd w:id="41"/>
      <w:r/>
      <w:r/>
    </w:p>
    <w:p>
      <w:pPr>
        <w:ind w:firstLine="480"/>
        <w:jc w:val="left"/>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2.采购代理机构信息</w:t>
      </w:r>
      <w:r/>
    </w:p>
    <w:p>
      <w:pPr>
        <w:ind w:firstLine="480"/>
        <w:jc w:val="left"/>
        <w:spacing w:line="480" w:lineRule="exact"/>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bidi="ar-SA"/>
          <w14:textFill>
            <w14:solidFill>
              <w14:schemeClr w14:val="tx1"/>
            </w14:solidFill>
          </w14:textFill>
        </w:rPr>
        <w:t xml:space="preserve">名    称：</w:t>
      </w:r>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宿迁建威工程咨询有限公司</w:t>
      </w:r>
      <w:r/>
    </w:p>
    <w:p>
      <w:pPr>
        <w:ind w:firstLine="480"/>
        <w:jc w:val="left"/>
        <w:spacing w:line="48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bidi="ar-SA"/>
          <w14:textFill>
            <w14:solidFill>
              <w14:schemeClr w14:val="tx1"/>
            </w14:solidFill>
          </w14:textFill>
        </w:rPr>
        <w:t xml:space="preserve">地  　址：</w:t>
      </w:r>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宿迁市府苑小区商住楼A座二楼</w:t>
      </w:r>
      <w:r/>
    </w:p>
    <w:p>
      <w:pPr>
        <w:ind w:firstLine="480"/>
        <w:jc w:val="left"/>
        <w:spacing w:line="480" w:lineRule="exact"/>
        <w:rPr>
          <w:rFonts w:hint="default" w:ascii="宋体" w:hAnsi="宋体" w:eastAsia="宋体" w:cs="宋体"/>
          <w:color w:val="000000" w:themeColor="text1"/>
          <w:sz w:val="24"/>
          <w:szCs w:val="24"/>
          <w:highlight w:val="none"/>
          <w:u w:val="singl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bidi="ar-SA"/>
          <w14:textFill>
            <w14:solidFill>
              <w14:schemeClr w14:val="tx1"/>
            </w14:solidFill>
          </w14:textFill>
        </w:rPr>
        <w:t xml:space="preserve">联 系 人：</w:t>
      </w:r>
      <w:r>
        <w:rPr>
          <w:rFonts w:hint="eastAsia" w:ascii="宋体" w:hAnsi="宋体" w:cs="宋体"/>
          <w:color w:val="000000" w:themeColor="text1"/>
          <w:sz w:val="24"/>
          <w:szCs w:val="24"/>
          <w:highlight w:val="none"/>
          <w:u w:val="single"/>
          <w:lang w:val="en-US" w:bidi="ar-SA"/>
          <w14:textFill>
            <w14:solidFill>
              <w14:schemeClr w14:val="tx1"/>
            </w14:solidFill>
          </w14:textFill>
        </w:rPr>
        <w:t xml:space="preserve">李</w:t>
      </w:r>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许静</w:t>
      </w:r>
      <w:r/>
    </w:p>
    <w:p>
      <w:pPr>
        <w:ind w:firstLine="480"/>
        <w:jc w:val="left"/>
        <w:spacing w:line="48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bidi="ar-SA"/>
          <w14:textFill>
            <w14:solidFill>
              <w14:schemeClr w14:val="tx1"/>
            </w14:solidFill>
          </w14:textFill>
        </w:rPr>
        <w:t xml:space="preserve">联系方式：</w:t>
      </w:r>
      <w:bookmarkStart w:id="42" w:name="_Toc28359010"/>
      <w:r/>
      <w:bookmarkStart w:id="43" w:name="_Toc28359087"/>
      <w:r>
        <w:rPr>
          <w:rFonts w:hint="eastAsia" w:ascii="宋体" w:hAnsi="宋体" w:cs="宋体"/>
          <w:color w:val="000000" w:themeColor="text1"/>
          <w:sz w:val="24"/>
          <w:szCs w:val="24"/>
          <w:highlight w:val="none"/>
          <w:u w:val="single"/>
          <w:lang w:val="en-US" w:bidi="ar-SA"/>
          <w14:textFill>
            <w14:solidFill>
              <w14:schemeClr w14:val="tx1"/>
            </w14:solidFill>
          </w14:textFill>
        </w:rPr>
        <w:t xml:space="preserve">0527-</w:t>
      </w:r>
      <w:bookmarkEnd w:id="42"/>
      <w:r/>
      <w:bookmarkEnd w:id="43"/>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81888178</w:t>
      </w:r>
      <w:r/>
    </w:p>
    <w:p>
      <w:pPr>
        <w:ind w:firstLine="496"/>
        <w:keepLines/>
        <w:keepNext/>
        <w:spacing w:before="156" w:after="156" w:line="360" w:lineRule="auto"/>
        <w:rPr>
          <w:rFonts w:ascii="Times New Roman" w:hAnsi="Times New Roman"/>
          <w:b/>
          <w:bCs/>
          <w:color w:val="000000" w:themeColor="text1"/>
          <w:sz w:val="32"/>
          <w:szCs w:val="32"/>
          <w:highlight w:val="none"/>
          <w14:textFill>
            <w14:solidFill>
              <w14:schemeClr w14:val="tx1"/>
            </w14:solidFill>
          </w14:textFill>
        </w:rPr>
        <w:outlineLvl w:val="2"/>
      </w:pPr>
      <w:r>
        <w:rPr>
          <w:rFonts w:hint="eastAsia" w:ascii="Times New Roman" w:hAnsi="Times New Roman"/>
          <w:b/>
          <w:bCs/>
          <w:color w:val="000000" w:themeColor="text1"/>
          <w:sz w:val="32"/>
          <w:szCs w:val="32"/>
          <w:highlight w:val="none"/>
          <w14:textFill>
            <w14:solidFill>
              <w14:schemeClr w14:val="tx1"/>
            </w14:solidFill>
          </w14:textFill>
        </w:rPr>
        <w:t xml:space="preserve">八、其他</w:t>
      </w:r>
      <w:r/>
    </w:p>
    <w:p>
      <w:pPr>
        <w:ind w:firstLine="480"/>
        <w:spacing w:line="400" w:lineRule="exact"/>
        <w:tabs>
          <w:tab w:val="left" w:pos="900" w:leader="none"/>
        </w:tabs>
        <w:rPr>
          <w:rFonts w:ascii="宋体" w:hAnsi="宋体"/>
          <w:bCs/>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根据省财政厅《关于更换全省政府采购交易系统C A数字证书和电子签章的通知》（苏财购〔2023〕101号），</w:t>
      </w:r>
      <w:r>
        <w:rPr>
          <w:rFonts w:hint="eastAsia" w:ascii="宋体" w:hAnsi="宋体"/>
          <w:color w:val="000000" w:themeColor="text1"/>
          <w:sz w:val="24"/>
          <w:szCs w:val="24"/>
          <w:highlight w:val="none"/>
          <w14:textFill>
            <w14:solidFill>
              <w14:schemeClr w14:val="tx1"/>
            </w14:solidFill>
          </w14:textFill>
        </w:rPr>
        <w:t xml:space="preserve">“苏采云”政府采购交易系统（以下简称苏采云系统）</w:t>
      </w:r>
      <w:r>
        <w:rPr>
          <w:rFonts w:hint="eastAsia" w:ascii="宋体" w:hAnsi="宋体"/>
          <w:bCs/>
          <w:color w:val="000000" w:themeColor="text1"/>
          <w:sz w:val="24"/>
          <w:szCs w:val="24"/>
          <w:highlight w:val="none"/>
          <w14:textFill>
            <w14:solidFill>
              <w14:schemeClr w14:val="tx1"/>
            </w14:solidFill>
          </w14:textFill>
        </w:rPr>
        <w:t xml:space="preserve">的CA数字证书、电子签章已更换为江苏省电子政务证书认证中心C A和方正国际软件（北京）有限公司电子签章。如果投标人通过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4"/>
          <w:highlight w:val="none"/>
          <w14:textFill>
            <w14:solidFill>
              <w14:schemeClr w14:val="tx1"/>
            </w14:solidFill>
          </w14:textFill>
        </w:rPr>
        <w:t xml:space="preserve">参与政府采购项目，需要更换CA数字证书和电子签章。具体办理指南和操作手册见链接：</w:t>
      </w:r>
      <w:r>
        <w:rPr>
          <w:rFonts w:ascii="Times New Roman" w:hAnsi="Times New Roman"/>
          <w:bCs/>
          <w:color w:val="000000" w:themeColor="text1"/>
          <w:szCs w:val="21"/>
          <w:highlight w:val="none"/>
          <w:u w:val="none"/>
          <w14:textFill>
            <w14:solidFill>
              <w14:schemeClr w14:val="tx1"/>
            </w14:solidFill>
          </w14:textFill>
        </w:rPr>
        <w:t xml:space="preserve">http://www.ccgp-jiangsu.gov.cn/jiangsu/zlxz/ee/ee3a4bc5a3454aa2b0d9312230633ce9.html</w:t>
      </w:r>
      <w:r>
        <w:rPr>
          <w:rFonts w:ascii="Times New Roman" w:hAnsi="Times New Roman"/>
          <w:bCs/>
          <w:color w:val="000000" w:themeColor="text1"/>
          <w:szCs w:val="21"/>
          <w:highlight w:val="none"/>
          <w14:textFill>
            <w14:solidFill>
              <w14:schemeClr w14:val="tx1"/>
            </w14:solidFill>
          </w14:textFill>
        </w:rPr>
        <w:t xml:space="preserve">。</w:t>
      </w:r>
      <w:r/>
    </w:p>
    <w:p>
      <w:pPr>
        <w:ind w:firstLine="480"/>
        <w:spacing w:line="400" w:lineRule="exact"/>
        <w:tabs>
          <w:tab w:val="left" w:pos="90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color w:val="000000" w:themeColor="text1"/>
          <w:szCs w:val="21"/>
          <w:highlight w:val="none"/>
          <w14:textFill>
            <w14:solidFill>
              <w14:schemeClr w14:val="tx1"/>
            </w14:solidFill>
          </w14:textFill>
        </w:rPr>
        <w:t xml:space="preserve">（www.jszwfw.gov.cn）</w:t>
      </w:r>
      <w:r>
        <w:rPr>
          <w:rFonts w:hint="eastAsia" w:ascii="宋体" w:hAnsi="宋体"/>
          <w:bCs/>
          <w:color w:val="000000" w:themeColor="text1"/>
          <w:sz w:val="24"/>
          <w:szCs w:val="24"/>
          <w:highlight w:val="none"/>
          <w14:textFill>
            <w14:solidFill>
              <w14:schemeClr w14:val="tx1"/>
            </w14:solidFill>
          </w14:textFill>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如果“江苏政府采购网”</w:t>
      </w:r>
      <w:r>
        <w:rPr>
          <w:rFonts w:ascii="Times New Roman" w:hAnsi="Times New Roman"/>
          <w:bCs/>
          <w:color w:val="000000" w:themeColor="text1"/>
          <w:szCs w:val="21"/>
          <w:highlight w:val="none"/>
          <w14:textFill>
            <w14:solidFill>
              <w14:schemeClr w14:val="tx1"/>
            </w14:solidFill>
          </w14:textFill>
        </w:rPr>
        <w:t xml:space="preserve">（www.ccgp-jiangsu.gov.cn）</w:t>
      </w:r>
      <w:r>
        <w:rPr>
          <w:rFonts w:hint="eastAsia" w:ascii="Times New Roman" w:hAnsi="Times New Roman"/>
          <w:bCs/>
          <w:color w:val="000000" w:themeColor="text1"/>
          <w:sz w:val="24"/>
          <w:szCs w:val="24"/>
          <w:highlight w:val="none"/>
          <w14:textFill>
            <w14:solidFill>
              <w14:schemeClr w14:val="tx1"/>
            </w14:solidFill>
          </w14:textFill>
        </w:rPr>
        <w:t xml:space="preserve">信息</w:t>
      </w:r>
      <w:r>
        <w:rPr>
          <w:rFonts w:hint="eastAsia" w:ascii="宋体" w:hAnsi="宋体"/>
          <w:bCs/>
          <w:color w:val="000000" w:themeColor="text1"/>
          <w:sz w:val="24"/>
          <w:szCs w:val="24"/>
          <w:highlight w:val="none"/>
          <w14:textFill>
            <w14:solidFill>
              <w14:schemeClr w14:val="tx1"/>
            </w14:solidFill>
          </w14:textFill>
        </w:rPr>
        <w:t xml:space="preserve">与“江苏政务服务网” </w:t>
      </w:r>
      <w:r>
        <w:rPr>
          <w:rFonts w:ascii="Times New Roman" w:hAnsi="Times New Roman"/>
          <w:bCs/>
          <w:color w:val="000000" w:themeColor="text1"/>
          <w:szCs w:val="21"/>
          <w:highlight w:val="none"/>
          <w14:textFill>
            <w14:solidFill>
              <w14:schemeClr w14:val="tx1"/>
            </w14:solidFill>
          </w14:textFill>
        </w:rPr>
        <w:t xml:space="preserve">（www.jszwfw.gov.cn）</w:t>
      </w:r>
      <w:r>
        <w:rPr>
          <w:rFonts w:hint="eastAsia" w:ascii="宋体" w:hAnsi="宋体"/>
          <w:bCs/>
          <w:color w:val="000000" w:themeColor="text1"/>
          <w:sz w:val="24"/>
          <w:szCs w:val="24"/>
          <w:highlight w:val="none"/>
          <w14:textFill>
            <w14:solidFill>
              <w14:schemeClr w14:val="tx1"/>
            </w14:solidFill>
          </w14:textFill>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.有关本次招标的事项若存在变动或修改，敬请及时关注“江苏政府采购网”发布的更正公告。</w:t>
      </w:r>
      <w:r/>
    </w:p>
    <w:p>
      <w:pPr>
        <w:ind w:firstLine="480"/>
        <w:spacing w:line="4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.本次招标不收取投标保证金。</w:t>
      </w:r>
      <w:r/>
    </w:p>
    <w:p>
      <w:pPr>
        <w:ind w:firstLine="480"/>
        <w:spacing w:line="400" w:lineRule="exact"/>
        <w:tabs>
          <w:tab w:val="left" w:pos="900" w:leader="none"/>
        </w:tabs>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4.本项目</w:t>
      </w:r>
      <w:r>
        <w:rPr>
          <w:rFonts w:hint="eastAsia" w:ascii="Times New Roman" w:hAnsi="Times New Roman" w:cs="仿宋"/>
          <w:color w:val="000000" w:themeColor="text1"/>
          <w:sz w:val="24"/>
          <w:szCs w:val="24"/>
          <w:highlight w:val="none"/>
          <w14:textFill>
            <w14:solidFill>
              <w14:schemeClr w14:val="tx1"/>
            </w14:solidFill>
          </w14:textFill>
        </w:rPr>
        <w:t xml:space="preserve">不接受进口产品。</w:t>
      </w:r>
      <w:r/>
    </w:p>
    <w:p>
      <w:pPr>
        <w:ind w:right="840"/>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clear="all"/>
      </w:r>
      <w:bookmarkEnd w:id="1"/>
      <w:r/>
      <w:bookmarkEnd w:id="2"/>
      <w:r/>
      <w:bookmarkEnd w:id="3"/>
      <w:r/>
      <w:bookmarkEnd w:id="4"/>
      <w:r/>
      <w:bookmarkEnd w:id="5"/>
      <w:r/>
      <w:r/>
    </w:p>
    <w:p>
      <w:pPr>
        <w:ind w:firstLine="2429"/>
        <w:keepLines/>
        <w:keepNext/>
        <w:spacing w:before="260" w:after="260" w:line="416" w:lineRule="auto"/>
        <w:rPr>
          <w:rFonts w:hint="eastAsia" w:ascii="黑体" w:hAnsi="Arial" w:eastAsia="黑体" w:cs="Arial"/>
          <w:color w:val="000000" w:themeColor="text1"/>
          <w:sz w:val="44"/>
          <w:szCs w:val="44"/>
          <w:highlight w:val="none"/>
          <w14:textFill>
            <w14:solidFill>
              <w14:schemeClr w14:val="tx1"/>
            </w14:solidFill>
          </w14:textFill>
        </w:rPr>
        <w:outlineLvl w:val="1"/>
      </w:pPr>
      <w:r/>
      <w:bookmarkStart w:id="44" w:name="_Toc120614211"/>
      <w:r/>
      <w:bookmarkStart w:id="45" w:name="_Toc16938558"/>
      <w:r/>
      <w:bookmarkStart w:id="46" w:name="_Toc513029242"/>
      <w:r/>
      <w:bookmarkStart w:id="47" w:name="_Toc479757207"/>
      <w:r/>
      <w:bookmarkStart w:id="48" w:name="_Toc20823314"/>
      <w:r/>
      <w:bookmarkStart w:id="49" w:name="_Toc120614221"/>
      <w:r>
        <w:rPr>
          <w:rFonts w:hint="eastAsia" w:ascii="黑体" w:hAnsi="Arial" w:eastAsia="黑体" w:cs="Arial"/>
          <w:b/>
          <w:bCs/>
          <w:color w:val="000000" w:themeColor="text1"/>
          <w:sz w:val="44"/>
          <w:szCs w:val="44"/>
          <w:highlight w:val="none"/>
          <w14:textFill>
            <w14:solidFill>
              <w14:schemeClr w14:val="tx1"/>
            </w14:solidFill>
          </w14:textFill>
        </w:rPr>
        <w:t xml:space="preserve">第二章  </w:t>
      </w:r>
      <w:bookmarkEnd w:id="44"/>
      <w:r/>
      <w:bookmarkStart w:id="50" w:name="_Toc20823274"/>
      <w:r/>
      <w:bookmarkStart w:id="51" w:name="_Toc120614213"/>
      <w:r/>
      <w:bookmarkStart w:id="52" w:name="_Toc16938518"/>
      <w:r/>
      <w:bookmarkStart w:id="53" w:name="_Toc513029202"/>
      <w:r>
        <w:rPr>
          <w:rFonts w:hint="eastAsia" w:ascii="黑体" w:hAnsi="Arial" w:eastAsia="黑体" w:cs="Arial"/>
          <w:b/>
          <w:bCs/>
          <w:color w:val="000000" w:themeColor="text1"/>
          <w:sz w:val="44"/>
          <w:szCs w:val="44"/>
          <w:highlight w:val="none"/>
          <w14:textFill>
            <w14:solidFill>
              <w14:schemeClr w14:val="tx1"/>
            </w14:solidFill>
          </w14:textFill>
        </w:rPr>
        <w:t xml:space="preserve">投标人须知</w:t>
      </w:r>
      <w:bookmarkEnd w:id="50"/>
      <w:r/>
      <w:bookmarkEnd w:id="51"/>
      <w:r/>
      <w:bookmarkEnd w:id="52"/>
      <w:r/>
      <w:bookmarkEnd w:id="53"/>
      <w:r/>
      <w:r/>
    </w:p>
    <w:p>
      <w:pPr>
        <w:ind w:firstLine="498"/>
        <w:keepLines/>
        <w:keepNext/>
        <w:spacing w:before="156" w:after="156" w:line="40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54" w:name="_Toc513029203"/>
      <w:r/>
      <w:bookmarkStart w:id="55" w:name="_Toc20823275"/>
      <w:r/>
      <w:bookmarkStart w:id="56" w:name="_Toc120614214"/>
      <w:r/>
      <w:bookmarkStart w:id="57" w:name="_Toc16938519"/>
      <w:r>
        <w:rPr>
          <w:rFonts w:hint="eastAsia" w:ascii="Times New Roman" w:hAnsi="Times New Roman"/>
          <w:b/>
          <w:bCs/>
          <w:color w:val="000000" w:themeColor="text1"/>
          <w:sz w:val="32"/>
          <w:szCs w:val="32"/>
          <w:highlight w:val="none"/>
          <w14:textFill>
            <w14:solidFill>
              <w14:schemeClr w14:val="tx1"/>
            </w14:solidFill>
          </w14:textFill>
        </w:rPr>
        <w:t xml:space="preserve">一、总则</w:t>
      </w:r>
      <w:bookmarkEnd w:id="54"/>
      <w:r/>
      <w:bookmarkEnd w:id="55"/>
      <w:r/>
      <w:bookmarkEnd w:id="56"/>
      <w:r/>
      <w:bookmarkEnd w:id="57"/>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58" w:name="_Hlt16619475"/>
      <w:r/>
      <w:bookmarkEnd w:id="58"/>
      <w:r/>
      <w:bookmarkStart w:id="59" w:name="_Toc458694821"/>
      <w:r/>
      <w:bookmarkStart w:id="60" w:name="_Toc513029204"/>
      <w:r/>
      <w:bookmarkStart w:id="61" w:name="_Toc20823276"/>
      <w:r/>
      <w:bookmarkStart w:id="62" w:name="_Toc16938520"/>
      <w:r>
        <w:rPr>
          <w:rFonts w:hint="eastAsia" w:ascii="Arial" w:hAnsi="Arial" w:eastAsia="黑体" w:cs="Arial"/>
          <w:color w:val="000000" w:themeColor="text1"/>
          <w:sz w:val="28"/>
          <w:szCs w:val="28"/>
          <w:highlight w:val="none"/>
          <w14:textFill>
            <w14:solidFill>
              <w14:schemeClr w14:val="tx1"/>
            </w14:solidFill>
          </w14:textFill>
        </w:rPr>
        <w:t xml:space="preserve">1</w:t>
      </w:r>
      <w:bookmarkEnd w:id="59"/>
      <w:r>
        <w:rPr>
          <w:rFonts w:hint="eastAsia" w:ascii="Arial" w:hAnsi="Arial" w:eastAsia="黑体" w:cs="Arial"/>
          <w:color w:val="000000" w:themeColor="text1"/>
          <w:sz w:val="28"/>
          <w:szCs w:val="28"/>
          <w:highlight w:val="none"/>
          <w14:textFill>
            <w14:solidFill>
              <w14:schemeClr w14:val="tx1"/>
            </w14:solidFill>
          </w14:textFill>
        </w:rPr>
        <w:t xml:space="preserve">、招标方式</w:t>
      </w:r>
      <w:bookmarkEnd w:id="60"/>
      <w:r/>
      <w:bookmarkEnd w:id="61"/>
      <w:r/>
      <w:bookmarkEnd w:id="62"/>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1.1 本次招标采取公开招标方式，本招标文件仅适用于招标公告中所述项目。</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63" w:name="_Toc16938521"/>
      <w:r/>
      <w:bookmarkStart w:id="64" w:name="_Toc20823277"/>
      <w:r/>
      <w:bookmarkStart w:id="65" w:name="_Toc513029205"/>
      <w:r>
        <w:rPr>
          <w:rFonts w:hint="eastAsia" w:ascii="Arial" w:hAnsi="Arial" w:eastAsia="黑体" w:cs="Arial"/>
          <w:color w:val="000000" w:themeColor="text1"/>
          <w:sz w:val="28"/>
          <w:szCs w:val="28"/>
          <w:highlight w:val="none"/>
          <w14:textFill>
            <w14:solidFill>
              <w14:schemeClr w14:val="tx1"/>
            </w14:solidFill>
          </w14:textFill>
        </w:rPr>
        <w:t xml:space="preserve">2、合格的投标人</w:t>
      </w:r>
      <w:bookmarkEnd w:id="63"/>
      <w:r/>
      <w:bookmarkEnd w:id="64"/>
      <w:r/>
      <w:bookmarkEnd w:id="65"/>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2.1满足招标公告中供应商的资格要求的规定。</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 满足本文件实质性要求的规定。</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66" w:name="_Toc20823278"/>
      <w:r/>
      <w:bookmarkStart w:id="67" w:name="_Toc513029206"/>
      <w:r/>
      <w:bookmarkStart w:id="68" w:name="_Toc16938522"/>
      <w:r>
        <w:rPr>
          <w:rFonts w:hint="eastAsia" w:ascii="Arial" w:hAnsi="Arial" w:eastAsia="黑体" w:cs="Arial"/>
          <w:color w:val="000000" w:themeColor="text1"/>
          <w:sz w:val="28"/>
          <w:szCs w:val="28"/>
          <w:highlight w:val="none"/>
          <w14:textFill>
            <w14:solidFill>
              <w14:schemeClr w14:val="tx1"/>
            </w14:solidFill>
          </w14:textFill>
        </w:rPr>
        <w:t xml:space="preserve">3、适用法律</w:t>
      </w:r>
      <w:bookmarkEnd w:id="66"/>
      <w:r/>
      <w:bookmarkEnd w:id="67"/>
      <w:r/>
      <w:bookmarkEnd w:id="68"/>
      <w:r>
        <w:rPr>
          <w:rFonts w:hint="eastAsia" w:ascii="Arial" w:hAnsi="Arial" w:eastAsia="黑体" w:cs="Arial"/>
          <w:color w:val="000000" w:themeColor="text1"/>
          <w:sz w:val="28"/>
          <w:szCs w:val="28"/>
          <w:highlight w:val="none"/>
          <w:lang w:eastAsia="zh-CN"/>
          <w14:textFill>
            <w14:solidFill>
              <w14:schemeClr w14:val="tx1"/>
            </w14:solidFill>
          </w14:textFill>
        </w:rPr>
        <w:t xml:space="preserve">和标准</w:t>
      </w:r>
      <w:r/>
    </w:p>
    <w:p>
      <w:pPr>
        <w:ind w:firstLine="42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szCs w:val="21"/>
          <w:highlight w:val="none"/>
          <w14:textFill>
            <w14:solidFill>
              <w14:schemeClr w14:val="tx1"/>
            </w14:solidFill>
          </w14:textFill>
        </w:rPr>
        <w:t xml:space="preserve">。</w:t>
      </w:r>
      <w:r/>
    </w:p>
    <w:p>
      <w:pPr>
        <w:ind w:firstLine="420"/>
        <w:spacing w:line="400" w:lineRule="exact"/>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3.2 在本项目政府采购活动过程中，如果所执行的标准有更新的，按照最新标准执行。</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69" w:name="_Toc513029207"/>
      <w:r/>
      <w:bookmarkStart w:id="70" w:name="_Toc16938523"/>
      <w:r/>
      <w:bookmarkStart w:id="71" w:name="_Toc462564067"/>
      <w:r/>
      <w:bookmarkStart w:id="72" w:name="_Toc20823279"/>
      <w:r>
        <w:rPr>
          <w:rFonts w:hint="eastAsia" w:ascii="Arial" w:hAnsi="Arial" w:eastAsia="黑体" w:cs="Arial"/>
          <w:color w:val="000000" w:themeColor="text1"/>
          <w:sz w:val="28"/>
          <w:szCs w:val="28"/>
          <w:highlight w:val="none"/>
          <w14:textFill>
            <w14:solidFill>
              <w14:schemeClr w14:val="tx1"/>
            </w14:solidFill>
          </w14:textFill>
        </w:rPr>
        <w:t xml:space="preserve">4、投标费用</w:t>
      </w:r>
      <w:bookmarkEnd w:id="69"/>
      <w:r/>
      <w:bookmarkEnd w:id="70"/>
      <w:r/>
      <w:bookmarkEnd w:id="71"/>
      <w:r/>
      <w:bookmarkEnd w:id="72"/>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4.1</w:t>
      </w:r>
      <w:r>
        <w:rPr>
          <w:rFonts w:hint="eastAsia" w:ascii="宋体" w:hAnsi="宋体"/>
          <w:color w:val="000000" w:themeColor="text1"/>
          <w:sz w:val="24"/>
          <w:szCs w:val="21"/>
          <w:highlight w:val="none"/>
          <w14:textFill>
            <w14:solidFill>
              <w14:schemeClr w14:val="tx1"/>
            </w14:solidFill>
          </w14:textFill>
        </w:rPr>
        <w:t xml:space="preserve"> 投标人应自行承担所有与参加投标有关的费用，无论投标过程中的做法和结果如何，</w:t>
      </w:r>
      <w:r>
        <w:rPr>
          <w:rFonts w:hint="eastAsia" w:ascii="宋体" w:hAnsi="宋体"/>
          <w:color w:val="000000" w:themeColor="text1"/>
          <w:sz w:val="24"/>
          <w:szCs w:val="21"/>
          <w:highlight w:val="none"/>
          <w:lang w:val="en-US" w:eastAsia="zh-CN"/>
          <w14:textFill>
            <w14:solidFill>
              <w14:schemeClr w14:val="tx1"/>
            </w14:solidFill>
          </w14:textFill>
        </w:rPr>
        <w:t xml:space="preserve">宿迁建威工程咨询有限公司</w:t>
      </w:r>
      <w:r>
        <w:rPr>
          <w:rFonts w:hint="eastAsia" w:ascii="宋体" w:hAnsi="宋体"/>
          <w:color w:val="000000" w:themeColor="text1"/>
          <w:sz w:val="24"/>
          <w:szCs w:val="21"/>
          <w:highlight w:val="none"/>
          <w14:textFill>
            <w14:solidFill>
              <w14:schemeClr w14:val="tx1"/>
            </w14:solidFill>
          </w14:textFill>
        </w:rPr>
        <w:t xml:space="preserve">（以下简称采购</w:t>
      </w:r>
      <w:r>
        <w:rPr>
          <w:rFonts w:hint="eastAsia" w:ascii="宋体" w:hAnsi="宋体"/>
          <w:color w:val="000000" w:themeColor="text1"/>
          <w:sz w:val="24"/>
          <w:szCs w:val="21"/>
          <w:highlight w:val="none"/>
          <w:lang w:val="en-US" w:eastAsia="zh-CN"/>
          <w14:textFill>
            <w14:solidFill>
              <w14:schemeClr w14:val="tx1"/>
            </w14:solidFill>
          </w14:textFill>
        </w:rPr>
        <w:t xml:space="preserve">代理机构</w:t>
      </w:r>
      <w:r>
        <w:rPr>
          <w:rFonts w:hint="eastAsia" w:ascii="宋体" w:hAnsi="宋体"/>
          <w:color w:val="000000" w:themeColor="text1"/>
          <w:sz w:val="24"/>
          <w:szCs w:val="21"/>
          <w:highlight w:val="none"/>
          <w14:textFill>
            <w14:solidFill>
              <w14:schemeClr w14:val="tx1"/>
            </w14:solidFill>
          </w14:textFill>
        </w:rPr>
        <w:t xml:space="preserve">）在任何情况下均无义务和责任承担这些费用。</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4.2本次采购</w:t>
      </w:r>
      <w:r>
        <w:rPr>
          <w:rFonts w:hint="eastAsia" w:ascii="宋体" w:hAnsi="宋体"/>
          <w:color w:val="000000" w:themeColor="text1"/>
          <w:sz w:val="24"/>
          <w:szCs w:val="21"/>
          <w:highlight w:val="none"/>
          <w:lang w:val="en-US" w:eastAsia="zh-CN"/>
          <w14:textFill>
            <w14:solidFill>
              <w14:schemeClr w14:val="tx1"/>
            </w14:solidFill>
          </w14:textFill>
        </w:rPr>
        <w:t xml:space="preserve">代理机构</w:t>
      </w:r>
      <w:r>
        <w:rPr>
          <w:rFonts w:hint="eastAsia" w:ascii="宋体" w:hAnsi="宋体"/>
          <w:color w:val="000000" w:themeColor="text1"/>
          <w:sz w:val="24"/>
          <w:szCs w:val="21"/>
          <w:highlight w:val="none"/>
          <w14:textFill>
            <w14:solidFill>
              <w14:schemeClr w14:val="tx1"/>
            </w14:solidFill>
          </w14:textFill>
        </w:rPr>
        <w:t xml:space="preserve">和采购人不收取标书工本费。</w:t>
      </w:r>
      <w:r/>
    </w:p>
    <w:p>
      <w:pPr>
        <w:ind w:firstLine="480"/>
        <w:spacing w:line="400" w:lineRule="exact"/>
        <w:rPr>
          <w:rFonts w:hint="default" w:ascii="宋体" w:hAnsi="宋体" w:eastAsia="宋体"/>
          <w:color w:val="000000" w:themeColor="text1"/>
          <w:sz w:val="24"/>
          <w:szCs w:val="21"/>
          <w:highlight w:val="none"/>
          <w:lang w:val="en-US" w:eastAsia="zh-CN"/>
          <w14:textFill>
            <w14:solidFill>
              <w14:schemeClr w14:val="tx1"/>
            </w14:solidFill>
          </w14:textFill>
        </w:rPr>
      </w:pPr>
      <w:r>
        <w:rPr>
          <w:rFonts w:hint="eastAsia" w:ascii="宋体" w:hAnsi="宋体"/>
          <w:color w:val="000000" w:themeColor="text1"/>
          <w:sz w:val="24"/>
          <w:szCs w:val="21"/>
          <w:highlight w:val="none"/>
          <w:lang w:val="en-US" w:eastAsia="zh-CN"/>
          <w14:textFill>
            <w14:solidFill>
              <w14:schemeClr w14:val="tx1"/>
            </w14:solidFill>
          </w14:textFill>
        </w:rPr>
        <w:t xml:space="preserve">4.3中标</w:t>
      </w:r>
      <w:r>
        <w:rPr>
          <w:rFonts w:hint="eastAsia" w:ascii="宋体" w:hAnsi="宋体"/>
          <w:color w:val="000000" w:themeColor="text1"/>
          <w:sz w:val="24"/>
          <w:szCs w:val="21"/>
          <w:highlight w:val="none"/>
          <w14:textFill>
            <w14:solidFill>
              <w14:schemeClr w14:val="tx1"/>
            </w14:solidFill>
          </w14:textFill>
        </w:rPr>
        <w:t xml:space="preserve">人应</w:t>
      </w:r>
      <w:r>
        <w:rPr>
          <w:rFonts w:hint="eastAsia" w:ascii="宋体" w:hAnsi="宋体" w:eastAsia="宋体" w:cs="宋体"/>
          <w:color w:val="000000" w:themeColor="text1"/>
          <w:sz w:val="24"/>
          <w:szCs w:val="24"/>
          <w:highlight w:val="none"/>
          <w14:textFill>
            <w14:solidFill>
              <w14:schemeClr w14:val="tx1"/>
            </w14:solidFill>
          </w14:textFill>
        </w:rPr>
        <w:t xml:space="preserve">按计价格【2002】1980号文件规定标准的4</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%计取</w:t>
      </w:r>
      <w:r>
        <w:rPr>
          <w:rFonts w:hint="eastAsia" w:ascii="宋体" w:hAnsi="宋体" w:cs="宋体"/>
          <w:color w:val="000000" w:themeColor="text1"/>
          <w:sz w:val="24"/>
          <w:szCs w:val="24"/>
          <w:highlight w:val="none"/>
          <w:lang w:val="en-US" w:eastAsia="zh-CN"/>
          <w14:textFill>
            <w14:solidFill>
              <w14:schemeClr w14:val="tx1"/>
            </w14:solidFill>
          </w14:textFill>
        </w:rPr>
        <w:t xml:space="preserve">支付采购代理服务费。</w:t>
      </w:r>
      <w:r/>
    </w:p>
    <w:p>
      <w:pPr>
        <w:ind w:firstLine="452"/>
        <w:keepLines/>
        <w:keepNext/>
        <w:spacing w:line="400" w:lineRule="exact"/>
        <w:rPr>
          <w:rFonts w:hint="eastAsia" w:ascii="黑体" w:hAnsi="宋体" w:eastAsia="黑体" w:cs="Arial"/>
          <w:color w:val="000000" w:themeColor="text1"/>
          <w:sz w:val="28"/>
          <w:szCs w:val="28"/>
          <w:highlight w:val="none"/>
          <w14:textFill>
            <w14:solidFill>
              <w14:schemeClr w14:val="tx1"/>
            </w14:solidFill>
          </w14:textFill>
        </w:rPr>
        <w:outlineLvl w:val="3"/>
      </w:pPr>
      <w:r>
        <w:rPr>
          <w:rFonts w:hint="eastAsia" w:ascii="宋体" w:hAnsi="宋体" w:eastAsia="黑体" w:cs="Arial"/>
          <w:b/>
          <w:bCs/>
          <w:color w:val="000000" w:themeColor="text1"/>
          <w:sz w:val="30"/>
          <w:szCs w:val="28"/>
          <w:highlight w:val="none"/>
          <w14:textFill>
            <w14:solidFill>
              <w14:schemeClr w14:val="tx1"/>
            </w14:solidFill>
          </w14:textFill>
        </w:rPr>
        <w:t xml:space="preserve">5、</w:t>
      </w:r>
      <w:r>
        <w:rPr>
          <w:rFonts w:hint="eastAsia" w:ascii="黑体" w:hAnsi="宋体" w:eastAsia="黑体" w:cs="Arial"/>
          <w:color w:val="000000" w:themeColor="text1"/>
          <w:sz w:val="28"/>
          <w:szCs w:val="28"/>
          <w:highlight w:val="none"/>
          <w14:textFill>
            <w14:solidFill>
              <w14:schemeClr w14:val="tx1"/>
            </w14:solidFill>
          </w14:textFill>
        </w:rPr>
        <w:t xml:space="preserve">招标文件的约束力</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 投标人一旦参加本项目采购活动，即被认为接受了本招标文件的规定和约束。</w:t>
      </w:r>
      <w:r/>
    </w:p>
    <w:p>
      <w:pPr>
        <w:ind w:firstLine="321"/>
        <w:keepLines/>
        <w:keepNext/>
        <w:spacing w:before="156" w:after="156" w:line="40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73" w:name="_Toc20823281"/>
      <w:r/>
      <w:bookmarkStart w:id="74" w:name="_Toc120614215"/>
      <w:r/>
      <w:bookmarkStart w:id="75" w:name="_Toc16938525"/>
      <w:r/>
      <w:bookmarkStart w:id="76" w:name="_Toc513029209"/>
      <w:r>
        <w:rPr>
          <w:rFonts w:hint="eastAsia" w:ascii="Times New Roman" w:hAnsi="Times New Roman"/>
          <w:b/>
          <w:bCs/>
          <w:color w:val="000000" w:themeColor="text1"/>
          <w:sz w:val="32"/>
          <w:szCs w:val="32"/>
          <w:highlight w:val="none"/>
          <w14:textFill>
            <w14:solidFill>
              <w14:schemeClr w14:val="tx1"/>
            </w14:solidFill>
          </w14:textFill>
        </w:rPr>
        <w:t xml:space="preserve">二、招标文件</w:t>
      </w:r>
      <w:bookmarkEnd w:id="73"/>
      <w:r/>
      <w:bookmarkEnd w:id="74"/>
      <w:r/>
      <w:bookmarkEnd w:id="75"/>
      <w:r/>
      <w:bookmarkEnd w:id="76"/>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77" w:name="_Toc513029210"/>
      <w:r/>
      <w:bookmarkStart w:id="78" w:name="_Toc20823282"/>
      <w:r/>
      <w:bookmarkStart w:id="79" w:name="_Toc16938526"/>
      <w:r>
        <w:rPr>
          <w:rFonts w:hint="eastAsia" w:ascii="Arial" w:hAnsi="Arial" w:eastAsia="黑体" w:cs="Arial"/>
          <w:color w:val="000000" w:themeColor="text1"/>
          <w:sz w:val="28"/>
          <w:szCs w:val="28"/>
          <w:highlight w:val="none"/>
          <w14:textFill>
            <w14:solidFill>
              <w14:schemeClr w14:val="tx1"/>
            </w14:solidFill>
          </w14:textFill>
        </w:rPr>
        <w:t xml:space="preserve">6、招标文件构成</w:t>
      </w:r>
      <w:bookmarkEnd w:id="77"/>
      <w:r/>
      <w:bookmarkEnd w:id="78"/>
      <w:r/>
      <w:bookmarkEnd w:id="79"/>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6.1</w:t>
      </w:r>
      <w:r>
        <w:rPr>
          <w:rFonts w:hint="eastAsia" w:ascii="宋体" w:hAnsi="宋体"/>
          <w:color w:val="000000" w:themeColor="text1"/>
          <w:sz w:val="24"/>
          <w:szCs w:val="21"/>
          <w:highlight w:val="none"/>
          <w14:textFill>
            <w14:solidFill>
              <w14:schemeClr w14:val="tx1"/>
            </w14:solidFill>
          </w14:textFill>
        </w:rPr>
        <w:t xml:space="preserve"> 招标文件由以下部分组成：</w:t>
      </w: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p>
    <w:p>
      <w:pPr>
        <w:ind w:firstLine="360"/>
        <w:spacing w:line="40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ascii="Times New Roman" w:hAnsi="宋体"/>
          <w:color w:val="000000" w:themeColor="text1"/>
          <w:sz w:val="24"/>
          <w:szCs w:val="24"/>
          <w:highlight w:val="none"/>
          <w14:textFill>
            <w14:solidFill>
              <w14:schemeClr w14:val="tx1"/>
            </w14:solidFill>
          </w14:textFill>
        </w:rPr>
        <w:t xml:space="preserve">评标方法与评标标准</w:t>
      </w: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（6）投标文件格式</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请仔细检查招标文件是否齐全，如有缺漏请立即与</w:t>
      </w:r>
      <w:r>
        <w:rPr>
          <w:rFonts w:hint="eastAsia" w:ascii="宋体" w:hAnsi="宋体"/>
          <w:color w:val="000000" w:themeColor="text1"/>
          <w:sz w:val="24"/>
          <w:szCs w:val="21"/>
          <w:highlight w:val="none"/>
          <w:lang w:eastAsia="zh-CN"/>
          <w14:textFill>
            <w14:solidFill>
              <w14:schemeClr w14:val="tx1"/>
            </w14:solidFill>
          </w14:textFill>
        </w:rPr>
        <w:t xml:space="preserve">采购代理机构</w:t>
      </w:r>
      <w:r>
        <w:rPr>
          <w:rFonts w:hint="eastAsia" w:ascii="宋体" w:hAnsi="宋体"/>
          <w:color w:val="000000" w:themeColor="text1"/>
          <w:sz w:val="24"/>
          <w:szCs w:val="21"/>
          <w:highlight w:val="none"/>
          <w14:textFill>
            <w14:solidFill>
              <w14:schemeClr w14:val="tx1"/>
            </w14:solidFill>
          </w14:textFill>
        </w:rPr>
        <w:t xml:space="preserve">联系解决。</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6.2</w:t>
      </w:r>
      <w:r>
        <w:rPr>
          <w:rFonts w:hint="eastAsia" w:ascii="宋体" w:hAnsi="宋体"/>
          <w:color w:val="000000" w:themeColor="text1"/>
          <w:sz w:val="24"/>
          <w:szCs w:val="21"/>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80" w:name="_Toc513029212"/>
      <w:r/>
      <w:bookmarkStart w:id="81" w:name="_Toc20823284"/>
      <w:r/>
      <w:bookmarkStart w:id="82" w:name="_Toc16938528"/>
      <w:r/>
      <w:bookmarkStart w:id="83" w:name="_Toc462564071"/>
      <w:r>
        <w:rPr>
          <w:rFonts w:ascii="Arial" w:hAnsi="Arial" w:eastAsia="黑体" w:cs="Arial"/>
          <w:color w:val="000000" w:themeColor="text1"/>
          <w:sz w:val="28"/>
          <w:szCs w:val="28"/>
          <w:highlight w:val="none"/>
          <w14:textFill>
            <w14:solidFill>
              <w14:schemeClr w14:val="tx1"/>
            </w14:solidFill>
          </w14:textFill>
        </w:rPr>
        <w:t xml:space="preserve">7</w:t>
      </w:r>
      <w:r>
        <w:rPr>
          <w:rFonts w:hint="eastAsia" w:ascii="Arial" w:hAnsi="Arial" w:eastAsia="黑体" w:cs="Arial"/>
          <w:color w:val="000000" w:themeColor="text1"/>
          <w:sz w:val="28"/>
          <w:szCs w:val="28"/>
          <w:highlight w:val="none"/>
          <w14:textFill>
            <w14:solidFill>
              <w14:schemeClr w14:val="tx1"/>
            </w14:solidFill>
          </w14:textFill>
        </w:rPr>
        <w:t xml:space="preserve">、招标文件的修改</w:t>
      </w:r>
      <w:bookmarkEnd w:id="80"/>
      <w:r/>
      <w:bookmarkEnd w:id="81"/>
      <w:r/>
      <w:bookmarkEnd w:id="82"/>
      <w:r/>
      <w:bookmarkEnd w:id="83"/>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 在投标截止时间</w:t>
      </w:r>
      <w:r>
        <w:rPr>
          <w:rFonts w:hint="eastAsia" w:ascii="仿宋_GB2312" w:hAnsi="仿宋_GB2312"/>
          <w:color w:val="000000" w:themeColor="text1"/>
          <w:sz w:val="24"/>
          <w:szCs w:val="21"/>
          <w:highlight w:val="none"/>
          <w14:textFill>
            <w14:solidFill>
              <w14:schemeClr w14:val="tx1"/>
            </w14:solidFill>
          </w14:textFill>
        </w:rPr>
        <w:t xml:space="preserve">前</w:t>
      </w:r>
      <w:r>
        <w:rPr>
          <w:rFonts w:hint="eastAsia"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lang w:eastAsia="zh-CN"/>
          <w14:textFill>
            <w14:solidFill>
              <w14:schemeClr w14:val="tx1"/>
            </w14:solidFill>
          </w14:textFill>
        </w:rPr>
        <w:t xml:space="preserve">采购代理机构</w:t>
      </w:r>
      <w:r>
        <w:rPr>
          <w:rFonts w:hint="eastAsia" w:ascii="宋体" w:hAnsi="宋体"/>
          <w:color w:val="000000" w:themeColor="text1"/>
          <w:sz w:val="24"/>
          <w:szCs w:val="21"/>
          <w:highlight w:val="none"/>
          <w14:textFill>
            <w14:solidFill>
              <w14:schemeClr w14:val="tx1"/>
            </w14:solidFill>
          </w14:textFill>
        </w:rPr>
        <w:t xml:space="preserve">可以对招标文件进行修改。</w:t>
      </w:r>
      <w:r/>
    </w:p>
    <w:p>
      <w:pPr>
        <w:ind w:firstLine="480"/>
        <w:spacing w:line="400" w:lineRule="exact"/>
        <w:rPr>
          <w:rFonts w:hint="eastAsia" w:ascii="宋体" w:hAnsi="Arial"/>
          <w:color w:val="000000" w:themeColor="text1"/>
          <w:sz w:val="28"/>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 </w:t>
      </w:r>
      <w:r>
        <w:rPr>
          <w:rFonts w:hint="eastAsia" w:ascii="宋体" w:hAnsi="宋体"/>
          <w:color w:val="000000" w:themeColor="text1"/>
          <w:sz w:val="24"/>
          <w:szCs w:val="21"/>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有权按照法定的要求</w:t>
      </w:r>
      <w:r>
        <w:rPr>
          <w:rFonts w:hint="eastAsia" w:ascii="宋体" w:hAnsi="宋体"/>
          <w:color w:val="000000" w:themeColor="text1"/>
          <w:sz w:val="24"/>
          <w:szCs w:val="21"/>
          <w:highlight w:val="none"/>
          <w14:textFill>
            <w14:solidFill>
              <w14:schemeClr w14:val="tx1"/>
            </w14:solidFill>
          </w14:textFill>
        </w:rPr>
        <w:t xml:space="preserve">推迟投标截止日期和开标日期。</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.3 </w:t>
      </w:r>
      <w:r>
        <w:rPr>
          <w:rFonts w:hint="eastAsia" w:ascii="宋体" w:hAnsi="宋体"/>
          <w:color w:val="000000" w:themeColor="text1"/>
          <w:sz w:val="24"/>
          <w:szCs w:val="21"/>
          <w:highlight w:val="none"/>
          <w14:textFill>
            <w14:solidFill>
              <w14:schemeClr w14:val="tx1"/>
            </w14:solidFill>
          </w14:textFill>
        </w:rPr>
        <w:t xml:space="preserve">招标文件的修改将在江苏政府采购网公布，</w:t>
      </w:r>
      <w:r>
        <w:rPr>
          <w:rFonts w:hint="eastAsia" w:ascii="宋体" w:hAnsi="宋体"/>
          <w:color w:val="000000" w:themeColor="text1"/>
          <w:sz w:val="24"/>
          <w:szCs w:val="24"/>
          <w:highlight w:val="none"/>
          <w14:textFill>
            <w14:solidFill>
              <w14:schemeClr w14:val="tx1"/>
            </w14:solidFill>
          </w14:textFill>
        </w:rPr>
        <w:t xml:space="preserve">补充文件将作为招标文件的组成部分，</w:t>
      </w:r>
      <w:r>
        <w:rPr>
          <w:rFonts w:hint="eastAsia" w:ascii="宋体" w:hAnsi="宋体"/>
          <w:color w:val="000000" w:themeColor="text1"/>
          <w:sz w:val="24"/>
          <w:szCs w:val="21"/>
          <w:highlight w:val="none"/>
          <w14:textFill>
            <w14:solidFill>
              <w14:schemeClr w14:val="tx1"/>
            </w14:solidFill>
          </w14:textFill>
        </w:rPr>
        <w:t xml:space="preserve">并对投标人具有约束力。</w:t>
      </w:r>
      <w:r/>
    </w:p>
    <w:p>
      <w:pPr>
        <w:ind w:firstLine="482"/>
        <w:keepLines/>
        <w:keepNext/>
        <w:spacing w:before="156" w:after="156" w:line="40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84" w:name="_Toc513029213"/>
      <w:r/>
      <w:bookmarkStart w:id="85" w:name="_Toc462564072"/>
      <w:r/>
      <w:bookmarkStart w:id="86" w:name="_Toc16938529"/>
      <w:r/>
      <w:bookmarkStart w:id="87" w:name="_Toc20823285"/>
      <w:r/>
      <w:bookmarkStart w:id="88" w:name="_Toc120614216"/>
      <w:r>
        <w:rPr>
          <w:rFonts w:hint="eastAsia" w:ascii="Times New Roman" w:hAnsi="Times New Roman"/>
          <w:b/>
          <w:bCs/>
          <w:color w:val="000000" w:themeColor="text1"/>
          <w:sz w:val="32"/>
          <w:szCs w:val="32"/>
          <w:highlight w:val="none"/>
          <w14:textFill>
            <w14:solidFill>
              <w14:schemeClr w14:val="tx1"/>
            </w14:solidFill>
          </w14:textFill>
        </w:rPr>
        <w:t xml:space="preserve">三、投标文件的编制</w:t>
      </w:r>
      <w:bookmarkEnd w:id="84"/>
      <w:r/>
      <w:bookmarkEnd w:id="85"/>
      <w:r/>
      <w:bookmarkEnd w:id="86"/>
      <w:r/>
      <w:bookmarkEnd w:id="87"/>
      <w:r/>
      <w:bookmarkEnd w:id="88"/>
      <w:r/>
      <w:r/>
    </w:p>
    <w:p>
      <w:pPr>
        <w:ind w:firstLine="560"/>
        <w:keepLines/>
        <w:keepNext/>
        <w:spacing w:line="400" w:lineRule="exact"/>
        <w:rPr>
          <w:rFonts w:hint="eastAsia" w:ascii="Arial" w:hAnsi="Arial" w:eastAsia="黑体" w:cs="Arial"/>
          <w:b/>
          <w:color w:val="000000" w:themeColor="text1"/>
          <w:sz w:val="28"/>
          <w:szCs w:val="28"/>
          <w:highlight w:val="none"/>
          <w14:textFill>
            <w14:solidFill>
              <w14:schemeClr w14:val="tx1"/>
            </w14:solidFill>
          </w14:textFill>
        </w:rPr>
        <w:outlineLvl w:val="3"/>
      </w:pPr>
      <w:r/>
      <w:bookmarkStart w:id="89" w:name="_Toc16938530"/>
      <w:r/>
      <w:bookmarkStart w:id="90" w:name="_Toc20823286"/>
      <w:r/>
      <w:bookmarkStart w:id="91" w:name="_Toc462564073"/>
      <w:r/>
      <w:bookmarkStart w:id="92" w:name="_Toc513029214"/>
      <w:r>
        <w:rPr>
          <w:rFonts w:ascii="Arial" w:hAnsi="Arial" w:eastAsia="黑体" w:cs="Arial"/>
          <w:color w:val="000000" w:themeColor="text1"/>
          <w:sz w:val="28"/>
          <w:szCs w:val="28"/>
          <w:highlight w:val="none"/>
          <w14:textFill>
            <w14:solidFill>
              <w14:schemeClr w14:val="tx1"/>
            </w14:solidFill>
          </w14:textFill>
        </w:rPr>
        <w:t xml:space="preserve">8</w:t>
      </w:r>
      <w:r>
        <w:rPr>
          <w:rFonts w:hint="eastAsia" w:ascii="Arial" w:hAnsi="Arial" w:eastAsia="黑体" w:cs="Arial"/>
          <w:color w:val="000000" w:themeColor="text1"/>
          <w:sz w:val="28"/>
          <w:szCs w:val="28"/>
          <w:highlight w:val="none"/>
          <w14:textFill>
            <w14:solidFill>
              <w14:schemeClr w14:val="tx1"/>
            </w14:solidFill>
          </w14:textFill>
        </w:rPr>
        <w:t xml:space="preserve">、投标文件的语言及度量衡单位</w:t>
      </w:r>
      <w:bookmarkEnd w:id="89"/>
      <w:r/>
      <w:bookmarkEnd w:id="90"/>
      <w:r/>
      <w:bookmarkEnd w:id="91"/>
      <w:r/>
      <w:bookmarkEnd w:id="92"/>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 投标人提交的投标文件以及投标人与</w:t>
      </w:r>
      <w:r>
        <w:rPr>
          <w:rFonts w:hint="eastAsia" w:ascii="宋体" w:hAnsi="宋体"/>
          <w:color w:val="000000" w:themeColor="text1"/>
          <w:sz w:val="24"/>
          <w:szCs w:val="21"/>
          <w:highlight w:val="none"/>
          <w:lang w:eastAsia="zh-CN"/>
          <w14:textFill>
            <w14:solidFill>
              <w14:schemeClr w14:val="tx1"/>
            </w14:solidFill>
          </w14:textFill>
        </w:rPr>
        <w:t xml:space="preserve">采购代理机构</w:t>
      </w:r>
      <w:r>
        <w:rPr>
          <w:rFonts w:hint="eastAsia" w:ascii="宋体" w:hAnsi="宋体"/>
          <w:color w:val="000000" w:themeColor="text1"/>
          <w:sz w:val="24"/>
          <w:szCs w:val="21"/>
          <w:highlight w:val="none"/>
          <w14:textFill>
            <w14:solidFill>
              <w14:schemeClr w14:val="tx1"/>
            </w14:solidFill>
          </w14:textFill>
        </w:rPr>
        <w:t xml:space="preserve">就有关投标的所有来往通知、函件和文件均应使用</w:t>
      </w:r>
      <w:r>
        <w:rPr>
          <w:rFonts w:hint="eastAsia" w:ascii="宋体" w:hAnsi="宋体"/>
          <w:b/>
          <w:bCs/>
          <w:color w:val="000000" w:themeColor="text1"/>
          <w:sz w:val="24"/>
          <w:szCs w:val="21"/>
          <w:highlight w:val="none"/>
          <w14:textFill>
            <w14:solidFill>
              <w14:schemeClr w14:val="tx1"/>
            </w14:solidFill>
          </w14:textFill>
        </w:rPr>
        <w:t xml:space="preserve">简体中文</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 除技术性能另有规定外，投标文件所使用的度量衡单位，均须采用国家法定计量单位。</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93" w:name="_Toc462564074"/>
      <w:r/>
      <w:bookmarkStart w:id="94" w:name="_Toc513029215"/>
      <w:r/>
      <w:bookmarkStart w:id="95" w:name="_Toc20823287"/>
      <w:r/>
      <w:bookmarkStart w:id="96" w:name="_Toc16938531"/>
      <w:r>
        <w:rPr>
          <w:rFonts w:ascii="Arial" w:hAnsi="Arial" w:eastAsia="黑体" w:cs="Arial"/>
          <w:color w:val="000000" w:themeColor="text1"/>
          <w:sz w:val="28"/>
          <w:szCs w:val="28"/>
          <w:highlight w:val="none"/>
          <w14:textFill>
            <w14:solidFill>
              <w14:schemeClr w14:val="tx1"/>
            </w14:solidFill>
          </w14:textFill>
        </w:rPr>
        <w:t xml:space="preserve">9</w:t>
      </w:r>
      <w:r>
        <w:rPr>
          <w:rFonts w:hint="eastAsia" w:ascii="Arial" w:hAnsi="Arial" w:eastAsia="黑体" w:cs="Arial"/>
          <w:color w:val="000000" w:themeColor="text1"/>
          <w:sz w:val="28"/>
          <w:szCs w:val="28"/>
          <w:highlight w:val="none"/>
          <w14:textFill>
            <w14:solidFill>
              <w14:schemeClr w14:val="tx1"/>
            </w14:solidFill>
          </w14:textFill>
        </w:rPr>
        <w:t xml:space="preserve">、投标文件构成</w:t>
      </w:r>
      <w:bookmarkEnd w:id="93"/>
      <w:r/>
      <w:bookmarkEnd w:id="94"/>
      <w:r/>
      <w:bookmarkEnd w:id="95"/>
      <w:r/>
      <w:bookmarkEnd w:id="96"/>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9</w:t>
      </w:r>
      <w:r>
        <w:rPr>
          <w:rFonts w:hint="eastAsia" w:ascii="宋体" w:hAnsi="宋体"/>
          <w:bCs/>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 投标人编写的投标文件应包括资格证明文件、</w:t>
      </w:r>
      <w:r>
        <w:rPr>
          <w:rFonts w:hint="eastAsia" w:ascii="宋体" w:hAnsi="宋体"/>
          <w:color w:val="000000" w:themeColor="text1"/>
          <w:sz w:val="24"/>
          <w:szCs w:val="24"/>
          <w:highlight w:val="none"/>
          <w14:textFill>
            <w14:solidFill>
              <w14:schemeClr w14:val="tx1"/>
            </w14:solidFill>
          </w14:textFill>
        </w:rPr>
        <w:t xml:space="preserve">实质性要求响应及偏离表</w:t>
      </w:r>
      <w:r>
        <w:rPr>
          <w:rFonts w:hint="eastAsia" w:ascii="宋体" w:hAnsi="宋体"/>
          <w:color w:val="000000" w:themeColor="text1"/>
          <w:sz w:val="24"/>
          <w:szCs w:val="21"/>
          <w:highlight w:val="none"/>
          <w14:textFill>
            <w14:solidFill>
              <w14:schemeClr w14:val="tx1"/>
            </w14:solidFill>
          </w14:textFill>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9</w:t>
      </w:r>
      <w:r>
        <w:rPr>
          <w:rFonts w:hint="eastAsia" w:ascii="宋体" w:hAnsi="宋体"/>
          <w:color w:val="000000" w:themeColor="text1"/>
          <w:sz w:val="24"/>
          <w:szCs w:val="21"/>
          <w:highlight w:val="none"/>
          <w14:textFill>
            <w14:solidFill>
              <w14:schemeClr w14:val="tx1"/>
            </w14:solidFill>
          </w14:textFill>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97" w:name="_Hlt26954838"/>
      <w:r/>
      <w:bookmarkEnd w:id="97"/>
      <w:r/>
      <w:bookmarkStart w:id="98" w:name="_Hlt26670360"/>
      <w:r/>
      <w:bookmarkEnd w:id="98"/>
      <w:r/>
      <w:bookmarkStart w:id="99" w:name="_Hlt26668975"/>
      <w:r/>
      <w:bookmarkEnd w:id="99"/>
      <w:r/>
      <w:bookmarkStart w:id="100" w:name="_Toc14577357"/>
      <w:r/>
      <w:bookmarkStart w:id="101" w:name="_Toc513029216"/>
      <w:r/>
      <w:bookmarkStart w:id="102" w:name="_Toc14577354"/>
      <w:r/>
      <w:bookmarkStart w:id="103" w:name="_Toc49090509"/>
      <w:r/>
      <w:bookmarkStart w:id="104" w:name="_Toc49090507"/>
      <w:r/>
      <w:bookmarkStart w:id="105" w:name="_Toc513029219"/>
      <w:r/>
      <w:bookmarkStart w:id="106" w:name="_Toc14577355"/>
      <w:r/>
      <w:bookmarkStart w:id="107" w:name="_Toc49090508"/>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0</w:t>
      </w:r>
      <w:r>
        <w:rPr>
          <w:rFonts w:hint="eastAsia" w:ascii="Arial" w:hAnsi="Arial" w:eastAsia="黑体" w:cs="Arial"/>
          <w:color w:val="000000" w:themeColor="text1"/>
          <w:sz w:val="28"/>
          <w:szCs w:val="28"/>
          <w:highlight w:val="none"/>
          <w14:textFill>
            <w14:solidFill>
              <w14:schemeClr w14:val="tx1"/>
            </w14:solidFill>
          </w14:textFill>
        </w:rPr>
        <w:t xml:space="preserve">、证明投标人及投标标的符合招标文件规定的文件</w:t>
      </w:r>
      <w:bookmarkEnd w:id="100"/>
      <w:r/>
      <w:bookmarkEnd w:id="101"/>
      <w:r/>
      <w:bookmarkEnd w:id="102"/>
      <w:r/>
      <w:bookmarkEnd w:id="103"/>
      <w:r/>
      <w:bookmarkEnd w:id="104"/>
      <w:r/>
      <w:bookmarkEnd w:id="105"/>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.1 投标人应按照招标文件要求提交证明文件，证明其及投标标的符合招标文件规定。</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.2招标文件对证明文件无明确形式要求的，证明文件可以以文字资料、图纸和数据等形式提交。</w:t>
      </w:r>
      <w:bookmarkEnd w:id="106"/>
      <w:r/>
      <w:bookmarkEnd w:id="107"/>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1</w:t>
      </w:r>
      <w:r>
        <w:rPr>
          <w:rFonts w:hint="eastAsia" w:ascii="Arial" w:hAnsi="Arial" w:eastAsia="黑体" w:cs="Arial"/>
          <w:color w:val="000000" w:themeColor="text1"/>
          <w:sz w:val="28"/>
          <w:szCs w:val="28"/>
          <w:highlight w:val="none"/>
          <w14:textFill>
            <w14:solidFill>
              <w14:schemeClr w14:val="tx1"/>
            </w14:solidFill>
          </w14:textFill>
        </w:rPr>
        <w:t xml:space="preserve">、投标分项报价表</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 投</w:t>
      </w:r>
      <w:bookmarkStart w:id="108" w:name="_Hlt26954840"/>
      <w:r/>
      <w:bookmarkEnd w:id="108"/>
      <w:r>
        <w:rPr>
          <w:rFonts w:hint="eastAsia" w:ascii="宋体" w:hAnsi="宋体"/>
          <w:color w:val="000000" w:themeColor="text1"/>
          <w:sz w:val="24"/>
          <w:szCs w:val="21"/>
          <w:highlight w:val="none"/>
          <w14:textFill>
            <w14:solidFill>
              <w14:schemeClr w14:val="tx1"/>
            </w14:solidFill>
          </w14:textFill>
        </w:rPr>
        <w:t xml:space="preserve">标人按照招标文件规定格式填报投标分项报价表</w:t>
      </w:r>
      <w:bookmarkStart w:id="109" w:name="_Hlt26670399"/>
      <w:r/>
      <w:bookmarkEnd w:id="109"/>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szCs w:val="21"/>
          <w:highlight w:val="none"/>
          <w14:textFill>
            <w14:solidFill>
              <w14:schemeClr w14:val="tx1"/>
            </w14:solidFill>
          </w14:textFill>
        </w:rPr>
        <w:t xml:space="preserve">招标文件中另有规定的按规定执行。</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10" w:name="_Hlt26670486"/>
      <w:r/>
      <w:bookmarkEnd w:id="110"/>
      <w:r/>
      <w:bookmarkStart w:id="111" w:name="_Hlt26954848"/>
      <w:r/>
      <w:bookmarkEnd w:id="111"/>
      <w:r/>
      <w:bookmarkStart w:id="112" w:name="_Hlt26670482"/>
      <w:r/>
      <w:bookmarkEnd w:id="112"/>
      <w:r/>
      <w:bookmarkStart w:id="113" w:name="_Hlt26954731"/>
      <w:r/>
      <w:bookmarkEnd w:id="113"/>
      <w:r/>
      <w:bookmarkStart w:id="114" w:name="_Hlt26954846"/>
      <w:r/>
      <w:bookmarkEnd w:id="114"/>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2</w:t>
      </w:r>
      <w:r>
        <w:rPr>
          <w:rFonts w:hint="eastAsia" w:ascii="Arial" w:hAnsi="Arial" w:eastAsia="黑体" w:cs="Arial"/>
          <w:color w:val="000000" w:themeColor="text1"/>
          <w:sz w:val="28"/>
          <w:szCs w:val="28"/>
          <w:highlight w:val="none"/>
          <w14:textFill>
            <w14:solidFill>
              <w14:schemeClr w14:val="tx1"/>
            </w14:solidFill>
          </w14:textFill>
        </w:rPr>
        <w:t xml:space="preserve">、技术要求响应及偏离表、商务要求响应及偏离表</w:t>
      </w:r>
      <w:r/>
    </w:p>
    <w:p>
      <w:pPr>
        <w:ind w:firstLine="480"/>
        <w:spacing w:line="400" w:lineRule="exact"/>
        <w:rPr>
          <w:rFonts w:hint="eastAsia" w:ascii="宋体" w:hAnsi="Arial" w:cs="宋体"/>
          <w:color w:val="000000" w:themeColor="text1"/>
          <w:sz w:val="24"/>
          <w:szCs w:val="21"/>
          <w:highlight w:val="none"/>
          <w14:textFill>
            <w14:solidFill>
              <w14:schemeClr w14:val="tx1"/>
            </w14:solidFill>
          </w14:textFill>
        </w:rPr>
      </w:pPr>
      <w:r>
        <w:rPr>
          <w:rFonts w:ascii="宋体" w:hAnsi="Arial" w:cs="宋体"/>
          <w:bCs/>
          <w:color w:val="000000" w:themeColor="text1"/>
          <w:sz w:val="24"/>
          <w:szCs w:val="21"/>
          <w:highlight w:val="none"/>
          <w:lang w:val="zh-CN"/>
          <w14:textFill>
            <w14:solidFill>
              <w14:schemeClr w14:val="tx1"/>
            </w14:solidFill>
          </w14:textFill>
        </w:rPr>
        <w:t xml:space="preserve">12.1</w:t>
      </w:r>
      <w:r>
        <w:rPr>
          <w:rFonts w:hint="eastAsia" w:ascii="宋体" w:hAnsi="Arial" w:cs="宋体"/>
          <w:bCs/>
          <w:color w:val="000000" w:themeColor="text1"/>
          <w:sz w:val="24"/>
          <w:szCs w:val="21"/>
          <w:highlight w:val="none"/>
          <w:lang w:val="zh-CN"/>
          <w14:textFill>
            <w14:solidFill>
              <w14:schemeClr w14:val="tx1"/>
            </w14:solidFill>
          </w14:textFill>
        </w:rPr>
        <w:t xml:space="preserve"> </w:t>
      </w:r>
      <w:r>
        <w:rPr>
          <w:rFonts w:hint="eastAsia" w:ascii="宋体" w:hAnsi="Arial" w:cs="宋体"/>
          <w:color w:val="000000" w:themeColor="text1"/>
          <w:sz w:val="24"/>
          <w:szCs w:val="21"/>
          <w:highlight w:val="none"/>
          <w:lang w:val="zh-CN"/>
          <w14:textFill>
            <w14:solidFill>
              <w14:schemeClr w14:val="tx1"/>
            </w14:solidFill>
          </w14:textFill>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themeColor="text1"/>
          <w:sz w:val="24"/>
          <w:szCs w:val="21"/>
          <w:highlight w:val="none"/>
          <w14:textFill>
            <w14:solidFill>
              <w14:schemeClr w14:val="tx1"/>
            </w14:solidFill>
          </w14:textFill>
        </w:rPr>
      </w:pPr>
      <w:r>
        <w:rPr>
          <w:rFonts w:hint="eastAsia" w:ascii="宋体" w:hAnsi="Arial" w:cs="宋体"/>
          <w:color w:val="000000" w:themeColor="text1"/>
          <w:sz w:val="24"/>
          <w:szCs w:val="21"/>
          <w:highlight w:val="none"/>
          <w:lang w:val="zh-CN"/>
          <w14:textFill>
            <w14:solidFill>
              <w14:schemeClr w14:val="tx1"/>
            </w14:solidFill>
          </w14:textFill>
        </w:rPr>
        <w:t xml:space="preserve">1</w:t>
      </w:r>
      <w:r>
        <w:rPr>
          <w:rFonts w:ascii="宋体" w:hAnsi="Arial" w:cs="宋体"/>
          <w:color w:val="000000" w:themeColor="text1"/>
          <w:sz w:val="24"/>
          <w:szCs w:val="21"/>
          <w:highlight w:val="none"/>
          <w:lang w:val="zh-CN"/>
          <w14:textFill>
            <w14:solidFill>
              <w14:schemeClr w14:val="tx1"/>
            </w14:solidFill>
          </w14:textFill>
        </w:rPr>
        <w:t xml:space="preserve">2</w:t>
      </w:r>
      <w:r>
        <w:rPr>
          <w:rFonts w:hint="eastAsia" w:ascii="宋体" w:hAnsi="Arial" w:cs="宋体"/>
          <w:color w:val="000000" w:themeColor="text1"/>
          <w:sz w:val="24"/>
          <w:szCs w:val="21"/>
          <w:highlight w:val="none"/>
          <w:lang w:val="zh-CN"/>
          <w14:textFill>
            <w14:solidFill>
              <w14:schemeClr w14:val="tx1"/>
            </w14:solidFill>
          </w14:textFill>
        </w:rPr>
        <w:t xml:space="preserve">.2 投标人需按照招标文件要求，在投标文件中提供与技术要求和商务要求相关的证明材料。</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3</w:t>
      </w:r>
      <w:r>
        <w:rPr>
          <w:rFonts w:hint="eastAsia" w:ascii="Arial" w:hAnsi="Arial" w:eastAsia="黑体" w:cs="Arial"/>
          <w:color w:val="000000" w:themeColor="text1"/>
          <w:sz w:val="28"/>
          <w:szCs w:val="28"/>
          <w:highlight w:val="none"/>
          <w14:textFill>
            <w14:solidFill>
              <w14:schemeClr w14:val="tx1"/>
            </w14:solidFill>
          </w14:textFill>
        </w:rPr>
        <w:t xml:space="preserve">、服务承诺、培训计划、人员安排及其他</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.2 投标人需根据招标文件要求提供培训计划。</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.3 投标人需根据招标文件要求提供</w:t>
      </w:r>
      <w:r>
        <w:rPr>
          <w:rFonts w:hint="eastAsia" w:ascii="宋体" w:hAnsi="Arial" w:cs="宋体"/>
          <w:color w:val="000000" w:themeColor="text1"/>
          <w:sz w:val="24"/>
          <w:szCs w:val="21"/>
          <w:highlight w:val="none"/>
          <w:lang w:val="zh-CN"/>
          <w14:textFill>
            <w14:solidFill>
              <w14:schemeClr w14:val="tx1"/>
            </w14:solidFill>
          </w14:textFill>
        </w:rPr>
        <w:t xml:space="preserve">所投标的的主要组成部分、功能设计、实现思路及关键技术等。</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15" w:name="_Toc49090510"/>
      <w:r/>
      <w:bookmarkStart w:id="116" w:name="_Toc14577359"/>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4</w:t>
      </w:r>
      <w:r>
        <w:rPr>
          <w:rFonts w:hint="eastAsia" w:ascii="Arial" w:hAnsi="Arial" w:eastAsia="黑体" w:cs="Arial"/>
          <w:color w:val="000000" w:themeColor="text1"/>
          <w:sz w:val="28"/>
          <w:szCs w:val="28"/>
          <w:highlight w:val="none"/>
          <w14:textFill>
            <w14:solidFill>
              <w14:schemeClr w14:val="tx1"/>
            </w14:solidFill>
          </w14:textFill>
        </w:rPr>
        <w:t xml:space="preserve">、投标函和开标一览表</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 投标人应按照招标文件中提供的格式完整、正确填写投标函、开标一览表。</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.2 对于采用货币报价的项目，开标一览表中的投标总报价应与投标分项报价表中的投标总报价一致，如不一致，不作为无效投标处理，但评标时按开标一览表中价格为准。</w:t>
      </w:r>
      <w:bookmarkEnd w:id="115"/>
      <w:r/>
      <w:bookmarkEnd w:id="116"/>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17" w:name="_Toc14577360"/>
      <w:r/>
      <w:bookmarkStart w:id="118" w:name="_Toc49090511"/>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5</w:t>
      </w:r>
      <w:r>
        <w:rPr>
          <w:rFonts w:hint="eastAsia" w:ascii="Arial" w:hAnsi="Arial" w:eastAsia="黑体" w:cs="Arial"/>
          <w:color w:val="000000" w:themeColor="text1"/>
          <w:sz w:val="28"/>
          <w:szCs w:val="28"/>
          <w:highlight w:val="none"/>
          <w14:textFill>
            <w14:solidFill>
              <w14:schemeClr w14:val="tx1"/>
            </w14:solidFill>
          </w14:textFill>
        </w:rPr>
        <w:t xml:space="preserve">、投标有效期</w:t>
      </w:r>
      <w:bookmarkEnd w:id="117"/>
      <w:r/>
      <w:bookmarkEnd w:id="118"/>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.1投标有效期为</w:t>
      </w:r>
      <w:r>
        <w:rPr>
          <w:rFonts w:hint="eastAsia" w:ascii="宋体" w:hAnsi="宋体"/>
          <w:bCs/>
          <w:color w:val="000000" w:themeColor="text1"/>
          <w:sz w:val="24"/>
          <w:szCs w:val="21"/>
          <w:highlight w:val="none"/>
          <w:lang w:eastAsia="zh-CN"/>
          <w14:textFill>
            <w14:solidFill>
              <w14:schemeClr w14:val="tx1"/>
            </w14:solidFill>
          </w14:textFill>
        </w:rPr>
        <w:t xml:space="preserve">采购代理机构</w:t>
      </w:r>
      <w:r>
        <w:rPr>
          <w:rFonts w:hint="eastAsia" w:ascii="宋体" w:hAnsi="宋体"/>
          <w:bCs/>
          <w:color w:val="000000" w:themeColor="text1"/>
          <w:sz w:val="24"/>
          <w:szCs w:val="21"/>
          <w:highlight w:val="none"/>
          <w14:textFill>
            <w14:solidFill>
              <w14:schemeClr w14:val="tx1"/>
            </w14:solidFill>
          </w14:textFill>
        </w:rPr>
        <w:t xml:space="preserve">规定的开标之日后</w:t>
      </w:r>
      <w:r>
        <w:rPr>
          <w:rFonts w:hint="eastAsia" w:ascii="仿宋_GB2312" w:hAnsi="仿宋_GB2312"/>
          <w:b/>
          <w:color w:val="000000" w:themeColor="text1"/>
          <w:sz w:val="24"/>
          <w:szCs w:val="21"/>
          <w:highlight w:val="none"/>
          <w:u w:val="single"/>
          <w14:textFill>
            <w14:solidFill>
              <w14:schemeClr w14:val="tx1"/>
            </w14:solidFill>
          </w14:textFill>
        </w:rPr>
        <w:t xml:space="preserve">六十（60）天</w:t>
      </w:r>
      <w:r>
        <w:rPr>
          <w:rFonts w:hint="eastAsia" w:ascii="宋体" w:hAnsi="宋体"/>
          <w:bCs/>
          <w:color w:val="000000" w:themeColor="text1"/>
          <w:sz w:val="24"/>
          <w:szCs w:val="21"/>
          <w:highlight w:val="none"/>
          <w14:textFill>
            <w14:solidFill>
              <w14:schemeClr w14:val="tx1"/>
            </w14:solidFill>
          </w14:textFill>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6</w:t>
      </w:r>
      <w:r>
        <w:rPr>
          <w:rFonts w:hint="eastAsia" w:ascii="Arial" w:hAnsi="Arial" w:eastAsia="黑体" w:cs="Arial"/>
          <w:color w:val="000000" w:themeColor="text1"/>
          <w:sz w:val="28"/>
          <w:szCs w:val="28"/>
          <w:highlight w:val="none"/>
          <w14:textFill>
            <w14:solidFill>
              <w14:schemeClr w14:val="tx1"/>
            </w14:solidFill>
          </w14:textFill>
        </w:rPr>
        <w:t xml:space="preserve">、投标有效期的延长</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.1在特殊情况下，</w:t>
      </w:r>
      <w:r>
        <w:rPr>
          <w:rFonts w:hint="eastAsia" w:ascii="宋体" w:hAnsi="宋体"/>
          <w:bCs/>
          <w:color w:val="000000" w:themeColor="text1"/>
          <w:sz w:val="24"/>
          <w:szCs w:val="21"/>
          <w:highlight w:val="none"/>
          <w:lang w:eastAsia="zh-CN"/>
          <w14:textFill>
            <w14:solidFill>
              <w14:schemeClr w14:val="tx1"/>
            </w14:solidFill>
          </w14:textFill>
        </w:rPr>
        <w:t xml:space="preserve">采购代理机构</w:t>
      </w:r>
      <w:r>
        <w:rPr>
          <w:rFonts w:hint="eastAsia" w:ascii="宋体" w:hAnsi="宋体"/>
          <w:bCs/>
          <w:color w:val="000000" w:themeColor="text1"/>
          <w:sz w:val="24"/>
          <w:szCs w:val="21"/>
          <w:highlight w:val="none"/>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bCs/>
          <w:color w:val="000000" w:themeColor="text1"/>
          <w:sz w:val="24"/>
          <w:szCs w:val="21"/>
          <w:highlight w:val="none"/>
          <w:lang w:eastAsia="zh-CN"/>
          <w14:textFill>
            <w14:solidFill>
              <w14:schemeClr w14:val="tx1"/>
            </w14:solidFill>
          </w14:textFill>
        </w:rPr>
        <w:t xml:space="preserve">采购代理机构</w:t>
      </w:r>
      <w:r>
        <w:rPr>
          <w:rFonts w:hint="eastAsia" w:ascii="宋体" w:hAnsi="宋体"/>
          <w:bCs/>
          <w:color w:val="000000" w:themeColor="text1"/>
          <w:sz w:val="24"/>
          <w:szCs w:val="21"/>
          <w:highlight w:val="none"/>
          <w14:textFill>
            <w14:solidFill>
              <w14:schemeClr w14:val="tx1"/>
            </w14:solidFill>
          </w14:textFill>
        </w:rPr>
        <w:t xml:space="preserve">的这一要求而放弃投标，同意延长投标有效期的投标人既不能要求也不允许修改其投标文件。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受投标有效期约束的所有权利与义务均延长至新的有效期</w:t>
      </w:r>
      <w:r>
        <w:rPr>
          <w:rFonts w:hint="eastAsia" w:ascii="宋体" w:hAnsi="宋体"/>
          <w:bCs/>
          <w:color w:val="000000" w:themeColor="text1"/>
          <w:sz w:val="24"/>
          <w:szCs w:val="21"/>
          <w:highlight w:val="none"/>
          <w14:textFill>
            <w14:solidFill>
              <w14:schemeClr w14:val="tx1"/>
            </w14:solidFill>
          </w14:textFill>
        </w:rPr>
        <w:t xml:space="preserve">。</w:t>
      </w:r>
      <w:r/>
    </w:p>
    <w:p>
      <w:pPr>
        <w:keepLines/>
        <w:keepNext/>
        <w:spacing w:before="156" w:after="156" w:line="40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119" w:name="_Hlt26954739"/>
      <w:r/>
      <w:bookmarkEnd w:id="119"/>
      <w:r/>
      <w:bookmarkStart w:id="120" w:name="_Hlt26954852"/>
      <w:r/>
      <w:bookmarkEnd w:id="120"/>
      <w:r/>
      <w:bookmarkStart w:id="121" w:name="_Toc513029224"/>
      <w:r/>
      <w:bookmarkStart w:id="122" w:name="_Toc120614217"/>
      <w:r/>
      <w:bookmarkStart w:id="123" w:name="_Toc20823296"/>
      <w:r/>
      <w:bookmarkStart w:id="124" w:name="_Toc16938540"/>
      <w:r>
        <w:rPr>
          <w:rFonts w:hint="eastAsia" w:ascii="Times New Roman" w:hAnsi="Times New Roman"/>
          <w:b/>
          <w:bCs/>
          <w:color w:val="000000" w:themeColor="text1"/>
          <w:sz w:val="32"/>
          <w:szCs w:val="32"/>
          <w:highlight w:val="none"/>
          <w14:textFill>
            <w14:solidFill>
              <w14:schemeClr w14:val="tx1"/>
            </w14:solidFill>
          </w14:textFill>
        </w:rPr>
        <w:t xml:space="preserve">四、投标文件的递交</w:t>
      </w:r>
      <w:bookmarkEnd w:id="121"/>
      <w:r/>
      <w:bookmarkEnd w:id="122"/>
      <w:r/>
      <w:bookmarkEnd w:id="123"/>
      <w:r/>
      <w:bookmarkEnd w:id="124"/>
      <w:r/>
      <w:r/>
    </w:p>
    <w:p>
      <w:pPr>
        <w:ind w:firstLine="420"/>
        <w:keepLines/>
        <w:keepNext/>
        <w:spacing w:line="400" w:lineRule="exact"/>
        <w:rPr>
          <w:rFonts w:hint="eastAsia" w:ascii="黑体" w:hAnsi="Arial" w:eastAsia="黑体" w:cs="Arial"/>
          <w:color w:val="000000" w:themeColor="text1"/>
          <w:sz w:val="28"/>
          <w:szCs w:val="28"/>
          <w:highlight w:val="none"/>
          <w14:textFill>
            <w14:solidFill>
              <w14:schemeClr w14:val="tx1"/>
            </w14:solidFill>
          </w14:textFill>
        </w:rPr>
        <w:outlineLvl w:val="3"/>
      </w:pPr>
      <w:r/>
      <w:bookmarkStart w:id="125" w:name="_Toc16938541"/>
      <w:r/>
      <w:bookmarkStart w:id="126" w:name="_Toc20823297"/>
      <w:r/>
      <w:bookmarkStart w:id="127" w:name="_Toc513029225"/>
      <w:r/>
      <w:bookmarkStart w:id="128" w:name="_Toc462564084"/>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7</w:t>
      </w:r>
      <w:r>
        <w:rPr>
          <w:rFonts w:hint="eastAsia" w:ascii="Arial" w:hAnsi="Arial" w:eastAsia="黑体" w:cs="Arial"/>
          <w:color w:val="000000" w:themeColor="text1"/>
          <w:sz w:val="28"/>
          <w:szCs w:val="28"/>
          <w:highlight w:val="none"/>
          <w14:textFill>
            <w14:solidFill>
              <w14:schemeClr w14:val="tx1"/>
            </w14:solidFill>
          </w14:textFill>
        </w:rPr>
        <w:t xml:space="preserve">、电子</w:t>
      </w:r>
      <w:r>
        <w:rPr>
          <w:rFonts w:hint="eastAsia" w:ascii="黑体" w:hAnsi="Arial" w:eastAsia="黑体" w:cs="Arial"/>
          <w:color w:val="000000" w:themeColor="text1"/>
          <w:sz w:val="28"/>
          <w:szCs w:val="28"/>
          <w:highlight w:val="none"/>
          <w14:textFill>
            <w14:solidFill>
              <w14:schemeClr w14:val="tx1"/>
            </w14:solidFill>
          </w14:textFill>
        </w:rPr>
        <w:t xml:space="preserve">投标文件</w:t>
      </w:r>
      <w:bookmarkEnd w:id="125"/>
      <w:r/>
      <w:bookmarkEnd w:id="126"/>
      <w:r/>
      <w:bookmarkEnd w:id="127"/>
      <w:r/>
      <w:bookmarkEnd w:id="128"/>
      <w:r>
        <w:rPr>
          <w:rFonts w:hint="eastAsia" w:ascii="黑体" w:hAnsi="Arial" w:eastAsia="黑体" w:cs="Arial"/>
          <w:color w:val="000000" w:themeColor="text1"/>
          <w:sz w:val="28"/>
          <w:szCs w:val="28"/>
          <w:highlight w:val="none"/>
          <w14:textFill>
            <w14:solidFill>
              <w14:schemeClr w14:val="tx1"/>
            </w14:solidFill>
          </w14:textFill>
        </w:rPr>
        <w:t xml:space="preserve">的递交</w:t>
      </w:r>
      <w:r/>
    </w:p>
    <w:p>
      <w:pPr>
        <w:ind w:left="525"/>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.1投标人应当按照《操作手册》规定，在投标截止时间前</w:t>
      </w:r>
      <w:r>
        <w:rPr>
          <w:rFonts w:ascii="宋体" w:hAnsi="宋体"/>
          <w:bCs/>
          <w:color w:val="000000" w:themeColor="text1"/>
          <w:sz w:val="24"/>
          <w:szCs w:val="21"/>
          <w:highlight w:val="none"/>
          <w14:textFill>
            <w14:solidFill>
              <w14:schemeClr w14:val="tx1"/>
            </w14:solidFill>
          </w14:textFill>
        </w:rPr>
        <w:t xml:space="preserve">制作</w:t>
      </w:r>
      <w:r>
        <w:rPr>
          <w:rFonts w:hint="eastAsia" w:ascii="宋体" w:hAnsi="宋体"/>
          <w:bCs/>
          <w:color w:val="000000" w:themeColor="text1"/>
          <w:sz w:val="24"/>
          <w:szCs w:val="21"/>
          <w:highlight w:val="none"/>
          <w14:textFill>
            <w14:solidFill>
              <w14:schemeClr w14:val="tx1"/>
            </w14:solidFill>
          </w14:textFill>
        </w:rPr>
        <w:t xml:space="preserve">并上传电</w:t>
      </w:r>
      <w:r/>
    </w:p>
    <w:p>
      <w:pPr>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子投标文件。</w:t>
      </w:r>
      <w:bookmarkStart w:id="129" w:name="_Toc513029226"/>
      <w:r/>
      <w:bookmarkStart w:id="130" w:name="_Toc16938542"/>
      <w:r/>
      <w:bookmarkStart w:id="131" w:name="_Toc20823298"/>
      <w:r/>
      <w:r/>
    </w:p>
    <w:p>
      <w:pPr>
        <w:ind w:firstLine="420"/>
        <w:keepLines/>
        <w:keepNext/>
        <w:spacing w:before="280" w:after="290" w:line="400" w:lineRule="exact"/>
        <w:rPr>
          <w:rFonts w:hint="eastAsia" w:ascii="宋体" w:hAnsi="宋体" w:eastAsia="黑体" w:cs="Arial"/>
          <w:bCs/>
          <w:color w:val="000000" w:themeColor="text1"/>
          <w:sz w:val="24"/>
          <w:szCs w:val="28"/>
          <w:highlight w:val="none"/>
          <w14:textFill>
            <w14:solidFill>
              <w14:schemeClr w14:val="tx1"/>
            </w14:solidFill>
          </w14:textFill>
        </w:rPr>
        <w:outlineLvl w:val="3"/>
      </w:pPr>
      <w:r>
        <w:rPr>
          <w:rFonts w:ascii="Arial" w:hAnsi="Arial" w:eastAsia="黑体" w:cs="Arial"/>
          <w:bCs/>
          <w:color w:val="000000" w:themeColor="text1"/>
          <w:sz w:val="28"/>
          <w:szCs w:val="28"/>
          <w:highlight w:val="none"/>
          <w14:textFill>
            <w14:solidFill>
              <w14:schemeClr w14:val="tx1"/>
            </w14:solidFill>
          </w14:textFill>
        </w:rPr>
        <w:t xml:space="preserve">18</w:t>
      </w:r>
      <w:r>
        <w:rPr>
          <w:rFonts w:hint="eastAsia" w:ascii="Arial" w:hAnsi="Arial" w:eastAsia="黑体" w:cs="Arial"/>
          <w:bCs/>
          <w:color w:val="000000" w:themeColor="text1"/>
          <w:sz w:val="28"/>
          <w:szCs w:val="28"/>
          <w:highlight w:val="none"/>
          <w14:textFill>
            <w14:solidFill>
              <w14:schemeClr w14:val="tx1"/>
            </w14:solidFill>
          </w14:textFill>
        </w:rPr>
        <w:t xml:space="preserve">、投标截止日期</w:t>
      </w:r>
      <w:bookmarkEnd w:id="129"/>
      <w:r/>
      <w:bookmarkEnd w:id="130"/>
      <w:r/>
      <w:bookmarkEnd w:id="131"/>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18</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 投标人上传电子投标文件的时间不得迟于招标公告中规定的投标截止时间。</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.1.2条规定做无效投标处理。</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18</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w:t>
      </w:r>
      <w:r>
        <w:rPr>
          <w:rFonts w:hint="eastAsia" w:ascii="宋体" w:hAnsi="宋体"/>
          <w:bCs/>
          <w:color w:val="000000" w:themeColor="text1"/>
          <w:sz w:val="24"/>
          <w:szCs w:val="21"/>
          <w:highlight w:val="none"/>
          <w:lang w:eastAsia="zh-CN"/>
          <w14:textFill>
            <w14:solidFill>
              <w14:schemeClr w14:val="tx1"/>
            </w14:solidFill>
          </w14:textFill>
        </w:rPr>
        <w:t xml:space="preserve">采购代理机构</w:t>
      </w:r>
      <w:r>
        <w:rPr>
          <w:rFonts w:hint="eastAsia" w:ascii="宋体" w:hAnsi="宋体"/>
          <w:bCs/>
          <w:color w:val="000000" w:themeColor="text1"/>
          <w:sz w:val="24"/>
          <w:szCs w:val="21"/>
          <w:highlight w:val="none"/>
          <w14:textFill>
            <w14:solidFill>
              <w14:schemeClr w14:val="tx1"/>
            </w14:solidFill>
          </w14:textFill>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32" w:name="_Toc513029227"/>
      <w:r/>
      <w:bookmarkStart w:id="133" w:name="_Toc16938543"/>
      <w:r/>
      <w:bookmarkStart w:id="134" w:name="_Toc20823299"/>
      <w:r>
        <w:rPr>
          <w:rFonts w:ascii="Arial" w:hAnsi="Arial" w:eastAsia="黑体" w:cs="Arial"/>
          <w:color w:val="000000" w:themeColor="text1"/>
          <w:sz w:val="28"/>
          <w:szCs w:val="28"/>
          <w:highlight w:val="none"/>
          <w14:textFill>
            <w14:solidFill>
              <w14:schemeClr w14:val="tx1"/>
            </w14:solidFill>
          </w14:textFill>
        </w:rPr>
        <w:t xml:space="preserve">19</w:t>
      </w:r>
      <w:r>
        <w:rPr>
          <w:rFonts w:hint="eastAsia" w:ascii="Arial" w:hAnsi="Arial" w:eastAsia="黑体" w:cs="Arial"/>
          <w:color w:val="000000" w:themeColor="text1"/>
          <w:sz w:val="28"/>
          <w:szCs w:val="28"/>
          <w:highlight w:val="none"/>
          <w14:textFill>
            <w14:solidFill>
              <w14:schemeClr w14:val="tx1"/>
            </w14:solidFill>
          </w14:textFill>
        </w:rPr>
        <w:t xml:space="preserve">、投标文件</w:t>
      </w:r>
      <w:bookmarkEnd w:id="132"/>
      <w:r/>
      <w:bookmarkEnd w:id="133"/>
      <w:r/>
      <w:bookmarkEnd w:id="134"/>
      <w:r>
        <w:rPr>
          <w:rFonts w:hint="eastAsia" w:ascii="Arial" w:hAnsi="Arial" w:eastAsia="黑体" w:cs="Arial"/>
          <w:color w:val="000000" w:themeColor="text1"/>
          <w:sz w:val="28"/>
          <w:szCs w:val="28"/>
          <w:highlight w:val="none"/>
          <w14:textFill>
            <w14:solidFill>
              <w14:schemeClr w14:val="tx1"/>
            </w14:solidFill>
          </w14:textFill>
        </w:rPr>
        <w:t xml:space="preserve">的拒收</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19</w:t>
      </w:r>
      <w:r>
        <w:rPr>
          <w:rFonts w:hint="eastAsia" w:ascii="宋体" w:hAnsi="宋体"/>
          <w:bCs/>
          <w:color w:val="000000" w:themeColor="text1"/>
          <w:sz w:val="24"/>
          <w:szCs w:val="21"/>
          <w:highlight w:val="none"/>
          <w14:textFill>
            <w14:solidFill>
              <w14:schemeClr w14:val="tx1"/>
            </w14:solidFill>
          </w14:textFill>
        </w:rPr>
        <w:t xml:space="preserve">.1 </w:t>
      </w:r>
      <w:r>
        <w:rPr>
          <w:rFonts w:hint="eastAsia" w:ascii="宋体" w:hAnsi="宋体"/>
          <w:bCs/>
          <w:color w:val="000000" w:themeColor="text1"/>
          <w:sz w:val="24"/>
          <w:szCs w:val="21"/>
          <w:highlight w:val="none"/>
          <w:lang w:eastAsia="zh-CN"/>
          <w14:textFill>
            <w14:solidFill>
              <w14:schemeClr w14:val="tx1"/>
            </w14:solidFill>
          </w14:textFill>
        </w:rPr>
        <w:t xml:space="preserve">采购代理机构</w:t>
      </w:r>
      <w:r>
        <w:rPr>
          <w:rFonts w:hint="eastAsia" w:ascii="宋体" w:hAnsi="宋体"/>
          <w:bCs/>
          <w:color w:val="000000" w:themeColor="text1"/>
          <w:sz w:val="24"/>
          <w:szCs w:val="21"/>
          <w:highlight w:val="none"/>
          <w14:textFill>
            <w14:solidFill>
              <w14:schemeClr w14:val="tx1"/>
            </w14:solidFill>
          </w14:textFill>
        </w:rPr>
        <w:t xml:space="preserve">拒绝接收在其规定的投标截止时间后上传的任何投标文件。</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35" w:name="_Toc16938544"/>
      <w:r/>
      <w:bookmarkStart w:id="136" w:name="_Toc513029228"/>
      <w:r/>
      <w:bookmarkStart w:id="137" w:name="_Toc20823300"/>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0</w:t>
      </w:r>
      <w:r>
        <w:rPr>
          <w:rFonts w:hint="eastAsia" w:ascii="Arial" w:hAnsi="Arial" w:eastAsia="黑体" w:cs="Arial"/>
          <w:color w:val="000000" w:themeColor="text1"/>
          <w:sz w:val="28"/>
          <w:szCs w:val="28"/>
          <w:highlight w:val="none"/>
          <w14:textFill>
            <w14:solidFill>
              <w14:schemeClr w14:val="tx1"/>
            </w14:solidFill>
          </w14:textFill>
        </w:rPr>
        <w:t xml:space="preserve">、投标文件的撤回和修改</w:t>
      </w:r>
      <w:bookmarkEnd w:id="135"/>
      <w:r/>
      <w:bookmarkEnd w:id="136"/>
      <w:r/>
      <w:bookmarkEnd w:id="137"/>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0</w:t>
      </w:r>
      <w:r>
        <w:rPr>
          <w:rFonts w:hint="eastAsia" w:ascii="宋体" w:hAnsi="宋体"/>
          <w:color w:val="000000" w:themeColor="text1"/>
          <w:sz w:val="24"/>
          <w:szCs w:val="21"/>
          <w:highlight w:val="none"/>
          <w14:textFill>
            <w14:solidFill>
              <w14:schemeClr w14:val="tx1"/>
            </w14:solidFill>
          </w14:textFill>
        </w:rPr>
        <w:t xml:space="preserve">.1 投标文件的撤回</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0</w:t>
      </w:r>
      <w:r>
        <w:rPr>
          <w:rFonts w:hint="eastAsia" w:ascii="宋体" w:hAnsi="宋体"/>
          <w:color w:val="000000" w:themeColor="text1"/>
          <w:sz w:val="24"/>
          <w:szCs w:val="21"/>
          <w:highlight w:val="none"/>
          <w14:textFill>
            <w14:solidFill>
              <w14:schemeClr w14:val="tx1"/>
            </w14:solidFill>
          </w14:textFill>
        </w:rPr>
        <w:t xml:space="preserve">.1.1 电子投标文件的撤回</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投标人可在投标截止时间前，撤回其电子投标文件，具体操作方法见《操作手册》。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 投标人撤回电子投标文件，则认为其不再参与本项目投标活动。</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.2 投标文件的修改</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0</w:t>
      </w:r>
      <w:r>
        <w:rPr>
          <w:rFonts w:hint="eastAsia" w:ascii="宋体" w:hAnsi="宋体"/>
          <w:color w:val="000000" w:themeColor="text1"/>
          <w:sz w:val="24"/>
          <w:szCs w:val="21"/>
          <w:highlight w:val="none"/>
          <w14:textFill>
            <w14:solidFill>
              <w14:schemeClr w14:val="tx1"/>
            </w14:solidFill>
          </w14:textFill>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0</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2.2</w:t>
      </w:r>
      <w:r>
        <w:rPr>
          <w:rFonts w:hint="eastAsia" w:ascii="宋体" w:hAnsi="宋体"/>
          <w:bCs/>
          <w:color w:val="000000" w:themeColor="text1"/>
          <w:sz w:val="24"/>
          <w:szCs w:val="21"/>
          <w:highlight w:val="none"/>
          <w14:textFill>
            <w14:solidFill>
              <w14:schemeClr w14:val="tx1"/>
            </w14:solidFill>
          </w14:textFill>
        </w:rPr>
        <w:t xml:space="preserve"> 在投标截止时间之后，投标人不得对其电子投标文件作任何修改。</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0</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 在投标截止时间至招标文件中规定的投标有效期满之间的这段时间内，投标人不得撤回其投标。</w:t>
      </w:r>
      <w:r/>
    </w:p>
    <w:p>
      <w:pPr>
        <w:ind w:firstLine="482"/>
        <w:keepLines/>
        <w:keepNext/>
        <w:spacing w:before="156" w:after="156" w:line="40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138" w:name="_Toc20823301"/>
      <w:r/>
      <w:bookmarkStart w:id="139" w:name="_Toc16938545"/>
      <w:r/>
      <w:bookmarkStart w:id="140" w:name="_Toc513029229"/>
      <w:r/>
      <w:bookmarkStart w:id="141" w:name="_Toc120614218"/>
      <w:r>
        <w:rPr>
          <w:rFonts w:hint="eastAsia" w:ascii="Times New Roman" w:hAnsi="Times New Roman"/>
          <w:b/>
          <w:bCs/>
          <w:color w:val="000000" w:themeColor="text1"/>
          <w:sz w:val="32"/>
          <w:szCs w:val="32"/>
          <w:highlight w:val="none"/>
          <w14:textFill>
            <w14:solidFill>
              <w14:schemeClr w14:val="tx1"/>
            </w14:solidFill>
          </w14:textFill>
        </w:rPr>
        <w:t xml:space="preserve">五、开标与评标</w:t>
      </w:r>
      <w:bookmarkEnd w:id="138"/>
      <w:r/>
      <w:bookmarkEnd w:id="139"/>
      <w:r/>
      <w:bookmarkEnd w:id="140"/>
      <w:r/>
      <w:bookmarkEnd w:id="141"/>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42" w:name="_Toc16938546"/>
      <w:r/>
      <w:bookmarkStart w:id="143" w:name="_Toc20823302"/>
      <w:r/>
      <w:bookmarkStart w:id="144" w:name="_Toc513029230"/>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1</w:t>
      </w:r>
      <w:r>
        <w:rPr>
          <w:rFonts w:hint="eastAsia" w:ascii="Arial" w:hAnsi="Arial" w:eastAsia="黑体" w:cs="Arial"/>
          <w:color w:val="000000" w:themeColor="text1"/>
          <w:sz w:val="28"/>
          <w:szCs w:val="28"/>
          <w:highlight w:val="none"/>
          <w14:textFill>
            <w14:solidFill>
              <w14:schemeClr w14:val="tx1"/>
            </w14:solidFill>
          </w14:textFill>
        </w:rPr>
        <w:t xml:space="preserve">、开标</w:t>
      </w:r>
      <w:bookmarkEnd w:id="142"/>
      <w:r/>
      <w:bookmarkEnd w:id="143"/>
      <w:r/>
      <w:bookmarkEnd w:id="144"/>
      <w:r/>
      <w:r/>
    </w:p>
    <w:p>
      <w:pPr>
        <w:ind w:firstLine="480"/>
        <w:spacing w:line="400" w:lineRule="exact"/>
        <w:rPr>
          <w:rFonts w:hint="eastAsia" w:ascii="Times New Roman" w:hAnsi="Times New Roman"/>
          <w:color w:val="000000" w:themeColor="text1"/>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 </w:t>
      </w:r>
      <w:r>
        <w:rPr>
          <w:rFonts w:hint="eastAsia" w:ascii="宋体" w:hAnsi="宋体"/>
          <w:bCs/>
          <w:color w:val="000000" w:themeColor="text1"/>
          <w:sz w:val="24"/>
          <w:szCs w:val="21"/>
          <w:highlight w:val="none"/>
          <w:lang w:eastAsia="zh-CN"/>
          <w14:textFill>
            <w14:solidFill>
              <w14:schemeClr w14:val="tx1"/>
            </w14:solidFill>
          </w14:textFill>
        </w:rPr>
        <w:t xml:space="preserve">采购代理机构</w:t>
      </w:r>
      <w:r>
        <w:rPr>
          <w:rFonts w:hint="eastAsia" w:ascii="宋体" w:hAnsi="宋体"/>
          <w:bCs/>
          <w:color w:val="000000" w:themeColor="text1"/>
          <w:sz w:val="24"/>
          <w:szCs w:val="21"/>
          <w:highlight w:val="none"/>
          <w14:textFill>
            <w14:solidFill>
              <w14:schemeClr w14:val="tx1"/>
            </w14:solidFill>
          </w14:textFill>
        </w:rPr>
        <w:t xml:space="preserve">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和在苏采云系统规定的时间内对投标文件进行解密。</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开标仪式由</w:t>
      </w:r>
      <w:r>
        <w:rPr>
          <w:rFonts w:hint="eastAsia" w:ascii="宋体" w:hAnsi="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组织。苏采云系统将自动对</w:t>
      </w:r>
      <w:r>
        <w:rPr>
          <w:rFonts w:ascii="宋体" w:hAnsi="宋体"/>
          <w:color w:val="000000" w:themeColor="text1"/>
          <w:sz w:val="24"/>
          <w:szCs w:val="24"/>
          <w:highlight w:val="none"/>
          <w14:textFill>
            <w14:solidFill>
              <w14:schemeClr w14:val="tx1"/>
            </w14:solidFill>
          </w14:textFill>
        </w:rPr>
        <w:t xml:space="preserve">项目进行开标，</w:t>
      </w:r>
      <w:r>
        <w:rPr>
          <w:rFonts w:hint="eastAsia" w:ascii="宋体" w:hAnsi="宋体"/>
          <w:color w:val="000000" w:themeColor="text1"/>
          <w:sz w:val="24"/>
          <w:szCs w:val="24"/>
          <w:highlight w:val="none"/>
          <w14:textFill>
            <w14:solidFill>
              <w14:schemeClr w14:val="tx1"/>
            </w14:solidFill>
          </w14:textFill>
        </w:rPr>
        <w:t xml:space="preserve">并宣布各投标人名称和投标价格。</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.3投标人在开标过程中涉及到的投标文件解密、开标结果确认等工作，应按照《操作手册》规定执行。</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45" w:name="_Toc16938547"/>
      <w:r/>
      <w:bookmarkStart w:id="146" w:name="_Toc513029231"/>
      <w:r/>
      <w:bookmarkStart w:id="147" w:name="_Toc20823303"/>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2</w:t>
      </w:r>
      <w:r>
        <w:rPr>
          <w:rFonts w:hint="eastAsia" w:ascii="Arial" w:hAnsi="Arial" w:eastAsia="黑体" w:cs="Arial"/>
          <w:color w:val="000000" w:themeColor="text1"/>
          <w:sz w:val="28"/>
          <w:szCs w:val="28"/>
          <w:highlight w:val="none"/>
          <w14:textFill>
            <w14:solidFill>
              <w14:schemeClr w14:val="tx1"/>
            </w14:solidFill>
          </w14:textFill>
        </w:rPr>
        <w:t xml:space="preserve">、评标委员会</w:t>
      </w:r>
      <w:r/>
    </w:p>
    <w:p>
      <w:pPr>
        <w:spacing w:line="4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开标后，</w:t>
      </w:r>
      <w:r>
        <w:rPr>
          <w:rFonts w:hint="eastAsia" w:ascii="宋体" w:hAnsi="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将立即组织评标委员会进行评标。</w:t>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.2 </w:t>
      </w:r>
      <w:r>
        <w:rPr>
          <w:rFonts w:hint="eastAsia" w:ascii="宋体" w:hAnsi="宋体"/>
          <w:color w:val="000000" w:themeColor="text1"/>
          <w:sz w:val="24"/>
          <w:szCs w:val="24"/>
          <w:highlight w:val="none"/>
          <w:lang w:eastAsia="zh-CN"/>
          <w14:textFill>
            <w14:solidFill>
              <w14:schemeClr w14:val="tx1"/>
            </w14:solidFill>
          </w14:textFill>
        </w:rPr>
        <w:t xml:space="preserve">评标委员会</w:t>
      </w:r>
      <w:r>
        <w:rPr>
          <w:rFonts w:hint="eastAsia" w:ascii="宋体" w:hAnsi="宋体"/>
          <w:color w:val="000000" w:themeColor="text1"/>
          <w:sz w:val="24"/>
          <w:szCs w:val="24"/>
          <w:highlight w:val="none"/>
          <w14:textFill>
            <w14:solidFill>
              <w14:schemeClr w14:val="tx1"/>
            </w14:solidFill>
          </w14:textFill>
        </w:rPr>
        <w:t xml:space="preserve">由采购人代表和有关技术、经济等方面的专家组成，且人员构成符合政府采购有关规定。</w:t>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评标委员会</w:t>
      </w:r>
      <w:r>
        <w:rPr>
          <w:rFonts w:hint="eastAsia" w:ascii="宋体" w:hAnsi="宋体"/>
          <w:color w:val="000000" w:themeColor="text1"/>
          <w:sz w:val="24"/>
          <w:szCs w:val="24"/>
          <w:highlight w:val="none"/>
          <w14:textFill>
            <w14:solidFill>
              <w14:schemeClr w14:val="tx1"/>
            </w14:solidFill>
          </w14:textFill>
        </w:rPr>
        <w:t xml:space="preserve">独立工作，负责评审所有投标文件并确定中标侯选人。</w:t>
      </w:r>
      <w:r/>
    </w:p>
    <w:p>
      <w:pPr>
        <w:ind w:firstLine="420"/>
        <w:keepLines/>
        <w:keepNext/>
        <w:spacing w:line="400" w:lineRule="exact"/>
        <w:rPr>
          <w:rFonts w:hint="eastAsia" w:ascii="黑体" w:hAnsi="Arial" w:eastAsia="黑体" w:cs="Arial"/>
          <w:color w:val="000000" w:themeColor="text1"/>
          <w:sz w:val="28"/>
          <w:szCs w:val="28"/>
          <w:highlight w:val="none"/>
          <w14:textFill>
            <w14:solidFill>
              <w14:schemeClr w14:val="tx1"/>
            </w14:solidFill>
          </w14:textFill>
        </w:rPr>
        <w:outlineLvl w:val="3"/>
      </w:pPr>
      <w:r>
        <w:rPr>
          <w:rFonts w:hint="eastAsia" w:ascii="黑体" w:hAnsi="Arial" w:eastAsia="黑体" w:cs="Arial"/>
          <w:color w:val="000000" w:themeColor="text1"/>
          <w:sz w:val="28"/>
          <w:szCs w:val="28"/>
          <w:highlight w:val="none"/>
          <w14:textFill>
            <w14:solidFill>
              <w14:schemeClr w14:val="tx1"/>
            </w14:solidFill>
          </w14:textFill>
        </w:rPr>
        <w:t xml:space="preserve">2</w:t>
      </w:r>
      <w:r>
        <w:rPr>
          <w:rFonts w:ascii="黑体" w:hAnsi="Arial" w:eastAsia="黑体" w:cs="Arial"/>
          <w:color w:val="000000" w:themeColor="text1"/>
          <w:sz w:val="28"/>
          <w:szCs w:val="28"/>
          <w:highlight w:val="none"/>
          <w14:textFill>
            <w14:solidFill>
              <w14:schemeClr w14:val="tx1"/>
            </w14:solidFill>
          </w14:textFill>
        </w:rPr>
        <w:t xml:space="preserve">3</w:t>
      </w:r>
      <w:r>
        <w:rPr>
          <w:rFonts w:hint="eastAsia" w:ascii="黑体" w:hAnsi="Arial" w:eastAsia="黑体" w:cs="Arial"/>
          <w:color w:val="000000" w:themeColor="text1"/>
          <w:sz w:val="28"/>
          <w:szCs w:val="28"/>
          <w:highlight w:val="none"/>
          <w14:textFill>
            <w14:solidFill>
              <w14:schemeClr w14:val="tx1"/>
            </w14:solidFill>
          </w14:textFill>
        </w:rPr>
        <w:t xml:space="preserve">、评标过程的保密与公正</w:t>
      </w:r>
      <w:bookmarkEnd w:id="145"/>
      <w:r/>
      <w:bookmarkEnd w:id="146"/>
      <w:r/>
      <w:bookmarkEnd w:id="147"/>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凡是与审查、澄清、评价和比较投标的有关资料以及授标建议等，采购人、评委、</w:t>
      </w:r>
      <w:r>
        <w:rPr>
          <w:rFonts w:hint="eastAsia" w:ascii="宋体" w:hAnsi="宋体"/>
          <w:bCs/>
          <w:color w:val="000000" w:themeColor="text1"/>
          <w:sz w:val="24"/>
          <w:szCs w:val="21"/>
          <w:highlight w:val="none"/>
          <w:lang w:eastAsia="zh-CN"/>
          <w14:textFill>
            <w14:solidFill>
              <w14:schemeClr w14:val="tx1"/>
            </w14:solidFill>
          </w14:textFill>
        </w:rPr>
        <w:t xml:space="preserve">采购代理机构</w:t>
      </w:r>
      <w:r>
        <w:rPr>
          <w:rFonts w:hint="eastAsia" w:ascii="宋体" w:hAnsi="宋体"/>
          <w:bCs/>
          <w:color w:val="000000" w:themeColor="text1"/>
          <w:sz w:val="24"/>
          <w:szCs w:val="21"/>
          <w:highlight w:val="none"/>
          <w14:textFill>
            <w14:solidFill>
              <w14:schemeClr w14:val="tx1"/>
            </w14:solidFill>
          </w14:textFill>
        </w:rPr>
        <w:t xml:space="preserve">均不得向投标人或与评标无关的其他人员透露。</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23</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和评标委员会不向未中标的投标人解释未中标原因，也不公布评标过程中的相关细节。</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48" w:name="_Toc513029232"/>
      <w:r/>
      <w:bookmarkStart w:id="149" w:name="_Toc20823304"/>
      <w:r/>
      <w:bookmarkStart w:id="150" w:name="_Toc16938548"/>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4</w:t>
      </w:r>
      <w:r>
        <w:rPr>
          <w:rFonts w:hint="eastAsia" w:ascii="Arial" w:hAnsi="Arial" w:eastAsia="黑体" w:cs="Arial"/>
          <w:color w:val="000000" w:themeColor="text1"/>
          <w:sz w:val="28"/>
          <w:szCs w:val="28"/>
          <w:highlight w:val="none"/>
          <w14:textFill>
            <w14:solidFill>
              <w14:schemeClr w14:val="tx1"/>
            </w14:solidFill>
          </w14:textFill>
        </w:rPr>
        <w:t xml:space="preserve">、投标文件的澄清</w:t>
      </w:r>
      <w:bookmarkEnd w:id="148"/>
      <w:r/>
      <w:bookmarkEnd w:id="149"/>
      <w:r/>
      <w:bookmarkEnd w:id="150"/>
      <w:r/>
      <w:r/>
    </w:p>
    <w:p>
      <w:pPr>
        <w:ind w:firstLine="480"/>
        <w:spacing w:line="400" w:lineRule="exact"/>
        <w:rPr>
          <w:rFonts w:ascii="宋体" w:hAnsi="宋体"/>
          <w:color w:val="000000" w:themeColor="text1"/>
          <w:sz w:val="24"/>
          <w:szCs w:val="24"/>
          <w:highlight w:val="none"/>
          <w14:textFill>
            <w14:solidFill>
              <w14:schemeClr w14:val="tx1"/>
            </w14:solidFill>
          </w14:textFill>
        </w:rPr>
      </w:pPr>
      <w:r/>
      <w:bookmarkStart w:id="151" w:name="_Toc20823305"/>
      <w:r/>
      <w:bookmarkStart w:id="152" w:name="_Toc513029233"/>
      <w:r/>
      <w:bookmarkStart w:id="153" w:name="_Toc16938549"/>
      <w:r>
        <w:rPr>
          <w:rFonts w:ascii="宋体" w:hAnsi="宋体"/>
          <w:color w:val="000000" w:themeColor="text1"/>
          <w:sz w:val="24"/>
          <w:szCs w:val="24"/>
          <w:highlight w:val="none"/>
          <w14:textFill>
            <w14:solidFill>
              <w14:schemeClr w14:val="tx1"/>
            </w14:solidFill>
          </w14:textFill>
        </w:rPr>
        <w:t xml:space="preserve">24</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w:t>
      </w:r>
      <w:r>
        <w:rPr>
          <w:rFonts w:hint="eastAsia" w:ascii="宋体" w:hAnsi="宋体"/>
          <w:color w:val="000000" w:themeColor="text1"/>
          <w:sz w:val="24"/>
          <w:szCs w:val="24"/>
          <w:highlight w:val="none"/>
          <w:lang w:eastAsia="zh-CN"/>
          <w14:textFill>
            <w14:solidFill>
              <w14:schemeClr w14:val="tx1"/>
            </w14:solidFill>
          </w14:textFill>
        </w:rPr>
        <w:t xml:space="preserve">评标委员会</w:t>
      </w:r>
      <w:r>
        <w:rPr>
          <w:rFonts w:hint="eastAsia" w:ascii="宋体" w:hAnsi="宋体"/>
          <w:color w:val="000000" w:themeColor="text1"/>
          <w:sz w:val="24"/>
          <w:szCs w:val="24"/>
          <w:highlight w:val="none"/>
          <w14:textFill>
            <w14:solidFill>
              <w14:schemeClr w14:val="tx1"/>
            </w14:solidFill>
          </w14:textFill>
        </w:rPr>
        <w:t xml:space="preserve">对投标文件中含义不明确、同类问题表述不一致或者有明显文字和计算错误的内容</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，有权要求投标人作出必要的澄清、说明或者补正。</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评标</w:t>
      </w:r>
      <w:r>
        <w:rPr>
          <w:rFonts w:ascii="宋体" w:hAnsi="宋体"/>
          <w:color w:val="000000" w:themeColor="text1"/>
          <w:sz w:val="24"/>
          <w:szCs w:val="24"/>
          <w:highlight w:val="none"/>
          <w14:textFill>
            <w14:solidFill>
              <w14:schemeClr w14:val="tx1"/>
            </w14:solidFill>
          </w14:textFill>
        </w:rPr>
        <w:t xml:space="preserve">委员会并非对每个投标人都做澄清要求</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.2需要供应商进行澄清、说明和补正的，</w:t>
      </w:r>
      <w:r>
        <w:rPr>
          <w:rFonts w:hint="eastAsia" w:ascii="宋体" w:hAnsi="宋体"/>
          <w:color w:val="000000" w:themeColor="text1"/>
          <w:sz w:val="24"/>
          <w:szCs w:val="24"/>
          <w:highlight w:val="none"/>
          <w:lang w:eastAsia="zh-CN"/>
          <w14:textFill>
            <w14:solidFill>
              <w14:schemeClr w14:val="tx1"/>
            </w14:solidFill>
          </w14:textFill>
        </w:rPr>
        <w:t xml:space="preserve">评标委员会</w:t>
      </w:r>
      <w:r>
        <w:rPr>
          <w:rFonts w:hint="eastAsia" w:ascii="宋体" w:hAnsi="宋体"/>
          <w:color w:val="000000" w:themeColor="text1"/>
          <w:sz w:val="24"/>
          <w:szCs w:val="24"/>
          <w:highlight w:val="none"/>
          <w14:textFill>
            <w14:solidFill>
              <w14:schemeClr w14:val="tx1"/>
            </w14:solidFill>
          </w14:textFill>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.3 接到</w:t>
      </w:r>
      <w:r>
        <w:rPr>
          <w:rFonts w:hint="eastAsia" w:ascii="宋体" w:hAnsi="宋体"/>
          <w:color w:val="000000" w:themeColor="text1"/>
          <w:sz w:val="24"/>
          <w:szCs w:val="24"/>
          <w:highlight w:val="none"/>
          <w:lang w:eastAsia="zh-CN"/>
          <w14:textFill>
            <w14:solidFill>
              <w14:schemeClr w14:val="tx1"/>
            </w14:solidFill>
          </w14:textFill>
        </w:rPr>
        <w:t xml:space="preserve">评标委员会</w:t>
      </w:r>
      <w:r>
        <w:rPr>
          <w:rFonts w:hint="eastAsia" w:ascii="宋体" w:hAnsi="宋体"/>
          <w:color w:val="000000" w:themeColor="text1"/>
          <w:sz w:val="24"/>
          <w:szCs w:val="24"/>
          <w:highlight w:val="none"/>
          <w14:textFill>
            <w14:solidFill>
              <w14:schemeClr w14:val="tx1"/>
            </w14:solidFill>
          </w14:textFill>
        </w:rPr>
        <w:t xml:space="preserve">澄清、说明和补正要求的投标人如未按规定做出澄清、说明和补正，其风险由投标人自行承担。</w:t>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5</w:t>
      </w:r>
      <w:r>
        <w:rPr>
          <w:rFonts w:hint="eastAsia" w:ascii="Arial" w:hAnsi="Arial" w:eastAsia="黑体" w:cs="Arial"/>
          <w:color w:val="000000" w:themeColor="text1"/>
          <w:sz w:val="28"/>
          <w:szCs w:val="28"/>
          <w:highlight w:val="none"/>
          <w14:textFill>
            <w14:solidFill>
              <w14:schemeClr w14:val="tx1"/>
            </w14:solidFill>
          </w14:textFill>
        </w:rPr>
        <w:t xml:space="preserve">、对投标文件的初审</w:t>
      </w:r>
      <w:bookmarkEnd w:id="151"/>
      <w:r/>
      <w:bookmarkEnd w:id="152"/>
      <w:r/>
      <w:bookmarkEnd w:id="153"/>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投标文件初审分为资格审查和符合性审查。</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.1.1 资格审查：依据法律法规和招标文件的规定，由采购人对投标文件中的资格证明文件进行审查。资格审查的结论，采购人以书面形式向</w:t>
      </w:r>
      <w:r>
        <w:rPr>
          <w:rFonts w:hint="eastAsia" w:ascii="宋体" w:hAnsi="宋体"/>
          <w:bCs/>
          <w:color w:val="000000" w:themeColor="text1"/>
          <w:sz w:val="24"/>
          <w:szCs w:val="21"/>
          <w:highlight w:val="none"/>
          <w:lang w:eastAsia="zh-CN"/>
          <w14:textFill>
            <w14:solidFill>
              <w14:schemeClr w14:val="tx1"/>
            </w14:solidFill>
          </w14:textFill>
        </w:rPr>
        <w:t xml:space="preserve">评标委员会</w:t>
      </w:r>
      <w:r>
        <w:rPr>
          <w:rFonts w:hint="eastAsia" w:ascii="宋体" w:hAnsi="宋体"/>
          <w:bCs/>
          <w:color w:val="000000" w:themeColor="text1"/>
          <w:sz w:val="24"/>
          <w:szCs w:val="21"/>
          <w:highlight w:val="none"/>
          <w14:textFill>
            <w14:solidFill>
              <w14:schemeClr w14:val="tx1"/>
            </w14:solidFill>
          </w14:textFill>
        </w:rPr>
        <w:t xml:space="preserve">进行反馈。</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采购人在进行资格性审查的同时，将在“信用中国”网站</w:t>
      </w:r>
      <w:r>
        <w:rPr>
          <w:rFonts w:ascii="Times New Roman" w:hAnsi="Times New Roman"/>
          <w:bCs/>
          <w:color w:val="000000" w:themeColor="text1"/>
          <w:szCs w:val="21"/>
          <w:highlight w:val="none"/>
          <w14:textFill>
            <w14:solidFill>
              <w14:schemeClr w14:val="tx1"/>
            </w14:solidFill>
          </w14:textFill>
        </w:rPr>
        <w:t xml:space="preserve">（www.creditchina.gov.cn）</w:t>
      </w:r>
      <w:r>
        <w:rPr>
          <w:rFonts w:hint="eastAsia" w:ascii="宋体" w:hAnsi="宋体"/>
          <w:bCs/>
          <w:color w:val="000000" w:themeColor="text1"/>
          <w:sz w:val="24"/>
          <w:szCs w:val="21"/>
          <w:highlight w:val="none"/>
          <w14:textFill>
            <w14:solidFill>
              <w14:schemeClr w14:val="tx1"/>
            </w14:solidFill>
          </w14:textFill>
        </w:rPr>
        <w:t xml:space="preserve">查询投标人的信用记录，以确定投标人是否具备投标资格,查询结果留存并归档。</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.1.2 符合性审查：依据招标文件的规定，由</w:t>
      </w:r>
      <w:r>
        <w:rPr>
          <w:rFonts w:hint="eastAsia" w:ascii="宋体" w:hAnsi="宋体"/>
          <w:bCs/>
          <w:color w:val="000000" w:themeColor="text1"/>
          <w:sz w:val="24"/>
          <w:szCs w:val="21"/>
          <w:highlight w:val="none"/>
          <w:lang w:eastAsia="zh-CN"/>
          <w14:textFill>
            <w14:solidFill>
              <w14:schemeClr w14:val="tx1"/>
            </w14:solidFill>
          </w14:textFill>
        </w:rPr>
        <w:t xml:space="preserve">评标委员会</w:t>
      </w:r>
      <w:r>
        <w:rPr>
          <w:rFonts w:hint="eastAsia" w:ascii="宋体" w:hAnsi="宋体"/>
          <w:bCs/>
          <w:color w:val="000000" w:themeColor="text1"/>
          <w:sz w:val="24"/>
          <w:szCs w:val="21"/>
          <w:highlight w:val="none"/>
          <w14:textFill>
            <w14:solidFill>
              <w14:schemeClr w14:val="tx1"/>
            </w14:solidFill>
          </w14:textFill>
        </w:rPr>
        <w:t xml:space="preserve">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.1.3 未通过资格审查或符合性审查的投标人，</w:t>
      </w:r>
      <w:r>
        <w:rPr>
          <w:rFonts w:hint="eastAsia" w:ascii="宋体" w:hAnsi="宋体"/>
          <w:bCs/>
          <w:color w:val="000000" w:themeColor="text1"/>
          <w:sz w:val="24"/>
          <w:szCs w:val="21"/>
          <w:highlight w:val="none"/>
          <w:lang w:eastAsia="zh-CN"/>
          <w14:textFill>
            <w14:solidFill>
              <w14:schemeClr w14:val="tx1"/>
            </w14:solidFill>
          </w14:textFill>
        </w:rPr>
        <w:t xml:space="preserve">采购代理机构</w:t>
      </w:r>
      <w:r>
        <w:rPr>
          <w:rFonts w:hint="eastAsia" w:ascii="宋体" w:hAnsi="宋体"/>
          <w:bCs/>
          <w:color w:val="000000" w:themeColor="text1"/>
          <w:sz w:val="24"/>
          <w:szCs w:val="21"/>
          <w:highlight w:val="none"/>
          <w14:textFill>
            <w14:solidFill>
              <w14:schemeClr w14:val="tx1"/>
            </w14:solidFill>
          </w14:textFill>
        </w:rPr>
        <w:t xml:space="preserve">将在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中告知未通过资格审查或符合性审查的原因，评审结束后，</w:t>
      </w:r>
      <w:r>
        <w:rPr>
          <w:rFonts w:hint="eastAsia" w:ascii="宋体" w:hAnsi="宋体"/>
          <w:bCs/>
          <w:color w:val="000000" w:themeColor="text1"/>
          <w:sz w:val="24"/>
          <w:szCs w:val="21"/>
          <w:highlight w:val="none"/>
          <w:lang w:eastAsia="zh-CN"/>
          <w14:textFill>
            <w14:solidFill>
              <w14:schemeClr w14:val="tx1"/>
            </w14:solidFill>
          </w14:textFill>
        </w:rPr>
        <w:t xml:space="preserve">采购代理机构</w:t>
      </w:r>
      <w:r>
        <w:rPr>
          <w:rFonts w:hint="eastAsia" w:ascii="宋体" w:hAnsi="宋体"/>
          <w:bCs/>
          <w:color w:val="000000" w:themeColor="text1"/>
          <w:sz w:val="24"/>
          <w:szCs w:val="21"/>
          <w:highlight w:val="none"/>
          <w14:textFill>
            <w14:solidFill>
              <w14:schemeClr w14:val="tx1"/>
            </w14:solidFill>
          </w14:textFill>
        </w:rPr>
        <w:t xml:space="preserve">将不再告知未通过资格审查或符合性审查的原因。</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在详细评标之前，</w:t>
      </w:r>
      <w:r>
        <w:rPr>
          <w:rFonts w:hint="eastAsia" w:ascii="宋体" w:hAnsi="宋体"/>
          <w:color w:val="000000" w:themeColor="text1"/>
          <w:sz w:val="24"/>
          <w:szCs w:val="24"/>
          <w:highlight w:val="none"/>
          <w:lang w:eastAsia="zh-CN"/>
          <w14:textFill>
            <w14:solidFill>
              <w14:schemeClr w14:val="tx1"/>
            </w14:solidFill>
          </w14:textFill>
        </w:rPr>
        <w:t xml:space="preserve">评标委员会</w:t>
      </w:r>
      <w:r>
        <w:rPr>
          <w:rFonts w:hint="eastAsia" w:ascii="宋体" w:hAnsi="宋体"/>
          <w:color w:val="000000" w:themeColor="text1"/>
          <w:sz w:val="24"/>
          <w:szCs w:val="24"/>
          <w:highlight w:val="none"/>
          <w14:textFill>
            <w14:solidFill>
              <w14:schemeClr w14:val="tx1"/>
            </w14:solidFill>
          </w14:textFill>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w:t>
      </w:r>
      <w:r>
        <w:rPr>
          <w:rFonts w:hint="eastAsia" w:ascii="宋体" w:hAnsi="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的权利或投标人的义务，纠正这些偏离或保留将会对其他实质性响应要求的投标人的竞争地位产生不公正的影响。重大偏离的认定需经过</w:t>
      </w:r>
      <w:r>
        <w:rPr>
          <w:rFonts w:hint="eastAsia" w:ascii="宋体" w:hAnsi="宋体"/>
          <w:color w:val="000000" w:themeColor="text1"/>
          <w:sz w:val="24"/>
          <w:szCs w:val="24"/>
          <w:highlight w:val="none"/>
          <w:lang w:eastAsia="zh-CN"/>
          <w14:textFill>
            <w14:solidFill>
              <w14:schemeClr w14:val="tx1"/>
            </w14:solidFill>
          </w14:textFill>
        </w:rPr>
        <w:t xml:space="preserve">评标委员会</w:t>
      </w:r>
      <w:r>
        <w:rPr>
          <w:rFonts w:hint="eastAsia" w:ascii="宋体" w:hAnsi="宋体"/>
          <w:color w:val="000000" w:themeColor="text1"/>
          <w:sz w:val="24"/>
          <w:szCs w:val="24"/>
          <w:highlight w:val="none"/>
          <w14:textFill>
            <w14:solidFill>
              <w14:schemeClr w14:val="tx1"/>
            </w14:solidFill>
          </w14:textFill>
        </w:rPr>
        <w:t xml:space="preserve">以少数服从多数的原则作出结论。</w:t>
      </w:r>
      <w:r>
        <w:rPr>
          <w:rFonts w:hint="eastAsia" w:ascii="宋体" w:hAnsi="宋体"/>
          <w:bCs/>
          <w:color w:val="000000" w:themeColor="text1"/>
          <w:sz w:val="24"/>
          <w:szCs w:val="21"/>
          <w:highlight w:val="none"/>
          <w14:textFill>
            <w14:solidFill>
              <w14:schemeClr w14:val="tx1"/>
            </w14:solidFill>
          </w14:textFill>
        </w:rPr>
        <w:t xml:space="preserve">评委决定投标文件的响应性只根据投标文件本身的内容，而不寻求外部的证据。</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如果投标文件实质上没有响应招标文件的要求，</w:t>
      </w:r>
      <w:r>
        <w:rPr>
          <w:rFonts w:hint="eastAsia" w:ascii="宋体" w:hAnsi="宋体"/>
          <w:bCs/>
          <w:color w:val="000000" w:themeColor="text1"/>
          <w:sz w:val="24"/>
          <w:szCs w:val="21"/>
          <w:highlight w:val="none"/>
          <w:lang w:eastAsia="zh-CN"/>
          <w14:textFill>
            <w14:solidFill>
              <w14:schemeClr w14:val="tx1"/>
            </w14:solidFill>
          </w14:textFill>
        </w:rPr>
        <w:t xml:space="preserve">评标委员会</w:t>
      </w:r>
      <w:r>
        <w:rPr>
          <w:rFonts w:hint="eastAsia" w:ascii="宋体" w:hAnsi="宋体"/>
          <w:bCs/>
          <w:color w:val="000000" w:themeColor="text1"/>
          <w:sz w:val="24"/>
          <w:szCs w:val="21"/>
          <w:highlight w:val="none"/>
          <w14:textFill>
            <w14:solidFill>
              <w14:schemeClr w14:val="tx1"/>
            </w14:solidFill>
          </w14:textFill>
        </w:rPr>
        <w:t xml:space="preserve">将予以拒绝，投标人不得通过修改或撤销不合要求的偏离或保留而使其投标成为实质性响应的投标。</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lang w:eastAsia="zh-CN"/>
          <w14:textFill>
            <w14:solidFill>
              <w14:schemeClr w14:val="tx1"/>
            </w14:solidFill>
          </w14:textFill>
        </w:rPr>
        <w:t xml:space="preserve">评标委员会</w:t>
      </w:r>
      <w:r>
        <w:rPr>
          <w:rFonts w:hint="eastAsia" w:ascii="宋体" w:hAnsi="宋体"/>
          <w:bCs/>
          <w:color w:val="000000" w:themeColor="text1"/>
          <w:sz w:val="24"/>
          <w:szCs w:val="21"/>
          <w:highlight w:val="none"/>
          <w14:textFill>
            <w14:solidFill>
              <w14:schemeClr w14:val="tx1"/>
            </w14:solidFill>
          </w14:textFill>
        </w:rPr>
        <w:t xml:space="preserve">将对确定为实质性响应的投标进行进一步审核，看其是否有计算上或累加上的算术错误，修正错误的原则如下：</w:t>
      </w: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（1）投标文件中开标一览表内容与投标文件中相应内容不一致的，以开标一览表为准。</w:t>
      </w: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（2）大写金额和小写金额不一致的，以大写金额为准。</w:t>
      </w: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（3）单价金额小数点或者百分比有明显错位的，以开标一览表的总价为准，并修改单价。</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（4）总价金额与按单价汇总金额不一致的，以单价金额计算结果为准。</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同时出现两种以上错误的，按照前款规定的顺序修正。</w:t>
      </w: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lang w:eastAsia="zh-CN"/>
          <w14:textFill>
            <w14:solidFill>
              <w14:schemeClr w14:val="tx1"/>
            </w14:solidFill>
          </w14:textFill>
        </w:rPr>
        <w:t xml:space="preserve">评标委员会</w:t>
      </w:r>
      <w:r>
        <w:rPr>
          <w:rFonts w:hint="eastAsia" w:ascii="宋体" w:hAnsi="宋体"/>
          <w:bCs/>
          <w:color w:val="000000" w:themeColor="text1"/>
          <w:sz w:val="24"/>
          <w:szCs w:val="21"/>
          <w:highlight w:val="none"/>
          <w14:textFill>
            <w14:solidFill>
              <w14:schemeClr w14:val="tx1"/>
            </w14:solidFill>
          </w14:textFill>
        </w:rPr>
        <w:t xml:space="preserve">将按上述修正错误的方法调整投标文件中的投标报价，并</w:t>
      </w:r>
      <w:r>
        <w:rPr>
          <w:rFonts w:ascii="宋体" w:hAnsi="宋体"/>
          <w:bCs/>
          <w:color w:val="000000" w:themeColor="text1"/>
          <w:sz w:val="24"/>
          <w:szCs w:val="21"/>
          <w:highlight w:val="none"/>
          <w14:textFill>
            <w14:solidFill>
              <w14:schemeClr w14:val="tx1"/>
            </w14:solidFill>
          </w14:textFill>
        </w:rPr>
        <w:t xml:space="preserve">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告知</w:t>
      </w:r>
      <w:r>
        <w:rPr>
          <w:rFonts w:ascii="宋体" w:hAnsi="宋体"/>
          <w:bCs/>
          <w:color w:val="000000" w:themeColor="text1"/>
          <w:sz w:val="24"/>
          <w:szCs w:val="21"/>
          <w:highlight w:val="none"/>
          <w14:textFill>
            <w14:solidFill>
              <w14:schemeClr w14:val="tx1"/>
            </w14:solidFill>
          </w14:textFill>
        </w:rPr>
        <w:t xml:space="preserve">投标人，</w:t>
      </w:r>
      <w:r>
        <w:rPr>
          <w:rFonts w:hint="eastAsia" w:ascii="宋体" w:hAnsi="宋体"/>
          <w:bCs/>
          <w:color w:val="000000" w:themeColor="text1"/>
          <w:sz w:val="24"/>
          <w:szCs w:val="21"/>
          <w:highlight w:val="none"/>
          <w14:textFill>
            <w14:solidFill>
              <w14:schemeClr w14:val="tx1"/>
            </w14:solidFill>
          </w14:textFill>
        </w:rPr>
        <w:t xml:space="preserve">调整后的价格应对投标人具有约束力。如果投标人不接受修正后的价格，则其投标将被拒绝。</w:t>
      </w:r>
      <w:r/>
    </w:p>
    <w:p>
      <w:pPr>
        <w:ind w:firstLine="480"/>
        <w:spacing w:line="400" w:lineRule="exact"/>
        <w:rPr>
          <w:rFonts w:ascii="宋体" w:hAnsi="宋体"/>
          <w:color w:val="000000" w:themeColor="text1"/>
          <w:sz w:val="24"/>
          <w:szCs w:val="21"/>
          <w:highlight w:val="none"/>
          <w14:textFill>
            <w14:solidFill>
              <w14:schemeClr w14:val="tx1"/>
            </w14:solidFill>
          </w14:textFill>
        </w:rPr>
      </w:pPr>
      <w:r/>
      <w:bookmarkStart w:id="154" w:name="_Toc513029234"/>
      <w:r/>
      <w:bookmarkStart w:id="155" w:name="_Toc16938550"/>
      <w:r/>
      <w:bookmarkStart w:id="156" w:name="_Toc20823306"/>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.6</w:t>
      </w:r>
      <w:r>
        <w:rPr>
          <w:rFonts w:ascii="宋体" w:hAnsi="宋体"/>
          <w:color w:val="000000" w:themeColor="text1"/>
          <w:sz w:val="24"/>
          <w:szCs w:val="21"/>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highlight w:val="none"/>
          <w14:textFill>
            <w14:solidFill>
              <w14:schemeClr w14:val="tx1"/>
            </w14:solidFill>
          </w14:textFill>
        </w:rPr>
        <w:t xml:space="preserve">按照招标文件规定的方式（招标文件未规定的通过</w:t>
      </w:r>
      <w:r>
        <w:rPr>
          <w:rFonts w:ascii="宋体" w:hAnsi="宋体"/>
          <w:color w:val="000000" w:themeColor="text1"/>
          <w:sz w:val="24"/>
          <w:szCs w:val="21"/>
          <w:highlight w:val="none"/>
          <w14:textFill>
            <w14:solidFill>
              <w14:schemeClr w14:val="tx1"/>
            </w14:solidFill>
          </w14:textFill>
        </w:rPr>
        <w:t xml:space="preserve">随机抽取</w:t>
      </w:r>
      <w:r>
        <w:rPr>
          <w:rFonts w:hint="eastAsia" w:ascii="宋体" w:hAnsi="宋体"/>
          <w:color w:val="000000" w:themeColor="text1"/>
          <w:sz w:val="24"/>
          <w:szCs w:val="21"/>
          <w:highlight w:val="none"/>
          <w14:textFill>
            <w14:solidFill>
              <w14:schemeClr w14:val="tx1"/>
            </w14:solidFill>
          </w14:textFill>
        </w:rPr>
        <w:t xml:space="preserve">的</w:t>
      </w:r>
      <w:r>
        <w:rPr>
          <w:rFonts w:ascii="宋体" w:hAnsi="宋体"/>
          <w:color w:val="000000" w:themeColor="text1"/>
          <w:sz w:val="24"/>
          <w:szCs w:val="21"/>
          <w:highlight w:val="none"/>
          <w14:textFill>
            <w14:solidFill>
              <w14:schemeClr w14:val="tx1"/>
            </w14:solidFill>
          </w14:textFill>
        </w:rPr>
        <w:t xml:space="preserve">方式</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确定一个参加评标的投标人，其他投标无效。</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themeColor="text1"/>
          <w:sz w:val="24"/>
          <w:szCs w:val="21"/>
          <w:highlight w:val="none"/>
          <w14:textFill>
            <w14:solidFill>
              <w14:schemeClr w14:val="tx1"/>
            </w14:solidFill>
          </w14:textFill>
        </w:rPr>
        <w:t xml:space="preserve">根据招标文件规定的方式（招标文件未规定的采取随机抽取的方式）</w:t>
      </w:r>
      <w:r>
        <w:rPr>
          <w:rFonts w:ascii="宋体" w:hAnsi="宋体"/>
          <w:color w:val="000000" w:themeColor="text1"/>
          <w:sz w:val="24"/>
          <w:szCs w:val="21"/>
          <w:highlight w:val="none"/>
          <w14:textFill>
            <w14:solidFill>
              <w14:schemeClr w14:val="tx1"/>
            </w14:solidFill>
          </w14:textFill>
        </w:rPr>
        <w:t xml:space="preserve">确定</w:t>
      </w:r>
      <w:r>
        <w:rPr>
          <w:rFonts w:hint="eastAsia" w:ascii="宋体" w:hAnsi="宋体"/>
          <w:color w:val="000000" w:themeColor="text1"/>
          <w:sz w:val="24"/>
          <w:szCs w:val="21"/>
          <w:highlight w:val="none"/>
          <w14:textFill>
            <w14:solidFill>
              <w14:schemeClr w14:val="tx1"/>
            </w14:solidFill>
          </w14:textFill>
        </w:rPr>
        <w:t xml:space="preserve">一个中标候选人</w:t>
      </w:r>
      <w:r>
        <w:rPr>
          <w:rFonts w:ascii="宋体" w:hAnsi="宋体"/>
          <w:color w:val="000000" w:themeColor="text1"/>
          <w:sz w:val="24"/>
          <w:szCs w:val="21"/>
          <w:highlight w:val="none"/>
          <w14:textFill>
            <w14:solidFill>
              <w14:schemeClr w14:val="tx1"/>
            </w14:solidFill>
          </w14:textFill>
        </w:rPr>
        <w:t xml:space="preserve">，其他同品牌投标人不作为中标候选人。</w:t>
      </w:r>
      <w:r/>
    </w:p>
    <w:p>
      <w:pPr>
        <w:ind w:firstLine="42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非单一产品采购项目，招标文件中</w:t>
      </w:r>
      <w:r>
        <w:rPr>
          <w:rFonts w:hint="eastAsia" w:ascii="宋体" w:hAnsi="宋体"/>
          <w:color w:val="000000" w:themeColor="text1"/>
          <w:sz w:val="24"/>
          <w:szCs w:val="21"/>
          <w:highlight w:val="none"/>
          <w14:textFill>
            <w14:solidFill>
              <w14:schemeClr w14:val="tx1"/>
            </w14:solidFill>
          </w14:textFill>
        </w:rPr>
        <w:t xml:space="preserve">将载明其中的核心产品</w:t>
      </w:r>
      <w:r>
        <w:rPr>
          <w:rFonts w:ascii="宋体" w:hAnsi="宋体"/>
          <w:color w:val="000000" w:themeColor="text1"/>
          <w:sz w:val="24"/>
          <w:szCs w:val="21"/>
          <w:highlight w:val="none"/>
          <w14:textFill>
            <w14:solidFill>
              <w14:schemeClr w14:val="tx1"/>
            </w14:solidFill>
          </w14:textFill>
        </w:rPr>
        <w:t xml:space="preserve">。多家投标人提供的核心产品品牌相同的，按前两款规定处理。</w:t>
      </w:r>
      <w:r/>
    </w:p>
    <w:p>
      <w:pPr>
        <w:ind w:firstLine="42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.7投标人在开、评标全过程中应保持通讯畅通，及时登录</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1"/>
          <w:highlight w:val="none"/>
          <w14:textFill>
            <w14:solidFill>
              <w14:schemeClr w14:val="tx1"/>
            </w14:solidFill>
          </w14:textFill>
        </w:rPr>
        <w:t xml:space="preserve">查阅</w:t>
      </w:r>
      <w:r>
        <w:rPr>
          <w:rFonts w:ascii="宋体" w:hAnsi="宋体"/>
          <w:color w:val="000000" w:themeColor="text1"/>
          <w:sz w:val="24"/>
          <w:szCs w:val="21"/>
          <w:highlight w:val="none"/>
          <w14:textFill>
            <w14:solidFill>
              <w14:schemeClr w14:val="tx1"/>
            </w14:solidFill>
          </w14:textFill>
        </w:rPr>
        <w:t xml:space="preserve">、答复相关</w:t>
      </w:r>
      <w:r>
        <w:rPr>
          <w:rFonts w:hint="eastAsia" w:ascii="宋体" w:hAnsi="宋体"/>
          <w:color w:val="000000" w:themeColor="text1"/>
          <w:sz w:val="24"/>
          <w:szCs w:val="21"/>
          <w:highlight w:val="none"/>
          <w14:textFill>
            <w14:solidFill>
              <w14:schemeClr w14:val="tx1"/>
            </w14:solidFill>
          </w14:textFill>
        </w:rPr>
        <w:t xml:space="preserve">信息</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并安排专人与</w:t>
      </w:r>
      <w:r>
        <w:rPr>
          <w:rFonts w:hint="eastAsia" w:ascii="宋体" w:hAnsi="宋体"/>
          <w:color w:val="000000" w:themeColor="text1"/>
          <w:sz w:val="24"/>
          <w:szCs w:val="21"/>
          <w:highlight w:val="none"/>
          <w:lang w:eastAsia="zh-CN"/>
          <w14:textFill>
            <w14:solidFill>
              <w14:schemeClr w14:val="tx1"/>
            </w14:solidFill>
          </w14:textFill>
        </w:rPr>
        <w:t xml:space="preserve">采购代理机构</w:t>
      </w:r>
      <w:r>
        <w:rPr>
          <w:rFonts w:hint="eastAsia" w:ascii="宋体" w:hAnsi="宋体"/>
          <w:color w:val="000000" w:themeColor="text1"/>
          <w:sz w:val="24"/>
          <w:szCs w:val="21"/>
          <w:highlight w:val="none"/>
          <w14:textFill>
            <w14:solidFill>
              <w14:schemeClr w14:val="tx1"/>
            </w14:solidFill>
          </w14:textFill>
        </w:rPr>
        <w:t xml:space="preserve">及评标委员会联系。</w:t>
      </w:r>
      <w:r/>
    </w:p>
    <w:p>
      <w:pPr>
        <w:ind w:firstLine="420"/>
        <w:spacing w:line="400" w:lineRule="exact"/>
        <w:rPr>
          <w:rFonts w:hint="eastAsia" w:ascii="方正魏碑_GBK" w:hAnsi="方正魏碑_GBK" w:eastAsia="方正魏碑_GBK" w:cs="方正魏碑_GBK"/>
          <w:color w:val="000000" w:themeColor="text1"/>
          <w:sz w:val="24"/>
          <w:szCs w:val="21"/>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25.8 异常低价投标审查</w:t>
      </w:r>
      <w:r/>
    </w:p>
    <w:p>
      <w:pPr>
        <w:ind w:firstLine="420"/>
        <w:spacing w:line="400" w:lineRule="exact"/>
        <w:rPr>
          <w:rFonts w:hint="eastAsia" w:ascii="方正魏碑_GBK" w:hAnsi="方正魏碑_GBK" w:eastAsia="方正魏碑_GBK" w:cs="方正魏碑_GBK"/>
          <w:color w:val="000000" w:themeColor="text1"/>
          <w:sz w:val="24"/>
          <w:szCs w:val="21"/>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25.8.1 评标过程中出现下列情形之一的，评标委员会应当启动异常低价投标审查程序：</w:t>
      </w:r>
      <w:r/>
    </w:p>
    <w:p>
      <w:pPr>
        <w:ind w:firstLine="420"/>
        <w:spacing w:line="400" w:lineRule="exact"/>
        <w:rPr>
          <w:rFonts w:hint="eastAsia" w:ascii="方正魏碑_GBK" w:hAnsi="方正魏碑_GBK" w:eastAsia="方正魏碑_GBK" w:cs="方正魏碑_GBK"/>
          <w:color w:val="000000" w:themeColor="text1"/>
          <w:sz w:val="24"/>
          <w:szCs w:val="21"/>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（1）投标报价低于全部通过符合性审查供应商投标报价平均值</w:t>
      </w:r>
      <w:r>
        <w:rPr>
          <w:rFonts w:hint="eastAsia" w:ascii="方正魏碑_GBK" w:hAnsi="方正魏碑_GBK" w:eastAsia="方正魏碑_GBK" w:cs="方正魏碑_GBK"/>
          <w:color w:val="000000" w:themeColor="text1"/>
          <w:sz w:val="24"/>
          <w:szCs w:val="21"/>
          <w:highlight w:val="none"/>
          <w:u w:val="single"/>
          <w14:textFill>
            <w14:solidFill>
              <w14:schemeClr w14:val="tx1"/>
            </w14:solidFill>
          </w14:textFill>
        </w:rPr>
        <w:t xml:space="preserve">50%</w:t>
      </w: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的，即投标报价&lt;全部通过符合性审查供应商投标报价平均值×</w:t>
      </w:r>
      <w:r>
        <w:rPr>
          <w:rFonts w:hint="eastAsia" w:ascii="方正魏碑_GBK" w:hAnsi="方正魏碑_GBK" w:eastAsia="方正魏碑_GBK" w:cs="方正魏碑_GBK"/>
          <w:color w:val="000000" w:themeColor="text1"/>
          <w:sz w:val="24"/>
          <w:szCs w:val="21"/>
          <w:highlight w:val="none"/>
          <w:u w:val="single"/>
          <w14:textFill>
            <w14:solidFill>
              <w14:schemeClr w14:val="tx1"/>
            </w14:solidFill>
          </w14:textFill>
        </w:rPr>
        <w:t xml:space="preserve">50%</w:t>
      </w: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w:t>
      </w:r>
      <w:r/>
    </w:p>
    <w:p>
      <w:pPr>
        <w:ind w:firstLine="420"/>
        <w:spacing w:line="400" w:lineRule="exact"/>
        <w:rPr>
          <w:rFonts w:hint="eastAsia" w:ascii="方正魏碑_GBK" w:hAnsi="方正魏碑_GBK" w:eastAsia="方正魏碑_GBK" w:cs="方正魏碑_GBK"/>
          <w:color w:val="000000" w:themeColor="text1"/>
          <w:sz w:val="24"/>
          <w:szCs w:val="21"/>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（2）投标报价低于通过符合性审查的次低报价供应商投标报价</w:t>
      </w:r>
      <w:r>
        <w:rPr>
          <w:rFonts w:hint="eastAsia" w:ascii="方正魏碑_GBK" w:hAnsi="方正魏碑_GBK" w:eastAsia="方正魏碑_GBK" w:cs="方正魏碑_GBK"/>
          <w:color w:val="000000" w:themeColor="text1"/>
          <w:sz w:val="24"/>
          <w:szCs w:val="21"/>
          <w:highlight w:val="none"/>
          <w:u w:val="single"/>
          <w14:textFill>
            <w14:solidFill>
              <w14:schemeClr w14:val="tx1"/>
            </w14:solidFill>
          </w14:textFill>
        </w:rPr>
        <w:t xml:space="preserve">50%</w:t>
      </w: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的，即投标报价&lt;通过符合性审查的次低报价供应商投标报价×</w:t>
      </w:r>
      <w:r>
        <w:rPr>
          <w:rFonts w:hint="eastAsia" w:ascii="方正魏碑_GBK" w:hAnsi="方正魏碑_GBK" w:eastAsia="方正魏碑_GBK" w:cs="方正魏碑_GBK"/>
          <w:color w:val="000000" w:themeColor="text1"/>
          <w:sz w:val="24"/>
          <w:szCs w:val="21"/>
          <w:highlight w:val="none"/>
          <w:u w:val="single"/>
          <w14:textFill>
            <w14:solidFill>
              <w14:schemeClr w14:val="tx1"/>
            </w14:solidFill>
          </w14:textFill>
        </w:rPr>
        <w:t xml:space="preserve">50%</w:t>
      </w: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w:t>
      </w:r>
      <w:r/>
    </w:p>
    <w:p>
      <w:pPr>
        <w:ind w:firstLine="420"/>
        <w:spacing w:line="400" w:lineRule="exact"/>
        <w:rPr>
          <w:rFonts w:hint="eastAsia" w:ascii="方正魏碑_GBK" w:hAnsi="方正魏碑_GBK" w:eastAsia="方正魏碑_GBK" w:cs="方正魏碑_GBK"/>
          <w:color w:val="000000" w:themeColor="text1"/>
          <w:sz w:val="24"/>
          <w:szCs w:val="21"/>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highlight w:val="none"/>
          <w:lang w:eastAsia="zh-CN"/>
          <w14:textFill>
            <w14:solidFill>
              <w14:schemeClr w14:val="tx1"/>
            </w14:solidFill>
          </w14:textFill>
        </w:rPr>
        <w:t xml:space="preserve">（</w:t>
      </w:r>
      <w:r>
        <w:rPr>
          <w:rFonts w:hint="eastAsia" w:ascii="方正魏碑_GBK" w:hAnsi="方正魏碑_GBK" w:eastAsia="方正魏碑_GBK" w:cs="方正魏碑_GBK"/>
          <w:color w:val="000000" w:themeColor="text1"/>
          <w:sz w:val="24"/>
          <w:szCs w:val="21"/>
          <w:highlight w:val="none"/>
          <w:lang w:val="en-US" w:eastAsia="zh-CN"/>
          <w14:textFill>
            <w14:solidFill>
              <w14:schemeClr w14:val="tx1"/>
            </w14:solidFill>
          </w14:textFill>
        </w:rPr>
        <w:t xml:space="preserve">3</w:t>
      </w:r>
      <w:r>
        <w:rPr>
          <w:rFonts w:hint="eastAsia" w:ascii="方正魏碑_GBK" w:hAnsi="方正魏碑_GBK" w:eastAsia="方正魏碑_GBK" w:cs="方正魏碑_GBK"/>
          <w:color w:val="000000" w:themeColor="text1"/>
          <w:sz w:val="24"/>
          <w:szCs w:val="21"/>
          <w:highlight w:val="none"/>
          <w:lang w:eastAsia="zh-CN"/>
          <w14:textFill>
            <w14:solidFill>
              <w14:schemeClr w14:val="tx1"/>
            </w14:solidFill>
          </w14:textFill>
        </w:rPr>
        <w:t xml:space="preserve">）投标报价低于采购项目最高限价</w:t>
      </w:r>
      <w:r>
        <w:rPr>
          <w:rFonts w:hint="eastAsia" w:ascii="方正魏碑_GBK" w:hAnsi="方正魏碑_GBK" w:eastAsia="方正魏碑_GBK" w:cs="方正魏碑_GBK"/>
          <w:color w:val="000000" w:themeColor="text1"/>
          <w:sz w:val="24"/>
          <w:szCs w:val="21"/>
          <w:highlight w:val="none"/>
          <w:u w:val="single"/>
          <w:lang w:eastAsia="zh-CN"/>
          <w14:textFill>
            <w14:solidFill>
              <w14:schemeClr w14:val="tx1"/>
            </w14:solidFill>
          </w14:textFill>
        </w:rPr>
        <w:t xml:space="preserve">45%</w:t>
      </w:r>
      <w:r>
        <w:rPr>
          <w:rFonts w:hint="eastAsia" w:ascii="方正魏碑_GBK" w:hAnsi="方正魏碑_GBK" w:eastAsia="方正魏碑_GBK" w:cs="方正魏碑_GBK"/>
          <w:color w:val="000000" w:themeColor="text1"/>
          <w:sz w:val="24"/>
          <w:szCs w:val="21"/>
          <w:highlight w:val="none"/>
          <w:lang w:eastAsia="zh-CN"/>
          <w14:textFill>
            <w14:solidFill>
              <w14:schemeClr w14:val="tx1"/>
            </w14:solidFill>
          </w14:textFill>
        </w:rPr>
        <w:t xml:space="preserve">的，即投标报价&lt;采购项目最高限价×</w:t>
      </w:r>
      <w:r>
        <w:rPr>
          <w:rFonts w:hint="eastAsia" w:ascii="方正魏碑_GBK" w:hAnsi="方正魏碑_GBK" w:eastAsia="方正魏碑_GBK" w:cs="方正魏碑_GBK"/>
          <w:color w:val="000000" w:themeColor="text1"/>
          <w:sz w:val="24"/>
          <w:szCs w:val="21"/>
          <w:highlight w:val="none"/>
          <w:u w:val="single"/>
          <w:lang w:eastAsia="zh-CN"/>
          <w14:textFill>
            <w14:solidFill>
              <w14:schemeClr w14:val="tx1"/>
            </w14:solidFill>
          </w14:textFill>
        </w:rPr>
        <w:t xml:space="preserve">45%</w:t>
      </w:r>
      <w:r>
        <w:rPr>
          <w:rFonts w:hint="eastAsia" w:ascii="方正魏碑_GBK" w:hAnsi="方正魏碑_GBK" w:eastAsia="方正魏碑_GBK" w:cs="方正魏碑_GBK"/>
          <w:color w:val="000000" w:themeColor="text1"/>
          <w:sz w:val="24"/>
          <w:szCs w:val="21"/>
          <w:highlight w:val="none"/>
          <w:lang w:eastAsia="zh-CN"/>
          <w14:textFill>
            <w14:solidFill>
              <w14:schemeClr w14:val="tx1"/>
            </w14:solidFill>
          </w14:textFill>
        </w:rPr>
        <w:t xml:space="preserve">；</w:t>
      </w:r>
      <w:r/>
    </w:p>
    <w:p>
      <w:pPr>
        <w:ind w:firstLine="420"/>
        <w:spacing w:line="400" w:lineRule="exact"/>
        <w:rPr>
          <w:rFonts w:hint="eastAsia" w:ascii="方正魏碑_GBK" w:hAnsi="方正魏碑_GBK" w:eastAsia="方正魏碑_GBK" w:cs="方正魏碑_GBK"/>
          <w:color w:val="000000" w:themeColor="text1"/>
          <w:sz w:val="24"/>
          <w:szCs w:val="21"/>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w:t>
      </w:r>
      <w:r>
        <w:rPr>
          <w:rFonts w:hint="eastAsia" w:ascii="方正魏碑_GBK" w:hAnsi="方正魏碑_GBK" w:eastAsia="方正魏碑_GBK" w:cs="方正魏碑_GBK"/>
          <w:color w:val="000000" w:themeColor="text1"/>
          <w:sz w:val="24"/>
          <w:szCs w:val="21"/>
          <w:highlight w:val="none"/>
          <w:lang w:val="en-US" w:eastAsia="zh-CN"/>
          <w14:textFill>
            <w14:solidFill>
              <w14:schemeClr w14:val="tx1"/>
            </w14:solidFill>
          </w14:textFill>
        </w:rPr>
        <w:t xml:space="preserve">4</w:t>
      </w: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w:t>
      </w:r>
      <w:r>
        <w:rPr>
          <w:rFonts w:hint="eastAsia" w:ascii="方正魏碑_GBK" w:hAnsi="方正魏碑_GBK" w:eastAsia="方正魏碑_GBK" w:cs="方正魏碑_GBK"/>
          <w:color w:val="000000" w:themeColor="text1"/>
          <w:sz w:val="24"/>
          <w:szCs w:val="21"/>
          <w:highlight w:val="none"/>
          <w:lang w:eastAsia="zh-CN"/>
          <w14:textFill>
            <w14:solidFill>
              <w14:schemeClr w14:val="tx1"/>
            </w14:solidFill>
          </w14:textFill>
        </w:rPr>
        <w:t xml:space="preserve">评标</w:t>
      </w: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委员会基于专业判断，认为供应商报价过低，有可能影响产品质量或者不能诚信履约的其他情形。</w:t>
      </w:r>
      <w:r/>
    </w:p>
    <w:p>
      <w:pPr>
        <w:ind w:firstLine="420"/>
        <w:spacing w:line="400" w:lineRule="exact"/>
        <w:rPr>
          <w:rFonts w:hint="eastAsia" w:ascii="方正魏碑_GBK" w:hAnsi="方正魏碑_GBK" w:eastAsia="方正魏碑_GBK" w:cs="方正魏碑_GBK"/>
          <w:color w:val="000000" w:themeColor="text1"/>
          <w:sz w:val="24"/>
          <w:szCs w:val="21"/>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25.8.2 </w:t>
      </w:r>
      <w:r>
        <w:rPr>
          <w:rFonts w:hint="eastAsia" w:ascii="方正魏碑_GBK" w:hAnsi="方正魏碑_GBK" w:eastAsia="方正魏碑_GBK" w:cs="方正魏碑_GBK"/>
          <w:color w:val="000000" w:themeColor="text1"/>
          <w:sz w:val="24"/>
          <w:szCs w:val="21"/>
          <w:highlight w:val="none"/>
          <w:lang w:val="en-US" w:eastAsia="zh-CN"/>
          <w14:textFill>
            <w14:solidFill>
              <w14:schemeClr w14:val="tx1"/>
            </w14:solidFill>
          </w14:textFill>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hint="eastAsia" w:ascii="方正魏碑_GBK" w:hAnsi="方正魏碑_GBK" w:eastAsia="方正魏碑_GBK" w:cs="方正魏碑_GBK"/>
          <w:color w:val="000000" w:themeColor="text1"/>
          <w:sz w:val="24"/>
          <w:szCs w:val="21"/>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highlight w:val="none"/>
          <w:lang w:val="en-US" w:eastAsia="zh-CN"/>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400" w:lineRule="exact"/>
        <w:rPr>
          <w:rFonts w:hint="eastAsia" w:ascii="方正魏碑_GBK" w:hAnsi="方正魏碑_GBK" w:eastAsia="方正魏碑_GBK" w:cs="方正魏碑_GBK"/>
          <w:color w:val="000000" w:themeColor="text1"/>
          <w:sz w:val="24"/>
          <w:szCs w:val="21"/>
          <w:highlight w:val="none"/>
          <w14:textFill>
            <w14:solidFill>
              <w14:schemeClr w14:val="tx1"/>
            </w14:solidFill>
          </w14:textFill>
        </w:rPr>
      </w:pP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6</w:t>
      </w:r>
      <w:r>
        <w:rPr>
          <w:rFonts w:hint="eastAsia" w:ascii="Arial" w:hAnsi="Arial" w:eastAsia="黑体" w:cs="Arial"/>
          <w:color w:val="000000" w:themeColor="text1"/>
          <w:sz w:val="28"/>
          <w:szCs w:val="28"/>
          <w:highlight w:val="none"/>
          <w14:textFill>
            <w14:solidFill>
              <w14:schemeClr w14:val="tx1"/>
            </w14:solidFill>
          </w14:textFill>
        </w:rPr>
        <w:t xml:space="preserve">、</w:t>
      </w:r>
      <w:bookmarkEnd w:id="154"/>
      <w:r/>
      <w:bookmarkEnd w:id="155"/>
      <w:r/>
      <w:bookmarkEnd w:id="156"/>
      <w:r>
        <w:rPr>
          <w:rFonts w:hint="eastAsia" w:ascii="Arial" w:hAnsi="Arial" w:eastAsia="黑体" w:cs="Arial"/>
          <w:color w:val="000000" w:themeColor="text1"/>
          <w:sz w:val="28"/>
          <w:szCs w:val="28"/>
          <w:highlight w:val="none"/>
          <w14:textFill>
            <w14:solidFill>
              <w14:schemeClr w14:val="tx1"/>
            </w14:solidFill>
          </w14:textFill>
        </w:rPr>
        <w:t xml:space="preserve">无效投标条款和废标条款</w:t>
      </w:r>
      <w:r/>
    </w:p>
    <w:p>
      <w:pPr>
        <w:ind w:left="479"/>
        <w:spacing w:line="400" w:lineRule="exact"/>
        <w:rPr>
          <w:rFonts w:hint="eastAsia" w:ascii="宋体" w:hAnsi="宋体"/>
          <w:bCs/>
          <w:color w:val="000000" w:themeColor="text1"/>
          <w:sz w:val="24"/>
          <w:szCs w:val="21"/>
          <w:highlight w:val="none"/>
          <w14:textFill>
            <w14:solidFill>
              <w14:schemeClr w14:val="tx1"/>
            </w14:solidFill>
          </w14:textFill>
        </w:rPr>
      </w:pPr>
      <w:r/>
      <w:bookmarkStart w:id="157" w:name="_Toc16938551"/>
      <w:r/>
      <w:bookmarkStart w:id="158" w:name="_Toc20823307"/>
      <w:r/>
      <w:bookmarkStart w:id="159" w:name="_Toc513029235"/>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.1无效投标条款</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 投标人在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规定的时间内未成功解密电子投标文件的。</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投标人未按照招标文件要求上传电子投标文件的。</w:t>
      </w:r>
      <w:r/>
    </w:p>
    <w:p>
      <w:pPr>
        <w:ind w:left="479"/>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 投标人同一</w:t>
      </w:r>
      <w:r>
        <w:rPr>
          <w:rFonts w:ascii="宋体" w:hAnsi="宋体"/>
          <w:bCs/>
          <w:color w:val="000000" w:themeColor="text1"/>
          <w:sz w:val="24"/>
          <w:szCs w:val="21"/>
          <w:highlight w:val="none"/>
          <w14:textFill>
            <w14:solidFill>
              <w14:schemeClr w14:val="tx1"/>
            </w14:solidFill>
          </w14:textFill>
        </w:rPr>
        <w:t xml:space="preserve">采购包</w:t>
      </w:r>
      <w:r>
        <w:rPr>
          <w:rFonts w:hint="eastAsia" w:ascii="宋体" w:hAnsi="宋体"/>
          <w:bCs/>
          <w:color w:val="000000" w:themeColor="text1"/>
          <w:sz w:val="24"/>
          <w:szCs w:val="21"/>
          <w:highlight w:val="none"/>
          <w14:textFill>
            <w14:solidFill>
              <w14:schemeClr w14:val="tx1"/>
            </w14:solidFill>
          </w14:textFill>
        </w:rPr>
        <w:t xml:space="preserve">提交两个</w:t>
      </w:r>
      <w:r>
        <w:rPr>
          <w:rFonts w:ascii="宋体" w:hAnsi="宋体"/>
          <w:bCs/>
          <w:color w:val="000000" w:themeColor="text1"/>
          <w:sz w:val="24"/>
          <w:szCs w:val="21"/>
          <w:highlight w:val="none"/>
          <w14:textFill>
            <w14:solidFill>
              <w14:schemeClr w14:val="tx1"/>
            </w14:solidFill>
          </w14:textFill>
        </w:rPr>
        <w:t xml:space="preserve">（</w:t>
      </w:r>
      <w:r>
        <w:rPr>
          <w:rFonts w:hint="eastAsia" w:ascii="宋体" w:hAnsi="宋体"/>
          <w:bCs/>
          <w:color w:val="000000" w:themeColor="text1"/>
          <w:sz w:val="24"/>
          <w:szCs w:val="21"/>
          <w:highlight w:val="none"/>
          <w14:textFill>
            <w14:solidFill>
              <w14:schemeClr w14:val="tx1"/>
            </w14:solidFill>
          </w14:textFill>
        </w:rPr>
        <w:t xml:space="preserve">含</w:t>
      </w:r>
      <w:r>
        <w:rPr>
          <w:rFonts w:ascii="宋体" w:hAnsi="宋体"/>
          <w:bCs/>
          <w:color w:val="000000" w:themeColor="text1"/>
          <w:sz w:val="24"/>
          <w:szCs w:val="21"/>
          <w:highlight w:val="none"/>
          <w14:textFill>
            <w14:solidFill>
              <w14:schemeClr w14:val="tx1"/>
            </w14:solidFill>
          </w14:textFill>
        </w:rPr>
        <w:t xml:space="preserve">两个）</w:t>
      </w:r>
      <w:r>
        <w:rPr>
          <w:rFonts w:hint="eastAsia" w:ascii="宋体" w:hAnsi="宋体"/>
          <w:bCs/>
          <w:color w:val="000000" w:themeColor="text1"/>
          <w:sz w:val="24"/>
          <w:szCs w:val="21"/>
          <w:highlight w:val="none"/>
          <w14:textFill>
            <w14:solidFill>
              <w14:schemeClr w14:val="tx1"/>
            </w14:solidFill>
          </w14:textFill>
        </w:rPr>
        <w:t xml:space="preserve">以上不同的</w:t>
      </w:r>
      <w:r>
        <w:rPr>
          <w:rFonts w:ascii="宋体" w:hAnsi="宋体"/>
          <w:bCs/>
          <w:color w:val="000000" w:themeColor="text1"/>
          <w:sz w:val="24"/>
          <w:szCs w:val="21"/>
          <w:highlight w:val="none"/>
          <w14:textFill>
            <w14:solidFill>
              <w14:schemeClr w14:val="tx1"/>
            </w14:solidFill>
          </w14:textFill>
        </w:rPr>
        <w:t xml:space="preserve">投标报价的。</w:t>
      </w:r>
      <w:r/>
    </w:p>
    <w:p>
      <w:pPr>
        <w:ind w:left="479"/>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投标人不具备招标文件中规定资格要求的。</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投标人的报价超过了采购预算或最高限价的。</w:t>
      </w:r>
      <w:r/>
    </w:p>
    <w:p>
      <w:pPr>
        <w:ind w:firstLine="480"/>
        <w:spacing w:line="400" w:lineRule="exact"/>
        <w:rPr>
          <w:rFonts w:hint="eastAsia" w:ascii="宋体" w:hAnsi="宋体"/>
          <w:bCs/>
          <w:i/>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未通过符合性审查的。</w:t>
      </w:r>
      <w:r/>
    </w:p>
    <w:p>
      <w:pPr>
        <w:ind w:firstLine="360"/>
        <w:spacing w:line="400" w:lineRule="exact"/>
        <w:rPr>
          <w:rFonts w:hint="eastAsia" w:ascii="宋体" w:hAnsi="宋体"/>
          <w:bCs/>
          <w:i/>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不符合招标文件中规定的实质性要求的</w:t>
      </w:r>
      <w:r>
        <w:rPr>
          <w:rFonts w:hint="eastAsia" w:ascii="宋体" w:hAnsi="宋体"/>
          <w:b/>
          <w:bCs/>
          <w:color w:val="000000" w:themeColor="text1"/>
          <w:sz w:val="24"/>
          <w:szCs w:val="21"/>
          <w:highlight w:val="none"/>
          <w14:textFill>
            <w14:solidFill>
              <w14:schemeClr w14:val="tx1"/>
            </w14:solidFill>
          </w14:textFill>
        </w:rPr>
        <w:t xml:space="preserve">（本招标文件中</w:t>
      </w:r>
      <w:r>
        <w:rPr>
          <w:rFonts w:hint="eastAsia" w:ascii="宋体" w:hAnsi="宋体"/>
          <w:b/>
          <w:bCs/>
          <w:i/>
          <w:color w:val="000000" w:themeColor="text1"/>
          <w:sz w:val="24"/>
          <w:szCs w:val="21"/>
          <w:highlight w:val="none"/>
          <w:u w:val="single"/>
          <w14:textFill>
            <w14:solidFill>
              <w14:schemeClr w14:val="tx1"/>
            </w14:solidFill>
          </w14:textFill>
        </w:rPr>
        <w:t xml:space="preserve">斜体且有下划线部分</w:t>
      </w:r>
      <w:r>
        <w:rPr>
          <w:rFonts w:hint="eastAsia" w:ascii="宋体" w:hAnsi="宋体"/>
          <w:b/>
          <w:bCs/>
          <w:color w:val="000000" w:themeColor="text1"/>
          <w:sz w:val="24"/>
          <w:szCs w:val="21"/>
          <w:highlight w:val="none"/>
          <w14:textFill>
            <w14:solidFill>
              <w14:schemeClr w14:val="tx1"/>
            </w14:solidFill>
          </w14:textFill>
        </w:rPr>
        <w:t xml:space="preserve">或加</w:t>
      </w:r>
      <w:r>
        <w:rPr>
          <w:rFonts w:hint="eastAsia" w:ascii="宋体" w:hAnsi="宋体" w:eastAsia="宋体" w:cs="Times New Roman"/>
          <w:b/>
          <w:bCs/>
          <w:i/>
          <w:color w:val="000000" w:themeColor="text1"/>
          <w:sz w:val="24"/>
          <w:szCs w:val="21"/>
          <w:highlight w:val="none"/>
          <w:u w:val="none"/>
          <w:lang w:val="en-US" w:eastAsia="zh-CN" w:bidi="ar-SA"/>
          <w14:textFill>
            <w14:solidFill>
              <w14:schemeClr w14:val="tx1"/>
            </w14:solidFill>
          </w14:textFill>
        </w:rPr>
        <w:t xml:space="preserve">★</w:t>
      </w:r>
      <w:r>
        <w:rPr>
          <w:rFonts w:hint="eastAsia" w:ascii="宋体" w:hAnsi="宋体"/>
          <w:b/>
          <w:bCs/>
          <w:color w:val="000000" w:themeColor="text1"/>
          <w:sz w:val="24"/>
          <w:szCs w:val="21"/>
          <w:highlight w:val="none"/>
          <w14:textFill>
            <w14:solidFill>
              <w14:schemeClr w14:val="tx1"/>
            </w14:solidFill>
          </w14:textFill>
        </w:rPr>
        <w:t xml:space="preserve">号条款为实质性要求）</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9</w:t>
      </w:r>
      <w:r>
        <w:rPr>
          <w:rFonts w:hint="eastAsia" w:ascii="宋体" w:hAnsi="宋体"/>
          <w:bCs/>
          <w:color w:val="000000" w:themeColor="text1"/>
          <w:sz w:val="24"/>
          <w:szCs w:val="21"/>
          <w:highlight w:val="none"/>
          <w14:textFill>
            <w14:solidFill>
              <w14:schemeClr w14:val="tx1"/>
            </w14:solidFill>
          </w14:textFill>
        </w:rPr>
        <w:t xml:space="preserve">  投标文件含有采购人不能接受的附加条件的。</w:t>
      </w:r>
      <w:r/>
    </w:p>
    <w:p>
      <w:pPr>
        <w:ind w:firstLine="420"/>
        <w:spacing w:line="400" w:lineRule="exact"/>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26.1.10 评标委员会按照本招标文件规定对投标人进行异常低价投标审查后，认为投标人不能证明其报价合理性的。</w:t>
      </w:r>
      <w:r/>
    </w:p>
    <w:p>
      <w:pPr>
        <w:ind w:firstLine="420"/>
        <w:spacing w:line="400" w:lineRule="exact"/>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投标文件未按照招标文件要求加盖CA电子公章的。</w:t>
      </w:r>
      <w:r/>
    </w:p>
    <w:p>
      <w:pPr>
        <w:ind w:firstLine="420"/>
        <w:spacing w:line="400" w:lineRule="exact"/>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26.1.13 投标人所投标产品不符合招标文件中所列国家强制性标准的。</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w:t>
      </w:r>
      <w:r>
        <w:rPr>
          <w:rFonts w:hint="eastAsia" w:ascii="宋体" w:hAnsi="宋体"/>
          <w:bCs/>
          <w:color w:val="000000" w:themeColor="text1"/>
          <w:sz w:val="24"/>
          <w:szCs w:val="21"/>
          <w:highlight w:val="none"/>
          <w:lang w:val="en-US" w:eastAsia="zh-CN"/>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其他法律、法规及本招标文件规定的属无效投标的情形。</w:t>
      </w:r>
      <w:r/>
    </w:p>
    <w:p>
      <w:pPr>
        <w:ind w:left="479"/>
        <w:spacing w:line="400" w:lineRule="exact"/>
        <w:rPr>
          <w:rFonts w:hint="eastAsia" w:ascii="宋体" w:hAnsi="宋体" w:eastAsia="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.2废标条款</w:t>
      </w:r>
      <w:r>
        <w:rPr>
          <w:rFonts w:hint="eastAsia" w:ascii="宋体" w:hAnsi="宋体"/>
          <w:bCs/>
          <w:color w:val="000000" w:themeColor="text1"/>
          <w:sz w:val="24"/>
          <w:szCs w:val="21"/>
          <w:highlight w:val="none"/>
          <w:lang w:val="en-US" w:eastAsia="zh-CN"/>
          <w14:textFill>
            <w14:solidFill>
              <w14:schemeClr w14:val="tx1"/>
            </w14:solidFill>
          </w14:textFill>
        </w:rPr>
        <w:t xml:space="preserve"> </w:t>
      </w:r>
      <w:r/>
    </w:p>
    <w:p>
      <w:pPr>
        <w:ind w:left="479"/>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.2.1符合专业条件的供应商或者对招标文件作实质响应的供应商不足三</w:t>
      </w:r>
      <w:r/>
    </w:p>
    <w:p>
      <w:pPr>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家的。</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.2.2出现影响采购公正的违法、违规行为的。</w:t>
      </w:r>
      <w:r/>
    </w:p>
    <w:p>
      <w:pPr>
        <w:ind w:left="479"/>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.2.3因重大变故，采购任务取消的。</w:t>
      </w:r>
      <w:r/>
    </w:p>
    <w:p>
      <w:pPr>
        <w:ind w:left="479"/>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.2.4评标委员会认定招标文件存在歧义、重大缺陷导致评审工作无法进</w:t>
      </w:r>
      <w:r/>
    </w:p>
    <w:p>
      <w:pPr>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行。</w:t>
      </w:r>
      <w:r/>
    </w:p>
    <w:p>
      <w:pPr>
        <w:ind w:left="479"/>
        <w:spacing w:line="400" w:lineRule="exact"/>
        <w:rPr>
          <w:rFonts w:ascii="宋体" w:hAnsi="宋体" w:eastAsia="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.2.5 因</w:t>
      </w:r>
      <w:r>
        <w:rPr>
          <w:rFonts w:hint="eastAsia" w:ascii="宋体" w:hAnsi="宋体"/>
          <w:color w:val="000000" w:themeColor="text1"/>
          <w:sz w:val="24"/>
          <w:szCs w:val="24"/>
          <w:highlight w:val="none"/>
          <w14:textFill>
            <w14:solidFill>
              <w14:schemeClr w14:val="tx1"/>
            </w14:solidFill>
          </w14:textFill>
        </w:rPr>
        <w:t xml:space="preserve">苏采云</w:t>
      </w:r>
      <w:r>
        <w:rPr>
          <w:rFonts w:ascii="宋体" w:hAnsi="宋体"/>
          <w:bCs/>
          <w:color w:val="000000" w:themeColor="text1"/>
          <w:sz w:val="24"/>
          <w:szCs w:val="21"/>
          <w:highlight w:val="none"/>
          <w14:textFill>
            <w14:solidFill>
              <w14:schemeClr w14:val="tx1"/>
            </w14:solidFill>
          </w14:textFill>
        </w:rPr>
        <w:t xml:space="preserve">系统故障原因造成开标不成功</w:t>
      </w:r>
      <w:r>
        <w:rPr>
          <w:rFonts w:hint="eastAsia" w:ascii="宋体" w:hAnsi="宋体"/>
          <w:bCs/>
          <w:color w:val="000000" w:themeColor="text1"/>
          <w:sz w:val="24"/>
          <w:szCs w:val="21"/>
          <w:highlight w:val="none"/>
          <w14:textFill>
            <w14:solidFill>
              <w14:schemeClr w14:val="tx1"/>
            </w14:solidFill>
          </w14:textFill>
        </w:rPr>
        <w:t xml:space="preserve">的</w:t>
      </w:r>
      <w:r>
        <w:rPr>
          <w:rFonts w:ascii="宋体" w:hAnsi="宋体"/>
          <w:bCs/>
          <w:color w:val="000000" w:themeColor="text1"/>
          <w:sz w:val="24"/>
          <w:szCs w:val="21"/>
          <w:highlight w:val="none"/>
          <w14:textFill>
            <w14:solidFill>
              <w14:schemeClr w14:val="tx1"/>
            </w14:solidFill>
          </w14:textFill>
        </w:rPr>
        <w:t xml:space="preserve">。</w:t>
      </w:r>
      <w:r>
        <w:rPr>
          <w:rFonts w:hint="eastAsia" w:ascii="宋体" w:hAnsi="宋体"/>
          <w:bCs/>
          <w:color w:val="000000" w:themeColor="text1"/>
          <w:sz w:val="24"/>
          <w:szCs w:val="21"/>
          <w:highlight w:val="none"/>
          <w:lang w:val="en-US" w:eastAsia="zh-CN"/>
          <w14:textFill>
            <w14:solidFill>
              <w14:schemeClr w14:val="tx1"/>
            </w14:solidFill>
          </w14:textFill>
        </w:rPr>
        <w:t xml:space="preserve">  </w:t>
      </w:r>
      <w:r/>
    </w:p>
    <w:p>
      <w:pPr>
        <w:ind w:left="479"/>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.3 投标截止时间结束后参加投标的供应商不足三家的处理：</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56" w:after="156" w:line="40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160" w:name="_Toc120614219"/>
      <w:r>
        <w:rPr>
          <w:rFonts w:hint="eastAsia" w:ascii="Times New Roman" w:hAnsi="Times New Roman"/>
          <w:b/>
          <w:bCs/>
          <w:color w:val="000000" w:themeColor="text1"/>
          <w:sz w:val="32"/>
          <w:szCs w:val="32"/>
          <w:highlight w:val="none"/>
          <w14:textFill>
            <w14:solidFill>
              <w14:schemeClr w14:val="tx1"/>
            </w14:solidFill>
          </w14:textFill>
        </w:rPr>
        <w:t xml:space="preserve">六、</w:t>
      </w:r>
      <w:bookmarkEnd w:id="157"/>
      <w:r/>
      <w:bookmarkEnd w:id="158"/>
      <w:r/>
      <w:bookmarkEnd w:id="159"/>
      <w:r>
        <w:rPr>
          <w:rFonts w:hint="eastAsia" w:ascii="Times New Roman" w:hAnsi="Times New Roman"/>
          <w:b/>
          <w:bCs/>
          <w:color w:val="000000" w:themeColor="text1"/>
          <w:sz w:val="32"/>
          <w:szCs w:val="32"/>
          <w:highlight w:val="none"/>
          <w14:textFill>
            <w14:solidFill>
              <w14:schemeClr w14:val="tx1"/>
            </w14:solidFill>
          </w14:textFill>
        </w:rPr>
        <w:t xml:space="preserve">定标</w:t>
      </w:r>
      <w:bookmarkEnd w:id="160"/>
      <w:r/>
      <w:r/>
    </w:p>
    <w:p>
      <w:pPr>
        <w:ind w:firstLine="600"/>
        <w:keepLines/>
        <w:keepNext/>
        <w:spacing w:line="400" w:lineRule="exact"/>
        <w:rPr>
          <w:rFonts w:hint="eastAsia" w:ascii="黑体" w:hAnsi="宋体" w:eastAsia="黑体"/>
          <w:bCs/>
          <w:color w:val="000000" w:themeColor="text1"/>
          <w:sz w:val="30"/>
          <w:szCs w:val="30"/>
          <w:highlight w:val="none"/>
          <w14:textFill>
            <w14:solidFill>
              <w14:schemeClr w14:val="tx1"/>
            </w14:solidFill>
          </w14:textFill>
        </w:rPr>
        <w:outlineLvl w:val="3"/>
      </w:pPr>
      <w:r/>
      <w:bookmarkStart w:id="161" w:name="_Toc513029238"/>
      <w:r/>
      <w:bookmarkStart w:id="162" w:name="_Toc16938554"/>
      <w:r/>
      <w:bookmarkStart w:id="163" w:name="_Toc20823310"/>
      <w:r>
        <w:rPr>
          <w:rFonts w:hint="eastAsia" w:ascii="黑体" w:hAnsi="宋体" w:eastAsia="黑体"/>
          <w:bCs/>
          <w:color w:val="000000" w:themeColor="text1"/>
          <w:sz w:val="30"/>
          <w:szCs w:val="30"/>
          <w:highlight w:val="none"/>
          <w14:textFill>
            <w14:solidFill>
              <w14:schemeClr w14:val="tx1"/>
            </w14:solidFill>
          </w14:textFill>
        </w:rPr>
        <w:t xml:space="preserve">2</w:t>
      </w:r>
      <w:r>
        <w:rPr>
          <w:rFonts w:ascii="黑体" w:hAnsi="宋体" w:eastAsia="黑体"/>
          <w:bCs/>
          <w:color w:val="000000" w:themeColor="text1"/>
          <w:sz w:val="30"/>
          <w:szCs w:val="30"/>
          <w:highlight w:val="none"/>
          <w14:textFill>
            <w14:solidFill>
              <w14:schemeClr w14:val="tx1"/>
            </w14:solidFill>
          </w14:textFill>
        </w:rPr>
        <w:t xml:space="preserve">7</w:t>
      </w:r>
      <w:r>
        <w:rPr>
          <w:rFonts w:hint="eastAsia" w:ascii="黑体" w:hAnsi="宋体" w:eastAsia="黑体"/>
          <w:bCs/>
          <w:color w:val="000000" w:themeColor="text1"/>
          <w:sz w:val="30"/>
          <w:szCs w:val="30"/>
          <w:highlight w:val="none"/>
          <w14:textFill>
            <w14:solidFill>
              <w14:schemeClr w14:val="tx1"/>
            </w14:solidFill>
          </w14:textFill>
        </w:rPr>
        <w:t xml:space="preserve">、</w:t>
      </w:r>
      <w:bookmarkEnd w:id="161"/>
      <w:r>
        <w:rPr>
          <w:rFonts w:hint="eastAsia" w:ascii="黑体" w:hAnsi="宋体" w:eastAsia="黑体"/>
          <w:bCs/>
          <w:color w:val="000000" w:themeColor="text1"/>
          <w:sz w:val="30"/>
          <w:szCs w:val="30"/>
          <w:highlight w:val="none"/>
          <w14:textFill>
            <w14:solidFill>
              <w14:schemeClr w14:val="tx1"/>
            </w14:solidFill>
          </w14:textFill>
        </w:rPr>
        <w:t xml:space="preserve">确定</w:t>
      </w:r>
      <w:bookmarkEnd w:id="162"/>
      <w:r/>
      <w:bookmarkEnd w:id="163"/>
      <w:r>
        <w:rPr>
          <w:rFonts w:hint="eastAsia" w:ascii="黑体" w:hAnsi="宋体" w:eastAsia="黑体"/>
          <w:bCs/>
          <w:color w:val="000000" w:themeColor="text1"/>
          <w:sz w:val="30"/>
          <w:szCs w:val="30"/>
          <w:highlight w:val="none"/>
          <w14:textFill>
            <w14:solidFill>
              <w14:schemeClr w14:val="tx1"/>
            </w14:solidFill>
          </w14:textFill>
        </w:rPr>
        <w:t xml:space="preserve">中标单位</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27.1中标候选人的选取原则和数量见招标文件第五章规定。 </w:t>
      </w: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27.2 采购人应根据</w:t>
      </w:r>
      <w:r>
        <w:rPr>
          <w:rFonts w:hint="eastAsia" w:ascii="宋体" w:hAnsi="宋体"/>
          <w:bCs/>
          <w:color w:val="000000" w:themeColor="text1"/>
          <w:sz w:val="24"/>
          <w:szCs w:val="21"/>
          <w:highlight w:val="none"/>
          <w:lang w:eastAsia="zh-CN"/>
          <w14:textFill>
            <w14:solidFill>
              <w14:schemeClr w14:val="tx1"/>
            </w14:solidFill>
          </w14:textFill>
        </w:rPr>
        <w:t xml:space="preserve">评标委员会</w:t>
      </w:r>
      <w:r>
        <w:rPr>
          <w:rFonts w:hint="eastAsia" w:ascii="宋体" w:hAnsi="宋体"/>
          <w:bCs/>
          <w:color w:val="000000" w:themeColor="text1"/>
          <w:sz w:val="24"/>
          <w:szCs w:val="21"/>
          <w:highlight w:val="none"/>
          <w14:textFill>
            <w14:solidFill>
              <w14:schemeClr w14:val="tx1"/>
            </w14:solidFill>
          </w14:textFill>
        </w:rPr>
        <w:t xml:space="preserve">推荐的中标候选人确定中标供应商。</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 </w:t>
      </w:r>
      <w:r>
        <w:rPr>
          <w:rFonts w:hint="eastAsia" w:ascii="宋体" w:hAnsi="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将在“江苏政府采购网”发布中标公告，公告期限为1个工作日。</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 若有充分证据证明，中标供应商出现下列情况之一的，一经查实，将被取消中标资格：</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w:t>
      </w:r>
      <w:r>
        <w:rPr>
          <w:rFonts w:hint="eastAsia" w:ascii="宋体" w:hAnsi="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行贿或者提供其他不正当利益的。</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27.4.3属于本文件规定的无效条件，但在评标过程中又未被</w:t>
      </w:r>
      <w:r>
        <w:rPr>
          <w:rFonts w:hint="eastAsia" w:ascii="宋体" w:hAnsi="宋体"/>
          <w:color w:val="000000" w:themeColor="text1"/>
          <w:sz w:val="24"/>
          <w:szCs w:val="24"/>
          <w:highlight w:val="none"/>
          <w:lang w:eastAsia="zh-CN"/>
          <w14:textFill>
            <w14:solidFill>
              <w14:schemeClr w14:val="tx1"/>
            </w14:solidFill>
          </w14:textFill>
        </w:rPr>
        <w:t xml:space="preserve">评标委员会</w:t>
      </w:r>
      <w:r>
        <w:rPr>
          <w:rFonts w:hint="eastAsia" w:ascii="宋体" w:hAnsi="宋体"/>
          <w:color w:val="000000" w:themeColor="text1"/>
          <w:sz w:val="24"/>
          <w:szCs w:val="24"/>
          <w:highlight w:val="none"/>
          <w14:textFill>
            <w14:solidFill>
              <w14:schemeClr w14:val="tx1"/>
            </w14:solidFill>
          </w14:textFill>
        </w:rPr>
        <w:t xml:space="preserve">发现的。</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400" w:lineRule="exact"/>
        <w:rPr>
          <w:rFonts w:ascii="宋体" w:hAnsi="宋体"/>
          <w:color w:val="000000" w:themeColor="text1"/>
          <w:sz w:val="24"/>
          <w:szCs w:val="24"/>
          <w:highlight w:val="none"/>
          <w14:textFill>
            <w14:solidFill>
              <w14:schemeClr w14:val="tx1"/>
            </w14:solidFill>
          </w14:textFill>
        </w:rPr>
      </w:pPr>
      <w:r/>
      <w:bookmarkStart w:id="164" w:name="_Toc200451960"/>
      <w:r>
        <w:rPr>
          <w:rFonts w:hint="eastAsia" w:ascii="宋体" w:hAnsi="宋体"/>
          <w:color w:val="000000" w:themeColor="text1"/>
          <w:sz w:val="24"/>
          <w:szCs w:val="24"/>
          <w:highlight w:val="none"/>
          <w14:textFill>
            <w14:solidFill>
              <w14:schemeClr w14:val="tx1"/>
            </w14:solidFill>
          </w14:textFill>
        </w:rPr>
        <w:t xml:space="preserve">27.5 </w:t>
      </w:r>
      <w:r>
        <w:rPr>
          <w:rFonts w:ascii="Times New Roman" w:hAnsi="宋体" w:cs="宋体"/>
          <w:color w:val="000000" w:themeColor="text1"/>
          <w:sz w:val="24"/>
          <w:szCs w:val="24"/>
          <w:highlight w:val="none"/>
          <w14:textFill>
            <w14:solidFill>
              <w14:schemeClr w14:val="tx1"/>
            </w14:solidFill>
          </w14:textFill>
        </w:rPr>
        <w:t xml:space="preserve">有下列情形之一的，</w:t>
      </w:r>
      <w:r>
        <w:rPr>
          <w:rFonts w:hint="eastAsia" w:ascii="Times New Roman" w:hAnsi="宋体" w:cs="宋体"/>
          <w:color w:val="000000" w:themeColor="text1"/>
          <w:sz w:val="24"/>
          <w:szCs w:val="24"/>
          <w:highlight w:val="none"/>
          <w14:textFill>
            <w14:solidFill>
              <w14:schemeClr w14:val="tx1"/>
            </w14:solidFill>
          </w14:textFill>
        </w:rPr>
        <w:t xml:space="preserve">视为投标人</w:t>
      </w:r>
      <w:r>
        <w:rPr>
          <w:rFonts w:ascii="Times New Roman" w:hAnsi="宋体" w:cs="宋体"/>
          <w:color w:val="000000" w:themeColor="text1"/>
          <w:sz w:val="24"/>
          <w:szCs w:val="24"/>
          <w:highlight w:val="none"/>
          <w14:textFill>
            <w14:solidFill>
              <w14:schemeClr w14:val="tx1"/>
            </w14:solidFill>
          </w14:textFill>
        </w:rPr>
        <w:t xml:space="preserve">串通</w:t>
      </w:r>
      <w:r>
        <w:rPr>
          <w:rFonts w:hint="eastAsia" w:ascii="Times New Roman" w:hAnsi="宋体" w:cs="宋体"/>
          <w:color w:val="000000" w:themeColor="text1"/>
          <w:sz w:val="24"/>
          <w:szCs w:val="24"/>
          <w:highlight w:val="none"/>
          <w14:textFill>
            <w14:solidFill>
              <w14:schemeClr w14:val="tx1"/>
            </w14:solidFill>
          </w14:textFill>
        </w:rPr>
        <w:t xml:space="preserve">投标，投标无效：</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rFonts w:ascii="黑体" w:hAnsi="宋体" w:eastAsia="黑体"/>
          <w:bCs/>
          <w:color w:val="000000" w:themeColor="text1"/>
          <w:sz w:val="30"/>
          <w:szCs w:val="30"/>
          <w:highlight w:val="none"/>
          <w14:textFill>
            <w14:solidFill>
              <w14:schemeClr w14:val="tx1"/>
            </w14:solidFill>
          </w14:textFill>
        </w:rPr>
        <w:t xml:space="preserve">28</w:t>
      </w:r>
      <w:r>
        <w:rPr>
          <w:rFonts w:hint="eastAsia" w:ascii="黑体" w:hAnsi="宋体" w:eastAsia="黑体"/>
          <w:bCs/>
          <w:color w:val="000000" w:themeColor="text1"/>
          <w:sz w:val="30"/>
          <w:szCs w:val="30"/>
          <w:highlight w:val="none"/>
          <w14:textFill>
            <w14:solidFill>
              <w14:schemeClr w14:val="tx1"/>
            </w14:solidFill>
          </w14:textFill>
        </w:rPr>
        <w:t xml:space="preserve">、质疑处理</w:t>
      </w:r>
      <w:bookmarkEnd w:id="164"/>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或采购人提出质疑。上述应知其权益受到损害之日，是指：</w:t>
      </w:r>
      <w:r/>
    </w:p>
    <w:p>
      <w:pPr>
        <w:ind w:firstLine="480"/>
        <w:spacing w:line="400" w:lineRule="exact"/>
        <w:rPr>
          <w:rFonts w:hint="eastAsia" w:ascii="Times New Roman"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2.1</w:t>
      </w:r>
      <w:r>
        <w:rPr>
          <w:rFonts w:ascii="Times New Roman" w:hAnsi="宋体" w:cs="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rPr>
          <w:rFonts w:ascii="Times New Roman" w:hAnsi="宋体" w:cs="宋体"/>
          <w:color w:val="000000" w:themeColor="text1"/>
          <w:sz w:val="24"/>
          <w:szCs w:val="24"/>
          <w:highlight w:val="none"/>
          <w14:textFill>
            <w14:solidFill>
              <w14:schemeClr w14:val="tx1"/>
            </w14:solidFill>
          </w14:textFill>
        </w:rPr>
        <w:br w:type="textWrapping" w:clear="all"/>
      </w:r>
      <w:r>
        <w:rPr>
          <w:rFonts w:ascii="Times New Roman" w:hAnsi="宋体" w:cs="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2.2</w:t>
      </w:r>
      <w:r>
        <w:rPr>
          <w:rFonts w:ascii="Times New Roman" w:hAnsi="宋体" w:cs="宋体"/>
          <w:color w:val="000000" w:themeColor="text1"/>
          <w:sz w:val="24"/>
          <w:szCs w:val="24"/>
          <w:highlight w:val="none"/>
          <w14:textFill>
            <w14:solidFill>
              <w14:schemeClr w14:val="tx1"/>
            </w14:solidFill>
          </w14:textFill>
        </w:rPr>
        <w:t xml:space="preserve">对采购过程提出质疑的，为各采购程序环节结束之日；</w:t>
      </w:r>
      <w:r>
        <w:rPr>
          <w:rFonts w:ascii="Times New Roman" w:hAnsi="宋体" w:cs="宋体"/>
          <w:color w:val="000000" w:themeColor="text1"/>
          <w:sz w:val="24"/>
          <w:szCs w:val="24"/>
          <w:highlight w:val="none"/>
          <w14:textFill>
            <w14:solidFill>
              <w14:schemeClr w14:val="tx1"/>
            </w14:solidFill>
          </w14:textFill>
        </w:rPr>
        <w:br w:type="textWrapping" w:clear="all"/>
      </w:r>
      <w:r>
        <w:rPr>
          <w:rFonts w:ascii="Times New Roman" w:hAnsi="宋体" w:cs="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2.3</w:t>
      </w:r>
      <w:r>
        <w:rPr>
          <w:rFonts w:ascii="Times New Roman" w:hAnsi="宋体" w:cs="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400" w:lineRule="exact"/>
        <w:rPr>
          <w:rFonts w:hint="eastAsia" w:ascii="Times New Roman" w:hAnsi="宋体" w:cs="宋体"/>
          <w:color w:val="000000" w:themeColor="text1"/>
          <w:sz w:val="24"/>
          <w:szCs w:val="24"/>
          <w:highlight w:val="none"/>
          <w14:textFill>
            <w14:solidFill>
              <w14:schemeClr w14:val="tx1"/>
            </w14:solidFill>
          </w14:textFill>
        </w:rPr>
      </w:pPr>
      <w:r>
        <w:rPr>
          <w:rFonts w:hint="eastAsia" w:ascii="Times New Roman" w:hAnsi="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hAnsi="宋体" w:cs="宋体"/>
          <w:color w:val="000000" w:themeColor="text1"/>
          <w:sz w:val="24"/>
          <w:szCs w:val="24"/>
          <w:highlight w:val="none"/>
          <w:lang w:eastAsia="zh-CN"/>
          <w14:textFill>
            <w14:solidFill>
              <w14:schemeClr w14:val="tx1"/>
            </w14:solidFill>
          </w14:textFill>
        </w:rPr>
        <w:t xml:space="preserve">采购代理机构</w:t>
      </w:r>
      <w:r>
        <w:rPr>
          <w:rFonts w:hint="eastAsia" w:ascii="Times New Roman" w:hAnsi="宋体" w:cs="宋体"/>
          <w:color w:val="000000" w:themeColor="text1"/>
          <w:sz w:val="24"/>
          <w:szCs w:val="24"/>
          <w:highlight w:val="none"/>
          <w14:textFill>
            <w14:solidFill>
              <w14:schemeClr w14:val="tx1"/>
            </w14:solidFill>
          </w14:textFill>
        </w:rPr>
        <w:t xml:space="preserve">、</w:t>
      </w:r>
      <w:r>
        <w:rPr>
          <w:rFonts w:ascii="Times New Roman" w:hAnsi="宋体" w:cs="宋体"/>
          <w:color w:val="000000" w:themeColor="text1"/>
          <w:sz w:val="24"/>
          <w:szCs w:val="24"/>
          <w:highlight w:val="none"/>
          <w14:textFill>
            <w14:solidFill>
              <w14:schemeClr w14:val="tx1"/>
            </w14:solidFill>
          </w14:textFill>
        </w:rPr>
        <w:t xml:space="preserve">采购人</w:t>
      </w:r>
      <w:r>
        <w:rPr>
          <w:rFonts w:hint="eastAsia" w:ascii="Times New Roman" w:hAnsi="宋体" w:cs="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4 供应商（含潜在</w:t>
      </w:r>
      <w:r>
        <w:rPr>
          <w:rFonts w:ascii="宋体" w:hAnsi="宋体"/>
          <w:color w:val="000000" w:themeColor="text1"/>
          <w:sz w:val="24"/>
          <w:szCs w:val="24"/>
          <w:highlight w:val="none"/>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）对与</w:t>
      </w:r>
      <w:r>
        <w:rPr>
          <w:rFonts w:ascii="宋体" w:hAnsi="宋体"/>
          <w:color w:val="000000" w:themeColor="text1"/>
          <w:sz w:val="24"/>
          <w:szCs w:val="24"/>
          <w:highlight w:val="none"/>
          <w14:textFill>
            <w14:solidFill>
              <w14:schemeClr w14:val="tx1"/>
            </w14:solidFill>
          </w14:textFill>
        </w:rPr>
        <w:t xml:space="preserve">本项目</w:t>
      </w:r>
      <w:r>
        <w:rPr>
          <w:rFonts w:hint="eastAsia" w:ascii="宋体" w:hAnsi="宋体"/>
          <w:color w:val="000000" w:themeColor="text1"/>
          <w:sz w:val="24"/>
          <w:szCs w:val="24"/>
          <w:highlight w:val="none"/>
          <w14:textFill>
            <w14:solidFill>
              <w14:schemeClr w14:val="tx1"/>
            </w14:solidFill>
          </w14:textFill>
        </w:rPr>
        <w:t xml:space="preserve">有关的</w:t>
      </w:r>
      <w:r>
        <w:rPr>
          <w:rFonts w:ascii="宋体" w:hAnsi="宋体"/>
          <w:color w:val="000000" w:themeColor="text1"/>
          <w:sz w:val="24"/>
          <w:szCs w:val="24"/>
          <w:highlight w:val="none"/>
          <w14:textFill>
            <w14:solidFill>
              <w14:schemeClr w14:val="tx1"/>
            </w14:solidFill>
          </w14:textFill>
        </w:rPr>
        <w:t xml:space="preserve">所有询问、质疑请向采购人提出，由采购人负责答复。</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lang w:val="en-US" w:eastAsia="zh-CN"/>
          <w14:textFill>
            <w14:solidFill>
              <w14:schemeClr w14:val="tx1"/>
            </w14:solidFill>
          </w14:textFill>
        </w:rPr>
        <w:t xml:space="preserve">及采购代理机构</w:t>
      </w:r>
      <w:r>
        <w:rPr>
          <w:rFonts w:hint="eastAsia" w:ascii="宋体" w:hAnsi="宋体"/>
          <w:color w:val="000000" w:themeColor="text1"/>
          <w:sz w:val="24"/>
          <w:szCs w:val="24"/>
          <w:highlight w:val="none"/>
          <w14:textFill>
            <w14:solidFill>
              <w14:schemeClr w14:val="tx1"/>
            </w14:solidFill>
          </w14:textFill>
        </w:rPr>
        <w:t xml:space="preserve">只接收以纸质原件形式送达的质疑,建议供应商尽量通过邮寄方式提交质疑（采购人和</w:t>
      </w:r>
      <w:r>
        <w:rPr>
          <w:rFonts w:hint="eastAsia" w:ascii="宋体" w:hAnsi="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不接受无快递运</w:t>
      </w:r>
      <w:r>
        <w:rPr>
          <w:rFonts w:ascii="宋体" w:hAnsi="宋体"/>
          <w:color w:val="000000" w:themeColor="text1"/>
          <w:sz w:val="24"/>
          <w:szCs w:val="24"/>
          <w:highlight w:val="none"/>
          <w14:textFill>
            <w14:solidFill>
              <w14:schemeClr w14:val="tx1"/>
            </w14:solidFill>
          </w14:textFill>
        </w:rPr>
        <w:t xml:space="preserve">单号</w:t>
      </w:r>
      <w:r>
        <w:rPr>
          <w:rFonts w:hint="eastAsia" w:ascii="宋体" w:hAnsi="宋体"/>
          <w:color w:val="000000" w:themeColor="text1"/>
          <w:sz w:val="24"/>
          <w:szCs w:val="24"/>
          <w:highlight w:val="none"/>
          <w14:textFill>
            <w14:solidFill>
              <w14:schemeClr w14:val="tx1"/>
            </w14:solidFill>
          </w14:textFill>
        </w:rPr>
        <w:t xml:space="preserve">的快递）。</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采购人质疑接收人及联系方式见招标文件第一章。</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5 以下情形的质疑不予受理</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5.1 内容不符合《政府采购质疑和投诉办法》第十二条规定的质疑。</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5.2 超出政府采购法定期限的质疑。</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5.3 以传真、电子邮件等方式递交的非原件形式的质疑。</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5.4 未参加投标活动的供应商或在投标活动中自身权益未受到损害的供应商所提出的质疑。</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6 供应商提出书面质疑必须有理、有据，不得捏造事实、提供虚假材料进行恶意质疑。否则，一经查实，</w:t>
      </w:r>
      <w:r>
        <w:rPr>
          <w:rFonts w:hint="eastAsia" w:ascii="宋体" w:hAnsi="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rFonts w:ascii="黑体" w:hAnsi="宋体" w:eastAsia="黑体"/>
          <w:bCs/>
          <w:color w:val="000000" w:themeColor="text1"/>
          <w:sz w:val="30"/>
          <w:szCs w:val="30"/>
          <w:highlight w:val="none"/>
          <w14:textFill>
            <w14:solidFill>
              <w14:schemeClr w14:val="tx1"/>
            </w14:solidFill>
          </w14:textFill>
        </w:rPr>
        <w:t xml:space="preserve">29</w:t>
      </w:r>
      <w:r>
        <w:rPr>
          <w:rFonts w:hint="eastAsia" w:ascii="黑体" w:hAnsi="宋体" w:eastAsia="黑体"/>
          <w:bCs/>
          <w:color w:val="000000" w:themeColor="text1"/>
          <w:sz w:val="30"/>
          <w:szCs w:val="30"/>
          <w:highlight w:val="none"/>
          <w14:textFill>
            <w14:solidFill>
              <w14:schemeClr w14:val="tx1"/>
            </w14:solidFill>
          </w14:textFill>
        </w:rPr>
        <w:t xml:space="preserve">、中标通知书</w:t>
      </w:r>
      <w:r/>
    </w:p>
    <w:p>
      <w:pPr>
        <w:ind w:firstLine="60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l中标结果确定后，</w:t>
      </w:r>
      <w:r>
        <w:rPr>
          <w:rFonts w:hint="eastAsia" w:ascii="宋体" w:hAnsi="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165" w:name="_Toc120614220"/>
      <w:r/>
      <w:bookmarkStart w:id="166" w:name="_Toc20823308"/>
      <w:r/>
      <w:bookmarkStart w:id="167" w:name="_Toc16938552"/>
      <w:r/>
      <w:bookmarkStart w:id="168" w:name="_Toc513029236"/>
      <w:r>
        <w:rPr>
          <w:rFonts w:hint="eastAsia" w:ascii="Times New Roman" w:hAnsi="Times New Roman"/>
          <w:b/>
          <w:bCs/>
          <w:color w:val="000000" w:themeColor="text1"/>
          <w:sz w:val="32"/>
          <w:szCs w:val="32"/>
          <w:highlight w:val="none"/>
          <w14:textFill>
            <w14:solidFill>
              <w14:schemeClr w14:val="tx1"/>
            </w14:solidFill>
          </w14:textFill>
        </w:rPr>
        <w:t xml:space="preserve">七、授予合同</w:t>
      </w:r>
      <w:bookmarkEnd w:id="165"/>
      <w:r/>
      <w:bookmarkEnd w:id="166"/>
      <w:r/>
      <w:bookmarkEnd w:id="167"/>
      <w:r/>
      <w:bookmarkEnd w:id="168"/>
      <w:r/>
      <w:r/>
    </w:p>
    <w:p>
      <w:pPr>
        <w:ind w:firstLine="600"/>
        <w:keepLines/>
        <w:keepNext/>
        <w:spacing w:line="400" w:lineRule="exact"/>
        <w:rPr>
          <w:rFonts w:hint="eastAsia" w:ascii="黑体" w:hAnsi="宋体" w:eastAsia="黑体"/>
          <w:bCs/>
          <w:color w:val="000000" w:themeColor="text1"/>
          <w:sz w:val="30"/>
          <w:szCs w:val="30"/>
          <w:highlight w:val="none"/>
          <w14:textFill>
            <w14:solidFill>
              <w14:schemeClr w14:val="tx1"/>
            </w14:solidFill>
          </w14:textFill>
        </w:rPr>
        <w:outlineLvl w:val="3"/>
      </w:pPr>
      <w:r/>
      <w:bookmarkStart w:id="169" w:name="_Toc16938553"/>
      <w:r/>
      <w:bookmarkStart w:id="170" w:name="_Toc513029237"/>
      <w:r/>
      <w:bookmarkStart w:id="171" w:name="_Toc20823309"/>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0</w:t>
      </w:r>
      <w:r>
        <w:rPr>
          <w:rFonts w:hint="eastAsia" w:ascii="黑体" w:hAnsi="宋体" w:eastAsia="黑体"/>
          <w:bCs/>
          <w:color w:val="000000" w:themeColor="text1"/>
          <w:sz w:val="30"/>
          <w:szCs w:val="30"/>
          <w:highlight w:val="none"/>
          <w14:textFill>
            <w14:solidFill>
              <w14:schemeClr w14:val="tx1"/>
            </w14:solidFill>
          </w14:textFill>
        </w:rPr>
        <w:t xml:space="preserve">、签订合同</w:t>
      </w:r>
      <w:r/>
    </w:p>
    <w:p>
      <w:pPr>
        <w:ind w:firstLine="60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w:t>
      </w:r>
      <w:r>
        <w:rPr>
          <w:rFonts w:hint="eastAsia" w:ascii="宋体" w:hAnsi="宋体"/>
          <w:color w:val="000000" w:themeColor="text1"/>
          <w:sz w:val="24"/>
          <w:szCs w:val="24"/>
          <w:highlight w:val="none"/>
          <w14:textFill>
            <w14:solidFill>
              <w14:schemeClr w14:val="tx1"/>
            </w14:solidFill>
          </w14:textFill>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招标文件、中标供应商的投标文件及招标过程中有关澄清、承诺文件均应作为合同附件。</w:t>
      </w:r>
      <w:r/>
    </w:p>
    <w:p>
      <w:pPr>
        <w:ind w:firstLine="60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1</w:t>
      </w:r>
      <w:r>
        <w:rPr>
          <w:rFonts w:hint="eastAsia" w:ascii="黑体" w:hAnsi="宋体" w:eastAsia="黑体"/>
          <w:bCs/>
          <w:color w:val="000000" w:themeColor="text1"/>
          <w:sz w:val="30"/>
          <w:szCs w:val="30"/>
          <w:highlight w:val="none"/>
          <w14:textFill>
            <w14:solidFill>
              <w14:schemeClr w14:val="tx1"/>
            </w14:solidFill>
          </w14:textFill>
        </w:rPr>
        <w:t xml:space="preserve">、货物（包含与货物相关的服务）的追加</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9"/>
      <w:r/>
      <w:bookmarkEnd w:id="170"/>
      <w:r/>
      <w:bookmarkEnd w:id="171"/>
      <w:r/>
      <w:r/>
    </w:p>
    <w:p>
      <w:pPr>
        <w:ind w:firstLine="600"/>
        <w:keepLines/>
        <w:keepNext/>
        <w:spacing w:line="400" w:lineRule="exact"/>
        <w:rPr>
          <w:rFonts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2</w:t>
      </w:r>
      <w:r>
        <w:rPr>
          <w:rFonts w:hint="eastAsia" w:ascii="黑体" w:hAnsi="宋体" w:eastAsia="黑体"/>
          <w:bCs/>
          <w:color w:val="000000" w:themeColor="text1"/>
          <w:sz w:val="30"/>
          <w:szCs w:val="30"/>
          <w:highlight w:val="none"/>
          <w14:textFill>
            <w14:solidFill>
              <w14:schemeClr w14:val="tx1"/>
            </w14:solidFill>
          </w14:textFill>
        </w:rPr>
        <w:t xml:space="preserve">、政府采购履约资金扶持政策</w:t>
      </w:r>
      <w:r/>
    </w:p>
    <w:p>
      <w:pPr>
        <w:ind w:firstLine="555"/>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中标供应商可凭政府采购合同办理融资贷款，详情请见江苏政府采购网“政采贷”专栏。</w:t>
      </w:r>
      <w:r/>
    </w:p>
    <w:p>
      <w:pPr>
        <w:ind w:firstLine="420"/>
        <w:spacing w:line="40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2640"/>
        <w:jc w:val="left"/>
        <w:keepLines w:val="0"/>
        <w:keepNext w:val="0"/>
        <w:pageBreakBefore w:val="0"/>
        <w:widowControl w:val="off"/>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ind w:firstLine="2640"/>
        <w:jc w:val="left"/>
        <w:keepLines w:val="0"/>
        <w:keepNext w:val="0"/>
        <w:pageBreakBefore w:val="0"/>
        <w:widowControl w:val="off"/>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ind w:firstLine="2640"/>
        <w:jc w:val="left"/>
        <w:keepLines w:val="0"/>
        <w:keepNext w:val="0"/>
        <w:pageBreakBefore w:val="0"/>
        <w:widowControl w:val="off"/>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2640"/>
        <w:jc w:val="left"/>
        <w:widowControl w:val="off"/>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ind w:firstLine="2640"/>
        <w:jc w:val="left"/>
        <w:widowControl w:val="off"/>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ind w:firstLine="2640"/>
        <w:jc w:val="left"/>
        <w:widowControl w:val="off"/>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ind w:firstLine="2640"/>
        <w:jc w:val="left"/>
        <w:widowControl w:val="off"/>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ind w:firstLine="2640"/>
        <w:jc w:val="left"/>
        <w:widowControl w:val="off"/>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ind w:firstLine="2640"/>
        <w:jc w:val="left"/>
        <w:widowControl w:val="off"/>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ind w:firstLine="2640"/>
        <w:jc w:val="left"/>
        <w:widowControl w:val="off"/>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pStyle w:val="714"/>
        <w:rPr>
          <w:rFonts w:hint="eastAsia" w:ascii="黑体" w:hAnsi="Times New Roman" w:eastAsia="黑体"/>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r>
      <w:r/>
    </w:p>
    <w:p>
      <w:pPr>
        <w:pStyle w:val="710"/>
        <w:rPr>
          <w:rFonts w:hint="eastAsia" w:ascii="黑体" w:hAnsi="Times New Roman" w:eastAsia="黑体"/>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r>
      <w:r/>
    </w:p>
    <w:p>
      <w:pPr>
        <w:pStyle w:val="710"/>
        <w:rPr>
          <w:rFonts w:hint="eastAsia" w:ascii="黑体" w:hAnsi="Times New Roman" w:eastAsia="黑体"/>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r>
      <w:r/>
    </w:p>
    <w:p>
      <w:pPr>
        <w:ind w:firstLine="2640"/>
        <w:jc w:val="left"/>
        <w:widowControl w:val="off"/>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ind w:firstLine="2640"/>
        <w:jc w:val="left"/>
        <w:keepNext/>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t xml:space="preserve">第三章  合同</w:t>
      </w:r>
      <w:bookmarkEnd w:id="45"/>
      <w:r/>
      <w:bookmarkEnd w:id="46"/>
      <w:r/>
      <w:bookmarkEnd w:id="47"/>
      <w:r/>
      <w:bookmarkEnd w:id="48"/>
      <w:r/>
      <w:bookmarkEnd w:id="49"/>
      <w:r>
        <w:rPr>
          <w:rFonts w:hint="eastAsia" w:ascii="黑体" w:hAnsi="Times New Roman" w:eastAsia="黑体"/>
          <w:bCs/>
          <w:color w:val="000000" w:themeColor="text1"/>
          <w:sz w:val="44"/>
          <w:szCs w:val="28"/>
          <w:highlight w:val="none"/>
          <w14:textFill>
            <w14:solidFill>
              <w14:schemeClr w14:val="tx1"/>
            </w14:solidFill>
          </w14:textFill>
        </w:rPr>
        <w:t xml:space="preserve">文本</w:t>
      </w:r>
      <w:r/>
    </w:p>
    <w:p>
      <w:pPr>
        <w:spacing w:line="400" w:lineRule="exact"/>
        <w:rPr>
          <w:rFonts w:ascii="宋体" w:hAnsi="宋体"/>
          <w:bCs/>
          <w:color w:val="000000" w:themeColor="text1"/>
          <w:sz w:val="24"/>
          <w:szCs w:val="24"/>
          <w:highlight w:val="none"/>
          <w14:textFill>
            <w14:solidFill>
              <w14:schemeClr w14:val="tx1"/>
            </w14:solidFill>
          </w14:textFill>
        </w:rPr>
      </w:pPr>
      <w:r/>
      <w:bookmarkStart w:id="172" w:name="_Toc16938559"/>
      <w:r/>
      <w:bookmarkEnd w:id="172"/>
      <w:r/>
      <w:bookmarkStart w:id="173" w:name="_Toc20823315"/>
      <w:r/>
      <w:bookmarkEnd w:id="173"/>
      <w:r/>
      <w:bookmarkStart w:id="174" w:name="_Toc3995"/>
      <w:r/>
      <w:bookmarkEnd w:id="174"/>
      <w:r/>
      <w:bookmarkStart w:id="175" w:name="_Toc513029243"/>
      <w:r/>
      <w:bookmarkEnd w:id="175"/>
      <w:r/>
      <w:bookmarkStart w:id="176" w:name="_Hlt16619350"/>
      <w:r/>
      <w:bookmarkStart w:id="177" w:name="_Toc16938590"/>
      <w:r/>
      <w:bookmarkStart w:id="178" w:name="_Toc120614244"/>
      <w:r/>
      <w:bookmarkStart w:id="179" w:name="_Toc20823346"/>
      <w:r/>
      <w:bookmarkStart w:id="180" w:name="_Toc462564139"/>
      <w:r/>
      <w:bookmarkStart w:id="181" w:name="_Toc479757211"/>
      <w:r/>
      <w:r/>
    </w:p>
    <w:p>
      <w:pPr>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937"/>
        <w:jc w:val="center"/>
        <w:rPr>
          <w:rFonts w:ascii="宋体" w:hAnsi="宋体" w:eastAsia="宋体" w:cs="宋体"/>
          <w:b/>
          <w:bCs/>
          <w:color w:val="000000" w:themeColor="text1"/>
          <w:spacing w:val="-20"/>
          <w:sz w:val="32"/>
          <w:szCs w:val="32"/>
          <w:highlight w:val="none"/>
          <w14:textFill>
            <w14:solidFill>
              <w14:schemeClr w14:val="tx1"/>
            </w14:solidFill>
          </w14:textFill>
        </w:rPr>
      </w:pPr>
      <w:r>
        <w:rPr>
          <w:rFonts w:ascii="宋体" w:hAnsi="宋体" w:eastAsia="宋体" w:cs="宋体"/>
          <w:b/>
          <w:bCs/>
          <w:color w:val="000000" w:themeColor="text1"/>
          <w:spacing w:val="-20"/>
          <w:sz w:val="32"/>
          <w:szCs w:val="32"/>
          <w:highlight w:val="none"/>
          <w14:textFill>
            <w14:solidFill>
              <w14:schemeClr w14:val="tx1"/>
            </w14:solidFill>
          </w14:textFill>
        </w:rPr>
      </w:r>
      <w:r/>
    </w:p>
    <w:p>
      <w:pPr>
        <w:pStyle w:val="937"/>
        <w:jc w:val="center"/>
        <w:rPr>
          <w:rFonts w:ascii="宋体" w:hAnsi="宋体" w:eastAsia="宋体" w:cs="宋体"/>
          <w:b/>
          <w:bCs/>
          <w:color w:val="000000" w:themeColor="text1"/>
          <w:spacing w:val="-20"/>
          <w:sz w:val="32"/>
          <w:szCs w:val="32"/>
          <w:highlight w:val="none"/>
          <w14:textFill>
            <w14:solidFill>
              <w14:schemeClr w14:val="tx1"/>
            </w14:solidFill>
          </w14:textFill>
        </w:rPr>
      </w:pPr>
      <w:r>
        <w:rPr>
          <w:rFonts w:ascii="宋体" w:hAnsi="宋体" w:eastAsia="宋体" w:cs="宋体"/>
          <w:b/>
          <w:bCs/>
          <w:color w:val="000000" w:themeColor="text1"/>
          <w:spacing w:val="-20"/>
          <w:sz w:val="32"/>
          <w:szCs w:val="32"/>
          <w:highlight w:val="none"/>
          <w14:textFill>
            <w14:solidFill>
              <w14:schemeClr w14:val="tx1"/>
            </w14:solidFill>
          </w14:textFill>
        </w:rPr>
      </w:r>
      <w:r/>
    </w:p>
    <w:p>
      <w:pPr>
        <w:pStyle w:val="937"/>
        <w:jc w:val="center"/>
        <w:rPr>
          <w:rFonts w:ascii="宋体" w:hAnsi="宋体" w:eastAsia="宋体" w:cs="宋体"/>
          <w:b/>
          <w:bCs/>
          <w:color w:val="000000" w:themeColor="text1"/>
          <w:spacing w:val="-20"/>
          <w:sz w:val="32"/>
          <w:szCs w:val="32"/>
          <w:highlight w:val="none"/>
          <w14:textFill>
            <w14:solidFill>
              <w14:schemeClr w14:val="tx1"/>
            </w14:solidFill>
          </w14:textFill>
        </w:rPr>
      </w:pPr>
      <w:r>
        <w:rPr>
          <w:rFonts w:hint="eastAsia" w:ascii="宋体" w:hAnsi="宋体" w:eastAsia="宋体" w:cs="宋体"/>
          <w:b/>
          <w:bCs/>
          <w:color w:val="000000" w:themeColor="text1"/>
          <w:spacing w:val="-20"/>
          <w:sz w:val="32"/>
          <w:szCs w:val="32"/>
          <w:highlight w:val="none"/>
          <w14:textFill>
            <w14:solidFill>
              <w14:schemeClr w14:val="tx1"/>
            </w14:solidFill>
          </w14:textFill>
        </w:rPr>
        <w:t xml:space="preserve">财政部 政府采购货物买卖合同（试行）</w:t>
      </w:r>
      <w:r/>
    </w:p>
    <w:p>
      <w:pPr>
        <w:pStyle w:val="937"/>
        <w:jc w:val="center"/>
        <w:rPr>
          <w:rFonts w:ascii="宋体" w:hAnsi="宋体" w:eastAsia="宋体" w:cs="宋体"/>
          <w:b/>
          <w:bCs/>
          <w:color w:val="000000" w:themeColor="text1"/>
          <w:spacing w:val="-20"/>
          <w:sz w:val="32"/>
          <w:szCs w:val="32"/>
          <w:highlight w:val="none"/>
          <w14:textFill>
            <w14:solidFill>
              <w14:schemeClr w14:val="tx1"/>
            </w14:solidFill>
          </w14:textFill>
        </w:rPr>
      </w:pPr>
      <w:r>
        <w:rPr>
          <w:rFonts w:hint="eastAsia" w:ascii="宋体" w:hAnsi="宋体" w:eastAsia="宋体" w:cs="宋体"/>
          <w:b/>
          <w:bCs/>
          <w:color w:val="000000" w:themeColor="text1"/>
          <w:spacing w:val="-20"/>
          <w:sz w:val="32"/>
          <w:szCs w:val="32"/>
          <w:highlight w:val="none"/>
          <w14:textFill>
            <w14:solidFill>
              <w14:schemeClr w14:val="tx1"/>
            </w14:solidFill>
          </w14:textFill>
        </w:rPr>
        <w:t xml:space="preserve">范    本</w:t>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p>
    <w:p>
      <w:pPr>
        <w:ind w:left="420"/>
        <w:spacing w:line="360" w:lineRule="auto"/>
        <w:rPr>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项目名称：</w:t>
      </w:r>
      <w:r>
        <w:rPr>
          <w:rFonts w:hint="eastAsia"/>
          <w:color w:val="000000" w:themeColor="text1"/>
          <w:sz w:val="28"/>
          <w:szCs w:val="28"/>
          <w:highlight w:val="none"/>
          <w:u w:val="single"/>
          <w14:textFill>
            <w14:solidFill>
              <w14:schemeClr w14:val="tx1"/>
            </w14:solidFill>
          </w14:textFill>
        </w:rPr>
        <w:t xml:space="preserve">                             </w:t>
      </w:r>
      <w:r/>
    </w:p>
    <w:p>
      <w:pPr>
        <w:ind w:left="420"/>
        <w:spacing w:line="360" w:lineRule="auto"/>
        <w:rPr>
          <w:color w:val="000000" w:themeColor="text1"/>
          <w:sz w:val="28"/>
          <w:szCs w:val="28"/>
          <w:highlight w:val="none"/>
          <w:u w:val="singl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合同编号：</w:t>
      </w:r>
      <w:r>
        <w:rPr>
          <w:rFonts w:hint="eastAsia"/>
          <w:color w:val="000000" w:themeColor="text1"/>
          <w:sz w:val="28"/>
          <w:szCs w:val="28"/>
          <w:highlight w:val="none"/>
          <w:u w:val="single"/>
          <w14:textFill>
            <w14:solidFill>
              <w14:schemeClr w14:val="tx1"/>
            </w14:solidFill>
          </w14:textFill>
        </w:rPr>
        <w:t xml:space="preserve">                             </w:t>
      </w:r>
      <w:r/>
    </w:p>
    <w:p>
      <w:pPr>
        <w:ind w:left="420"/>
        <w:spacing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甲    方：</w:t>
      </w:r>
      <w:r>
        <w:rPr>
          <w:rFonts w:hint="eastAsia"/>
          <w:color w:val="000000" w:themeColor="text1"/>
          <w:sz w:val="28"/>
          <w:szCs w:val="28"/>
          <w:highlight w:val="none"/>
          <w:u w:val="single"/>
          <w14:textFill>
            <w14:solidFill>
              <w14:schemeClr w14:val="tx1"/>
            </w14:solidFill>
          </w14:textFill>
        </w:rPr>
        <w:t xml:space="preserve">                             </w:t>
      </w:r>
      <w:r/>
    </w:p>
    <w:p>
      <w:pPr>
        <w:ind w:left="420"/>
        <w:spacing w:line="360" w:lineRule="auto"/>
        <w:rPr>
          <w:color w:val="000000" w:themeColor="text1"/>
          <w:sz w:val="28"/>
          <w:szCs w:val="28"/>
          <w:highlight w:val="none"/>
          <w:u w:val="singl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乙    方：</w:t>
      </w:r>
      <w:r>
        <w:rPr>
          <w:rFonts w:hint="eastAsia"/>
          <w:color w:val="000000" w:themeColor="text1"/>
          <w:sz w:val="28"/>
          <w:szCs w:val="28"/>
          <w:highlight w:val="none"/>
          <w:u w:val="single"/>
          <w14:textFill>
            <w14:solidFill>
              <w14:schemeClr w14:val="tx1"/>
            </w14:solidFill>
          </w14:textFill>
        </w:rPr>
        <w:t xml:space="preserve">                             </w:t>
      </w:r>
      <w:r/>
    </w:p>
    <w:p>
      <w:pPr>
        <w:ind w:left="420"/>
        <w:spacing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签订时间：</w:t>
      </w:r>
      <w:r>
        <w:rPr>
          <w:rFonts w:hint="eastAsia"/>
          <w:color w:val="000000" w:themeColor="text1"/>
          <w:sz w:val="28"/>
          <w:szCs w:val="28"/>
          <w:highlight w:val="none"/>
          <w:u w:val="single"/>
          <w14:textFill>
            <w14:solidFill>
              <w14:schemeClr w14:val="tx1"/>
            </w14:solidFill>
          </w14:textFill>
        </w:rPr>
        <w:t xml:space="preserve">      </w:t>
      </w:r>
      <w:r>
        <w:rPr>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u w:val="singl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pStyle w:val="968"/>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pStyle w:val="968"/>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jc w:val="center"/>
        <w:rPr>
          <w:rFonts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使 用 说 明</w:t>
      </w:r>
      <w:r/>
    </w:p>
    <w:p>
      <w:pPr>
        <w:ind w:firstLine="640"/>
        <w:rPr>
          <w:rFonts w:ascii="仿宋_GB2312" w:hAnsi="仿宋_GB2312" w:eastAsia="仿宋_GB2312" w:cs="仿宋_GB2312"/>
          <w:color w:val="000000" w:themeColor="text1"/>
          <w:sz w:val="32"/>
          <w:szCs w:val="32"/>
          <w:highlight w:val="none"/>
          <w14:textFill>
            <w14:solidFill>
              <w14:schemeClr w14:val="tx1"/>
            </w14:solidFill>
          </w14:textFill>
        </w:rPr>
      </w:pPr>
      <w:r>
        <w:rPr>
          <w:rFonts w:ascii="仿宋_GB2312" w:hAnsi="仿宋_GB2312" w:eastAsia="仿宋_GB2312" w:cs="仿宋_GB2312"/>
          <w:color w:val="000000" w:themeColor="text1"/>
          <w:sz w:val="32"/>
          <w:szCs w:val="32"/>
          <w:highlight w:val="none"/>
          <w14:textFill>
            <w14:solidFill>
              <w14:schemeClr w14:val="tx1"/>
            </w14:solidFill>
          </w14:textFill>
        </w:rPr>
      </w:r>
      <w:r/>
    </w:p>
    <w:p>
      <w:pPr>
        <w:ind w:firstLine="560"/>
        <w:rPr>
          <w:rFonts w:ascii="宋体" w:hAnsi="宋体" w:cs="仿宋_GB2312"/>
          <w:color w:val="000000" w:themeColor="text1"/>
          <w:sz w:val="28"/>
          <w:szCs w:val="28"/>
          <w:highlight w:val="none"/>
          <w14:textFill>
            <w14:solidFill>
              <w14:schemeClr w14:val="tx1"/>
            </w14:solidFill>
          </w14:textFill>
        </w:rPr>
      </w:pPr>
      <w:r>
        <w:rPr>
          <w:rFonts w:hint="eastAsia" w:ascii="宋体" w:hAnsi="宋体" w:cs="仿宋_GB2312"/>
          <w:color w:val="000000" w:themeColor="text1"/>
          <w:sz w:val="28"/>
          <w:szCs w:val="28"/>
          <w:highlight w:val="none"/>
          <w14:textFill>
            <w14:solidFill>
              <w14:schemeClr w14:val="tx1"/>
            </w14:solidFill>
          </w14:textFill>
        </w:rPr>
        <w:t xml:space="preserve">1.本合同标准文本适用于购买现成货物的采购项目，不包括需要供应商定制开发、创新研发的货物采购项目。</w:t>
      </w:r>
      <w:r/>
    </w:p>
    <w:p>
      <w:pP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w:t>
      </w:r>
      <w:r>
        <w:rPr>
          <w:rFonts w:hint="eastAsia" w:ascii="宋体" w:hAnsi="宋体" w:cs="仿宋_GB2312"/>
          <w:color w:val="000000" w:themeColor="text1"/>
          <w:sz w:val="28"/>
          <w:szCs w:val="28"/>
          <w:highlight w:val="none"/>
          <w14:textFill>
            <w14:solidFill>
              <w14:schemeClr w14:val="tx1"/>
            </w14:solidFill>
          </w14:textFill>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000000" w:themeColor="text1"/>
          <w:sz w:val="28"/>
          <w:szCs w:val="28"/>
          <w:highlight w:val="none"/>
          <w14:textFill>
            <w14:solidFill>
              <w14:schemeClr w14:val="tx1"/>
            </w14:solidFill>
          </w14:textFill>
        </w:rPr>
      </w:pPr>
      <w:r>
        <w:rPr>
          <w:rFonts w:hint="eastAsia" w:ascii="宋体" w:hAnsi="宋体" w:cs="仿宋_GB2312"/>
          <w:color w:val="000000" w:themeColor="text1"/>
          <w:sz w:val="28"/>
          <w:szCs w:val="28"/>
          <w:highlight w:val="none"/>
          <w14:textFill>
            <w14:solidFill>
              <w14:schemeClr w14:val="tx1"/>
            </w14:solidFill>
          </w14:textFill>
        </w:rPr>
        <w:t xml:space="preserve">3.本合同标准文本各条款中，如涉及填写多家供应商、制造商，多种采购标的、分包主要内容等信息的，可根据采购项目具体情况添加信息项。</w:t>
      </w:r>
      <w:r/>
    </w:p>
    <w:p>
      <w:pPr>
        <w:ind w:firstLine="880"/>
        <w:rPr>
          <w:rFonts w:eastAsia="黑体"/>
          <w:color w:val="000000" w:themeColor="text1"/>
          <w:sz w:val="44"/>
          <w:szCs w:val="44"/>
          <w:highlight w:val="none"/>
          <w14:textFill>
            <w14:solidFill>
              <w14:schemeClr w14:val="tx1"/>
            </w14:solidFill>
          </w14:textFill>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themeColor="text1"/>
          <w:sz w:val="44"/>
          <w:szCs w:val="44"/>
          <w:highlight w:val="none"/>
          <w14:textFill>
            <w14:solidFill>
              <w14:schemeClr w14:val="tx1"/>
            </w14:solidFill>
          </w14:textFill>
        </w:rPr>
      </w:r>
      <w:r/>
    </w:p>
    <w:p>
      <w:pPr>
        <w:pStyle w:val="909"/>
        <w:spacing w:line="400" w:lineRule="exact"/>
        <w:rPr>
          <w:rFonts w:ascii="黑体" w:hAnsi="华文中宋" w:eastAsia="黑体"/>
          <w:b w:val="0"/>
          <w:bCs w:val="0"/>
          <w:color w:val="000000" w:themeColor="text1"/>
          <w:sz w:val="28"/>
          <w:szCs w:val="28"/>
          <w:highlight w:val="none"/>
          <w14:textFill>
            <w14:solidFill>
              <w14:schemeClr w14:val="tx1"/>
            </w14:solidFill>
          </w14:textFill>
        </w:rPr>
      </w:pPr>
      <w:r>
        <w:rPr>
          <w:rFonts w:hint="eastAsia" w:ascii="黑体" w:hAnsi="黑体" w:eastAsia="黑体"/>
          <w:b w:val="0"/>
          <w:bCs w:val="0"/>
          <w:color w:val="000000" w:themeColor="text1"/>
          <w:sz w:val="28"/>
          <w:szCs w:val="28"/>
          <w:highlight w:val="none"/>
          <w14:textFill>
            <w14:solidFill>
              <w14:schemeClr w14:val="tx1"/>
            </w14:solidFill>
          </w14:textFill>
        </w:rPr>
        <w:t xml:space="preserve">第一节 </w:t>
      </w:r>
      <w:r>
        <w:rPr>
          <w:rFonts w:hint="eastAsia" w:ascii="黑体" w:hAnsi="华文中宋" w:eastAsia="黑体"/>
          <w:b w:val="0"/>
          <w:bCs w:val="0"/>
          <w:color w:val="000000" w:themeColor="text1"/>
          <w:sz w:val="28"/>
          <w:szCs w:val="28"/>
          <w:highlight w:val="none"/>
          <w14:textFill>
            <w14:solidFill>
              <w14:schemeClr w14:val="tx1"/>
            </w14:solidFill>
          </w14:textFill>
        </w:rPr>
        <w:t xml:space="preserve">政府采购合同协议书</w:t>
      </w:r>
      <w:r/>
    </w:p>
    <w:p>
      <w:pPr>
        <w:pStyle w:val="909"/>
        <w:spacing w:line="400" w:lineRule="exact"/>
        <w:rPr>
          <w:rFonts w:ascii="黑体" w:hAnsi="华文中宋" w:eastAsia="黑体"/>
          <w:b w:val="0"/>
          <w:bCs w:val="0"/>
          <w:color w:val="000000" w:themeColor="text1"/>
          <w:sz w:val="28"/>
          <w:szCs w:val="28"/>
          <w:highlight w:val="none"/>
          <w14:textFill>
            <w14:solidFill>
              <w14:schemeClr w14:val="tx1"/>
            </w14:solidFill>
          </w14:textFill>
        </w:rPr>
      </w:pPr>
      <w:r>
        <w:rPr>
          <w:rFonts w:ascii="黑体" w:hAnsi="华文中宋" w:eastAsia="黑体"/>
          <w:b w:val="0"/>
          <w:bCs w:val="0"/>
          <w:color w:val="000000" w:themeColor="text1"/>
          <w:sz w:val="28"/>
          <w:szCs w:val="28"/>
          <w:highlight w:val="none"/>
          <w14:textFill>
            <w14:solidFill>
              <w14:schemeClr w14:val="tx1"/>
            </w14:solidFill>
          </w14:textFill>
        </w:rPr>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（采购人、受采购人委托签订合同的单位或采购文件约定的合同甲方）</w:t>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乙方1（全称）：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（供应商）</w:t>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乙方2（全称）：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（联合体成员供应商或其他合同主体）（如有）</w:t>
      </w:r>
      <w:r/>
    </w:p>
    <w:p>
      <w:pPr>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乙方</w:t>
      </w:r>
      <w:r>
        <w:rPr>
          <w:rFonts w:hint="eastAsia" w:ascii="宋体" w:hAnsi="宋体"/>
          <w:color w:val="000000" w:themeColor="text1"/>
          <w:szCs w:val="2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（联合体成员供应商或其他合同主体）（如有）</w:t>
      </w:r>
      <w:r/>
    </w:p>
    <w:p>
      <w:pPr>
        <w:pStyle w:val="939"/>
        <w:ind w:left="0" w:firstLine="420"/>
        <w:spacing w:after="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6"/>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项目信息</w:t>
      </w:r>
      <w:r/>
    </w:p>
    <w:p>
      <w:pPr>
        <w:pStyle w:val="939"/>
        <w:numPr>
          <w:ilvl w:val="0"/>
          <w:numId w:val="7"/>
        </w:numPr>
        <w:ind w:left="0" w:firstLine="420"/>
        <w:spacing w:after="0"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采购项目名称：</w:t>
      </w:r>
      <w:r>
        <w:rPr>
          <w:rFonts w:ascii="宋体" w:hAnsi="宋体"/>
          <w:color w:val="000000" w:themeColor="text1"/>
          <w:szCs w:val="21"/>
          <w:highlight w:val="none"/>
          <w:u w:val="single"/>
          <w14:textFill>
            <w14:solidFill>
              <w14:schemeClr w14:val="tx1"/>
            </w14:solidFill>
          </w14:textFill>
        </w:rPr>
        <w:t xml:space="preserve">                                          </w:t>
      </w:r>
      <w:r/>
    </w:p>
    <w:p>
      <w:pPr>
        <w:pStyle w:val="939"/>
        <w:ind w:left="0"/>
        <w:spacing w:after="0" w:line="400" w:lineRule="exact"/>
        <w:tabs>
          <w:tab w:val="left" w:pos="999"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采购项目编号：</w:t>
      </w:r>
      <w:r>
        <w:rPr>
          <w:rFonts w:ascii="宋体" w:hAnsi="宋体"/>
          <w:color w:val="000000" w:themeColor="text1"/>
          <w:szCs w:val="21"/>
          <w:highlight w:val="none"/>
          <w:u w:val="single"/>
          <w14:textFill>
            <w14:solidFill>
              <w14:schemeClr w14:val="tx1"/>
            </w14:solidFill>
          </w14:textFill>
        </w:rPr>
        <w:t xml:space="preserve">                                          </w:t>
      </w:r>
      <w:r/>
    </w:p>
    <w:p>
      <w:pPr>
        <w:pStyle w:val="939"/>
        <w:ind w:left="0" w:firstLine="420"/>
        <w:spacing w:after="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（2）采购计划编号：</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（3）项目内容：</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采购标的及数量（台/套</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个</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架</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组等）：</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规格型号：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p>
    <w:p>
      <w:pPr>
        <w:ind w:firstLine="945"/>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采购标的的技术要求、商务要求具体见附件。</w:t>
      </w:r>
      <w:r/>
    </w:p>
    <w:p>
      <w:pPr>
        <w:ind w:firstLine="945"/>
        <w:spacing w:line="400" w:lineRule="exact"/>
        <w:rPr>
          <w:rFonts w:ascii="宋体" w:hAnsi="宋体" w:cs="宋体"/>
          <w:color w:val="000000" w:themeColor="text1"/>
          <w:szCs w:val="21"/>
          <w:highlight w:val="none"/>
          <w14:textFill>
            <w14:solidFill>
              <w14:schemeClr w14:val="tx1"/>
            </w14:solidFill>
          </w14:textFill>
        </w:rPr>
      </w:pPr>
      <w:r>
        <w:rPr>
          <w:rFonts w:hint="eastAsia" w:ascii="汉仪书宋二S" w:hAnsi="汉仪书宋二S" w:eastAsia="汉仪书宋二S" w:cs="汉仪书宋二S"/>
          <w:color w:val="000000" w:themeColor="text1"/>
          <w:szCs w:val="21"/>
          <w:highlight w:val="none"/>
          <w14:textFill>
            <w14:solidFill>
              <w14:schemeClr w14:val="tx1"/>
            </w14:solidFill>
          </w14:textFill>
        </w:rPr>
        <w:t xml:space="preserve">①</w:t>
      </w:r>
      <w:r>
        <w:rPr>
          <w:rFonts w:hint="eastAsia" w:ascii="宋体" w:hAnsi="宋体" w:cs="宋体"/>
          <w:color w:val="000000" w:themeColor="text1"/>
          <w:szCs w:val="21"/>
          <w:highlight w:val="none"/>
          <w14:textFill>
            <w14:solidFill>
              <w14:schemeClr w14:val="tx1"/>
            </w14:solidFill>
          </w14:textFill>
        </w:rPr>
        <w:t xml:space="preserve">涉及信息类产品，请填写该产品关键部件的品牌、型号：</w:t>
      </w:r>
      <w:r/>
    </w:p>
    <w:p>
      <w:pPr>
        <w:ind w:firstLine="420"/>
        <w:spacing w:line="40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标的名称：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pStyle w:val="1016"/>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关键部件：</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品牌：</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型号：</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w:t>
      </w:r>
      <w:r/>
    </w:p>
    <w:p>
      <w:pPr>
        <w:pStyle w:val="1016"/>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关键部件：</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品牌：</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型号：</w:t>
      </w:r>
      <w:r>
        <w:rPr>
          <w:rFonts w:hint="eastAsia" w:ascii="宋体" w:hAnsi="宋体" w:eastAsia="宋体" w:cs="宋体"/>
          <w:color w:val="000000" w:themeColor="text1"/>
          <w:sz w:val="21"/>
          <w:highlight w:val="none"/>
          <w:u w:val="single"/>
          <w14:textFill>
            <w14:solidFill>
              <w14:schemeClr w14:val="tx1"/>
            </w14:solidFill>
          </w14:textFill>
        </w:rPr>
        <w:t xml:space="preserve">       </w:t>
      </w:r>
      <w:r/>
    </w:p>
    <w:p>
      <w:pPr>
        <w:pStyle w:val="1016"/>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pStyle w:val="1016"/>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hint="eastAsia" w:ascii="汉仪书宋二S" w:hAnsi="汉仪书宋二S" w:eastAsia="汉仪书宋二S" w:cs="汉仪书宋二S"/>
          <w:color w:val="000000" w:themeColor="text1"/>
          <w:sz w:val="21"/>
          <w:highlight w:val="none"/>
          <w14:textFill>
            <w14:solidFill>
              <w14:schemeClr w14:val="tx1"/>
            </w14:solidFill>
          </w14:textFill>
        </w:rPr>
        <w:t xml:space="preserve">②</w:t>
      </w:r>
      <w:r>
        <w:rPr>
          <w:rFonts w:hint="eastAsia" w:ascii="宋体" w:hAnsi="宋体" w:eastAsia="宋体" w:cs="宋体"/>
          <w:color w:val="000000" w:themeColor="text1"/>
          <w:sz w:val="21"/>
          <w:highlight w:val="none"/>
          <w14:textFill>
            <w14:solidFill>
              <w14:schemeClr w14:val="tx1"/>
            </w14:solidFill>
          </w14:textFill>
        </w:rPr>
        <w:t xml:space="preserve">涉及车辆采购，请填写是否属于新能源汽车：</w:t>
      </w:r>
      <w:r/>
    </w:p>
    <w:p>
      <w:pPr>
        <w:pStyle w:val="1016"/>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数量：</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金额：</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w:t>
      </w:r>
      <w:r/>
    </w:p>
    <w:p>
      <w:pPr>
        <w:pStyle w:val="1016"/>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否</w:t>
      </w:r>
      <w:r/>
    </w:p>
    <w:p>
      <w:pPr>
        <w:pStyle w:val="1016"/>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ascii="宋体" w:hAnsi="宋体" w:eastAsia="宋体" w:cs="宋体"/>
          <w:color w:val="000000" w:themeColor="text1"/>
          <w:sz w:val="21"/>
          <w:highlight w:val="none"/>
          <w14:textFill>
            <w14:solidFill>
              <w14:schemeClr w14:val="tx1"/>
            </w14:solidFill>
          </w14:textFill>
        </w:rPr>
        <w:t xml:space="preserve">4</w:t>
      </w:r>
      <w:r>
        <w:rPr>
          <w:rFonts w:hint="eastAsia" w:ascii="宋体" w:hAnsi="宋体" w:eastAsia="宋体" w:cs="宋体"/>
          <w:color w:val="000000" w:themeColor="text1"/>
          <w:sz w:val="21"/>
          <w:highlight w:val="none"/>
          <w14:textFill>
            <w14:solidFill>
              <w14:schemeClr w14:val="tx1"/>
            </w14:solidFill>
          </w14:textFill>
        </w:rPr>
        <w:t xml:space="preserve">）政府采购组织形式：</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政府集中采购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部门集中采购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分散采购</w:t>
      </w:r>
      <w:r/>
    </w:p>
    <w:p>
      <w:pPr>
        <w:pStyle w:val="1016"/>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w:t>
      </w:r>
      <w:r>
        <w:rPr>
          <w:rFonts w:ascii="宋体" w:hAnsi="宋体" w:eastAsia="宋体" w:cs="宋体"/>
          <w:color w:val="000000" w:themeColor="text1"/>
          <w:sz w:val="21"/>
          <w:highlight w:val="none"/>
          <w14:textFill>
            <w14:solidFill>
              <w14:schemeClr w14:val="tx1"/>
            </w14:solidFill>
          </w14:textFill>
        </w:rPr>
        <w:t xml:space="preserve">5</w:t>
      </w:r>
      <w:r>
        <w:rPr>
          <w:rFonts w:hint="eastAsia" w:ascii="宋体" w:hAnsi="宋体" w:eastAsia="宋体" w:cs="宋体"/>
          <w:color w:val="000000" w:themeColor="text1"/>
          <w:sz w:val="21"/>
          <w:highlight w:val="none"/>
          <w14:textFill>
            <w14:solidFill>
              <w14:schemeClr w14:val="tx1"/>
            </w14:solidFill>
          </w14:textFill>
        </w:rPr>
        <w:t xml:space="preserve">）政府采购方式：</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公开招标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邀请招标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竞争性谈判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竞争性磋商</w:t>
      </w:r>
      <w:r/>
    </w:p>
    <w:p>
      <w:pPr>
        <w:pStyle w:val="1016"/>
        <w:ind w:firstLine="420"/>
        <w:rPr>
          <w:rFonts w:ascii="宋体" w:hAnsi="宋体" w:eastAsia="宋体" w:cs="宋体"/>
          <w:color w:val="000000" w:themeColor="text1"/>
          <w:sz w:val="2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询价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单一来源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框架协议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其他：</w:t>
      </w:r>
      <w:r>
        <w:rPr>
          <w:rFonts w:hint="eastAsia" w:ascii="宋体" w:hAnsi="宋体" w:eastAsia="宋体" w:cs="宋体"/>
          <w:color w:val="000000" w:themeColor="text1"/>
          <w:sz w:val="21"/>
          <w:highlight w:val="none"/>
          <w:u w:val="single"/>
          <w14:textFill>
            <w14:solidFill>
              <w14:schemeClr w14:val="tx1"/>
            </w14:solidFill>
          </w14:textFill>
        </w:rPr>
        <w:t xml:space="preserve">          </w:t>
      </w:r>
      <w:r/>
    </w:p>
    <w:p>
      <w:pPr>
        <w:pStyle w:val="1016"/>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（注：在框架协议采购的第二阶段，可选择使用该合同文本）</w:t>
      </w:r>
      <w:r/>
    </w:p>
    <w:p>
      <w:pPr>
        <w:pStyle w:val="1016"/>
        <w:ind w:firstLine="220"/>
        <w:rPr>
          <w:rFonts w:ascii="宋体" w:hAnsi="宋体" w:eastAsia="宋体" w:cs="Times New Roman"/>
          <w:color w:val="000000" w:themeColor="text1"/>
          <w:sz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6</w:t>
      </w:r>
      <w:r>
        <w:rPr>
          <w:rFonts w:hint="eastAsia" w:ascii="宋体" w:hAnsi="宋体"/>
          <w:color w:val="000000" w:themeColor="text1"/>
          <w:highlight w:val="none"/>
          <w14:textFill>
            <w14:solidFill>
              <w14:schemeClr w14:val="tx1"/>
            </w14:solidFill>
          </w14:textFill>
        </w:rPr>
        <w:t xml:space="preserve">）</w:t>
      </w:r>
      <w:r>
        <w:rPr>
          <w:rFonts w:hint="eastAsia" w:ascii="宋体" w:hAnsi="宋体" w:eastAsia="宋体" w:cs="Times New Roman"/>
          <w:color w:val="000000" w:themeColor="text1"/>
          <w:sz w:val="21"/>
          <w:highlight w:val="none"/>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Times New Roman"/>
          <w:color w:val="000000" w:themeColor="text1"/>
          <w:sz w:val="21"/>
          <w:highlight w:val="none"/>
          <w14:textFill>
            <w14:solidFill>
              <w14:schemeClr w14:val="tx1"/>
            </w14:solidFill>
          </w14:textFill>
        </w:rPr>
        <w:t xml:space="preserve">是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Times New Roman"/>
          <w:color w:val="000000" w:themeColor="text1"/>
          <w:sz w:val="21"/>
          <w:highlight w:val="none"/>
          <w14:textFill>
            <w14:solidFill>
              <w14:schemeClr w14:val="tx1"/>
            </w14:solidFill>
          </w14:textFill>
        </w:rPr>
        <w:t xml:space="preserve">否</w:t>
      </w:r>
      <w:r/>
    </w:p>
    <w:p>
      <w:pPr>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spacing w:line="400" w:lineRule="exact"/>
        <w:rPr>
          <w:rFonts w:ascii="宋体" w:hAnsi="宋体"/>
          <w:iCs/>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spacing w:line="400" w:lineRule="exact"/>
        <w:rPr>
          <w:rFonts w:ascii="宋体" w:hAnsi="宋体"/>
          <w:iCs/>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）合同是否分包：</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ind w:firstLine="840"/>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分包主要内容：</w:t>
      </w:r>
      <w:r>
        <w:rPr>
          <w:rFonts w:hint="eastAsia" w:ascii="宋体" w:hAnsi="宋体"/>
          <w:color w:val="000000" w:themeColor="text1"/>
          <w:szCs w:val="21"/>
          <w:highlight w:val="none"/>
          <w:u w:val="single"/>
          <w14:textFill>
            <w14:solidFill>
              <w14:schemeClr w14:val="tx1"/>
            </w14:solidFill>
          </w14:textFill>
        </w:rPr>
        <w:t xml:space="preserve">                                            </w:t>
      </w:r>
      <w:r/>
    </w:p>
    <w:p>
      <w:pPr>
        <w:ind w:firstLine="84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分包供应商/制造商名称（如供应商和制造商不同，请分别填写）：</w:t>
      </w:r>
      <w:r/>
    </w:p>
    <w:p>
      <w:pPr>
        <w:ind w:firstLine="840"/>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p>
    <w:p>
      <w:pPr>
        <w:ind w:firstLine="84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分包供应商/制造商类型（如果供应商和制造商不同，只填写制造商类型）：</w:t>
      </w:r>
      <w:r/>
    </w:p>
    <w:p>
      <w:pPr>
        <w:ind w:firstLine="840"/>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大型企业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中型企业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小微型企业  </w:t>
      </w:r>
      <w:r/>
    </w:p>
    <w:p>
      <w:pPr>
        <w:ind w:firstLine="840"/>
        <w:spacing w:line="400" w:lineRule="exact"/>
        <w:rPr>
          <w:rFonts w:eastAsia="华文楷体"/>
          <w:color w:val="000000" w:themeColor="text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残疾人福利性单位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监狱企业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其他</w:t>
      </w:r>
      <w:r/>
    </w:p>
    <w:p>
      <w:pPr>
        <w:spacing w:line="400" w:lineRule="exact"/>
        <w:rPr>
          <w:rFonts w:ascii="宋体" w:hAnsi="宋体" w:cs="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否</w:t>
      </w:r>
      <w:r/>
    </w:p>
    <w:p>
      <w:pPr>
        <w:pStyle w:val="1016"/>
        <w:ind w:firstLine="420"/>
        <w:tabs>
          <w:tab w:val="left" w:pos="1340" w:leader="none"/>
        </w:tabs>
        <w:rPr>
          <w:rFonts w:ascii="宋体" w:hAnsi="宋体" w:eastAsia="宋体" w:cs="宋体"/>
          <w:color w:val="000000" w:themeColor="text1"/>
          <w:sz w:val="21"/>
          <w:highlight w:val="none"/>
          <w:u w:val="singl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外商投资企业类型：</w:t>
      </w:r>
      <w:r>
        <w:rPr>
          <w:rFonts w:ascii="Wingdings" w:hAnsi="Wingdings" w:eastAsia="Wingdings" w:cs="Wingdings"/>
          <w:iC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全部由外国投资者投资  </w:t>
      </w:r>
      <w:r>
        <w:rPr>
          <w:rFonts w:ascii="Wingdings" w:hAnsi="Wingdings" w:eastAsia="Wingdings" w:cs="Wingdings"/>
          <w:iCs/>
          <w:color w:val="000000" w:themeColor="text1"/>
          <w:sz w:val="21"/>
          <w:highlight w:val="none"/>
          <w14:textFill>
            <w14:solidFill>
              <w14:schemeClr w14:val="tx1"/>
            </w14:solidFill>
          </w14:textFill>
        </w:rPr>
        <w:t xml:space="preserve">¨</w:t>
      </w:r>
      <w:r>
        <w:rPr>
          <w:rFonts w:hint="eastAsia" w:ascii="宋体" w:hAnsi="宋体" w:eastAsia="宋体" w:cs="宋体"/>
          <w:iCs/>
          <w:color w:val="000000" w:themeColor="text1"/>
          <w:sz w:val="21"/>
          <w:highlight w:val="none"/>
          <w14:textFill>
            <w14:solidFill>
              <w14:schemeClr w14:val="tx1"/>
            </w14:solidFill>
          </w14:textFill>
        </w:rPr>
        <w:t xml:space="preserve">部分由外国投资者投资</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）是否涉及进口产品：</w:t>
      </w:r>
      <w:r/>
    </w:p>
    <w:p>
      <w:pPr>
        <w:ind w:firstLine="840"/>
        <w:spacing w:line="40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是，《政府采购品目分类目录》底级品目名称：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金额：</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84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国别：</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规格型号：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ind w:firstLine="84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p>
    <w:p>
      <w:pPr>
        <w:spacing w:line="400" w:lineRule="exact"/>
        <w:tabs>
          <w:tab w:val="left" w:pos="74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）是否涉及节能产品：</w:t>
      </w:r>
      <w:r/>
    </w:p>
    <w:p>
      <w:pPr>
        <w:spacing w:line="400" w:lineRule="exact"/>
        <w:tabs>
          <w:tab w:val="left" w:pos="740" w:leader="none"/>
        </w:tabs>
        <w:rPr>
          <w:rFonts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是，《节能产品政府采购品目清单》的底级品目名称：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t xml:space="preserve">     </w:t>
      </w:r>
      <w:r/>
    </w:p>
    <w:p>
      <w:pPr>
        <w:spacing w:line="400" w:lineRule="exact"/>
        <w:tabs>
          <w:tab w:val="left" w:pos="740" w:leader="none"/>
        </w:tabs>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宋体" w:hAnsi="宋体"/>
          <w:iCs/>
          <w:color w:val="000000" w:themeColor="text1"/>
          <w:szCs w:val="21"/>
          <w:highlight w:val="non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p>
    <w:p>
      <w:pPr>
        <w:spacing w:line="400" w:lineRule="exact"/>
        <w:tabs>
          <w:tab w:val="left" w:pos="740" w:leader="none"/>
        </w:tabs>
        <w:rPr>
          <w:rFonts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p>
    <w:p>
      <w:pPr>
        <w:spacing w:line="400" w:lineRule="exact"/>
        <w:tabs>
          <w:tab w:val="left" w:pos="74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是否涉及环境标志产品：</w:t>
      </w:r>
      <w:r/>
    </w:p>
    <w:p>
      <w:pPr>
        <w:spacing w:line="400" w:lineRule="exact"/>
        <w:tabs>
          <w:tab w:val="left" w:pos="74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是，《环境标志产品政府采购品目清单》的底级品目名称：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t xml:space="preserve"> </w:t>
      </w:r>
      <w:r/>
    </w:p>
    <w:p>
      <w:pPr>
        <w:spacing w:line="400" w:lineRule="exact"/>
        <w:tabs>
          <w:tab w:val="left" w:pos="740" w:leader="none"/>
        </w:tabs>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p>
    <w:p>
      <w:pPr>
        <w:spacing w:line="400" w:lineRule="exact"/>
        <w:tabs>
          <w:tab w:val="left" w:pos="740" w:leader="none"/>
        </w:tabs>
        <w:rPr>
          <w:rFonts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p>
    <w:p>
      <w:pPr>
        <w:pStyle w:val="1016"/>
        <w:ind w:firstLine="0"/>
        <w:rPr>
          <w:rFonts w:ascii="宋体" w:hAnsi="宋体" w:eastAsia="宋体" w:cs="Times New Roman"/>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          </w:t>
      </w:r>
      <w:r>
        <w:rPr>
          <w:rFonts w:hint="eastAsia" w:ascii="宋体" w:hAnsi="宋体" w:eastAsia="宋体" w:cs="Times New Roman"/>
          <w:color w:val="000000" w:themeColor="text1"/>
          <w:sz w:val="21"/>
          <w:highlight w:val="none"/>
          <w14:textFill>
            <w14:solidFill>
              <w14:schemeClr w14:val="tx1"/>
            </w14:solidFill>
          </w14:textFill>
        </w:rPr>
        <w:t xml:space="preserve">是否涉及绿色产品： </w:t>
      </w:r>
      <w:r/>
    </w:p>
    <w:p>
      <w:pPr>
        <w:pStyle w:val="1016"/>
        <w:ind w:firstLine="420"/>
        <w:rPr>
          <w:rFonts w:ascii="宋体" w:hAnsi="宋体" w:eastAsia="宋体"/>
          <w:color w:val="000000" w:themeColor="text1"/>
          <w:highlight w:val="none"/>
          <w:u w:val="single"/>
          <w14:textFill>
            <w14:solidFill>
              <w14:schemeClr w14:val="tx1"/>
            </w14:solidFill>
          </w14:textFill>
        </w:rPr>
      </w:pPr>
      <w:r>
        <w:rPr>
          <w:rFonts w:hint="eastAsia" w:ascii="宋体" w:hAnsi="宋体" w:eastAsia="宋体" w:cs="Times New Roman"/>
          <w:color w:val="000000" w:themeColor="text1"/>
          <w:sz w:val="2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Times New Roman"/>
          <w:color w:val="000000" w:themeColor="text1"/>
          <w:sz w:val="21"/>
          <w:highlight w:val="none"/>
          <w14:textFill>
            <w14:solidFill>
              <w14:schemeClr w14:val="tx1"/>
            </w14:solidFill>
          </w14:textFill>
        </w:rPr>
        <w:t xml:space="preserve">是，绿色产品政府采购相关政策确定的底级品目名称：</w:t>
      </w:r>
      <w:r>
        <w:rPr>
          <w:rFonts w:hint="eastAsia" w:ascii="宋体" w:hAnsi="宋体" w:eastAsia="宋体"/>
          <w:color w:val="000000" w:themeColor="text1"/>
          <w:highlight w:val="none"/>
          <w:u w:val="single"/>
          <w14:textFill>
            <w14:solidFill>
              <w14:schemeClr w14:val="tx1"/>
            </w14:solidFill>
          </w14:textFill>
        </w:rPr>
        <w:t xml:space="preserve">         </w:t>
      </w:r>
      <w:r/>
    </w:p>
    <w:p>
      <w:pPr>
        <w:spacing w:line="400" w:lineRule="exact"/>
        <w:tabs>
          <w:tab w:val="left" w:pos="740" w:leader="none"/>
        </w:tabs>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p>
    <w:p>
      <w:pPr>
        <w:pStyle w:val="1016"/>
        <w:ind w:firstLine="420"/>
        <w:rPr>
          <w:rFonts w:ascii="宋体" w:hAnsi="宋体"/>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Times New Roman"/>
          <w:color w:val="000000" w:themeColor="text1"/>
          <w:sz w:val="21"/>
          <w:highlight w:val="none"/>
          <w14:textFill>
            <w14:solidFill>
              <w14:schemeClr w14:val="tx1"/>
            </w14:solidFill>
          </w14:textFill>
        </w:rPr>
        <w:t xml:space="preserve">否</w:t>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不涉及</w:t>
      </w:r>
      <w:r/>
    </w:p>
    <w:p>
      <w:pPr>
        <w:numPr>
          <w:ilvl w:val="0"/>
          <w:numId w:val="6"/>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合同金额</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（1）合同金额小写：</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大写：</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分包金额（如有）小写：</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大写：</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（注：固定单价合同应填写单价和最高限价）</w:t>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（2）合同定价方式（采用组合定价方式的，可以勾选多项）：</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固定总价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固定单价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固定费率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成本补偿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绩效激励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u w:val="single"/>
          <w14:textFill>
            <w14:solidFill>
              <w14:schemeClr w14:val="tx1"/>
            </w14:solidFill>
          </w14:textFill>
        </w:rPr>
        <w:t xml:space="preserve">       </w:t>
      </w:r>
      <w:r/>
    </w:p>
    <w:p>
      <w:pPr>
        <w:pStyle w:val="983"/>
        <w:ind w:left="0" w:firstLine="420"/>
        <w:spacing w:line="400" w:lineRule="exact"/>
        <w:rPr>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（3）付款方式（按项目实际勾选填写）：</w:t>
      </w:r>
      <w:r/>
    </w:p>
    <w:p>
      <w:pPr>
        <w:ind w:firstLine="630"/>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全额付款：</w:t>
      </w:r>
      <w:r>
        <w:rPr>
          <w:rFonts w:hint="eastAsia" w:ascii="宋体" w:hAnsi="宋体"/>
          <w:color w:val="000000" w:themeColor="text1"/>
          <w:szCs w:val="21"/>
          <w:highlight w:val="none"/>
          <w:u w:val="single"/>
          <w14:textFill>
            <w14:solidFill>
              <w14:schemeClr w14:val="tx1"/>
            </w14:solidFill>
          </w14:textFill>
        </w:rPr>
        <w:t xml:space="preserve">  （应明确一次性支付合同款项的条件）                    </w:t>
      </w:r>
      <w:r/>
    </w:p>
    <w:p>
      <w:pPr>
        <w:ind w:firstLine="630"/>
        <w:spacing w:line="400" w:lineRule="exact"/>
        <w:rPr>
          <w:color w:val="000000" w:themeColor="text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分期付款：</w:t>
      </w:r>
      <w:r>
        <w:rPr>
          <w:rFonts w:hint="eastAsia" w:ascii="宋体" w:hAnsi="宋体"/>
          <w:color w:val="000000" w:themeColor="text1"/>
          <w:szCs w:val="21"/>
          <w:highlight w:val="none"/>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hAnsi="宋体"/>
          <w:color w:val="000000" w:themeColor="text1"/>
          <w:szCs w:val="21"/>
          <w:highlight w:val="none"/>
          <w14:textFill>
            <w14:solidFill>
              <w14:schemeClr w14:val="tx1"/>
            </w14:solidFill>
          </w14:textFill>
        </w:rPr>
        <w:t xml:space="preserve">，其中涉及预付款的：</w:t>
      </w:r>
      <w:r>
        <w:rPr>
          <w:rFonts w:hint="eastAsia" w:ascii="宋体" w:hAnsi="宋体"/>
          <w:color w:val="000000" w:themeColor="text1"/>
          <w:szCs w:val="21"/>
          <w:highlight w:val="none"/>
          <w:u w:val="single"/>
          <w14:textFill>
            <w14:solidFill>
              <w14:schemeClr w14:val="tx1"/>
            </w14:solidFill>
          </w14:textFill>
        </w:rPr>
        <w:t xml:space="preserve"> （应明确预付款的支付比例和支付条件） </w:t>
      </w:r>
      <w:r/>
    </w:p>
    <w:p>
      <w:pPr>
        <w:ind w:firstLine="630"/>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成本补偿：</w:t>
      </w:r>
      <w:r>
        <w:rPr>
          <w:rFonts w:hint="eastAsia" w:ascii="宋体" w:hAnsi="宋体"/>
          <w:color w:val="000000" w:themeColor="text1"/>
          <w:szCs w:val="21"/>
          <w:highlight w:val="none"/>
          <w:u w:val="single"/>
          <w14:textFill>
            <w14:solidFill>
              <w14:schemeClr w14:val="tx1"/>
            </w14:solidFill>
          </w14:textFill>
        </w:rPr>
        <w:t xml:space="preserve">      （应明确按照成本补偿方式的支付方式和支付条件）   </w:t>
      </w:r>
      <w:r/>
    </w:p>
    <w:p>
      <w:pPr>
        <w:ind w:firstLine="630"/>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绩效激励：</w:t>
      </w:r>
      <w:r>
        <w:rPr>
          <w:rFonts w:hint="eastAsia" w:ascii="宋体" w:hAnsi="宋体"/>
          <w:color w:val="000000" w:themeColor="text1"/>
          <w:szCs w:val="21"/>
          <w:highlight w:val="none"/>
          <w:u w:val="single"/>
          <w14:textFill>
            <w14:solidFill>
              <w14:schemeClr w14:val="tx1"/>
            </w14:solidFill>
          </w14:textFill>
        </w:rPr>
        <w:t xml:space="preserve">      （应明确按照绩效激励方式的支付方式和支付条件）   </w:t>
      </w:r>
      <w:r/>
    </w:p>
    <w:p>
      <w:pPr>
        <w:numPr>
          <w:ilvl w:val="0"/>
          <w:numId w:val="6"/>
        </w:numPr>
        <w:ind w:firstLine="420"/>
        <w:spacing w:line="400" w:lineRule="exact"/>
        <w:rPr>
          <w:rFonts w:ascii="宋体" w:hAnsi="宋体"/>
          <w:b/>
          <w:color w:val="000000" w:themeColor="text1"/>
          <w:szCs w:val="21"/>
          <w:highlight w:val="none"/>
          <w:u w:val="singl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合同履行</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（1）起始日期：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日，完成日期：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w:t>
      </w:r>
      <w:r/>
    </w:p>
    <w:p>
      <w:pPr>
        <w:ind w:firstLine="420"/>
        <w:spacing w:line="40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（2）履约地点</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（3）履约担保：</w:t>
      </w:r>
      <w:r>
        <w:rPr>
          <w:rFonts w:hint="eastAsia" w:ascii="宋体" w:hAnsi="宋体" w:cs="宋体"/>
          <w:color w:val="000000" w:themeColor="text1"/>
          <w:highlight w:val="none"/>
          <w14:textFill>
            <w14:solidFill>
              <w14:schemeClr w14:val="tx1"/>
            </w14:solidFill>
          </w14:textFill>
        </w:rPr>
        <w:t xml:space="preserve">是否收取履约保证金：</w:t>
      </w:r>
      <w:r>
        <w:rPr>
          <w:rFonts w:ascii="Wingdings" w:hAnsi="Wingdings" w:eastAsia="Wingdings" w:cs="Wingdings"/>
          <w:color w:val="000000" w:themeColor="text1"/>
          <w:szCs w:val="21"/>
          <w:highlight w:val="none"/>
          <w14:textFill>
            <w14:solidFill>
              <w14:schemeClr w14:val="tx1"/>
            </w14:solidFill>
          </w14:textFill>
        </w:rPr>
        <w:t xml:space="preserve">þ</w:t>
      </w:r>
      <w:r>
        <w:rPr>
          <w:rFonts w:hint="eastAsia" w:ascii="宋体" w:hAnsi="宋体" w:cs="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p>
    <w:p>
      <w:pPr>
        <w:pStyle w:val="1016"/>
        <w:rPr>
          <w:rFonts w:ascii="宋体" w:hAnsi="宋体" w:eastAsia="宋体" w:cs="宋体"/>
          <w:color w:val="000000" w:themeColor="text1"/>
          <w:sz w:val="2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收取履约保证金形式：</w:t>
      </w:r>
      <w:r>
        <w:rPr>
          <w:rFonts w:hint="eastAsia" w:ascii="宋体" w:hAnsi="宋体" w:eastAsia="宋体" w:cs="宋体"/>
          <w:bCs/>
          <w:color w:val="000000" w:themeColor="text1"/>
          <w:sz w:val="21"/>
          <w:highlight w:val="none"/>
          <w:u w:val="single"/>
          <w14:textFill>
            <w14:solidFill>
              <w14:schemeClr w14:val="tx1"/>
            </w14:solidFill>
          </w14:textFill>
        </w:rPr>
        <w:t xml:space="preserve">                            </w:t>
      </w:r>
      <w:r/>
    </w:p>
    <w:p>
      <w:pPr>
        <w:pStyle w:val="1016"/>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收取履约保证金金额：</w:t>
      </w:r>
      <w:r>
        <w:rPr>
          <w:rFonts w:hint="eastAsia" w:ascii="宋体" w:hAnsi="宋体" w:eastAsia="宋体" w:cs="宋体"/>
          <w:bCs/>
          <w:color w:val="000000" w:themeColor="text1"/>
          <w:sz w:val="21"/>
          <w:highlight w:val="none"/>
          <w:u w:val="single"/>
          <w14:textFill>
            <w14:solidFill>
              <w14:schemeClr w14:val="tx1"/>
            </w14:solidFill>
          </w14:textFill>
        </w:rPr>
        <w:t xml:space="preserve">                            </w:t>
      </w:r>
      <w:r/>
    </w:p>
    <w:p>
      <w:pPr>
        <w:ind w:firstLine="420"/>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履约担保期限：</w:t>
      </w:r>
      <w:r>
        <w:rPr>
          <w:rFonts w:hint="eastAsia" w:ascii="宋体" w:hAnsi="宋体" w:cs="宋体"/>
          <w:bCs/>
          <w:color w:val="000000" w:themeColor="text1"/>
          <w:szCs w:val="21"/>
          <w:highlight w:val="none"/>
          <w:u w:val="single"/>
          <w14:textFill>
            <w14:solidFill>
              <w14:schemeClr w14:val="tx1"/>
            </w14:solidFill>
          </w14:textFill>
        </w:rPr>
        <w:t xml:space="preserve">                                  </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（4）分期履行要求：</w:t>
      </w:r>
      <w:r>
        <w:rPr>
          <w:rFonts w:hint="eastAsia" w:ascii="宋体" w:hAnsi="宋体" w:cs="宋体"/>
          <w:bCs/>
          <w:color w:val="000000" w:themeColor="text1"/>
          <w:szCs w:val="21"/>
          <w:highlight w:val="none"/>
          <w:u w:val="single"/>
          <w14:textFill>
            <w14:solidFill>
              <w14:schemeClr w14:val="tx1"/>
            </w14:solidFill>
          </w14:textFill>
        </w:rPr>
        <w:t xml:space="preserve">                                                        </w:t>
      </w:r>
      <w:r/>
    </w:p>
    <w:p>
      <w:pPr>
        <w:ind w:firstLine="420"/>
        <w:spacing w:line="40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（5）风险处置措施和替代方案：</w:t>
      </w:r>
      <w:r>
        <w:rPr>
          <w:rFonts w:hint="eastAsia" w:ascii="宋体" w:hAnsi="宋体" w:cs="宋体"/>
          <w:color w:val="000000" w:themeColor="text1"/>
          <w:szCs w:val="21"/>
          <w:highlight w:val="none"/>
          <w:u w:val="single"/>
          <w14:textFill>
            <w14:solidFill>
              <w14:schemeClr w14:val="tx1"/>
            </w14:solidFill>
          </w14:textFill>
        </w:rPr>
        <w:t xml:space="preserve">                                                </w:t>
      </w:r>
      <w:r/>
    </w:p>
    <w:p>
      <w:pPr>
        <w:numPr>
          <w:ilvl w:val="0"/>
          <w:numId w:val="6"/>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合同验收</w:t>
      </w:r>
      <w:r/>
    </w:p>
    <w:p>
      <w:pPr>
        <w:numPr>
          <w:ilvl w:val="0"/>
          <w:numId w:val="8"/>
        </w:numPr>
        <w:ind w:firstLine="42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验收组织方式：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自行组织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委托第三方组织</w:t>
      </w: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验收主体：</w:t>
      </w:r>
      <w:r>
        <w:rPr>
          <w:rFonts w:hint="eastAsia" w:ascii="宋体" w:hAnsi="宋体"/>
          <w:bCs/>
          <w:color w:val="000000" w:themeColor="text1"/>
          <w:szCs w:val="21"/>
          <w:highlight w:val="none"/>
          <w:u w:val="single"/>
          <w14:textFill>
            <w14:solidFill>
              <w14:schemeClr w14:val="tx1"/>
            </w14:solidFill>
          </w14:textFill>
        </w:rPr>
        <w:t xml:space="preserve">                  </w:t>
      </w: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是否邀请本项目的其他供应商参加验收：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525"/>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是否邀请专家参加验收：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525"/>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是否邀请服务对象参加验收：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525"/>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是否邀请第三方检测机构参加验收：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525"/>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是否进行抽查检测：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是，抽查比例：</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525"/>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是否存在破坏性检测：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w:t>
      </w:r>
      <w:r>
        <w:rPr>
          <w:rFonts w:hint="eastAsia" w:ascii="宋体" w:hAnsi="宋体"/>
          <w:bCs/>
          <w:color w:val="000000" w:themeColor="text1"/>
          <w:szCs w:val="21"/>
          <w:highlight w:val="none"/>
          <w:u w:val="single"/>
          <w14:textFill>
            <w14:solidFill>
              <w14:schemeClr w14:val="tx1"/>
            </w14:solidFill>
          </w14:textFill>
        </w:rPr>
        <w:t xml:space="preserve">（应明确对被破坏的检测产品的处理方式）</w:t>
      </w:r>
      <w:r/>
    </w:p>
    <w:p>
      <w:pPr>
        <w:ind w:firstLine="525"/>
        <w:spacing w:line="400" w:lineRule="exact"/>
        <w:rPr>
          <w:rFonts w:ascii="宋体" w:hAnsi="宋体"/>
          <w:bCs/>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525"/>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验收组织的其他事项：</w:t>
      </w:r>
      <w:r>
        <w:rPr>
          <w:rFonts w:hint="eastAsia" w:ascii="宋体" w:hAnsi="宋体"/>
          <w:bCs/>
          <w:color w:val="000000" w:themeColor="text1"/>
          <w:szCs w:val="21"/>
          <w:highlight w:val="none"/>
          <w:u w:val="single"/>
          <w14:textFill>
            <w14:solidFill>
              <w14:schemeClr w14:val="tx1"/>
            </w14:solidFill>
          </w14:textFill>
        </w:rPr>
        <w:t xml:space="preserve">                </w:t>
      </w:r>
      <w:r/>
    </w:p>
    <w:p>
      <w:pPr>
        <w:ind w:firstLine="420"/>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（2）履约验收时间：</w:t>
      </w:r>
      <w:r>
        <w:rPr>
          <w:rFonts w:hint="eastAsia" w:ascii="宋体" w:hAnsi="宋体"/>
          <w:bCs/>
          <w:color w:val="000000" w:themeColor="text1"/>
          <w:szCs w:val="21"/>
          <w:highlight w:val="none"/>
          <w:u w:val="single"/>
          <w14:textFill>
            <w14:solidFill>
              <w14:schemeClr w14:val="tx1"/>
            </w14:solidFill>
          </w14:textFill>
        </w:rPr>
        <w:t xml:space="preserve">（计划于何时验收/供应商提出验收申请之日起   日内组织验收） </w:t>
      </w:r>
      <w:r/>
    </w:p>
    <w:p>
      <w:pPr>
        <w:ind w:firstLine="42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（3）履约验收方式：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一次性验收         </w:t>
      </w: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分期/分项验收：</w:t>
      </w:r>
      <w:r>
        <w:rPr>
          <w:rFonts w:hint="eastAsia" w:ascii="宋体" w:hAnsi="宋体"/>
          <w:bCs/>
          <w:color w:val="000000" w:themeColor="text1"/>
          <w:szCs w:val="21"/>
          <w:highlight w:val="none"/>
          <w:u w:val="single"/>
          <w14:textFill>
            <w14:solidFill>
              <w14:schemeClr w14:val="tx1"/>
            </w14:solidFill>
          </w14:textFill>
        </w:rPr>
        <w:t xml:space="preserve"> （应明确分期</w:t>
      </w:r>
      <w:r>
        <w:rPr>
          <w:rFonts w:ascii="宋体" w:hAnsi="宋体"/>
          <w:bCs/>
          <w:color w:val="000000" w:themeColor="text1"/>
          <w:szCs w:val="21"/>
          <w:highlight w:val="none"/>
          <w:u w:val="single"/>
          <w14:textFill>
            <w14:solidFill>
              <w14:schemeClr w14:val="tx1"/>
            </w14:solidFill>
          </w14:textFill>
        </w:rPr>
        <w:t xml:space="preserve">/</w:t>
      </w:r>
      <w:r>
        <w:rPr>
          <w:rFonts w:hint="eastAsia" w:ascii="宋体" w:hAnsi="宋体"/>
          <w:bCs/>
          <w:color w:val="000000" w:themeColor="text1"/>
          <w:szCs w:val="21"/>
          <w:highlight w:val="none"/>
          <w:u w:val="single"/>
          <w14:textFill>
            <w14:solidFill>
              <w14:schemeClr w14:val="tx1"/>
            </w14:solidFill>
          </w14:textFill>
        </w:rPr>
        <w:t xml:space="preserve">分项验收的工作安排）  </w:t>
      </w:r>
      <w:r/>
    </w:p>
    <w:p>
      <w:pPr>
        <w:ind w:firstLine="42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（4）履约验收程序：</w:t>
      </w:r>
      <w:r>
        <w:rPr>
          <w:rFonts w:hint="eastAsia" w:ascii="宋体" w:hAnsi="宋体"/>
          <w:bCs/>
          <w:color w:val="000000" w:themeColor="text1"/>
          <w:szCs w:val="21"/>
          <w:highlight w:val="none"/>
          <w:u w:val="single"/>
          <w14:textFill>
            <w14:solidFill>
              <w14:schemeClr w14:val="tx1"/>
            </w14:solidFill>
          </w14:textFill>
        </w:rPr>
        <w:t xml:space="preserve">                                         </w:t>
      </w:r>
      <w:r/>
    </w:p>
    <w:p>
      <w:pPr>
        <w:ind w:firstLine="420"/>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（5）履约验收的内容：</w:t>
      </w:r>
      <w:r>
        <w:rPr>
          <w:rFonts w:hint="eastAsia" w:ascii="宋体" w:hAnsi="宋体"/>
          <w:bCs/>
          <w:color w:val="000000" w:themeColor="text1"/>
          <w:szCs w:val="21"/>
          <w:highlight w:val="none"/>
          <w:u w:val="single"/>
          <w14:textFill>
            <w14:solidFill>
              <w14:schemeClr w14:val="tx1"/>
            </w14:solidFill>
          </w14:textFill>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（6）履约验收标准：</w:t>
      </w:r>
      <w:r>
        <w:rPr>
          <w:rFonts w:hint="eastAsia" w:ascii="宋体" w:hAnsi="宋体"/>
          <w:bCs/>
          <w:color w:val="000000" w:themeColor="text1"/>
          <w:szCs w:val="21"/>
          <w:highlight w:val="none"/>
          <w:u w:val="single"/>
          <w14:textFill>
            <w14:solidFill>
              <w14:schemeClr w14:val="tx1"/>
            </w14:solidFill>
          </w14:textFill>
        </w:rPr>
        <w:t xml:space="preserve">                                         </w:t>
      </w:r>
      <w:r/>
    </w:p>
    <w:p>
      <w:pPr>
        <w:pStyle w:val="1016"/>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 w:val="21"/>
          <w:highlight w:val="none"/>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bCs/>
          <w:color w:val="000000" w:themeColor="text1"/>
          <w:sz w:val="21"/>
          <w:highlight w:val="none"/>
          <w14:textFill>
            <w14:solidFill>
              <w14:schemeClr w14:val="tx1"/>
            </w14:solidFill>
          </w14:textFill>
        </w:rPr>
        <w:t xml:space="preserve">是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bCs/>
          <w:color w:val="000000" w:themeColor="text1"/>
          <w:sz w:val="21"/>
          <w:highlight w:val="none"/>
          <w14:textFill>
            <w14:solidFill>
              <w14:schemeClr w14:val="tx1"/>
            </w14:solidFill>
          </w14:textFill>
        </w:rPr>
        <w:t xml:space="preserve">否</w:t>
      </w:r>
      <w:r/>
    </w:p>
    <w:p>
      <w:pPr>
        <w:ind w:firstLine="420"/>
        <w:spacing w:line="400" w:lineRule="exact"/>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（8）履约验收其他事项：</w:t>
      </w:r>
      <w:r>
        <w:rPr>
          <w:rFonts w:hint="eastAsia" w:ascii="宋体" w:hAnsi="宋体" w:cs="宋体"/>
          <w:bCs/>
          <w:color w:val="000000" w:themeColor="text1"/>
          <w:szCs w:val="21"/>
          <w:highlight w:val="none"/>
          <w:u w:val="single"/>
          <w14:textFill>
            <w14:solidFill>
              <w14:schemeClr w14:val="tx1"/>
            </w14:solidFill>
          </w14:textFill>
        </w:rPr>
        <w:t xml:space="preserve">      （产权过户登记等）          </w:t>
      </w:r>
      <w:r/>
    </w:p>
    <w:p>
      <w:pPr>
        <w:numPr>
          <w:ilvl w:val="0"/>
          <w:numId w:val="6"/>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组成合同的文件</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本协议书与下列文件一起构成合同文件，如下述文件之间有任何抵触、矛盾或歧义，应按以下顺序解释：</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（1）政府采购合同协议书及其变更、补充协议</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（2）政府采购合同专用条款</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（3）政府采购合同通用条款</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（4）中标（成交）通知书</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（5）投标（响应）文件</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（6）采购文件</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（7）有关技术文件，图纸</w:t>
      </w:r>
      <w:r/>
    </w:p>
    <w:p>
      <w:pPr>
        <w:pStyle w:val="1016"/>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（8）国家法律、行政法规和规章制度规定或合同约定的作为合同组成部分的其他文件</w:t>
      </w:r>
      <w:r/>
    </w:p>
    <w:p>
      <w:pPr>
        <w:numPr>
          <w:ilvl w:val="0"/>
          <w:numId w:val="6"/>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合同生效</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本合同自</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生效。</w:t>
      </w:r>
      <w:r/>
    </w:p>
    <w:p>
      <w:pPr>
        <w:numPr>
          <w:ilvl w:val="0"/>
          <w:numId w:val="6"/>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合同份数</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份，甲方执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份，乙方执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份，均具有同等法律效力。</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合同订立时间：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合同订立地点：</w:t>
      </w:r>
      <w:r>
        <w:rPr>
          <w:rFonts w:hint="eastAsia" w:ascii="宋体" w:hAnsi="宋体"/>
          <w:color w:val="000000" w:themeColor="text1"/>
          <w:szCs w:val="21"/>
          <w:highlight w:val="none"/>
          <w:u w:val="single"/>
          <w14:textFill>
            <w14:solidFill>
              <w14:schemeClr w14:val="tx1"/>
            </w14:solidFill>
          </w14:textFill>
        </w:rPr>
        <w:t xml:space="preserve">                           </w:t>
      </w:r>
      <w:r/>
    </w:p>
    <w:p>
      <w:pPr>
        <w:ind w:firstLine="42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附件：具体标的及其技术要求和商务要求、联合协议、分包意向协议等</w:t>
      </w:r>
      <w:r>
        <w:rPr>
          <w:color w:val="000000" w:themeColor="text1"/>
          <w:highlight w:val="none"/>
          <w14:textFill>
            <w14:solidFill>
              <w14:schemeClr w14:val="tx1"/>
            </w14:solidFill>
          </w14:textFill>
        </w:rPr>
        <w:t xml:space="preserve">   </w:t>
      </w:r>
      <w:r/>
    </w:p>
    <w:p>
      <w:pPr>
        <w:pStyle w:val="98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05"/>
        <w:tblW w:w="8398" w:type="dxa"/>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25"/>
        <w:gridCol w:w="3177"/>
        <w:gridCol w:w="1178"/>
        <w:gridCol w:w="2918"/>
      </w:tblGrid>
      <w:tr>
        <w:trPr>
          <w:trHeight w:val="490"/>
        </w:trPr>
        <w:tc>
          <w:tcPr>
            <w:gridSpan w:val="2"/>
            <w:tcW w:w="4302"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2"/>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甲方</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（采购人</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、受采购人委托签订合同的单位或</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采购文件约定的合同甲方）</w:t>
            </w:r>
            <w:r/>
          </w:p>
        </w:tc>
        <w:tc>
          <w:tcPr>
            <w:gridSpan w:val="2"/>
            <w:tcW w:w="4096"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2"/>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乙方</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（供应商）</w:t>
            </w:r>
            <w:r/>
          </w:p>
        </w:tc>
      </w:tr>
      <w:tr>
        <w:trPr>
          <w:trHeight w:val="917"/>
        </w:trPr>
        <w:tc>
          <w:tcPr>
            <w:tcW w:w="1125"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单位名称</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（公章或合同章）</w:t>
            </w:r>
            <w:r/>
          </w:p>
        </w:tc>
        <w:tc>
          <w:tcPr>
            <w:tcW w:w="3177"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单位名称</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（公章或合同章）</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r>
            <w:r/>
          </w:p>
        </w:tc>
      </w:tr>
      <w:tr>
        <w:trPr>
          <w:trHeight w:val="1171"/>
        </w:trPr>
        <w:tc>
          <w:tcPr>
            <w:tcW w:w="1125" w:type="dxa"/>
            <w:vAlign w:val="center"/>
            <w:vMerge w:val="restart"/>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法定代表人</w:t>
            </w:r>
            <w:r/>
          </w:p>
          <w:p>
            <w:pPr>
              <w:ind w:firstLine="100"/>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或其</w:t>
            </w: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委托代理人</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（签章）</w:t>
            </w:r>
            <w:r/>
          </w:p>
        </w:tc>
        <w:tc>
          <w:tcPr>
            <w:tcW w:w="3177" w:type="dxa"/>
            <w:vAlign w:val="center"/>
            <w:vMerge w:val="restart"/>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法定代表人</w:t>
            </w:r>
            <w:r/>
          </w:p>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或其</w:t>
            </w: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委托代理人</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（签章）</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r>
      <w:tr>
        <w:trPr>
          <w:trHeight w:val="483"/>
        </w:trPr>
        <w:tc>
          <w:tcPr>
            <w:tcW w:w="1125" w:type="dxa"/>
            <w:vAlign w:val="center"/>
            <w:vMerge w:val="continue"/>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3177" w:type="dxa"/>
            <w:vAlign w:val="center"/>
            <w:vMerge w:val="continue"/>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拥有者性别</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r>
            <w:r/>
          </w:p>
        </w:tc>
      </w:tr>
      <w:tr>
        <w:trPr>
          <w:trHeight w:val="483"/>
        </w:trPr>
        <w:tc>
          <w:tcPr>
            <w:tcW w:w="1125"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住  所</w:t>
            </w:r>
            <w:r/>
          </w:p>
        </w:tc>
        <w:tc>
          <w:tcPr>
            <w:tcW w:w="3177"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住  所</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r>
            <w:r/>
          </w:p>
        </w:tc>
      </w:tr>
      <w:tr>
        <w:trPr>
          <w:trHeight w:val="483"/>
        </w:trPr>
        <w:tc>
          <w:tcPr>
            <w:tcW w:w="1125"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 系 人</w:t>
            </w:r>
            <w:r/>
          </w:p>
        </w:tc>
        <w:tc>
          <w:tcPr>
            <w:tcW w:w="3177"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 系 人</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r>
            <w:r/>
          </w:p>
        </w:tc>
      </w:tr>
      <w:tr>
        <w:trPr>
          <w:trHeight w:val="483"/>
        </w:trPr>
        <w:tc>
          <w:tcPr>
            <w:tcW w:w="1125"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联系电话</w:t>
            </w:r>
            <w:r/>
          </w:p>
        </w:tc>
        <w:tc>
          <w:tcPr>
            <w:tcW w:w="3177"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联系电话</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r>
            <w:r/>
          </w:p>
        </w:tc>
      </w:tr>
      <w:tr>
        <w:trPr>
          <w:trHeight w:val="483"/>
        </w:trPr>
        <w:tc>
          <w:tcPr>
            <w:tcW w:w="1125"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通信地址</w:t>
            </w:r>
            <w:r/>
          </w:p>
        </w:tc>
        <w:tc>
          <w:tcPr>
            <w:tcW w:w="3177"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通信地址</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r>
            <w:r/>
          </w:p>
        </w:tc>
      </w:tr>
      <w:tr>
        <w:trPr>
          <w:trHeight w:val="483"/>
        </w:trPr>
        <w:tc>
          <w:tcPr>
            <w:tcW w:w="1125"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邮政编码</w:t>
            </w:r>
            <w:r/>
          </w:p>
        </w:tc>
        <w:tc>
          <w:tcPr>
            <w:tcW w:w="3177"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邮政编码</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r>
            <w:r/>
          </w:p>
        </w:tc>
      </w:tr>
      <w:tr>
        <w:trPr>
          <w:trHeight w:val="483"/>
        </w:trPr>
        <w:tc>
          <w:tcPr>
            <w:tcW w:w="1125"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电子邮箱</w:t>
            </w:r>
            <w:r/>
          </w:p>
        </w:tc>
        <w:tc>
          <w:tcPr>
            <w:tcW w:w="3177"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电子邮箱</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r>
            <w:r/>
          </w:p>
        </w:tc>
      </w:tr>
      <w:tr>
        <w:trPr>
          <w:trHeight w:val="483"/>
        </w:trPr>
        <w:tc>
          <w:tcPr>
            <w:tcW w:w="1125"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统一社会信用代码</w:t>
            </w:r>
            <w:r/>
          </w:p>
        </w:tc>
        <w:tc>
          <w:tcPr>
            <w:tcW w:w="3177"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统一社会信用代码</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r>
            <w:r/>
          </w:p>
        </w:tc>
      </w:tr>
      <w:tr>
        <w:trPr>
          <w:trHeight w:val="483"/>
        </w:trPr>
        <w:tc>
          <w:tcPr>
            <w:tcW w:w="1125"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3177"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开户名称</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r>
            <w:r/>
          </w:p>
        </w:tc>
      </w:tr>
      <w:tr>
        <w:trPr>
          <w:trHeight w:val="483"/>
        </w:trPr>
        <w:tc>
          <w:tcPr>
            <w:tcW w:w="1125"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3177"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开户银行</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r>
            <w:r/>
          </w:p>
        </w:tc>
      </w:tr>
      <w:tr>
        <w:trPr>
          <w:trHeight w:val="483"/>
        </w:trPr>
        <w:tc>
          <w:tcPr>
            <w:tcW w:w="1125"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3177"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银行账号</w:t>
            </w:r>
            <w:r/>
          </w:p>
        </w:tc>
        <w:tc>
          <w:tcPr>
            <w:tcW w:w="291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r>
            <w:r/>
          </w:p>
        </w:tc>
      </w:tr>
      <w:tr>
        <w:trPr>
          <w:trHeight w:val="586"/>
        </w:trPr>
        <w:tc>
          <w:tcPr>
            <w:gridSpan w:val="4"/>
            <w:tcW w:w="8398" w:type="dxa"/>
            <w:vAlign w:val="center"/>
            <w:textDirection w:val="lrTb"/>
            <w:noWrap w:val="false"/>
          </w:tcPr>
          <w:p>
            <w:pPr>
              <w:pStyle w:val="939"/>
              <w:ind w:left="0"/>
              <w:jc w:val="left"/>
              <w:spacing w:before="156" w:after="0" w:line="360" w:lineRule="auto"/>
              <w:widowControl w:val="off"/>
              <w:rPr>
                <w:rFonts w:ascii="Times New Roman" w:hAnsi="Times New Roman" w:eastAsia="宋体" w:cs="Times New Roman"/>
                <w:color w:val="000000" w:themeColor="text1"/>
                <w:spacing w:val="20"/>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注：涉及联合体或其他合同主体的信息应按上表格式加列。</w:t>
            </w:r>
            <w:r/>
          </w:p>
        </w:tc>
      </w:tr>
    </w:tbl>
    <w:p>
      <w:pPr>
        <w:pStyle w:val="909"/>
        <w:spacing w:before="156"/>
        <w:rPr>
          <w:rFonts w:ascii="黑体" w:hAnsi="黑体" w:eastAsia="黑体"/>
          <w:color w:val="000000" w:themeColor="text1"/>
          <w:sz w:val="28"/>
          <w:szCs w:val="28"/>
          <w:highlight w:val="none"/>
          <w14:textFill>
            <w14:solidFill>
              <w14:schemeClr w14:val="tx1"/>
            </w14:solidFill>
          </w14:textFill>
        </w:rPr>
      </w:pPr>
      <w:r>
        <w:rPr>
          <w:rFonts w:ascii="宋体" w:hAnsi="宋体"/>
          <w:color w:val="000000" w:themeColor="text1"/>
          <w:sz w:val="21"/>
          <w:szCs w:val="21"/>
          <w:highlight w:val="none"/>
          <w:u w:val="single"/>
          <w14:textFill>
            <w14:solidFill>
              <w14:schemeClr w14:val="tx1"/>
            </w14:solidFill>
          </w14:textFill>
        </w:rPr>
        <w:br w:type="page" w:clear="all"/>
      </w:r>
      <w:r>
        <w:rPr>
          <w:rFonts w:hint="eastAsia" w:ascii="黑体" w:hAnsi="黑体" w:eastAsia="黑体"/>
          <w:b w:val="0"/>
          <w:bCs w:val="0"/>
          <w:color w:val="000000" w:themeColor="text1"/>
          <w:sz w:val="28"/>
          <w:szCs w:val="28"/>
          <w:highlight w:val="none"/>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 </w:t>
      </w:r>
      <w:r>
        <w:rPr>
          <w:rFonts w:hint="eastAsia" w:ascii="宋体" w:hAnsi="宋体"/>
          <w:b/>
          <w:bCs/>
          <w:color w:val="000000" w:themeColor="text1"/>
          <w:sz w:val="24"/>
          <w:highlight w:val="none"/>
          <w14:textFill>
            <w14:solidFill>
              <w14:schemeClr w14:val="tx1"/>
            </w14:solidFill>
          </w14:textFill>
        </w:rPr>
        <w:t xml:space="preserve">定义</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1.2本合同下列术语应解释为：</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color w:val="000000" w:themeColor="text1"/>
          <w:szCs w:val="21"/>
          <w:highlight w:val="none"/>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（3）“货物”系指乙方根据本合同规定须向甲方提供的各种形态和种类的物品，包括原材料、设备、产品（包括软件）及相关的备品备件、工具、手册及</w:t>
      </w:r>
      <w:r>
        <w:rPr>
          <w:rFonts w:ascii="宋体" w:hAnsi="宋体"/>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（4）“相关服务”系指根据合同规定，乙方应提供的与货物有关的技术、管理和</w:t>
      </w:r>
      <w:r>
        <w:rPr>
          <w:rFonts w:ascii="宋体" w:hAnsi="宋体"/>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9"/>
        </w:num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 履行合同的时间、地点和方式</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color w:val="000000" w:themeColor="text1"/>
          <w:szCs w:val="21"/>
          <w:highlight w:val="none"/>
          <w14:textFill>
            <w14:solidFill>
              <w14:schemeClr w14:val="tx1"/>
            </w14:solidFill>
          </w14:textFill>
        </w:rPr>
        <w:t xml:space="preserve">乙方应当在约定的时间、地点，按照约定方式履行合同。</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 甲方的权利和义务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color w:val="000000" w:themeColor="text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 </w:t>
      </w:r>
      <w:r>
        <w:rPr>
          <w:rFonts w:hint="eastAsia" w:ascii="宋体" w:hAnsi="宋体"/>
          <w:color w:val="000000" w:themeColor="text1"/>
          <w:szCs w:val="21"/>
          <w:highlight w:val="none"/>
          <w14:textFill>
            <w14:solidFill>
              <w14:schemeClr w14:val="tx1"/>
            </w14:solidFill>
          </w14:textFill>
        </w:rPr>
        <w:t xml:space="preserve">甲方应当根据合同约定及时向乙方支付合同价款</w:t>
      </w:r>
      <w:r>
        <w:rPr>
          <w:rFonts w:ascii="宋体" w:hAnsi="宋体"/>
          <w:color w:val="000000" w:themeColor="text1"/>
          <w:szCs w:val="21"/>
          <w:highlight w:val="none"/>
          <w14:textFill>
            <w14:solidFill>
              <w14:schemeClr w14:val="tx1"/>
            </w14:solidFill>
          </w14:textFill>
        </w:rPr>
        <w:t xml:space="preserve">，不得以内部人员变更、履行内部付款流程等为由，拒绝或迟延支付。</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5. 乙方的权利和义务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提供的货物及相关服务符合合同有关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highlight w:val="none"/>
          <w14:textFill>
            <w14:solidFill>
              <w14:schemeClr w14:val="tx1"/>
            </w14:solidFill>
          </w14:textFill>
        </w:rPr>
        <w:t xml:space="preserve">负责项目实施过程中的所有协调工作。</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乙方有权根据合同约定向甲方收取合同价款。</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国家法律法规规定及</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约定应由乙方承担的其他义务和责任。</w:t>
      </w:r>
      <w:r/>
    </w:p>
    <w:p>
      <w:pPr>
        <w:numPr>
          <w:ilvl w:val="0"/>
          <w:numId w:val="10"/>
        </w:num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合同履行</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7. 货物包装、运输、保险和交付要求</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themeColor="text1"/>
          <w:szCs w:val="21"/>
          <w:highlight w:val="none"/>
          <w14:textFill>
            <w14:solidFill>
              <w14:schemeClr w14:val="tx1"/>
            </w14:solidFill>
          </w14:textFill>
        </w:rPr>
        <w:t xml:space="preserve">乙方在运输到达之前应提前通知甲方，并提示货物运输装卸的注意事项，甲方配合乙方做好货物的接收工作。</w:t>
      </w:r>
      <w:r/>
    </w:p>
    <w:p>
      <w:pPr>
        <w:pStyle w:val="1016"/>
        <w:ind w:firstLine="420"/>
        <w:rPr>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highlight w:val="none"/>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8. 质量标准和保证</w:t>
      </w:r>
      <w:r/>
    </w:p>
    <w:p>
      <w:pPr>
        <w:pStyle w:val="941"/>
        <w:ind w:firstLine="420"/>
        <w:jc w:val="left"/>
        <w:spacing w:line="400" w:lineRule="exact"/>
        <w:rPr>
          <w:rFonts w:hAnsi="宋体"/>
          <w:b/>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8.1 质量标准</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（1）本合同下提供的货物应符合合同</w:t>
      </w:r>
      <w:r>
        <w:rPr>
          <w:rFonts w:hint="eastAsia" w:ascii="宋体" w:hAnsi="宋体" w:cs="宋体"/>
          <w:color w:val="000000" w:themeColor="text1"/>
          <w:szCs w:val="21"/>
          <w:highlight w:val="none"/>
          <w14:textFill>
            <w14:solidFill>
              <w14:schemeClr w14:val="tx1"/>
            </w14:solidFill>
          </w14:textFill>
        </w:rPr>
        <w:t xml:space="preserve">约定的品牌、规格型号、技术性能、配置、质量、数量等要求。</w:t>
      </w:r>
      <w:r>
        <w:rPr>
          <w:rFonts w:hint="eastAsia" w:ascii="宋体" w:hAnsi="宋体"/>
          <w:color w:val="000000" w:themeColor="text1"/>
          <w:szCs w:val="21"/>
          <w:highlight w:val="none"/>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41"/>
        <w:ind w:firstLine="420"/>
        <w:jc w:val="left"/>
        <w:spacing w:line="400" w:lineRule="exact"/>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（2）采用中华人民共和国法定计量单位。</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（3）乙方所提供的货物应符合国家有关安全、环保、卫生的规定。</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8.2 保证</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highlight w:val="none"/>
          <w14:textFill>
            <w14:solidFill>
              <w14:schemeClr w14:val="tx1"/>
            </w14:solidFill>
          </w14:textFill>
        </w:rPr>
        <w:t xml:space="preserve">在其使用寿命期内具备合同约定的性能</w:t>
      </w:r>
      <w:r>
        <w:rPr>
          <w:rFonts w:hint="eastAsia" w:ascii="宋体" w:hAnsi="宋体"/>
          <w:color w:val="000000" w:themeColor="text1"/>
          <w:szCs w:val="21"/>
          <w:highlight w:val="none"/>
          <w14:textFill>
            <w14:solidFill>
              <w14:schemeClr w14:val="tx1"/>
            </w14:solidFill>
          </w14:textFill>
        </w:rPr>
        <w:t xml:space="preserve">。存在质量保证期的，货物最终交付验收合格后在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规定或乙方书面承诺（两者以较长的为准）的质量保证期内，本保证保持有效。</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（2）在质量保证期内所发现的缺陷，甲方应尽快以书面形式通知乙方。</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（3）乙方收到通知后，应在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规定的响应时间内以合理的速度免费维修或更换有缺陷的货物或部件。</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9. 权利瑕疵担保</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color w:val="000000" w:themeColor="text1"/>
          <w:szCs w:val="15"/>
          <w:highlight w:val="none"/>
          <w14:textFill>
            <w14:solidFill>
              <w14:schemeClr w14:val="tx1"/>
            </w14:solidFill>
          </w14:textFill>
        </w:rPr>
        <w:t xml:space="preserve">乙方保证在交付的货物上不存在抵押权等担保物权。</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10. 知识产权保护</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乙方对其所销售的货物应当享有知识产权或经权利人合法授权，保证没有侵犯任何第三人的知识产权等权利。</w:t>
      </w:r>
      <w:r>
        <w:rPr>
          <w:rFonts w:hint="eastAsia" w:ascii="宋体" w:hAnsi="宋体" w:cs="宋体"/>
          <w:color w:val="000000" w:themeColor="text1"/>
          <w:szCs w:val="15"/>
          <w:highlight w:val="none"/>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themeColor="text1"/>
          <w:szCs w:val="21"/>
          <w:highlight w:val="none"/>
          <w14:textFill>
            <w14:solidFill>
              <w14:schemeClr w14:val="tx1"/>
            </w14:solidFill>
          </w14:textFill>
        </w:rPr>
        <w:t xml:space="preserve">。</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11. 保密义务</w:t>
      </w:r>
      <w:r/>
    </w:p>
    <w:p>
      <w:pPr>
        <w:ind w:firstLine="420"/>
        <w:jc w:val="left"/>
        <w:spacing w:line="400" w:lineRule="exact"/>
        <w:rPr>
          <w:rFonts w:ascii="宋体" w:hAnsi="宋体" w:cs="宋体"/>
          <w:color w:val="000000" w:themeColor="text1"/>
          <w:szCs w:val="15"/>
          <w:highlight w:val="none"/>
          <w14:textFill>
            <w14:solidFill>
              <w14:schemeClr w14:val="tx1"/>
            </w14:solidFill>
          </w14:textFill>
        </w:rPr>
      </w:pPr>
      <w:r>
        <w:rPr>
          <w:rFonts w:hint="eastAsia" w:ascii="宋体" w:hAnsi="宋体" w:cs="宋体"/>
          <w:color w:val="000000" w:themeColor="text1"/>
          <w:szCs w:val="15"/>
          <w:highlight w:val="none"/>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中约定。</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12. 合同价款支付</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12.1 合同价款支付按照国库集中支付制度及财政管理相关规定执行。</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】中约定。</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13. 履约保证金</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 </w:t>
      </w:r>
      <w:r>
        <w:rPr>
          <w:rFonts w:hint="eastAsia" w:ascii="宋体" w:hAnsi="宋体" w:cs="宋体"/>
          <w:color w:val="000000" w:themeColor="text1"/>
          <w:szCs w:val="15"/>
          <w:highlight w:val="none"/>
          <w14:textFill>
            <w14:solidFill>
              <w14:schemeClr w14:val="tx1"/>
            </w14:solidFill>
          </w14:textFill>
        </w:rPr>
        <w:t xml:space="preserve">乙方应当以支票、汇票、本票或者金融机构、担保机构出具的保函等非现金形式提交。</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13.2 如果乙方出现</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约定情形的</w:t>
      </w:r>
      <w:r>
        <w:rPr>
          <w:rFonts w:hint="eastAsia" w:ascii="宋体" w:hAnsi="宋体"/>
          <w:color w:val="000000" w:themeColor="text1"/>
          <w:szCs w:val="21"/>
          <w:highlight w:val="none"/>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13.3 甲方在项目通过验收后按照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规定支付。</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14. </w:t>
      </w:r>
      <w:r>
        <w:rPr>
          <w:rFonts w:hint="eastAsia"/>
          <w:b/>
          <w:color w:val="000000" w:themeColor="text1"/>
          <w:sz w:val="24"/>
          <w:highlight w:val="none"/>
          <w14:textFill>
            <w14:solidFill>
              <w14:schemeClr w14:val="tx1"/>
            </w14:solidFill>
          </w14:textFill>
        </w:rPr>
        <w:t xml:space="preserve">售后</w:t>
      </w:r>
      <w:r>
        <w:rPr>
          <w:rFonts w:hint="eastAsia" w:ascii="宋体" w:hAnsi="宋体"/>
          <w:b/>
          <w:color w:val="000000" w:themeColor="text1"/>
          <w:sz w:val="24"/>
          <w:highlight w:val="none"/>
          <w14:textFill>
            <w14:solidFill>
              <w14:schemeClr w14:val="tx1"/>
            </w14:solidFill>
          </w14:textFill>
        </w:rPr>
        <w:t xml:space="preserve">服务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（1）货物的现场移动、安装、调试、启动监督及技术支持；</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（2）提供货物组装和维修所需的专用工具和辅助材料；</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cs="宋体"/>
          <w:color w:val="000000" w:themeColor="text1"/>
          <w:szCs w:val="15"/>
          <w:highlight w:val="none"/>
          <w14:textFill>
            <w14:solidFill>
              <w14:schemeClr w14:val="tx1"/>
            </w14:solidFill>
          </w14:textFill>
        </w:rPr>
        <w:t xml:space="preserve">；</w:t>
      </w:r>
      <w:r/>
    </w:p>
    <w:p>
      <w:pPr>
        <w:pStyle w:val="1016"/>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规定由乙方提供的其他服务。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14.2 乙方提供的售后服务的费用已包含在合同价款中，甲方不再另行支付。</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15. 违约责任</w:t>
      </w:r>
      <w:r/>
    </w:p>
    <w:p>
      <w:pPr>
        <w:ind w:firstLine="420"/>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15.1质量瑕疵的违约责任</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乙方提供的产品不符合合同约定的质量标准或存在产品质量缺陷，甲方有权要求乙方根据</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及时修理、重作、更换，并承担由此给甲方造成的损失。</w:t>
      </w:r>
      <w:r/>
    </w:p>
    <w:p>
      <w:pPr>
        <w:ind w:firstLine="420"/>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15.2 迟延交货的违约责任</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15.3 迟延支付的违约责任</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甲方存在迟延支付乙方合同款项的，应当承担</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规定的逾期付款利息。</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15.4其他违约责任根据项目实际需要按</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w:t>
      </w:r>
      <w:r/>
    </w:p>
    <w:p>
      <w:pPr>
        <w:numPr>
          <w:ilvl w:val="0"/>
          <w:numId w:val="11"/>
        </w:num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合同变更、中止与终止</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16.1合同的变更</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16.2合同的中止</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16"/>
        <w:ind w:firstLine="420"/>
        <w:jc w:val="both"/>
        <w:rPr>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（4）甲方不得以行政区划调整、政府换届、机构或者职能调整以及相关责任人更替为由中止合同。</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16.3合同的终止</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（1）合同因有效期限届满而终止；</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（2）乙方未按合同约定履行，构成根本性违约的，甲方有权终止合同，</w:t>
      </w:r>
      <w:r>
        <w:rPr>
          <w:rFonts w:hint="eastAsia" w:ascii="宋体" w:hAnsi="宋体" w:cs="宋体"/>
          <w:color w:val="000000" w:themeColor="text1"/>
          <w:szCs w:val="21"/>
          <w:highlight w:val="none"/>
          <w14:textFill>
            <w14:solidFill>
              <w14:schemeClr w14:val="tx1"/>
            </w14:solidFill>
          </w14:textFill>
        </w:rPr>
        <w:t xml:space="preserve">并追究乙方的违约责任</w:t>
      </w:r>
      <w:r>
        <w:rPr>
          <w:rFonts w:hint="eastAsia" w:ascii="宋体" w:hAnsi="宋体"/>
          <w:color w:val="000000" w:themeColor="text1"/>
          <w:szCs w:val="21"/>
          <w:highlight w:val="none"/>
          <w14:textFill>
            <w14:solidFill>
              <w14:schemeClr w14:val="tx1"/>
            </w14:solidFill>
          </w14:textFill>
        </w:rPr>
        <w:t xml:space="preserve">。</w:t>
      </w:r>
      <w:r/>
    </w:p>
    <w:p>
      <w:pPr>
        <w:pStyle w:val="1016"/>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16.4 </w:t>
      </w:r>
      <w:r>
        <w:rPr>
          <w:rFonts w:hint="eastAsia" w:ascii="宋体" w:hAnsi="宋体" w:eastAsia="宋体" w:cs="Times New Roman"/>
          <w:color w:val="000000" w:themeColor="text1"/>
          <w:sz w:val="21"/>
          <w:highlight w:val="none"/>
          <w14:textFill>
            <w14:solidFill>
              <w14:schemeClr w14:val="tx1"/>
            </w14:solidFill>
          </w14:textFill>
        </w:rPr>
        <w:t xml:space="preserve">涉及国家利益、社会公共利益的情形</w:t>
      </w:r>
      <w:r/>
    </w:p>
    <w:p>
      <w:pPr>
        <w:pStyle w:val="1016"/>
        <w:ind w:firstLine="420"/>
        <w:jc w:val="both"/>
        <w:rPr>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17. 合同分包</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18. 不可抗力</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18.1 不可抗力是指合同双方不能预见、不能避免且不能克服的客观情况。</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19. 解决争议的方法</w:t>
      </w:r>
      <w:r/>
    </w:p>
    <w:p>
      <w:pPr>
        <w:pStyle w:val="1016"/>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16"/>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19.2 选择仲裁的，应在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016"/>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20. 政府采购政策</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20.1 </w:t>
      </w:r>
      <w:r>
        <w:rPr>
          <w:rFonts w:hint="eastAsia" w:ascii="宋体" w:hAnsi="宋体" w:cs="宋体"/>
          <w:color w:val="000000" w:themeColor="text1"/>
          <w:highlight w:val="none"/>
          <w14:textFill>
            <w14:solidFill>
              <w14:schemeClr w14:val="tx1"/>
            </w14:solidFill>
          </w14:textFill>
        </w:rPr>
        <w:t xml:space="preserve">本合同应当按照规定执行政府采购政策。</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0.2 本合同依法执行政府采购政策的方式和内容，属于合同履约验收的范围。</w:t>
      </w:r>
      <w:r>
        <w:rPr>
          <w:rFonts w:hint="eastAsia" w:ascii="宋体" w:hAnsi="宋体" w:cs="宋体"/>
          <w:color w:val="000000" w:themeColor="text1"/>
          <w:highlight w:val="none"/>
          <w14:textFill>
            <w14:solidFill>
              <w14:schemeClr w14:val="tx1"/>
            </w14:solidFill>
          </w14:textFill>
        </w:rPr>
        <w:t xml:space="preserve">甲乙双方未按规定要求执行政府采购政策造成损失的</w:t>
      </w:r>
      <w:r>
        <w:rPr>
          <w:rFonts w:hint="eastAsia" w:ascii="宋体" w:hAnsi="宋体"/>
          <w:color w:val="000000" w:themeColor="text1"/>
          <w:szCs w:val="21"/>
          <w:highlight w:val="none"/>
          <w14:textFill>
            <w14:solidFill>
              <w14:schemeClr w14:val="tx1"/>
            </w14:solidFill>
          </w14:textFill>
        </w:rPr>
        <w:t xml:space="preserve">，有过错的一方应当承担赔偿责任，双方都有过错的，各自承担相应的责任。</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21. 法律适用</w:t>
      </w:r>
      <w:r/>
    </w:p>
    <w:p>
      <w:pPr>
        <w:pStyle w:val="1016"/>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21.1 本合同的订立、生效、解释、履行及与本合同有关的争议解决，均适用法律、行政法规。</w:t>
      </w:r>
      <w:r/>
    </w:p>
    <w:p>
      <w:pPr>
        <w:pStyle w:val="1016"/>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22. 通知</w:t>
      </w:r>
      <w:r/>
    </w:p>
    <w:p>
      <w:pPr>
        <w:pStyle w:val="1016"/>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016"/>
        <w:ind w:firstLine="0"/>
        <w:jc w:val="both"/>
        <w:rPr>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22.4通知以送达之日或通知书中规定的生效之日起生效，两者中以较迟之日为准。</w:t>
      </w:r>
      <w:r/>
    </w:p>
    <w:p>
      <w:pPr>
        <w:numPr>
          <w:ilvl w:val="0"/>
          <w:numId w:val="12"/>
        </w:num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合同未尽事项</w:t>
      </w:r>
      <w:r/>
    </w:p>
    <w:p>
      <w:pPr>
        <w:ind w:firstLine="420"/>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23.1合同未尽事项见</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w:t>
      </w:r>
      <w:r/>
    </w:p>
    <w:p>
      <w:pPr>
        <w:jc w:val="left"/>
        <w:spacing w:line="400" w:lineRule="exact"/>
        <w:rPr>
          <w:rFonts w:ascii="黑体" w:hAnsi="华文中宋" w:eastAsia="黑体"/>
          <w:color w:val="000000" w:themeColor="text1"/>
          <w:sz w:val="28"/>
          <w:szCs w:val="28"/>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23.2 合同附件与合同正文具有同等的法律效力。</w:t>
      </w:r>
      <w:r/>
    </w:p>
    <w:p>
      <w:pPr>
        <w:jc w:val="center"/>
        <w:rPr>
          <w:rFonts w:ascii="黑体" w:hAnsi="华文中宋" w:eastAsia="黑体"/>
          <w:b/>
          <w:bCs/>
          <w:color w:val="000000" w:themeColor="text1"/>
          <w:sz w:val="28"/>
          <w:szCs w:val="28"/>
          <w:highlight w:val="none"/>
          <w14:textFill>
            <w14:solidFill>
              <w14:schemeClr w14:val="tx1"/>
            </w14:solidFill>
          </w14:textFill>
        </w:rPr>
      </w:pPr>
      <w:r>
        <w:rPr>
          <w:rFonts w:hint="eastAsia" w:ascii="黑体" w:hAnsi="华文中宋" w:eastAsia="黑体"/>
          <w:color w:val="000000" w:themeColor="text1"/>
          <w:sz w:val="28"/>
          <w:szCs w:val="28"/>
          <w:highlight w:val="none"/>
          <w14:textFill>
            <w14:solidFill>
              <w14:schemeClr w14:val="tx1"/>
            </w14:solidFill>
          </w14:textFill>
        </w:rPr>
        <w:br w:type="page" w:clear="all"/>
      </w:r>
      <w:r>
        <w:rPr>
          <w:rFonts w:hint="eastAsia" w:ascii="黑体" w:hAnsi="华文中宋" w:eastAsia="黑体"/>
          <w:b/>
          <w:bCs/>
          <w:color w:val="000000" w:themeColor="text1"/>
          <w:sz w:val="28"/>
          <w:szCs w:val="28"/>
          <w:highlight w:val="none"/>
          <w14:textFill>
            <w14:solidFill>
              <w14:schemeClr w14:val="tx1"/>
            </w14:solidFill>
          </w14:textFill>
        </w:rPr>
        <w:t xml:space="preserve">第三节 政府采购合同专用条款</w:t>
      </w:r>
      <w:r/>
    </w:p>
    <w:tbl>
      <w:tblPr>
        <w:tblStyle w:val="705"/>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第1.2（6）项</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联合体具体要求</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60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第1.2（7）项</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其他术语解释</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第4.4款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第4.6款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约定甲方承担的其他义务和责任</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Times New Roman" w:hAnsi="Times New Roman" w:eastAsia="宋体" w:cs="Times New Roman"/>
                <w:color w:val="000000" w:themeColor="text1"/>
                <w:sz w:val="21"/>
                <w:szCs w:val="22"/>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第5.4款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约定乙方承担的其他义务和责任</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第6.1款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履行合同义务的顺序</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667"/>
        </w:trPr>
        <w:tc>
          <w:tcPr>
            <w:tcW w:w="1607" w:type="dxa"/>
            <w:vAlign w:val="center"/>
            <w:vMerge w:val="restart"/>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第7.1款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包装特殊要求</w:t>
            </w:r>
            <w:r/>
          </w:p>
        </w:tc>
        <w:tc>
          <w:tcPr>
            <w:tcW w:w="5170" w:type="dxa"/>
            <w:vAlign w:val="center"/>
            <w:textDirection w:val="lrTb"/>
            <w:noWrap w:val="false"/>
          </w:tcPr>
          <w:p>
            <w:pPr>
              <w:jc w:val="both"/>
              <w:widowControl w:val="off"/>
              <w:rPr>
                <w:rFonts w:ascii="Times New Roman" w:hAnsi="Times New Roman" w:eastAsia="宋体" w:cs="Times New Roman"/>
                <w:color w:val="000000" w:themeColor="text1"/>
                <w:sz w:val="21"/>
                <w:szCs w:val="22"/>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2"/>
                <w:highlight w:val="none"/>
                <w:lang w:val="en-US" w:eastAsia="zh-CN" w:bidi="ar-SA"/>
                <w14:textFill>
                  <w14:solidFill>
                    <w14:schemeClr w14:val="tx1"/>
                  </w14:solidFill>
                </w14:textFill>
              </w:rPr>
            </w:r>
            <w:r/>
          </w:p>
        </w:tc>
      </w:tr>
      <w:tr>
        <w:trPr>
          <w:trHeight w:val="667"/>
        </w:trPr>
        <w:tc>
          <w:tcPr>
            <w:tcW w:w="1607" w:type="dxa"/>
            <w:vAlign w:val="center"/>
            <w:vMerge w:val="continue"/>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指定现场</w:t>
            </w:r>
            <w:r/>
          </w:p>
        </w:tc>
        <w:tc>
          <w:tcPr>
            <w:tcW w:w="5170" w:type="dxa"/>
            <w:vAlign w:val="center"/>
            <w:textDirection w:val="lrTb"/>
            <w:noWrap w:val="false"/>
          </w:tcPr>
          <w:p>
            <w:pPr>
              <w:jc w:val="both"/>
              <w:widowControl w:val="off"/>
              <w:rPr>
                <w:rFonts w:ascii="Times New Roman" w:hAnsi="Times New Roman" w:eastAsia="宋体" w:cs="Times New Roman"/>
                <w:color w:val="000000" w:themeColor="text1"/>
                <w:sz w:val="21"/>
                <w:szCs w:val="22"/>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2"/>
                <w:highlight w:val="none"/>
                <w:lang w:val="en-US" w:eastAsia="zh-CN" w:bidi="ar-SA"/>
                <w14:textFill>
                  <w14:solidFill>
                    <w14:schemeClr w14:val="tx1"/>
                  </w14:solidFill>
                </w14:textFill>
              </w:rPr>
            </w:r>
            <w:r/>
          </w:p>
        </w:tc>
      </w:tr>
      <w:tr>
        <w:trPr>
          <w:trHeight w:val="772"/>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第7.2款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运输特殊要求</w:t>
            </w:r>
            <w:r/>
          </w:p>
        </w:tc>
        <w:tc>
          <w:tcPr>
            <w:tcW w:w="5170" w:type="dxa"/>
            <w:vAlign w:val="center"/>
            <w:textDirection w:val="lrTb"/>
            <w:noWrap w:val="false"/>
          </w:tcPr>
          <w:p>
            <w:pPr>
              <w:jc w:val="both"/>
              <w:widowControl w:val="off"/>
              <w:rPr>
                <w:rFonts w:ascii="Times New Roman" w:hAnsi="Times New Roman" w:eastAsia="宋体" w:cs="Times New Roman"/>
                <w:color w:val="000000" w:themeColor="text1"/>
                <w:sz w:val="21"/>
                <w:szCs w:val="22"/>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2"/>
                <w:highlight w:val="none"/>
                <w:lang w:val="en-US" w:eastAsia="zh-CN" w:bidi="ar-SA"/>
                <w14:textFill>
                  <w14:solidFill>
                    <w14:schemeClr w14:val="tx1"/>
                  </w14:solidFill>
                </w14:textFill>
              </w:rPr>
            </w:r>
            <w:r/>
          </w:p>
        </w:tc>
      </w:tr>
      <w:tr>
        <w:trPr>
          <w:trHeight w:val="667"/>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第7.3款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保险要求</w:t>
            </w:r>
            <w:r/>
          </w:p>
        </w:tc>
        <w:tc>
          <w:tcPr>
            <w:tcW w:w="5170" w:type="dxa"/>
            <w:vAlign w:val="center"/>
            <w:textDirection w:val="lrTb"/>
            <w:noWrap w:val="false"/>
          </w:tcPr>
          <w:p>
            <w:pPr>
              <w:jc w:val="both"/>
              <w:widowControl w:val="off"/>
              <w:rPr>
                <w:rFonts w:ascii="Times New Roman" w:hAnsi="Times New Roman" w:eastAsia="宋体" w:cs="Times New Roman"/>
                <w:color w:val="000000" w:themeColor="text1"/>
                <w:sz w:val="21"/>
                <w:szCs w:val="22"/>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1"/>
                <w:szCs w:val="22"/>
                <w:highlight w:val="none"/>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第8.2（1）项</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质量保证期</w:t>
            </w:r>
            <w:r/>
          </w:p>
        </w:tc>
        <w:tc>
          <w:tcPr>
            <w:tcW w:w="5170" w:type="dxa"/>
            <w:vAlign w:val="center"/>
            <w:textDirection w:val="lrTb"/>
            <w:noWrap w:val="false"/>
          </w:tcPr>
          <w:p>
            <w:pPr>
              <w:ind w:firstLine="420"/>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第8.2（3）项</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货物质量缺陷</w:t>
            </w:r>
            <w:r/>
          </w:p>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响应时间</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第二节</w:t>
            </w:r>
            <w:r/>
          </w:p>
          <w:p>
            <w:pPr>
              <w:pStyle w:val="1016"/>
              <w:ind w:firstLine="0"/>
              <w:jc w:val="center"/>
              <w:spacing w:line="400" w:lineRule="exact"/>
              <w:rPr>
                <w:rFonts w:ascii="华文楷体" w:hAnsi="华文楷体" w:eastAsia="华文楷体" w:cs="华文楷体"/>
                <w:color w:val="000000" w:themeColor="text1"/>
                <w:sz w:val="22"/>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1"/>
                <w:highlight w:val="none"/>
                <w:lang w:val="en-US" w:eastAsia="zh-CN" w:bidi="ar-SA"/>
                <w14:textFill>
                  <w14:solidFill>
                    <w14:schemeClr w14:val="tx1"/>
                  </w14:solidFill>
                </w14:textFill>
              </w:rPr>
              <w:t xml:space="preserve">第11.1款</w:t>
            </w:r>
            <w:r/>
          </w:p>
        </w:tc>
        <w:tc>
          <w:tcPr>
            <w:tcW w:w="1742" w:type="dxa"/>
            <w:vAlign w:val="center"/>
            <w:textDirection w:val="lrTb"/>
            <w:noWrap w:val="false"/>
          </w:tcPr>
          <w:p>
            <w:pPr>
              <w:jc w:val="both"/>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其他应当保密的信息</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697"/>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第12.2款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合同价款支付时间</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697"/>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第13.2款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履约保证金不予退还的情形</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第13.3款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履约保证金退还时间及逾期退还的违约金</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第14.1（3）项</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运行监督、维修期限</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第14.1（5）项</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货物回收的约定</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第14.1（6）项</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乙方提供的其他服务</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第15.1款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修理、重作、更换相关具体规定</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第15.2（2）项</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迟延交货赔偿费</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u w:val="single"/>
                <w:lang w:val="en-US" w:eastAsia="zh-CN" w:bidi="ar-SA"/>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第15.3款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逾期付款利息</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u w:val="single"/>
                <w:lang w:val="en-US" w:eastAsia="zh-CN" w:bidi="ar-SA"/>
                <w14:textFill>
                  <w14:solidFill>
                    <w14:schemeClr w14:val="tx1"/>
                  </w14:solidFill>
                </w14:textFill>
              </w:rPr>
            </w:r>
            <w:r/>
          </w:p>
        </w:tc>
      </w:tr>
      <w:tr>
        <w:trPr>
          <w:trHeight w:val="87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第15.4款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其他违约责任</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u w:val="single"/>
                <w:lang w:val="en-US" w:eastAsia="zh-CN" w:bidi="ar-SA"/>
                <w14:textFill>
                  <w14:solidFill>
                    <w14:schemeClr w14:val="tx1"/>
                  </w14:solidFill>
                </w14:textFill>
              </w:rPr>
            </w:r>
            <w:r/>
          </w:p>
        </w:tc>
      </w:tr>
      <w:tr>
        <w:trPr>
          <w:trHeight w:val="90"/>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第19.2款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解决争议的方法</w:t>
            </w:r>
            <w:r/>
          </w:p>
        </w:tc>
        <w:tc>
          <w:tcPr>
            <w:tcW w:w="5170" w:type="dxa"/>
            <w:vAlign w:val="center"/>
            <w:textDirection w:val="lrTb"/>
            <w:noWrap w:val="false"/>
          </w:tcPr>
          <w:p>
            <w:pPr>
              <w:jc w:val="left"/>
              <w:spacing w:line="400" w:lineRule="exact"/>
              <w:widowControl w:val="off"/>
              <w:rPr>
                <w:rFonts w:ascii="宋体" w:hAnsi="宋体" w:eastAsia="宋体" w:cs="宋体"/>
                <w:i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ascii="宋体" w:hAnsi="宋体" w:eastAsia="宋体" w:cs="宋体"/>
                <w:i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widowControl w:val="off"/>
              <w:rPr>
                <w:rFonts w:ascii="宋体" w:hAnsi="宋体" w:eastAsia="宋体" w:cs="Times New Roman"/>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第23.1款</w:t>
            </w:r>
            <w:r/>
          </w:p>
        </w:tc>
        <w:tc>
          <w:tcPr>
            <w:tcW w:w="1742"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1"/>
                <w:szCs w:val="21"/>
                <w:highlight w:val="none"/>
                <w:lang w:val="en-US" w:eastAsia="zh-CN" w:bidi="ar-SA"/>
                <w14:textFill>
                  <w14:solidFill>
                    <w14:schemeClr w14:val="tx1"/>
                  </w14:solidFill>
                </w14:textFill>
              </w:rPr>
              <w:t xml:space="preserve">其他专用条款</w:t>
            </w:r>
            <w:r/>
          </w:p>
        </w:tc>
        <w:tc>
          <w:tcPr>
            <w:tcW w:w="5170" w:type="dxa"/>
            <w:vAlign w:val="center"/>
            <w:textDirection w:val="lrTb"/>
            <w:noWrap w:val="false"/>
          </w:tcPr>
          <w:p>
            <w:pPr>
              <w:jc w:val="lef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r>
            <w:r/>
          </w:p>
        </w:tc>
      </w:tr>
    </w:tbl>
    <w:p>
      <w:pPr>
        <w:pStyle w:val="937"/>
        <w:jc w:val="center"/>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r/>
    </w:p>
    <w:p>
      <w:pPr>
        <w:pStyle w:val="937"/>
        <w:jc w:val="center"/>
        <w:rPr>
          <w:rFonts w:hint="eastAsia" w:ascii="宋体" w:hAnsi="宋体" w:cs="宋体"/>
          <w:b/>
          <w:bCs/>
          <w:color w:val="000000" w:themeColor="text1"/>
          <w:spacing w:val="-20"/>
          <w:sz w:val="48"/>
          <w:szCs w:val="48"/>
          <w:highlight w:val="none"/>
          <w14:textFill>
            <w14:solidFill>
              <w14:schemeClr w14:val="tx1"/>
            </w14:solidFill>
          </w14:textFill>
        </w:rPr>
      </w:pPr>
      <w:r>
        <w:rPr>
          <w:rFonts w:hint="eastAsia" w:ascii="宋体" w:hAnsi="宋体" w:cs="宋体"/>
          <w:b/>
          <w:bCs/>
          <w:color w:val="000000" w:themeColor="text1"/>
          <w:spacing w:val="-20"/>
          <w:sz w:val="48"/>
          <w:szCs w:val="48"/>
          <w:highlight w:val="none"/>
          <w14:textFill>
            <w14:solidFill>
              <w14:schemeClr w14:val="tx1"/>
            </w14:solidFill>
          </w14:textFill>
        </w:rPr>
      </w:r>
      <w:r/>
    </w:p>
    <w:p>
      <w:pPr>
        <w:jc w:val="center"/>
        <w:spacing w:before="120" w:after="120" w:line="0" w:lineRule="atLeast"/>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r/>
    </w:p>
    <w:p>
      <w:pPr>
        <w:jc w:val="center"/>
        <w:spacing w:before="120" w:after="120" w:line="0" w:lineRule="atLeast"/>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r/>
    </w:p>
    <w:p>
      <w:pPr>
        <w:jc w:val="center"/>
        <w:spacing w:before="120" w:after="120" w:line="0" w:lineRule="atLeast"/>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r/>
    </w:p>
    <w:p>
      <w:pPr>
        <w:jc w:val="center"/>
        <w:spacing w:before="120" w:after="120" w:line="0" w:lineRule="atLeast"/>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r/>
    </w:p>
    <w:p>
      <w:pPr>
        <w:jc w:val="center"/>
        <w:spacing w:before="120" w:after="120" w:line="0" w:lineRule="atLeast"/>
        <w:rPr>
          <w:rFonts w:hint="eastAsia" w:ascii="黑体" w:hAnsi="Courier New" w:eastAsia="黑体" w:cs="Courier New"/>
          <w:bCs/>
          <w:color w:val="000000" w:themeColor="text1"/>
          <w:sz w:val="44"/>
          <w:szCs w:val="21"/>
          <w:highlight w:val="none"/>
          <w14:textFill>
            <w14:solidFill>
              <w14:schemeClr w14:val="tx1"/>
            </w14:solidFill>
          </w14:textFill>
        </w:rPr>
      </w:pPr>
      <w:r>
        <w:rPr>
          <w:rFonts w:hint="eastAsia" w:ascii="黑体" w:hAnsi="Courier New" w:eastAsia="黑体" w:cs="Courier New"/>
          <w:bCs/>
          <w:color w:val="000000" w:themeColor="text1"/>
          <w:sz w:val="44"/>
          <w:szCs w:val="21"/>
          <w:highlight w:val="none"/>
          <w14:textFill>
            <w14:solidFill>
              <w14:schemeClr w14:val="tx1"/>
            </w14:solidFill>
          </w14:textFill>
        </w:rPr>
      </w:r>
      <w:bookmarkEnd w:id="176"/>
      <w:r/>
    </w:p>
    <w:p>
      <w:pPr>
        <w:jc w:val="center"/>
        <w:spacing w:before="120" w:after="120" w:line="0" w:lineRule="atLeast"/>
        <w:rPr>
          <w:rFonts w:hint="eastAsia" w:ascii="黑体" w:hAnsi="Courier New" w:eastAsia="黑体" w:cs="Courier New"/>
          <w:bCs/>
          <w:color w:val="000000" w:themeColor="text1"/>
          <w:sz w:val="44"/>
          <w:szCs w:val="21"/>
          <w:highlight w:val="none"/>
          <w14:textFill>
            <w14:solidFill>
              <w14:schemeClr w14:val="tx1"/>
            </w14:solidFill>
          </w14:textFill>
        </w:rPr>
      </w:pPr>
      <w:r>
        <w:rPr>
          <w:rFonts w:hint="eastAsia" w:ascii="黑体" w:hAnsi="Courier New" w:eastAsia="黑体" w:cs="Courier New"/>
          <w:bCs/>
          <w:color w:val="000000" w:themeColor="text1"/>
          <w:sz w:val="44"/>
          <w:szCs w:val="21"/>
          <w:highlight w:val="none"/>
          <w14:textFill>
            <w14:solidFill>
              <w14:schemeClr w14:val="tx1"/>
            </w14:solidFill>
          </w14:textFill>
        </w:rPr>
      </w:r>
      <w:r/>
    </w:p>
    <w:p>
      <w:pPr>
        <w:jc w:val="center"/>
        <w:spacing w:before="120" w:after="120" w:line="0" w:lineRule="atLeast"/>
        <w:rPr>
          <w:rFonts w:hint="eastAsia" w:ascii="黑体" w:hAnsi="Courier New" w:eastAsia="黑体" w:cs="Courier New"/>
          <w:bCs/>
          <w:color w:val="000000" w:themeColor="text1"/>
          <w:sz w:val="44"/>
          <w:szCs w:val="21"/>
          <w:highlight w:val="none"/>
          <w14:textFill>
            <w14:solidFill>
              <w14:schemeClr w14:val="tx1"/>
            </w14:solidFill>
          </w14:textFill>
        </w:rPr>
      </w:pPr>
      <w:r>
        <w:rPr>
          <w:rFonts w:hint="eastAsia" w:ascii="黑体" w:hAnsi="Courier New" w:eastAsia="黑体" w:cs="Courier New"/>
          <w:bCs/>
          <w:color w:val="000000" w:themeColor="text1"/>
          <w:sz w:val="44"/>
          <w:szCs w:val="21"/>
          <w:highlight w:val="none"/>
          <w14:textFill>
            <w14:solidFill>
              <w14:schemeClr w14:val="tx1"/>
            </w14:solidFill>
          </w14:textFill>
        </w:rPr>
      </w:r>
      <w:r/>
    </w:p>
    <w:p>
      <w:pPr>
        <w:jc w:val="center"/>
        <w:spacing w:before="120" w:after="120" w:line="0" w:lineRule="atLeast"/>
        <w:rPr>
          <w:rFonts w:hint="eastAsia" w:ascii="黑体" w:hAnsi="Courier New" w:eastAsia="黑体" w:cs="Courier New"/>
          <w:bCs/>
          <w:color w:val="000000" w:themeColor="text1"/>
          <w:sz w:val="44"/>
          <w:szCs w:val="21"/>
          <w:highlight w:val="none"/>
          <w14:textFill>
            <w14:solidFill>
              <w14:schemeClr w14:val="tx1"/>
            </w14:solidFill>
          </w14:textFill>
        </w:rPr>
      </w:pPr>
      <w:r>
        <w:rPr>
          <w:rFonts w:hint="eastAsia" w:ascii="黑体" w:hAnsi="Courier New" w:eastAsia="黑体" w:cs="Courier New"/>
          <w:bCs/>
          <w:color w:val="000000" w:themeColor="text1"/>
          <w:sz w:val="44"/>
          <w:szCs w:val="21"/>
          <w:highlight w:val="none"/>
          <w14:textFill>
            <w14:solidFill>
              <w14:schemeClr w14:val="tx1"/>
            </w14:solidFill>
          </w14:textFill>
        </w:rPr>
      </w:r>
      <w:r/>
    </w:p>
    <w:p>
      <w:pPr>
        <w:numPr>
          <w:ilvl w:val="0"/>
          <w:numId w:val="13"/>
        </w:numPr>
        <w:jc w:val="center"/>
        <w:spacing w:before="120" w:after="120" w:line="0" w:lineRule="atLeast"/>
        <w:rPr>
          <w:rFonts w:hint="eastAsia" w:ascii="黑体" w:hAnsi="Courier New" w:eastAsia="黑体" w:cs="Courier New"/>
          <w:bCs/>
          <w:color w:val="000000" w:themeColor="text1"/>
          <w:sz w:val="44"/>
          <w:szCs w:val="21"/>
          <w:highlight w:val="none"/>
          <w14:textFill>
            <w14:solidFill>
              <w14:schemeClr w14:val="tx1"/>
            </w14:solidFill>
          </w14:textFill>
        </w:rPr>
      </w:pPr>
      <w:r>
        <w:rPr>
          <w:rFonts w:hint="eastAsia" w:ascii="黑体" w:hAnsi="Courier New" w:eastAsia="黑体" w:cs="Courier New"/>
          <w:bCs/>
          <w:color w:val="000000" w:themeColor="text1"/>
          <w:sz w:val="44"/>
          <w:szCs w:val="21"/>
          <w:highlight w:val="none"/>
          <w14:textFill>
            <w14:solidFill>
              <w14:schemeClr w14:val="tx1"/>
            </w14:solidFill>
          </w14:textFill>
        </w:rPr>
        <w:t xml:space="preserve">采购需求</w:t>
      </w:r>
      <w:bookmarkEnd w:id="177"/>
      <w:r/>
      <w:bookmarkEnd w:id="178"/>
      <w:r/>
      <w:bookmarkEnd w:id="179"/>
      <w:r/>
      <w:r/>
    </w:p>
    <w:p>
      <w:pPr>
        <w:numPr>
          <w:ilvl w:val="0"/>
          <w:numId w:val="0"/>
        </w:numPr>
        <w:jc w:val="both"/>
        <w:spacing w:before="120" w:after="120" w:line="0" w:lineRule="atLeast"/>
        <w:rPr>
          <w:rFonts w:hint="default" w:ascii="黑体" w:hAnsi="Courier New" w:eastAsia="黑体" w:cs="Courier New"/>
          <w:bCs/>
          <w:color w:val="000000" w:themeColor="text1"/>
          <w:sz w:val="28"/>
          <w:szCs w:val="28"/>
          <w:highlight w:val="none"/>
          <w:lang w:val="en-US" w:eastAsia="zh-CN"/>
          <w14:textFill>
            <w14:solidFill>
              <w14:schemeClr w14:val="tx1"/>
            </w14:solidFill>
          </w14:textFill>
        </w:rPr>
      </w:pPr>
      <w:r>
        <w:rPr>
          <w:rFonts w:hint="eastAsia" w:ascii="黑体" w:hAnsi="Courier New" w:eastAsia="黑体" w:cs="Courier New"/>
          <w:bCs/>
          <w:color w:val="000000" w:themeColor="text1"/>
          <w:sz w:val="28"/>
          <w:szCs w:val="28"/>
          <w:highlight w:val="none"/>
          <w:lang w:val="en-US" w:eastAsia="zh-CN"/>
          <w14:textFill>
            <w14:solidFill>
              <w14:schemeClr w14:val="tx1"/>
            </w14:solidFill>
          </w14:textFill>
        </w:rPr>
        <w:t xml:space="preserve">采购包1：</w:t>
      </w:r>
      <w:r/>
    </w:p>
    <w:p>
      <w:pPr>
        <w:spacing w:line="360" w:lineRule="auto"/>
        <w:widowControl/>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14:textFill>
            <w14:solidFill>
              <w14:schemeClr w14:val="tx1"/>
            </w14:solidFill>
          </w14:textFill>
        </w:rPr>
        <w:t xml:space="preserve">、基本情况</w:t>
      </w:r>
      <w:r/>
    </w:p>
    <w:p>
      <w:pPr>
        <w:ind w:firstLine="480"/>
        <w:spacing w:line="360" w:lineRule="auto"/>
        <w:widowControl/>
        <w:rPr>
          <w:rFonts w:hint="default" w:ascii="Calibri" w:hAnsi="Calibri"/>
          <w:bCs/>
          <w:color w:val="000000" w:themeColor="text1"/>
          <w:sz w:val="24"/>
          <w:szCs w:val="24"/>
          <w:highlight w:val="none"/>
          <w:lang w:val="en-US" w:bidi="ar-SA"/>
          <w14:textFill>
            <w14:solidFill>
              <w14:schemeClr w14:val="tx1"/>
            </w14:solidFill>
          </w14:textFill>
        </w:rPr>
      </w:pPr>
      <w:r>
        <w:rPr>
          <w:rFonts w:hint="default" w:ascii="Calibri" w:hAnsi="Calibri"/>
          <w:bCs/>
          <w:color w:val="000000" w:themeColor="text1"/>
          <w:sz w:val="24"/>
          <w:szCs w:val="24"/>
          <w:highlight w:val="none"/>
          <w:lang w:val="en-US" w:bidi="ar-SA"/>
          <w14:textFill>
            <w14:solidFill>
              <w14:schemeClr w14:val="tx1"/>
            </w14:solidFill>
          </w14:textFill>
        </w:rPr>
        <w:t xml:space="preserve">1.</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1</w:t>
      </w:r>
      <w:r>
        <w:rPr>
          <w:rFonts w:hint="default" w:ascii="Calibri" w:hAnsi="Calibri"/>
          <w:bCs/>
          <w:color w:val="000000" w:themeColor="text1"/>
          <w:sz w:val="24"/>
          <w:szCs w:val="24"/>
          <w:highlight w:val="none"/>
          <w:lang w:val="en-US" w:bidi="ar-SA"/>
          <w14:textFill>
            <w14:solidFill>
              <w14:schemeClr w14:val="tx1"/>
            </w14:solidFill>
          </w14:textFill>
        </w:rPr>
        <w:t xml:space="preserve"> 预算金额：</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2160.2</w:t>
      </w:r>
      <w:r>
        <w:rPr>
          <w:rFonts w:hint="default" w:ascii="Calibri" w:hAnsi="Calibri"/>
          <w:color w:val="000000" w:themeColor="text1"/>
          <w:sz w:val="24"/>
          <w:szCs w:val="24"/>
          <w:highlight w:val="none"/>
          <w:lang w:val="en-US" w:bidi="ar-SA"/>
          <w14:textFill>
            <w14:solidFill>
              <w14:schemeClr w14:val="tx1"/>
            </w14:solidFill>
          </w14:textFill>
        </w:rPr>
        <w:t xml:space="preserve">万元</w:t>
      </w:r>
      <w:r>
        <w:rPr>
          <w:rFonts w:hint="default" w:ascii="Calibri" w:hAnsi="Calibri"/>
          <w:bCs/>
          <w:color w:val="000000" w:themeColor="text1"/>
          <w:sz w:val="24"/>
          <w:szCs w:val="24"/>
          <w:highlight w:val="none"/>
          <w:lang w:val="en-US" w:bidi="ar-SA"/>
          <w14:textFill>
            <w14:solidFill>
              <w14:schemeClr w14:val="tx1"/>
            </w14:solidFill>
          </w14:textFill>
        </w:rPr>
        <w:t xml:space="preserve">。</w:t>
      </w:r>
      <w:r/>
    </w:p>
    <w:p>
      <w:pPr>
        <w:ind w:firstLine="480"/>
        <w:spacing w:line="360" w:lineRule="auto"/>
        <w:widowControl/>
        <w:rPr>
          <w:rFonts w:hint="default" w:ascii="Calibri" w:hAnsi="Calibri"/>
          <w:bCs/>
          <w:color w:val="000000" w:themeColor="text1"/>
          <w:sz w:val="24"/>
          <w:szCs w:val="24"/>
          <w:highlight w:val="none"/>
          <w:lang w:val="en-US" w:bidi="ar-SA"/>
          <w14:textFill>
            <w14:solidFill>
              <w14:schemeClr w14:val="tx1"/>
            </w14:solidFill>
          </w14:textFill>
        </w:rPr>
      </w:pPr>
      <w:r>
        <w:rPr>
          <w:rFonts w:hint="default" w:ascii="Calibri" w:hAnsi="Calibri"/>
          <w:bCs/>
          <w:color w:val="000000" w:themeColor="text1"/>
          <w:sz w:val="24"/>
          <w:szCs w:val="24"/>
          <w:highlight w:val="none"/>
          <w:lang w:val="en-US" w:bidi="ar-SA"/>
          <w14:textFill>
            <w14:solidFill>
              <w14:schemeClr w14:val="tx1"/>
            </w14:solidFill>
          </w14:textFill>
        </w:rPr>
        <w:t xml:space="preserve">1.</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2</w:t>
      </w:r>
      <w:r>
        <w:rPr>
          <w:rFonts w:hint="default" w:ascii="Calibri" w:hAnsi="Calibri"/>
          <w:bCs/>
          <w:color w:val="000000" w:themeColor="text1"/>
          <w:sz w:val="24"/>
          <w:szCs w:val="24"/>
          <w:highlight w:val="none"/>
          <w:lang w:val="en-US" w:bidi="ar-SA"/>
          <w14:textFill>
            <w14:solidFill>
              <w14:schemeClr w14:val="tx1"/>
            </w14:solidFill>
          </w14:textFill>
        </w:rPr>
        <w:t xml:space="preserve">设定最高限价，最高限价为</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2024.22</w:t>
      </w:r>
      <w:r>
        <w:rPr>
          <w:rFonts w:hint="default" w:ascii="Calibri" w:hAnsi="Calibri"/>
          <w:color w:val="000000" w:themeColor="text1"/>
          <w:sz w:val="24"/>
          <w:szCs w:val="24"/>
          <w:highlight w:val="none"/>
          <w:lang w:val="en-US" w:bidi="ar-SA"/>
          <w14:textFill>
            <w14:solidFill>
              <w14:schemeClr w14:val="tx1"/>
            </w14:solidFill>
          </w14:textFill>
        </w:rPr>
        <w:t xml:space="preserve">万元。</w:t>
      </w:r>
      <w:r/>
    </w:p>
    <w:p>
      <w:pPr>
        <w:ind w:firstLine="480"/>
        <w:spacing w:line="360" w:lineRule="auto"/>
        <w:widowControl/>
        <w:rPr>
          <w:rFonts w:hint="default" w:ascii="Calibri" w:hAnsi="Calibri"/>
          <w:bCs/>
          <w:color w:val="000000" w:themeColor="text1"/>
          <w:sz w:val="24"/>
          <w:szCs w:val="24"/>
          <w:highlight w:val="none"/>
          <w:lang w:val="en-US" w:bidi="ar-SA"/>
          <w14:textFill>
            <w14:solidFill>
              <w14:schemeClr w14:val="tx1"/>
            </w14:solidFill>
          </w14:textFill>
        </w:rPr>
      </w:pPr>
      <w:r>
        <w:rPr>
          <w:rFonts w:hint="default" w:ascii="Calibri" w:hAnsi="Calibri"/>
          <w:bCs/>
          <w:color w:val="000000" w:themeColor="text1"/>
          <w:sz w:val="24"/>
          <w:szCs w:val="24"/>
          <w:highlight w:val="none"/>
          <w:lang w:val="en-US" w:bidi="ar-SA"/>
          <w14:textFill>
            <w14:solidFill>
              <w14:schemeClr w14:val="tx1"/>
            </w14:solidFill>
          </w14:textFill>
        </w:rPr>
        <w:t xml:space="preserve">1.</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3</w:t>
      </w:r>
      <w:r>
        <w:rPr>
          <w:rFonts w:hint="default" w:ascii="Calibri" w:hAnsi="Calibri"/>
          <w:bCs/>
          <w:color w:val="000000" w:themeColor="text1"/>
          <w:sz w:val="24"/>
          <w:szCs w:val="24"/>
          <w:highlight w:val="none"/>
          <w:lang w:val="en-US" w:bidi="ar-SA"/>
          <w14:textFill>
            <w14:solidFill>
              <w14:schemeClr w14:val="tx1"/>
            </w14:solidFill>
          </w14:textFill>
        </w:rPr>
        <w:t xml:space="preserve">采购需求：步梯款家具采购，包括家具制作、运输、装卸、安装、调试及售后三包服务等。</w:t>
      </w:r>
      <w:r/>
    </w:p>
    <w:p>
      <w:pPr>
        <w:ind w:firstLine="480"/>
        <w:spacing w:line="360" w:lineRule="auto"/>
        <w:widowControl/>
        <w:rPr>
          <w:rFonts w:hint="default" w:ascii="Calibri" w:hAnsi="Calibri"/>
          <w:bCs/>
          <w:color w:val="000000" w:themeColor="text1"/>
          <w:sz w:val="24"/>
          <w:szCs w:val="24"/>
          <w:highlight w:val="none"/>
          <w:lang w:val="en-US" w:bidi="ar-SA"/>
          <w14:textFill>
            <w14:solidFill>
              <w14:schemeClr w14:val="tx1"/>
            </w14:solidFill>
          </w14:textFill>
        </w:rPr>
      </w:pPr>
      <w:r>
        <w:rPr>
          <w:rFonts w:hint="default" w:ascii="Calibri" w:hAnsi="Calibri"/>
          <w:bCs/>
          <w:color w:val="000000" w:themeColor="text1"/>
          <w:sz w:val="24"/>
          <w:szCs w:val="24"/>
          <w:highlight w:val="none"/>
          <w:lang w:val="en-US" w:bidi="ar-SA"/>
          <w14:textFill>
            <w14:solidFill>
              <w14:schemeClr w14:val="tx1"/>
            </w14:solidFill>
          </w14:textFill>
        </w:rPr>
        <w:t xml:space="preserve">1.</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4</w:t>
      </w:r>
      <w:r>
        <w:rPr>
          <w:rFonts w:hint="default" w:ascii="Calibri" w:hAnsi="Calibri"/>
          <w:bCs/>
          <w:color w:val="000000" w:themeColor="text1"/>
          <w:sz w:val="24"/>
          <w:szCs w:val="24"/>
          <w:highlight w:val="none"/>
          <w:lang w:val="en-US" w:bidi="ar-SA"/>
          <w14:textFill>
            <w14:solidFill>
              <w14:schemeClr w14:val="tx1"/>
            </w14:solidFill>
          </w14:textFill>
        </w:rPr>
        <w:t xml:space="preserve">实施地点：采购人指定地点。</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default" w:ascii="Calibri" w:hAnsi="Calibri"/>
          <w:bCs/>
          <w:color w:val="000000" w:themeColor="text1"/>
          <w:sz w:val="24"/>
          <w:szCs w:val="24"/>
          <w:highlight w:val="none"/>
          <w:lang w:val="en-US" w:bidi="ar-SA"/>
          <w14:textFill>
            <w14:solidFill>
              <w14:schemeClr w14:val="tx1"/>
            </w14:solidFill>
          </w14:textFill>
        </w:rPr>
        <w:t xml:space="preserve">1.</w:t>
      </w:r>
      <w:bookmarkStart w:id="182" w:name="_Hlk230959535"/>
      <w:r>
        <w:rPr>
          <w:rFonts w:hint="eastAsia" w:ascii="Calibri" w:hAnsi="Calibri"/>
          <w:bCs/>
          <w:color w:val="000000" w:themeColor="text1"/>
          <w:sz w:val="24"/>
          <w:szCs w:val="24"/>
          <w:highlight w:val="none"/>
          <w:lang w:val="en-US" w:eastAsia="zh-CN" w:bidi="ar-SA"/>
          <w14:textFill>
            <w14:solidFill>
              <w14:schemeClr w14:val="tx1"/>
            </w14:solidFill>
          </w14:textFill>
        </w:rPr>
        <w:t xml:space="preserve">5</w:t>
      </w:r>
      <w:r>
        <w:rPr>
          <w:rFonts w:hint="default" w:ascii="Calibri" w:hAnsi="Calibri"/>
          <w:color w:val="000000" w:themeColor="text1"/>
          <w:sz w:val="24"/>
          <w:szCs w:val="24"/>
          <w:highlight w:val="none"/>
          <w:lang w:val="en-US" w:bidi="ar-SA"/>
          <w14:textFill>
            <w14:solidFill>
              <w14:schemeClr w14:val="tx1"/>
            </w14:solidFill>
          </w14:textFill>
        </w:rPr>
        <w:t xml:space="preserve">合同履行期限：合同签订后50日历天内送到甲方指定地点完成安装、调试、检测并经验收合格后交付甲方使用（含二次搬运费）。</w:t>
      </w:r>
      <w:bookmarkEnd w:id="182"/>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highlight w:val="none"/>
          <w14:textFill>
            <w14:solidFill>
              <w14:schemeClr w14:val="tx1"/>
            </w14:solidFill>
          </w14:textFill>
        </w:rPr>
        <w:t xml:space="preserve">采购标的所属行业为：工业</w:t>
      </w:r>
      <w:bookmarkStart w:id="183" w:name="_Toc26554093"/>
      <w:r/>
      <w:bookmarkStart w:id="184" w:name="_Toc49090575"/>
      <w:r/>
      <w:r/>
    </w:p>
    <w:p>
      <w:pPr>
        <w:numPr>
          <w:ilvl w:val="0"/>
          <w:numId w:val="14"/>
        </w:numP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采购标的清单</w:t>
      </w:r>
      <w:r/>
    </w:p>
    <w:tbl>
      <w:tblPr>
        <w:tblStyle w:val="705"/>
        <w:tblpPr w:horzAnchor="page" w:tblpX="870" w:vertAnchor="text" w:tblpY="301" w:leftFromText="180" w:topFromText="0" w:rightFromText="180" w:bottomFromText="0"/>
        <w:tblW w:w="95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1665"/>
        <w:gridCol w:w="2460"/>
        <w:gridCol w:w="855"/>
        <w:gridCol w:w="1110"/>
        <w:gridCol w:w="930"/>
        <w:gridCol w:w="1881"/>
      </w:tblGrid>
      <w:tr>
        <w:trPr>
          <w:trHeight w:val="617"/>
        </w:trPr>
        <w:tc>
          <w:tcPr>
            <w:tcW w:w="655" w:type="dxa"/>
            <w:vAlign w:val="center"/>
            <w:textDirection w:val="lrTb"/>
            <w:noWrap w:val="false"/>
          </w:tcPr>
          <w:p>
            <w:pPr>
              <w:jc w:val="both"/>
              <w:keepLines w:val="0"/>
              <w:keepNext w:val="0"/>
              <w:pageBreakBefore w:val="0"/>
              <w:spacing w:after="0" w:line="320" w:lineRule="exact"/>
              <w:widowControl w:val="off"/>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序号</w:t>
            </w:r>
            <w:r/>
          </w:p>
        </w:tc>
        <w:tc>
          <w:tcPr>
            <w:tcW w:w="1665"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t xml:space="preserve">名称</w:t>
            </w:r>
            <w:r/>
          </w:p>
        </w:tc>
        <w:tc>
          <w:tcPr>
            <w:tcW w:w="2460"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t xml:space="preserve">规格</w:t>
            </w:r>
            <w:r/>
          </w:p>
        </w:tc>
        <w:tc>
          <w:tcPr>
            <w:tcW w:w="855"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t xml:space="preserve">单位</w:t>
            </w:r>
            <w:r/>
          </w:p>
        </w:tc>
        <w:tc>
          <w:tcPr>
            <w:tcW w:w="1110"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t xml:space="preserve">数量</w:t>
            </w:r>
            <w:r/>
          </w:p>
        </w:tc>
        <w:tc>
          <w:tcPr>
            <w:tcW w:w="930" w:type="dxa"/>
            <w:vAlign w:val="center"/>
            <w:textDirection w:val="lrTb"/>
            <w:noWrap w:val="false"/>
          </w:tcPr>
          <w:p>
            <w:pPr>
              <w:jc w:val="center"/>
              <w:keepLines w:val="0"/>
              <w:keepNext w:val="0"/>
              <w:pageBreakBefore w:val="0"/>
              <w:spacing w:after="0" w:line="240" w:lineRule="exact"/>
              <w:widowControl w:val="off"/>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是否核心产品</w:t>
            </w:r>
            <w:r/>
          </w:p>
        </w:tc>
        <w:tc>
          <w:tcPr>
            <w:tcW w:w="1881" w:type="dxa"/>
            <w:vAlign w:val="center"/>
            <w:textDirection w:val="lrTb"/>
            <w:noWrap w:val="false"/>
          </w:tcPr>
          <w:p>
            <w:pPr>
              <w:jc w:val="center"/>
              <w:keepLines w:val="0"/>
              <w:keepNext w:val="0"/>
              <w:pageBreakBefore w:val="0"/>
              <w:spacing w:after="0" w:line="240" w:lineRule="exact"/>
              <w:widowControl w:val="off"/>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对应中小企业划分标准所属行业</w:t>
            </w:r>
            <w:r/>
          </w:p>
        </w:tc>
      </w:tr>
      <w:tr>
        <w:trPr>
          <w:trHeight w:val="593"/>
        </w:trPr>
        <w:tc>
          <w:tcPr>
            <w:tcW w:w="655"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tcW w:w="166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上床下柜（桌）组合家具</w:t>
            </w:r>
            <w:r/>
          </w:p>
        </w:tc>
        <w:tc>
          <w:tcPr>
            <w:tcW w:w="2460"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2010*930*3050mm</w:t>
            </w:r>
            <w:r/>
          </w:p>
        </w:tc>
        <w:tc>
          <w:tcPr>
            <w:tcW w:w="85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套</w:t>
            </w:r>
            <w:r/>
          </w:p>
        </w:tc>
        <w:tc>
          <w:tcPr>
            <w:tcW w:w="1110" w:type="dxa"/>
            <w:vAlign w:val="center"/>
            <w:textDirection w:val="lrTb"/>
            <w:noWrap w:val="false"/>
          </w:tcPr>
          <w:p>
            <w:pPr>
              <w:jc w:val="center"/>
              <w:spacing w:line="24" w:lineRule="atLeas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5264</w:t>
            </w:r>
            <w:r/>
          </w:p>
        </w:tc>
        <w:tc>
          <w:tcPr>
            <w:tcW w:w="930"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是</w:t>
            </w:r>
            <w:r/>
          </w:p>
        </w:tc>
        <w:tc>
          <w:tcPr>
            <w:tcW w:w="1881"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工业</w:t>
            </w:r>
            <w:r/>
          </w:p>
        </w:tc>
      </w:tr>
      <w:tr>
        <w:trPr>
          <w:trHeight w:val="563"/>
        </w:trPr>
        <w:tc>
          <w:tcPr>
            <w:tcW w:w="655"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tcW w:w="166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步梯</w:t>
            </w:r>
            <w:r/>
          </w:p>
        </w:tc>
        <w:tc>
          <w:tcPr>
            <w:tcW w:w="2460"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560*920*1418mm</w:t>
            </w:r>
            <w:r/>
          </w:p>
        </w:tc>
        <w:tc>
          <w:tcPr>
            <w:tcW w:w="85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个</w:t>
            </w:r>
            <w:r/>
          </w:p>
        </w:tc>
        <w:tc>
          <w:tcPr>
            <w:tcW w:w="1110" w:type="dxa"/>
            <w:vAlign w:val="center"/>
            <w:textDirection w:val="lrTb"/>
            <w:noWrap w:val="false"/>
          </w:tcPr>
          <w:p>
            <w:pPr>
              <w:jc w:val="center"/>
              <w:spacing w:line="24" w:lineRule="atLeas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2632</w:t>
            </w:r>
            <w:r/>
          </w:p>
        </w:tc>
        <w:tc>
          <w:tcPr>
            <w:tcW w:w="930"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否</w:t>
            </w:r>
            <w:r/>
          </w:p>
        </w:tc>
        <w:tc>
          <w:tcPr>
            <w:tcW w:w="1881"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工业</w:t>
            </w:r>
            <w:r/>
          </w:p>
        </w:tc>
      </w:tr>
      <w:tr>
        <w:trPr>
          <w:trHeight w:val="563"/>
        </w:trPr>
        <w:tc>
          <w:tcPr>
            <w:tcW w:w="655" w:type="dxa"/>
            <w:vAlign w:val="center"/>
            <w:textDirection w:val="lrTb"/>
            <w:noWrap w:val="false"/>
          </w:tcPr>
          <w:p>
            <w:pPr>
              <w:jc w:val="center"/>
              <w:spacing w:after="0" w:line="24" w:lineRule="atLeas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tcW w:w="1665" w:type="dxa"/>
            <w:vAlign w:val="center"/>
            <w:textDirection w:val="lrTb"/>
            <w:noWrap w:val="false"/>
          </w:tcPr>
          <w:p>
            <w:pPr>
              <w:jc w:val="center"/>
              <w:spacing w:line="24" w:lineRule="atLeast"/>
              <w:widowControl w:val="off"/>
              <w:rPr>
                <w:rFonts w:hint="default"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学生椅</w:t>
            </w:r>
            <w:r/>
          </w:p>
        </w:tc>
        <w:tc>
          <w:tcPr>
            <w:tcW w:w="2460" w:type="dxa"/>
            <w:vAlign w:val="center"/>
            <w:textDirection w:val="lrTb"/>
            <w:noWrap w:val="false"/>
          </w:tcPr>
          <w:p>
            <w:pPr>
              <w:jc w:val="center"/>
              <w:spacing w:line="24" w:lineRule="atLeas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450*500*850mm</w:t>
            </w:r>
            <w:r/>
          </w:p>
        </w:tc>
        <w:tc>
          <w:tcPr>
            <w:tcW w:w="855" w:type="dxa"/>
            <w:vAlign w:val="center"/>
            <w:textDirection w:val="lrTb"/>
            <w:noWrap w:val="false"/>
          </w:tcPr>
          <w:p>
            <w:pPr>
              <w:jc w:val="center"/>
              <w:spacing w:line="24" w:lineRule="atLeas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把</w:t>
            </w:r>
            <w:r/>
          </w:p>
        </w:tc>
        <w:tc>
          <w:tcPr>
            <w:tcW w:w="1110" w:type="dxa"/>
            <w:vAlign w:val="center"/>
            <w:textDirection w:val="lrTb"/>
            <w:noWrap w:val="false"/>
          </w:tcPr>
          <w:p>
            <w:pPr>
              <w:jc w:val="center"/>
              <w:spacing w:line="24" w:lineRule="atLeast"/>
              <w:widowControl w:val="off"/>
              <w:rPr>
                <w:rFonts w:hint="default"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5264</w:t>
            </w:r>
            <w:r/>
          </w:p>
        </w:tc>
        <w:tc>
          <w:tcPr>
            <w:tcW w:w="930"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否</w:t>
            </w:r>
            <w:r/>
          </w:p>
        </w:tc>
        <w:tc>
          <w:tcPr>
            <w:tcW w:w="1881"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工业</w:t>
            </w:r>
            <w:r/>
          </w:p>
        </w:tc>
      </w:tr>
    </w:tbl>
    <w:p>
      <w:pPr>
        <w:jc w:val="left"/>
        <w:spacing w:line="360" w:lineRule="exact"/>
        <w:rPr>
          <w:rFonts w:hint="default" w:ascii="宋体" w:hAnsi="宋体" w:cs="宋体"/>
          <w:b w:val="0"/>
          <w:bCs w:val="0"/>
          <w:color w:val="000000" w:themeColor="text1"/>
          <w:sz w:val="24"/>
          <w:szCs w:val="24"/>
          <w:highlight w:val="none"/>
          <w:lang w:val="en-US" w:eastAsia="zh-CN"/>
          <w14:textFill>
            <w14:solidFill>
              <w14:schemeClr w14:val="tx1"/>
            </w14:solidFill>
          </w14:textFill>
        </w:rPr>
      </w:pPr>
      <w:r>
        <w:rPr>
          <w:rFonts w:hint="default" w:ascii="宋体" w:hAnsi="宋体" w:cs="宋体"/>
          <w:b w:val="0"/>
          <w:bCs w:val="0"/>
          <w:color w:val="000000" w:themeColor="text1"/>
          <w:sz w:val="24"/>
          <w:szCs w:val="24"/>
          <w:highlight w:val="none"/>
          <w:lang w:val="en-US" w:eastAsia="zh-CN"/>
          <w14:textFill>
            <w14:solidFill>
              <w14:schemeClr w14:val="tx1"/>
            </w14:solidFill>
          </w14:textFill>
        </w:rPr>
      </w:r>
      <w:r/>
    </w:p>
    <w:p>
      <w:pPr>
        <w:ind w:firstLine="480"/>
        <w:spacing w:line="360" w:lineRule="auto"/>
        <w:widowControl/>
        <w:rPr>
          <w:rFonts w:hint="eastAsia" w:ascii="Calibri" w:hAnsi="Calibri"/>
          <w:bCs/>
          <w:color w:val="000000" w:themeColor="text1"/>
          <w:sz w:val="24"/>
          <w:szCs w:val="24"/>
          <w:highlight w:val="none"/>
          <w:lang w:val="en-US" w:eastAsia="zh-CN"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注：</w:t>
      </w:r>
      <w:r>
        <w:rPr>
          <w:rFonts w:hint="default" w:ascii="Calibri" w:hAnsi="Calibri"/>
          <w:bCs/>
          <w:color w:val="000000" w:themeColor="text1"/>
          <w:sz w:val="24"/>
          <w:szCs w:val="24"/>
          <w:highlight w:val="none"/>
          <w:lang w:val="en-US" w:bidi="ar-SA"/>
          <w14:textFill>
            <w14:solidFill>
              <w14:schemeClr w14:val="tx1"/>
            </w14:solidFill>
          </w14:textFill>
        </w:rPr>
        <w:t xml:space="preserve">当采购数量与实际使用数量不一致时，</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中标人</w:t>
      </w:r>
      <w:r>
        <w:rPr>
          <w:rFonts w:hint="default" w:ascii="Calibri" w:hAnsi="Calibri"/>
          <w:bCs/>
          <w:color w:val="000000" w:themeColor="text1"/>
          <w:sz w:val="24"/>
          <w:szCs w:val="24"/>
          <w:highlight w:val="none"/>
          <w:lang w:val="en-US" w:bidi="ar-SA"/>
          <w14:textFill>
            <w14:solidFill>
              <w14:schemeClr w14:val="tx1"/>
            </w14:solidFill>
          </w14:textFill>
        </w:rPr>
        <w:t xml:space="preserve">应根据实际使用量供货，合同</w:t>
      </w:r>
      <w:r>
        <w:rPr>
          <w:rFonts w:hint="eastAsia" w:ascii="Calibri" w:hAnsi="Calibri"/>
          <w:bCs/>
          <w:color w:val="000000" w:themeColor="text1"/>
          <w:sz w:val="24"/>
          <w:szCs w:val="24"/>
          <w:highlight w:val="none"/>
          <w:lang w:val="en-US" w:bidi="ar-SA"/>
          <w14:textFill>
            <w14:solidFill>
              <w14:schemeClr w14:val="tx1"/>
            </w14:solidFill>
          </w14:textFill>
        </w:rPr>
        <w:t xml:space="preserve">的最终结算金额按实际使用量乘以</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中标</w:t>
      </w:r>
      <w:r>
        <w:rPr>
          <w:rFonts w:hint="eastAsia" w:ascii="Calibri" w:hAnsi="Calibri"/>
          <w:bCs/>
          <w:color w:val="000000" w:themeColor="text1"/>
          <w:sz w:val="24"/>
          <w:szCs w:val="24"/>
          <w:highlight w:val="none"/>
          <w:lang w:val="en-US" w:bidi="ar-SA"/>
          <w14:textFill>
            <w14:solidFill>
              <w14:schemeClr w14:val="tx1"/>
            </w14:solidFill>
          </w14:textFill>
        </w:rPr>
        <w:t xml:space="preserve">单价进行计算。</w:t>
      </w:r>
      <w:r/>
    </w:p>
    <w:p>
      <w:pPr>
        <w:ind w:firstLine="480"/>
        <w:spacing w:line="360" w:lineRule="auto"/>
        <w:widowControl/>
        <w:rPr>
          <w:rFonts w:hint="default" w:ascii="Calibri" w:hAnsi="Calibri"/>
          <w:b/>
          <w:bCs w:val="0"/>
          <w:color w:val="000000" w:themeColor="text1"/>
          <w:sz w:val="24"/>
          <w:szCs w:val="24"/>
          <w:highlight w:val="none"/>
          <w:lang w:val="en-US" w:eastAsia="zh-CN" w:bidi="ar-SA"/>
          <w14:textFill>
            <w14:solidFill>
              <w14:schemeClr w14:val="tx1"/>
            </w14:solidFill>
          </w14:textFill>
        </w:rPr>
      </w:pPr>
      <w:r>
        <w:rPr>
          <w:rFonts w:hint="eastAsia" w:ascii="Calibri" w:hAnsi="Calibri"/>
          <w:b/>
          <w:bCs w:val="0"/>
          <w:color w:val="000000" w:themeColor="text1"/>
          <w:sz w:val="24"/>
          <w:szCs w:val="24"/>
          <w:highlight w:val="none"/>
          <w:lang w:val="en-US" w:eastAsia="zh-CN" w:bidi="ar-SA"/>
          <w14:textFill>
            <w14:solidFill>
              <w14:schemeClr w14:val="tx1"/>
            </w14:solidFill>
          </w14:textFill>
        </w:rPr>
        <w:t xml:space="preserve">三、采购图纸及技术参数要求</w:t>
      </w:r>
      <w:r/>
    </w:p>
    <w:p>
      <w:pPr>
        <w:ind w:firstLine="480"/>
        <w:spacing w:line="360" w:lineRule="auto"/>
        <w:widowControl/>
        <w:rPr>
          <w:rFonts w:hint="default" w:ascii="Calibri" w:hAnsi="Calibri"/>
          <w:bCs/>
          <w:color w:val="000000" w:themeColor="text1"/>
          <w:sz w:val="24"/>
          <w:szCs w:val="24"/>
          <w:highlight w:val="none"/>
          <w:lang w:val="en-US" w:eastAsia="zh-CN"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3.1采购图纸（</w:t>
      </w:r>
      <w:r>
        <w:rPr>
          <w:rFonts w:hint="eastAsia" w:ascii="Calibri" w:hAnsi="Calibri"/>
          <w:bCs/>
          <w:color w:val="000000" w:themeColor="text1"/>
          <w:sz w:val="24"/>
          <w:szCs w:val="24"/>
          <w:highlight w:val="none"/>
          <w:lang w:val="en-US" w:bidi="ar-SA"/>
          <w14:textFill>
            <w14:solidFill>
              <w14:schemeClr w14:val="tx1"/>
            </w14:solidFill>
          </w14:textFill>
        </w:rPr>
        <w:t xml:space="preserve">图纸与技术参数不一致之处，以技术参数要求为准</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w:t>
      </w:r>
      <w:r/>
    </w:p>
    <w:p>
      <w:pPr>
        <w:ind w:firstLine="480"/>
        <w:spacing w:line="360" w:lineRule="auto"/>
        <w:widowControl/>
        <w:rPr>
          <w:rFonts w:hint="eastAsia" w:ascii="Calibri" w:hAnsi="Calibri"/>
          <w:bCs/>
          <w:color w:val="000000" w:themeColor="text1"/>
          <w:sz w:val="24"/>
          <w:szCs w:val="24"/>
          <w:highlight w:val="none"/>
          <w:lang w:val="en-US" w:eastAsia="zh-CN"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房型1</w: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539105" cy="3353435"/>
                <wp:effectExtent l="0" t="0" r="4445" b="18415"/>
                <wp:docPr id="1" name="图片 24"/>
                <wp:cNvGraphicFramePr/>
                <a:graphic xmlns:a="http://schemas.openxmlformats.org/drawingml/2006/main">
                  <a:graphicData uri="http://schemas.openxmlformats.org/drawingml/2006/picture">
                    <pic:pic xmlns:pic="http://schemas.openxmlformats.org/drawingml/2006/picture">
                      <pic:nvPicPr>
                        <pic:cNvPr id="24" name="图片 24"/>
                        <pic:cNvPicPr/>
                        <pic:nvPr/>
                      </pic:nvPicPr>
                      <pic:blipFill>
                        <a:blip r:embed="rId13"/>
                        <a:stretch/>
                      </pic:blipFill>
                      <pic:spPr bwMode="auto">
                        <a:xfrm>
                          <a:off x="0" y="0"/>
                          <a:ext cx="5539105" cy="3353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6.1pt;height:264.1pt;mso-wrap-distance-left:0.0pt;mso-wrap-distance-top:0.0pt;mso-wrap-distance-right:0.0pt;mso-wrap-distance-bottom:0.0pt;" stroked="f">
                <v:path textboxrect="0,0,0,0"/>
                <v:imagedata r:id="rId13"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536565" cy="3911600"/>
                <wp:effectExtent l="0" t="0" r="6985" b="12700"/>
                <wp:docPr id="2" name="图片 25"/>
                <wp:cNvGraphicFramePr/>
                <a:graphic xmlns:a="http://schemas.openxmlformats.org/drawingml/2006/main">
                  <a:graphicData uri="http://schemas.openxmlformats.org/drawingml/2006/picture">
                    <pic:pic xmlns:pic="http://schemas.openxmlformats.org/drawingml/2006/picture">
                      <pic:nvPicPr>
                        <pic:cNvPr id="25" name="图片 25"/>
                        <pic:cNvPicPr/>
                        <pic:nvPr/>
                      </pic:nvPicPr>
                      <pic:blipFill>
                        <a:blip r:embed="rId14"/>
                        <a:stretch/>
                      </pic:blipFill>
                      <pic:spPr bwMode="auto">
                        <a:xfrm>
                          <a:off x="0" y="0"/>
                          <a:ext cx="5536565" cy="391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5.9pt;height:308.0pt;mso-wrap-distance-left:0.0pt;mso-wrap-distance-top:0.0pt;mso-wrap-distance-right:0.0pt;mso-wrap-distance-bottom:0.0pt;" stroked="f">
                <v:path textboxrect="0,0,0,0"/>
                <v:imagedata r:id="rId14"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214745" cy="4391025"/>
                <wp:effectExtent l="0" t="0" r="14604" b="9525"/>
                <wp:docPr id="3" name="图片 26"/>
                <wp:cNvGraphicFramePr/>
                <a:graphic xmlns:a="http://schemas.openxmlformats.org/drawingml/2006/main">
                  <a:graphicData uri="http://schemas.openxmlformats.org/drawingml/2006/picture">
                    <pic:pic xmlns:pic="http://schemas.openxmlformats.org/drawingml/2006/picture">
                      <pic:nvPicPr>
                        <pic:cNvPr id="26" name="图片 26"/>
                        <pic:cNvPicPr/>
                        <pic:nvPr/>
                      </pic:nvPicPr>
                      <pic:blipFill>
                        <a:blip r:embed="rId15"/>
                        <a:stretch/>
                      </pic:blipFill>
                      <pic:spPr bwMode="auto">
                        <a:xfrm>
                          <a:off x="0" y="0"/>
                          <a:ext cx="6214745" cy="439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9.3pt;height:345.8pt;mso-wrap-distance-left:0.0pt;mso-wrap-distance-top:0.0pt;mso-wrap-distance-right:0.0pt;mso-wrap-distance-bottom:0.0pt;" stroked="f">
                <v:path textboxrect="0,0,0,0"/>
                <v:imagedata r:id="rId15"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242685" cy="3781425"/>
                <wp:effectExtent l="0" t="0" r="5715" b="9525"/>
                <wp:docPr id="4" name="图片 27"/>
                <wp:cNvGraphicFramePr/>
                <a:graphic xmlns:a="http://schemas.openxmlformats.org/drawingml/2006/main">
                  <a:graphicData uri="http://schemas.openxmlformats.org/drawingml/2006/picture">
                    <pic:pic xmlns:pic="http://schemas.openxmlformats.org/drawingml/2006/picture">
                      <pic:nvPicPr>
                        <pic:cNvPr id="27" name="图片 27"/>
                        <pic:cNvPicPr/>
                        <pic:nvPr/>
                      </pic:nvPicPr>
                      <pic:blipFill>
                        <a:blip r:embed="rId16"/>
                        <a:srcRect l="0" t="14236" r="0" b="0"/>
                        <a:stretch/>
                      </pic:blipFill>
                      <pic:spPr bwMode="auto">
                        <a:xfrm>
                          <a:off x="0" y="0"/>
                          <a:ext cx="6242685" cy="3781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91.5pt;height:297.8pt;mso-wrap-distance-left:0.0pt;mso-wrap-distance-top:0.0pt;mso-wrap-distance-right:0.0pt;mso-wrap-distance-bottom:0.0pt;" stroked="f">
                <v:path textboxrect="0,0,0,0"/>
                <v:imagedata r:id="rId16"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283325" cy="3230880"/>
                <wp:effectExtent l="0" t="0" r="3175" b="7620"/>
                <wp:docPr id="5" name="图片 28"/>
                <wp:cNvGraphicFramePr/>
                <a:graphic xmlns:a="http://schemas.openxmlformats.org/drawingml/2006/main">
                  <a:graphicData uri="http://schemas.openxmlformats.org/drawingml/2006/picture">
                    <pic:pic xmlns:pic="http://schemas.openxmlformats.org/drawingml/2006/picture">
                      <pic:nvPicPr>
                        <pic:cNvPr id="28" name="图片 28"/>
                        <pic:cNvPicPr/>
                        <pic:nvPr/>
                      </pic:nvPicPr>
                      <pic:blipFill>
                        <a:blip r:embed="rId17"/>
                        <a:srcRect l="0" t="14999" r="0" b="12069"/>
                        <a:stretch/>
                      </pic:blipFill>
                      <pic:spPr bwMode="auto">
                        <a:xfrm>
                          <a:off x="0" y="0"/>
                          <a:ext cx="6283325" cy="3230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94.8pt;height:254.4pt;mso-wrap-distance-left:0.0pt;mso-wrap-distance-top:0.0pt;mso-wrap-distance-right:0.0pt;mso-wrap-distance-bottom:0.0pt;" stroked="f">
                <v:path textboxrect="0,0,0,0"/>
                <v:imagedata r:id="rId17"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166485" cy="4356735"/>
                <wp:effectExtent l="0" t="0" r="5715" b="5715"/>
                <wp:docPr id="6" name="图片 29"/>
                <wp:cNvGraphicFramePr/>
                <a:graphic xmlns:a="http://schemas.openxmlformats.org/drawingml/2006/main">
                  <a:graphicData uri="http://schemas.openxmlformats.org/drawingml/2006/picture">
                    <pic:pic xmlns:pic="http://schemas.openxmlformats.org/drawingml/2006/picture">
                      <pic:nvPicPr>
                        <pic:cNvPr id="29" name="图片 29"/>
                        <pic:cNvPicPr/>
                        <pic:nvPr/>
                      </pic:nvPicPr>
                      <pic:blipFill>
                        <a:blip r:embed="rId18"/>
                        <a:stretch/>
                      </pic:blipFill>
                      <pic:spPr bwMode="auto">
                        <a:xfrm>
                          <a:off x="0" y="0"/>
                          <a:ext cx="6166485" cy="4356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5.5pt;height:343.1pt;mso-wrap-distance-left:0.0pt;mso-wrap-distance-top:0.0pt;mso-wrap-distance-right:0.0pt;mso-wrap-distance-bottom:0.0pt;" stroked="f">
                <v:path textboxrect="0,0,0,0"/>
                <v:imagedata r:id="rId18"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049010" cy="4273550"/>
                <wp:effectExtent l="0" t="0" r="8890" b="12700"/>
                <wp:docPr id="7" name="图片 30"/>
                <wp:cNvGraphicFramePr/>
                <a:graphic xmlns:a="http://schemas.openxmlformats.org/drawingml/2006/main">
                  <a:graphicData uri="http://schemas.openxmlformats.org/drawingml/2006/picture">
                    <pic:pic xmlns:pic="http://schemas.openxmlformats.org/drawingml/2006/picture">
                      <pic:nvPicPr>
                        <pic:cNvPr id="30" name="图片 30"/>
                        <pic:cNvPicPr/>
                        <pic:nvPr/>
                      </pic:nvPicPr>
                      <pic:blipFill>
                        <a:blip r:embed="rId19"/>
                        <a:stretch/>
                      </pic:blipFill>
                      <pic:spPr bwMode="auto">
                        <a:xfrm>
                          <a:off x="0" y="0"/>
                          <a:ext cx="6049010" cy="4273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6.3pt;height:336.5pt;mso-wrap-distance-left:0.0pt;mso-wrap-distance-top:0.0pt;mso-wrap-distance-right:0.0pt;mso-wrap-distance-bottom:0.0pt;" stroked="f">
                <v:path textboxrect="0,0,0,0"/>
                <v:imagedata r:id="rId19"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236335" cy="4406265"/>
                <wp:effectExtent l="0" t="0" r="12065" b="13335"/>
                <wp:docPr id="8" name="图片 31"/>
                <wp:cNvGraphicFramePr/>
                <a:graphic xmlns:a="http://schemas.openxmlformats.org/drawingml/2006/main">
                  <a:graphicData uri="http://schemas.openxmlformats.org/drawingml/2006/picture">
                    <pic:pic xmlns:pic="http://schemas.openxmlformats.org/drawingml/2006/picture">
                      <pic:nvPicPr>
                        <pic:cNvPr id="31" name="图片 31"/>
                        <pic:cNvPicPr/>
                        <pic:nvPr/>
                      </pic:nvPicPr>
                      <pic:blipFill>
                        <a:blip r:embed="rId20"/>
                        <a:stretch/>
                      </pic:blipFill>
                      <pic:spPr bwMode="auto">
                        <a:xfrm>
                          <a:off x="0" y="0"/>
                          <a:ext cx="6236335" cy="4406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91.0pt;height:346.9pt;mso-wrap-distance-left:0.0pt;mso-wrap-distance-top:0.0pt;mso-wrap-distance-right:0.0pt;mso-wrap-distance-bottom:0.0pt;" stroked="f">
                <v:path textboxrect="0,0,0,0"/>
                <v:imagedata r:id="rId20"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028690" cy="4258945"/>
                <wp:effectExtent l="0" t="0" r="10160" b="8255"/>
                <wp:docPr id="9" name="图片 32"/>
                <wp:cNvGraphicFramePr/>
                <a:graphic xmlns:a="http://schemas.openxmlformats.org/drawingml/2006/main">
                  <a:graphicData uri="http://schemas.openxmlformats.org/drawingml/2006/picture">
                    <pic:pic xmlns:pic="http://schemas.openxmlformats.org/drawingml/2006/picture">
                      <pic:nvPicPr>
                        <pic:cNvPr id="32" name="图片 32"/>
                        <pic:cNvPicPr/>
                        <pic:nvPr/>
                      </pic:nvPicPr>
                      <pic:blipFill>
                        <a:blip r:embed="rId21"/>
                        <a:stretch/>
                      </pic:blipFill>
                      <pic:spPr bwMode="auto">
                        <a:xfrm>
                          <a:off x="0" y="0"/>
                          <a:ext cx="6028690" cy="4258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74.7pt;height:335.3pt;mso-wrap-distance-left:0.0pt;mso-wrap-distance-top:0.0pt;mso-wrap-distance-right:0.0pt;mso-wrap-distance-bottom:0.0pt;" stroked="f">
                <v:path textboxrect="0,0,0,0"/>
                <v:imagedata r:id="rId21"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896610" cy="2981325"/>
                <wp:effectExtent l="0" t="0" r="8890" b="9525"/>
                <wp:docPr id="10" name="图片 33"/>
                <wp:cNvGraphicFramePr/>
                <a:graphic xmlns:a="http://schemas.openxmlformats.org/drawingml/2006/main">
                  <a:graphicData uri="http://schemas.openxmlformats.org/drawingml/2006/picture">
                    <pic:pic xmlns:pic="http://schemas.openxmlformats.org/drawingml/2006/picture">
                      <pic:nvPicPr>
                        <pic:cNvPr id="33" name="图片 33"/>
                        <pic:cNvPicPr/>
                        <pic:nvPr/>
                      </pic:nvPicPr>
                      <pic:blipFill>
                        <a:blip r:embed="rId22"/>
                        <a:srcRect l="0" t="15685" r="0" b="12772"/>
                        <a:stretch/>
                      </pic:blipFill>
                      <pic:spPr bwMode="auto">
                        <a:xfrm>
                          <a:off x="0" y="0"/>
                          <a:ext cx="5896610" cy="2981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64.3pt;height:234.8pt;mso-wrap-distance-left:0.0pt;mso-wrap-distance-top:0.0pt;mso-wrap-distance-right:0.0pt;mso-wrap-distance-bottom:0.0pt;" stroked="f">
                <v:path textboxrect="0,0,0,0"/>
                <v:imagedata r:id="rId22"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819140" cy="4116070"/>
                <wp:effectExtent l="0" t="0" r="10160" b="17780"/>
                <wp:docPr id="11" name="图片 34"/>
                <wp:cNvGraphicFramePr/>
                <a:graphic xmlns:a="http://schemas.openxmlformats.org/drawingml/2006/main">
                  <a:graphicData uri="http://schemas.openxmlformats.org/drawingml/2006/picture">
                    <pic:pic xmlns:pic="http://schemas.openxmlformats.org/drawingml/2006/picture">
                      <pic:nvPicPr>
                        <pic:cNvPr id="34" name="图片 34"/>
                        <pic:cNvPicPr/>
                        <pic:nvPr/>
                      </pic:nvPicPr>
                      <pic:blipFill>
                        <a:blip r:embed="rId23"/>
                        <a:srcRect l="21" t="0" r="21" b="0"/>
                        <a:stretch/>
                      </pic:blipFill>
                      <pic:spPr bwMode="auto">
                        <a:xfrm>
                          <a:off x="0" y="0"/>
                          <a:ext cx="5819140" cy="4116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58.2pt;height:324.1pt;mso-wrap-distance-left:0.0pt;mso-wrap-distance-top:0.0pt;mso-wrap-distance-right:0.0pt;mso-wrap-distance-bottom:0.0pt;" stroked="f">
                <v:path textboxrect="0,0,0,0"/>
                <v:imagedata r:id="rId23"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备注：</w:t>
      </w:r>
      <w:r/>
    </w:p>
    <w:p>
      <w:pPr>
        <w:ind w:firstLine="480"/>
        <w:jc w:val="both"/>
        <w:widowControl w:val="off"/>
        <w:rPr>
          <w:rFonts w:ascii="Times New Roman" w:hAnsi="Times New Roman" w:eastAsia="宋体" w:cs="Times New Roman"/>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w:t>
      </w:r>
      <w:r>
        <w:rPr>
          <w:rFonts w:ascii="宋体" w:hAnsi="宋体" w:eastAsia="宋体" w:cs="宋体"/>
          <w:color w:val="000000" w:themeColor="text1"/>
          <w:sz w:val="24"/>
          <w:szCs w:val="21"/>
          <w:highlight w:val="none"/>
          <w:lang w:val="en-US" w:eastAsia="zh-CN" w:bidi="ar-SA"/>
          <w14:textFill>
            <w14:solidFill>
              <w14:schemeClr w14:val="tx1"/>
            </w14:solidFill>
          </w14:textFill>
        </w:rPr>
        <w:t xml:space="preserve">家具颜色：中标单位在中标后提供色板给甲方，按甲方选定的颜色生产。</w:t>
      </w:r>
      <w:r/>
    </w:p>
    <w:p>
      <w:pPr>
        <w:ind w:firstLine="480"/>
        <w:jc w:val="left"/>
        <w:spacing w:line="431"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ascii="宋体" w:hAnsi="宋体" w:eastAsia="宋体" w:cs="宋体"/>
          <w:color w:val="000000" w:themeColor="text1"/>
          <w:sz w:val="24"/>
          <w:highlight w:val="none"/>
          <w14:textFill>
            <w14:solidFill>
              <w14:schemeClr w14:val="tx1"/>
            </w14:solidFill>
          </w14:textFill>
        </w:rPr>
        <w:t xml:space="preserve">.中标单位在中标后自行复核现场实际尺寸及家具方向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确保家具能够正常安装</w:t>
      </w:r>
      <w:r>
        <w:rPr>
          <w:rFonts w:ascii="宋体" w:hAnsi="宋体" w:eastAsia="宋体" w:cs="宋体"/>
          <w:color w:val="000000" w:themeColor="text1"/>
          <w:sz w:val="24"/>
          <w:highlight w:val="none"/>
          <w14:textFill>
            <w14:solidFill>
              <w14:schemeClr w14:val="tx1"/>
            </w14:solidFill>
          </w14:textFill>
        </w:rPr>
        <w:t xml:space="preserve">。</w:t>
      </w:r>
      <w:r/>
    </w:p>
    <w:p>
      <w:pPr>
        <w:numPr>
          <w:ilvl w:val="0"/>
          <w:numId w:val="0"/>
        </w:numPr>
        <w:spacing w:line="0" w:lineRule="atLeas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3.2技术参数要求：</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（一）</w:t>
      </w:r>
      <w:bookmarkStart w:id="185" w:name="OLE_LINK167"/>
      <w:r>
        <w:rPr>
          <w:rFonts w:hint="eastAsia" w:ascii="Times New Roman" w:hAnsi="Times New Roman"/>
          <w:color w:val="000000" w:themeColor="text1"/>
          <w:sz w:val="24"/>
          <w:szCs w:val="21"/>
          <w:highlight w:val="none"/>
          <w14:textFill>
            <w14:solidFill>
              <w14:schemeClr w14:val="tx1"/>
            </w14:solidFill>
          </w14:textFill>
        </w:rPr>
        <w:t xml:space="preserve">上床下柜（桌）组合家具</w:t>
      </w:r>
      <w:bookmarkEnd w:id="185"/>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1、尺寸：W2010*D930*H3050mm</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Calibri" w:hAnsi="Calibri"/>
          <w:bCs/>
          <w:color w:val="000000" w:themeColor="text1"/>
          <w:sz w:val="24"/>
          <w:szCs w:val="24"/>
          <w:highlight w:val="none"/>
          <w:lang w:val="en-US" w:bidi="ar-SA"/>
          <w14:textFill>
            <w14:solidFill>
              <w14:schemeClr w14:val="tx1"/>
            </w14:solidFill>
          </w14:textFill>
        </w:rPr>
        <w:t xml:space="preserve">尺寸</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5%偏差）</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2、钢材：经环氧聚酯塑粉静电喷塑处理。</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3、</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立柱：采用优质冷轧钢板经特制成型线轧制而成，其立面为中空异形闭口型材，立柱正面为圆弧形设计，起到防撞作用，外侧设有安全斜边,内侧直角设计，避免组合柜与床立柱之间的缝隙，立面成型后尺寸规格≥72mm*72mm，材料厚度为≥1.5mm。</w:t>
      </w:r>
      <w:r/>
    </w:p>
    <w:p>
      <w:pPr>
        <w:ind w:firstLine="482"/>
        <w:jc w:val="both"/>
        <w:keepLines w:val="0"/>
        <w:keepNext w:val="0"/>
        <w:pageBreakBefore w:val="0"/>
        <w:spacing w:line="460" w:lineRule="exact"/>
        <w:widowControl w:val="off"/>
        <w:rPr>
          <w:rFonts w:hint="default" w:ascii="宋体" w:hAnsi="宋体" w:cs="宋体"/>
          <w:color w:val="000000" w:themeColor="text1"/>
          <w:sz w:val="24"/>
          <w:szCs w:val="21"/>
          <w:highlight w:val="none"/>
          <w:lang w:val="en-US"/>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4、▲立柱喷塑涂层硬度为</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5H</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rPr>
          <w:rFonts w:hint="eastAsia" w:ascii="Arial" w:hAnsi="Arial" w:eastAsia="Arial" w:cs="Arial"/>
          <w:b w:val="0"/>
          <w:bCs w:val="0"/>
          <w:color w:val="000000" w:themeColor="text1"/>
          <w:sz w:val="24"/>
          <w:szCs w:val="24"/>
          <w:highlight w:val="none"/>
          <w:lang w:val="en-US" w:eastAsia="zh-CN"/>
          <w14:textFill>
            <w14:solidFill>
              <w14:schemeClr w14:val="tx1"/>
            </w14:solidFill>
          </w14:textFill>
        </w:rPr>
        <w:t xml:space="preserve">耐盐浴:划道两侧3mm外，应无鼓泡、锈蚀、剥落和起皱等现象。</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5、</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★前床厅及后床厅：采用优质冷轧钢板经特制成型线轧制而成，其立面尺寸规格≥80mm*30mm矩形管,材料厚度为≥1.5mm</w:t>
      </w:r>
      <w:r>
        <w:rPr>
          <w:rFonts w:hint="default" w:ascii="宋体" w:hAnsi="宋体" w:cs="Times New Roman"/>
          <w:b/>
          <w:bCs/>
          <w:i/>
          <w:color w:val="000000" w:themeColor="text1"/>
          <w:sz w:val="24"/>
          <w:szCs w:val="21"/>
          <w:highlight w:val="none"/>
          <w:u w:val="single"/>
          <w:lang w:eastAsia="zh-CN" w:bidi="ar-SA"/>
          <w14:textFill>
            <w14:solidFill>
              <w14:schemeClr w14:val="tx1"/>
            </w14:solidFill>
          </w14:textFill>
        </w:rPr>
        <w:t xml:space="preserve">，</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后床厅管材规格≥80mm*30mm矩形管,材料厚度≥1.5mm</w:t>
      </w:r>
      <w:r>
        <w:rPr>
          <w:rFonts w:hint="default" w:ascii="宋体" w:hAnsi="宋体" w:cs="Times New Roman"/>
          <w:b/>
          <w:bCs/>
          <w:i/>
          <w:color w:val="000000" w:themeColor="text1"/>
          <w:sz w:val="24"/>
          <w:szCs w:val="21"/>
          <w:highlight w:val="none"/>
          <w:u w:val="single"/>
          <w:lang w:eastAsia="zh-CN" w:bidi="ar-SA"/>
          <w14:textFill>
            <w14:solidFill>
              <w14:schemeClr w14:val="tx1"/>
            </w14:solidFill>
          </w14:textFill>
        </w:rPr>
        <w:t xml:space="preserve">，</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侧床厅管材规格≥80mm*30mm矩形管,材料厚度≥1.5mm，左右两侧与立柱连接，床厅与立柱采取隐藏式卡扣连接，带锁死功能，更加美观牢固。</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6、▲塑粉涂层和覆面层中</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可迁移有害元素</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，金属喷漆（塑）涂层附着力不低于1级。</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7、床前护栏:采用钢、铝、塑、木材料,方管规格≥25*25*1.5mm，护栏高度为450mm嵌入一块18mm厚E0级三聚氰胺饰面实木多层板, 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等级不低于B1级,具有良好的抗变形性能；前护栏带推拉窗，推拉窗整体</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规</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格:≥700*300*40mm，观察窗带隐藏式储物功能,不占用床铺空间,方便存放手机、眼镜、书本等随身携带物品,外形采用跑道圆设计，圆弧部分ABS材质注塑工艺成型，滑道采用铝型材，确保稳固安全，观察窗透明全封闭,同时具备推拉开启关闭功能，保护使用者的隐私。</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、床后护栏:采钢木结构,方管≥25*25*1.5mm,护栏高度为450mm+蚊帐杆链接高度720mm嵌入一块18mm厚E0级三聚氰胺饰面实木多层板, 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等级不低于B1级,具有良好的抗变形性能,后护栏内嵌隐藏式水杯架。</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、床头护栏:采用钢木结构,管材规格≥20*20*1.5mm方管,护栏高度为450mm,嵌入一块18mm厚E0级三聚氰胺饰面实木多层板，多层板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等级不低于B1级,具有良好的抗变形性能，护栏整体与立柱连接。</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0</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、床尾护栏:采用钢木结构,方管≥20*20*1.5mm,圆弧设计,护栏中间设一根横杆,整体与立柱连接,嵌入一块18mm厚E0级三聚氰胺饰面实木多层板，多层板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、床换:采用规格≥20*30*1.5mm矩形管，矩形管自带锁定槽与床厅稳固连接，每张床配置数量不少于5根。</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、蚊帐架采用规格≥φ19*1.5mm 圆管制作尺寸≥1870*910mm，与后护栏接。</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、铺板:采用双面刨光杉木床板，含水率≤12%，经干燥、防虫处理，宽度≥70mm，厚度≥18mm，每两根木条的距离间隙≤10mm，每块床板需要有≥4根（≥40×20mm）实木方料做横档加固,板条与横档之间</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需要</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用不锈钢螺丝固定连接。</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、床下书桌:桌面采用≥25mm厚E0级三聚氰胺饰面板,前口鸭嘴边设计，其余三边圆弧角设计，整体采用PVC吸塑工艺；桌架和书架板材采用≥18mm厚E0级三聚氰胺饰面实木多层板，多层板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等级不低于B1级，具有良好的抗变形性能，同色 PVC 封边，封边条厚度不低于2mm，桌子上方为书架，桌背板与中架侧板共用，桌下设有双抽屉，抽屉门板(尺寸:400±2mm*170±2mm)采用≥18mm厚E0级三聚氰胺饰面实木多层板，多层板</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等级不低于B1级，抽屉门板采用铝合金暗扣拉手,四周边缘采用PP环保塑料注塑封边；配备高强度、耐磨损、耐腐蚀等特性导轨，五金配件表面处理具有美观性和保护性；底部防潮架采用规格≥20*20*1.5mm方管制作。</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、床下衣柜:设有两个门，一个门开向朝走道，内部设一块层板，层板下方配≥φ22*1.2mm铝合金挂衣杆，另一个门开向朝书桌，内部设置两块层板，底部防潮架采用≥20*20*1.5mm方管制作。</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、衣柜小门板尺寸(1505±2mm*350±2mm)门板均采</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用≥18mm厚E0级环保三聚氰胺饰面实木多层板，多层板,燃烧性能等级不低于B1级,具有良好的抗变形性能，四周边缘采用PP环保塑料注塑封边,门板铰链固定孔采用一次成型注塑成型，衣柜门板采用铝合金暗扣拉手和</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锁孔；配备高强度、耐磨损、耐腐蚀等特性铰链，五金配件表面处理具有美观性和保护性。</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、衣柜大门板(尺寸:1505±2mm *560±2mm)门板均采用≥18mm厚E0级环保三聚氰胺饰面实木多层板，多层板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、▲公寓床形状和位置公差合格，外观性能要求中金属件、木制件、塑料件检测结果合格，木制件表面装饰层(软硬质覆面层)耐干热和耐湿热不低于4级，</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单层床</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强度和耐久性合格</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（二）步梯</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1、尺寸：560*920*1418mm</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Calibri" w:hAnsi="Calibri"/>
          <w:bCs/>
          <w:color w:val="000000" w:themeColor="text1"/>
          <w:sz w:val="24"/>
          <w:szCs w:val="24"/>
          <w:highlight w:val="none"/>
          <w:lang w:val="en-US" w:bidi="ar-SA"/>
          <w14:textFill>
            <w14:solidFill>
              <w14:schemeClr w14:val="tx1"/>
            </w14:solidFill>
          </w14:textFill>
        </w:rPr>
        <w:t xml:space="preserve">允许</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5%偏差）</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p>
    <w:p>
      <w:pPr>
        <w:ind w:firstLine="482"/>
        <w:jc w:val="both"/>
        <w:keepLines w:val="0"/>
        <w:keepNext w:val="0"/>
        <w:pageBreakBefore w:val="0"/>
        <w:spacing w:line="460" w:lineRule="exact"/>
        <w:widowControl w:val="off"/>
        <w:rPr>
          <w:rFonts w:hint="eastAsia" w:ascii="宋体" w:hAnsi="宋体" w:eastAsia="宋体" w:cs="Times New Roman"/>
          <w:b/>
          <w:bCs/>
          <w:i/>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★步梯柜体：采用钢木结构，主体受力结构为钢制喷涂框架，管材规格≥20mm*20mm*1.5mm。</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3、步梯柜板材采用≥18mm厚E0级三聚氰胺饰面实木多层板制作，多层板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等级不低于B1级,具有良好的抗变形性能，每级踏板前端配有铝合金防护条，前端防护条内嵌PVC夜光耐磨防滑条，提升夜间起居安全性。</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4、抽屉门由下往上开启,正面设有四层储物抽屉，门板均采用≥18mm厚E0级环保三聚氰胺饰面实木多层板，多层板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等级不低于B1级,具有良好的抗变形性能，四周边缘采用PP环保塑料注塑封边，柜门板采用铝合金暗扣拉手，楼梯扶手采用规格≥Φ25*1.5mm圆管与立柱通过螺丝连接。</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三</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）学生椅</w:t>
      </w:r>
      <w:r/>
    </w:p>
    <w:p>
      <w:pPr>
        <w:ind w:firstLine="482"/>
        <w:jc w:val="both"/>
        <w:keepLines w:val="0"/>
        <w:keepNext w:val="0"/>
        <w:pageBreakBefore w:val="0"/>
        <w:spacing w:line="460" w:lineRule="exact"/>
        <w:widowControl w:val="off"/>
        <w:rPr>
          <w:rFonts w:hint="default"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1、尺寸：≥450*500*850mm</w:t>
      </w:r>
      <w:r>
        <w:rPr>
          <w:rFonts w:hint="default" w:ascii="宋体" w:hAnsi="宋体" w:cs="宋体"/>
          <w:color w:val="000000" w:themeColor="text1"/>
          <w:sz w:val="24"/>
          <w:szCs w:val="21"/>
          <w:highlight w:val="none"/>
          <w:lang w:eastAsia="zh-CN" w:bidi="ar-SA"/>
          <w14:textFill>
            <w14:solidFill>
              <w14:schemeClr w14:val="tx1"/>
            </w14:solidFill>
          </w14:textFill>
        </w:rPr>
        <w:t xml:space="preserve">。</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2、椅座：采用聚丙烯加玻璃纤维全新材料模具一体成型制作，厚度≥8mm。座面安装高度≥440mm，座宽≥450mm，座深≥500mm，深装饰沟槽面</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背面配PP材质弧形螺丝闷盖。</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3、椅背：采用聚丙烯加玻璃纤维全新材料模具一体成型制作厚度≥6mm，座椅总高度≥850mm，背宽≥410mm，背高≥410mm；防滑面设有多根筋位。 </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4、</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★椅脚：采用优质圆管≥φ19mm*2.0mm厚；各金属件进行打磨、去油、酸洗、磷化、清洗、防锈等工艺处理后，通过粉末喷涂设备进行静电喷塑，防锈防腐蚀；地脚配有4个优质PP材质脚垫。 </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5、 塑料件外观应无裂纹、明显变形、缩水、针孔；应无凹陷、飞边、杂质、伤痕、白印；表面应光洁，应无划痕、毛刺、拉毛、污渍；应无明显色差。</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特别说明：</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钢制部分材质要求：床框架采用公寓床隐藏式卡扣件连接，所有钢材均采用国家标准钢，未喷涂前厚度≥1.5mm，各钢件经除油、防锈等工序处理，外层采用聚脂环氧粉末喷塑，具有长时间使用不生锈、不掉漆的特性；所有焊接部位要求满焊，表面波纹均匀，焊接处无夹渣、气孔、焊瘤、焊丝头咬边飞溅，无脱焊、虚焊及焊穿等现象。</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2、木质部分材质要求：本次招标范围内所有板材（包括但不限于桌面板、柜门板、侧板、层板、背板、底板、顶板）采用≥18mm厚E0级三聚氰胺饰面实木多层板，多层板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等级不低于B1级，其中桌面板厚度≥25mm。</w:t>
      </w:r>
      <w:r/>
    </w:p>
    <w:p>
      <w:pPr>
        <w:ind w:firstLine="480"/>
        <w:spacing w:line="400" w:lineRule="exact"/>
        <w:rPr>
          <w:rFonts w:hint="default"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3、</w:t>
      </w:r>
      <w:r>
        <w:rPr>
          <w:rFonts w:hint="eastAsia" w:ascii="Times New Roman" w:hAnsi="Times New Roman"/>
          <w:color w:val="000000" w:themeColor="text1"/>
          <w:sz w:val="24"/>
          <w:szCs w:val="21"/>
          <w:highlight w:val="none"/>
          <w14:textFill>
            <w14:solidFill>
              <w14:schemeClr w14:val="tx1"/>
            </w14:solidFill>
          </w14:textFill>
        </w:rPr>
        <w:t xml:space="preserve">技术参数要求未提及的</w:t>
      </w:r>
      <w:r>
        <w:rPr>
          <w:rFonts w:ascii="Times New Roman" w:hAnsi="Times New Roman"/>
          <w:color w:val="000000" w:themeColor="text1"/>
          <w:sz w:val="24"/>
          <w:szCs w:val="21"/>
          <w:highlight w:val="none"/>
          <w14:textFill>
            <w14:solidFill>
              <w14:schemeClr w14:val="tx1"/>
            </w14:solidFill>
          </w14:textFill>
        </w:rPr>
        <w:t xml:space="preserve">，按照国家强制性标准履行</w:t>
      </w:r>
      <w:r>
        <w:rPr>
          <w:rFonts w:hint="eastAsia" w:ascii="Times New Roman" w:hAnsi="Times New Roman"/>
          <w:color w:val="000000" w:themeColor="text1"/>
          <w:sz w:val="24"/>
          <w:szCs w:val="21"/>
          <w:highlight w:val="none"/>
          <w14:textFill>
            <w14:solidFill>
              <w14:schemeClr w14:val="tx1"/>
            </w14:solidFill>
          </w14:textFill>
        </w:rPr>
        <w:t xml:space="preserve">。</w:t>
      </w:r>
      <w:r/>
    </w:p>
    <w:p>
      <w:pPr>
        <w:ind w:firstLine="482"/>
        <w:jc w:val="left"/>
        <w:spacing w:line="50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四、检测报告要求：</w:t>
      </w:r>
      <w:r/>
    </w:p>
    <w:p>
      <w:pPr>
        <w:ind w:firstLine="482"/>
        <w:jc w:val="left"/>
        <w:spacing w:line="560" w:lineRule="exact"/>
        <w:widowControl/>
        <w:rPr>
          <w:rFonts w:hint="eastAsia" w:ascii="方正仿宋_GB2312" w:hAnsi="方正仿宋_GB2312" w:eastAsia="宋体" w:cs="方正仿宋_GB2312"/>
          <w:b/>
          <w:bCs/>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bCs/>
          <w:color w:val="000000" w:themeColor="text1"/>
          <w:sz w:val="24"/>
          <w:szCs w:val="32"/>
          <w:highlight w:val="none"/>
          <w:lang w:val="en-US" w:eastAsia="zh-CN"/>
          <w14:textFill>
            <w14:solidFill>
              <w14:schemeClr w14:val="tx1"/>
            </w14:solidFill>
          </w14:textFill>
        </w:rPr>
        <w:t xml:space="preserve">4.1</w:t>
      </w:r>
      <w:r>
        <w:rPr>
          <w:rFonts w:hint="eastAsia" w:ascii="Times New Roman" w:hAnsi="Times New Roman"/>
          <w:b/>
          <w:bCs/>
          <w:color w:val="000000" w:themeColor="text1"/>
          <w:sz w:val="24"/>
          <w:szCs w:val="32"/>
          <w:highlight w:val="none"/>
          <w14:textFill>
            <w14:solidFill>
              <w14:schemeClr w14:val="tx1"/>
            </w14:solidFill>
          </w14:textFill>
        </w:rPr>
        <w:t xml:space="preserve">投标人需提供所投产品成品检验合格报告:报告由具备CMA资质认定的检测机构出具签发日期距投标截止之日不超过</w:t>
      </w:r>
      <w:r>
        <w:rPr>
          <w:rFonts w:hint="eastAsia"/>
          <w:b/>
          <w:bCs/>
          <w:color w:val="000000" w:themeColor="text1"/>
          <w:sz w:val="24"/>
          <w:szCs w:val="32"/>
          <w:highlight w:val="none"/>
          <w:lang w:val="en-US" w:eastAsia="zh-CN"/>
          <w14:textFill>
            <w14:solidFill>
              <w14:schemeClr w14:val="tx1"/>
            </w14:solidFill>
          </w14:textFill>
        </w:rPr>
        <w:t xml:space="preserve">24</w:t>
      </w:r>
      <w:r>
        <w:rPr>
          <w:rFonts w:hint="eastAsia" w:ascii="Times New Roman" w:hAnsi="Times New Roman"/>
          <w:b/>
          <w:bCs/>
          <w:color w:val="000000" w:themeColor="text1"/>
          <w:sz w:val="24"/>
          <w:szCs w:val="32"/>
          <w:highlight w:val="none"/>
          <w14:textFill>
            <w14:solidFill>
              <w14:schemeClr w14:val="tx1"/>
            </w14:solidFill>
          </w14:textFill>
        </w:rPr>
        <w:t xml:space="preserve">个月;报告应按规定标CMA标识(法律法规或主管部</w:t>
      </w:r>
      <w:r>
        <w:rPr>
          <w:rFonts w:hint="eastAsia"/>
          <w:b/>
          <w:bCs/>
          <w:color w:val="000000" w:themeColor="text1"/>
          <w:sz w:val="24"/>
          <w:szCs w:val="32"/>
          <w:highlight w:val="none"/>
          <w:lang w:val="en-US" w:eastAsia="zh-CN"/>
          <w14:textFill>
            <w14:solidFill>
              <w14:schemeClr w14:val="tx1"/>
            </w14:solidFill>
          </w14:textFill>
        </w:rPr>
        <w:t xml:space="preserve">门</w:t>
      </w:r>
      <w:r>
        <w:rPr>
          <w:rFonts w:hint="eastAsia" w:ascii="Times New Roman" w:hAnsi="Times New Roman"/>
          <w:b/>
          <w:bCs/>
          <w:color w:val="000000" w:themeColor="text1"/>
          <w:sz w:val="24"/>
          <w:szCs w:val="32"/>
          <w:highlight w:val="none"/>
          <w14:textFill>
            <w14:solidFill>
              <w14:schemeClr w14:val="tx1"/>
            </w14:solidFill>
          </w14:textFill>
        </w:rPr>
        <w:t xml:space="preserve">明确无需CMA的除外)。</w:t>
      </w:r>
      <w:r/>
    </w:p>
    <w:p>
      <w:pPr>
        <w:ind w:firstLine="480"/>
        <w:jc w:val="left"/>
        <w:spacing w:line="560" w:lineRule="exact"/>
        <w:widowControl/>
        <w:rPr>
          <w:rFonts w:hint="eastAsia" w:ascii="宋体" w:hAnsi="宋体" w:eastAsia="宋体" w:cs="宋体"/>
          <w:color w:val="000000" w:themeColor="text1"/>
          <w:sz w:val="24"/>
          <w:szCs w:val="21"/>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公寓床，检验项目</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需要</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包含：外观</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（焊接件、喷漆(塑)涂层 、塑料件）、结构安全、金属喷漆（塑）涂层理化性能要求</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Arial" w:hAnsi="Arial" w:eastAsia="Arial" w:cs="Arial"/>
          <w:b w:val="0"/>
          <w:bCs w:val="0"/>
          <w:color w:val="000000" w:themeColor="text1"/>
          <w:sz w:val="24"/>
          <w:szCs w:val="24"/>
          <w:highlight w:val="none"/>
          <w:lang w:val="en-US" w:eastAsia="zh-CN"/>
          <w14:textFill>
            <w14:solidFill>
              <w14:schemeClr w14:val="tx1"/>
            </w14:solidFill>
          </w14:textFill>
        </w:rPr>
        <w:t xml:space="preserve">耐盐浴:划道两侧3mm外，应无鼓泡、锈蚀、剥落和起皱等现象。</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单层床强度和耐久性、甲醛释放量、TVOC、苯并[a]芘）。</w:t>
      </w:r>
      <w:r/>
    </w:p>
    <w:p>
      <w:pPr>
        <w:ind w:firstLine="480"/>
        <w:jc w:val="left"/>
        <w:spacing w:line="560" w:lineRule="exact"/>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2.床下</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衣柜和床下书桌</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，检验项目</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需要</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包含：外观要求（</w:t>
      </w:r>
      <w:r>
        <w:rPr>
          <w:rFonts w:hint="eastAsia" w:ascii="Arial" w:hAnsi="Arial" w:eastAsia="Arial" w:cs="Arial"/>
          <w:b w:val="0"/>
          <w:bCs w:val="0"/>
          <w:color w:val="000000" w:themeColor="text1"/>
          <w:sz w:val="24"/>
          <w:szCs w:val="24"/>
          <w:highlight w:val="none"/>
          <w:lang w:val="en-US" w:eastAsia="zh-CN"/>
          <w14:textFill>
            <w14:solidFill>
              <w14:schemeClr w14:val="tx1"/>
            </w14:solidFill>
          </w14:textFill>
        </w:rPr>
        <w:t xml:space="preserve">软硬质覆面人造板</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、五金件、塑料件）、</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木制件表面理化性能</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、金属拉手耐腐蚀性要求中检测时间不少于200小时、柜架类强度和耐久性、柜</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架</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类稳定性、结构安全性、甲醛释放量、TVOC、苯并[a]芘</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w:t>
      </w:r>
      <w:r/>
    </w:p>
    <w:p>
      <w:pPr>
        <w:ind w:firstLine="480"/>
        <w:jc w:val="left"/>
        <w:spacing w:line="560" w:lineRule="exact"/>
        <w:widowControl/>
        <w:rPr>
          <w:rFonts w:hint="default" w:ascii="Times New Roman" w:hAnsi="Times New Roman" w:eastAsia="宋体"/>
          <w:color w:val="000000" w:themeColor="text1"/>
          <w:sz w:val="24"/>
          <w:szCs w:val="32"/>
          <w:highlight w:val="none"/>
          <w:lang w:val="en-US" w:eastAsia="zh-CN"/>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3.学生椅</w:t>
      </w:r>
      <w:r>
        <w:rPr>
          <w:rFonts w:hint="eastAsia" w:ascii="Times New Roman" w:hAnsi="Times New Roman"/>
          <w:color w:val="000000" w:themeColor="text1"/>
          <w:sz w:val="24"/>
          <w:szCs w:val="32"/>
          <w:highlight w:val="none"/>
          <w14:textFill>
            <w14:solidFill>
              <w14:schemeClr w14:val="tx1"/>
            </w14:solidFill>
          </w14:textFill>
        </w:rPr>
        <w:t xml:space="preserve">，</w:t>
      </w:r>
      <w:bookmarkStart w:id="186" w:name="OLE_LINK84"/>
      <w:r>
        <w:rPr>
          <w:rFonts w:ascii="Times New Roman" w:hAnsi="Times New Roman"/>
          <w:color w:val="000000" w:themeColor="text1"/>
          <w:sz w:val="24"/>
          <w:szCs w:val="21"/>
          <w:highlight w:val="none"/>
          <w14:textFill>
            <w14:solidFill>
              <w14:schemeClr w14:val="tx1"/>
            </w14:solidFill>
          </w14:textFill>
        </w:rPr>
        <w:t xml:space="preserve">检验项目</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需要</w:t>
      </w:r>
      <w:r>
        <w:rPr>
          <w:rFonts w:ascii="Times New Roman" w:hAnsi="Times New Roman"/>
          <w:color w:val="000000" w:themeColor="text1"/>
          <w:sz w:val="24"/>
          <w:szCs w:val="21"/>
          <w:highlight w:val="none"/>
          <w14:textFill>
            <w14:solidFill>
              <w14:schemeClr w14:val="tx1"/>
            </w14:solidFill>
          </w14:textFill>
        </w:rPr>
        <w:t xml:space="preserve">包含</w:t>
      </w:r>
      <w:r>
        <w:rPr>
          <w:rFonts w:hint="eastAsia" w:ascii="Times New Roman" w:hAnsi="Times New Roman"/>
          <w:color w:val="000000" w:themeColor="text1"/>
          <w:sz w:val="24"/>
          <w:szCs w:val="21"/>
          <w:highlight w:val="none"/>
          <w14:textFill>
            <w14:solidFill>
              <w14:schemeClr w14:val="tx1"/>
            </w14:solidFill>
          </w14:textFill>
        </w:rPr>
        <w:t xml:space="preserve">：</w:t>
      </w:r>
      <w:bookmarkEnd w:id="186"/>
      <w:r>
        <w:rPr>
          <w:rFonts w:ascii="Times New Roman" w:hAnsi="Times New Roman"/>
          <w:color w:val="000000" w:themeColor="text1"/>
          <w:sz w:val="24"/>
          <w:szCs w:val="32"/>
          <w:highlight w:val="none"/>
          <w14:textFill>
            <w14:solidFill>
              <w14:schemeClr w14:val="tx1"/>
            </w14:solidFill>
          </w14:textFill>
        </w:rPr>
        <w:t xml:space="preserve">阻燃性≥2级，抑菌率≥99%，产烟毒性危险分级≤ZA1级）。</w:t>
      </w:r>
      <w:r/>
    </w:p>
    <w:p>
      <w:pPr>
        <w:ind w:firstLine="480"/>
        <w:jc w:val="left"/>
        <w:spacing w:line="400" w:lineRule="exact"/>
        <w:widowControl/>
        <w:rPr>
          <w:rFonts w:hint="eastAsia" w:ascii="Times New Roman" w:hAnsi="Times New Roman"/>
          <w:color w:val="000000" w:themeColor="text1"/>
          <w:sz w:val="24"/>
          <w:szCs w:val="32"/>
          <w:highlight w:val="none"/>
          <w14:textFill>
            <w14:solidFill>
              <w14:schemeClr w14:val="tx1"/>
            </w14:solidFill>
          </w14:textFill>
        </w:rPr>
      </w:pPr>
      <w:r/>
      <w:bookmarkStart w:id="187" w:name="OLE_LINK89"/>
      <w:r>
        <w:rPr>
          <w:rFonts w:hint="eastAsia" w:ascii="Times New Roman" w:hAnsi="Times New Roman"/>
          <w:color w:val="000000" w:themeColor="text1"/>
          <w:sz w:val="24"/>
          <w:szCs w:val="32"/>
          <w:highlight w:val="none"/>
          <w14:textFill>
            <w14:solidFill>
              <w14:schemeClr w14:val="tx1"/>
            </w14:solidFill>
          </w14:textFill>
        </w:rPr>
        <w:t xml:space="preserve">注：</w:t>
      </w:r>
      <w:r>
        <w:rPr>
          <w:rFonts w:hint="eastAsia"/>
          <w:color w:val="000000" w:themeColor="text1"/>
          <w:sz w:val="24"/>
          <w:szCs w:val="32"/>
          <w:highlight w:val="none"/>
          <w:lang w:val="en-US" w:eastAsia="zh-CN"/>
          <w14:textFill>
            <w14:solidFill>
              <w14:schemeClr w14:val="tx1"/>
            </w14:solidFill>
          </w14:textFill>
        </w:rPr>
        <w:t xml:space="preserve">1、</w:t>
      </w:r>
      <w:r>
        <w:rPr>
          <w:rFonts w:hint="eastAsia" w:ascii="Times New Roman" w:hAnsi="Times New Roman"/>
          <w:color w:val="000000" w:themeColor="text1"/>
          <w:sz w:val="24"/>
          <w:szCs w:val="32"/>
          <w:highlight w:val="none"/>
          <w14:textFill>
            <w14:solidFill>
              <w14:schemeClr w14:val="tx1"/>
            </w14:solidFill>
          </w14:textFill>
        </w:rPr>
        <w:t xml:space="preserve">以上检测项目可在同一份或多份CMA报告中体现，但须完整覆盖。</w:t>
      </w:r>
      <w:bookmarkEnd w:id="187"/>
      <w:r/>
      <w:r/>
    </w:p>
    <w:p>
      <w:pPr>
        <w:ind w:firstLine="480"/>
        <w:jc w:val="left"/>
        <w:spacing w:line="400" w:lineRule="exact"/>
        <w:widowControl/>
        <w:rPr>
          <w:rFonts w:hint="eastAsia" w:ascii="Times New Roman" w:hAnsi="Times New Roman"/>
          <w:color w:val="000000" w:themeColor="text1"/>
          <w:sz w:val="24"/>
          <w:szCs w:val="32"/>
          <w:highlight w:val="none"/>
          <w14:textFill>
            <w14:solidFill>
              <w14:schemeClr w14:val="tx1"/>
            </w14:solidFill>
          </w14:textFill>
        </w:rPr>
      </w:pPr>
      <w:r>
        <w:rPr>
          <w:rFonts w:hint="eastAsia" w:ascii="宋体" w:hAnsi="宋体"/>
          <w:color w:val="000000" w:themeColor="text1"/>
          <w:sz w:val="24"/>
          <w:szCs w:val="32"/>
          <w:highlight w:val="none"/>
          <w:lang w:val="en-US" w:eastAsia="zh-CN"/>
          <w14:textFill>
            <w14:solidFill>
              <w14:schemeClr w14:val="tx1"/>
            </w14:solidFill>
          </w14:textFill>
        </w:rPr>
        <w:t xml:space="preserve">2、</w:t>
      </w:r>
      <w:r>
        <w:rPr>
          <w:rFonts w:hint="eastAsia" w:ascii="宋体" w:hAnsi="宋体"/>
          <w:color w:val="000000" w:themeColor="text1"/>
          <w:sz w:val="24"/>
          <w:szCs w:val="32"/>
          <w:highlight w:val="none"/>
          <w14:textFill>
            <w14:solidFill>
              <w14:schemeClr w14:val="tx1"/>
            </w14:solidFill>
          </w14:textFill>
        </w:rPr>
        <w:t xml:space="preserve">在项目履约及验收阶段，所有检测标准均依据国家级行业现行有效标准。</w:t>
      </w:r>
      <w:r/>
    </w:p>
    <w:p>
      <w:pPr>
        <w:ind w:firstLine="482"/>
        <w:jc w:val="left"/>
        <w:spacing w:line="560" w:lineRule="exact"/>
        <w:widowControl/>
        <w:rPr>
          <w:rFonts w:hint="eastAsia" w:ascii="方正仿宋_GB2312" w:hAnsi="方正仿宋_GB2312" w:eastAsia="宋体" w:cs="方正仿宋_GB2312"/>
          <w:b/>
          <w:bCs/>
          <w:color w:val="000000" w:themeColor="text1"/>
          <w:sz w:val="24"/>
          <w:szCs w:val="32"/>
          <w:highlight w:val="none"/>
          <w:lang w:eastAsia="zh-CN"/>
          <w14:textFill>
            <w14:solidFill>
              <w14:schemeClr w14:val="tx1"/>
            </w14:solidFill>
          </w14:textFill>
        </w:rPr>
      </w:pPr>
      <w:r>
        <w:rPr>
          <w:rFonts w:hint="eastAsia" w:ascii="方正仿宋_GB2312" w:hAnsi="方正仿宋_GB2312" w:eastAsia="宋体" w:cs="方正仿宋_GB2312"/>
          <w:b/>
          <w:bCs/>
          <w:color w:val="000000" w:themeColor="text1"/>
          <w:sz w:val="24"/>
          <w:szCs w:val="32"/>
          <w:highlight w:val="none"/>
          <w:lang w:val="en-US" w:eastAsia="zh-CN"/>
          <w14:textFill>
            <w14:solidFill>
              <w14:schemeClr w14:val="tx1"/>
            </w14:solidFill>
          </w14:textFill>
        </w:rPr>
        <w:t xml:space="preserve">4.2 </w:t>
      </w:r>
      <w:r>
        <w:rPr>
          <w:rFonts w:hint="eastAsia" w:ascii="Times New Roman" w:hAnsi="Times New Roman"/>
          <w:b/>
          <w:bCs/>
          <w:color w:val="000000" w:themeColor="text1"/>
          <w:sz w:val="24"/>
          <w:szCs w:val="32"/>
          <w:highlight w:val="none"/>
          <w14:textFill>
            <w14:solidFill>
              <w14:schemeClr w14:val="tx1"/>
            </w14:solidFill>
          </w14:textFill>
        </w:rPr>
        <w:t xml:space="preserve">投标人需提供所投产品</w:t>
      </w:r>
      <w:r>
        <w:rPr>
          <w:rFonts w:hint="eastAsia"/>
          <w:b/>
          <w:bCs/>
          <w:color w:val="000000" w:themeColor="text1"/>
          <w:sz w:val="24"/>
          <w:szCs w:val="32"/>
          <w:highlight w:val="none"/>
          <w:lang w:val="en-US" w:eastAsia="zh-CN"/>
          <w14:textFill>
            <w14:solidFill>
              <w14:schemeClr w14:val="tx1"/>
            </w14:solidFill>
          </w14:textFill>
        </w:rPr>
        <w:t xml:space="preserve">原材料</w:t>
      </w:r>
      <w:r>
        <w:rPr>
          <w:rFonts w:hint="eastAsia" w:ascii="Times New Roman" w:hAnsi="Times New Roman"/>
          <w:b/>
          <w:bCs/>
          <w:color w:val="000000" w:themeColor="text1"/>
          <w:sz w:val="24"/>
          <w:szCs w:val="32"/>
          <w:highlight w:val="none"/>
          <w14:textFill>
            <w14:solidFill>
              <w14:schemeClr w14:val="tx1"/>
            </w14:solidFill>
          </w14:textFill>
        </w:rPr>
        <w:t xml:space="preserve">检验合格报告:报告由具备CMA资质认定的检测机构出具签发日期距投标截止之日不超过</w:t>
      </w:r>
      <w:r>
        <w:rPr>
          <w:rFonts w:hint="eastAsia"/>
          <w:b/>
          <w:bCs/>
          <w:color w:val="000000" w:themeColor="text1"/>
          <w:sz w:val="24"/>
          <w:szCs w:val="32"/>
          <w:highlight w:val="none"/>
          <w:lang w:val="en-US" w:eastAsia="zh-CN"/>
          <w14:textFill>
            <w14:solidFill>
              <w14:schemeClr w14:val="tx1"/>
            </w14:solidFill>
          </w14:textFill>
        </w:rPr>
        <w:t xml:space="preserve">24</w:t>
      </w:r>
      <w:r>
        <w:rPr>
          <w:rFonts w:hint="eastAsia" w:ascii="Times New Roman" w:hAnsi="Times New Roman"/>
          <w:b/>
          <w:bCs/>
          <w:color w:val="000000" w:themeColor="text1"/>
          <w:sz w:val="24"/>
          <w:szCs w:val="32"/>
          <w:highlight w:val="none"/>
          <w14:textFill>
            <w14:solidFill>
              <w14:schemeClr w14:val="tx1"/>
            </w14:solidFill>
          </w14:textFill>
        </w:rPr>
        <w:t xml:space="preserve">个月;报告应按规定标CMA标识(法律法规或主管部</w:t>
      </w:r>
      <w:r>
        <w:rPr>
          <w:rFonts w:hint="eastAsia"/>
          <w:b/>
          <w:bCs/>
          <w:color w:val="000000" w:themeColor="text1"/>
          <w:sz w:val="24"/>
          <w:szCs w:val="32"/>
          <w:highlight w:val="none"/>
          <w:lang w:val="en-US" w:eastAsia="zh-CN"/>
          <w14:textFill>
            <w14:solidFill>
              <w14:schemeClr w14:val="tx1"/>
            </w14:solidFill>
          </w14:textFill>
        </w:rPr>
        <w:t xml:space="preserve">门</w:t>
      </w:r>
      <w:r>
        <w:rPr>
          <w:rFonts w:hint="eastAsia" w:ascii="Times New Roman" w:hAnsi="Times New Roman"/>
          <w:b/>
          <w:bCs/>
          <w:color w:val="000000" w:themeColor="text1"/>
          <w:sz w:val="24"/>
          <w:szCs w:val="32"/>
          <w:highlight w:val="none"/>
          <w14:textFill>
            <w14:solidFill>
              <w14:schemeClr w14:val="tx1"/>
            </w14:solidFill>
          </w14:textFill>
        </w:rPr>
        <w:t xml:space="preserve">明确无需CMA的除外)。</w:t>
      </w:r>
      <w:r/>
    </w:p>
    <w:p>
      <w:pPr>
        <w:ind w:firstLine="480"/>
        <w:spacing w:line="360" w:lineRule="auto"/>
        <w:widowControl/>
        <w:rPr>
          <w:rFonts w:hint="eastAsia" w:ascii="Calibri" w:hAnsi="Calibri"/>
          <w:bCs/>
          <w:color w:val="000000" w:themeColor="text1"/>
          <w:sz w:val="24"/>
          <w:szCs w:val="24"/>
          <w:highlight w:val="none"/>
          <w:lang w:val="en-US" w:eastAsia="zh-CN"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1.多层实木板，检测项目需要包含：甲醛释放量≤0.050mg/m³；苯、甲苯、二甲苯释放量符合要求；TVOC≤0.05mg/m³,燃烧性能等级不低于B1级。</w:t>
      </w:r>
      <w:r/>
    </w:p>
    <w:p>
      <w:pPr>
        <w:ind w:firstLine="480"/>
        <w:spacing w:line="360" w:lineRule="auto"/>
        <w:widowControl/>
        <w:rPr>
          <w:rFonts w:hint="eastAsia" w:ascii="Calibri" w:hAnsi="Calibri"/>
          <w:bCs/>
          <w:color w:val="000000" w:themeColor="text1"/>
          <w:sz w:val="24"/>
          <w:szCs w:val="24"/>
          <w:highlight w:val="none"/>
          <w:lang w:val="en-US" w:eastAsia="zh-CN"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2.封边条，</w:t>
      </w:r>
      <w:bookmarkStart w:id="188" w:name="OLE_LINK35"/>
      <w:r>
        <w:rPr>
          <w:rFonts w:hint="eastAsia" w:ascii="Calibri" w:hAnsi="Calibri"/>
          <w:bCs/>
          <w:color w:val="000000" w:themeColor="text1"/>
          <w:sz w:val="24"/>
          <w:szCs w:val="24"/>
          <w:highlight w:val="none"/>
          <w:lang w:val="en-US" w:eastAsia="zh-CN" w:bidi="ar-SA"/>
          <w14:textFill>
            <w14:solidFill>
              <w14:schemeClr w14:val="tx1"/>
            </w14:solidFill>
          </w14:textFill>
        </w:rPr>
        <w:t xml:space="preserve">检验项目需要包含</w:t>
      </w:r>
      <w:bookmarkEnd w:id="188"/>
      <w:r>
        <w:rPr>
          <w:rFonts w:hint="eastAsia" w:ascii="Calibri" w:hAnsi="Calibri"/>
          <w:bCs/>
          <w:color w:val="000000" w:themeColor="text1"/>
          <w:sz w:val="24"/>
          <w:szCs w:val="24"/>
          <w:highlight w:val="none"/>
          <w:lang w:val="en-US" w:eastAsia="zh-CN" w:bidi="ar-SA"/>
          <w14:textFill>
            <w14:solidFill>
              <w14:schemeClr w14:val="tx1"/>
            </w14:solidFill>
          </w14:textFill>
        </w:rPr>
        <w:t xml:space="preserve">：抗菌性能：抗菌率≥99%，甲醛释放量、可迁移元素(可溶性重金属)邻苯二甲酸酯：未检出，耐磨性：磨40r后，应无露底现象；耐干热性≥四级【70℃】;  耐光色牢度(灰色样卡)≥4级。</w:t>
      </w:r>
      <w:r/>
    </w:p>
    <w:p>
      <w:pPr>
        <w:ind w:firstLine="480"/>
        <w:spacing w:line="360" w:lineRule="auto"/>
        <w:widowControl/>
        <w:rPr>
          <w:rFonts w:hint="eastAsia" w:ascii="Calibri" w:hAnsi="Calibri"/>
          <w:bCs/>
          <w:color w:val="000000" w:themeColor="text1"/>
          <w:sz w:val="24"/>
          <w:szCs w:val="24"/>
          <w:highlight w:val="none"/>
          <w:lang w:val="en-US" w:eastAsia="zh-CN"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3.钢管，</w:t>
      </w:r>
      <w:bookmarkStart w:id="189" w:name="OLE_LINK38"/>
      <w:r>
        <w:rPr>
          <w:rFonts w:hint="eastAsia" w:ascii="Calibri" w:hAnsi="Calibri"/>
          <w:bCs/>
          <w:color w:val="000000" w:themeColor="text1"/>
          <w:sz w:val="24"/>
          <w:szCs w:val="24"/>
          <w:highlight w:val="none"/>
          <w:lang w:val="en-US" w:eastAsia="zh-CN" w:bidi="ar-SA"/>
          <w14:textFill>
            <w14:solidFill>
              <w14:schemeClr w14:val="tx1"/>
            </w14:solidFill>
          </w14:textFill>
        </w:rPr>
        <w:t xml:space="preserve">检验项目需要包含：</w:t>
      </w:r>
      <w:bookmarkEnd w:id="189"/>
      <w:r>
        <w:rPr>
          <w:rFonts w:hint="eastAsia" w:ascii="Calibri" w:hAnsi="Calibri"/>
          <w:bCs/>
          <w:color w:val="000000" w:themeColor="text1"/>
          <w:sz w:val="24"/>
          <w:szCs w:val="24"/>
          <w:highlight w:val="none"/>
          <w:lang w:val="en-US" w:eastAsia="zh-CN" w:bidi="ar-SA"/>
          <w14:textFill>
            <w14:solidFill>
              <w14:schemeClr w14:val="tx1"/>
            </w14:solidFill>
          </w14:textFill>
        </w:rPr>
        <w:t xml:space="preserve">3.1.外观性能金属件喷漆(塑)涂层：应无漏喷、锈蚀、脱色、掉色等；应光滑均匀，色泽一致，应无流挂、疙瘩、皱皮、飞漆等。3.2.金属喷漆(塑)涂层硬度≥5H,附着力达到不低于1级，冲击强度、耐盐浴:划道两侧3mm外，应无鼓泡、锈蚀、剥落和起皱等现象。3.中性盐雾试验、乙酸盐雾试验、铜加速乙酸盐雾试验、铜加速乙酸盐雾试验连续喷雾≥200h,镀层本身的耐腐蚀等级和镀层对基体的保护等级≥10级；4.产品有害物质8项元素均未检出。</w:t>
      </w:r>
      <w:r/>
    </w:p>
    <w:p>
      <w:pPr>
        <w:ind w:firstLine="480"/>
        <w:spacing w:line="360" w:lineRule="auto"/>
        <w:widowControl/>
        <w:rPr>
          <w:rFonts w:hint="eastAsia" w:ascii="Calibri" w:hAnsi="Calibri"/>
          <w:bCs/>
          <w:color w:val="000000" w:themeColor="text1"/>
          <w:sz w:val="24"/>
          <w:szCs w:val="24"/>
          <w:highlight w:val="none"/>
          <w:lang w:val="en-US" w:eastAsia="zh-CN"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4.铰链（阻尼门铰），检验项目需要包含：中性盐雾试验（200h）≥10级，耐久性：10万次，操作力：在耐久性试验前后，打开力和关闭力不应大于20N,下沉量≤1mm。</w:t>
      </w:r>
      <w:r/>
    </w:p>
    <w:p>
      <w:pPr>
        <w:ind w:firstLine="480"/>
        <w:spacing w:line="360" w:lineRule="auto"/>
        <w:widowControl/>
        <w:rPr>
          <w:rFonts w:hint="eastAsia" w:ascii="Calibri" w:hAnsi="Calibri"/>
          <w:bCs/>
          <w:color w:val="000000" w:themeColor="text1"/>
          <w:sz w:val="24"/>
          <w:szCs w:val="24"/>
          <w:highlight w:val="none"/>
          <w:lang w:val="en-US" w:eastAsia="zh-CN"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5.导轨，检验项目需要包含：中性盐雾试验（200h）≥10级、耐久性：10万次。</w:t>
      </w:r>
      <w:r/>
    </w:p>
    <w:p>
      <w:pPr>
        <w:ind w:firstLine="480"/>
        <w:spacing w:line="360" w:lineRule="auto"/>
        <w:widowControl/>
        <w:rPr>
          <w:rFonts w:hint="eastAsia" w:ascii="Calibri" w:hAnsi="Calibri"/>
          <w:bCs/>
          <w:color w:val="000000" w:themeColor="text1"/>
          <w:sz w:val="24"/>
          <w:szCs w:val="24"/>
          <w:highlight w:val="none"/>
          <w:lang w:val="en-US" w:eastAsia="zh-CN"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6.PP塑料，检验项目需要包含：防霉菌性能、硬度符合要求 。</w:t>
      </w:r>
      <w:r/>
    </w:p>
    <w:p>
      <w:pPr>
        <w:ind w:firstLine="480"/>
        <w:spacing w:line="360" w:lineRule="auto"/>
        <w:widowControl/>
        <w:rPr>
          <w:rFonts w:hint="eastAsia" w:ascii="Times New Roman" w:hAnsi="Times New Roman"/>
          <w:color w:val="000000" w:themeColor="text1"/>
          <w:sz w:val="24"/>
          <w:szCs w:val="32"/>
          <w:highlight w:val="none"/>
          <w14:textFill>
            <w14:solidFill>
              <w14:schemeClr w14:val="tx1"/>
            </w14:solidFill>
          </w14:textFill>
        </w:rPr>
      </w:pPr>
      <w:r>
        <w:rPr>
          <w:rFonts w:hint="eastAsia" w:ascii="Times New Roman" w:hAnsi="Times New Roman"/>
          <w:color w:val="000000" w:themeColor="text1"/>
          <w:sz w:val="24"/>
          <w:szCs w:val="32"/>
          <w:highlight w:val="none"/>
          <w14:textFill>
            <w14:solidFill>
              <w14:schemeClr w14:val="tx1"/>
            </w14:solidFill>
          </w14:textFill>
        </w:rPr>
        <w:t xml:space="preserve">注：</w:t>
      </w:r>
      <w:r>
        <w:rPr>
          <w:rFonts w:hint="eastAsia"/>
          <w:color w:val="000000" w:themeColor="text1"/>
          <w:sz w:val="24"/>
          <w:szCs w:val="32"/>
          <w:highlight w:val="none"/>
          <w:lang w:val="en-US" w:eastAsia="zh-CN"/>
          <w14:textFill>
            <w14:solidFill>
              <w14:schemeClr w14:val="tx1"/>
            </w14:solidFill>
          </w14:textFill>
        </w:rPr>
        <w:t xml:space="preserve">1、</w:t>
      </w:r>
      <w:r>
        <w:rPr>
          <w:rFonts w:hint="eastAsia" w:ascii="Times New Roman" w:hAnsi="Times New Roman"/>
          <w:color w:val="000000" w:themeColor="text1"/>
          <w:sz w:val="24"/>
          <w:szCs w:val="32"/>
          <w:highlight w:val="none"/>
          <w14:textFill>
            <w14:solidFill>
              <w14:schemeClr w14:val="tx1"/>
            </w14:solidFill>
          </w14:textFill>
        </w:rPr>
        <w:t xml:space="preserve">以上检测项目可在同一份或多份CMA报告中体现，但须完整覆盖。</w:t>
      </w:r>
      <w:r/>
    </w:p>
    <w:p>
      <w:pPr>
        <w:numPr>
          <w:ilvl w:val="0"/>
          <w:numId w:val="15"/>
        </w:numPr>
        <w:ind w:firstLine="480"/>
        <w:spacing w:line="360" w:lineRule="auto"/>
        <w:widowControl/>
        <w:rPr>
          <w:rFonts w:hint="eastAsia" w:ascii="宋体" w:hAnsi="宋体"/>
          <w:color w:val="000000" w:themeColor="text1"/>
          <w:sz w:val="24"/>
          <w:szCs w:val="32"/>
          <w:highlight w:val="none"/>
          <w14:textFill>
            <w14:solidFill>
              <w14:schemeClr w14:val="tx1"/>
            </w14:solidFill>
          </w14:textFill>
        </w:rPr>
      </w:pPr>
      <w:r>
        <w:rPr>
          <w:rFonts w:hint="eastAsia" w:ascii="宋体" w:hAnsi="宋体"/>
          <w:color w:val="000000" w:themeColor="text1"/>
          <w:sz w:val="24"/>
          <w:szCs w:val="32"/>
          <w:highlight w:val="none"/>
          <w14:textFill>
            <w14:solidFill>
              <w14:schemeClr w14:val="tx1"/>
            </w14:solidFill>
          </w14:textFill>
        </w:rPr>
        <w:t xml:space="preserve">在项目履约及验收阶段，所有检测标准均依据国家级行业现行有效标准。</w:t>
      </w:r>
      <w:r/>
    </w:p>
    <w:p>
      <w:pPr>
        <w:numPr>
          <w:ilvl w:val="0"/>
          <w:numId w:val="0"/>
        </w:numPr>
        <w:ind w:left="420"/>
        <w:jc w:val="left"/>
        <w:spacing w:line="500" w:lineRule="exact"/>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五、投标样品提供</w:t>
      </w:r>
      <w:r/>
    </w:p>
    <w:p>
      <w:pPr>
        <w:ind w:firstLine="480"/>
        <w:jc w:val="left"/>
        <w:spacing w:line="560" w:lineRule="exact"/>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5</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.1项目要求提供样品的，中标人的样品由采购人负责保管、封存，并作为履约验收的参考。未中标人的样品将及时退还。</w:t>
      </w:r>
      <w:r/>
    </w:p>
    <w:p>
      <w:pPr>
        <w:ind w:firstLine="480"/>
        <w:jc w:val="left"/>
        <w:spacing w:line="560" w:lineRule="exact"/>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5</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.2投标供应商递交以下样品：</w:t>
      </w:r>
      <w:r/>
    </w:p>
    <w:p>
      <w:pPr>
        <w:ind w:firstLine="480"/>
        <w:jc w:val="left"/>
        <w:spacing w:line="560" w:lineRule="exact"/>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5</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.2.1材料样品一套：请投标供应商按照招标文件的要求提供所投产品的小样，具体如下：</w:t>
      </w:r>
      <w:r/>
    </w:p>
    <w:tbl>
      <w:tblPr>
        <w:tblStyle w:val="705"/>
        <w:tblW w:w="5300" w:type="pct"/>
        <w:jc w:val="center"/>
        <w:tblLayout w:type="fixed"/>
        <w:tblCellMar>
          <w:left w:w="108" w:type="dxa"/>
          <w:top w:w="0" w:type="dxa"/>
          <w:right w:w="108" w:type="dxa"/>
          <w:bottom w:w="0" w:type="dxa"/>
        </w:tblCellMar>
        <w:tblLook w:val="04A0" w:firstRow="1" w:lastRow="0" w:firstColumn="1" w:lastColumn="0" w:noHBand="0" w:noVBand="1"/>
      </w:tblPr>
      <w:tblGrid>
        <w:gridCol w:w="595"/>
        <w:gridCol w:w="885"/>
        <w:gridCol w:w="1718"/>
        <w:gridCol w:w="4848"/>
        <w:gridCol w:w="994"/>
      </w:tblGrid>
      <w:tr>
        <w:trPr>
          <w:jc w:val="center"/>
          <w:trHeight w:val="661"/>
          <w:tblHeader/>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样品名称</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Times New Roman" w:hAnsi="Times New Roman"/>
                <w:b/>
                <w:bCs/>
                <w:color w:val="000000" w:themeColor="text1"/>
                <w:sz w:val="24"/>
                <w:szCs w:val="24"/>
                <w:highlight w:val="none"/>
                <w14:textFill>
                  <w14:solidFill>
                    <w14:schemeClr w14:val="tx1"/>
                  </w14:solidFill>
                </w14:textFill>
              </w:rPr>
              <w:t xml:space="preserve">样品尺寸</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ascii="Times New Roman" w:hAnsi="Times New Roman"/>
                <w:b/>
                <w:bCs/>
                <w:color w:val="000000" w:themeColor="text1"/>
                <w:sz w:val="24"/>
                <w:szCs w:val="24"/>
                <w:highlight w:val="none"/>
                <w14:textFill>
                  <w14:solidFill>
                    <w14:schemeClr w14:val="tx1"/>
                  </w14:solidFill>
                </w14:textFill>
              </w:rPr>
              <w:t xml:space="preserve">样品</w:t>
            </w:r>
            <w:r>
              <w:rPr>
                <w:rFonts w:hint="eastAsia" w:ascii="Times New Roman" w:hAnsi="Times New Roman"/>
                <w:b/>
                <w:bCs/>
                <w:color w:val="000000" w:themeColor="text1"/>
                <w:sz w:val="24"/>
                <w:szCs w:val="24"/>
                <w:highlight w:val="none"/>
                <w14:textFill>
                  <w14:solidFill>
                    <w14:schemeClr w14:val="tx1"/>
                  </w14:solidFill>
                </w14:textFill>
              </w:rPr>
              <w:t xml:space="preserve">材质、工艺、外观</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备注</w:t>
            </w:r>
            <w:r/>
          </w:p>
        </w:tc>
      </w:tr>
      <w:tr>
        <w:trPr>
          <w:jc w:val="center"/>
          <w:trHeight w:val="391"/>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床前护栏</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长度</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850mm（含推拉窗，推拉窗整体</w:t>
            </w:r>
            <w:r>
              <w:rPr>
                <w:rFonts w:hint="eastAsia" w:cs="Times New Roman"/>
                <w:color w:val="000000" w:themeColor="text1"/>
                <w:sz w:val="24"/>
                <w:szCs w:val="24"/>
                <w:highlight w:val="none"/>
                <w:lang w:val="en-US" w:eastAsia="zh-CN" w:bidi="ar-SA"/>
                <w14:textFill>
                  <w14:solidFill>
                    <w14:schemeClr w14:val="tx1"/>
                  </w14:solidFill>
                </w14:textFill>
              </w:rPr>
              <w:t xml:space="preserve">规</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格:≥700*300*40mm）</w:t>
            </w:r>
            <w:r/>
          </w:p>
          <w:p>
            <w:pPr>
              <w:jc w:val="center"/>
              <w:widowControl/>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高度≥</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450mm</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spacing w:line="360" w:lineRule="exact"/>
              <w:widowControl/>
              <w:rPr>
                <w:rFonts w:hint="default" w:ascii="宋体" w:hAnsi="宋体" w:eastAsia="宋体" w:cs="Times New Roman"/>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采用钢、铝、塑、木材料</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widowControl/>
              <w:rPr>
                <w:rFonts w:hint="default" w:ascii="宋体" w:hAnsi="宋体" w:eastAsia="宋体" w:cs="Times New Roman"/>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工艺：嵌入一块18mm厚的实木多层板</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前护栏带推拉窗</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推拉窗整体规格：700*300*40，外形采用跑道圆设计，圆弧部分</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ABS</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材质注塑工艺一次成型，滑道采用铝型材，设一个观察窗。</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无流挂、疙瘩、皱皮等缺陷，安全稳定</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外观：</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不生锈、不掉漆的特性；焊接表面波纹均匀，焊接处无夹渣、气孔、焊瘤、焊丝头咬边飞溅，无脱焊、虚焊及焊穿现象。整体美观，表面涂层应光滑均匀，色泽一致</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673"/>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立柱</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长度300mm</w:t>
            </w:r>
            <w:r>
              <w:rPr>
                <w:rFonts w:ascii="Times New Roman" w:hAnsi="Times New Roman"/>
                <w:color w:val="000000" w:themeColor="text1"/>
                <w:sz w:val="24"/>
                <w:szCs w:val="24"/>
                <w:highlight w:val="none"/>
                <w14:textFill>
                  <w14:solidFill>
                    <w14:schemeClr w14:val="tx1"/>
                  </w14:solidFill>
                </w14:textFill>
              </w:rPr>
              <w:br/>
            </w:r>
            <w:r>
              <w:rPr>
                <w:rFonts w:ascii="Times New Roman" w:hAnsi="Times New Roman"/>
                <w:color w:val="000000" w:themeColor="text1"/>
                <w:sz w:val="24"/>
                <w:szCs w:val="24"/>
                <w:highlight w:val="none"/>
                <w14:textFill>
                  <w14:solidFill>
                    <w14:schemeClr w14:val="tx1"/>
                  </w14:solidFill>
                </w14:textFill>
              </w:rPr>
              <w:t xml:space="preserve">立面成型后尺寸规格≥72mm*72mm，壁厚≥1.5mm</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材质：钢；立柱脚采用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PP</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塑料的防滑静音内塞。</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工艺：立面为中空异形闭口型材，正面为圆弧形设计，无流挂、疙瘩、皱皮等缺陷，安全稳定。</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外观：整体美观，表面涂层应光滑均匀，色泽一致。</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698"/>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前/后床厅管/侧床厅矩形管</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长度300mm</w:t>
            </w:r>
            <w:r>
              <w:rPr>
                <w:rFonts w:ascii="Times New Roman" w:hAnsi="Times New Roman"/>
                <w:color w:val="000000" w:themeColor="text1"/>
                <w:sz w:val="24"/>
                <w:szCs w:val="24"/>
                <w:highlight w:val="none"/>
                <w14:textFill>
                  <w14:solidFill>
                    <w14:schemeClr w14:val="tx1"/>
                  </w14:solidFill>
                </w14:textFill>
              </w:rPr>
              <w:br/>
            </w:r>
            <w:r>
              <w:rPr>
                <w:rFonts w:ascii="Times New Roman" w:hAnsi="Times New Roman"/>
                <w:color w:val="000000" w:themeColor="text1"/>
                <w:sz w:val="24"/>
                <w:szCs w:val="24"/>
                <w:highlight w:val="none"/>
                <w14:textFill>
                  <w14:solidFill>
                    <w14:schemeClr w14:val="tx1"/>
                  </w14:solidFill>
                </w14:textFill>
              </w:rPr>
              <w:t xml:space="preserve">立面尺寸≥80mm*30mm管,壁厚≥1.5mm</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钢</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工艺：无流挂、疙瘩、皱皮等缺陷，安全稳定。</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整体美观，表面涂层应光滑均匀，色泽一致</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衣柜柜门</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厚度：</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18mm</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 </w:t>
            </w:r>
            <w:r/>
          </w:p>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门板尺寸：</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300mm×300mm</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带铝合金暗拉手</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采用≥</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18mm厚</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实木多层板</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门板采用铝合金暗扣拉手</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配置隐藏式圆柱孔门锁</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，四周边缘采用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PP</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环保塑料成型注塑封边，</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材质均匀细腻，表面平整光滑无瑕疵，结构稳定且不易变形开裂，拉手手感顺滑无毛刺</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外观造型要求，整体美观，色彩搭配合理</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桌面板</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尺寸</w:t>
            </w:r>
            <w:r>
              <w:rPr>
                <w:rFonts w:hint="eastAsia" w:ascii="Times New Roman" w:hAnsi="Times New Roman"/>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300mm×300mm截面厚度</w:t>
            </w:r>
            <w:r>
              <w:rPr>
                <w:rFonts w:hint="eastAsia" w:ascii="Times New Roman" w:hAnsi="Times New Roman"/>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≥25mm</w:t>
            </w:r>
            <w:r/>
          </w:p>
        </w:tc>
        <w:tc>
          <w:tcPr>
            <w:tcBorders>
              <w:top w:val="single" w:color="000000" w:sz="4" w:space="0"/>
              <w:left w:val="single" w:color="000000" w:sz="4" w:space="0"/>
              <w:bottom w:val="none" w:color="000000" w:sz="4" w:space="0"/>
              <w:right w:val="single" w:color="000000" w:sz="4" w:space="0"/>
            </w:tcBorders>
            <w:tcW w:w="4848" w:type="dxa"/>
            <w:vAlign w:val="center"/>
            <w:textDirection w:val="lrTb"/>
            <w:noWrap w:val="false"/>
          </w:tcPr>
          <w:p>
            <w:pPr>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实木多层板</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前口鸭嘴边设计，其余三边圆弧角设计</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，材质均匀细腻，表面平整光滑无瑕疵</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具有较高的强度和平整度。</w:t>
            </w:r>
            <w:r/>
          </w:p>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平整光滑、无异味，无开裂现象</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none" w:color="000000" w:sz="4" w:space="0"/>
              <w:right w:val="single" w:color="000000" w:sz="4" w:space="0"/>
            </w:tcBorders>
            <w:tcW w:w="994"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铰链</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常规</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材质：不锈钢。</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工艺：手感顺滑无毛刺、无可见的变形、翘曲。</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外观：整体安全美观，耐磨损等特性。</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导轨</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常规</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材质：不锈钢。</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工艺：轨道推拉顺滑无卡顿。</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外观：整体安全美观。</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床板</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长度300mm</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br/>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宽度≥70mm，</w:t>
            </w:r>
            <w:r/>
          </w:p>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厚度≥18mm</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spacing w:line="360" w:lineRule="exact"/>
              <w:widowControl/>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双面刨光杉木床板</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每两根木条的距离间隙≤10mm</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每块床板需要有≥4根（≥40×20mm）实木方料做横档加固</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板条与横档需要用不锈钢螺丝固定连接</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highlight w:val="none"/>
                <w:lang w:val="en-US" w:bidi="ar-SA"/>
                <w14:textFill>
                  <w14:solidFill>
                    <w14:schemeClr w14:val="tx1"/>
                  </w14:solidFill>
                </w14:textFill>
              </w:rPr>
              <w:t xml:space="preserve">材质均匀细腻，表面平整光滑无瑕疵,具有较高的强度和平整度。</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default" w:ascii="Times New Roman" w:hAnsi="Times New Roman" w:eastAsia="宋体" w:cs="Times New Roman"/>
                <w:color w:val="000000" w:themeColor="text1"/>
                <w:sz w:val="24"/>
                <w:highlight w:val="none"/>
                <w:lang w:val="en-US" w:bidi="ar-SA"/>
                <w14:textFill>
                  <w14:solidFill>
                    <w14:schemeClr w14:val="tx1"/>
                  </w14:solidFill>
                </w14:textFill>
              </w:rPr>
              <w:t xml:space="preserve">造型要求，平整光滑、无异味，无开裂现象</w:t>
            </w:r>
            <w:r>
              <w:rPr>
                <w:rFonts w:hint="eastAsia" w:ascii="Times New Roman" w:hAnsi="Times New Roman" w:eastAsia="宋体" w:cs="Times New Roman"/>
                <w:color w:val="000000" w:themeColor="text1"/>
                <w:sz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学生椅</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line="374"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bookmarkStart w:id="190" w:name="OLE_LINK151"/>
            <w:r>
              <w:rPr>
                <w:rFonts w:ascii="Times New Roman" w:hAnsi="Times New Roman"/>
                <w:color w:val="000000" w:themeColor="text1"/>
                <w:sz w:val="24"/>
                <w:szCs w:val="24"/>
                <w:highlight w:val="none"/>
                <w14:textFill>
                  <w14:solidFill>
                    <w14:schemeClr w14:val="tx1"/>
                  </w14:solidFill>
                </w14:textFill>
              </w:rPr>
              <w:t xml:space="preserve">尺寸：≥450*500*850mm</w:t>
            </w:r>
            <w:bookmarkEnd w:id="190"/>
            <w:r>
              <w:rPr>
                <w:rFonts w:hint="eastAsia" w:ascii="Times New Roman" w:hAnsi="Times New Roman"/>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
                <w14:textFill>
                  <w14:solidFill>
                    <w14:schemeClr w14:val="tx1"/>
                  </w14:solidFill>
                </w14:textFill>
              </w:rPr>
              <w:t xml:space="preserve">钢</w:t>
            </w:r>
            <w:r>
              <w:rPr>
                <w:rFonts w:hint="eastAsia" w:ascii="Times New Roman" w:hAnsi="Times New Roman" w:eastAsia="宋体" w:cs="Times New Roman"/>
                <w:color w:val="000000" w:themeColor="text1"/>
                <w:sz w:val="24"/>
                <w:szCs w:val="24"/>
                <w:highlight w:val="none"/>
                <w:lang w:val="en-US" w:bidi="ar"/>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PP(聚丙烯)</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widowControl/>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工艺及细节要求：1.椅座：</w:t>
            </w:r>
            <w:bookmarkStart w:id="191" w:name="OLE_LINK188"/>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一体成型</w:t>
            </w:r>
            <w:bookmarkEnd w:id="191"/>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厚度≥8mm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座面安装高度≥440mm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深装饰沟槽面</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背面配PP材质弧形螺丝闷盖</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2.椅背：</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一体成型</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厚度≥6mm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座椅总高度≥850mm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背宽≥410mm，背高≥410mm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座宽≥450mm，座深≥500mm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防滑透气面设有多根筋位，防滑透气；</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椅脚：采用圆管≥φ19mm*2.0mm厚</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地脚配有4个PP材质脚垫。</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喷塑涂层厚薄均匀、无流挂、无褶皱，结构稳定，符合人体工程学。</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造型要求，整体安全美观，边口圆润光滑无毛刺，平整牢固。</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整件</w:t>
            </w:r>
            <w:r/>
          </w:p>
        </w:tc>
      </w:tr>
    </w:tbl>
    <w:p>
      <w:pPr>
        <w:ind w:firstLine="480"/>
        <w:spacing w:line="360" w:lineRule="auto"/>
        <w:widowControl/>
        <w:rPr>
          <w:rFonts w:hint="eastAsia" w:ascii="宋体" w:hAnsi="宋体" w:eastAsia="宋体" w:cs="Times New Roman"/>
          <w:b/>
          <w:color w:val="000000" w:themeColor="text1"/>
          <w:sz w:val="24"/>
          <w:szCs w:val="24"/>
          <w:highlight w:val="none"/>
          <w:lang w:val="en-US" w:bidi="ar-SA"/>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注:</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（1）</w:t>
      </w: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样品制作标准参照采购需求中的技术参数要求制作。</w:t>
      </w:r>
      <w:r/>
    </w:p>
    <w:p>
      <w:pPr>
        <w:numPr>
          <w:ilvl w:val="0"/>
          <w:numId w:val="8"/>
        </w:numPr>
        <w:ind w:left="0" w:firstLine="420"/>
        <w:jc w:val="left"/>
        <w:spacing w:line="431" w:lineRule="exact"/>
        <w:rPr>
          <w:rFonts w:hint="eastAsia" w:ascii="宋体" w:hAnsi="宋体" w:eastAsia="宋体" w:cs="Times New Roman"/>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投标人所提供的样品与招标文件要求不符合或未提供对应样品不得分，3D打印的样品不得分。</w:t>
      </w:r>
      <w:r/>
    </w:p>
    <w:p>
      <w:pPr>
        <w:numPr>
          <w:ilvl w:val="0"/>
          <w:numId w:val="8"/>
        </w:numPr>
        <w:ind w:left="0" w:firstLine="420"/>
        <w:spacing w:line="360" w:lineRule="auto"/>
        <w:widowControl/>
        <w:rPr>
          <w:rFonts w:hint="eastAsia" w:ascii="宋体" w:hAnsi="宋体" w:cs="宋体"/>
          <w:color w:val="000000" w:themeColor="text1"/>
          <w:sz w:val="24"/>
          <w:highlight w:val="none"/>
          <w:lang w:val="en-US" w:eastAsia="zh-CN"/>
          <w14:textFill>
            <w14:solidFill>
              <w14:schemeClr w14:val="tx1"/>
            </w14:solidFill>
          </w14:textFill>
        </w:rPr>
      </w:pPr>
      <w:r/>
      <w:bookmarkStart w:id="192" w:name="OLE_LINK168"/>
      <w:r>
        <w:rPr>
          <w:rFonts w:hint="eastAsia" w:ascii="宋体" w:hAnsi="宋体" w:cs="宋体"/>
          <w:color w:val="000000" w:themeColor="text1"/>
          <w:sz w:val="24"/>
          <w:highlight w:val="none"/>
          <w:lang w:val="en-US" w:eastAsia="zh-CN"/>
          <w14:textFill>
            <w14:solidFill>
              <w14:schemeClr w14:val="tx1"/>
            </w14:solidFill>
          </w14:textFill>
        </w:rPr>
        <w:t xml:space="preserve">采购包1、采购包2、采购包3涉及的相同样品（如：床前护栏、立柱、前/后床厅管、侧床厅矩形管、衣柜柜门、桌面板、铰链、导轨、学生椅、床板），投标人可选择整体提交一套，也可选择按采购包分别提供。</w:t>
      </w:r>
      <w:r/>
    </w:p>
    <w:p>
      <w:pPr>
        <w:numPr>
          <w:ilvl w:val="0"/>
          <w:numId w:val="0"/>
        </w:numPr>
        <w:ind w:left="420"/>
        <w:spacing w:line="360" w:lineRule="auto"/>
        <w:widowControl/>
        <w:rPr>
          <w:rFonts w:hint="eastAsia" w:ascii="宋体" w:hAnsi="宋体" w:eastAsia="宋体" w:cs="Times New Roman"/>
          <w:b/>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5.</w:t>
      </w: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样品提交</w:t>
      </w:r>
      <w:r/>
    </w:p>
    <w:p>
      <w:pPr>
        <w:ind w:firstLine="480"/>
        <w:spacing w:line="360" w:lineRule="auto"/>
        <w:widowControl/>
        <w:rPr>
          <w:rFonts w:hint="eastAsia"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（1）投标人提供的样品应为全新的产品。样品提交时间：2026年</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月   </w:t>
      </w:r>
      <w:r>
        <w:rPr>
          <w:rFonts w:hint="eastAsia" w:ascii="宋体" w:hAnsi="宋体" w:cs="Times New Roman"/>
          <w:bCs/>
          <w:color w:val="ff0000"/>
          <w:sz w:val="24"/>
          <w:szCs w:val="24"/>
          <w:highlight w:val="none"/>
          <w:lang w:val="en-US" w:eastAsia="zh-CN" w:bidi="ar-SA"/>
        </w:rPr>
        <w:t xml:space="preserve">16</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日</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上午10</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30-12:00、下午14:00-17</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0。</w:t>
      </w:r>
      <w:r/>
    </w:p>
    <w:p>
      <w:pPr>
        <w:ind w:firstLine="480"/>
        <w:spacing w:line="360" w:lineRule="auto"/>
        <w:widowControl/>
        <w:rPr>
          <w:rFonts w:hint="eastAsia"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样品不显示品牌、制造商及投标单位名称信息。样品制作及运输费用由投标人自行承担，因投标人原因导致样品无法按要求送达指定地点的，责任由投标人自负。</w:t>
      </w:r>
      <w:r/>
    </w:p>
    <w:p>
      <w:pPr>
        <w:ind w:firstLine="480"/>
        <w:spacing w:line="360" w:lineRule="auto"/>
        <w:widowControl/>
        <w:rPr>
          <w:rFonts w:hint="default" w:ascii="宋体" w:hAnsi="宋体" w:eastAsia="宋体" w:cs="Times New Roman"/>
          <w:b/>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5.</w:t>
      </w: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采购人接收及退还要求</w:t>
      </w:r>
      <w:r/>
    </w:p>
    <w:p>
      <w:pPr>
        <w:ind w:firstLine="480"/>
        <w:spacing w:line="360" w:lineRule="auto"/>
        <w:widowControl/>
        <w:rPr>
          <w:rFonts w:hint="default"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（1）样品由采购人</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和采购代理机构</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负责接收，每种样品只接收一个。接收地点：宿迁市公共资源交易中心（宿迁市便民方舟2#11楼开标厅，具体房间号按现场指示牌要求执行）。联系人：</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杨</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老师</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，联系方式：13218917936；李许静，联系方式：18036985612。</w:t>
      </w:r>
      <w:r/>
    </w:p>
    <w:p>
      <w:pPr>
        <w:ind w:firstLine="480"/>
        <w:spacing w:line="360" w:lineRule="auto"/>
        <w:widowControl/>
        <w:rPr>
          <w:rFonts w:hint="default"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样品递交截止时间后递交的样品将被拒绝接收。</w:t>
      </w:r>
      <w:r/>
    </w:p>
    <w:p>
      <w:pPr>
        <w:ind w:firstLine="480"/>
        <w:spacing w:line="360" w:lineRule="auto"/>
        <w:widowControl/>
        <w:rPr>
          <w:rFonts w:hint="default"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（2）样品的退还。未中标样品在在招标投标活动结束后由投标人自行搬运离开（费用自理）。各投标人应在接到退还通知后，48小时内将样品搬离；</w:t>
      </w:r>
      <w:bookmarkStart w:id="193" w:name="OLE_LINK169"/>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超时</w:t>
      </w:r>
      <w:bookmarkEnd w:id="193"/>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未取走的，由采购人自行处置。中标人的样品由中标人负责运送到采购人指定地点并封存，作为履约验收参考。</w:t>
      </w:r>
      <w:bookmarkEnd w:id="192"/>
      <w:r/>
    </w:p>
    <w:p>
      <w:pPr>
        <w:ind w:firstLine="480"/>
        <w:jc w:val="left"/>
        <w:spacing w:line="431"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六</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样板间要求</w:t>
      </w:r>
      <w:r/>
    </w:p>
    <w:p>
      <w:pPr>
        <w:ind w:firstLine="480"/>
        <w:jc w:val="left"/>
        <w:spacing w:line="431" w:lineRule="exact"/>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供应商在确定中标后，应按照采购人指定时间、地点，搭建成品样板间，经采购人确认后，方可批量生产。样板间的一切费用（包含安拆、运费等）由供应商自行承担</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710"/>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10"/>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10"/>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10"/>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10"/>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10"/>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10"/>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10"/>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10"/>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10"/>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10"/>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10"/>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10"/>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10"/>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10"/>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10"/>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10"/>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10"/>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10"/>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10"/>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10"/>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10"/>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10"/>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r>
      <w:r/>
    </w:p>
    <w:p>
      <w:pPr>
        <w:pStyle w:val="710"/>
        <w:rPr>
          <w:rFonts w:hint="eastAsia" w:ascii="宋体" w:hAnsi="宋体" w:cs="微软雅黑"/>
          <w:b/>
          <w:bCs/>
          <w:color w:val="000000" w:themeColor="text1"/>
          <w:sz w:val="32"/>
          <w:szCs w:val="32"/>
          <w:highlight w:val="none"/>
          <w:lang w:val="en-US" w:eastAsia="zh-CN"/>
          <w14:textFill>
            <w14:solidFill>
              <w14:schemeClr w14:val="tx1"/>
            </w14:solidFill>
          </w14:textFill>
        </w:rPr>
      </w:pPr>
      <w:r>
        <w:rPr>
          <w:rFonts w:hint="eastAsia" w:ascii="宋体" w:hAnsi="宋体" w:cs="微软雅黑"/>
          <w:b/>
          <w:bCs/>
          <w:color w:val="000000" w:themeColor="text1"/>
          <w:sz w:val="32"/>
          <w:szCs w:val="32"/>
          <w:highlight w:val="none"/>
          <w:lang w:val="en-US" w:eastAsia="zh-CN"/>
          <w14:textFill>
            <w14:solidFill>
              <w14:schemeClr w14:val="tx1"/>
            </w14:solidFill>
          </w14:textFill>
        </w:rPr>
        <w:t xml:space="preserve">采购包2</w:t>
      </w:r>
      <w:r/>
    </w:p>
    <w:p>
      <w:pPr>
        <w:ind w:firstLine="482"/>
        <w:jc w:val="both"/>
        <w:keepLines/>
        <w:keepNext/>
        <w:spacing w:before="320" w:after="200"/>
        <w:widowControl w:val="off"/>
        <w:rPr>
          <w:rFonts w:hint="eastAsia" w:ascii="宋体" w:hAnsi="宋体" w:eastAsia="宋体" w:cs="微软雅黑"/>
          <w:b/>
          <w:bCs/>
          <w:color w:val="000000" w:themeColor="text1"/>
          <w:sz w:val="24"/>
          <w:szCs w:val="20"/>
          <w:highlight w:val="none"/>
          <w:lang w:val="en-US" w:eastAsia="zh-CN"/>
          <w14:textFill>
            <w14:solidFill>
              <w14:schemeClr w14:val="tx1"/>
            </w14:solidFill>
          </w14:textFill>
        </w:rPr>
        <w:outlineLvl w:val="2"/>
      </w:pPr>
      <w:r>
        <w:rPr>
          <w:rFonts w:hint="eastAsia" w:ascii="宋体" w:hAnsi="宋体" w:eastAsia="宋体" w:cs="微软雅黑"/>
          <w:b/>
          <w:bCs/>
          <w:color w:val="000000" w:themeColor="text1"/>
          <w:sz w:val="24"/>
          <w:szCs w:val="20"/>
          <w:highlight w:val="none"/>
          <w:lang w:val="en-US" w:eastAsia="zh-CN"/>
          <w14:textFill>
            <w14:solidFill>
              <w14:schemeClr w14:val="tx1"/>
            </w14:solidFill>
          </w14:textFill>
        </w:rPr>
        <w:t xml:space="preserve">一、基本情况</w:t>
      </w:r>
      <w:r/>
    </w:p>
    <w:p>
      <w:pPr>
        <w:ind w:firstLine="480"/>
        <w:spacing w:line="360" w:lineRule="auto"/>
        <w:widowControl/>
        <w:rPr>
          <w:rFonts w:hint="default" w:ascii="Calibri" w:hAnsi="Calibri"/>
          <w:bCs/>
          <w:color w:val="000000" w:themeColor="text1"/>
          <w:sz w:val="24"/>
          <w:szCs w:val="24"/>
          <w:highlight w:val="none"/>
          <w:lang w:val="en-US" w:bidi="ar-SA"/>
          <w14:textFill>
            <w14:solidFill>
              <w14:schemeClr w14:val="tx1"/>
            </w14:solidFill>
          </w14:textFill>
        </w:rPr>
      </w:pPr>
      <w:r/>
      <w:bookmarkStart w:id="194" w:name="_Hlk28680462"/>
      <w:r>
        <w:rPr>
          <w:rFonts w:hint="default" w:ascii="Calibri" w:hAnsi="Calibri"/>
          <w:bCs/>
          <w:color w:val="000000" w:themeColor="text1"/>
          <w:sz w:val="24"/>
          <w:szCs w:val="24"/>
          <w:highlight w:val="none"/>
          <w:lang w:val="en-US" w:bidi="ar-SA"/>
          <w14:textFill>
            <w14:solidFill>
              <w14:schemeClr w14:val="tx1"/>
            </w14:solidFill>
          </w14:textFill>
        </w:rPr>
        <w:t xml:space="preserve">1.</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1</w:t>
      </w:r>
      <w:r>
        <w:rPr>
          <w:rFonts w:hint="default" w:ascii="Calibri" w:hAnsi="Calibri"/>
          <w:bCs/>
          <w:color w:val="000000" w:themeColor="text1"/>
          <w:sz w:val="24"/>
          <w:szCs w:val="24"/>
          <w:highlight w:val="none"/>
          <w:lang w:val="en-US" w:bidi="ar-SA"/>
          <w14:textFill>
            <w14:solidFill>
              <w14:schemeClr w14:val="tx1"/>
            </w14:solidFill>
          </w14:textFill>
        </w:rPr>
        <w:t xml:space="preserve"> 预算金额：</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1012</w:t>
      </w:r>
      <w:r>
        <w:rPr>
          <w:rFonts w:hint="default" w:ascii="Calibri" w:hAnsi="Calibri"/>
          <w:color w:val="000000" w:themeColor="text1"/>
          <w:sz w:val="24"/>
          <w:szCs w:val="24"/>
          <w:highlight w:val="none"/>
          <w:lang w:val="en-US" w:bidi="ar-SA"/>
          <w14:textFill>
            <w14:solidFill>
              <w14:schemeClr w14:val="tx1"/>
            </w14:solidFill>
          </w14:textFill>
        </w:rPr>
        <w:t xml:space="preserve">万元</w:t>
      </w:r>
      <w:r>
        <w:rPr>
          <w:rFonts w:hint="default" w:ascii="Calibri" w:hAnsi="Calibri"/>
          <w:bCs/>
          <w:color w:val="000000" w:themeColor="text1"/>
          <w:sz w:val="24"/>
          <w:szCs w:val="24"/>
          <w:highlight w:val="none"/>
          <w:lang w:val="en-US" w:bidi="ar-SA"/>
          <w14:textFill>
            <w14:solidFill>
              <w14:schemeClr w14:val="tx1"/>
            </w14:solidFill>
          </w14:textFill>
        </w:rPr>
        <w:t xml:space="preserve">。</w:t>
      </w:r>
      <w:r/>
    </w:p>
    <w:p>
      <w:pPr>
        <w:ind w:firstLine="480"/>
        <w:spacing w:line="360" w:lineRule="auto"/>
        <w:widowControl/>
        <w:rPr>
          <w:rFonts w:hint="default" w:ascii="Calibri" w:hAnsi="Calibri"/>
          <w:bCs/>
          <w:color w:val="000000" w:themeColor="text1"/>
          <w:sz w:val="24"/>
          <w:szCs w:val="24"/>
          <w:highlight w:val="none"/>
          <w:lang w:val="en-US" w:bidi="ar-SA"/>
          <w14:textFill>
            <w14:solidFill>
              <w14:schemeClr w14:val="tx1"/>
            </w14:solidFill>
          </w14:textFill>
        </w:rPr>
      </w:pPr>
      <w:r>
        <w:rPr>
          <w:rFonts w:hint="default" w:ascii="Calibri" w:hAnsi="Calibri"/>
          <w:bCs/>
          <w:color w:val="000000" w:themeColor="text1"/>
          <w:sz w:val="24"/>
          <w:szCs w:val="24"/>
          <w:highlight w:val="none"/>
          <w:lang w:val="en-US" w:bidi="ar-SA"/>
          <w14:textFill>
            <w14:solidFill>
              <w14:schemeClr w14:val="tx1"/>
            </w14:solidFill>
          </w14:textFill>
        </w:rPr>
        <w:t xml:space="preserve">1.</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2</w:t>
      </w:r>
      <w:r>
        <w:rPr>
          <w:rFonts w:hint="default" w:ascii="Calibri" w:hAnsi="Calibri"/>
          <w:bCs/>
          <w:color w:val="000000" w:themeColor="text1"/>
          <w:sz w:val="24"/>
          <w:szCs w:val="24"/>
          <w:highlight w:val="none"/>
          <w:lang w:val="en-US" w:bidi="ar-SA"/>
          <w14:textFill>
            <w14:solidFill>
              <w14:schemeClr w14:val="tx1"/>
            </w14:solidFill>
          </w14:textFill>
        </w:rPr>
        <w:t xml:space="preserve">设定最高限价，最高限价为</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912.12</w:t>
      </w:r>
      <w:r>
        <w:rPr>
          <w:rFonts w:hint="default" w:ascii="Calibri" w:hAnsi="Calibri"/>
          <w:color w:val="000000" w:themeColor="text1"/>
          <w:sz w:val="24"/>
          <w:szCs w:val="24"/>
          <w:highlight w:val="none"/>
          <w:lang w:val="en-US" w:bidi="ar-SA"/>
          <w14:textFill>
            <w14:solidFill>
              <w14:schemeClr w14:val="tx1"/>
            </w14:solidFill>
          </w14:textFill>
        </w:rPr>
        <w:t xml:space="preserve">万元。</w:t>
      </w:r>
      <w:bookmarkEnd w:id="194"/>
      <w:r/>
      <w:r/>
    </w:p>
    <w:p>
      <w:pPr>
        <w:ind w:firstLine="480"/>
        <w:spacing w:line="360" w:lineRule="auto"/>
        <w:widowControl/>
        <w:rPr>
          <w:rFonts w:hint="default" w:ascii="Calibri" w:hAnsi="Calibri"/>
          <w:bCs/>
          <w:color w:val="000000" w:themeColor="text1"/>
          <w:sz w:val="24"/>
          <w:szCs w:val="24"/>
          <w:highlight w:val="none"/>
          <w:lang w:val="en-US" w:bidi="ar-SA"/>
          <w14:textFill>
            <w14:solidFill>
              <w14:schemeClr w14:val="tx1"/>
            </w14:solidFill>
          </w14:textFill>
        </w:rPr>
      </w:pPr>
      <w:r>
        <w:rPr>
          <w:rFonts w:hint="default" w:ascii="Calibri" w:hAnsi="Calibri"/>
          <w:bCs/>
          <w:color w:val="000000" w:themeColor="text1"/>
          <w:sz w:val="24"/>
          <w:szCs w:val="24"/>
          <w:highlight w:val="none"/>
          <w:lang w:val="en-US" w:bidi="ar-SA"/>
          <w14:textFill>
            <w14:solidFill>
              <w14:schemeClr w14:val="tx1"/>
            </w14:solidFill>
          </w14:textFill>
        </w:rPr>
        <w:t xml:space="preserve">1.</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3</w:t>
      </w:r>
      <w:r>
        <w:rPr>
          <w:rFonts w:hint="default" w:ascii="Calibri" w:hAnsi="Calibri"/>
          <w:bCs/>
          <w:color w:val="000000" w:themeColor="text1"/>
          <w:sz w:val="24"/>
          <w:szCs w:val="24"/>
          <w:highlight w:val="none"/>
          <w:lang w:val="en-US" w:bidi="ar-SA"/>
          <w14:textFill>
            <w14:solidFill>
              <w14:schemeClr w14:val="tx1"/>
            </w14:solidFill>
          </w14:textFill>
        </w:rPr>
        <w:t xml:space="preserve">采购需求：</w:t>
      </w:r>
      <w:r>
        <w:rPr>
          <w:rFonts w:hint="eastAsia" w:ascii="Calibri" w:hAnsi="Calibri"/>
          <w:bCs/>
          <w:color w:val="000000" w:themeColor="text1"/>
          <w:sz w:val="24"/>
          <w:szCs w:val="24"/>
          <w:highlight w:val="none"/>
          <w:lang w:val="en-US" w:bidi="ar-SA"/>
          <w14:textFill>
            <w14:solidFill>
              <w14:schemeClr w14:val="tx1"/>
            </w14:solidFill>
          </w14:textFill>
        </w:rPr>
        <w:t xml:space="preserve">东组团步梯款</w:t>
      </w:r>
      <w:r>
        <w:rPr>
          <w:rFonts w:hint="default" w:ascii="Calibri" w:hAnsi="Calibri"/>
          <w:bCs/>
          <w:color w:val="000000" w:themeColor="text1"/>
          <w:sz w:val="24"/>
          <w:szCs w:val="24"/>
          <w:highlight w:val="none"/>
          <w:lang w:val="en-US" w:bidi="ar-SA"/>
          <w14:textFill>
            <w14:solidFill>
              <w14:schemeClr w14:val="tx1"/>
            </w14:solidFill>
          </w14:textFill>
        </w:rPr>
        <w:t xml:space="preserve">家具采购，包括家具制作、运输、装卸、安装、调试及售后三包服务等。</w:t>
      </w:r>
      <w:r/>
    </w:p>
    <w:p>
      <w:pPr>
        <w:ind w:firstLine="480"/>
        <w:spacing w:line="360" w:lineRule="auto"/>
        <w:widowControl/>
        <w:rPr>
          <w:rFonts w:hint="default" w:ascii="Calibri" w:hAnsi="Calibri"/>
          <w:bCs/>
          <w:color w:val="000000" w:themeColor="text1"/>
          <w:sz w:val="24"/>
          <w:szCs w:val="24"/>
          <w:highlight w:val="none"/>
          <w:lang w:val="en-US" w:bidi="ar-SA"/>
          <w14:textFill>
            <w14:solidFill>
              <w14:schemeClr w14:val="tx1"/>
            </w14:solidFill>
          </w14:textFill>
        </w:rPr>
      </w:pPr>
      <w:r>
        <w:rPr>
          <w:rFonts w:hint="default" w:ascii="Calibri" w:hAnsi="Calibri"/>
          <w:bCs/>
          <w:color w:val="000000" w:themeColor="text1"/>
          <w:sz w:val="24"/>
          <w:szCs w:val="24"/>
          <w:highlight w:val="none"/>
          <w:lang w:val="en-US" w:bidi="ar-SA"/>
          <w14:textFill>
            <w14:solidFill>
              <w14:schemeClr w14:val="tx1"/>
            </w14:solidFill>
          </w14:textFill>
        </w:rPr>
        <w:t xml:space="preserve">1.</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4</w:t>
      </w:r>
      <w:r>
        <w:rPr>
          <w:rFonts w:hint="default" w:ascii="Calibri" w:hAnsi="Calibri"/>
          <w:bCs/>
          <w:color w:val="000000" w:themeColor="text1"/>
          <w:sz w:val="24"/>
          <w:szCs w:val="24"/>
          <w:highlight w:val="none"/>
          <w:lang w:val="en-US" w:bidi="ar-SA"/>
          <w14:textFill>
            <w14:solidFill>
              <w14:schemeClr w14:val="tx1"/>
            </w14:solidFill>
          </w14:textFill>
        </w:rPr>
        <w:t xml:space="preserve">实施地点：采购人指定地点。</w:t>
      </w:r>
      <w:r/>
    </w:p>
    <w:p>
      <w:pPr>
        <w:ind w:firstLine="480"/>
        <w:spacing w:line="360" w:lineRule="auto"/>
        <w:widowControl/>
        <w:rPr>
          <w:rFonts w:hint="eastAsia" w:ascii="Calibri" w:hAnsi="Calibri"/>
          <w:bCs/>
          <w:color w:val="000000" w:themeColor="text1"/>
          <w:sz w:val="24"/>
          <w:szCs w:val="24"/>
          <w:highlight w:val="none"/>
          <w:lang w:val="en-US" w:eastAsia="zh-CN" w:bidi="ar-SA"/>
          <w14:textFill>
            <w14:solidFill>
              <w14:schemeClr w14:val="tx1"/>
            </w14:solidFill>
          </w14:textFill>
        </w:rPr>
      </w:pPr>
      <w:r>
        <w:rPr>
          <w:rFonts w:hint="default" w:ascii="Calibri" w:hAnsi="Calibri"/>
          <w:bCs/>
          <w:color w:val="000000" w:themeColor="text1"/>
          <w:sz w:val="24"/>
          <w:szCs w:val="24"/>
          <w:highlight w:val="none"/>
          <w:lang w:val="en-US" w:bidi="ar-SA"/>
          <w14:textFill>
            <w14:solidFill>
              <w14:schemeClr w14:val="tx1"/>
            </w14:solidFill>
          </w14:textFill>
        </w:rPr>
        <w:t xml:space="preserve">1.</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5</w:t>
      </w:r>
      <w:r>
        <w:rPr>
          <w:rFonts w:hint="default" w:ascii="Calibri" w:hAnsi="Calibri"/>
          <w:bCs/>
          <w:color w:val="000000" w:themeColor="text1"/>
          <w:sz w:val="24"/>
          <w:szCs w:val="24"/>
          <w:highlight w:val="none"/>
          <w:lang w:val="en-US" w:bidi="ar-SA"/>
          <w14:textFill>
            <w14:solidFill>
              <w14:schemeClr w14:val="tx1"/>
            </w14:solidFill>
          </w14:textFill>
        </w:rPr>
        <w:t xml:space="preserve">实施时间期限：合同履行期限：合同签订后50日历天内送到甲方指定地点完成安装、调试、检测并经验收合格后交付甲方使用（含二次搬运费）。</w:t>
      </w:r>
      <w:r/>
    </w:p>
    <w:p>
      <w:pPr>
        <w:ind w:firstLine="480"/>
        <w:spacing w:line="360" w:lineRule="auto"/>
        <w:widowControl/>
        <w:rPr>
          <w:rFonts w:hint="eastAsia" w:ascii="Calibri" w:hAnsi="Calibri"/>
          <w:bCs/>
          <w:color w:val="000000" w:themeColor="text1"/>
          <w:sz w:val="24"/>
          <w:szCs w:val="24"/>
          <w:highlight w:val="none"/>
          <w:lang w:val="en-US" w:eastAsia="zh-CN"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1</w:t>
      </w:r>
      <w:r>
        <w:rPr>
          <w:rFonts w:hint="eastAsia" w:ascii="Calibri" w:hAnsi="Calibri"/>
          <w:bCs/>
          <w:color w:val="000000" w:themeColor="text1"/>
          <w:sz w:val="24"/>
          <w:szCs w:val="24"/>
          <w:highlight w:val="none"/>
          <w:lang w:val="en-US" w:bidi="ar-SA"/>
          <w14:textFill>
            <w14:solidFill>
              <w14:schemeClr w14:val="tx1"/>
            </w14:solidFill>
          </w14:textFill>
        </w:rPr>
        <w:t xml:space="preserve">.</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6</w:t>
      </w:r>
      <w:r>
        <w:rPr>
          <w:rFonts w:hint="eastAsia" w:ascii="Calibri" w:hAnsi="Calibri"/>
          <w:bCs/>
          <w:color w:val="000000" w:themeColor="text1"/>
          <w:sz w:val="24"/>
          <w:szCs w:val="24"/>
          <w:highlight w:val="none"/>
          <w:lang w:val="en-US" w:bidi="ar-SA"/>
          <w14:textFill>
            <w14:solidFill>
              <w14:schemeClr w14:val="tx1"/>
            </w14:solidFill>
          </w14:textFill>
        </w:rPr>
        <w:t xml:space="preserve">采购标的所属行业为：工业</w:t>
      </w:r>
      <w:r/>
    </w:p>
    <w:p>
      <w:pPr>
        <w:pStyle w:val="710"/>
        <w:rPr>
          <w:rFonts w:hint="default" w:eastAsia="宋体"/>
          <w:b/>
          <w:bCs/>
          <w:color w:val="000000" w:themeColor="text1"/>
          <w:highlight w:val="none"/>
          <w:lang w:val="en-US" w:eastAsia="zh-CN"/>
          <w14:textFill>
            <w14:solidFill>
              <w14:schemeClr w14:val="tx1"/>
            </w14:solidFill>
          </w14:textFill>
        </w:rPr>
      </w:pPr>
      <w:r>
        <w:rPr>
          <w:rFonts w:hint="eastAsia" w:hAnsi="宋体" w:cs="微软雅黑"/>
          <w:b/>
          <w:bCs/>
          <w:color w:val="000000" w:themeColor="text1"/>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highlight w:val="none"/>
          <w14:textFill>
            <w14:solidFill>
              <w14:schemeClr w14:val="tx1"/>
            </w14:solidFill>
          </w14:textFill>
        </w:rPr>
        <w:t xml:space="preserve">采购标的清单</w:t>
      </w:r>
      <w:r/>
    </w:p>
    <w:tbl>
      <w:tblPr>
        <w:tblStyle w:val="705"/>
        <w:tblpPr w:horzAnchor="page" w:tblpX="870" w:vertAnchor="text" w:tblpY="301" w:leftFromText="180" w:topFromText="0" w:rightFromText="180" w:bottomFromText="0"/>
        <w:tblW w:w="95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1665"/>
        <w:gridCol w:w="2460"/>
        <w:gridCol w:w="855"/>
        <w:gridCol w:w="1110"/>
        <w:gridCol w:w="930"/>
        <w:gridCol w:w="1881"/>
      </w:tblGrid>
      <w:tr>
        <w:trPr>
          <w:trHeight w:val="587"/>
        </w:trPr>
        <w:tc>
          <w:tcPr>
            <w:tcW w:w="655"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序号</w:t>
            </w:r>
            <w:r/>
          </w:p>
        </w:tc>
        <w:tc>
          <w:tcPr>
            <w:tcW w:w="1665"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t xml:space="preserve">名称</w:t>
            </w:r>
            <w:r/>
          </w:p>
        </w:tc>
        <w:tc>
          <w:tcPr>
            <w:tcW w:w="2460"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t xml:space="preserve">规格</w:t>
            </w:r>
            <w:r/>
          </w:p>
        </w:tc>
        <w:tc>
          <w:tcPr>
            <w:tcW w:w="855"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t xml:space="preserve">单位</w:t>
            </w:r>
            <w:r/>
          </w:p>
        </w:tc>
        <w:tc>
          <w:tcPr>
            <w:tcW w:w="1110"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t xml:space="preserve">数量</w:t>
            </w:r>
            <w:r/>
          </w:p>
        </w:tc>
        <w:tc>
          <w:tcPr>
            <w:tcW w:w="930" w:type="dxa"/>
            <w:vAlign w:val="center"/>
            <w:textDirection w:val="lrTb"/>
            <w:noWrap w:val="false"/>
          </w:tcPr>
          <w:p>
            <w:pPr>
              <w:jc w:val="center"/>
              <w:keepLines w:val="0"/>
              <w:keepNext w:val="0"/>
              <w:pageBreakBefore w:val="0"/>
              <w:spacing w:after="0" w:line="240" w:lineRule="exact"/>
              <w:widowControl w:val="off"/>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是否核心产品</w:t>
            </w:r>
            <w:r/>
          </w:p>
        </w:tc>
        <w:tc>
          <w:tcPr>
            <w:tcW w:w="1881" w:type="dxa"/>
            <w:vAlign w:val="center"/>
            <w:textDirection w:val="lrTb"/>
            <w:noWrap w:val="false"/>
          </w:tcPr>
          <w:p>
            <w:pPr>
              <w:jc w:val="center"/>
              <w:keepLines w:val="0"/>
              <w:keepNext w:val="0"/>
              <w:pageBreakBefore w:val="0"/>
              <w:spacing w:after="0" w:line="240" w:lineRule="exact"/>
              <w:widowControl w:val="off"/>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对应中小企业划分标准所属行业</w:t>
            </w:r>
            <w:r/>
          </w:p>
        </w:tc>
      </w:tr>
      <w:tr>
        <w:trPr>
          <w:trHeight w:val="563"/>
        </w:trPr>
        <w:tc>
          <w:tcPr>
            <w:tcW w:w="655"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tcW w:w="166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上床下柜（桌）组合家具</w:t>
            </w:r>
            <w:r/>
          </w:p>
        </w:tc>
        <w:tc>
          <w:tcPr>
            <w:tcW w:w="2460"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2010*930*3050mm</w:t>
            </w:r>
            <w:r/>
          </w:p>
        </w:tc>
        <w:tc>
          <w:tcPr>
            <w:tcW w:w="85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套</w:t>
            </w:r>
            <w:r/>
          </w:p>
        </w:tc>
        <w:tc>
          <w:tcPr>
            <w:tcW w:w="1110" w:type="dxa"/>
            <w:vAlign w:val="center"/>
            <w:textDirection w:val="lrTb"/>
            <w:noWrap w:val="false"/>
          </w:tcPr>
          <w:p>
            <w:pPr>
              <w:jc w:val="center"/>
              <w:spacing w:line="24" w:lineRule="atLeas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2372</w:t>
            </w:r>
            <w:r/>
          </w:p>
        </w:tc>
        <w:tc>
          <w:tcPr>
            <w:tcW w:w="930"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是</w:t>
            </w:r>
            <w:r/>
          </w:p>
        </w:tc>
        <w:tc>
          <w:tcPr>
            <w:tcW w:w="1881"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工业</w:t>
            </w:r>
            <w:r/>
          </w:p>
        </w:tc>
      </w:tr>
      <w:tr>
        <w:trPr>
          <w:trHeight w:val="563"/>
        </w:trPr>
        <w:tc>
          <w:tcPr>
            <w:tcW w:w="655"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tcW w:w="166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步梯</w:t>
            </w:r>
            <w:r/>
          </w:p>
        </w:tc>
        <w:tc>
          <w:tcPr>
            <w:tcW w:w="2460"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560*920*1418mm</w:t>
            </w:r>
            <w:r/>
          </w:p>
        </w:tc>
        <w:tc>
          <w:tcPr>
            <w:tcW w:w="85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个</w:t>
            </w:r>
            <w:r/>
          </w:p>
        </w:tc>
        <w:tc>
          <w:tcPr>
            <w:tcW w:w="1110" w:type="dxa"/>
            <w:vAlign w:val="center"/>
            <w:textDirection w:val="lrTb"/>
            <w:noWrap w:val="false"/>
          </w:tcPr>
          <w:p>
            <w:pPr>
              <w:jc w:val="center"/>
              <w:spacing w:line="24" w:lineRule="atLeas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1186</w:t>
            </w:r>
            <w:r/>
          </w:p>
        </w:tc>
        <w:tc>
          <w:tcPr>
            <w:tcW w:w="930"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否</w:t>
            </w:r>
            <w:r/>
          </w:p>
        </w:tc>
        <w:tc>
          <w:tcPr>
            <w:tcW w:w="1881"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工业</w:t>
            </w:r>
            <w:r/>
          </w:p>
        </w:tc>
      </w:tr>
      <w:tr>
        <w:trPr>
          <w:trHeight w:val="563"/>
        </w:trPr>
        <w:tc>
          <w:tcPr>
            <w:tcW w:w="655" w:type="dxa"/>
            <w:vAlign w:val="center"/>
            <w:textDirection w:val="lrTb"/>
            <w:noWrap w:val="false"/>
          </w:tcPr>
          <w:p>
            <w:pPr>
              <w:jc w:val="center"/>
              <w:spacing w:after="0" w:line="24" w:lineRule="atLeas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tcW w:w="1665" w:type="dxa"/>
            <w:vAlign w:val="center"/>
            <w:textDirection w:val="lrTb"/>
            <w:noWrap w:val="false"/>
          </w:tcPr>
          <w:p>
            <w:pPr>
              <w:jc w:val="center"/>
              <w:spacing w:line="24" w:lineRule="atLeast"/>
              <w:widowControl w:val="off"/>
              <w:rPr>
                <w:rFonts w:hint="default"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学生椅</w:t>
            </w:r>
            <w:r/>
          </w:p>
        </w:tc>
        <w:tc>
          <w:tcPr>
            <w:tcW w:w="2460" w:type="dxa"/>
            <w:vAlign w:val="center"/>
            <w:textDirection w:val="lrTb"/>
            <w:noWrap w:val="false"/>
          </w:tcPr>
          <w:p>
            <w:pPr>
              <w:jc w:val="center"/>
              <w:spacing w:line="24" w:lineRule="atLeas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450*500*850mm</w:t>
            </w:r>
            <w:r/>
          </w:p>
        </w:tc>
        <w:tc>
          <w:tcPr>
            <w:tcW w:w="855" w:type="dxa"/>
            <w:vAlign w:val="center"/>
            <w:textDirection w:val="lrTb"/>
            <w:noWrap w:val="false"/>
          </w:tcPr>
          <w:p>
            <w:pPr>
              <w:jc w:val="center"/>
              <w:spacing w:line="24" w:lineRule="atLeast"/>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把</w:t>
            </w:r>
            <w:r/>
          </w:p>
        </w:tc>
        <w:tc>
          <w:tcPr>
            <w:tcW w:w="1110" w:type="dxa"/>
            <w:vAlign w:val="center"/>
            <w:textDirection w:val="lrTb"/>
            <w:noWrap w:val="false"/>
          </w:tcPr>
          <w:p>
            <w:pPr>
              <w:jc w:val="center"/>
              <w:spacing w:line="24" w:lineRule="atLeast"/>
              <w:widowControl w:val="off"/>
              <w:rPr>
                <w:rFonts w:hint="default"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2372</w:t>
            </w:r>
            <w:r/>
          </w:p>
        </w:tc>
        <w:tc>
          <w:tcPr>
            <w:tcW w:w="930"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否</w:t>
            </w:r>
            <w:r/>
          </w:p>
        </w:tc>
        <w:tc>
          <w:tcPr>
            <w:tcW w:w="1881"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工业</w:t>
            </w:r>
            <w:r/>
          </w:p>
        </w:tc>
      </w:tr>
    </w:tbl>
    <w:p>
      <w:pPr>
        <w:jc w:val="left"/>
        <w:spacing w:line="360" w:lineRule="exact"/>
        <w:rPr>
          <w:rFonts w:ascii="宋体" w:hAnsi="宋体" w:cs="宋体"/>
          <w:b w:val="0"/>
          <w:bCs w:val="0"/>
          <w:color w:val="000000" w:themeColor="text1"/>
          <w:sz w:val="24"/>
          <w:szCs w:val="24"/>
          <w:highlight w:val="none"/>
          <w:lang w:val="en-US" w:eastAsia="zh-CN"/>
          <w14:textFill>
            <w14:solidFill>
              <w14:schemeClr w14:val="tx1"/>
            </w14:solidFill>
          </w14:textFill>
        </w:rPr>
      </w:pPr>
      <w:r>
        <w:rPr>
          <w:rFonts w:ascii="宋体" w:hAnsi="宋体" w:cs="宋体"/>
          <w:b w:val="0"/>
          <w:bCs w:val="0"/>
          <w:color w:val="000000" w:themeColor="text1"/>
          <w:sz w:val="24"/>
          <w:szCs w:val="24"/>
          <w:highlight w:val="none"/>
          <w:lang w:val="en-US" w:eastAsia="zh-CN"/>
          <w14:textFill>
            <w14:solidFill>
              <w14:schemeClr w14:val="tx1"/>
            </w14:solidFill>
          </w14:textFill>
        </w:rPr>
      </w:r>
      <w:r/>
    </w:p>
    <w:p>
      <w:pPr>
        <w:ind w:firstLine="480"/>
        <w:spacing w:line="360" w:lineRule="auto"/>
        <w:widowControl/>
        <w:rPr>
          <w:rFonts w:hint="default" w:ascii="Calibri" w:hAnsi="Calibri"/>
          <w:bCs/>
          <w:color w:val="000000" w:themeColor="text1"/>
          <w:sz w:val="24"/>
          <w:szCs w:val="24"/>
          <w:highlight w:val="none"/>
          <w:lang w:val="en-US"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注：</w:t>
      </w:r>
      <w:r>
        <w:rPr>
          <w:rFonts w:hint="default" w:ascii="Calibri" w:hAnsi="Calibri"/>
          <w:bCs/>
          <w:color w:val="000000" w:themeColor="text1"/>
          <w:sz w:val="24"/>
          <w:szCs w:val="24"/>
          <w:highlight w:val="none"/>
          <w:lang w:val="en-US" w:bidi="ar-SA"/>
          <w14:textFill>
            <w14:solidFill>
              <w14:schemeClr w14:val="tx1"/>
            </w14:solidFill>
          </w14:textFill>
        </w:rPr>
        <w:t xml:space="preserve">当采购数量与实际使用数量不一致时，</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中标人</w:t>
      </w:r>
      <w:r>
        <w:rPr>
          <w:rFonts w:hint="default" w:ascii="Calibri" w:hAnsi="Calibri"/>
          <w:bCs/>
          <w:color w:val="000000" w:themeColor="text1"/>
          <w:sz w:val="24"/>
          <w:szCs w:val="24"/>
          <w:highlight w:val="none"/>
          <w:lang w:val="en-US" w:bidi="ar-SA"/>
          <w14:textFill>
            <w14:solidFill>
              <w14:schemeClr w14:val="tx1"/>
            </w14:solidFill>
          </w14:textFill>
        </w:rPr>
        <w:t xml:space="preserve">应根据实际使用量供货，合同的最终结算金额按实际使用量乘以</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中标</w:t>
      </w:r>
      <w:r>
        <w:rPr>
          <w:rFonts w:hint="default" w:ascii="Calibri" w:hAnsi="Calibri"/>
          <w:bCs/>
          <w:color w:val="000000" w:themeColor="text1"/>
          <w:sz w:val="24"/>
          <w:szCs w:val="24"/>
          <w:highlight w:val="none"/>
          <w:lang w:val="en-US" w:bidi="ar-SA"/>
          <w14:textFill>
            <w14:solidFill>
              <w14:schemeClr w14:val="tx1"/>
            </w14:solidFill>
          </w14:textFill>
        </w:rPr>
        <w:t xml:space="preserve">单价进行计算。</w:t>
      </w:r>
      <w:r/>
    </w:p>
    <w:p>
      <w:pPr>
        <w:numPr>
          <w:ilvl w:val="0"/>
          <w:numId w:val="14"/>
        </w:numPr>
        <w:ind w:left="0" w:firstLine="0"/>
        <w:spacing w:line="360" w:lineRule="auto"/>
        <w:widowControl/>
        <w:rPr>
          <w:rFonts w:hint="eastAsia" w:ascii="Calibri" w:hAnsi="Calibri"/>
          <w:b/>
          <w:bCs w:val="0"/>
          <w:color w:val="000000" w:themeColor="text1"/>
          <w:sz w:val="24"/>
          <w:szCs w:val="24"/>
          <w:highlight w:val="none"/>
          <w:lang w:val="en-US" w:eastAsia="zh-CN" w:bidi="ar-SA"/>
          <w14:textFill>
            <w14:solidFill>
              <w14:schemeClr w14:val="tx1"/>
            </w14:solidFill>
          </w14:textFill>
        </w:rPr>
      </w:pPr>
      <w:r>
        <w:rPr>
          <w:rFonts w:hint="eastAsia" w:ascii="Calibri" w:hAnsi="Calibri"/>
          <w:b/>
          <w:bCs w:val="0"/>
          <w:color w:val="000000" w:themeColor="text1"/>
          <w:sz w:val="24"/>
          <w:szCs w:val="24"/>
          <w:highlight w:val="none"/>
          <w:lang w:val="en-US" w:eastAsia="zh-CN" w:bidi="ar-SA"/>
          <w14:textFill>
            <w14:solidFill>
              <w14:schemeClr w14:val="tx1"/>
            </w14:solidFill>
          </w14:textFill>
        </w:rPr>
        <w:t xml:space="preserve">采购图纸及技术参数要求</w:t>
      </w:r>
      <w:r/>
    </w:p>
    <w:p>
      <w:pPr>
        <w:numPr>
          <w:ilvl w:val="0"/>
          <w:numId w:val="0"/>
        </w:numPr>
        <w:spacing w:line="360" w:lineRule="auto"/>
        <w:widowControl/>
        <w:rPr>
          <w:rFonts w:hint="default" w:ascii="Calibri" w:hAnsi="Calibri"/>
          <w:b/>
          <w:bCs w:val="0"/>
          <w:color w:val="000000" w:themeColor="text1"/>
          <w:sz w:val="24"/>
          <w:szCs w:val="24"/>
          <w:highlight w:val="none"/>
          <w:lang w:val="en-US" w:eastAsia="zh-CN"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3.1采购图纸（</w:t>
      </w:r>
      <w:r>
        <w:rPr>
          <w:rFonts w:hint="eastAsia" w:ascii="Calibri" w:hAnsi="Calibri"/>
          <w:bCs/>
          <w:color w:val="000000" w:themeColor="text1"/>
          <w:sz w:val="24"/>
          <w:szCs w:val="24"/>
          <w:highlight w:val="none"/>
          <w:lang w:val="en-US" w:bidi="ar-SA"/>
          <w14:textFill>
            <w14:solidFill>
              <w14:schemeClr w14:val="tx1"/>
            </w14:solidFill>
          </w14:textFill>
        </w:rPr>
        <w:t xml:space="preserve">图纸与技术参数不一致之处，以技术参数要求为准</w:t>
      </w: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w:t>
      </w:r>
      <w:r/>
    </w:p>
    <w:p>
      <w:pPr>
        <w:ind w:firstLine="480"/>
        <w:spacing w:line="360" w:lineRule="auto"/>
        <w:widowControl/>
        <w:rPr>
          <w:rFonts w:hint="eastAsia" w:ascii="Calibri" w:hAnsi="Calibri"/>
          <w:bCs/>
          <w:color w:val="000000" w:themeColor="text1"/>
          <w:sz w:val="24"/>
          <w:szCs w:val="24"/>
          <w:highlight w:val="none"/>
          <w:lang w:val="en-US" w:eastAsia="zh-CN" w:bidi="ar-SA"/>
          <w14:textFill>
            <w14:solidFill>
              <w14:schemeClr w14:val="tx1"/>
            </w14:solidFill>
          </w14:textFill>
        </w:rPr>
      </w:pPr>
      <w:r>
        <w:rPr>
          <w:rFonts w:hint="eastAsia" w:ascii="Calibri" w:hAnsi="Calibri"/>
          <w:bCs/>
          <w:color w:val="000000" w:themeColor="text1"/>
          <w:sz w:val="24"/>
          <w:szCs w:val="24"/>
          <w:highlight w:val="none"/>
          <w:lang w:val="en-US" w:eastAsia="zh-CN" w:bidi="ar-SA"/>
          <w14:textFill>
            <w14:solidFill>
              <w14:schemeClr w14:val="tx1"/>
            </w14:solidFill>
          </w14:textFill>
        </w:rPr>
        <w:t xml:space="preserve">房型1</w:t>
      </w:r>
      <w:r/>
    </w:p>
    <w:p>
      <w:pPr>
        <w:jc w:val="left"/>
        <w:rPr>
          <w:rFonts w:hint="eastAsia" w:ascii="宋体" w:hAnsi="宋体"/>
          <w:b/>
          <w:color w:val="000000" w:themeColor="text1"/>
          <w:sz w:val="24"/>
          <w:szCs w:val="24"/>
          <w:highlight w:val="none"/>
          <w:lang w:val="en-US" w:eastAsia="zh-CN"/>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539105" cy="3353435"/>
                <wp:effectExtent l="0" t="0" r="4445" b="18415"/>
                <wp:docPr id="1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5539105" cy="3353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36.1pt;height:264.1pt;mso-wrap-distance-left:0.0pt;mso-wrap-distance-top:0.0pt;mso-wrap-distance-right:0.0pt;mso-wrap-distance-bottom:0.0pt;" stroked="f">
                <v:path textboxrect="0,0,0,0"/>
                <v:imagedata r:id="rId13"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536565" cy="3911600"/>
                <wp:effectExtent l="0" t="0" r="6985" b="12700"/>
                <wp:docPr id="1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5536565" cy="391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35.9pt;height:308.0pt;mso-wrap-distance-left:0.0pt;mso-wrap-distance-top:0.0pt;mso-wrap-distance-right:0.0pt;mso-wrap-distance-bottom:0.0pt;" stroked="f">
                <v:path textboxrect="0,0,0,0"/>
                <v:imagedata r:id="rId14"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214745" cy="4391025"/>
                <wp:effectExtent l="0" t="0" r="14604" b="9525"/>
                <wp:docPr id="14"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6214745" cy="439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89.3pt;height:345.8pt;mso-wrap-distance-left:0.0pt;mso-wrap-distance-top:0.0pt;mso-wrap-distance-right:0.0pt;mso-wrap-distance-bottom:0.0pt;" stroked="f">
                <v:path textboxrect="0,0,0,0"/>
                <v:imagedata r:id="rId15"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242685" cy="3781425"/>
                <wp:effectExtent l="0" t="0" r="5715" b="9525"/>
                <wp:docPr id="15"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rcRect l="0" t="14236" r="0" b="0"/>
                        <a:stretch/>
                      </pic:blipFill>
                      <pic:spPr bwMode="auto">
                        <a:xfrm>
                          <a:off x="0" y="0"/>
                          <a:ext cx="6242685" cy="3781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91.5pt;height:297.8pt;mso-wrap-distance-left:0.0pt;mso-wrap-distance-top:0.0pt;mso-wrap-distance-right:0.0pt;mso-wrap-distance-bottom:0.0pt;" stroked="f">
                <v:path textboxrect="0,0,0,0"/>
                <v:imagedata r:id="rId16"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283325" cy="3230880"/>
                <wp:effectExtent l="0" t="0" r="3175" b="7620"/>
                <wp:docPr id="16"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7"/>
                        <a:srcRect l="0" t="14999" r="0" b="12069"/>
                        <a:stretch/>
                      </pic:blipFill>
                      <pic:spPr bwMode="auto">
                        <a:xfrm>
                          <a:off x="0" y="0"/>
                          <a:ext cx="6283325" cy="3230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94.8pt;height:254.4pt;mso-wrap-distance-left:0.0pt;mso-wrap-distance-top:0.0pt;mso-wrap-distance-right:0.0pt;mso-wrap-distance-bottom:0.0pt;" stroked="f">
                <v:path textboxrect="0,0,0,0"/>
                <v:imagedata r:id="rId17"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166485" cy="4356735"/>
                <wp:effectExtent l="0" t="0" r="5715" b="5715"/>
                <wp:docPr id="17"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8"/>
                        <a:stretch/>
                      </pic:blipFill>
                      <pic:spPr bwMode="auto">
                        <a:xfrm>
                          <a:off x="0" y="0"/>
                          <a:ext cx="6166485" cy="4356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85.5pt;height:343.1pt;mso-wrap-distance-left:0.0pt;mso-wrap-distance-top:0.0pt;mso-wrap-distance-right:0.0pt;mso-wrap-distance-bottom:0.0pt;" stroked="f">
                <v:path textboxrect="0,0,0,0"/>
                <v:imagedata r:id="rId18"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049010" cy="4273550"/>
                <wp:effectExtent l="0" t="0" r="8890" b="12700"/>
                <wp:docPr id="18"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9"/>
                        <a:stretch/>
                      </pic:blipFill>
                      <pic:spPr bwMode="auto">
                        <a:xfrm>
                          <a:off x="0" y="0"/>
                          <a:ext cx="6049010" cy="4273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76.3pt;height:336.5pt;mso-wrap-distance-left:0.0pt;mso-wrap-distance-top:0.0pt;mso-wrap-distance-right:0.0pt;mso-wrap-distance-bottom:0.0pt;" stroked="f">
                <v:path textboxrect="0,0,0,0"/>
                <v:imagedata r:id="rId19"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236335" cy="4406265"/>
                <wp:effectExtent l="0" t="0" r="12065" b="13335"/>
                <wp:docPr id="19"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0"/>
                        <a:stretch/>
                      </pic:blipFill>
                      <pic:spPr bwMode="auto">
                        <a:xfrm>
                          <a:off x="0" y="0"/>
                          <a:ext cx="6236335" cy="4406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91.0pt;height:346.9pt;mso-wrap-distance-left:0.0pt;mso-wrap-distance-top:0.0pt;mso-wrap-distance-right:0.0pt;mso-wrap-distance-bottom:0.0pt;" stroked="f">
                <v:path textboxrect="0,0,0,0"/>
                <v:imagedata r:id="rId20"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028690" cy="4258945"/>
                <wp:effectExtent l="0" t="0" r="10160" b="8255"/>
                <wp:docPr id="20"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21"/>
                        <a:stretch/>
                      </pic:blipFill>
                      <pic:spPr bwMode="auto">
                        <a:xfrm>
                          <a:off x="0" y="0"/>
                          <a:ext cx="6028690" cy="4258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74.7pt;height:335.3pt;mso-wrap-distance-left:0.0pt;mso-wrap-distance-top:0.0pt;mso-wrap-distance-right:0.0pt;mso-wrap-distance-bottom:0.0pt;" stroked="f">
                <v:path textboxrect="0,0,0,0"/>
                <v:imagedata r:id="rId21"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896610" cy="2981325"/>
                <wp:effectExtent l="0" t="0" r="8890" b="9525"/>
                <wp:docPr id="21"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2"/>
                        <a:srcRect l="0" t="15685" r="0" b="12772"/>
                        <a:stretch/>
                      </pic:blipFill>
                      <pic:spPr bwMode="auto">
                        <a:xfrm>
                          <a:off x="0" y="0"/>
                          <a:ext cx="5896610" cy="2981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64.3pt;height:234.8pt;mso-wrap-distance-left:0.0pt;mso-wrap-distance-top:0.0pt;mso-wrap-distance-right:0.0pt;mso-wrap-distance-bottom:0.0pt;" stroked="f">
                <v:path textboxrect="0,0,0,0"/>
                <v:imagedata r:id="rId22"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819140" cy="4116070"/>
                <wp:effectExtent l="0" t="0" r="10160" b="17780"/>
                <wp:docPr id="22" name="图片 23"/>
                <wp:cNvGraphicFramePr/>
                <a:graphic xmlns:a="http://schemas.openxmlformats.org/drawingml/2006/main">
                  <a:graphicData uri="http://schemas.openxmlformats.org/drawingml/2006/picture">
                    <pic:pic xmlns:pic="http://schemas.openxmlformats.org/drawingml/2006/picture">
                      <pic:nvPicPr>
                        <pic:cNvPr id="23" name="图片 23"/>
                        <pic:cNvPicPr/>
                        <pic:nvPr/>
                      </pic:nvPicPr>
                      <pic:blipFill>
                        <a:blip r:embed="rId23"/>
                        <a:srcRect l="21" t="0" r="21" b="0"/>
                        <a:stretch/>
                      </pic:blipFill>
                      <pic:spPr bwMode="auto">
                        <a:xfrm>
                          <a:off x="0" y="0"/>
                          <a:ext cx="5819140" cy="4116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58.2pt;height:324.1pt;mso-wrap-distance-left:0.0pt;mso-wrap-distance-top:0.0pt;mso-wrap-distance-right:0.0pt;mso-wrap-distance-bottom:0.0pt;" stroked="f">
                <v:path textboxrect="0,0,0,0"/>
                <v:imagedata r:id="rId23" o:title=""/>
              </v:shape>
            </w:pict>
          </mc:Fallback>
        </mc:AlternateContent>
      </w:r>
      <w:r/>
    </w:p>
    <w:p>
      <w:pPr>
        <w:numPr>
          <w:ilvl w:val="0"/>
          <w:numId w:val="0"/>
        </w:num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备注：</w:t>
      </w:r>
      <w:r/>
    </w:p>
    <w:p>
      <w:pPr>
        <w:ind w:firstLine="480"/>
        <w:jc w:val="both"/>
        <w:widowControl w:val="off"/>
        <w:rPr>
          <w:rFonts w:ascii="Times New Roman" w:hAnsi="Times New Roman" w:eastAsia="宋体" w:cs="Times New Roman"/>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w:t>
      </w:r>
      <w:r>
        <w:rPr>
          <w:rFonts w:ascii="宋体" w:hAnsi="宋体" w:eastAsia="宋体" w:cs="宋体"/>
          <w:color w:val="000000" w:themeColor="text1"/>
          <w:sz w:val="24"/>
          <w:szCs w:val="21"/>
          <w:highlight w:val="none"/>
          <w:lang w:val="en-US" w:eastAsia="zh-CN" w:bidi="ar-SA"/>
          <w14:textFill>
            <w14:solidFill>
              <w14:schemeClr w14:val="tx1"/>
            </w14:solidFill>
          </w14:textFill>
        </w:rPr>
        <w:t xml:space="preserve">家具颜色：中标单位在中标后提供色板给甲方，按甲方选定的颜色生产。</w:t>
      </w:r>
      <w:r/>
    </w:p>
    <w:p>
      <w:pPr>
        <w:ind w:firstLine="480"/>
        <w:jc w:val="left"/>
        <w:spacing w:line="431"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ascii="宋体" w:hAnsi="宋体" w:eastAsia="宋体" w:cs="宋体"/>
          <w:color w:val="000000" w:themeColor="text1"/>
          <w:sz w:val="24"/>
          <w:highlight w:val="none"/>
          <w14:textFill>
            <w14:solidFill>
              <w14:schemeClr w14:val="tx1"/>
            </w14:solidFill>
          </w14:textFill>
        </w:rPr>
        <w:t xml:space="preserve">.中标单位在中标后自行复核现场实际尺寸及家具方向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确保家具能够正常安装</w:t>
      </w:r>
      <w:r>
        <w:rPr>
          <w:rFonts w:ascii="宋体" w:hAnsi="宋体" w:eastAsia="宋体" w:cs="宋体"/>
          <w:color w:val="000000" w:themeColor="text1"/>
          <w:sz w:val="24"/>
          <w:highlight w:val="none"/>
          <w14:textFill>
            <w14:solidFill>
              <w14:schemeClr w14:val="tx1"/>
            </w14:solidFill>
          </w14:textFill>
        </w:rPr>
        <w:t xml:space="preserve">。</w:t>
      </w:r>
      <w:r/>
    </w:p>
    <w:p>
      <w:pPr>
        <w:numPr>
          <w:ilvl w:val="0"/>
          <w:numId w:val="0"/>
        </w:numPr>
        <w:spacing w:line="0" w:lineRule="atLeas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3.2技术参数要求：</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（一）</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上床下柜（桌）组合家具</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1、尺寸：W2010*D930*H3050mm</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Calibri" w:hAnsi="Calibri"/>
          <w:bCs/>
          <w:color w:val="000000" w:themeColor="text1"/>
          <w:sz w:val="24"/>
          <w:szCs w:val="24"/>
          <w:highlight w:val="none"/>
          <w:lang w:val="en-US" w:bidi="ar-SA"/>
          <w14:textFill>
            <w14:solidFill>
              <w14:schemeClr w14:val="tx1"/>
            </w14:solidFill>
          </w14:textFill>
        </w:rPr>
        <w:t xml:space="preserve">允许</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5%偏差）</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2、钢材：经环氧聚酯塑粉静电喷塑处理。</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3、</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立柱：采用优质冷轧钢板经特制成型线轧制而成，其立面为中空异形闭口型材，立柱正面为圆弧形设计，起到防撞作用，外侧设有安全斜边,内侧直角设计，避免组合柜与床立柱之间的缝隙，立面成型后尺寸规格≥72mm*72mm，材料厚度为≥1.5mm。</w:t>
      </w:r>
      <w:r/>
    </w:p>
    <w:p>
      <w:pPr>
        <w:ind w:firstLine="482"/>
        <w:jc w:val="both"/>
        <w:keepLines w:val="0"/>
        <w:keepNext w:val="0"/>
        <w:pageBreakBefore w:val="0"/>
        <w:spacing w:line="460" w:lineRule="exact"/>
        <w:widowControl w:val="off"/>
        <w:rPr>
          <w:rFonts w:ascii="宋体" w:hAnsi="宋体" w:cs="宋体"/>
          <w:color w:val="000000" w:themeColor="text1"/>
          <w:sz w:val="24"/>
          <w:szCs w:val="21"/>
          <w:highlight w:val="none"/>
          <w14:textFill>
            <w14:solidFill>
              <w14:schemeClr w14:val="tx1"/>
            </w14:solidFill>
          </w14:textFill>
        </w:rPr>
      </w:pPr>
      <w:r/>
      <w:bookmarkStart w:id="195" w:name="OLE_LINK6"/>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4、</w:t>
      </w:r>
      <w:bookmarkEnd w:id="195"/>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▲立柱喷塑涂层硬度为5H，</w:t>
      </w:r>
      <w:r>
        <w:rPr>
          <w:rFonts w:hint="eastAsia" w:ascii="Arial" w:hAnsi="Arial" w:eastAsia="Arial" w:cs="Arial"/>
          <w:b w:val="0"/>
          <w:bCs w:val="0"/>
          <w:color w:val="000000" w:themeColor="text1"/>
          <w:sz w:val="24"/>
          <w:szCs w:val="24"/>
          <w:highlight w:val="none"/>
          <w:lang w:val="en-US" w:eastAsia="zh-CN"/>
          <w14:textFill>
            <w14:solidFill>
              <w14:schemeClr w14:val="tx1"/>
            </w14:solidFill>
          </w14:textFill>
        </w:rPr>
        <w:t xml:space="preserve">耐盐浴:划道两侧3mm外，应无鼓泡、锈蚀、剥落和起皱等现象。</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5、</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★前床厅及后床厅：</w:t>
      </w:r>
      <w:bookmarkStart w:id="196" w:name="OLE_LINK1"/>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采用优质冷轧钢板经特制成型线轧制而成，其立面尺寸规格≥80mm*30mm矩形管,材料厚度为≥1.5mm。后床厅管材规格≥80mm*30mm矩形管,材料厚度≥1.5mm。侧床厅管材规格≥80mm*30mm矩形管,材料厚度≥1.5mm，左右两侧与立柱连接，床厅与立柱采取隐藏式卡扣连接，带锁死功能，更加美观牢固。</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6、▲塑粉涂层和覆面层中</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可迁移有害元素</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，金属喷漆（塑）涂层附着力不低于1级。</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7、床前护栏:采用钢、铝、塑、木材料,方管规格≥25*25*1.5mm，护栏高度为450mm嵌入一块18mm厚E0级三聚氰胺饰面实木多层板, 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w:t>
      </w:r>
      <w:bookmarkEnd w:id="196"/>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前护栏带推拉窗，推拉窗整体</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规</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格:≥700*300*40mm，观察窗带隐藏式储物功能,不占用床铺空间,方便存放手机、眼镜、书本等随身携带物品,外形采用跑道圆设计，圆弧部分ABS材质注塑工艺成型，滑道采用铝型材，确保稳固安全，观察窗透明全封闭,同时具备推拉开启关闭功能，保护使用者的隐私。</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、床后护栏:采钢木结构,方管≥25*25*1.5mm,护栏高度为450mm+蚊帐杆链接高度720mm嵌入一块18mm厚E0级三聚氰胺饰面实木多层板, 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等级不低于B1级,具有良好的抗变形性能,后护栏内嵌隐藏式水杯架。</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、床头护栏:采用钢木结构,管材规格≥20*20*1.5mm方管,护栏高度为450mm,嵌入一块18mm厚E0级三聚氰胺饰面实木多层板，多层板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等级不低于B1级,具有良好的抗变形性能，护栏整体与立柱连接。</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0</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、床尾护栏:采用钢木结构,方管≥20*20*1.5mm,圆弧设计,护栏中间设一根横杆,整体与立柱连接,嵌入一块18mm厚E0级三聚氰胺饰面实木多层板，多层板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、床换:采用规格≥20*30*1.5mm矩形管，矩形管自带锁定槽与床厅稳固连接，每张床配置数量不少于5根。</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、蚊帐架采用规格≥φ19*1.5mm 圆管制作尺寸≥1870*910mm，与后护栏接。</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、铺板:采用双面刨光杉木床板，含水率≤12%，经干燥、防虫处理，宽度≥70mm，厚度≥18mm，每两根木条的距离间隙≤10mm，每块床板需要有≥4根（≥40×20mm）实木方料做横档加固,板条与横档之间</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需要</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用不锈钢螺丝固定连接。</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、床下书桌:桌面采用≥25mm厚E0级三聚氰胺饰面板,前口鸭嘴边设计，其余三边圆弧角设计，整体采用PVC吸塑工艺；桌架和书架板材采用≥18mm厚E0级三聚氰胺饰面实木多层板，多层板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等级不低于B1级，具有良好的抗变形性能，同色 PVC 封边，封边条厚度不低于2mm，桌子上方为书架，桌背板与中架侧板共用，桌下设有双抽屉，抽屉门板(尺寸:400±2mm*170±2mm)采用≥18mm厚E0级三聚氰胺饰面实木多层板，多层板</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等级不低于B1级，抽屉门板采用铝合金暗扣拉手,四周边缘采用PP环保塑料注塑封边；配备高强度、耐磨损、耐腐蚀等特性导轨，五金配件表面处理具有美观性和保护性；底部防潮架采用规格≥20*20*1.5mm方管制作。</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、床下衣柜:设有两个门，一个门开向朝走道，内部设一块层板，层板下方配≥φ22*1.2mm铝合金挂衣杆，另一个门开向朝书桌，内部设置两块层板，底部防潮架采用≥20*20*1.5mm方管制作。</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、衣柜小门板尺寸(1505±2mm*350±2mm)门板均采用≥18mm厚E0级环保三聚氰胺饰面实木多层板，多层板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、衣柜大门板(尺寸:1505±2mm *560±2mm)门板均采用≥18mm厚E0级环保三聚氰胺饰面实木多层板，多层板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、▲公寓床形状和位置公差合格，外观性能要求中金属件、木制件、塑料件检测结果合格，木制件表面装饰层(软硬质覆面层)耐干热和耐湿热不低于4级，</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单层床</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强度和耐久性合格</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（二）步梯</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1、尺寸：560*920*1418mm</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Calibri" w:hAnsi="Calibri"/>
          <w:bCs/>
          <w:color w:val="000000" w:themeColor="text1"/>
          <w:sz w:val="24"/>
          <w:szCs w:val="24"/>
          <w:highlight w:val="none"/>
          <w:lang w:val="en-US" w:bidi="ar-SA"/>
          <w14:textFill>
            <w14:solidFill>
              <w14:schemeClr w14:val="tx1"/>
            </w14:solidFill>
          </w14:textFill>
        </w:rPr>
        <w:t xml:space="preserve">允许</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5%偏差）</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p>
    <w:p>
      <w:pPr>
        <w:ind w:firstLine="482"/>
        <w:jc w:val="both"/>
        <w:keepLines w:val="0"/>
        <w:keepNext w:val="0"/>
        <w:pageBreakBefore w:val="0"/>
        <w:spacing w:line="460" w:lineRule="exact"/>
        <w:widowControl w:val="off"/>
        <w:rPr>
          <w:rFonts w:hint="eastAsia" w:ascii="宋体" w:hAnsi="宋体" w:eastAsia="宋体" w:cs="Times New Roman"/>
          <w:b/>
          <w:bCs/>
          <w:i/>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★步梯柜体：采用钢木结构，主体受力结构为钢制喷涂框架，管材规格≥20mm*20mm*1.5mm。</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3、步梯柜板材采用≥18mm厚E0级三聚氰胺饰面实木多层板制作，</w:t>
      </w:r>
      <w:bookmarkStart w:id="197" w:name="OLE_LINK8"/>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等级不低于B1级,具有良好的抗变形性能，每级踏板前端配有铝合金防护条，</w:t>
      </w:r>
      <w:bookmarkEnd w:id="197"/>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前端防护条内嵌PVC夜光耐磨防滑条，提升夜间起居安全性。</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4、抽屉门由下往上开启,正面设有四层储物抽屉，门板均采用≥18mm厚E0级环保三聚氰胺饰面实木多层板，多层板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等级不低于B1级,具有良好的抗变形性能，四周边缘采用PP环保塑料注塑封边</w:t>
      </w:r>
      <w:bookmarkStart w:id="198" w:name="OLE_LINK13"/>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bookmarkEnd w:id="198"/>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柜门板采用铝合金暗扣拉手，楼梯扶手采用规格≥Φ25*1.5mm圆管与立柱通过螺丝连接。</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三</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）学生椅</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1、尺寸：≥450*500*850mm</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2、椅座：采用聚丙烯加玻璃纤维全新材料模具一体成型制作，厚度≥8mm。座面安装高度≥440mm，座宽≥450mm，座深≥500mm，深装饰沟槽面</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背面配PP材质弧形螺丝闷盖。</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3、椅背：采用聚丙烯加玻璃纤维全新材料模具一体成型制作厚度≥6mm，座椅总高度≥850mm，背宽≥410mm，背高≥410mm；防滑面设有多根筋位。 </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4、</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★椅脚：采用优质圆管≥φ19mm*2.0mm厚；各金属件进行打磨、去油、酸洗、磷化、清洗、防锈等工艺处理后，通过粉末喷涂设备进行静电喷塑，防锈防腐蚀；地脚配有4个优质PP材质脚垫。 </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5、塑料件外观应无裂纹、明显变形、缩水、针孔；应无凹陷、飞边、 杂质、伤痕、白印；表面应光洁，应无划痕、毛刺、拉毛、污渍；应无明显色差。</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特别说明：</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钢制部分材质要求：床框架采用公寓床隐藏式卡扣件连接，所有钢材均采用国家标准钢，未喷涂前厚度≥1.5mm，各钢件经除油、防锈等工序处理，外层采用聚脂环氧粉末喷塑，具有长时间使用不生锈、不掉漆的特性；所有焊接部位要求满焊，表面波纹均匀，焊接处无夹渣、气孔、焊瘤、焊丝头咬边飞溅，无脱焊、虚焊及焊穿等现象。</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2、木质部分材质要求：本次招标范围内所有板材（包括但不限于桌面板、柜门板、侧板、层板、背板、底板、顶板）采用≥18mm厚E0级三聚氰胺饰面实木多层板，多层板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等级不低于B1级，其中桌面板厚度≥25mm。</w:t>
      </w:r>
      <w:r/>
    </w:p>
    <w:p>
      <w:pPr>
        <w:ind w:firstLine="480"/>
        <w:spacing w:line="400" w:lineRule="exact"/>
        <w:rPr>
          <w:rFonts w:hint="default"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3、</w:t>
      </w:r>
      <w:r>
        <w:rPr>
          <w:rFonts w:hint="eastAsia" w:ascii="Times New Roman" w:hAnsi="Times New Roman"/>
          <w:color w:val="000000" w:themeColor="text1"/>
          <w:sz w:val="24"/>
          <w:szCs w:val="21"/>
          <w:highlight w:val="none"/>
          <w14:textFill>
            <w14:solidFill>
              <w14:schemeClr w14:val="tx1"/>
            </w14:solidFill>
          </w14:textFill>
        </w:rPr>
        <w:t xml:space="preserve">技术参数要求未提及的</w:t>
      </w:r>
      <w:r>
        <w:rPr>
          <w:rFonts w:ascii="Times New Roman" w:hAnsi="Times New Roman"/>
          <w:color w:val="000000" w:themeColor="text1"/>
          <w:sz w:val="24"/>
          <w:szCs w:val="21"/>
          <w:highlight w:val="none"/>
          <w14:textFill>
            <w14:solidFill>
              <w14:schemeClr w14:val="tx1"/>
            </w14:solidFill>
          </w14:textFill>
        </w:rPr>
        <w:t xml:space="preserve">，按照国家强制性标准履行</w:t>
      </w:r>
      <w:r>
        <w:rPr>
          <w:rFonts w:hint="eastAsia" w:ascii="Times New Roman" w:hAnsi="Times New Roman"/>
          <w:color w:val="000000" w:themeColor="text1"/>
          <w:sz w:val="24"/>
          <w:szCs w:val="21"/>
          <w:highlight w:val="none"/>
          <w14:textFill>
            <w14:solidFill>
              <w14:schemeClr w14:val="tx1"/>
            </w14:solidFill>
          </w14:textFill>
        </w:rPr>
        <w:t xml:space="preserve">。</w:t>
      </w:r>
      <w:r/>
    </w:p>
    <w:p>
      <w:pPr>
        <w:ind w:firstLine="482"/>
        <w:jc w:val="left"/>
        <w:spacing w:line="50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四、检测报告要求：</w:t>
      </w:r>
      <w:r/>
    </w:p>
    <w:p>
      <w:pPr>
        <w:ind w:firstLine="482"/>
        <w:jc w:val="left"/>
        <w:spacing w:line="560" w:lineRule="exact"/>
        <w:widowControl/>
        <w:rPr>
          <w:rFonts w:hint="eastAsia" w:ascii="方正仿宋_GB2312" w:hAnsi="方正仿宋_GB2312" w:eastAsia="宋体" w:cs="方正仿宋_GB2312"/>
          <w:b/>
          <w:bCs/>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bCs/>
          <w:color w:val="000000" w:themeColor="text1"/>
          <w:sz w:val="24"/>
          <w:szCs w:val="32"/>
          <w:highlight w:val="none"/>
          <w:lang w:val="en-US" w:eastAsia="zh-CN"/>
          <w14:textFill>
            <w14:solidFill>
              <w14:schemeClr w14:val="tx1"/>
            </w14:solidFill>
          </w14:textFill>
        </w:rPr>
        <w:t xml:space="preserve">4.1</w:t>
      </w:r>
      <w:r>
        <w:rPr>
          <w:rFonts w:hint="eastAsia" w:ascii="Times New Roman" w:hAnsi="Times New Roman"/>
          <w:b/>
          <w:bCs/>
          <w:color w:val="000000" w:themeColor="text1"/>
          <w:sz w:val="24"/>
          <w:szCs w:val="32"/>
          <w:highlight w:val="none"/>
          <w14:textFill>
            <w14:solidFill>
              <w14:schemeClr w14:val="tx1"/>
            </w14:solidFill>
          </w14:textFill>
        </w:rPr>
        <w:t xml:space="preserve">投标人需提供所投产品成品检验合格报告:报告由具备CMA资质认定的检测机构出具签发日期距投标截止之日不超过</w:t>
      </w:r>
      <w:r>
        <w:rPr>
          <w:rFonts w:hint="eastAsia" w:ascii="Times New Roman" w:eastAsia="宋体"/>
          <w:b/>
          <w:bCs/>
          <w:color w:val="000000" w:themeColor="text1"/>
          <w:sz w:val="24"/>
          <w:szCs w:val="32"/>
          <w:highlight w:val="none"/>
          <w:lang w:val="en-US" w:eastAsia="zh-CN"/>
          <w14:textFill>
            <w14:solidFill>
              <w14:schemeClr w14:val="tx1"/>
            </w14:solidFill>
          </w14:textFill>
        </w:rPr>
        <w:t xml:space="preserve">24</w:t>
      </w:r>
      <w:r>
        <w:rPr>
          <w:rFonts w:hint="eastAsia" w:ascii="Times New Roman" w:hAnsi="Times New Roman"/>
          <w:b/>
          <w:bCs/>
          <w:color w:val="000000" w:themeColor="text1"/>
          <w:sz w:val="24"/>
          <w:szCs w:val="32"/>
          <w:highlight w:val="none"/>
          <w14:textFill>
            <w14:solidFill>
              <w14:schemeClr w14:val="tx1"/>
            </w14:solidFill>
          </w14:textFill>
        </w:rPr>
        <w:t xml:space="preserve">个月;报告应按规定标CMA标识(法律法规或主管部</w:t>
      </w:r>
      <w:r>
        <w:rPr>
          <w:rFonts w:hint="eastAsia"/>
          <w:b/>
          <w:bCs/>
          <w:color w:val="000000" w:themeColor="text1"/>
          <w:sz w:val="24"/>
          <w:szCs w:val="32"/>
          <w:highlight w:val="none"/>
          <w:lang w:val="en-US" w:eastAsia="zh-CN"/>
          <w14:textFill>
            <w14:solidFill>
              <w14:schemeClr w14:val="tx1"/>
            </w14:solidFill>
          </w14:textFill>
        </w:rPr>
        <w:t xml:space="preserve">门</w:t>
      </w:r>
      <w:r>
        <w:rPr>
          <w:rFonts w:hint="eastAsia" w:ascii="Times New Roman" w:hAnsi="Times New Roman"/>
          <w:b/>
          <w:bCs/>
          <w:color w:val="000000" w:themeColor="text1"/>
          <w:sz w:val="24"/>
          <w:szCs w:val="32"/>
          <w:highlight w:val="none"/>
          <w14:textFill>
            <w14:solidFill>
              <w14:schemeClr w14:val="tx1"/>
            </w14:solidFill>
          </w14:textFill>
        </w:rPr>
        <w:t xml:space="preserve">明确无需CMA的除外)。</w:t>
      </w:r>
      <w:r/>
    </w:p>
    <w:p>
      <w:pPr>
        <w:ind w:firstLine="480"/>
        <w:jc w:val="left"/>
        <w:spacing w:line="560" w:lineRule="exact"/>
        <w:widowControl/>
        <w:rPr>
          <w:rFonts w:hint="eastAsia" w:ascii="宋体" w:hAnsi="宋体" w:eastAsia="宋体" w:cs="宋体"/>
          <w:color w:val="000000" w:themeColor="text1"/>
          <w:sz w:val="24"/>
          <w:szCs w:val="21"/>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公寓床，检验项目</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需要</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包含：外观</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（焊接件、喷漆(塑)涂层 、塑料件）、结构安全、金属喷漆（塑）涂层理化性能要求</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Arial" w:hAnsi="Arial" w:eastAsia="Arial" w:cs="Arial"/>
          <w:b w:val="0"/>
          <w:bCs w:val="0"/>
          <w:color w:val="000000" w:themeColor="text1"/>
          <w:sz w:val="24"/>
          <w:szCs w:val="24"/>
          <w:highlight w:val="none"/>
          <w:lang w:val="en-US" w:eastAsia="zh-CN"/>
          <w14:textFill>
            <w14:solidFill>
              <w14:schemeClr w14:val="tx1"/>
            </w14:solidFill>
          </w14:textFill>
        </w:rPr>
        <w:t xml:space="preserve">耐盐浴:划道两侧3mm外，应无鼓泡、锈蚀、剥落和起皱等现象。</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单层床强度和耐久性、甲醛释放量、TVOC、苯并[a]芘）。</w:t>
      </w:r>
      <w:r/>
    </w:p>
    <w:p>
      <w:pPr>
        <w:ind w:firstLine="480"/>
        <w:jc w:val="left"/>
        <w:spacing w:line="560" w:lineRule="exact"/>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2.床下</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衣柜和床下书桌</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，检验项目</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需要</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包含：外观要求（</w:t>
      </w:r>
      <w:r>
        <w:rPr>
          <w:rFonts w:hint="eastAsia" w:ascii="Arial" w:hAnsi="Arial" w:eastAsia="Arial" w:cs="Arial"/>
          <w:b w:val="0"/>
          <w:bCs w:val="0"/>
          <w:color w:val="000000" w:themeColor="text1"/>
          <w:sz w:val="24"/>
          <w:szCs w:val="24"/>
          <w:highlight w:val="none"/>
          <w:lang w:val="en-US" w:eastAsia="zh-CN"/>
          <w14:textFill>
            <w14:solidFill>
              <w14:schemeClr w14:val="tx1"/>
            </w14:solidFill>
          </w14:textFill>
        </w:rPr>
        <w:t xml:space="preserve">软硬质覆面人造板</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、五金件、塑料件）、</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木制件表面理化性能</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、金属拉手耐腐蚀性要求中检测时间不少于200小时、柜架类强度和耐久性、柜</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架</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类稳定性、结构安全性、甲醛释放量、TVOC、苯并[a]芘</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w:t>
      </w:r>
      <w:r/>
    </w:p>
    <w:p>
      <w:pPr>
        <w:ind w:firstLine="480"/>
        <w:jc w:val="left"/>
        <w:spacing w:line="560" w:lineRule="exact"/>
        <w:widowControl/>
        <w:rPr>
          <w:rFonts w:hint="default" w:ascii="Times New Roman" w:hAnsi="Times New Roman" w:eastAsia="宋体"/>
          <w:color w:val="000000" w:themeColor="text1"/>
          <w:sz w:val="24"/>
          <w:szCs w:val="32"/>
          <w:highlight w:val="none"/>
          <w:lang w:val="en-US" w:eastAsia="zh-CN"/>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3.学生椅</w:t>
      </w:r>
      <w:r>
        <w:rPr>
          <w:rFonts w:hint="eastAsia" w:ascii="Times New Roman" w:hAnsi="Times New Roman"/>
          <w:color w:val="000000" w:themeColor="text1"/>
          <w:sz w:val="24"/>
          <w:szCs w:val="32"/>
          <w:highlight w:val="none"/>
          <w14:textFill>
            <w14:solidFill>
              <w14:schemeClr w14:val="tx1"/>
            </w14:solidFill>
          </w14:textFill>
        </w:rPr>
        <w:t xml:space="preserve">，</w:t>
      </w:r>
      <w:r>
        <w:rPr>
          <w:rFonts w:ascii="Times New Roman" w:hAnsi="Times New Roman"/>
          <w:color w:val="000000" w:themeColor="text1"/>
          <w:sz w:val="24"/>
          <w:szCs w:val="21"/>
          <w:highlight w:val="none"/>
          <w14:textFill>
            <w14:solidFill>
              <w14:schemeClr w14:val="tx1"/>
            </w14:solidFill>
          </w14:textFill>
        </w:rPr>
        <w:t xml:space="preserve">检验项目</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需要</w:t>
      </w:r>
      <w:r>
        <w:rPr>
          <w:rFonts w:ascii="Times New Roman" w:hAnsi="Times New Roman"/>
          <w:color w:val="000000" w:themeColor="text1"/>
          <w:sz w:val="24"/>
          <w:szCs w:val="21"/>
          <w:highlight w:val="none"/>
          <w14:textFill>
            <w14:solidFill>
              <w14:schemeClr w14:val="tx1"/>
            </w14:solidFill>
          </w14:textFill>
        </w:rPr>
        <w:t xml:space="preserve">包含</w:t>
      </w:r>
      <w:r>
        <w:rPr>
          <w:rFonts w:hint="eastAsia" w:ascii="Times New Roman" w:hAnsi="Times New Roman"/>
          <w:color w:val="000000" w:themeColor="text1"/>
          <w:sz w:val="24"/>
          <w:szCs w:val="21"/>
          <w:highlight w:val="none"/>
          <w14:textFill>
            <w14:solidFill>
              <w14:schemeClr w14:val="tx1"/>
            </w14:solidFill>
          </w14:textFill>
        </w:rPr>
        <w:t xml:space="preserve">：</w:t>
      </w:r>
      <w:r>
        <w:rPr>
          <w:rFonts w:ascii="Times New Roman" w:hAnsi="Times New Roman"/>
          <w:color w:val="000000" w:themeColor="text1"/>
          <w:sz w:val="24"/>
          <w:szCs w:val="32"/>
          <w:highlight w:val="none"/>
          <w14:textFill>
            <w14:solidFill>
              <w14:schemeClr w14:val="tx1"/>
            </w14:solidFill>
          </w14:textFill>
        </w:rPr>
        <w:t xml:space="preserve">阻燃性≥2级，抑菌率≥99%，产烟毒性危险分级≤ZA1级）。</w:t>
      </w:r>
      <w:r/>
    </w:p>
    <w:p>
      <w:pPr>
        <w:ind w:firstLine="480"/>
        <w:jc w:val="left"/>
        <w:spacing w:line="400" w:lineRule="exact"/>
        <w:widowControl/>
        <w:rPr>
          <w:rFonts w:hint="eastAsia" w:ascii="Times New Roman" w:hAnsi="Times New Roman"/>
          <w:color w:val="000000" w:themeColor="text1"/>
          <w:sz w:val="24"/>
          <w:szCs w:val="32"/>
          <w:highlight w:val="none"/>
          <w14:textFill>
            <w14:solidFill>
              <w14:schemeClr w14:val="tx1"/>
            </w14:solidFill>
          </w14:textFill>
        </w:rPr>
      </w:pPr>
      <w:r>
        <w:rPr>
          <w:rFonts w:hint="eastAsia" w:ascii="Times New Roman" w:hAnsi="Times New Roman"/>
          <w:color w:val="000000" w:themeColor="text1"/>
          <w:sz w:val="24"/>
          <w:szCs w:val="32"/>
          <w:highlight w:val="none"/>
          <w14:textFill>
            <w14:solidFill>
              <w14:schemeClr w14:val="tx1"/>
            </w14:solidFill>
          </w14:textFill>
        </w:rPr>
        <w:t xml:space="preserve">注：以上检测项目可在同一份或多份CMA报告中体现，但须完整覆盖。</w:t>
      </w:r>
      <w:r/>
    </w:p>
    <w:p>
      <w:pPr>
        <w:ind w:firstLine="480"/>
        <w:spacing w:line="400" w:lineRule="exact"/>
        <w:widowControl/>
        <w:rPr>
          <w:rFonts w:hint="eastAsia" w:ascii="Times New Roman" w:hAnsi="Times New Roman"/>
          <w:color w:val="000000" w:themeColor="text1"/>
          <w:sz w:val="24"/>
          <w:szCs w:val="32"/>
          <w:highlight w:val="none"/>
          <w14:textFill>
            <w14:solidFill>
              <w14:schemeClr w14:val="tx1"/>
            </w14:solidFill>
          </w14:textFill>
        </w:rPr>
      </w:pPr>
      <w:r>
        <w:rPr>
          <w:rFonts w:hint="eastAsia"/>
          <w:color w:val="000000" w:themeColor="text1"/>
          <w:sz w:val="24"/>
          <w:szCs w:val="32"/>
          <w:highlight w:val="none"/>
          <w:lang w:val="en-US" w:eastAsia="zh-CN"/>
          <w14:textFill>
            <w14:solidFill>
              <w14:schemeClr w14:val="tx1"/>
            </w14:solidFill>
          </w14:textFill>
        </w:rPr>
        <w:t xml:space="preserve">2.</w:t>
      </w:r>
      <w:r>
        <w:rPr>
          <w:rFonts w:hint="eastAsia" w:ascii="宋体" w:hAnsi="宋体"/>
          <w:color w:val="000000" w:themeColor="text1"/>
          <w:sz w:val="24"/>
          <w:szCs w:val="32"/>
          <w:highlight w:val="none"/>
          <w14:textFill>
            <w14:solidFill>
              <w14:schemeClr w14:val="tx1"/>
            </w14:solidFill>
          </w14:textFill>
        </w:rPr>
        <w:t xml:space="preserve">在项目履约及验收阶段，所有检测标准均依据国家级行业现行有效标准。</w:t>
      </w:r>
      <w:r/>
    </w:p>
    <w:p>
      <w:pPr>
        <w:ind w:firstLine="482"/>
        <w:jc w:val="left"/>
        <w:spacing w:line="560" w:lineRule="exact"/>
        <w:widowControl/>
        <w:rPr>
          <w:rFonts w:hint="eastAsia" w:ascii="方正仿宋_GB2312" w:hAnsi="方正仿宋_GB2312" w:eastAsia="宋体" w:cs="方正仿宋_GB2312"/>
          <w:b/>
          <w:bCs/>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bCs/>
          <w:color w:val="000000" w:themeColor="text1"/>
          <w:sz w:val="24"/>
          <w:szCs w:val="32"/>
          <w:highlight w:val="none"/>
          <w:lang w:val="en-US" w:eastAsia="zh-CN"/>
          <w14:textFill>
            <w14:solidFill>
              <w14:schemeClr w14:val="tx1"/>
            </w14:solidFill>
          </w14:textFill>
        </w:rPr>
        <w:t xml:space="preserve">4.2 </w:t>
      </w:r>
      <w:r>
        <w:rPr>
          <w:rFonts w:hint="eastAsia" w:ascii="Times New Roman" w:hAnsi="Times New Roman"/>
          <w:b/>
          <w:bCs/>
          <w:color w:val="000000" w:themeColor="text1"/>
          <w:sz w:val="24"/>
          <w:szCs w:val="32"/>
          <w:highlight w:val="none"/>
          <w14:textFill>
            <w14:solidFill>
              <w14:schemeClr w14:val="tx1"/>
            </w14:solidFill>
          </w14:textFill>
        </w:rPr>
        <w:t xml:space="preserve">投标人需提供所投产品</w:t>
      </w:r>
      <w:r>
        <w:rPr>
          <w:rFonts w:hint="eastAsia"/>
          <w:b/>
          <w:bCs/>
          <w:color w:val="000000" w:themeColor="text1"/>
          <w:sz w:val="24"/>
          <w:szCs w:val="32"/>
          <w:highlight w:val="none"/>
          <w:lang w:val="en-US" w:eastAsia="zh-CN"/>
          <w14:textFill>
            <w14:solidFill>
              <w14:schemeClr w14:val="tx1"/>
            </w14:solidFill>
          </w14:textFill>
        </w:rPr>
        <w:t xml:space="preserve">原材料</w:t>
      </w:r>
      <w:r>
        <w:rPr>
          <w:rFonts w:hint="eastAsia" w:ascii="Times New Roman" w:hAnsi="Times New Roman"/>
          <w:b/>
          <w:bCs/>
          <w:color w:val="000000" w:themeColor="text1"/>
          <w:sz w:val="24"/>
          <w:szCs w:val="32"/>
          <w:highlight w:val="none"/>
          <w14:textFill>
            <w14:solidFill>
              <w14:schemeClr w14:val="tx1"/>
            </w14:solidFill>
          </w14:textFill>
        </w:rPr>
        <w:t xml:space="preserve">检验合格报告:报告由具备CMA资质认定的检测机构出具签发日期距投标截止之日不超过</w:t>
      </w:r>
      <w:r>
        <w:rPr>
          <w:rFonts w:hint="eastAsia" w:ascii="Times New Roman" w:eastAsia="宋体"/>
          <w:b/>
          <w:bCs/>
          <w:color w:val="000000" w:themeColor="text1"/>
          <w:sz w:val="24"/>
          <w:szCs w:val="32"/>
          <w:highlight w:val="none"/>
          <w:lang w:val="en-US" w:eastAsia="zh-CN"/>
          <w14:textFill>
            <w14:solidFill>
              <w14:schemeClr w14:val="tx1"/>
            </w14:solidFill>
          </w14:textFill>
        </w:rPr>
        <w:t xml:space="preserve">24</w:t>
      </w:r>
      <w:r>
        <w:rPr>
          <w:rFonts w:hint="eastAsia" w:ascii="Times New Roman" w:hAnsi="Times New Roman"/>
          <w:b/>
          <w:bCs/>
          <w:color w:val="000000" w:themeColor="text1"/>
          <w:sz w:val="24"/>
          <w:szCs w:val="32"/>
          <w:highlight w:val="none"/>
          <w14:textFill>
            <w14:solidFill>
              <w14:schemeClr w14:val="tx1"/>
            </w14:solidFill>
          </w14:textFill>
        </w:rPr>
        <w:t xml:space="preserve">个月;报告应按规定标CMA标识(法律法规或主管部</w:t>
      </w:r>
      <w:r>
        <w:rPr>
          <w:rFonts w:hint="eastAsia"/>
          <w:b/>
          <w:bCs/>
          <w:color w:val="000000" w:themeColor="text1"/>
          <w:sz w:val="24"/>
          <w:szCs w:val="32"/>
          <w:highlight w:val="none"/>
          <w:lang w:val="en-US" w:eastAsia="zh-CN"/>
          <w14:textFill>
            <w14:solidFill>
              <w14:schemeClr w14:val="tx1"/>
            </w14:solidFill>
          </w14:textFill>
        </w:rPr>
        <w:t xml:space="preserve">门</w:t>
      </w:r>
      <w:r>
        <w:rPr>
          <w:rFonts w:hint="eastAsia" w:ascii="Times New Roman" w:hAnsi="Times New Roman"/>
          <w:b/>
          <w:bCs/>
          <w:color w:val="000000" w:themeColor="text1"/>
          <w:sz w:val="24"/>
          <w:szCs w:val="32"/>
          <w:highlight w:val="none"/>
          <w14:textFill>
            <w14:solidFill>
              <w14:schemeClr w14:val="tx1"/>
            </w14:solidFill>
          </w14:textFill>
        </w:rPr>
        <w:t xml:space="preserve">明确无需CMA的除外)。</w:t>
      </w:r>
      <w:r/>
    </w:p>
    <w:p>
      <w:pPr>
        <w:ind w:firstLine="480"/>
        <w:jc w:val="left"/>
        <w:spacing w:line="560" w:lineRule="exact"/>
        <w:widowControl/>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1.多层实木板，检测项目需要包含：甲醛释放量≤0.050mg/m³；苯、甲苯、二甲苯释放量符合要求；TVOC≤0.05mg/m³,燃烧性能等级不低于B1级。</w:t>
      </w:r>
      <w:r/>
    </w:p>
    <w:p>
      <w:pPr>
        <w:ind w:firstLine="480"/>
        <w:jc w:val="left"/>
        <w:spacing w:line="560" w:lineRule="exact"/>
        <w:widowControl/>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2.封边条，检验项目需要包含：抗菌性能：抗菌率≥99%，甲醛释放量、可迁移元素(可溶性重金属)邻苯二甲酸酯：未检出，耐磨性：磨40r后，应无露底现象；耐干热性≥四级【70℃】;  耐光色牢度(灰色样卡)≥4级。</w:t>
      </w:r>
      <w:r/>
    </w:p>
    <w:p>
      <w:pPr>
        <w:ind w:firstLine="480"/>
        <w:jc w:val="left"/>
        <w:spacing w:line="560" w:lineRule="exact"/>
        <w:widowControl/>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3.钢管，检验项目需要包含：</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1.外观性能金属件喷漆(塑)涂层：应无漏喷、锈蚀、脱色、掉色等；应光滑均匀，色泽一致，应无流挂、疙瘩、皱皮、飞漆等</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金属喷漆(塑)涂层硬度≥5H,附着力达到不低于1级，冲击强度、耐盐浴:划道两侧3mm外，应无鼓泡、锈蚀、剥落和起皱等现象。3.中性盐雾试验、乙酸盐雾试验、铜加速乙酸盐雾试验、铜加速乙酸盐雾试验连续喷雾≥200h,镀层本身的耐腐蚀等级和镀层对基体的保护等级≥10级；4.产品有害物质8项元素均未检出。</w:t>
      </w:r>
      <w:r/>
    </w:p>
    <w:p>
      <w:pPr>
        <w:ind w:firstLine="480"/>
        <w:jc w:val="left"/>
        <w:spacing w:line="560" w:lineRule="exact"/>
        <w:widowControl/>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4.铰链（阻尼门铰），检验项目需要包含：中性盐雾试验（200h）≥10级，耐久性：10万次，操作力：在耐久性试验前后，打开力和关闭力不应大于20N,下沉量≤1mm。</w:t>
      </w:r>
      <w:r/>
    </w:p>
    <w:p>
      <w:pPr>
        <w:ind w:firstLine="480"/>
        <w:jc w:val="left"/>
        <w:spacing w:line="560" w:lineRule="exact"/>
        <w:widowControl/>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5.导轨，检验项目需要包含：中性盐雾试验（200h）≥10级、耐久性：10万次。</w:t>
      </w:r>
      <w:r/>
    </w:p>
    <w:p>
      <w:pPr>
        <w:ind w:firstLine="480"/>
        <w:jc w:val="left"/>
        <w:spacing w:line="560" w:lineRule="exact"/>
        <w:widowControl/>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6.PP塑料，检验项目需要包含：防霉菌性能、硬度符合要求。</w:t>
      </w:r>
      <w:r/>
    </w:p>
    <w:p>
      <w:pPr>
        <w:ind w:firstLine="480"/>
        <w:jc w:val="left"/>
        <w:spacing w:line="560" w:lineRule="exact"/>
        <w:widowControl/>
        <w:rPr>
          <w:rFonts w:hint="eastAsia" w:ascii="Times New Roman" w:hAnsi="Times New Roman"/>
          <w:color w:val="000000" w:themeColor="text1"/>
          <w:sz w:val="24"/>
          <w:szCs w:val="32"/>
          <w:highlight w:val="none"/>
          <w14:textFill>
            <w14:solidFill>
              <w14:schemeClr w14:val="tx1"/>
            </w14:solidFill>
          </w14:textFill>
        </w:rPr>
      </w:pPr>
      <w:r>
        <w:rPr>
          <w:rFonts w:hint="eastAsia" w:ascii="Times New Roman" w:hAnsi="Times New Roman"/>
          <w:color w:val="000000" w:themeColor="text1"/>
          <w:sz w:val="24"/>
          <w:szCs w:val="32"/>
          <w:highlight w:val="none"/>
          <w14:textFill>
            <w14:solidFill>
              <w14:schemeClr w14:val="tx1"/>
            </w14:solidFill>
          </w14:textFill>
        </w:rPr>
        <w:t xml:space="preserve">注：</w:t>
      </w:r>
      <w:r>
        <w:rPr>
          <w:rFonts w:hint="eastAsia"/>
          <w:color w:val="000000" w:themeColor="text1"/>
          <w:sz w:val="24"/>
          <w:szCs w:val="32"/>
          <w:highlight w:val="none"/>
          <w:lang w:val="en-US" w:eastAsia="zh-CN"/>
          <w14:textFill>
            <w14:solidFill>
              <w14:schemeClr w14:val="tx1"/>
            </w14:solidFill>
          </w14:textFill>
        </w:rPr>
        <w:t xml:space="preserve">1.</w:t>
      </w:r>
      <w:r>
        <w:rPr>
          <w:rFonts w:hint="eastAsia" w:ascii="Times New Roman" w:hAnsi="Times New Roman"/>
          <w:color w:val="000000" w:themeColor="text1"/>
          <w:sz w:val="24"/>
          <w:szCs w:val="32"/>
          <w:highlight w:val="none"/>
          <w14:textFill>
            <w14:solidFill>
              <w14:schemeClr w14:val="tx1"/>
            </w14:solidFill>
          </w14:textFill>
        </w:rPr>
        <w:t xml:space="preserve">以上检测项目可在同一份或多份CMA报告中体现，但须完整覆盖。</w:t>
      </w:r>
      <w:r/>
    </w:p>
    <w:p>
      <w:pPr>
        <w:ind w:firstLine="480"/>
        <w:spacing w:line="400" w:lineRule="exact"/>
        <w:widowControl/>
        <w:rPr>
          <w:rFonts w:hint="default" w:ascii="Times New Roman" w:hAnsi="Times New Roman"/>
          <w:color w:val="000000" w:themeColor="text1"/>
          <w:sz w:val="24"/>
          <w:szCs w:val="32"/>
          <w:highlight w:val="none"/>
          <w:lang w:val="en-US" w:eastAsia="zh-CN"/>
          <w14:textFill>
            <w14:solidFill>
              <w14:schemeClr w14:val="tx1"/>
            </w14:solidFill>
          </w14:textFill>
        </w:rPr>
      </w:pPr>
      <w:r>
        <w:rPr>
          <w:rFonts w:hint="eastAsia" w:ascii="宋体" w:hAnsi="宋体"/>
          <w:color w:val="000000" w:themeColor="text1"/>
          <w:sz w:val="24"/>
          <w:szCs w:val="32"/>
          <w:highlight w:val="none"/>
          <w14:textFill>
            <w14:solidFill>
              <w14:schemeClr w14:val="tx1"/>
            </w14:solidFill>
          </w14:textFill>
        </w:rPr>
        <w:t xml:space="preserve">2.在项目履约及验收阶段，所有检测标准均依据国家级行业现行有效标准。</w:t>
      </w:r>
      <w:r/>
    </w:p>
    <w:p>
      <w:pPr>
        <w:numPr>
          <w:ilvl w:val="0"/>
          <w:numId w:val="0"/>
        </w:numPr>
        <w:ind w:left="420"/>
        <w:jc w:val="left"/>
        <w:spacing w:line="500" w:lineRule="exact"/>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五、投标样品提供</w:t>
      </w:r>
      <w:r/>
    </w:p>
    <w:p>
      <w:pPr>
        <w:ind w:firstLine="480"/>
        <w:jc w:val="left"/>
        <w:spacing w:line="560" w:lineRule="exact"/>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5</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.1项目要求提供样品的，中标人的样品由采购人负责保管、封存，并作为履约验收的参考。未中标人的样品将及时退还。</w:t>
      </w:r>
      <w:r/>
    </w:p>
    <w:p>
      <w:pPr>
        <w:ind w:firstLine="480"/>
        <w:jc w:val="left"/>
        <w:spacing w:line="560" w:lineRule="exact"/>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5</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.2投标供应商递交以下样品：</w:t>
      </w:r>
      <w:r/>
    </w:p>
    <w:p>
      <w:pPr>
        <w:ind w:firstLine="480"/>
        <w:jc w:val="left"/>
        <w:spacing w:line="560" w:lineRule="exact"/>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5</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.2.1材料样品一套：请投标供应商按照招标文件的要求提供所投产品的小样，具体如下：</w:t>
      </w:r>
      <w:r/>
    </w:p>
    <w:tbl>
      <w:tblPr>
        <w:tblStyle w:val="705"/>
        <w:tblW w:w="5300" w:type="pct"/>
        <w:jc w:val="center"/>
        <w:tblLayout w:type="fixed"/>
        <w:tblCellMar>
          <w:left w:w="108" w:type="dxa"/>
          <w:top w:w="0" w:type="dxa"/>
          <w:right w:w="108" w:type="dxa"/>
          <w:bottom w:w="0" w:type="dxa"/>
        </w:tblCellMar>
        <w:tblLook w:val="04A0" w:firstRow="1" w:lastRow="0" w:firstColumn="1" w:lastColumn="0" w:noHBand="0" w:noVBand="1"/>
      </w:tblPr>
      <w:tblGrid>
        <w:gridCol w:w="595"/>
        <w:gridCol w:w="885"/>
        <w:gridCol w:w="1718"/>
        <w:gridCol w:w="4810"/>
        <w:gridCol w:w="1032"/>
      </w:tblGrid>
      <w:tr>
        <w:trPr>
          <w:jc w:val="center"/>
          <w:trHeight w:val="661"/>
          <w:tblHeader/>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样品名称</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Times New Roman" w:hAnsi="Times New Roman"/>
                <w:b/>
                <w:bCs/>
                <w:color w:val="000000" w:themeColor="text1"/>
                <w:sz w:val="24"/>
                <w:szCs w:val="24"/>
                <w:highlight w:val="none"/>
                <w14:textFill>
                  <w14:solidFill>
                    <w14:schemeClr w14:val="tx1"/>
                  </w14:solidFill>
                </w14:textFill>
              </w:rPr>
              <w:t xml:space="preserve">样品尺寸</w:t>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bookmarkStart w:id="199" w:name="OLE_LINK125"/>
            <w:r>
              <w:rPr>
                <w:rFonts w:ascii="Times New Roman" w:hAnsi="Times New Roman"/>
                <w:b/>
                <w:bCs/>
                <w:color w:val="000000" w:themeColor="text1"/>
                <w:sz w:val="24"/>
                <w:szCs w:val="24"/>
                <w:highlight w:val="none"/>
                <w14:textFill>
                  <w14:solidFill>
                    <w14:schemeClr w14:val="tx1"/>
                  </w14:solidFill>
                </w14:textFill>
              </w:rPr>
              <w:t xml:space="preserve">样品</w:t>
            </w:r>
            <w:r>
              <w:rPr>
                <w:rFonts w:hint="eastAsia" w:ascii="Times New Roman" w:hAnsi="Times New Roman"/>
                <w:b/>
                <w:bCs/>
                <w:color w:val="000000" w:themeColor="text1"/>
                <w:sz w:val="24"/>
                <w:szCs w:val="24"/>
                <w:highlight w:val="none"/>
                <w14:textFill>
                  <w14:solidFill>
                    <w14:schemeClr w14:val="tx1"/>
                  </w14:solidFill>
                </w14:textFill>
              </w:rPr>
              <w:t xml:space="preserve">材质、工艺、外观</w:t>
            </w:r>
            <w:bookmarkEnd w:id="199"/>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备注</w:t>
            </w:r>
            <w:r/>
          </w:p>
        </w:tc>
      </w:tr>
      <w:tr>
        <w:trPr>
          <w:jc w:val="center"/>
          <w:trHeight w:val="582"/>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床前护栏</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长度</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850mm（含推拉窗，推拉窗整体</w:t>
            </w:r>
            <w:r>
              <w:rPr>
                <w:rFonts w:hint="eastAsia" w:cs="Times New Roman"/>
                <w:color w:val="000000" w:themeColor="text1"/>
                <w:sz w:val="24"/>
                <w:szCs w:val="24"/>
                <w:highlight w:val="none"/>
                <w:lang w:val="en-US" w:eastAsia="zh-CN" w:bidi="ar-SA"/>
                <w14:textFill>
                  <w14:solidFill>
                    <w14:schemeClr w14:val="tx1"/>
                  </w14:solidFill>
                </w14:textFill>
              </w:rPr>
              <w:t xml:space="preserve">规</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格:≥700*300*40mm）</w:t>
            </w:r>
            <w:r/>
          </w:p>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高度≥</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450mm</w:t>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spacing w:line="360" w:lineRule="exact"/>
              <w:widowControl/>
              <w:rPr>
                <w:rFonts w:hint="default" w:ascii="宋体" w:hAnsi="宋体" w:eastAsia="宋体" w:cs="Times New Roman"/>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采用钢、铝、塑、木材料</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widowControl/>
              <w:rPr>
                <w:rFonts w:hint="default" w:ascii="宋体" w:hAnsi="宋体" w:eastAsia="宋体" w:cs="Times New Roman"/>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工艺：嵌入一块18mm厚的实木多层板</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前护栏带推拉窗</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推拉窗整体规格：700*300*40，外形采用跑道圆设计，圆弧部分</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ABS</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材质注塑工艺一次成型，滑道采用铝型材，设一个观察窗。</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无流挂、疙瘩、皱皮等缺陷，安全稳定</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外观：</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不生锈、不掉漆的特性；焊接表面波纹均匀，焊接处无夹渣、气孔、焊瘤、焊丝头咬边飞溅，无脱焊、虚焊及焊穿现象。整体美观，表面涂层应光滑均匀，色泽一致</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673"/>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立柱</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长度300mm</w:t>
            </w:r>
            <w:r>
              <w:rPr>
                <w:rFonts w:ascii="Times New Roman" w:hAnsi="Times New Roman"/>
                <w:color w:val="000000" w:themeColor="text1"/>
                <w:sz w:val="24"/>
                <w:szCs w:val="24"/>
                <w:highlight w:val="none"/>
                <w14:textFill>
                  <w14:solidFill>
                    <w14:schemeClr w14:val="tx1"/>
                  </w14:solidFill>
                </w14:textFill>
              </w:rPr>
              <w:br/>
            </w:r>
            <w:r>
              <w:rPr>
                <w:rFonts w:ascii="Times New Roman" w:hAnsi="Times New Roman"/>
                <w:color w:val="000000" w:themeColor="text1"/>
                <w:sz w:val="24"/>
                <w:szCs w:val="24"/>
                <w:highlight w:val="none"/>
                <w14:textFill>
                  <w14:solidFill>
                    <w14:schemeClr w14:val="tx1"/>
                  </w14:solidFill>
                </w14:textFill>
              </w:rPr>
              <w:t xml:space="preserve">立面成型后尺寸规格≥72mm*72mm，壁厚≥1.5mm</w:t>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材质：钢；立柱脚采用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PP</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塑料的防滑静音内塞。</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工艺：立面为中空异形闭口型材，正面为圆弧形设计，无流挂、疙瘩、皱皮等缺陷，安全稳定。</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外观：整体美观，表面涂层应光滑均匀，色泽一致。</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698"/>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前/后床厅管/侧床厅矩形管</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长度300mm</w:t>
            </w:r>
            <w:r>
              <w:rPr>
                <w:rFonts w:ascii="Times New Roman" w:hAnsi="Times New Roman"/>
                <w:color w:val="000000" w:themeColor="text1"/>
                <w:sz w:val="24"/>
                <w:szCs w:val="24"/>
                <w:highlight w:val="none"/>
                <w14:textFill>
                  <w14:solidFill>
                    <w14:schemeClr w14:val="tx1"/>
                  </w14:solidFill>
                </w14:textFill>
              </w:rPr>
              <w:br/>
            </w:r>
            <w:r>
              <w:rPr>
                <w:rFonts w:ascii="Times New Roman" w:hAnsi="Times New Roman"/>
                <w:color w:val="000000" w:themeColor="text1"/>
                <w:sz w:val="24"/>
                <w:szCs w:val="24"/>
                <w:highlight w:val="none"/>
                <w14:textFill>
                  <w14:solidFill>
                    <w14:schemeClr w14:val="tx1"/>
                  </w14:solidFill>
                </w14:textFill>
              </w:rPr>
              <w:t xml:space="preserve">立面尺寸≥80mm*30mm管,壁厚≥1.5mm</w:t>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钢</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工艺：无流挂、疙瘩、皱皮等缺陷，安全稳定。</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整体美观，表面涂层应光滑均匀，色泽一致</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衣柜柜门</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厚度：</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18mm</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 </w:t>
            </w:r>
            <w:r/>
          </w:p>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门板尺寸：</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300mm×300mm</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带铝合金暗拉手</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采用≥</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18mm厚</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实木多层板</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门板采用铝合金暗扣拉手</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配置隐藏式圆柱孔门锁</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，四周边缘采用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PP</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环保塑料成型注塑封边，</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材质均匀细腻，表面平整光滑无瑕疵，结构稳定且不易变形开裂，拉手手感顺滑无毛刺</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外观造型要求，整体美观，色彩搭配合理</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桌面板</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尺寸</w:t>
            </w:r>
            <w:r>
              <w:rPr>
                <w:rFonts w:hint="eastAsia" w:ascii="Times New Roman" w:hAnsi="Times New Roman"/>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300mm×300mm截面厚度</w:t>
            </w:r>
            <w:r>
              <w:rPr>
                <w:rFonts w:hint="eastAsia" w:ascii="Times New Roman" w:hAnsi="Times New Roman"/>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≥25mm</w:t>
            </w:r>
            <w:r/>
          </w:p>
        </w:tc>
        <w:tc>
          <w:tcPr>
            <w:tcBorders>
              <w:top w:val="single" w:color="000000" w:sz="4" w:space="0"/>
              <w:left w:val="single" w:color="000000" w:sz="4" w:space="0"/>
              <w:bottom w:val="none" w:color="000000" w:sz="4" w:space="0"/>
              <w:right w:val="single" w:color="000000" w:sz="4" w:space="0"/>
            </w:tcBorders>
            <w:tcW w:w="4810" w:type="dxa"/>
            <w:vAlign w:val="center"/>
            <w:textDirection w:val="lrTb"/>
            <w:noWrap w:val="false"/>
          </w:tcPr>
          <w:p>
            <w:pPr>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实木多层板</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前口鸭嘴边设计，其余三边圆弧角设计</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，材质均匀细腻，表面平整光滑无瑕疵</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具有较高的强度和平整度。</w:t>
            </w:r>
            <w:r/>
          </w:p>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平整光滑、无异味，无开裂现象</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none" w:color="000000" w:sz="4" w:space="0"/>
              <w:right w:val="single" w:color="000000" w:sz="4" w:space="0"/>
            </w:tcBorders>
            <w:tcW w:w="1032"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铰链</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常规</w:t>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材质：不锈钢。</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工艺：手感顺滑无毛刺、无可见的变形、翘曲。</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外观：整体安全美观，耐磨损等特性。</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导轨</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常规</w:t>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材质：不锈钢。</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工艺：轨道推拉顺滑无卡顿。</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外观：整体安全美观。</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床板</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长度300mm</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br/>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宽度≥70mm，</w:t>
            </w:r>
            <w:r/>
          </w:p>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厚度≥18mm</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spacing w:line="360" w:lineRule="exact"/>
              <w:widowControl/>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双面刨光杉木床板</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每两根木条的距离间隙≤10mm</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每块床板需要有≥4根（≥40×20mm）实木方料做横档加固</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板条与横档需要用不锈钢螺丝固定连接</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highlight w:val="none"/>
                <w:lang w:val="en-US" w:bidi="ar-SA"/>
                <w14:textFill>
                  <w14:solidFill>
                    <w14:schemeClr w14:val="tx1"/>
                  </w14:solidFill>
                </w14:textFill>
              </w:rPr>
              <w:t xml:space="preserve">材质均匀细腻，表面平整光滑无瑕疵,具有较高的强度和平整度。</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default" w:ascii="Times New Roman" w:hAnsi="Times New Roman" w:eastAsia="宋体" w:cs="Times New Roman"/>
                <w:color w:val="000000" w:themeColor="text1"/>
                <w:sz w:val="24"/>
                <w:highlight w:val="none"/>
                <w:lang w:val="en-US" w:bidi="ar-SA"/>
                <w14:textFill>
                  <w14:solidFill>
                    <w14:schemeClr w14:val="tx1"/>
                  </w14:solidFill>
                </w14:textFill>
              </w:rPr>
              <w:t xml:space="preserve">造型要求，平整光滑、无异味，无开裂现象</w:t>
            </w:r>
            <w:r>
              <w:rPr>
                <w:rFonts w:hint="eastAsia" w:ascii="Times New Roman" w:hAnsi="Times New Roman" w:eastAsia="宋体" w:cs="Times New Roman"/>
                <w:color w:val="000000" w:themeColor="text1"/>
                <w:sz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学生椅</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line="374"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尺寸：≥450*500*850mm</w:t>
            </w:r>
            <w:r>
              <w:rPr>
                <w:rFonts w:hint="eastAsia" w:ascii="Times New Roman" w:hAnsi="Times New Roman"/>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
                <w14:textFill>
                  <w14:solidFill>
                    <w14:schemeClr w14:val="tx1"/>
                  </w14:solidFill>
                </w14:textFill>
              </w:rPr>
              <w:t xml:space="preserve">钢</w:t>
            </w:r>
            <w:r>
              <w:rPr>
                <w:rFonts w:hint="eastAsia" w:ascii="Times New Roman" w:hAnsi="Times New Roman" w:eastAsia="宋体" w:cs="Times New Roman"/>
                <w:color w:val="000000" w:themeColor="text1"/>
                <w:sz w:val="24"/>
                <w:szCs w:val="24"/>
                <w:highlight w:val="none"/>
                <w:lang w:val="en-US" w:bidi="ar"/>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PP(聚丙烯)</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widowControl/>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工艺及细节要求：1.椅座：一体成型，</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厚度≥8mm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座面安装高度≥440mm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深装饰沟槽面</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背面配PP材质弧形螺丝闷盖</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2.椅背：</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一体成型</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厚度≥6mm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座椅总高度≥850mm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背宽≥410mm，背高≥410mm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座宽≥450mm，座深≥500mm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防滑透气面设有多根筋位，防滑透气；</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椅脚：采用圆管≥φ19mm*2.0mm厚</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地脚配有4个PP材质脚垫。</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喷塑涂层厚薄均匀、无流挂、无褶皱，结构稳定，符合人体工程学。</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造型要求，整体安全美观，边口圆润光滑无毛刺，平整牢固。</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整件</w:t>
            </w:r>
            <w:r/>
          </w:p>
        </w:tc>
      </w:tr>
    </w:tbl>
    <w:p>
      <w:pPr>
        <w:ind w:firstLine="480"/>
        <w:spacing w:line="360" w:lineRule="auto"/>
        <w:widowControl/>
        <w:rPr>
          <w:rFonts w:hint="eastAsia" w:ascii="宋体" w:hAnsi="宋体" w:eastAsia="宋体" w:cs="Times New Roman"/>
          <w:b/>
          <w:color w:val="000000" w:themeColor="text1"/>
          <w:sz w:val="24"/>
          <w:szCs w:val="24"/>
          <w:highlight w:val="none"/>
          <w:lang w:val="en-US" w:bidi="ar-SA"/>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注:</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（1）</w:t>
      </w: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样品制作标准参照采购需求中的技术参数要求制作。</w:t>
      </w:r>
      <w:r/>
    </w:p>
    <w:p>
      <w:pPr>
        <w:numPr>
          <w:ilvl w:val="0"/>
          <w:numId w:val="0"/>
        </w:numPr>
        <w:ind w:left="420"/>
        <w:jc w:val="left"/>
        <w:spacing w:line="431" w:lineRule="exact"/>
        <w:rPr>
          <w:rFonts w:hint="eastAsia" w:ascii="宋体" w:hAnsi="宋体" w:eastAsia="宋体" w:cs="Times New Roman"/>
          <w:color w:val="000000" w:themeColor="text1"/>
          <w:sz w:val="24"/>
          <w:szCs w:val="24"/>
          <w:highlight w:val="none"/>
          <w:lang w:val="en-US"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投标人所提供的样品与招标文件要求不符合或未提供对应样品不得分，3D打印的样品不得分。</w:t>
      </w:r>
      <w:r/>
    </w:p>
    <w:p>
      <w:pPr>
        <w:numPr>
          <w:ilvl w:val="0"/>
          <w:numId w:val="0"/>
        </w:numPr>
        <w:ind w:left="420"/>
        <w:spacing w:line="360" w:lineRule="auto"/>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采购包1、采购包2、采购包3涉及的相同样品（如：床前护栏、立柱、前/后床厅管、侧床厅矩形管、衣柜柜门、桌面板、铰链、导轨、学生椅、床板），投标人可选择整体提交一套，也可选择按采购包分别提供。</w:t>
      </w:r>
      <w:r/>
    </w:p>
    <w:p>
      <w:pPr>
        <w:numPr>
          <w:ilvl w:val="0"/>
          <w:numId w:val="0"/>
        </w:numPr>
        <w:ind w:left="420"/>
        <w:spacing w:line="360" w:lineRule="auto"/>
        <w:widowControl/>
        <w:rPr>
          <w:rFonts w:hint="eastAsia" w:ascii="宋体" w:hAnsi="宋体" w:eastAsia="宋体" w:cs="Times New Roman"/>
          <w:b/>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5.</w:t>
      </w: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样品提交</w:t>
      </w:r>
      <w:r/>
    </w:p>
    <w:p>
      <w:pPr>
        <w:ind w:firstLine="480"/>
        <w:spacing w:line="360" w:lineRule="auto"/>
        <w:widowControl/>
        <w:rPr>
          <w:rFonts w:hint="eastAsia"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（1）投标人提供的样品应为全新的产品。样品提交时间：2026年</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月   </w:t>
      </w:r>
      <w:r>
        <w:rPr>
          <w:rFonts w:hint="eastAsia" w:ascii="宋体" w:hAnsi="宋体" w:cs="Times New Roman"/>
          <w:bCs/>
          <w:color w:val="ff0000"/>
          <w:sz w:val="24"/>
          <w:szCs w:val="24"/>
          <w:highlight w:val="none"/>
          <w:lang w:val="en-US" w:eastAsia="zh-CN" w:bidi="ar-SA"/>
        </w:rPr>
        <w:t xml:space="preserve">16</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日</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上午10</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30-12:00、下午14:00-17</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0。</w:t>
      </w:r>
      <w:r/>
    </w:p>
    <w:p>
      <w:pPr>
        <w:ind w:firstLine="480"/>
        <w:spacing w:line="360" w:lineRule="auto"/>
        <w:widowControl/>
        <w:rPr>
          <w:rFonts w:hint="eastAsia"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样品不显示品牌、制造商及投标单位名称信息。样品制作及运输费用由投标人自行承担，因投标人原因导致样品无法按要求送达指定地点的，责任由投标人自负。</w:t>
      </w:r>
      <w:r/>
    </w:p>
    <w:p>
      <w:pPr>
        <w:ind w:firstLine="480"/>
        <w:spacing w:line="360" w:lineRule="auto"/>
        <w:widowControl/>
        <w:rPr>
          <w:rFonts w:hint="default" w:ascii="宋体" w:hAnsi="宋体" w:eastAsia="宋体" w:cs="Times New Roman"/>
          <w:b/>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5.</w:t>
      </w: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采购人接收及退还要求</w:t>
      </w:r>
      <w:r/>
    </w:p>
    <w:p>
      <w:pPr>
        <w:ind w:firstLine="480"/>
        <w:spacing w:line="360" w:lineRule="auto"/>
        <w:widowControl/>
        <w:rPr>
          <w:rFonts w:hint="default"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（1）样品由采购人</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和采购代理机构</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负责接收，每种样品只接收一个。接收地点：宿迁市公共资源交易中心（宿迁市便民方舟2#11楼开标厅，具体房间号按现场指示牌要求执行）。联系人：</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杨</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老师</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，联系方式：13218917936；李许静，联系方式：18036985612。</w:t>
      </w:r>
      <w:r/>
    </w:p>
    <w:p>
      <w:pPr>
        <w:ind w:firstLine="480"/>
        <w:spacing w:line="360" w:lineRule="auto"/>
        <w:widowControl/>
        <w:rPr>
          <w:rFonts w:hint="default"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样品递交截止时间后递交的样品将被拒绝接收。</w:t>
      </w:r>
      <w:r/>
    </w:p>
    <w:p>
      <w:pPr>
        <w:ind w:firstLine="480"/>
        <w:spacing w:line="360" w:lineRule="auto"/>
        <w:widowControl/>
        <w:rPr>
          <w:rFonts w:hint="default"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2）样品的退还。未中标样品在在招标投标活动结束后由投标人自行搬运离开（费用自理）。各投标人应在接到退还通知后，48小时内将样品搬离；超时未取走的，由采购人自行处置。中标人的样品由中标人负责运送到采购人指定地点并封存，作为履约验收参考。</w:t>
      </w:r>
      <w:r/>
    </w:p>
    <w:p>
      <w:pPr>
        <w:ind w:firstLine="480"/>
        <w:jc w:val="left"/>
        <w:spacing w:line="431"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六</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样板间要求</w:t>
      </w:r>
      <w:r/>
    </w:p>
    <w:p>
      <w:pPr>
        <w:ind w:firstLine="480"/>
        <w:jc w:val="left"/>
        <w:spacing w:line="431" w:lineRule="exac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供应商在确定中标后，应按照采购人指定时间、地点，搭建成品样板间，经采购人确认后，方可批量生产。样板间的一切费用（包含安拆、运费等）由供应商自行承担</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71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1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1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1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1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1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1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1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1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1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1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1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1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1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1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1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1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1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1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1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1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1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1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1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1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numPr>
          <w:ilvl w:val="0"/>
          <w:numId w:val="0"/>
        </w:numPr>
        <w:spacing w:line="0" w:lineRule="atLeast"/>
        <w:rPr>
          <w:rFonts w:hint="eastAsia" w:ascii="宋体" w:hAnsi="宋体" w:cs="Times New Roman"/>
          <w:b/>
          <w:color w:val="000000" w:themeColor="text1"/>
          <w:sz w:val="30"/>
          <w:szCs w:val="30"/>
          <w:highlight w:val="none"/>
          <w:lang w:val="en-US" w:eastAsia="zh-CN"/>
          <w14:textFill>
            <w14:solidFill>
              <w14:schemeClr w14:val="tx1"/>
            </w14:solidFill>
          </w14:textFill>
        </w:rPr>
      </w:pPr>
      <w:r>
        <w:rPr>
          <w:rFonts w:hint="eastAsia" w:ascii="宋体" w:hAnsi="宋体" w:eastAsia="宋体" w:cs="Times New Roman"/>
          <w:b/>
          <w:color w:val="000000" w:themeColor="text1"/>
          <w:sz w:val="30"/>
          <w:szCs w:val="30"/>
          <w:highlight w:val="none"/>
          <w14:textFill>
            <w14:solidFill>
              <w14:schemeClr w14:val="tx1"/>
            </w14:solidFill>
          </w14:textFill>
        </w:rPr>
        <w:t xml:space="preserve">采购包</w:t>
      </w:r>
      <w:r>
        <w:rPr>
          <w:rFonts w:hint="eastAsia" w:ascii="宋体" w:hAnsi="宋体" w:cs="Times New Roman"/>
          <w:b/>
          <w:color w:val="000000" w:themeColor="text1"/>
          <w:sz w:val="30"/>
          <w:szCs w:val="30"/>
          <w:highlight w:val="none"/>
          <w:lang w:val="en-US" w:eastAsia="zh-CN"/>
          <w14:textFill>
            <w14:solidFill>
              <w14:schemeClr w14:val="tx1"/>
            </w14:solidFill>
          </w14:textFill>
        </w:rPr>
        <w:t xml:space="preserve">3</w:t>
      </w:r>
      <w:r/>
    </w:p>
    <w:p>
      <w:pPr>
        <w:ind w:firstLine="480"/>
        <w:spacing w:line="360" w:lineRule="auto"/>
        <w:rPr>
          <w:rFonts w:hint="eastAsia" w:ascii="Calibri" w:hAnsi="Calibri" w:eastAsia="宋体" w:cs="Times New Roman"/>
          <w:b/>
          <w:bCs w:val="0"/>
          <w:color w:val="000000" w:themeColor="text1"/>
          <w:sz w:val="24"/>
          <w:szCs w:val="24"/>
          <w:highlight w:val="none"/>
          <w:lang w:val="en-US" w:eastAsia="zh-CN" w:bidi="ar-SA"/>
          <w14:textFill>
            <w14:solidFill>
              <w14:schemeClr w14:val="tx1"/>
            </w14:solidFill>
          </w14:textFill>
        </w:rPr>
      </w:pPr>
      <w:r>
        <w:rPr>
          <w:rFonts w:hint="default" w:ascii="Calibri" w:hAnsi="Calibri" w:eastAsia="宋体" w:cs="Times New Roman"/>
          <w:b/>
          <w:bCs w:val="0"/>
          <w:color w:val="000000" w:themeColor="text1"/>
          <w:sz w:val="24"/>
          <w:szCs w:val="24"/>
          <w:highlight w:val="none"/>
          <w:lang w:val="en-US" w:eastAsia="zh-CN" w:bidi="ar-SA"/>
          <w14:textFill>
            <w14:solidFill>
              <w14:schemeClr w14:val="tx1"/>
            </w14:solidFill>
          </w14:textFill>
        </w:rPr>
        <w:t xml:space="preserve">一、基本情况</w:t>
      </w:r>
      <w:r/>
    </w:p>
    <w:p>
      <w:pPr>
        <w:ind w:firstLine="480"/>
        <w:spacing w:line="360" w:lineRule="auto"/>
        <w:widowControl/>
        <w:rPr>
          <w:rFonts w:hint="default" w:ascii="Calibri" w:hAnsi="Calibri" w:eastAsia="宋体" w:cs="Times New Roman"/>
          <w:bCs/>
          <w:color w:val="000000" w:themeColor="text1"/>
          <w:sz w:val="24"/>
          <w:szCs w:val="24"/>
          <w:highlight w:val="none"/>
          <w:lang w:val="en-US" w:bidi="ar-SA"/>
          <w14:textFill>
            <w14:solidFill>
              <w14:schemeClr w14:val="tx1"/>
            </w14:solidFill>
          </w14:textFill>
        </w:rPr>
      </w:pPr>
      <w:r>
        <w:rPr>
          <w:rFonts w:hint="default" w:ascii="Calibri" w:hAnsi="Calibri" w:eastAsia="宋体" w:cs="Times New Roman"/>
          <w:bCs/>
          <w:color w:val="000000" w:themeColor="text1"/>
          <w:sz w:val="24"/>
          <w:szCs w:val="24"/>
          <w:highlight w:val="none"/>
          <w:lang w:val="en-US" w:bidi="ar-SA"/>
          <w14:textFill>
            <w14:solidFill>
              <w14:schemeClr w14:val="tx1"/>
            </w14:solidFill>
          </w14:textFill>
        </w:rPr>
        <w:t xml:space="preserve">1.</w:t>
      </w:r>
      <w:r>
        <w:rPr>
          <w:rFonts w:hint="eastAsia" w:ascii="Calibri" w:hAnsi="Calibri" w:cs="Times New Roman"/>
          <w:bCs/>
          <w:color w:val="000000" w:themeColor="text1"/>
          <w:sz w:val="24"/>
          <w:szCs w:val="24"/>
          <w:highlight w:val="none"/>
          <w:lang w:val="en-US" w:eastAsia="zh-CN" w:bidi="ar-SA"/>
          <w14:textFill>
            <w14:solidFill>
              <w14:schemeClr w14:val="tx1"/>
            </w14:solidFill>
          </w14:textFill>
        </w:rPr>
        <w:t xml:space="preserve">1</w:t>
      </w:r>
      <w:r>
        <w:rPr>
          <w:rFonts w:hint="default" w:ascii="Calibri" w:hAnsi="Calibri" w:eastAsia="宋体" w:cs="Times New Roman"/>
          <w:bCs/>
          <w:color w:val="000000" w:themeColor="text1"/>
          <w:sz w:val="24"/>
          <w:szCs w:val="24"/>
          <w:highlight w:val="none"/>
          <w:lang w:val="en-US" w:bidi="ar-SA"/>
          <w14:textFill>
            <w14:solidFill>
              <w14:schemeClr w14:val="tx1"/>
            </w14:solidFill>
          </w14:textFill>
        </w:rPr>
        <w:t xml:space="preserve"> 预算金额：</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526</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万元</w:t>
      </w:r>
      <w:r>
        <w:rPr>
          <w:rFonts w:hint="default" w:ascii="Calibri" w:hAnsi="Calibri" w:eastAsia="宋体" w:cs="Times New Roman"/>
          <w:bCs/>
          <w:color w:val="000000" w:themeColor="text1"/>
          <w:sz w:val="24"/>
          <w:szCs w:val="24"/>
          <w:highlight w:val="none"/>
          <w:lang w:val="en-US" w:bidi="ar-SA"/>
          <w14:textFill>
            <w14:solidFill>
              <w14:schemeClr w14:val="tx1"/>
            </w14:solidFill>
          </w14:textFill>
        </w:rPr>
        <w:t xml:space="preserve">。</w:t>
      </w:r>
      <w:r/>
    </w:p>
    <w:p>
      <w:pPr>
        <w:ind w:firstLine="480"/>
        <w:spacing w:line="360" w:lineRule="auto"/>
        <w:widowControl/>
        <w:rPr>
          <w:rFonts w:hint="default" w:ascii="Calibri" w:hAnsi="Calibri" w:eastAsia="宋体" w:cs="Times New Roman"/>
          <w:bCs/>
          <w:color w:val="000000" w:themeColor="text1"/>
          <w:sz w:val="24"/>
          <w:szCs w:val="24"/>
          <w:highlight w:val="none"/>
          <w:lang w:val="en-US" w:bidi="ar-SA"/>
          <w14:textFill>
            <w14:solidFill>
              <w14:schemeClr w14:val="tx1"/>
            </w14:solidFill>
          </w14:textFill>
        </w:rPr>
      </w:pPr>
      <w:r>
        <w:rPr>
          <w:rFonts w:hint="default" w:ascii="Calibri" w:hAnsi="Calibri" w:eastAsia="宋体" w:cs="Times New Roman"/>
          <w:bCs/>
          <w:color w:val="000000" w:themeColor="text1"/>
          <w:sz w:val="24"/>
          <w:szCs w:val="24"/>
          <w:highlight w:val="none"/>
          <w:lang w:val="en-US" w:bidi="ar-SA"/>
          <w14:textFill>
            <w14:solidFill>
              <w14:schemeClr w14:val="tx1"/>
            </w14:solidFill>
          </w14:textFill>
        </w:rPr>
        <w:t xml:space="preserve">1.</w:t>
      </w:r>
      <w:r>
        <w:rPr>
          <w:rFonts w:hint="eastAsia" w:ascii="Calibri" w:hAnsi="Calibri" w:cs="Times New Roman"/>
          <w:bCs/>
          <w:color w:val="000000" w:themeColor="text1"/>
          <w:sz w:val="24"/>
          <w:szCs w:val="24"/>
          <w:highlight w:val="none"/>
          <w:lang w:val="en-US" w:eastAsia="zh-CN" w:bidi="ar-SA"/>
          <w14:textFill>
            <w14:solidFill>
              <w14:schemeClr w14:val="tx1"/>
            </w14:solidFill>
          </w14:textFill>
        </w:rPr>
        <w:t xml:space="preserve">2</w:t>
      </w:r>
      <w:r>
        <w:rPr>
          <w:rFonts w:hint="default" w:ascii="Calibri" w:hAnsi="Calibri" w:eastAsia="宋体" w:cs="Times New Roman"/>
          <w:bCs/>
          <w:color w:val="000000" w:themeColor="text1"/>
          <w:sz w:val="24"/>
          <w:szCs w:val="24"/>
          <w:highlight w:val="none"/>
          <w:lang w:val="en-US" w:bidi="ar-SA"/>
          <w14:textFill>
            <w14:solidFill>
              <w14:schemeClr w14:val="tx1"/>
            </w14:solidFill>
          </w14:textFill>
        </w:rPr>
        <w:t xml:space="preserve">设定最高限价，最高限价为</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426</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万元。</w:t>
      </w:r>
      <w:r/>
    </w:p>
    <w:p>
      <w:pPr>
        <w:ind w:firstLine="480"/>
        <w:spacing w:line="360" w:lineRule="auto"/>
        <w:widowControl/>
        <w:rPr>
          <w:rFonts w:hint="default" w:ascii="Calibri" w:hAnsi="Calibri" w:eastAsia="宋体" w:cs="Times New Roman"/>
          <w:bCs/>
          <w:color w:val="000000" w:themeColor="text1"/>
          <w:sz w:val="24"/>
          <w:szCs w:val="24"/>
          <w:highlight w:val="none"/>
          <w:lang w:val="en-US" w:bidi="ar-SA"/>
          <w14:textFill>
            <w14:solidFill>
              <w14:schemeClr w14:val="tx1"/>
            </w14:solidFill>
          </w14:textFill>
        </w:rPr>
      </w:pPr>
      <w:r>
        <w:rPr>
          <w:rFonts w:hint="default" w:ascii="Calibri" w:hAnsi="Calibri" w:eastAsia="宋体" w:cs="Times New Roman"/>
          <w:bCs/>
          <w:color w:val="000000" w:themeColor="text1"/>
          <w:sz w:val="24"/>
          <w:szCs w:val="24"/>
          <w:highlight w:val="none"/>
          <w:lang w:val="en-US" w:bidi="ar-SA"/>
          <w14:textFill>
            <w14:solidFill>
              <w14:schemeClr w14:val="tx1"/>
            </w14:solidFill>
          </w14:textFill>
        </w:rPr>
        <w:t xml:space="preserve">1.</w:t>
      </w:r>
      <w:r>
        <w:rPr>
          <w:rFonts w:hint="eastAsia" w:ascii="Calibri" w:hAnsi="Calibri" w:cs="Times New Roman"/>
          <w:bCs/>
          <w:color w:val="000000" w:themeColor="text1"/>
          <w:sz w:val="24"/>
          <w:szCs w:val="24"/>
          <w:highlight w:val="none"/>
          <w:lang w:val="en-US" w:eastAsia="zh-CN" w:bidi="ar-SA"/>
          <w14:textFill>
            <w14:solidFill>
              <w14:schemeClr w14:val="tx1"/>
            </w14:solidFill>
          </w14:textFill>
        </w:rPr>
        <w:t xml:space="preserve">3</w:t>
      </w:r>
      <w:r>
        <w:rPr>
          <w:rFonts w:hint="default" w:ascii="Calibri" w:hAnsi="Calibri" w:eastAsia="宋体" w:cs="Times New Roman"/>
          <w:bCs/>
          <w:color w:val="000000" w:themeColor="text1"/>
          <w:sz w:val="24"/>
          <w:szCs w:val="24"/>
          <w:highlight w:val="none"/>
          <w:lang w:val="en-US" w:bidi="ar-SA"/>
          <w14:textFill>
            <w14:solidFill>
              <w14:schemeClr w14:val="tx1"/>
            </w14:solidFill>
          </w14:textFill>
        </w:rPr>
        <w:t xml:space="preserve">采购需求：</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爬梯款</w:t>
      </w:r>
      <w:r>
        <w:rPr>
          <w:rFonts w:hint="default" w:ascii="Calibri" w:hAnsi="Calibri" w:eastAsia="宋体" w:cs="Times New Roman"/>
          <w:bCs/>
          <w:color w:val="000000" w:themeColor="text1"/>
          <w:sz w:val="24"/>
          <w:szCs w:val="24"/>
          <w:highlight w:val="none"/>
          <w:lang w:val="en-US" w:bidi="ar-SA"/>
          <w14:textFill>
            <w14:solidFill>
              <w14:schemeClr w14:val="tx1"/>
            </w14:solidFill>
          </w14:textFill>
        </w:rPr>
        <w:t xml:space="preserve">家具采购，包括家具制作、运输、装卸、安装、调试及售后三包服务等。</w:t>
      </w:r>
      <w:r/>
    </w:p>
    <w:p>
      <w:pPr>
        <w:ind w:firstLine="480"/>
        <w:spacing w:line="360" w:lineRule="auto"/>
        <w:widowControl/>
        <w:rPr>
          <w:rFonts w:hint="default" w:ascii="Calibri" w:hAnsi="Calibri" w:eastAsia="宋体" w:cs="Times New Roman"/>
          <w:bCs/>
          <w:color w:val="000000" w:themeColor="text1"/>
          <w:sz w:val="24"/>
          <w:szCs w:val="24"/>
          <w:highlight w:val="none"/>
          <w:lang w:val="en-US" w:bidi="ar-SA"/>
          <w14:textFill>
            <w14:solidFill>
              <w14:schemeClr w14:val="tx1"/>
            </w14:solidFill>
          </w14:textFill>
        </w:rPr>
      </w:pPr>
      <w:r>
        <w:rPr>
          <w:rFonts w:hint="default" w:ascii="Calibri" w:hAnsi="Calibri" w:eastAsia="宋体" w:cs="Times New Roman"/>
          <w:bCs/>
          <w:color w:val="000000" w:themeColor="text1"/>
          <w:sz w:val="24"/>
          <w:szCs w:val="24"/>
          <w:highlight w:val="none"/>
          <w:lang w:val="en-US" w:bidi="ar-SA"/>
          <w14:textFill>
            <w14:solidFill>
              <w14:schemeClr w14:val="tx1"/>
            </w14:solidFill>
          </w14:textFill>
        </w:rPr>
        <w:t xml:space="preserve">1.</w:t>
      </w:r>
      <w:r>
        <w:rPr>
          <w:rFonts w:hint="eastAsia" w:ascii="Calibri" w:hAnsi="Calibri" w:cs="Times New Roman"/>
          <w:bCs/>
          <w:color w:val="000000" w:themeColor="text1"/>
          <w:sz w:val="24"/>
          <w:szCs w:val="24"/>
          <w:highlight w:val="none"/>
          <w:lang w:val="en-US" w:eastAsia="zh-CN" w:bidi="ar-SA"/>
          <w14:textFill>
            <w14:solidFill>
              <w14:schemeClr w14:val="tx1"/>
            </w14:solidFill>
          </w14:textFill>
        </w:rPr>
        <w:t xml:space="preserve">4</w:t>
      </w:r>
      <w:r>
        <w:rPr>
          <w:rFonts w:hint="default" w:ascii="Calibri" w:hAnsi="Calibri" w:eastAsia="宋体" w:cs="Times New Roman"/>
          <w:bCs/>
          <w:color w:val="000000" w:themeColor="text1"/>
          <w:sz w:val="24"/>
          <w:szCs w:val="24"/>
          <w:highlight w:val="none"/>
          <w:lang w:val="en-US" w:bidi="ar-SA"/>
          <w14:textFill>
            <w14:solidFill>
              <w14:schemeClr w14:val="tx1"/>
            </w14:solidFill>
          </w14:textFill>
        </w:rPr>
        <w:t xml:space="preserve">实施地点：采购人指定地点。</w:t>
      </w:r>
      <w:r/>
    </w:p>
    <w:p>
      <w:pPr>
        <w:ind w:firstLine="480"/>
        <w:spacing w:line="360" w:lineRule="auto"/>
        <w:rPr>
          <w:rFonts w:hint="default" w:ascii="Calibri" w:hAnsi="Calibri" w:eastAsia="宋体" w:cs="Times New Roman"/>
          <w:color w:val="000000" w:themeColor="text1"/>
          <w:sz w:val="24"/>
          <w:szCs w:val="24"/>
          <w:highlight w:val="none"/>
          <w:lang w:val="en-US" w:bidi="ar-SA"/>
          <w14:textFill>
            <w14:solidFill>
              <w14:schemeClr w14:val="tx1"/>
            </w14:solidFill>
          </w14:textFill>
        </w:rPr>
      </w:pPr>
      <w:r>
        <w:rPr>
          <w:rFonts w:hint="default" w:ascii="Calibri" w:hAnsi="Calibri" w:eastAsia="宋体" w:cs="Times New Roman"/>
          <w:bCs/>
          <w:color w:val="000000" w:themeColor="text1"/>
          <w:sz w:val="24"/>
          <w:szCs w:val="24"/>
          <w:highlight w:val="none"/>
          <w:lang w:val="en-US" w:bidi="ar-SA"/>
          <w14:textFill>
            <w14:solidFill>
              <w14:schemeClr w14:val="tx1"/>
            </w14:solidFill>
          </w14:textFill>
        </w:rPr>
        <w:t xml:space="preserve">1.</w:t>
      </w:r>
      <w:r>
        <w:rPr>
          <w:rFonts w:hint="eastAsia" w:ascii="Calibri" w:hAnsi="Calibri" w:cs="Times New Roman"/>
          <w:bCs/>
          <w:color w:val="000000" w:themeColor="text1"/>
          <w:sz w:val="24"/>
          <w:szCs w:val="24"/>
          <w:highlight w:val="none"/>
          <w:lang w:val="en-US" w:eastAsia="zh-CN" w:bidi="ar-SA"/>
          <w14:textFill>
            <w14:solidFill>
              <w14:schemeClr w14:val="tx1"/>
            </w14:solidFill>
          </w14:textFill>
        </w:rPr>
        <w:t xml:space="preserve">5</w:t>
      </w:r>
      <w:r>
        <w:rPr>
          <w:rFonts w:hint="default" w:ascii="Calibri" w:hAnsi="Calibri" w:eastAsia="宋体" w:cs="Times New Roman"/>
          <w:bCs/>
          <w:color w:val="000000" w:themeColor="text1"/>
          <w:sz w:val="24"/>
          <w:szCs w:val="24"/>
          <w:highlight w:val="none"/>
          <w:lang w:val="en-US" w:bidi="ar-SA"/>
          <w14:textFill>
            <w14:solidFill>
              <w14:schemeClr w14:val="tx1"/>
            </w14:solidFill>
          </w14:textFill>
        </w:rPr>
        <w:t xml:space="preserve">实施时间期限：</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合同履行期限：合同签订后50日历天内送到甲方指定地点完成安装、调试、检测并经验收合格后交付甲方使用（含二次搬运费）。</w:t>
      </w:r>
      <w:r/>
    </w:p>
    <w:p>
      <w:pPr>
        <w:ind w:firstLine="480"/>
        <w:spacing w:line="360" w:lineRule="auto"/>
        <w:rPr>
          <w:rFonts w:hint="default" w:ascii="宋体" w:hAnsi="宋体" w:cs="Times New Roman"/>
          <w:b/>
          <w:color w:val="000000" w:themeColor="text1"/>
          <w:sz w:val="30"/>
          <w:szCs w:val="30"/>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highlight w:val="none"/>
          <w14:textFill>
            <w14:solidFill>
              <w14:schemeClr w14:val="tx1"/>
            </w14:solidFill>
          </w14:textFill>
        </w:rPr>
        <w:t xml:space="preserve">采购标的所属行业为：工业</w:t>
      </w:r>
      <w:r/>
    </w:p>
    <w:p>
      <w:pPr>
        <w:ind w:firstLine="480"/>
        <w:spacing w:line="360" w:lineRule="auto"/>
        <w:rPr>
          <w:rFonts w:hint="eastAsia" w:ascii="Calibri" w:hAnsi="Calibri" w:eastAsia="宋体" w:cs="Times New Roman"/>
          <w:b/>
          <w:bCs w:val="0"/>
          <w:color w:val="000000" w:themeColor="text1"/>
          <w:sz w:val="24"/>
          <w:szCs w:val="24"/>
          <w:highlight w:val="none"/>
          <w:lang w:val="en-US" w:eastAsia="zh-CN" w:bidi="ar-SA"/>
          <w14:textFill>
            <w14:solidFill>
              <w14:schemeClr w14:val="tx1"/>
            </w14:solidFill>
          </w14:textFill>
        </w:rPr>
      </w:pPr>
      <w:r>
        <w:rPr>
          <w:rFonts w:hint="eastAsia" w:ascii="Calibri" w:hAnsi="Calibri" w:eastAsia="宋体" w:cs="Times New Roman"/>
          <w:b/>
          <w:bCs w:val="0"/>
          <w:color w:val="000000" w:themeColor="text1"/>
          <w:sz w:val="24"/>
          <w:szCs w:val="24"/>
          <w:highlight w:val="none"/>
          <w:lang w:val="en-US" w:eastAsia="zh-CN" w:bidi="ar-SA"/>
          <w14:textFill>
            <w14:solidFill>
              <w14:schemeClr w14:val="tx1"/>
            </w14:solidFill>
          </w14:textFill>
        </w:rPr>
        <w:t xml:space="preserve">二、采购标的清单</w:t>
      </w:r>
      <w:r/>
    </w:p>
    <w:tbl>
      <w:tblPr>
        <w:tblStyle w:val="705"/>
        <w:tblpPr w:horzAnchor="page" w:tblpXSpec="center" w:vertAnchor="text" w:tblpY="301" w:leftFromText="180" w:topFromText="0" w:rightFromText="180" w:bottomFromText="0"/>
        <w:tblW w:w="9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1665"/>
        <w:gridCol w:w="2628"/>
        <w:gridCol w:w="825"/>
        <w:gridCol w:w="1032"/>
        <w:gridCol w:w="930"/>
        <w:gridCol w:w="1821"/>
      </w:tblGrid>
      <w:tr>
        <w:trPr>
          <w:jc w:val="center"/>
          <w:trHeight w:val="567"/>
        </w:trPr>
        <w:tc>
          <w:tcPr>
            <w:tcW w:w="655"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序号</w:t>
            </w:r>
            <w:r/>
          </w:p>
        </w:tc>
        <w:tc>
          <w:tcPr>
            <w:tcW w:w="1665"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t xml:space="preserve">名称</w:t>
            </w:r>
            <w:r/>
          </w:p>
        </w:tc>
        <w:tc>
          <w:tcPr>
            <w:tcW w:w="2628"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t xml:space="preserve">规格</w:t>
            </w:r>
            <w:r/>
          </w:p>
        </w:tc>
        <w:tc>
          <w:tcPr>
            <w:tcW w:w="825"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t xml:space="preserve">单位</w:t>
            </w:r>
            <w:r/>
          </w:p>
        </w:tc>
        <w:tc>
          <w:tcPr>
            <w:tcW w:w="1032" w:type="dxa"/>
            <w:vAlign w:val="center"/>
            <w:textDirection w:val="lrTb"/>
            <w:noWrap w:val="false"/>
          </w:tcPr>
          <w:p>
            <w:pPr>
              <w:jc w:val="center"/>
              <w:keepLines w:val="0"/>
              <w:keepNext w:val="0"/>
              <w:pageBreakBefore w:val="0"/>
              <w:spacing w:after="0" w:line="320" w:lineRule="exact"/>
              <w:widowControl w:val="off"/>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bidi="ar-SA"/>
                <w14:textFill>
                  <w14:solidFill>
                    <w14:schemeClr w14:val="tx1"/>
                  </w14:solidFill>
                </w14:textFill>
              </w:rPr>
              <w:t xml:space="preserve">数量</w:t>
            </w:r>
            <w:r/>
          </w:p>
        </w:tc>
        <w:tc>
          <w:tcPr>
            <w:tcW w:w="930" w:type="dxa"/>
            <w:vAlign w:val="center"/>
            <w:textDirection w:val="lrTb"/>
            <w:noWrap w:val="false"/>
          </w:tcPr>
          <w:p>
            <w:pPr>
              <w:jc w:val="center"/>
              <w:keepLines w:val="0"/>
              <w:keepNext w:val="0"/>
              <w:pageBreakBefore w:val="0"/>
              <w:spacing w:after="0" w:line="240" w:lineRule="exact"/>
              <w:widowControl w:val="off"/>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是否核心产品</w:t>
            </w:r>
            <w:r/>
          </w:p>
        </w:tc>
        <w:tc>
          <w:tcPr>
            <w:tcW w:w="1821" w:type="dxa"/>
            <w:vAlign w:val="center"/>
            <w:textDirection w:val="lrTb"/>
            <w:noWrap w:val="false"/>
          </w:tcPr>
          <w:p>
            <w:pPr>
              <w:jc w:val="center"/>
              <w:keepLines w:val="0"/>
              <w:keepNext w:val="0"/>
              <w:pageBreakBefore w:val="0"/>
              <w:spacing w:after="0" w:line="240" w:lineRule="exact"/>
              <w:widowControl w:val="off"/>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对应中小企业划分标准所属行业</w:t>
            </w:r>
            <w:r/>
          </w:p>
        </w:tc>
      </w:tr>
      <w:tr>
        <w:trPr>
          <w:jc w:val="center"/>
          <w:trHeight w:val="578"/>
        </w:trPr>
        <w:tc>
          <w:tcPr>
            <w:tcW w:w="655"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tcW w:w="1665" w:type="dxa"/>
            <w:vAlign w:val="center"/>
            <w:textDirection w:val="lrTb"/>
            <w:noWrap w:val="false"/>
          </w:tcPr>
          <w:p>
            <w:pPr>
              <w:jc w:val="center"/>
              <w:keepLines w:val="0"/>
              <w:keepNext w:val="0"/>
              <w:pageBreakBefore w:val="0"/>
              <w:spacing w:line="24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上床下柜（桌）组合家具</w:t>
            </w:r>
            <w:r/>
          </w:p>
        </w:tc>
        <w:tc>
          <w:tcPr>
            <w:tcW w:w="2628"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2010*930*3050mm</w:t>
            </w:r>
            <w:r/>
          </w:p>
        </w:tc>
        <w:tc>
          <w:tcPr>
            <w:tcW w:w="82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套</w:t>
            </w:r>
            <w:r/>
          </w:p>
        </w:tc>
        <w:tc>
          <w:tcPr>
            <w:tcW w:w="1032" w:type="dxa"/>
            <w:vAlign w:val="center"/>
            <w:textDirection w:val="lrTb"/>
            <w:noWrap w:val="false"/>
          </w:tcPr>
          <w:p>
            <w:pPr>
              <w:jc w:val="center"/>
              <w:spacing w:line="24" w:lineRule="atLeas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1044</w:t>
            </w:r>
            <w:r/>
          </w:p>
        </w:tc>
        <w:tc>
          <w:tcPr>
            <w:tcW w:w="930"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是</w:t>
            </w:r>
            <w:r/>
          </w:p>
        </w:tc>
        <w:tc>
          <w:tcPr>
            <w:tcW w:w="1821"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工业</w:t>
            </w:r>
            <w:r/>
          </w:p>
        </w:tc>
      </w:tr>
      <w:tr>
        <w:trPr>
          <w:jc w:val="center"/>
          <w:trHeight w:val="563"/>
        </w:trPr>
        <w:tc>
          <w:tcPr>
            <w:tcW w:w="655"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tcW w:w="166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储物柜</w:t>
            </w:r>
            <w:r/>
          </w:p>
        </w:tc>
        <w:tc>
          <w:tcPr>
            <w:tcW w:w="2628"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930*530*2330mm</w:t>
            </w:r>
            <w:r/>
          </w:p>
        </w:tc>
        <w:tc>
          <w:tcPr>
            <w:tcW w:w="82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套</w:t>
            </w:r>
            <w:r/>
          </w:p>
        </w:tc>
        <w:tc>
          <w:tcPr>
            <w:tcW w:w="1032" w:type="dxa"/>
            <w:vAlign w:val="center"/>
            <w:textDirection w:val="lrTb"/>
            <w:noWrap w:val="false"/>
          </w:tcPr>
          <w:p>
            <w:pPr>
              <w:jc w:val="center"/>
              <w:spacing w:line="24" w:lineRule="atLeas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261</w:t>
            </w:r>
            <w:r/>
          </w:p>
        </w:tc>
        <w:tc>
          <w:tcPr>
            <w:tcW w:w="930"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否</w:t>
            </w:r>
            <w:r/>
          </w:p>
        </w:tc>
        <w:tc>
          <w:tcPr>
            <w:tcW w:w="1821"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工业</w:t>
            </w:r>
            <w:r/>
          </w:p>
        </w:tc>
      </w:tr>
      <w:tr>
        <w:trPr>
          <w:jc w:val="center"/>
          <w:trHeight w:val="572"/>
        </w:trPr>
        <w:tc>
          <w:tcPr>
            <w:tcW w:w="655"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tcW w:w="166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学生椅</w:t>
            </w:r>
            <w:r/>
          </w:p>
        </w:tc>
        <w:tc>
          <w:tcPr>
            <w:tcW w:w="2628"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450*500*850mm</w:t>
            </w:r>
            <w:r/>
          </w:p>
        </w:tc>
        <w:tc>
          <w:tcPr>
            <w:tcW w:w="825" w:type="dxa"/>
            <w:vAlign w:val="center"/>
            <w:textDirection w:val="lrTb"/>
            <w:noWrap w:val="false"/>
          </w:tcPr>
          <w:p>
            <w:pPr>
              <w:jc w:val="center"/>
              <w:spacing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把</w:t>
            </w:r>
            <w:r/>
          </w:p>
        </w:tc>
        <w:tc>
          <w:tcPr>
            <w:tcW w:w="1032" w:type="dxa"/>
            <w:vAlign w:val="center"/>
            <w:textDirection w:val="lrTb"/>
            <w:noWrap w:val="false"/>
          </w:tcPr>
          <w:p>
            <w:pPr>
              <w:jc w:val="center"/>
              <w:spacing w:line="24" w:lineRule="atLeas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2044</w:t>
            </w:r>
            <w:r/>
          </w:p>
        </w:tc>
        <w:tc>
          <w:tcPr>
            <w:tcW w:w="930"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否</w:t>
            </w:r>
            <w:r/>
          </w:p>
        </w:tc>
        <w:tc>
          <w:tcPr>
            <w:tcW w:w="1821" w:type="dxa"/>
            <w:vAlign w:val="center"/>
            <w:textDirection w:val="lrTb"/>
            <w:noWrap w:val="false"/>
          </w:tcPr>
          <w:p>
            <w:pPr>
              <w:jc w:val="center"/>
              <w:spacing w:after="0" w:line="24"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工业</w:t>
            </w:r>
            <w:r/>
          </w:p>
        </w:tc>
      </w:tr>
    </w:tbl>
    <w:p>
      <w:pPr>
        <w:numPr>
          <w:ilvl w:val="0"/>
          <w:numId w:val="0"/>
        </w:numPr>
        <w:spacing w:line="0" w:lineRule="atLeast"/>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0"/>
        <w:spacing w:line="360" w:lineRule="auto"/>
        <w:rPr>
          <w:rFonts w:hint="eastAsia" w:ascii="Calibri" w:hAnsi="Calibri" w:eastAsia="宋体" w:cs="Times New Roman"/>
          <w:bCs/>
          <w:color w:val="000000" w:themeColor="text1"/>
          <w:sz w:val="24"/>
          <w:szCs w:val="24"/>
          <w:highlight w:val="none"/>
          <w:lang w:val="en-US" w:eastAsia="zh-CN" w:bidi="ar-SA"/>
          <w14:textFill>
            <w14:solidFill>
              <w14:schemeClr w14:val="tx1"/>
            </w14:solidFill>
          </w14:textFill>
        </w:rPr>
      </w:pPr>
      <w:r>
        <w:rPr>
          <w:rFonts w:hint="eastAsia" w:ascii="Calibri" w:hAnsi="Calibri" w:eastAsia="宋体" w:cs="Times New Roman"/>
          <w:bCs/>
          <w:color w:val="000000" w:themeColor="text1"/>
          <w:sz w:val="24"/>
          <w:szCs w:val="24"/>
          <w:highlight w:val="none"/>
          <w:lang w:val="en-US" w:eastAsia="zh-CN" w:bidi="ar-SA"/>
          <w14:textFill>
            <w14:solidFill>
              <w14:schemeClr w14:val="tx1"/>
            </w14:solidFill>
          </w14:textFill>
        </w:rPr>
        <w:t xml:space="preserve">注：当采购数量与实际使用数量不一致时，中标人应根据实际使用量供货，合同的最终结算金额按实际使用量乘以中标单价进行计算。</w:t>
      </w:r>
      <w:r/>
    </w:p>
    <w:p>
      <w:pPr>
        <w:ind w:firstLine="480"/>
        <w:spacing w:line="360" w:lineRule="auto"/>
        <w:rPr>
          <w:rFonts w:hint="eastAsia" w:ascii="Calibri" w:hAnsi="Calibri" w:eastAsia="宋体" w:cs="Times New Roman"/>
          <w:b/>
          <w:bCs w:val="0"/>
          <w:color w:val="000000" w:themeColor="text1"/>
          <w:sz w:val="24"/>
          <w:szCs w:val="24"/>
          <w:highlight w:val="none"/>
          <w:lang w:val="en-US" w:eastAsia="zh-CN" w:bidi="ar-SA"/>
          <w14:textFill>
            <w14:solidFill>
              <w14:schemeClr w14:val="tx1"/>
            </w14:solidFill>
          </w14:textFill>
        </w:rPr>
      </w:pPr>
      <w:r>
        <w:rPr>
          <w:rFonts w:hint="eastAsia" w:ascii="Calibri" w:hAnsi="Calibri" w:eastAsia="宋体" w:cs="Times New Roman"/>
          <w:b/>
          <w:bCs w:val="0"/>
          <w:color w:val="000000" w:themeColor="text1"/>
          <w:sz w:val="24"/>
          <w:szCs w:val="24"/>
          <w:highlight w:val="none"/>
          <w:lang w:val="en-US" w:eastAsia="zh-CN" w:bidi="ar-SA"/>
          <w14:textFill>
            <w14:solidFill>
              <w14:schemeClr w14:val="tx1"/>
            </w14:solidFill>
          </w14:textFill>
        </w:rPr>
        <w:t xml:space="preserve">三、采购图纸及技术参数要求</w:t>
      </w:r>
      <w:bookmarkStart w:id="200" w:name="_Toc120614281"/>
      <w:r/>
      <w:r/>
    </w:p>
    <w:p>
      <w:pPr>
        <w:ind w:firstLine="480"/>
        <w:spacing w:line="360" w:lineRule="auto"/>
        <w:rPr>
          <w:rFonts w:hint="eastAsia" w:ascii="Calibri" w:hAnsi="Calibri" w:eastAsia="宋体" w:cs="Times New Roman"/>
          <w:bCs/>
          <w:color w:val="000000" w:themeColor="text1"/>
          <w:sz w:val="24"/>
          <w:szCs w:val="24"/>
          <w:highlight w:val="none"/>
          <w:lang w:val="en-US" w:eastAsia="zh-CN" w:bidi="ar-SA"/>
          <w14:textFill>
            <w14:solidFill>
              <w14:schemeClr w14:val="tx1"/>
            </w14:solidFill>
          </w14:textFill>
        </w:rPr>
      </w:pPr>
      <w:r>
        <w:rPr>
          <w:rFonts w:hint="eastAsia" w:ascii="Calibri" w:hAnsi="Calibri" w:eastAsia="宋体" w:cs="Times New Roman"/>
          <w:b/>
          <w:bCs w:val="0"/>
          <w:color w:val="000000" w:themeColor="text1"/>
          <w:sz w:val="24"/>
          <w:szCs w:val="24"/>
          <w:highlight w:val="none"/>
          <w:lang w:val="en-US" w:eastAsia="zh-CN" w:bidi="ar-SA"/>
          <w14:textFill>
            <w14:solidFill>
              <w14:schemeClr w14:val="tx1"/>
            </w14:solidFill>
          </w14:textFill>
        </w:rPr>
        <w:t xml:space="preserve">3.1采购图纸</w:t>
      </w:r>
      <w:r>
        <w:rPr>
          <w:rFonts w:hint="eastAsia" w:ascii="Calibri" w:hAnsi="Calibri" w:eastAsia="宋体" w:cs="Times New Roman"/>
          <w:bCs/>
          <w:color w:val="000000" w:themeColor="text1"/>
          <w:sz w:val="24"/>
          <w:szCs w:val="24"/>
          <w:highlight w:val="none"/>
          <w:lang w:val="en-US" w:eastAsia="zh-CN" w:bidi="ar-SA"/>
          <w14:textFill>
            <w14:solidFill>
              <w14:schemeClr w14:val="tx1"/>
            </w14:solidFill>
          </w14:textFill>
        </w:rPr>
        <w:t xml:space="preserve">（图纸与技术参数不一致之处，以技术参数要求为准）</w:t>
      </w:r>
      <w:r/>
    </w:p>
    <w:p>
      <w:pPr>
        <w:ind w:firstLine="480"/>
        <w:spacing w:line="360" w:lineRule="auto"/>
        <w:rPr>
          <w:rFonts w:hint="default" w:ascii="Calibri" w:hAnsi="Calibri" w:eastAsia="宋体" w:cs="Times New Roman"/>
          <w:bCs/>
          <w:color w:val="000000" w:themeColor="text1"/>
          <w:sz w:val="24"/>
          <w:szCs w:val="24"/>
          <w:highlight w:val="none"/>
          <w:lang w:val="en-US" w:eastAsia="zh-CN" w:bidi="ar-SA"/>
          <w14:textFill>
            <w14:solidFill>
              <w14:schemeClr w14:val="tx1"/>
            </w14:solidFill>
          </w14:textFill>
        </w:rPr>
      </w:pPr>
      <w:r>
        <w:rPr>
          <w:rFonts w:hint="eastAsia" w:ascii="Calibri" w:hAnsi="Calibri" w:eastAsia="宋体" w:cs="Times New Roman"/>
          <w:bCs/>
          <w:color w:val="000000" w:themeColor="text1"/>
          <w:sz w:val="24"/>
          <w:szCs w:val="24"/>
          <w:highlight w:val="none"/>
          <w:lang w:val="en-US" w:eastAsia="zh-CN" w:bidi="ar-SA"/>
          <w14:textFill>
            <w14:solidFill>
              <w14:schemeClr w14:val="tx1"/>
            </w14:solidFill>
          </w14:textFill>
        </w:rPr>
        <w:t xml:space="preserve">房型2</w:t>
      </w:r>
      <w:r/>
    </w:p>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560060" cy="2612390"/>
                <wp:effectExtent l="0" t="0" r="2540" b="16510"/>
                <wp:docPr id="23"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24"/>
                        <a:stretch/>
                      </pic:blipFill>
                      <pic:spPr bwMode="auto">
                        <a:xfrm>
                          <a:off x="0" y="0"/>
                          <a:ext cx="5560060" cy="2612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37.8pt;height:205.7pt;mso-wrap-distance-left:0.0pt;mso-wrap-distance-top:0.0pt;mso-wrap-distance-right:0.0pt;mso-wrap-distance-bottom:0.0pt;" stroked="f">
                <v:path textboxrect="0,0,0,0"/>
                <v:imagedata r:id="rId24" o:title=""/>
              </v:shape>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716905" cy="4039235"/>
                <wp:effectExtent l="0" t="0" r="17145" b="18415"/>
                <wp:docPr id="24"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5"/>
                        <a:stretch/>
                      </pic:blipFill>
                      <pic:spPr bwMode="auto">
                        <a:xfrm>
                          <a:off x="0" y="0"/>
                          <a:ext cx="5716905" cy="4039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50.1pt;height:318.1pt;mso-wrap-distance-left:0.0pt;mso-wrap-distance-top:0.0pt;mso-wrap-distance-right:0.0pt;mso-wrap-distance-bottom:0.0pt;" stroked="f">
                <v:path textboxrect="0,0,0,0"/>
                <v:imagedata r:id="rId25" o:title=""/>
              </v:shape>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180455" cy="2691765"/>
                <wp:effectExtent l="0" t="0" r="10795" b="13335"/>
                <wp:docPr id="25"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26"/>
                        <a:srcRect l="0" t="19337" r="0" b="18980"/>
                        <a:stretch/>
                      </pic:blipFill>
                      <pic:spPr bwMode="auto">
                        <a:xfrm>
                          <a:off x="0" y="0"/>
                          <a:ext cx="6180455" cy="2691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86.6pt;height:211.9pt;mso-wrap-distance-left:0.0pt;mso-wrap-distance-top:0.0pt;mso-wrap-distance-right:0.0pt;mso-wrap-distance-bottom:0.0pt;" stroked="f">
                <v:path textboxrect="0,0,0,0"/>
                <v:imagedata r:id="rId26" o:title=""/>
              </v:shape>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090285" cy="4302760"/>
                <wp:effectExtent l="0" t="0" r="5715" b="2540"/>
                <wp:docPr id="26" name="图片 14"/>
                <wp:cNvGraphicFramePr/>
                <a:graphic xmlns:a="http://schemas.openxmlformats.org/drawingml/2006/main">
                  <a:graphicData uri="http://schemas.openxmlformats.org/drawingml/2006/picture">
                    <pic:pic xmlns:pic="http://schemas.openxmlformats.org/drawingml/2006/picture">
                      <pic:nvPicPr>
                        <pic:cNvPr id="14" name="图片 14"/>
                        <pic:cNvPicPr/>
                        <pic:nvPr/>
                      </pic:nvPicPr>
                      <pic:blipFill>
                        <a:blip r:embed="rId27"/>
                        <a:stretch/>
                      </pic:blipFill>
                      <pic:spPr bwMode="auto">
                        <a:xfrm>
                          <a:off x="0" y="0"/>
                          <a:ext cx="6090285" cy="4302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79.5pt;height:338.8pt;mso-wrap-distance-left:0.0pt;mso-wrap-distance-top:0.0pt;mso-wrap-distance-right:0.0pt;mso-wrap-distance-bottom:0.0pt;" stroked="f">
                <v:path textboxrect="0,0,0,0"/>
                <v:imagedata r:id="rId27" o:title=""/>
              </v:shape>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215380" cy="4391025"/>
                <wp:effectExtent l="0" t="0" r="13970" b="9525"/>
                <wp:docPr id="27" name="图片 15"/>
                <wp:cNvGraphicFramePr/>
                <a:graphic xmlns:a="http://schemas.openxmlformats.org/drawingml/2006/main">
                  <a:graphicData uri="http://schemas.openxmlformats.org/drawingml/2006/picture">
                    <pic:pic xmlns:pic="http://schemas.openxmlformats.org/drawingml/2006/picture">
                      <pic:nvPicPr>
                        <pic:cNvPr id="15" name="图片 15"/>
                        <pic:cNvPicPr/>
                        <pic:nvPr/>
                      </pic:nvPicPr>
                      <pic:blipFill>
                        <a:blip r:embed="rId28"/>
                        <a:stretch/>
                      </pic:blipFill>
                      <pic:spPr bwMode="auto">
                        <a:xfrm>
                          <a:off x="0" y="0"/>
                          <a:ext cx="6215380" cy="439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89.4pt;height:345.8pt;mso-wrap-distance-left:0.0pt;mso-wrap-distance-top:0.0pt;mso-wrap-distance-right:0.0pt;mso-wrap-distance-bottom:0.0pt;" stroked="f">
                <v:path textboxrect="0,0,0,0"/>
                <v:imagedata r:id="rId28" o:title=""/>
              </v:shape>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263640" cy="4429125"/>
                <wp:effectExtent l="0" t="0" r="3810" b="9525"/>
                <wp:docPr id="28"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29"/>
                        <a:stretch/>
                      </pic:blipFill>
                      <pic:spPr bwMode="auto">
                        <a:xfrm>
                          <a:off x="0" y="0"/>
                          <a:ext cx="6263640" cy="442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93.2pt;height:348.8pt;mso-wrap-distance-left:0.0pt;mso-wrap-distance-top:0.0pt;mso-wrap-distance-right:0.0pt;mso-wrap-distance-bottom:0.0pt;" stroked="f">
                <v:path textboxrect="0,0,0,0"/>
                <v:imagedata r:id="rId29" o:title=""/>
              </v:shape>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764530" cy="4072890"/>
                <wp:effectExtent l="0" t="0" r="7620" b="3810"/>
                <wp:docPr id="29" name="图片 17"/>
                <wp:cNvGraphicFramePr/>
                <a:graphic xmlns:a="http://schemas.openxmlformats.org/drawingml/2006/main">
                  <a:graphicData uri="http://schemas.openxmlformats.org/drawingml/2006/picture">
                    <pic:pic xmlns:pic="http://schemas.openxmlformats.org/drawingml/2006/picture">
                      <pic:nvPicPr>
                        <pic:cNvPr id="17" name="图片 17"/>
                        <pic:cNvPicPr/>
                        <pic:nvPr/>
                      </pic:nvPicPr>
                      <pic:blipFill>
                        <a:blip r:embed="rId30"/>
                        <a:srcRect l="0" t="44" r="0" b="43"/>
                        <a:stretch/>
                      </pic:blipFill>
                      <pic:spPr bwMode="auto">
                        <a:xfrm>
                          <a:off x="0" y="0"/>
                          <a:ext cx="5764530" cy="4072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53.9pt;height:320.7pt;mso-wrap-distance-left:0.0pt;mso-wrap-distance-top:0.0pt;mso-wrap-distance-right:0.0pt;mso-wrap-distance-bottom:0.0pt;" stroked="f">
                <v:path textboxrect="0,0,0,0"/>
                <v:imagedata r:id="rId30" o:title=""/>
              </v:shape>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000115" cy="4243070"/>
                <wp:effectExtent l="0" t="0" r="635" b="5080"/>
                <wp:docPr id="30" name="图片 18"/>
                <wp:cNvGraphicFramePr/>
                <a:graphic xmlns:a="http://schemas.openxmlformats.org/drawingml/2006/main">
                  <a:graphicData uri="http://schemas.openxmlformats.org/drawingml/2006/picture">
                    <pic:pic xmlns:pic="http://schemas.openxmlformats.org/drawingml/2006/picture">
                      <pic:nvPicPr>
                        <pic:cNvPr id="18" name="图片 18"/>
                        <pic:cNvPicPr/>
                        <pic:nvPr/>
                      </pic:nvPicPr>
                      <pic:blipFill>
                        <a:blip r:embed="rId20"/>
                        <a:stretch/>
                      </pic:blipFill>
                      <pic:spPr bwMode="auto">
                        <a:xfrm>
                          <a:off x="0" y="0"/>
                          <a:ext cx="6000115" cy="4243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72.4pt;height:334.1pt;mso-wrap-distance-left:0.0pt;mso-wrap-distance-top:0.0pt;mso-wrap-distance-right:0.0pt;mso-wrap-distance-bottom:0.0pt;" stroked="f">
                <v:path textboxrect="0,0,0,0"/>
                <v:imagedata r:id="rId20" o:title=""/>
              </v:shape>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118860" cy="4323080"/>
                <wp:effectExtent l="0" t="0" r="15240" b="1270"/>
                <wp:docPr id="31" name="图片 19"/>
                <wp:cNvGraphicFramePr/>
                <a:graphic xmlns:a="http://schemas.openxmlformats.org/drawingml/2006/main">
                  <a:graphicData uri="http://schemas.openxmlformats.org/drawingml/2006/picture">
                    <pic:pic xmlns:pic="http://schemas.openxmlformats.org/drawingml/2006/picture">
                      <pic:nvPicPr>
                        <pic:cNvPr id="19" name="图片 19"/>
                        <pic:cNvPicPr/>
                        <pic:nvPr/>
                      </pic:nvPicPr>
                      <pic:blipFill>
                        <a:blip r:embed="rId22"/>
                        <a:stretch/>
                      </pic:blipFill>
                      <pic:spPr bwMode="auto">
                        <a:xfrm>
                          <a:off x="0" y="0"/>
                          <a:ext cx="6118860" cy="4323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81.8pt;height:340.4pt;mso-wrap-distance-left:0.0pt;mso-wrap-distance-top:0.0pt;mso-wrap-distance-right:0.0pt;mso-wrap-distance-bottom:0.0pt;" stroked="f">
                <v:path textboxrect="0,0,0,0"/>
                <v:imagedata r:id="rId22" o:title=""/>
              </v:shape>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166485" cy="4360545"/>
                <wp:effectExtent l="0" t="0" r="5715" b="1905"/>
                <wp:docPr id="32" name="图片 20"/>
                <wp:cNvGraphicFramePr/>
                <a:graphic xmlns:a="http://schemas.openxmlformats.org/drawingml/2006/main">
                  <a:graphicData uri="http://schemas.openxmlformats.org/drawingml/2006/picture">
                    <pic:pic xmlns:pic="http://schemas.openxmlformats.org/drawingml/2006/picture">
                      <pic:nvPicPr>
                        <pic:cNvPr id="20" name="图片 20"/>
                        <pic:cNvPicPr/>
                        <pic:nvPr/>
                      </pic:nvPicPr>
                      <pic:blipFill>
                        <a:blip r:embed="rId21"/>
                        <a:stretch/>
                      </pic:blipFill>
                      <pic:spPr bwMode="auto">
                        <a:xfrm>
                          <a:off x="0" y="0"/>
                          <a:ext cx="6166485" cy="4360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85.5pt;height:343.3pt;mso-wrap-distance-left:0.0pt;mso-wrap-distance-top:0.0pt;mso-wrap-distance-right:0.0pt;mso-wrap-distance-bottom:0.0pt;" stroked="f">
                <v:path textboxrect="0,0,0,0"/>
                <v:imagedata r:id="rId21" o:title=""/>
              </v:shape>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097905" cy="4308475"/>
                <wp:effectExtent l="0" t="0" r="17145" b="15875"/>
                <wp:docPr id="33" name="图片 21"/>
                <wp:cNvGraphicFramePr/>
                <a:graphic xmlns:a="http://schemas.openxmlformats.org/drawingml/2006/main">
                  <a:graphicData uri="http://schemas.openxmlformats.org/drawingml/2006/picture">
                    <pic:pic xmlns:pic="http://schemas.openxmlformats.org/drawingml/2006/picture">
                      <pic:nvPicPr>
                        <pic:cNvPr id="21" name="图片 21"/>
                        <pic:cNvPicPr/>
                        <pic:nvPr/>
                      </pic:nvPicPr>
                      <pic:blipFill>
                        <a:blip r:embed="rId31"/>
                        <a:stretch/>
                      </pic:blipFill>
                      <pic:spPr bwMode="auto">
                        <a:xfrm>
                          <a:off x="0" y="0"/>
                          <a:ext cx="6097905" cy="4308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80.1pt;height:339.2pt;mso-wrap-distance-left:0.0pt;mso-wrap-distance-top:0.0pt;mso-wrap-distance-right:0.0pt;mso-wrap-distance-bottom:0.0pt;" stroked="f">
                <v:path textboxrect="0,0,0,0"/>
                <v:imagedata r:id="rId31" o:title=""/>
              </v:shape>
            </w:pict>
          </mc:Fallback>
        </mc:AlternateContent>
      </w:r>
      <w:r/>
    </w:p>
    <w:p>
      <w:pPr>
        <w:jc w:val="left"/>
        <w:tabs>
          <w:tab w:val="left" w:pos="1086" w:leader="none"/>
        </w:tabs>
        <w:rPr>
          <w:rFonts w:hint="eastAsia" w:ascii="宋体" w:hAnsi="宋体"/>
          <w:b/>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819140" cy="4116070"/>
                <wp:effectExtent l="0" t="0" r="10160" b="17780"/>
                <wp:docPr id="34" name="图片 22"/>
                <wp:cNvGraphicFramePr/>
                <a:graphic xmlns:a="http://schemas.openxmlformats.org/drawingml/2006/main">
                  <a:graphicData uri="http://schemas.openxmlformats.org/drawingml/2006/picture">
                    <pic:pic xmlns:pic="http://schemas.openxmlformats.org/drawingml/2006/picture">
                      <pic:nvPicPr>
                        <pic:cNvPr id="22" name="图片 22"/>
                        <pic:cNvPicPr/>
                        <pic:nvPr/>
                      </pic:nvPicPr>
                      <pic:blipFill>
                        <a:blip r:embed="rId23"/>
                        <a:srcRect l="21" t="0" r="21" b="0"/>
                        <a:stretch/>
                      </pic:blipFill>
                      <pic:spPr bwMode="auto">
                        <a:xfrm>
                          <a:off x="0" y="0"/>
                          <a:ext cx="5819140" cy="4116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58.2pt;height:324.1pt;mso-wrap-distance-left:0.0pt;mso-wrap-distance-top:0.0pt;mso-wrap-distance-right:0.0pt;mso-wrap-distance-bottom:0.0pt;" stroked="f">
                <v:path textboxrect="0,0,0,0"/>
                <v:imagedata r:id="rId23" o:title=""/>
              </v:shape>
            </w:pict>
          </mc:Fallback>
        </mc:AlternateContent>
      </w:r>
      <w:r/>
    </w:p>
    <w:p>
      <w:pPr>
        <w:jc w:val="lef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jc w:val="lef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jc w:val="lef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备注：</w:t>
      </w:r>
      <w:r/>
    </w:p>
    <w:p>
      <w:pPr>
        <w:ind w:firstLine="480"/>
        <w:jc w:val="both"/>
        <w:widowControl w:val="off"/>
        <w:rPr>
          <w:rFonts w:ascii="Times New Roman" w:hAnsi="Times New Roman" w:eastAsia="宋体" w:cs="Times New Roman"/>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w:t>
      </w:r>
      <w:r>
        <w:rPr>
          <w:rFonts w:ascii="宋体" w:hAnsi="宋体" w:eastAsia="宋体" w:cs="宋体"/>
          <w:color w:val="000000" w:themeColor="text1"/>
          <w:sz w:val="24"/>
          <w:szCs w:val="21"/>
          <w:highlight w:val="none"/>
          <w:lang w:val="en-US" w:eastAsia="zh-CN" w:bidi="ar-SA"/>
          <w14:textFill>
            <w14:solidFill>
              <w14:schemeClr w14:val="tx1"/>
            </w14:solidFill>
          </w14:textFill>
        </w:rPr>
        <w:t xml:space="preserve">家具颜色：中标单位在中标后提供色板给甲方，按甲方选定的颜色生产。</w:t>
      </w:r>
      <w:r/>
    </w:p>
    <w:p>
      <w:pPr>
        <w:ind w:firstLine="480"/>
        <w:jc w:val="left"/>
        <w:spacing w:line="431" w:lineRule="exact"/>
        <w:rPr>
          <w:rFonts w:ascii="Times New Roman" w:hAnsi="Times New Roman" w:eastAsia="宋体" w:cs="Times New Roman"/>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ascii="宋体" w:hAnsi="宋体" w:eastAsia="宋体" w:cs="宋体"/>
          <w:color w:val="000000" w:themeColor="text1"/>
          <w:sz w:val="24"/>
          <w:highlight w:val="none"/>
          <w14:textFill>
            <w14:solidFill>
              <w14:schemeClr w14:val="tx1"/>
            </w14:solidFill>
          </w14:textFill>
        </w:rPr>
        <w:t xml:space="preserve">.中标单位在中标后自行复核现场实际尺寸及家具方向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确保家具能够正常安装</w:t>
      </w:r>
      <w:r>
        <w:rPr>
          <w:rFonts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431"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3.2技术参数要求</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一</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上床下柜（桌）组合家具</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1、尺寸：W2010*D930*H3050mm</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Calibri" w:hAnsi="Calibri" w:eastAsia="宋体" w:cs="Times New Roman"/>
          <w:color w:val="000000" w:themeColor="text1"/>
          <w:highlight w:val="none"/>
          <w14:textFill>
            <w14:solidFill>
              <w14:schemeClr w14:val="tx1"/>
            </w14:solidFill>
          </w14:textFill>
        </w:rPr>
        <w:t xml:space="preserve">允许±5%偏差</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2、钢材：经环氧聚酯塑粉静电喷塑处理。</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3、</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立柱：采用优质冷轧钢板经特制成型线轧制而成，其立面为中空异形闭口型材，立柱正面为圆弧形设计，起到防撞作用，外侧设有安全斜边,内侧直角设计，避免组合柜与床立柱之间的缝隙，立面成型后尺寸规格≥72mm*72mm，材料厚度为≥1.5mm。</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4、▲立柱喷塑涂层硬度为5H，</w:t>
      </w:r>
      <w:r>
        <w:rPr>
          <w:rFonts w:hint="eastAsia" w:ascii="Arial" w:hAnsi="Arial" w:eastAsia="Arial" w:cs="Arial"/>
          <w:b w:val="0"/>
          <w:bCs w:val="0"/>
          <w:color w:val="000000" w:themeColor="text1"/>
          <w:sz w:val="24"/>
          <w:szCs w:val="24"/>
          <w:highlight w:val="none"/>
          <w:lang w:val="en-US" w:eastAsia="zh-CN"/>
          <w14:textFill>
            <w14:solidFill>
              <w14:schemeClr w14:val="tx1"/>
            </w14:solidFill>
          </w14:textFill>
        </w:rPr>
        <w:t xml:space="preserve">耐盐浴:划道两侧3mm外，应无鼓泡、锈蚀、剥落和起皱等现象</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5、</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★前床厅及后床厅：采用优质冷轧钢板经特制成型线轧制而成，其立面尺寸规格≥80mm*30mm矩形管,材料厚度为≥1.5mm</w:t>
      </w:r>
      <w:r>
        <w:rPr>
          <w:rFonts w:hint="eastAsia" w:ascii="宋体" w:hAnsi="宋体" w:cs="Times New Roman"/>
          <w:b/>
          <w:bCs/>
          <w:i/>
          <w:color w:val="000000" w:themeColor="text1"/>
          <w:sz w:val="24"/>
          <w:szCs w:val="21"/>
          <w:highlight w:val="none"/>
          <w:u w:val="single"/>
          <w:lang w:val="en-US" w:eastAsia="zh-CN" w:bidi="ar-SA"/>
          <w14:textFill>
            <w14:solidFill>
              <w14:schemeClr w14:val="tx1"/>
            </w14:solidFill>
          </w14:textFill>
        </w:rPr>
        <w:t xml:space="preserve">，</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后床厅管材规格≥80mm*30mm矩形管,材料厚度≥1.5mm</w:t>
      </w:r>
      <w:r>
        <w:rPr>
          <w:rFonts w:hint="eastAsia" w:ascii="宋体" w:hAnsi="宋体" w:cs="Times New Roman"/>
          <w:b/>
          <w:bCs/>
          <w:i/>
          <w:color w:val="000000" w:themeColor="text1"/>
          <w:sz w:val="24"/>
          <w:szCs w:val="21"/>
          <w:highlight w:val="none"/>
          <w:u w:val="single"/>
          <w:lang w:val="en-US" w:eastAsia="zh-CN" w:bidi="ar-SA"/>
          <w14:textFill>
            <w14:solidFill>
              <w14:schemeClr w14:val="tx1"/>
            </w14:solidFill>
          </w14:textFill>
        </w:rPr>
        <w:t xml:space="preserve">，</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侧床厅管材规格≥80mm*30mm矩形管,材料厚度≥1.5mm，左右两侧与立柱连接，床厅与立柱采取隐藏式卡扣连接，带锁死功能，更加美观牢固。</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6、▲塑粉涂层和覆面层中</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可迁移有害元素</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，金属喷漆（塑）涂层附着力不低于1级。</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7、床前护栏:采用钢、铝、塑、木材料,方管规格≥25*25*1.5mm，护栏高度为450mm嵌入一块18mm厚E0级三聚氰胺饰面实木多层板, 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等级不低于B1级,具有良好的抗变形性能；前护栏带推拉窗，推拉窗整体</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规</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格:≥700*300*40mm，观察窗带隐藏式储物功能,不占用床铺空间,方便存放手机、眼镜、书本等随身携带物品,外形采用跑道圆设计，圆弧部分ABS材质注塑工艺成型，滑道采用铝型材，确保稳固安全，观察窗透明全封闭,同时具备推拉开启关闭功能，保护使用者的隐私。</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、床后护栏:采钢木结构,方管≥25*25*1.5mm,护栏高度为450mm+蚊帐杆链接高度720mm,嵌入一块18mm厚E0级三聚氰胺饰面实木多层板, 多层板</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等级不低于B1级,具有良好的抗变形性能,后护栏内嵌隐藏式水杯架。</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、床头护栏:采用钢木结构,管材规格≥20*20*1.5mm方管,护栏高度为450mm嵌入一块18mm厚E0级三聚氰胺饰面实木多层板，多层板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等级不低于B1级,具有良好的抗变形性能，护栏整体与立柱连接。</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0</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、床尾护栏:采用钢木结构,方管≥20*20*1.5mm,护栏高度为450mm圆弧设计,护栏中间设一根横杆,整体与立柱连接,嵌入一块18mm厚E0级三聚氰胺饰面实木多层板，多层板</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、床换:采用规格≥20*30*1.5mm矩形管，矩形管自带锁定槽与床厅稳固连接，每张床配置数量不少于5根。</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、蚊帐架采用规格≥φ19*1.5mm 圆管制作，与后护栏连接。</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、铺板:采用双面刨光杉木床板，含水率≤12%，经干燥、防虫处理，宽度≥70mm，厚度≥18mm，每两根木条的距离间隙≤10mm，每块床板需要有≥4根（≥40×20mm）实木方料做横档加固，板条与横档之间</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需要</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用不锈钢螺丝固定连接。</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、床下书桌:桌面采用≥25mm厚E0级三聚氰胺饰面板,前口鸭嘴边设计，其余三边圆弧角设计，整体采用PVC吸塑工艺；桌架和书架板材采用≥18mm厚E0级三聚氰胺饰面实木多层板，多层板</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等级不低于B1级，具有良好的抗变形性能，同色 PVC 封边，封边条厚度不低于2mm，桌子上方为书架，桌背板与中架侧板共用，桌下设有双抽屉，抽屉门板(尺寸:400±2mm*170±2mm)采用≥18mm厚E0级三聚氰胺饰面实木多层板，多层板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等级不低于B1级，抽屉门板采用铝合金暗扣拉手,四周边缘采用PP环保塑料注塑封边；配备高强度、耐磨损、耐腐蚀等特性导轨，五金配件表面处理具有美观性和保护性；底部防潮架采用规格≥20*20*1.5mm方管制作。</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15</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、床下衣柜:尺寸(≥600mm *850mm+1815mm)设有两个门，一个门开向朝走道，内部设一块层板，层板下方配≥φ22*1.2mm铝合金材质挂衣杆，另一个门开向朝书桌，内部设置两块层板，底部防潮架采用≥20*20*1.5mm方管制作。</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、衣柜小门板尺寸(1505±2mm *350±2mm)门板均采用≥18mm厚E0级环保三聚氰胺饰面实木多层板，多层板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、衣柜大门板(尺寸:1505±2mm *560±2mm)门板均采用≥18mm厚E0级环保三聚氰胺饰面实木多层板，多层板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、爬梯</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主管≥40*30*1.5mm，踏步板≥400*120*25mm，爬梯采用走梯式设计，所有钢管均采用整体焊接工艺制作，踏步板采用环保 PP材质注塑工艺一次成型，两者采用螺丝固定，稳固安全</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安装螺丝位置环形整体扣边条内扣遮挡设计，安全美观合理防滑纹路，并配备荧光条，下方采用≥25*30*1.5mm圆角钢管支撑。</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19</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、▲公寓床形状和位置公差合格，外观性能要求中金属件、木制件、塑料件检测结果合格，木制件表面装饰层(软硬质覆面层)耐干热和耐湿热不低于4级，</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单层床</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强度和耐久性合格</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二</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）储物柜</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1、储物柜:尺寸(≥930mm *560mm+2330mm)设有4个门，底部防潮架采用≥20*20*1.5mm方管制作</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门开向朝走道。</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2、衣柜小门板尺寸(560±2mm *566±2mm)门板均采用≥18mm厚E0级环保三聚氰胺饰面实木多层板，多层板</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三</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）学生椅</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1、尺寸：≥450*500*850mm</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2、椅座：采用聚丙烯加玻璃纤维全新材料模具一体成型制作，厚度≥8mm。座面安装高度≥440mm，座宽≥450mm，座深≥500mm，深装饰沟槽面</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背面配PP材质弧形螺丝闷盖。</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3、椅背：采用聚丙烯加玻璃纤维全新材料模具一体成型制作厚度≥6mm，座椅总高度≥850mm，背宽≥410mm，背高≥410mm；防滑面设有多根筋位。 </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4、</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★椅脚：采用优质圆管≥φ19mm*2.0mm厚；各金属件进行打磨、去油、酸洗、磷化、清洗、防锈等工艺处理后，通过粉末喷涂设备进行静电喷塑，防锈防腐蚀；地脚配有4个优质PP材质脚垫。 </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5、塑料件外观应无裂纹、明显变形、缩水、针孔；应无凹陷、飞边、 杂质、伤痕、白印；表面应光洁，应无划痕、毛刺、拉毛、污渍；应无明显色差。</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特别说明：</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1、钢制部分材质要求：床框架采用公寓床隐藏式卡扣件连接，所有钢材均采用国家标准钢，未喷涂前厚度≥1.5mm，各钢件经除油、防锈等工序处理，外层采用聚脂环氧粉末喷塑，具有长时间使用不生锈、不掉漆的特性；所有焊接部位要求满焊，表面波纹均匀，焊接处无夹渣、气孔、焊瘤、焊丝头咬边飞溅，无脱焊、虚焊及焊穿等现象。</w:t>
      </w:r>
      <w:r/>
    </w:p>
    <w:p>
      <w:pPr>
        <w:ind w:firstLine="482"/>
        <w:jc w:val="both"/>
        <w:keepLines w:val="0"/>
        <w:keepNext w:val="0"/>
        <w:pageBreakBefore w:val="0"/>
        <w:spacing w:line="460" w:lineRule="exact"/>
        <w:widowControl w:val="off"/>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2、木质部分材质要求：本次招标范围内所有板材（包括但不限于桌面板、柜门板、侧板、层板、背板、底板、顶板）采用≥18mm厚E0级三聚氰胺饰面实木多层板，多层板</w:t>
      </w:r>
      <w:r>
        <w:rPr>
          <w:rFonts w:hint="eastAsia" w:ascii="宋体" w:hAnsi="宋体" w:cs="微软雅黑"/>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燃烧性能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等级不低于B1级，其中桌面板厚度≥25mm。</w:t>
      </w:r>
      <w:r/>
    </w:p>
    <w:p>
      <w:pPr>
        <w:ind w:firstLine="482"/>
        <w:jc w:val="both"/>
        <w:keepLines w:val="0"/>
        <w:keepNext w:val="0"/>
        <w:pageBreakBefore w:val="0"/>
        <w:spacing w:line="460" w:lineRule="exact"/>
        <w:widowControl w:val="off"/>
        <w:rPr>
          <w:rFonts w:hint="default"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3、</w:t>
      </w:r>
      <w:r>
        <w:rPr>
          <w:rFonts w:hint="eastAsia" w:ascii="Times New Roman" w:hAnsi="Times New Roman"/>
          <w:color w:val="000000" w:themeColor="text1"/>
          <w:sz w:val="24"/>
          <w:szCs w:val="21"/>
          <w:highlight w:val="none"/>
          <w14:textFill>
            <w14:solidFill>
              <w14:schemeClr w14:val="tx1"/>
            </w14:solidFill>
          </w14:textFill>
        </w:rPr>
        <w:t xml:space="preserve">技术参数要求未提及的</w:t>
      </w:r>
      <w:r>
        <w:rPr>
          <w:rFonts w:ascii="Times New Roman" w:hAnsi="Times New Roman"/>
          <w:color w:val="000000" w:themeColor="text1"/>
          <w:sz w:val="24"/>
          <w:szCs w:val="21"/>
          <w:highlight w:val="none"/>
          <w14:textFill>
            <w14:solidFill>
              <w14:schemeClr w14:val="tx1"/>
            </w14:solidFill>
          </w14:textFill>
        </w:rPr>
        <w:t xml:space="preserve">，按照国家强制性标准履行</w:t>
      </w:r>
      <w:r>
        <w:rPr>
          <w:rFonts w:hint="eastAsia" w:ascii="Times New Roman" w:hAnsi="Times New Roman"/>
          <w:color w:val="000000" w:themeColor="text1"/>
          <w:sz w:val="24"/>
          <w:szCs w:val="21"/>
          <w:highlight w:val="none"/>
          <w14:textFill>
            <w14:solidFill>
              <w14:schemeClr w14:val="tx1"/>
            </w14:solidFill>
          </w14:textFill>
        </w:rPr>
        <w:t xml:space="preserve">。</w:t>
      </w:r>
      <w:r/>
    </w:p>
    <w:p>
      <w:pPr>
        <w:ind w:firstLine="482"/>
        <w:jc w:val="left"/>
        <w:spacing w:line="50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四、检测报告要求：</w:t>
      </w:r>
      <w:r/>
    </w:p>
    <w:p>
      <w:pPr>
        <w:ind w:firstLine="482"/>
        <w:jc w:val="left"/>
        <w:spacing w:line="560" w:lineRule="exact"/>
        <w:widowControl/>
        <w:rPr>
          <w:rFonts w:hint="eastAsia" w:ascii="方正仿宋_GB2312" w:hAnsi="方正仿宋_GB2312" w:eastAsia="宋体" w:cs="方正仿宋_GB2312"/>
          <w:b/>
          <w:bCs/>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bCs/>
          <w:color w:val="000000" w:themeColor="text1"/>
          <w:sz w:val="24"/>
          <w:szCs w:val="32"/>
          <w:highlight w:val="none"/>
          <w:lang w:val="en-US" w:eastAsia="zh-CN"/>
          <w14:textFill>
            <w14:solidFill>
              <w14:schemeClr w14:val="tx1"/>
            </w14:solidFill>
          </w14:textFill>
        </w:rPr>
        <w:t xml:space="preserve">4.1</w:t>
      </w:r>
      <w:r>
        <w:rPr>
          <w:rFonts w:hint="eastAsia" w:ascii="Times New Roman" w:hAnsi="Times New Roman"/>
          <w:b/>
          <w:bCs/>
          <w:color w:val="000000" w:themeColor="text1"/>
          <w:sz w:val="24"/>
          <w:szCs w:val="32"/>
          <w:highlight w:val="none"/>
          <w14:textFill>
            <w14:solidFill>
              <w14:schemeClr w14:val="tx1"/>
            </w14:solidFill>
          </w14:textFill>
        </w:rPr>
        <w:t xml:space="preserve">投标人需提供所投产品成品检验合格报告:报告由具备CMA资质认定的检测机构出具签发日期距投标截止之日不超过</w:t>
      </w:r>
      <w:r>
        <w:rPr>
          <w:rFonts w:hint="eastAsia" w:ascii="Times New Roman" w:eastAsia="宋体"/>
          <w:b/>
          <w:bCs/>
          <w:color w:val="000000" w:themeColor="text1"/>
          <w:sz w:val="24"/>
          <w:szCs w:val="32"/>
          <w:highlight w:val="none"/>
          <w:lang w:val="en-US" w:eastAsia="zh-CN"/>
          <w14:textFill>
            <w14:solidFill>
              <w14:schemeClr w14:val="tx1"/>
            </w14:solidFill>
          </w14:textFill>
        </w:rPr>
        <w:t xml:space="preserve">24</w:t>
      </w:r>
      <w:r>
        <w:rPr>
          <w:rFonts w:hint="eastAsia" w:ascii="Times New Roman" w:hAnsi="Times New Roman"/>
          <w:b/>
          <w:bCs/>
          <w:color w:val="000000" w:themeColor="text1"/>
          <w:sz w:val="24"/>
          <w:szCs w:val="32"/>
          <w:highlight w:val="none"/>
          <w14:textFill>
            <w14:solidFill>
              <w14:schemeClr w14:val="tx1"/>
            </w14:solidFill>
          </w14:textFill>
        </w:rPr>
        <w:t xml:space="preserve">个月;报告应按规定标CMA标识(法律法规或主管部</w:t>
      </w:r>
      <w:r>
        <w:rPr>
          <w:rFonts w:hint="eastAsia"/>
          <w:b/>
          <w:bCs/>
          <w:color w:val="000000" w:themeColor="text1"/>
          <w:sz w:val="24"/>
          <w:szCs w:val="32"/>
          <w:highlight w:val="none"/>
          <w:lang w:val="en-US" w:eastAsia="zh-CN"/>
          <w14:textFill>
            <w14:solidFill>
              <w14:schemeClr w14:val="tx1"/>
            </w14:solidFill>
          </w14:textFill>
        </w:rPr>
        <w:t xml:space="preserve">门</w:t>
      </w:r>
      <w:r>
        <w:rPr>
          <w:rFonts w:hint="eastAsia" w:ascii="Times New Roman" w:hAnsi="Times New Roman"/>
          <w:b/>
          <w:bCs/>
          <w:color w:val="000000" w:themeColor="text1"/>
          <w:sz w:val="24"/>
          <w:szCs w:val="32"/>
          <w:highlight w:val="none"/>
          <w14:textFill>
            <w14:solidFill>
              <w14:schemeClr w14:val="tx1"/>
            </w14:solidFill>
          </w14:textFill>
        </w:rPr>
        <w:t xml:space="preserve">明确无需CMA的除外)。</w:t>
      </w:r>
      <w:r/>
    </w:p>
    <w:p>
      <w:pPr>
        <w:ind w:firstLine="480"/>
        <w:jc w:val="left"/>
        <w:spacing w:line="560" w:lineRule="exact"/>
        <w:widowControl/>
        <w:rPr>
          <w:rFonts w:hint="eastAsia" w:ascii="宋体" w:hAnsi="宋体" w:eastAsia="宋体" w:cs="宋体"/>
          <w:color w:val="000000" w:themeColor="text1"/>
          <w:sz w:val="24"/>
          <w:szCs w:val="21"/>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公寓床，检验项目</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需要</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包含：外观</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性能</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（焊接件、喷漆(塑)涂层 、塑料件）、结构安全、金属喷漆（塑）涂层理化性能要求</w:t>
      </w:r>
      <w:r>
        <w:rPr>
          <w:rFonts w:hint="eastAsia" w:ascii="宋体" w:hAnsi="宋体" w:cs="宋体"/>
          <w:color w:val="000000" w:themeColor="text1"/>
          <w:sz w:val="24"/>
          <w:szCs w:val="21"/>
          <w:highlight w:val="none"/>
          <w:lang w:val="en-US" w:eastAsia="zh-CN" w:bidi="ar-SA"/>
          <w14:textFill>
            <w14:solidFill>
              <w14:schemeClr w14:val="tx1"/>
            </w14:solidFill>
          </w14:textFill>
        </w:rPr>
        <w:t xml:space="preserve">：</w:t>
      </w:r>
      <w:r>
        <w:rPr>
          <w:rFonts w:hint="eastAsia" w:ascii="Arial" w:hAnsi="Arial" w:eastAsia="Arial" w:cs="Arial"/>
          <w:b w:val="0"/>
          <w:bCs w:val="0"/>
          <w:color w:val="000000" w:themeColor="text1"/>
          <w:sz w:val="24"/>
          <w:szCs w:val="24"/>
          <w:highlight w:val="none"/>
          <w:lang w:val="en-US" w:eastAsia="zh-CN"/>
          <w14:textFill>
            <w14:solidFill>
              <w14:schemeClr w14:val="tx1"/>
            </w14:solidFill>
          </w14:textFill>
        </w:rPr>
        <w:t xml:space="preserve">耐盐浴:划道两侧3mm外，应无鼓泡、锈蚀、剥落和起皱等现象。</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单层床强度和耐久性、甲醛释放量、TVOC、苯并[a]芘）。</w:t>
      </w:r>
      <w:r/>
    </w:p>
    <w:p>
      <w:pPr>
        <w:ind w:firstLine="480"/>
        <w:jc w:val="left"/>
        <w:spacing w:line="560" w:lineRule="exact"/>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2.床下</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衣柜和床下书桌</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，检验项目</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需要</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包含：外观要求（</w:t>
      </w:r>
      <w:r>
        <w:rPr>
          <w:rFonts w:hint="eastAsia" w:ascii="Arial" w:hAnsi="Arial" w:eastAsia="Arial" w:cs="Arial"/>
          <w:b w:val="0"/>
          <w:bCs w:val="0"/>
          <w:color w:val="000000" w:themeColor="text1"/>
          <w:sz w:val="24"/>
          <w:szCs w:val="24"/>
          <w:highlight w:val="none"/>
          <w:lang w:val="en-US" w:eastAsia="zh-CN"/>
          <w14:textFill>
            <w14:solidFill>
              <w14:schemeClr w14:val="tx1"/>
            </w14:solidFill>
          </w14:textFill>
        </w:rPr>
        <w:t xml:space="preserve">软硬质覆面人造板</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、五金件、塑料件）、</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木制件表面理化性能</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、金属拉手耐腐蚀性要求中检测时间不少于200小时、柜架类强度和耐久性、柜</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架</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类稳定性、结构安全性、甲醛释放量、TVOC、苯并[a]芘</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w:t>
      </w:r>
      <w:r/>
    </w:p>
    <w:p>
      <w:pPr>
        <w:ind w:firstLine="480"/>
        <w:jc w:val="left"/>
        <w:spacing w:line="560" w:lineRule="exact"/>
        <w:widowControl/>
        <w:rPr>
          <w:rFonts w:hint="default" w:ascii="Times New Roman" w:hAnsi="Times New Roman" w:eastAsia="宋体"/>
          <w:color w:val="000000" w:themeColor="text1"/>
          <w:sz w:val="24"/>
          <w:szCs w:val="32"/>
          <w:highlight w:val="none"/>
          <w:lang w:val="en-US" w:eastAsia="zh-CN"/>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3.学生椅</w:t>
      </w:r>
      <w:r>
        <w:rPr>
          <w:rFonts w:hint="eastAsia" w:ascii="Times New Roman" w:hAnsi="Times New Roman"/>
          <w:color w:val="000000" w:themeColor="text1"/>
          <w:sz w:val="24"/>
          <w:szCs w:val="32"/>
          <w:highlight w:val="none"/>
          <w14:textFill>
            <w14:solidFill>
              <w14:schemeClr w14:val="tx1"/>
            </w14:solidFill>
          </w14:textFill>
        </w:rPr>
        <w:t xml:space="preserve">，</w:t>
      </w:r>
      <w:r>
        <w:rPr>
          <w:rFonts w:ascii="Times New Roman" w:hAnsi="Times New Roman"/>
          <w:color w:val="000000" w:themeColor="text1"/>
          <w:sz w:val="24"/>
          <w:szCs w:val="21"/>
          <w:highlight w:val="none"/>
          <w14:textFill>
            <w14:solidFill>
              <w14:schemeClr w14:val="tx1"/>
            </w14:solidFill>
          </w14:textFill>
        </w:rPr>
        <w:t xml:space="preserve">检验项目</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需要</w:t>
      </w:r>
      <w:r>
        <w:rPr>
          <w:rFonts w:ascii="Times New Roman" w:hAnsi="Times New Roman"/>
          <w:color w:val="000000" w:themeColor="text1"/>
          <w:sz w:val="24"/>
          <w:szCs w:val="21"/>
          <w:highlight w:val="none"/>
          <w14:textFill>
            <w14:solidFill>
              <w14:schemeClr w14:val="tx1"/>
            </w14:solidFill>
          </w14:textFill>
        </w:rPr>
        <w:t xml:space="preserve">包含</w:t>
      </w:r>
      <w:r>
        <w:rPr>
          <w:rFonts w:hint="eastAsia" w:ascii="Times New Roman" w:hAnsi="Times New Roman"/>
          <w:color w:val="000000" w:themeColor="text1"/>
          <w:sz w:val="24"/>
          <w:szCs w:val="21"/>
          <w:highlight w:val="none"/>
          <w14:textFill>
            <w14:solidFill>
              <w14:schemeClr w14:val="tx1"/>
            </w14:solidFill>
          </w14:textFill>
        </w:rPr>
        <w:t xml:space="preserve">：</w:t>
      </w:r>
      <w:r>
        <w:rPr>
          <w:rFonts w:ascii="Times New Roman" w:hAnsi="Times New Roman"/>
          <w:color w:val="000000" w:themeColor="text1"/>
          <w:sz w:val="24"/>
          <w:szCs w:val="32"/>
          <w:highlight w:val="none"/>
          <w14:textFill>
            <w14:solidFill>
              <w14:schemeClr w14:val="tx1"/>
            </w14:solidFill>
          </w14:textFill>
        </w:rPr>
        <w:t xml:space="preserve">阻燃性≥2级，抑菌率≥99%，产烟毒性危险分级≤ZA1级）。</w:t>
      </w:r>
      <w:r/>
    </w:p>
    <w:p>
      <w:pPr>
        <w:ind w:firstLine="480"/>
        <w:jc w:val="left"/>
        <w:spacing w:line="400" w:lineRule="exact"/>
        <w:widowControl/>
        <w:rPr>
          <w:rFonts w:hint="eastAsia" w:ascii="Times New Roman" w:hAnsi="Times New Roman"/>
          <w:color w:val="000000" w:themeColor="text1"/>
          <w:sz w:val="24"/>
          <w:szCs w:val="32"/>
          <w:highlight w:val="none"/>
          <w14:textFill>
            <w14:solidFill>
              <w14:schemeClr w14:val="tx1"/>
            </w14:solidFill>
          </w14:textFill>
        </w:rPr>
      </w:pPr>
      <w:r>
        <w:rPr>
          <w:rFonts w:hint="eastAsia" w:ascii="Times New Roman" w:hAnsi="Times New Roman"/>
          <w:color w:val="000000" w:themeColor="text1"/>
          <w:sz w:val="24"/>
          <w:szCs w:val="32"/>
          <w:highlight w:val="none"/>
          <w14:textFill>
            <w14:solidFill>
              <w14:schemeClr w14:val="tx1"/>
            </w14:solidFill>
          </w14:textFill>
        </w:rPr>
        <w:t xml:space="preserve">注：1.以上检测项目可在同一份或多份CMA报告中体现，但须完整覆盖。</w:t>
      </w:r>
      <w:r/>
    </w:p>
    <w:p>
      <w:pPr>
        <w:ind w:firstLine="480"/>
        <w:spacing w:line="400" w:lineRule="exact"/>
        <w:widowControl/>
        <w:rPr>
          <w:rFonts w:hint="default" w:ascii="Times New Roman" w:hAnsi="Times New Roman" w:eastAsia="宋体"/>
          <w:color w:val="000000" w:themeColor="text1"/>
          <w:sz w:val="24"/>
          <w:szCs w:val="32"/>
          <w:highlight w:val="none"/>
          <w:lang w:val="en-US" w:eastAsia="zh-CN"/>
          <w14:textFill>
            <w14:solidFill>
              <w14:schemeClr w14:val="tx1"/>
            </w14:solidFill>
          </w14:textFill>
        </w:rPr>
      </w:pPr>
      <w:r>
        <w:rPr>
          <w:rFonts w:hint="eastAsia"/>
          <w:color w:val="000000" w:themeColor="text1"/>
          <w:sz w:val="24"/>
          <w:szCs w:val="32"/>
          <w:highlight w:val="none"/>
          <w:lang w:val="en-US" w:eastAsia="zh-CN"/>
          <w14:textFill>
            <w14:solidFill>
              <w14:schemeClr w14:val="tx1"/>
            </w14:solidFill>
          </w14:textFill>
        </w:rPr>
        <w:t xml:space="preserve">2.</w:t>
      </w:r>
      <w:r>
        <w:rPr>
          <w:rFonts w:hint="eastAsia" w:ascii="宋体" w:hAnsi="宋体"/>
          <w:color w:val="000000" w:themeColor="text1"/>
          <w:sz w:val="24"/>
          <w:szCs w:val="32"/>
          <w:highlight w:val="none"/>
          <w14:textFill>
            <w14:solidFill>
              <w14:schemeClr w14:val="tx1"/>
            </w14:solidFill>
          </w14:textFill>
        </w:rPr>
        <w:t xml:space="preserve">在项目履约及验收阶段，所有检测标准均依据国家级行业现行有效标准。</w:t>
      </w:r>
      <w:r/>
    </w:p>
    <w:p>
      <w:pPr>
        <w:ind w:firstLine="482"/>
        <w:jc w:val="left"/>
        <w:spacing w:line="560" w:lineRule="exact"/>
        <w:widowControl/>
        <w:rPr>
          <w:rFonts w:hint="eastAsia" w:ascii="方正仿宋_GB2312" w:hAnsi="方正仿宋_GB2312" w:eastAsia="宋体" w:cs="方正仿宋_GB2312"/>
          <w:b/>
          <w:bCs/>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bCs/>
          <w:color w:val="000000" w:themeColor="text1"/>
          <w:sz w:val="24"/>
          <w:szCs w:val="32"/>
          <w:highlight w:val="none"/>
          <w:lang w:val="en-US" w:eastAsia="zh-CN"/>
          <w14:textFill>
            <w14:solidFill>
              <w14:schemeClr w14:val="tx1"/>
            </w14:solidFill>
          </w14:textFill>
        </w:rPr>
        <w:t xml:space="preserve">4.2 </w:t>
      </w:r>
      <w:r>
        <w:rPr>
          <w:rFonts w:hint="eastAsia" w:ascii="Times New Roman" w:hAnsi="Times New Roman"/>
          <w:b/>
          <w:bCs/>
          <w:color w:val="000000" w:themeColor="text1"/>
          <w:sz w:val="24"/>
          <w:szCs w:val="32"/>
          <w:highlight w:val="none"/>
          <w14:textFill>
            <w14:solidFill>
              <w14:schemeClr w14:val="tx1"/>
            </w14:solidFill>
          </w14:textFill>
        </w:rPr>
        <w:t xml:space="preserve">投标人需提供所投产品</w:t>
      </w:r>
      <w:r>
        <w:rPr>
          <w:rFonts w:hint="eastAsia"/>
          <w:b/>
          <w:bCs/>
          <w:color w:val="000000" w:themeColor="text1"/>
          <w:sz w:val="24"/>
          <w:szCs w:val="32"/>
          <w:highlight w:val="none"/>
          <w:lang w:val="en-US" w:eastAsia="zh-CN"/>
          <w14:textFill>
            <w14:solidFill>
              <w14:schemeClr w14:val="tx1"/>
            </w14:solidFill>
          </w14:textFill>
        </w:rPr>
        <w:t xml:space="preserve">原材料</w:t>
      </w:r>
      <w:r>
        <w:rPr>
          <w:rFonts w:hint="eastAsia" w:ascii="Times New Roman" w:hAnsi="Times New Roman"/>
          <w:b/>
          <w:bCs/>
          <w:color w:val="000000" w:themeColor="text1"/>
          <w:sz w:val="24"/>
          <w:szCs w:val="32"/>
          <w:highlight w:val="none"/>
          <w14:textFill>
            <w14:solidFill>
              <w14:schemeClr w14:val="tx1"/>
            </w14:solidFill>
          </w14:textFill>
        </w:rPr>
        <w:t xml:space="preserve">检验合格报告:报告由具备CMA资质认定的检测机构出具签发日期距投标截止之日不超过</w:t>
      </w:r>
      <w:r>
        <w:rPr>
          <w:rFonts w:hint="eastAsia" w:ascii="Times New Roman" w:eastAsia="宋体"/>
          <w:b/>
          <w:bCs/>
          <w:color w:val="000000" w:themeColor="text1"/>
          <w:sz w:val="24"/>
          <w:szCs w:val="32"/>
          <w:highlight w:val="none"/>
          <w:lang w:val="en-US" w:eastAsia="zh-CN"/>
          <w14:textFill>
            <w14:solidFill>
              <w14:schemeClr w14:val="tx1"/>
            </w14:solidFill>
          </w14:textFill>
        </w:rPr>
        <w:t xml:space="preserve">24</w:t>
      </w:r>
      <w:r>
        <w:rPr>
          <w:rFonts w:hint="eastAsia" w:ascii="Times New Roman" w:hAnsi="Times New Roman"/>
          <w:b/>
          <w:bCs/>
          <w:color w:val="000000" w:themeColor="text1"/>
          <w:sz w:val="24"/>
          <w:szCs w:val="32"/>
          <w:highlight w:val="none"/>
          <w14:textFill>
            <w14:solidFill>
              <w14:schemeClr w14:val="tx1"/>
            </w14:solidFill>
          </w14:textFill>
        </w:rPr>
        <w:t xml:space="preserve">个月;报告应按规定标CMA标识(法律法规或主管部</w:t>
      </w:r>
      <w:r>
        <w:rPr>
          <w:rFonts w:hint="eastAsia"/>
          <w:b/>
          <w:bCs/>
          <w:color w:val="000000" w:themeColor="text1"/>
          <w:sz w:val="24"/>
          <w:szCs w:val="32"/>
          <w:highlight w:val="none"/>
          <w:lang w:val="en-US" w:eastAsia="zh-CN"/>
          <w14:textFill>
            <w14:solidFill>
              <w14:schemeClr w14:val="tx1"/>
            </w14:solidFill>
          </w14:textFill>
        </w:rPr>
        <w:t xml:space="preserve">门</w:t>
      </w:r>
      <w:r>
        <w:rPr>
          <w:rFonts w:hint="eastAsia" w:ascii="Times New Roman" w:hAnsi="Times New Roman"/>
          <w:b/>
          <w:bCs/>
          <w:color w:val="000000" w:themeColor="text1"/>
          <w:sz w:val="24"/>
          <w:szCs w:val="32"/>
          <w:highlight w:val="none"/>
          <w14:textFill>
            <w14:solidFill>
              <w14:schemeClr w14:val="tx1"/>
            </w14:solidFill>
          </w14:textFill>
        </w:rPr>
        <w:t xml:space="preserve">明确无需CMA的除外)。</w:t>
      </w:r>
      <w:r/>
    </w:p>
    <w:p>
      <w:pPr>
        <w:ind w:firstLine="480"/>
        <w:jc w:val="left"/>
        <w:spacing w:line="360" w:lineRule="auto"/>
        <w:widowControl/>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1.多层实木板</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检测项目需要包含</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甲醛释放量≤0.050mg/m³；苯、甲苯、二甲</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苯释放量符合要求；TVOC≤0.05mg/m³,燃烧性能等级不低于B1级。</w:t>
      </w:r>
      <w:r/>
    </w:p>
    <w:p>
      <w:pPr>
        <w:ind w:firstLine="480"/>
        <w:jc w:val="left"/>
        <w:spacing w:line="560" w:lineRule="exact"/>
        <w:widowControl/>
        <w:rPr>
          <w:rFonts w:hint="eastAsia" w:ascii="方正仿宋_GB2312" w:hAnsi="方正仿宋_GB2312"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2.</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封边条</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w:t>
      </w:r>
      <w:r>
        <w:rPr>
          <w:rFonts w:ascii="Times New Roman" w:hAnsi="Times New Roman"/>
          <w:color w:val="000000" w:themeColor="text1"/>
          <w:sz w:val="24"/>
          <w:szCs w:val="32"/>
          <w:highlight w:val="none"/>
          <w14:textFill>
            <w14:solidFill>
              <w14:schemeClr w14:val="tx1"/>
            </w14:solidFill>
          </w14:textFill>
        </w:rPr>
        <w:t xml:space="preserve">检验项目需要包含</w:t>
      </w:r>
      <w:r>
        <w:rPr>
          <w:rFonts w:hint="eastAsia" w:ascii="Times New Roman" w:hAnsi="Times New Roman"/>
          <w:color w:val="000000" w:themeColor="text1"/>
          <w:sz w:val="24"/>
          <w:szCs w:val="32"/>
          <w:highlight w:val="none"/>
          <w14:textFill>
            <w14:solidFill>
              <w14:schemeClr w14:val="tx1"/>
            </w14:solidFill>
          </w14:textFill>
        </w:rPr>
        <w:t xml:space="preserve">：</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抗菌性能：抗菌率≥99%</w:t>
      </w:r>
      <w:r>
        <w:rPr>
          <w:rFonts w:hint="eastAsia" w:ascii="Arial" w:hAnsi="Arial" w:eastAsia="Arial" w:cs="Arial"/>
          <w:b w:val="0"/>
          <w:bCs w:val="0"/>
          <w:color w:val="000000" w:themeColor="text1"/>
          <w:sz w:val="24"/>
          <w:szCs w:val="24"/>
          <w:highlight w:val="none"/>
          <w14:textFill>
            <w14:solidFill>
              <w14:schemeClr w14:val="tx1"/>
            </w14:solidFill>
          </w14:textFill>
        </w:rPr>
        <w:t xml:space="preserve">，</w:t>
      </w:r>
      <w:r>
        <w:rPr>
          <w:rFonts w:hint="eastAsia" w:ascii="Arial" w:hAnsi="Arial" w:eastAsia="Arial" w:cs="Arial"/>
          <w:b w:val="0"/>
          <w:bCs w:val="0"/>
          <w:color w:val="000000" w:themeColor="text1"/>
          <w:sz w:val="24"/>
          <w:szCs w:val="24"/>
          <w:highlight w:val="none"/>
          <w:u w:val="single"/>
          <w14:textFill>
            <w14:solidFill>
              <w14:schemeClr w14:val="tx1"/>
            </w14:solidFill>
          </w14:textFill>
        </w:rPr>
        <w:t xml:space="preserve">甲醛释放量、可迁移元素(可溶性重金属)邻苯二甲酸酯：未检出，耐磨性：磨</w:t>
      </w:r>
      <w:r>
        <w:rPr>
          <w:rFonts w:hint="eastAsia" w:ascii="Arial" w:hAnsi="Arial" w:eastAsia="Arial" w:cs="Arial"/>
          <w:b w:val="0"/>
          <w:bCs w:val="0"/>
          <w:color w:val="000000" w:themeColor="text1"/>
          <w:sz w:val="24"/>
          <w:szCs w:val="24"/>
          <w:highlight w:val="none"/>
          <w:u w:val="single"/>
          <w:lang w:val="en-US" w:eastAsia="zh-CN"/>
          <w14:textFill>
            <w14:solidFill>
              <w14:schemeClr w14:val="tx1"/>
            </w14:solidFill>
          </w14:textFill>
        </w:rPr>
        <w:t xml:space="preserve">40</w:t>
      </w:r>
      <w:r>
        <w:rPr>
          <w:rFonts w:hint="eastAsia" w:ascii="Arial" w:hAnsi="Arial" w:eastAsia="Arial" w:cs="Arial"/>
          <w:b w:val="0"/>
          <w:bCs w:val="0"/>
          <w:color w:val="000000" w:themeColor="text1"/>
          <w:sz w:val="24"/>
          <w:szCs w:val="24"/>
          <w:highlight w:val="none"/>
          <w:u w:val="single"/>
          <w14:textFill>
            <w14:solidFill>
              <w14:schemeClr w14:val="tx1"/>
            </w14:solidFill>
          </w14:textFill>
        </w:rPr>
        <w:t xml:space="preserve">r后，应无露底现象；耐干热性≥四级【70℃】;  耐光色牢度(灰色样卡)≥4级。</w:t>
      </w:r>
      <w:r/>
    </w:p>
    <w:p>
      <w:pPr>
        <w:ind w:firstLine="480"/>
        <w:jc w:val="left"/>
        <w:spacing w:line="360" w:lineRule="auto"/>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3.</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钢管</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w:t>
      </w:r>
      <w:r>
        <w:rPr>
          <w:rFonts w:hint="eastAsia" w:ascii="Times New Roman" w:hAnsi="Times New Roman"/>
          <w:color w:val="000000" w:themeColor="text1"/>
          <w:sz w:val="24"/>
          <w:szCs w:val="32"/>
          <w:highlight w:val="none"/>
          <w14:textFill>
            <w14:solidFill>
              <w14:schemeClr w14:val="tx1"/>
            </w14:solidFill>
          </w14:textFill>
        </w:rPr>
        <w:t xml:space="preserve">检验项目需要包含</w:t>
      </w:r>
      <w:r>
        <w:rPr>
          <w:rFonts w:ascii="Times New Roman" w:hAnsi="Times New Roman"/>
          <w:color w:val="000000" w:themeColor="text1"/>
          <w:sz w:val="24"/>
          <w:szCs w:val="32"/>
          <w:highlight w:val="none"/>
          <w14:textFill>
            <w14:solidFill>
              <w14:schemeClr w14:val="tx1"/>
            </w14:solidFill>
          </w14:textFill>
        </w:rPr>
        <w:t xml:space="preserve">：</w:t>
      </w:r>
      <w:r>
        <w:rPr>
          <w:rFonts w:hint="eastAsia"/>
          <w:color w:val="000000" w:themeColor="text1"/>
          <w:sz w:val="24"/>
          <w:szCs w:val="32"/>
          <w:highlight w:val="none"/>
          <w:lang w:val="en-US" w:eastAsia="zh-CN"/>
          <w14:textFill>
            <w14:solidFill>
              <w14:schemeClr w14:val="tx1"/>
            </w14:solidFill>
          </w14:textFill>
        </w:rPr>
        <w:t xml:space="preserve">3.</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1.</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外观性能金属件喷漆(塑)涂层</w:t>
      </w:r>
      <w:r>
        <w:rPr>
          <w:rFonts w:hint="eastAsia" w:ascii="Arial" w:hAnsi="Arial" w:eastAsia="Arial" w:cs="Arial"/>
          <w:b w:val="0"/>
          <w:bCs w:val="0"/>
          <w:color w:val="000000" w:themeColor="text1"/>
          <w:sz w:val="24"/>
          <w:szCs w:val="24"/>
          <w:highlight w:val="none"/>
          <w:lang w:val="en-US" w:eastAsia="zh-CN"/>
          <w14:textFill>
            <w14:solidFill>
              <w14:schemeClr w14:val="tx1"/>
            </w14:solidFill>
          </w14:textFill>
        </w:rPr>
        <w:t xml:space="preserve">：应无漏喷、锈蚀、脱色、掉色等；应光滑均匀，色泽一致，应无流挂、疙瘩、皱皮、飞漆等</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3.</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2.金属喷漆(塑)涂层硬度≥</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5</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H,附着力达到</w:t>
      </w: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不低于</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1级，冲击强度、</w:t>
      </w:r>
      <w:r>
        <w:rPr>
          <w:rFonts w:hint="eastAsia" w:ascii="Arial" w:hAnsi="Arial" w:eastAsia="Arial" w:cs="Arial"/>
          <w:b w:val="0"/>
          <w:bCs w:val="0"/>
          <w:color w:val="000000" w:themeColor="text1"/>
          <w:sz w:val="24"/>
          <w:szCs w:val="24"/>
          <w:highlight w:val="none"/>
          <w:lang w:val="en-US" w:eastAsia="zh-CN"/>
          <w14:textFill>
            <w14:solidFill>
              <w14:schemeClr w14:val="tx1"/>
            </w14:solidFill>
          </w14:textFill>
        </w:rPr>
        <w:t xml:space="preserve">耐盐浴:划道两侧3mm外，应无鼓泡、锈蚀、剥落和起皱等现象。</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3.中性盐雾试验、乙酸盐雾试验、铜加速乙酸盐雾试验、铜加速乙酸盐雾试验连续喷雾≥</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2</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00h,镀层本身的耐腐蚀等级和镀层对基体的保护等级≥10级；4.产品有害物质8项元素均未检出</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w:t>
      </w:r>
      <w:r/>
    </w:p>
    <w:p>
      <w:pPr>
        <w:ind w:firstLine="480"/>
        <w:spacing w:line="360" w:lineRule="auto"/>
        <w:rPr>
          <w:rFonts w:hint="eastAsia" w:ascii="Arial" w:hAnsi="Arial" w:eastAsia="宋体" w:cs="Arial"/>
          <w:color w:val="000000" w:themeColor="text1"/>
          <w:sz w:val="24"/>
          <w:szCs w:val="24"/>
          <w:highlight w:val="none"/>
          <w:u w:val="single"/>
          <w:lang w:eastAsia="zh-CN"/>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4.铰链（阻尼门铰）</w:t>
      </w:r>
      <w:r>
        <w:rPr>
          <w:rFonts w:hint="eastAsia" w:eastAsia="宋体"/>
          <w:color w:val="000000" w:themeColor="text1"/>
          <w:sz w:val="24"/>
          <w:szCs w:val="32"/>
          <w:highlight w:val="none"/>
          <w:lang w:eastAsia="zh-CN"/>
          <w14:textFill>
            <w14:solidFill>
              <w14:schemeClr w14:val="tx1"/>
            </w14:solidFill>
          </w14:textFill>
        </w:rPr>
        <w:t xml:space="preserve">，</w:t>
      </w:r>
      <w:r>
        <w:rPr>
          <w:rFonts w:hint="eastAsia" w:ascii="Times New Roman" w:hAnsi="Times New Roman"/>
          <w:color w:val="000000" w:themeColor="text1"/>
          <w:sz w:val="24"/>
          <w:szCs w:val="32"/>
          <w:highlight w:val="none"/>
          <w14:textFill>
            <w14:solidFill>
              <w14:schemeClr w14:val="tx1"/>
            </w14:solidFill>
          </w14:textFill>
        </w:rPr>
        <w:t xml:space="preserve">检验项目需要包含</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：中性盐雾试验（</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200</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h）≥10级</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w:t>
      </w:r>
      <w:r>
        <w:rPr>
          <w:rFonts w:hint="eastAsia" w:ascii="Arial" w:hAnsi="Arial" w:eastAsia="Arial" w:cs="Arial"/>
          <w:color w:val="000000" w:themeColor="text1"/>
          <w:sz w:val="24"/>
          <w:szCs w:val="24"/>
          <w:highlight w:val="none"/>
          <w:u w:val="single"/>
          <w14:textFill>
            <w14:solidFill>
              <w14:schemeClr w14:val="tx1"/>
            </w14:solidFill>
          </w14:textFill>
        </w:rPr>
        <w:t xml:space="preserve">耐久性：10万次，操作力：在耐久性试验前后，打开力和关闭力不应大于20N,下沉量≤1mm</w:t>
      </w:r>
      <w:r>
        <w:rPr>
          <w:rFonts w:hint="eastAsia" w:ascii="Arial" w:hAnsi="Arial" w:eastAsia="宋体" w:cs="Arial"/>
          <w:color w:val="000000" w:themeColor="text1"/>
          <w:sz w:val="24"/>
          <w:szCs w:val="24"/>
          <w:highlight w:val="none"/>
          <w:u w:val="single"/>
          <w:lang w:eastAsia="zh-CN"/>
          <w14:textFill>
            <w14:solidFill>
              <w14:schemeClr w14:val="tx1"/>
            </w14:solidFill>
          </w14:textFill>
        </w:rPr>
        <w:t xml:space="preserve">。</w:t>
      </w:r>
      <w:r/>
    </w:p>
    <w:p>
      <w:pPr>
        <w:ind w:firstLine="480"/>
        <w:jc w:val="left"/>
        <w:spacing w:line="560" w:lineRule="exact"/>
        <w:widowControl/>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5.导轨</w:t>
      </w:r>
      <w:r>
        <w:rPr>
          <w:rFonts w:hint="eastAsia" w:eastAsia="宋体"/>
          <w:color w:val="000000" w:themeColor="text1"/>
          <w:sz w:val="24"/>
          <w:szCs w:val="32"/>
          <w:highlight w:val="none"/>
          <w:lang w:eastAsia="zh-CN"/>
          <w14:textFill>
            <w14:solidFill>
              <w14:schemeClr w14:val="tx1"/>
            </w14:solidFill>
          </w14:textFill>
        </w:rPr>
        <w:t xml:space="preserve">，</w:t>
      </w:r>
      <w:r>
        <w:rPr>
          <w:rFonts w:hint="eastAsia" w:ascii="Times New Roman" w:hAnsi="Times New Roman"/>
          <w:color w:val="000000" w:themeColor="text1"/>
          <w:sz w:val="24"/>
          <w:szCs w:val="32"/>
          <w:highlight w:val="none"/>
          <w14:textFill>
            <w14:solidFill>
              <w14:schemeClr w14:val="tx1"/>
            </w14:solidFill>
          </w14:textFill>
        </w:rPr>
        <w:t xml:space="preserve">检验项目需要包含</w:t>
      </w:r>
      <w:r>
        <w:rPr>
          <w:rFonts w:ascii="Times New Roman" w:hAnsi="Times New Roman"/>
          <w:color w:val="000000" w:themeColor="text1"/>
          <w:sz w:val="24"/>
          <w:szCs w:val="32"/>
          <w:highlight w:val="none"/>
          <w14:textFill>
            <w14:solidFill>
              <w14:schemeClr w14:val="tx1"/>
            </w14:solidFill>
          </w14:textFill>
        </w:rPr>
        <w:t xml:space="preserve">：</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中性盐雾试验（</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200</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h）</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10级</w:t>
      </w:r>
      <w:r>
        <w:rPr>
          <w:rFonts w:hint="eastAsia" w:ascii="方正仿宋_GB2312" w:hAnsi="方正仿宋_GB2312" w:cs="方正仿宋_GB2312"/>
          <w:b w:val="0"/>
          <w:bCs w:val="0"/>
          <w:color w:val="000000" w:themeColor="text1"/>
          <w:sz w:val="24"/>
          <w:szCs w:val="32"/>
          <w:highlight w:val="none"/>
          <w:lang w:eastAsia="zh-CN"/>
          <w14:textFill>
            <w14:solidFill>
              <w14:schemeClr w14:val="tx1"/>
            </w14:solidFill>
          </w14:textFill>
        </w:rPr>
        <w:t xml:space="preserve">、</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耐久性：10万次。</w:t>
      </w:r>
      <w:r/>
    </w:p>
    <w:p>
      <w:pPr>
        <w:ind w:firstLine="480"/>
        <w:jc w:val="left"/>
        <w:spacing w:line="560" w:lineRule="exact"/>
        <w:widowControl/>
        <w:rPr>
          <w:rFonts w:hint="default" w:ascii="方正仿宋_GB2312" w:hAnsi="方正仿宋_GB2312" w:eastAsia="宋体" w:cs="方正仿宋_GB2312"/>
          <w:b w:val="0"/>
          <w:bCs w:val="0"/>
          <w:color w:val="000000" w:themeColor="text1"/>
          <w:sz w:val="24"/>
          <w:szCs w:val="32"/>
          <w:highlight w:val="none"/>
          <w:lang w:val="en-US"/>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6.PP塑料</w:t>
      </w:r>
      <w:r>
        <w:rPr>
          <w:rFonts w:hint="eastAsia" w:cs="Times New Roman"/>
          <w:color w:val="000000" w:themeColor="text1"/>
          <w:sz w:val="24"/>
          <w:szCs w:val="32"/>
          <w:highlight w:val="none"/>
          <w:lang w:eastAsia="zh-CN"/>
          <w14:textFill>
            <w14:solidFill>
              <w14:schemeClr w14:val="tx1"/>
            </w14:solidFill>
          </w14:textFill>
        </w:rPr>
        <w:t xml:space="preserve">，</w:t>
      </w:r>
      <w:r>
        <w:rPr>
          <w:rFonts w:hint="eastAsia" w:ascii="Times New Roman" w:hAnsi="Times New Roman"/>
          <w:color w:val="000000" w:themeColor="text1"/>
          <w:sz w:val="24"/>
          <w:szCs w:val="32"/>
          <w:highlight w:val="none"/>
          <w14:textFill>
            <w14:solidFill>
              <w14:schemeClr w14:val="tx1"/>
            </w14:solidFill>
          </w14:textFill>
        </w:rPr>
        <w:t xml:space="preserve">检验项目需要包含</w:t>
      </w:r>
      <w:r>
        <w:rPr>
          <w:rFonts w:ascii="Times New Roman" w:hAnsi="Times New Roman"/>
          <w:color w:val="000000" w:themeColor="text1"/>
          <w:sz w:val="24"/>
          <w:szCs w:val="32"/>
          <w:highlight w:val="none"/>
          <w14:textFill>
            <w14:solidFill>
              <w14:schemeClr w14:val="tx1"/>
            </w14:solidFill>
          </w14:textFill>
        </w:rPr>
        <w:t xml:space="preserve">：</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防霉</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菌性能、硬度符合要求。</w:t>
      </w:r>
      <w:r/>
    </w:p>
    <w:p>
      <w:pPr>
        <w:numPr>
          <w:ilvl w:val="0"/>
          <w:numId w:val="0"/>
        </w:numPr>
        <w:ind w:left="420"/>
        <w:jc w:val="left"/>
        <w:spacing w:line="500" w:lineRule="exact"/>
        <w:widowControl/>
        <w:rPr>
          <w:rFonts w:hint="eastAsia" w:ascii="Times New Roman" w:hAnsi="Times New Roman" w:eastAsia="宋体" w:cs="Times New Roman"/>
          <w:color w:val="000000" w:themeColor="text1"/>
          <w:sz w:val="24"/>
          <w:szCs w:val="32"/>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32"/>
          <w:highlight w:val="none"/>
          <w:lang w:val="en-US" w:bidi="ar-SA"/>
          <w14:textFill>
            <w14:solidFill>
              <w14:schemeClr w14:val="tx1"/>
            </w14:solidFill>
          </w14:textFill>
        </w:rPr>
        <w:t xml:space="preserve">注：</w:t>
      </w:r>
      <w:r>
        <w:rPr>
          <w:rFonts w:hint="eastAsia" w:cs="Times New Roman"/>
          <w:color w:val="000000" w:themeColor="text1"/>
          <w:sz w:val="24"/>
          <w:szCs w:val="32"/>
          <w:highlight w:val="none"/>
          <w:lang w:val="en-US" w:eastAsia="zh-CN" w:bidi="ar-SA"/>
          <w14:textFill>
            <w14:solidFill>
              <w14:schemeClr w14:val="tx1"/>
            </w14:solidFill>
          </w14:textFill>
        </w:rPr>
        <w:t xml:space="preserve">1.</w:t>
      </w:r>
      <w:r>
        <w:rPr>
          <w:rFonts w:hint="eastAsia" w:ascii="Times New Roman" w:hAnsi="Times New Roman" w:eastAsia="宋体" w:cs="Times New Roman"/>
          <w:color w:val="000000" w:themeColor="text1"/>
          <w:sz w:val="24"/>
          <w:szCs w:val="32"/>
          <w:highlight w:val="none"/>
          <w:lang w:val="en-US" w:bidi="ar-SA"/>
          <w14:textFill>
            <w14:solidFill>
              <w14:schemeClr w14:val="tx1"/>
            </w14:solidFill>
          </w14:textFill>
        </w:rPr>
        <w:t xml:space="preserve">以上检测项目可在同一份或多份CMA报告中体现，但须完整覆盖。</w:t>
      </w:r>
      <w:r/>
    </w:p>
    <w:p>
      <w:pPr>
        <w:ind w:firstLine="480"/>
        <w:spacing w:line="400" w:lineRule="exact"/>
        <w:widowControl/>
        <w:rPr>
          <w:rFonts w:hint="eastAsia" w:ascii="Times New Roman" w:hAnsi="Times New Roman" w:eastAsia="宋体" w:cs="Times New Roman"/>
          <w:color w:val="000000" w:themeColor="text1"/>
          <w:sz w:val="24"/>
          <w:szCs w:val="32"/>
          <w:highlight w:val="none"/>
          <w:lang w:val="en-US" w:eastAsia="zh-CN" w:bidi="ar-SA"/>
          <w14:textFill>
            <w14:solidFill>
              <w14:schemeClr w14:val="tx1"/>
            </w14:solidFill>
          </w14:textFill>
        </w:rPr>
      </w:pPr>
      <w:r>
        <w:rPr>
          <w:rFonts w:hint="eastAsia" w:ascii="宋体" w:hAnsi="宋体"/>
          <w:color w:val="000000" w:themeColor="text1"/>
          <w:sz w:val="24"/>
          <w:szCs w:val="32"/>
          <w:highlight w:val="none"/>
          <w14:textFill>
            <w14:solidFill>
              <w14:schemeClr w14:val="tx1"/>
            </w14:solidFill>
          </w14:textFill>
        </w:rPr>
        <w:t xml:space="preserve">2.在项目履约及验收阶段，所有检测标准均依据国家及行业现行有效标准。</w:t>
      </w:r>
      <w:r/>
    </w:p>
    <w:p>
      <w:pPr>
        <w:numPr>
          <w:ilvl w:val="0"/>
          <w:numId w:val="0"/>
        </w:numPr>
        <w:ind w:left="420"/>
        <w:jc w:val="left"/>
        <w:spacing w:line="500" w:lineRule="exact"/>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五、投标样品提供</w:t>
      </w:r>
      <w:r/>
    </w:p>
    <w:p>
      <w:pPr>
        <w:ind w:firstLine="480"/>
        <w:jc w:val="left"/>
        <w:spacing w:line="560" w:lineRule="exact"/>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5</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.1项目要求提供样品的，中标人的样品由采购人负责保管、封存，并作为履约验收的参考。未中标人的样品将及时退还。</w:t>
      </w:r>
      <w:r/>
    </w:p>
    <w:p>
      <w:pPr>
        <w:ind w:firstLine="480"/>
        <w:jc w:val="left"/>
        <w:spacing w:line="560" w:lineRule="exact"/>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5</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.2投标供应商递交以下样品：</w:t>
      </w:r>
      <w:r/>
    </w:p>
    <w:p>
      <w:pPr>
        <w:ind w:firstLine="480"/>
        <w:jc w:val="left"/>
        <w:spacing w:line="560" w:lineRule="exact"/>
        <w:widowControl/>
        <w:rPr>
          <w:rFonts w:hint="eastAsia" w:ascii="方正仿宋_GB2312" w:hAnsi="方正仿宋_GB2312" w:eastAsia="宋体" w:cs="方正仿宋_GB2312"/>
          <w:b w:val="0"/>
          <w:bCs w:val="0"/>
          <w:color w:val="000000" w:themeColor="text1"/>
          <w:sz w:val="24"/>
          <w:szCs w:val="32"/>
          <w:highlight w:val="none"/>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5</w:t>
      </w:r>
      <w:r>
        <w:rPr>
          <w:rFonts w:hint="eastAsia" w:ascii="方正仿宋_GB2312" w:hAnsi="方正仿宋_GB2312" w:eastAsia="宋体" w:cs="方正仿宋_GB2312"/>
          <w:b w:val="0"/>
          <w:bCs w:val="0"/>
          <w:color w:val="000000" w:themeColor="text1"/>
          <w:sz w:val="24"/>
          <w:szCs w:val="32"/>
          <w:highlight w:val="none"/>
          <w:lang w:eastAsia="zh-CN"/>
          <w14:textFill>
            <w14:solidFill>
              <w14:schemeClr w14:val="tx1"/>
            </w14:solidFill>
          </w14:textFill>
        </w:rPr>
        <w:t xml:space="preserve">.2.1材料样品一套：请投标供应商按照招标文件的要求提供所投产品的小样，具体如下：</w:t>
      </w:r>
      <w:r/>
    </w:p>
    <w:tbl>
      <w:tblPr>
        <w:tblStyle w:val="705"/>
        <w:tblW w:w="5300" w:type="pct"/>
        <w:jc w:val="center"/>
        <w:tblLayout w:type="fixed"/>
        <w:tblCellMar>
          <w:left w:w="108" w:type="dxa"/>
          <w:top w:w="0" w:type="dxa"/>
          <w:right w:w="108" w:type="dxa"/>
          <w:bottom w:w="0" w:type="dxa"/>
        </w:tblCellMar>
        <w:tblLook w:val="04A0" w:firstRow="1" w:lastRow="0" w:firstColumn="1" w:lastColumn="0" w:noHBand="0" w:noVBand="1"/>
      </w:tblPr>
      <w:tblGrid>
        <w:gridCol w:w="595"/>
        <w:gridCol w:w="885"/>
        <w:gridCol w:w="2116"/>
        <w:gridCol w:w="4400"/>
        <w:gridCol w:w="1044"/>
      </w:tblGrid>
      <w:tr>
        <w:trPr>
          <w:jc w:val="center"/>
          <w:trHeight w:val="661"/>
          <w:tblHeader/>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样品名称</w:t>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Times New Roman" w:hAnsi="Times New Roman"/>
                <w:b/>
                <w:bCs/>
                <w:color w:val="000000" w:themeColor="text1"/>
                <w:sz w:val="24"/>
                <w:szCs w:val="24"/>
                <w:highlight w:val="none"/>
                <w14:textFill>
                  <w14:solidFill>
                    <w14:schemeClr w14:val="tx1"/>
                  </w14:solidFill>
                </w14:textFill>
              </w:rPr>
              <w:t xml:space="preserve">样品尺寸</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ascii="Times New Roman" w:hAnsi="Times New Roman"/>
                <w:b/>
                <w:bCs/>
                <w:color w:val="000000" w:themeColor="text1"/>
                <w:sz w:val="24"/>
                <w:szCs w:val="24"/>
                <w:highlight w:val="none"/>
                <w14:textFill>
                  <w14:solidFill>
                    <w14:schemeClr w14:val="tx1"/>
                  </w14:solidFill>
                </w14:textFill>
              </w:rPr>
              <w:t xml:space="preserve">样品</w:t>
            </w:r>
            <w:r>
              <w:rPr>
                <w:rFonts w:hint="eastAsia" w:ascii="Times New Roman" w:hAnsi="Times New Roman"/>
                <w:b/>
                <w:bCs/>
                <w:color w:val="000000" w:themeColor="text1"/>
                <w:sz w:val="24"/>
                <w:szCs w:val="24"/>
                <w:highlight w:val="none"/>
                <w14:textFill>
                  <w14:solidFill>
                    <w14:schemeClr w14:val="tx1"/>
                  </w14:solidFill>
                </w14:textFill>
              </w:rPr>
              <w:t xml:space="preserve">材质、工艺、外观</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备注</w:t>
            </w:r>
            <w:r/>
          </w:p>
        </w:tc>
      </w:tr>
      <w:tr>
        <w:trPr>
          <w:jc w:val="center"/>
          <w:trHeight w:val="725"/>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bookmarkStart w:id="201" w:name="OLE_LINK7"/>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床前护栏</w:t>
            </w:r>
            <w:bookmarkEnd w:id="201"/>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jc w:val="cente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长度</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850mm（含推拉窗，推拉窗整体</w:t>
            </w:r>
            <w:r>
              <w:rPr>
                <w:rFonts w:hint="eastAsia" w:cs="Times New Roman"/>
                <w:color w:val="000000" w:themeColor="text1"/>
                <w:sz w:val="24"/>
                <w:szCs w:val="24"/>
                <w:highlight w:val="none"/>
                <w:lang w:val="en-US" w:eastAsia="zh-CN" w:bidi="ar-SA"/>
                <w14:textFill>
                  <w14:solidFill>
                    <w14:schemeClr w14:val="tx1"/>
                  </w14:solidFill>
                </w14:textFill>
              </w:rPr>
              <w:t xml:space="preserve">规</w:t>
            </w:r>
            <w:bookmarkStart w:id="223" w:name="_GoBack"/>
            <w:r/>
            <w:bookmarkEnd w:id="223"/>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格:≥700*300*40mm）</w:t>
            </w:r>
            <w:r/>
          </w:p>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高度≥</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450mm</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spacing w:line="360" w:lineRule="exact"/>
              <w:widowControl/>
              <w:rPr>
                <w:rFonts w:hint="default" w:ascii="宋体" w:hAnsi="宋体" w:eastAsia="宋体" w:cs="Times New Roman"/>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采用钢、铝、塑、木材料</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widowControl/>
              <w:rPr>
                <w:rFonts w:hint="default" w:ascii="宋体" w:hAnsi="宋体" w:eastAsia="宋体" w:cs="Times New Roman"/>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工艺：嵌入一块18mm厚的实木多层板</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前护栏带推拉窗</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推拉窗整体规格：700*300*40，外形采用跑道圆设计，圆弧部分</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ABS</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材质注塑工艺一次成型，滑道采用铝型材，设一个观察窗。</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无流挂、疙瘩、皱皮等缺陷，安全稳定</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外观：</w:t>
            </w:r>
            <w:r>
              <w:rPr>
                <w:rFonts w:hint="default" w:ascii="宋体" w:hAnsi="宋体" w:eastAsia="宋体" w:cs="Times New Roman"/>
                <w:color w:val="000000" w:themeColor="text1"/>
                <w:sz w:val="24"/>
                <w:szCs w:val="24"/>
                <w:highlight w:val="none"/>
                <w:lang w:val="en-US" w:bidi="ar-SA"/>
                <w14:textFill>
                  <w14:solidFill>
                    <w14:schemeClr w14:val="tx1"/>
                  </w14:solidFill>
                </w14:textFill>
              </w:rPr>
              <w:t xml:space="preserve">不生锈、不掉漆的特性；焊接表面波纹均匀，焊接处无夹渣、气孔、焊瘤、焊丝头咬边飞溅，无脱焊、虚焊及焊穿现象。整体美观，表面涂层应光滑均匀，色泽一致</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673"/>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bookmarkStart w:id="202" w:name="_Hlk166487397"/>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立柱</w:t>
            </w:r>
            <w:bookmarkEnd w:id="202"/>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长度300mm</w:t>
            </w:r>
            <w:r>
              <w:rPr>
                <w:rFonts w:ascii="Times New Roman" w:hAnsi="Times New Roman"/>
                <w:color w:val="000000" w:themeColor="text1"/>
                <w:sz w:val="24"/>
                <w:szCs w:val="24"/>
                <w:highlight w:val="none"/>
                <w14:textFill>
                  <w14:solidFill>
                    <w14:schemeClr w14:val="tx1"/>
                  </w14:solidFill>
                </w14:textFill>
              </w:rPr>
              <w:br/>
            </w:r>
            <w:r>
              <w:rPr>
                <w:rFonts w:ascii="Times New Roman" w:hAnsi="Times New Roman"/>
                <w:color w:val="000000" w:themeColor="text1"/>
                <w:sz w:val="24"/>
                <w:szCs w:val="24"/>
                <w:highlight w:val="none"/>
                <w14:textFill>
                  <w14:solidFill>
                    <w14:schemeClr w14:val="tx1"/>
                  </w14:solidFill>
                </w14:textFill>
              </w:rPr>
              <w:t xml:space="preserve">立面成型后尺寸规格≥72mm*72mm，壁厚≥1.5mm</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材质：钢；立柱脚采用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PP</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塑料的防滑静音内塞。</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工艺：立面为中空异形闭口型材，正面为圆弧形设计，无流挂、疙瘩、皱皮等缺陷，安全稳定。</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外观：整体美观，表面涂层应光滑均匀，色泽一致。</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698"/>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bookmarkStart w:id="203" w:name="_Hlk166487403"/>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前/后床厅</w:t>
            </w:r>
            <w:bookmarkEnd w:id="203"/>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管/侧床厅矩形管</w:t>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长度300mm</w:t>
            </w:r>
            <w:r>
              <w:rPr>
                <w:rFonts w:ascii="Times New Roman" w:hAnsi="Times New Roman"/>
                <w:color w:val="000000" w:themeColor="text1"/>
                <w:sz w:val="24"/>
                <w:szCs w:val="24"/>
                <w:highlight w:val="none"/>
                <w14:textFill>
                  <w14:solidFill>
                    <w14:schemeClr w14:val="tx1"/>
                  </w14:solidFill>
                </w14:textFill>
              </w:rPr>
              <w:br/>
            </w:r>
            <w:r>
              <w:rPr>
                <w:rFonts w:ascii="Times New Roman" w:hAnsi="Times New Roman"/>
                <w:color w:val="000000" w:themeColor="text1"/>
                <w:sz w:val="24"/>
                <w:szCs w:val="24"/>
                <w:highlight w:val="none"/>
                <w14:textFill>
                  <w14:solidFill>
                    <w14:schemeClr w14:val="tx1"/>
                  </w14:solidFill>
                </w14:textFill>
              </w:rPr>
              <w:t xml:space="preserve">立面尺寸≥80mm*30mm管,壁厚≥1.5mm</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钢</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工艺：无流挂、疙瘩、皱皮等缺陷，安全稳定。</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整体美观，表面涂层应光滑均匀，色泽一致</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衣柜柜门</w:t>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jc w:val="cente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厚度：</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18mm</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 </w:t>
            </w:r>
            <w:r/>
          </w:p>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门板尺寸：</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300mm×300mm</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带铝合金暗拉手</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采用≥</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18mm厚</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实木多层板</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门板采用铝合金暗扣拉手</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配置隐藏式圆柱孔门锁</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，四周边缘采用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PP</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环保塑料成型注塑封边，</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材质均匀细腻，表面平整光滑无瑕疵，结构稳定且不易变形开裂，拉手手感顺滑无毛刺</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外观造型要求，整体美观，色彩搭配合理</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桌面板</w:t>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尺寸</w:t>
            </w:r>
            <w:r>
              <w:rPr>
                <w:rFonts w:hint="eastAsia" w:ascii="Times New Roman" w:hAnsi="Times New Roman"/>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300mm×300mm截面厚度</w:t>
            </w:r>
            <w:r>
              <w:rPr>
                <w:rFonts w:hint="eastAsia" w:ascii="Times New Roman" w:hAnsi="Times New Roman"/>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≥25mm</w:t>
            </w:r>
            <w:r/>
          </w:p>
        </w:tc>
        <w:tc>
          <w:tcPr>
            <w:tcBorders>
              <w:top w:val="single" w:color="000000" w:sz="4" w:space="0"/>
              <w:left w:val="single" w:color="000000" w:sz="4" w:space="0"/>
              <w:bottom w:val="none" w:color="000000" w:sz="4" w:space="0"/>
              <w:right w:val="single" w:color="000000" w:sz="4" w:space="0"/>
            </w:tcBorders>
            <w:tcW w:w="4400" w:type="dxa"/>
            <w:vAlign w:val="center"/>
            <w:textDirection w:val="lrTb"/>
            <w:noWrap w:val="false"/>
          </w:tcPr>
          <w:p>
            <w:pPr>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实木多层板</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前口鸭嘴边设计，其余三边圆弧角设计</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，材质均匀细腻，表面平整光滑无瑕疵</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具有较高的强度和平整度。</w:t>
            </w:r>
            <w:r/>
          </w:p>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平整光滑、无异味，无开裂现象</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none" w:color="000000" w:sz="4" w:space="0"/>
              <w:right w:val="single" w:color="000000" w:sz="4" w:space="0"/>
            </w:tcBorders>
            <w:tcW w:w="1044"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铰链</w:t>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常规</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材质：不锈钢。</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工艺：手感顺滑无毛刺、无可见的变形、翘曲。</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外观：整体安全美观，耐磨损等特性。</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导轨</w:t>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常规</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材质：不锈钢。</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工艺：轨道推拉顺滑无卡顿。</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bookmarkStart w:id="204" w:name="OLE_LINK148"/>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整体安全美观</w:t>
            </w:r>
            <w:bookmarkEnd w:id="204"/>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spacing w:line="36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firstLine="0"/>
              <w:jc w:val="left"/>
              <w:spacing w:line="24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爬梯</w:t>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jc w:val="left"/>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钢管 主管≥40*30*1.5mm</w:t>
            </w:r>
            <w:r/>
          </w:p>
          <w:p>
            <w:pPr>
              <w:jc w:val="left"/>
              <w:spacing w:line="24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踏步板：400*120*25mm提供一个踏步完整组装</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样品</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（包含主管，踏步板防滑纹路，并配备荧光条，下方采用钢管支撑）</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材质：钢、</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PP(聚丙烯)</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爬梯采用走梯式设计，所有钢管均采用整体焊接工艺制作，踏步板采用环保 PP材质注塑工艺一次成型，两者采用螺丝固定，稳固安全</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，安装螺丝位置环形整体扣边条内扣遮挡设计，安全美观合理防滑纹路，并配备荧光条，下方采用钢管支撑。</w:t>
            </w:r>
            <w:r/>
          </w:p>
          <w:p>
            <w:pPr>
              <w:jc w:val="left"/>
              <w:spacing w:line="36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外观：整体安全美观。</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床板</w:t>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jc w:val="left"/>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长度300mm</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br/>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宽度≥70mm，</w:t>
            </w:r>
            <w:r/>
          </w:p>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厚度≥18mm</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spacing w:line="360" w:lineRule="exact"/>
              <w:widowControl/>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双面刨光杉木床板</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widowControl/>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每两根木条的距离间隙≤10mm</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每块床板需要有≥4根（≥40×20mm）实木方料做横档加固</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板条与横档需要用不锈钢螺丝固定连接</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highlight w:val="none"/>
                <w:lang w:val="en-US" w:bidi="ar-SA"/>
                <w14:textFill>
                  <w14:solidFill>
                    <w14:schemeClr w14:val="tx1"/>
                  </w14:solidFill>
                </w14:textFill>
              </w:rPr>
              <w:t xml:space="preserve">材质均匀细腻，表面平整光滑无瑕疵,具有较高的强度和平整度。</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default" w:ascii="Times New Roman" w:hAnsi="Times New Roman" w:eastAsia="宋体" w:cs="Times New Roman"/>
                <w:color w:val="000000" w:themeColor="text1"/>
                <w:sz w:val="24"/>
                <w:highlight w:val="none"/>
                <w:lang w:val="en-US" w:bidi="ar-SA"/>
                <w14:textFill>
                  <w14:solidFill>
                    <w14:schemeClr w14:val="tx1"/>
                  </w14:solidFill>
                </w14:textFill>
              </w:rPr>
              <w:t xml:space="preserve">造型要求，平整光滑、无异味，无开裂现象</w:t>
            </w:r>
            <w:r>
              <w:rPr>
                <w:rFonts w:hint="eastAsia" w:ascii="Times New Roman" w:hAnsi="Times New Roman" w:eastAsia="宋体" w:cs="Times New Roman"/>
                <w:color w:val="000000" w:themeColor="text1"/>
                <w:sz w:val="24"/>
                <w:highlight w:val="none"/>
                <w:lang w:val="en-US" w:bidi="ar-SA"/>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学生椅</w:t>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jc w:val="left"/>
              <w:spacing w:line="374"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尺寸：≥450*500*850mm</w:t>
            </w:r>
            <w:r>
              <w:rPr>
                <w:rFonts w:hint="eastAsia" w:ascii="Times New Roman" w:hAnsi="Times New Roman"/>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spacing w:line="360" w:lineRule="exact"/>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材质：</w:t>
            </w:r>
            <w:r>
              <w:rPr>
                <w:rFonts w:hint="default" w:ascii="Times New Roman" w:hAnsi="Times New Roman" w:eastAsia="宋体" w:cs="Times New Roman"/>
                <w:color w:val="000000" w:themeColor="text1"/>
                <w:sz w:val="24"/>
                <w:szCs w:val="24"/>
                <w:highlight w:val="none"/>
                <w:lang w:val="en-US" w:bidi="ar"/>
                <w14:textFill>
                  <w14:solidFill>
                    <w14:schemeClr w14:val="tx1"/>
                  </w14:solidFill>
                </w14:textFill>
              </w:rPr>
              <w:t xml:space="preserve">钢</w:t>
            </w:r>
            <w:r>
              <w:rPr>
                <w:rFonts w:hint="eastAsia" w:ascii="Times New Roman" w:hAnsi="Times New Roman" w:eastAsia="宋体" w:cs="Times New Roman"/>
                <w:color w:val="000000" w:themeColor="text1"/>
                <w:sz w:val="24"/>
                <w:szCs w:val="24"/>
                <w:highlight w:val="none"/>
                <w:lang w:val="en-US" w:bidi="ar"/>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PP(聚丙烯)</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p>
          <w:p>
            <w:pPr>
              <w:spacing w:line="360" w:lineRule="exact"/>
              <w:widowControl/>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工艺及细节要求：1.椅座：一体成型，</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厚度≥8mm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座面安装高度≥440mm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深装饰沟槽面</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背面配PP材质弧形螺丝闷盖</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2.椅背：</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一体成型</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厚度≥6mm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座椅总高度≥850mm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背宽≥410mm，背高≥410mm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Calibri" w:hAnsi="Calibri" w:eastAsia="宋体" w:cs="Times New Roman"/>
                <w:color w:val="000000" w:themeColor="text1"/>
                <w:sz w:val="24"/>
                <w:szCs w:val="24"/>
                <w:highlight w:val="none"/>
                <w:lang w:val="en-US" w:bidi="ar-SA"/>
                <w14:textFill>
                  <w14:solidFill>
                    <w14:schemeClr w14:val="tx1"/>
                  </w14:solidFill>
                </w14:textFill>
              </w:rPr>
              <w:t xml:space="preserve">座宽≥450mm，座深≥500mm</w:t>
            </w:r>
            <w:r>
              <w:rPr>
                <w:rFonts w:hint="eastAsia" w:ascii="Calibri" w:hAnsi="Calibri"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防滑透气面设有多根筋位，防滑透气；</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3.</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椅脚：采用圆管≥φ19mm*2.0mm厚</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地脚配有4个PP材质脚垫。</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喷塑涂层厚薄均匀、无流挂、无褶皱，结构稳定，符合人体工程学。</w:t>
            </w:r>
            <w:r/>
          </w:p>
          <w:p>
            <w:pPr>
              <w:jc w:val="both"/>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外观</w:t>
            </w:r>
            <w:r>
              <w:rPr>
                <w:rFonts w:hint="eastAsia"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w:t>
            </w:r>
            <w:r>
              <w:rPr>
                <w:rFonts w:hint="default" w:ascii="Times New Roman" w:hAnsi="Times New Roman" w:eastAsia="宋体" w:cs="Times New Roman"/>
                <w:color w:val="000000" w:themeColor="text1"/>
                <w:sz w:val="24"/>
                <w:szCs w:val="24"/>
                <w:highlight w:val="none"/>
                <w:lang w:val="en-US" w:bidi="ar-SA"/>
                <w14:textFill>
                  <w14:solidFill>
                    <w14:schemeClr w14:val="tx1"/>
                  </w14:solidFill>
                </w14:textFill>
              </w:rPr>
              <w:t xml:space="preserve">造型要求，整体安全美观，边口圆润光滑无毛刺，平整牢固。</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整件</w:t>
            </w:r>
            <w:r/>
          </w:p>
        </w:tc>
      </w:tr>
    </w:tbl>
    <w:p>
      <w:pPr>
        <w:ind w:firstLine="480"/>
        <w:spacing w:line="360" w:lineRule="auto"/>
        <w:widowControl/>
        <w:rPr>
          <w:rFonts w:hint="eastAsia" w:ascii="宋体" w:hAnsi="宋体" w:eastAsia="宋体" w:cs="Times New Roman"/>
          <w:b/>
          <w:color w:val="000000" w:themeColor="text1"/>
          <w:sz w:val="24"/>
          <w:szCs w:val="24"/>
          <w:highlight w:val="none"/>
          <w:lang w:val="en-US" w:bidi="ar-SA"/>
          <w14:textFill>
            <w14:solidFill>
              <w14:schemeClr w14:val="tx1"/>
            </w14:solidFill>
          </w14:textFill>
        </w:rPr>
      </w:pPr>
      <w:r>
        <w:rPr>
          <w:rFonts w:hint="eastAsia" w:ascii="方正仿宋_GB2312" w:hAnsi="方正仿宋_GB2312" w:eastAsia="宋体" w:cs="方正仿宋_GB2312"/>
          <w:b w:val="0"/>
          <w:bCs w:val="0"/>
          <w:color w:val="000000" w:themeColor="text1"/>
          <w:sz w:val="24"/>
          <w:szCs w:val="32"/>
          <w:highlight w:val="none"/>
          <w:lang w:val="en-US" w:eastAsia="zh-CN"/>
          <w14:textFill>
            <w14:solidFill>
              <w14:schemeClr w14:val="tx1"/>
            </w14:solidFill>
          </w14:textFill>
        </w:rPr>
        <w:t xml:space="preserve">注:</w:t>
      </w:r>
      <w:r>
        <w:rPr>
          <w:rFonts w:hint="eastAsia" w:ascii="方正仿宋_GB2312" w:hAnsi="方正仿宋_GB2312" w:cs="方正仿宋_GB2312"/>
          <w:b w:val="0"/>
          <w:bCs w:val="0"/>
          <w:color w:val="000000" w:themeColor="text1"/>
          <w:sz w:val="24"/>
          <w:szCs w:val="32"/>
          <w:highlight w:val="none"/>
          <w:lang w:val="en-US" w:eastAsia="zh-CN"/>
          <w14:textFill>
            <w14:solidFill>
              <w14:schemeClr w14:val="tx1"/>
            </w14:solidFill>
          </w14:textFill>
        </w:rPr>
        <w:t xml:space="preserve">（1）</w:t>
      </w: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样品制作标准参照采购需求中的技术参数要求制作。</w:t>
      </w:r>
      <w:r/>
    </w:p>
    <w:p>
      <w:pPr>
        <w:numPr>
          <w:ilvl w:val="0"/>
          <w:numId w:val="0"/>
        </w:numPr>
        <w:ind w:left="420"/>
        <w:jc w:val="left"/>
        <w:spacing w:line="431" w:lineRule="exact"/>
        <w:rPr>
          <w:rFonts w:hint="eastAsia" w:ascii="宋体" w:hAnsi="宋体" w:eastAsia="宋体" w:cs="Times New Roman"/>
          <w:color w:val="000000" w:themeColor="text1"/>
          <w:sz w:val="24"/>
          <w:szCs w:val="24"/>
          <w:highlight w:val="none"/>
          <w:lang w:val="en-US"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en-US" w:bidi="ar-SA"/>
          <w14:textFill>
            <w14:solidFill>
              <w14:schemeClr w14:val="tx1"/>
            </w14:solidFill>
          </w14:textFill>
        </w:rPr>
        <w:t xml:space="preserve">投标人所提供的样品与招标文件要求不符合或未提供对应样品不得分，3D打印的样品不得分。</w:t>
      </w:r>
      <w:r/>
    </w:p>
    <w:p>
      <w:pPr>
        <w:numPr>
          <w:ilvl w:val="0"/>
          <w:numId w:val="0"/>
        </w:numPr>
        <w:ind w:left="420"/>
        <w:spacing w:line="360" w:lineRule="auto"/>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采购包1、采购包2、采购包3涉及的相同样品（如：床前护栏、立柱、前/后床厅管、侧床厅矩形管、衣柜柜门、桌面板、铰链、导轨、学生椅、床板），投标人可选择整体提交一套，也可选择按采购包分别提供。</w:t>
      </w:r>
      <w:r/>
    </w:p>
    <w:p>
      <w:pPr>
        <w:numPr>
          <w:ilvl w:val="0"/>
          <w:numId w:val="0"/>
        </w:numPr>
        <w:ind w:left="420"/>
        <w:spacing w:line="360" w:lineRule="auto"/>
        <w:widowControl/>
        <w:rPr>
          <w:rFonts w:hint="eastAsia" w:ascii="宋体" w:hAnsi="宋体" w:eastAsia="宋体" w:cs="Times New Roman"/>
          <w:b/>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5.</w:t>
      </w: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样品提交</w:t>
      </w:r>
      <w:r/>
    </w:p>
    <w:p>
      <w:pPr>
        <w:ind w:firstLine="480"/>
        <w:spacing w:line="360" w:lineRule="auto"/>
        <w:widowControl/>
        <w:rPr>
          <w:rFonts w:hint="eastAsia"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（1）投标人提供的样品应为全新的产品。样品提交时间：2026年</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月   </w:t>
      </w:r>
      <w:r>
        <w:rPr>
          <w:rFonts w:hint="eastAsia" w:ascii="宋体" w:hAnsi="宋体" w:cs="Times New Roman"/>
          <w:bCs/>
          <w:color w:val="ff0000"/>
          <w:sz w:val="24"/>
          <w:szCs w:val="24"/>
          <w:highlight w:val="none"/>
          <w:lang w:val="en-US" w:eastAsia="zh-CN" w:bidi="ar-SA"/>
        </w:rPr>
        <w:t xml:space="preserve">16</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日</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上午10</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30-12:00、下午14:00-17</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0。</w:t>
      </w:r>
      <w:r/>
    </w:p>
    <w:p>
      <w:pPr>
        <w:ind w:firstLine="480"/>
        <w:spacing w:line="360" w:lineRule="auto"/>
        <w:widowControl/>
        <w:rPr>
          <w:rFonts w:hint="eastAsia"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样品不显示品牌、制造商及投标单位名称信息。样品制作及运输费用由投标人自行承担，因投标人原因导致样品无法按要求送达指定地点的，责任由投标人自负。</w:t>
      </w:r>
      <w:r/>
    </w:p>
    <w:p>
      <w:pPr>
        <w:ind w:firstLine="480"/>
        <w:spacing w:line="360" w:lineRule="auto"/>
        <w:widowControl/>
        <w:rPr>
          <w:rFonts w:hint="default" w:ascii="宋体" w:hAnsi="宋体" w:eastAsia="宋体" w:cs="Times New Roman"/>
          <w:b/>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5.</w:t>
      </w: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Times New Roman"/>
          <w:b/>
          <w:color w:val="000000" w:themeColor="text1"/>
          <w:sz w:val="24"/>
          <w:szCs w:val="24"/>
          <w:highlight w:val="none"/>
          <w:lang w:val="en-US" w:bidi="ar-SA"/>
          <w14:textFill>
            <w14:solidFill>
              <w14:schemeClr w14:val="tx1"/>
            </w14:solidFill>
          </w14:textFill>
        </w:rPr>
        <w:t xml:space="preserve">采购人接收及退还要求</w:t>
      </w:r>
      <w:r/>
    </w:p>
    <w:p>
      <w:pPr>
        <w:ind w:firstLine="480"/>
        <w:spacing w:line="360" w:lineRule="auto"/>
        <w:widowControl/>
        <w:rPr>
          <w:rFonts w:hint="default"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（1）样品由采购人</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和采购代理机构</w:t>
      </w: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负责接收，每种样品只接收一个。接收地点：宿迁市公共资源交易中心（宿迁市便民方舟2#11楼开标厅，具体房间号按现场指示牌要求执行）。联系人：</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杨</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老师</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，联系方式：13218917936；李许静，联系方式：18036985612。</w:t>
      </w:r>
      <w:r/>
    </w:p>
    <w:p>
      <w:pPr>
        <w:ind w:firstLine="480"/>
        <w:spacing w:line="360" w:lineRule="auto"/>
        <w:widowControl/>
        <w:rPr>
          <w:rFonts w:hint="default"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样品递交截止时间后递交的样品将被拒绝接收。</w:t>
      </w:r>
      <w:r/>
    </w:p>
    <w:p>
      <w:pPr>
        <w:ind w:firstLine="480"/>
        <w:spacing w:line="360" w:lineRule="auto"/>
        <w:widowControl/>
        <w:rPr>
          <w:rFonts w:hint="default" w:ascii="宋体" w:hAnsi="宋体" w:eastAsia="宋体" w:cs="Times New Roman"/>
          <w:bCs/>
          <w:color w:val="000000" w:themeColor="text1"/>
          <w:sz w:val="24"/>
          <w:szCs w:val="24"/>
          <w:highlight w:val="none"/>
          <w:lang w:val="en-US"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bidi="ar-SA"/>
          <w14:textFill>
            <w14:solidFill>
              <w14:schemeClr w14:val="tx1"/>
            </w14:solidFill>
          </w14:textFill>
        </w:rPr>
        <w:t xml:space="preserve">（2）样品的退还。未中标样品在在招标投标活动结束后由投标人自行搬运离开（费用自理）。各投标人应在接到退还通知后，48小时内将样品搬离；超时未取走的，由采购人自行处置。中标人的样品由中标人负责运送到采购人指定地点并封存，作为履约验收参考。</w:t>
      </w:r>
      <w:r/>
    </w:p>
    <w:p>
      <w:pPr>
        <w:ind w:firstLine="480"/>
        <w:jc w:val="left"/>
        <w:spacing w:line="431"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六</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样板间要求</w:t>
      </w:r>
      <w:r/>
    </w:p>
    <w:p>
      <w:pPr>
        <w:ind w:firstLine="480"/>
        <w:jc w:val="left"/>
        <w:spacing w:line="431" w:lineRule="exac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供应商在确定中标后，应按照采购人指定时间、地点，搭建成品样板间，经采购人确认后，方可批量生产。样板间的一切费用（包含安拆、运费等）由供应商自行承担</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jc w:val="left"/>
        <w:spacing w:line="431" w:lineRule="exact"/>
        <w:rPr>
          <w:rFonts w:hint="eastAsia"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采购包1至采购包3共用需求</w:t>
      </w:r>
      <w:r/>
    </w:p>
    <w:p>
      <w:pPr>
        <w:ind w:firstLine="480"/>
        <w:jc w:val="left"/>
        <w:spacing w:line="431"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七</w:t>
      </w:r>
      <w:r>
        <w:rPr>
          <w:rFonts w:hint="eastAsia" w:ascii="宋体" w:hAnsi="宋体" w:cs="宋体"/>
          <w:b/>
          <w:bCs/>
          <w:color w:val="000000" w:themeColor="text1"/>
          <w:sz w:val="24"/>
          <w:highlight w:val="none"/>
          <w14:textFill>
            <w14:solidFill>
              <w14:schemeClr w14:val="tx1"/>
            </w14:solidFill>
          </w14:textFill>
        </w:rPr>
        <w:t xml:space="preserve">、商务要求</w:t>
      </w:r>
      <w:r/>
    </w:p>
    <w:p>
      <w:pPr>
        <w:ind w:firstLine="480"/>
        <w:jc w:val="left"/>
        <w:spacing w:line="431"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（一）供应商要求</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1.服务承诺书从工期保证措施（工期每延误1天罚款5000元）、质量保证措施（提供主材的规格、型号和品牌，质保期不少于</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年）、安全文明保证措施（施工人员指定工作服、施工区域围护等）、有针对性的专项方案。</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2.供应商需承诺其承担的项目在合同期内全部验收合格。</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3.供应商需承诺不得将成交项目转包及其它违规行为，一经发现立即取消供应商资格，并按相关法律法规上报处理。</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4.提供本项目详细家具采购及安装项目供货方案，家具采购及安装项目采购清单报价表。</w:t>
      </w:r>
      <w:r/>
    </w:p>
    <w:p>
      <w:pPr>
        <w:ind w:firstLine="480"/>
        <w:jc w:val="left"/>
        <w:spacing w:line="431"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（二）项目实施要求</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1.该项目为交钥匙工程，项目内容包括及不限于以下内容：家具生产、运输、安装、</w:t>
      </w:r>
      <w:r>
        <w:rPr>
          <w:rFonts w:hint="eastAsia" w:ascii="宋体" w:hAnsi="宋体" w:cs="宋体"/>
          <w:color w:val="000000" w:themeColor="text1"/>
          <w:sz w:val="24"/>
          <w:highlight w:val="none"/>
          <w:lang w:val="en-US" w:eastAsia="zh-CN"/>
          <w14:textFill>
            <w14:solidFill>
              <w14:schemeClr w14:val="tx1"/>
            </w14:solidFill>
          </w14:textFill>
        </w:rPr>
        <w:t xml:space="preserve">二次搬运、</w:t>
      </w:r>
      <w:r>
        <w:rPr>
          <w:rFonts w:hint="eastAsia" w:ascii="宋体" w:hAnsi="宋体" w:cs="宋体"/>
          <w:color w:val="000000" w:themeColor="text1"/>
          <w:sz w:val="24"/>
          <w:highlight w:val="none"/>
          <w14:textFill>
            <w14:solidFill>
              <w14:schemeClr w14:val="tx1"/>
            </w14:solidFill>
          </w14:textFill>
        </w:rPr>
        <w:t xml:space="preserve">后期质保维护</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检测</w:t>
      </w:r>
      <w:r>
        <w:rPr>
          <w:rFonts w:hint="eastAsia" w:ascii="宋体" w:hAnsi="宋体" w:cs="宋体"/>
          <w:color w:val="000000" w:themeColor="text1"/>
          <w:sz w:val="24"/>
          <w:highlight w:val="none"/>
          <w14:textFill>
            <w14:solidFill>
              <w14:schemeClr w14:val="tx1"/>
            </w14:solidFill>
          </w14:textFill>
        </w:rPr>
        <w:t xml:space="preserve">等。</w:t>
      </w:r>
      <w:r/>
    </w:p>
    <w:p>
      <w:pPr>
        <w:ind w:firstLine="480"/>
        <w:jc w:val="left"/>
        <w:spacing w:line="431"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投标单位需要在投标文件中提供所投产品详细参数和相关要求的检测证明材料（产品资料及彩页说明等）。在产品运送到指定地点后，需提供相关产品的检测报告文档，采购人有权随机抽取个别货物送省级检测单位进行破拆检测，并出具相应的检测报告，</w:t>
      </w:r>
      <w:r>
        <w:rPr>
          <w:rFonts w:hint="eastAsia" w:ascii="宋体" w:hAnsi="宋体" w:cs="宋体"/>
          <w:color w:val="000000" w:themeColor="text1"/>
          <w:sz w:val="24"/>
          <w:highlight w:val="none"/>
          <w:lang w:val="en-US" w:eastAsia="zh-CN"/>
          <w14:textFill>
            <w14:solidFill>
              <w14:schemeClr w14:val="tx1"/>
            </w14:solidFill>
          </w14:textFill>
        </w:rPr>
        <w:t xml:space="preserve">检测合格的，检测费用由采购人承担。检测不合格的</w:t>
      </w:r>
      <w:r>
        <w:rPr>
          <w:rFonts w:hint="eastAsia" w:ascii="宋体" w:hAnsi="宋体" w:cs="宋体"/>
          <w:color w:val="000000" w:themeColor="text1"/>
          <w:sz w:val="24"/>
          <w:highlight w:val="none"/>
          <w14:textFill>
            <w14:solidFill>
              <w14:schemeClr w14:val="tx1"/>
            </w14:solidFill>
          </w14:textFill>
        </w:rPr>
        <w:t xml:space="preserve">检测费用及补货费用由中标供应商承担</w:t>
      </w:r>
      <w:r>
        <w:rPr>
          <w:rFonts w:hint="eastAsia" w:ascii="宋体" w:hAnsi="宋体" w:cs="宋体"/>
          <w:color w:val="000000" w:themeColor="text1"/>
          <w:sz w:val="24"/>
          <w:highlight w:val="none"/>
          <w:lang w:eastAsia="zh-CN"/>
          <w14:textFill>
            <w14:solidFill>
              <w14:schemeClr w14:val="tx1"/>
            </w14:solidFill>
          </w14:textFill>
        </w:rPr>
        <w:t xml:space="preserve">，投标人应考虑在投标报价中。</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项目实施方案。投标人应根据招标文件要求，提供质量管理及安装保障措施方案和进度控制方案。</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3.1</w:t>
      </w:r>
      <w:r>
        <w:rPr>
          <w:rFonts w:hint="eastAsia" w:ascii="宋体" w:hAnsi="宋体" w:cs="宋体"/>
          <w:color w:val="000000" w:themeColor="text1"/>
          <w:sz w:val="24"/>
          <w:highlight w:val="none"/>
          <w14:textFill>
            <w14:solidFill>
              <w14:schemeClr w14:val="tx1"/>
            </w14:solidFill>
          </w14:textFill>
        </w:rPr>
        <w:t xml:space="preserve">质量管理及保障方案</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根据本项目特点及现场勘察，制定本项目质量管理及保障措施。质量管理可以包括原材料、生产加工、成品检验、安装等方面，保障措施应能确保施工质量、成品保护等。成品保护方案具有完善的成品保护措施、现场材料和器械管理措施等。该方案应覆盖从生产到安装验收等过程，措施具体、责任到人、流程清晰。</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进度控制方案</w:t>
      </w:r>
      <w:r/>
    </w:p>
    <w:p>
      <w:pPr>
        <w:ind w:firstLine="480"/>
        <w:jc w:val="left"/>
        <w:spacing w:line="431"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按照招标需求合理安排时间，制定进度控制方案。应根据项目需求提供项目进度表，考虑家具的设计、生产、安装等工序所需时间，列出项目设计、材料采购、生产制造、成品包装、物流运输到现场安装等各环节的进度安排，协调生产、包装、运输、供货等各部门之间的合作，确保按期交货。进度控制方案要求进度计划科学、合理，各工序时间估算有依据，逻辑关系明确。</w:t>
      </w:r>
      <w:r/>
    </w:p>
    <w:p>
      <w:pPr>
        <w:ind w:firstLine="480"/>
        <w:jc w:val="left"/>
        <w:spacing w:line="431"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（三）售后服务要求</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1.货物免费质保期不低于</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年，自采购人验收合格之日起计算。</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质保期间，中标人承担维修、保养、安检、调换等，相关费用包含在预算内，采购方不再支付任何费用；如果中标人在质保期内不能按照投标承诺提供保养、维修、调换等服务，采购人有权另找他人进行保养、维修、调换，费用由中标人</w:t>
      </w:r>
      <w:r>
        <w:rPr>
          <w:rFonts w:hint="eastAsia" w:ascii="宋体" w:hAnsi="宋体" w:cs="宋体"/>
          <w:color w:val="000000" w:themeColor="text1"/>
          <w:sz w:val="24"/>
          <w:highlight w:val="none"/>
          <w:lang w:val="en-US" w:eastAsia="zh-CN"/>
          <w14:textFill>
            <w14:solidFill>
              <w14:schemeClr w14:val="tx1"/>
            </w14:solidFill>
          </w14:textFill>
        </w:rPr>
        <w:t xml:space="preserve">双倍</w:t>
      </w:r>
      <w:r>
        <w:rPr>
          <w:rFonts w:hint="eastAsia" w:ascii="宋体" w:hAnsi="宋体" w:cs="宋体"/>
          <w:color w:val="000000" w:themeColor="text1"/>
          <w:sz w:val="24"/>
          <w:highlight w:val="none"/>
          <w14:textFill>
            <w14:solidFill>
              <w14:schemeClr w14:val="tx1"/>
            </w14:solidFill>
          </w14:textFill>
        </w:rPr>
        <w:t xml:space="preserve">承担。</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为所供产品提供终身维护服务及不低于3年原厂免费质保服务（如投标人按照评分办法要求提供原厂免费质保期长于招标文件要求的，按照投标人提供的实际免费质保期执行）。在质保期内，一旦发生质量问题，中标供应商保证在接到通知后的2小时内进行响应，并在8小时内组织人员到现场进行检修，确因产品本身质量问题的，将组织原厂人员进行维修、更换或退货处理，费用由中标供应商负责。产品出现故障 48小时不能修复的，免费提供同等功能的产品供采购人使用，直至故障修复。质保期满后，能根据采购人要求提供充足的备品、备件。</w:t>
      </w:r>
      <w:r/>
    </w:p>
    <w:p>
      <w:pPr>
        <w:ind w:firstLine="480"/>
        <w:jc w:val="left"/>
        <w:spacing w:line="431"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（四）交付要求</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1．中标供应商须在中标后的15天内，按照采购人的要求，于宿迁学院公寓空置房间内建设样板间，所有费用由中标商承担。</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2.交货、交付期限：合同签订后50日历天内送到甲方指定地点完成安装、调试、检测并经验收合格后交付甲方使用（含二次搬运费）。</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4．送货商品和送样样品的一致性比较、与项目需求的各类技术规格比较，如有不符，由供货人整改或换货，造成的损失由供货人承担。</w:t>
      </w:r>
      <w:r/>
    </w:p>
    <w:p>
      <w:pPr>
        <w:ind w:firstLine="480"/>
        <w:jc w:val="left"/>
        <w:spacing w:line="431"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五</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验收要求</w:t>
      </w:r>
      <w:r/>
    </w:p>
    <w:p>
      <w:pPr>
        <w:ind w:firstLine="480"/>
        <w:jc w:val="left"/>
        <w:spacing w:line="431" w:lineRule="exact"/>
        <w:rPr>
          <w:rFonts w:hint="eastAsia" w:ascii="宋体" w:hAnsi="宋体" w:eastAsia="宋体" w:cs="微软雅黑"/>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eastAsia="宋体" w:cs="微软雅黑"/>
          <w:color w:val="000000" w:themeColor="text1"/>
          <w:sz w:val="24"/>
          <w:szCs w:val="24"/>
          <w:highlight w:val="none"/>
          <w14:textFill>
            <w14:solidFill>
              <w14:schemeClr w14:val="tx1"/>
            </w14:solidFill>
          </w14:textFill>
        </w:rPr>
        <w:t xml:space="preserve">中标供应商应按照采购人的要求，提供由质检部门出具的家具（随机抽样）的检测报告。验收标准为：家具主要尺寸及其偏差、形状和位置公差、外观性能要求（</w:t>
      </w:r>
      <w:r>
        <w:rPr>
          <w:rFonts w:hint="eastAsia" w:ascii="宋体" w:hAnsi="宋体" w:eastAsia="宋体" w:cs="微软雅黑"/>
          <w:color w:val="000000" w:themeColor="text1"/>
          <w:sz w:val="24"/>
          <w:szCs w:val="24"/>
          <w:highlight w:val="none"/>
          <w:lang w:val="en-US" w:eastAsia="zh-CN"/>
          <w14:textFill>
            <w14:solidFill>
              <w14:schemeClr w14:val="tx1"/>
            </w14:solidFill>
          </w14:textFill>
        </w:rPr>
        <w:t xml:space="preserve">焊接件、喷漆（塑）涂层、木制件</w:t>
      </w:r>
      <w:r>
        <w:rPr>
          <w:rFonts w:hint="eastAsia" w:ascii="宋体" w:hAnsi="宋体" w:eastAsia="宋体" w:cs="微软雅黑"/>
          <w:color w:val="000000" w:themeColor="text1"/>
          <w:sz w:val="24"/>
          <w:szCs w:val="24"/>
          <w:highlight w:val="none"/>
          <w14:textFill>
            <w14:solidFill>
              <w14:schemeClr w14:val="tx1"/>
            </w14:solidFill>
          </w14:textFill>
        </w:rPr>
        <w:t xml:space="preserve">）、结构安全、金属喷漆（塑）涂层理化性能要求、力学性能、有害物质限量，检测项数值均达到甲方第四章项目需求中的详细标准；如有不符的，由供货人整改或换货，造成所有的损失（包括：因此给采购造成的损失），由供货人承担。采购人有权委托第三方专业检测机构对同种类家具抽检样品</w:t>
      </w:r>
      <w:r>
        <w:rPr>
          <w:rFonts w:hint="eastAsia" w:ascii="宋体" w:hAnsi="宋体" w:cs="微软雅黑"/>
          <w:color w:val="000000" w:themeColor="text1"/>
          <w:sz w:val="24"/>
          <w:szCs w:val="24"/>
          <w:highlight w:val="none"/>
          <w:lang w:eastAsia="zh-CN"/>
          <w14:textFill>
            <w14:solidFill>
              <w14:schemeClr w14:val="tx1"/>
            </w14:solidFill>
          </w14:textFill>
        </w:rPr>
        <w:t xml:space="preserve">（</w:t>
      </w:r>
      <w:r>
        <w:rPr>
          <w:rFonts w:hint="eastAsia" w:ascii="宋体" w:hAnsi="宋体" w:cs="微软雅黑"/>
          <w:color w:val="000000" w:themeColor="text1"/>
          <w:sz w:val="24"/>
          <w:szCs w:val="24"/>
          <w:highlight w:val="none"/>
          <w:lang w:val="en-US" w:eastAsia="zh-CN"/>
          <w14:textFill>
            <w14:solidFill>
              <w14:schemeClr w14:val="tx1"/>
            </w14:solidFill>
          </w14:textFill>
        </w:rPr>
        <w:t xml:space="preserve">采购包1抽取5套、采购包2抽取3套、采购包3抽取2套</w:t>
      </w:r>
      <w:r>
        <w:rPr>
          <w:rFonts w:hint="eastAsia" w:ascii="宋体" w:hAnsi="宋体" w:cs="微软雅黑"/>
          <w:color w:val="000000" w:themeColor="text1"/>
          <w:sz w:val="24"/>
          <w:szCs w:val="24"/>
          <w:highlight w:val="none"/>
          <w:lang w:eastAsia="zh-CN"/>
          <w14:textFill>
            <w14:solidFill>
              <w14:schemeClr w14:val="tx1"/>
            </w14:solidFill>
          </w14:textFill>
        </w:rPr>
        <w:t xml:space="preserve">）</w:t>
      </w:r>
      <w:r>
        <w:rPr>
          <w:rFonts w:hint="eastAsia" w:ascii="宋体" w:hAnsi="宋体" w:eastAsia="宋体" w:cs="微软雅黑"/>
          <w:color w:val="000000" w:themeColor="text1"/>
          <w:sz w:val="24"/>
          <w:szCs w:val="24"/>
          <w:highlight w:val="none"/>
          <w14:textFill>
            <w14:solidFill>
              <w14:schemeClr w14:val="tx1"/>
            </w14:solidFill>
          </w14:textFill>
        </w:rPr>
        <w:t xml:space="preserve">，进行破坏性检测</w:t>
      </w:r>
      <w:r>
        <w:rPr>
          <w:rFonts w:hint="eastAsia" w:ascii="宋体" w:hAnsi="宋体" w:eastAsia="宋体" w:cs="微软雅黑"/>
          <w:color w:val="000000" w:themeColor="text1"/>
          <w:sz w:val="24"/>
          <w:szCs w:val="24"/>
          <w:highlight w:val="none"/>
          <w:lang w:eastAsia="zh-CN"/>
          <w14:textFill>
            <w14:solidFill>
              <w14:schemeClr w14:val="tx1"/>
            </w14:solidFill>
          </w14:textFill>
        </w:rPr>
        <w:t xml:space="preserve">，</w:t>
      </w:r>
      <w:r>
        <w:rPr>
          <w:rFonts w:hint="eastAsia" w:ascii="宋体" w:hAnsi="宋体" w:eastAsia="宋体" w:cs="微软雅黑"/>
          <w:color w:val="000000" w:themeColor="text1"/>
          <w:sz w:val="24"/>
          <w:szCs w:val="24"/>
          <w:highlight w:val="none"/>
          <w:lang w:val="en-US" w:eastAsia="zh-CN"/>
          <w14:textFill>
            <w14:solidFill>
              <w14:schemeClr w14:val="tx1"/>
            </w14:solidFill>
          </w14:textFill>
        </w:rPr>
        <w:t xml:space="preserve">样品检测合格，检测费用由采购</w:t>
      </w:r>
      <w:r>
        <w:rPr>
          <w:rFonts w:hint="eastAsia" w:ascii="宋体" w:hAnsi="宋体" w:eastAsia="宋体" w:cs="微软雅黑"/>
          <w:color w:val="000000" w:themeColor="text1"/>
          <w:sz w:val="24"/>
          <w:szCs w:val="24"/>
          <w:highlight w:val="none"/>
          <w14:textFill>
            <w14:solidFill>
              <w14:schemeClr w14:val="tx1"/>
            </w14:solidFill>
          </w14:textFill>
        </w:rPr>
        <w:t xml:space="preserve">人</w:t>
      </w:r>
      <w:r>
        <w:rPr>
          <w:rFonts w:hint="eastAsia" w:ascii="宋体" w:hAnsi="宋体" w:eastAsia="宋体" w:cs="微软雅黑"/>
          <w:color w:val="000000" w:themeColor="text1"/>
          <w:sz w:val="24"/>
          <w:szCs w:val="24"/>
          <w:highlight w:val="none"/>
          <w:lang w:val="en-US" w:eastAsia="zh-CN"/>
          <w14:textFill>
            <w14:solidFill>
              <w14:schemeClr w14:val="tx1"/>
            </w14:solidFill>
          </w14:textFill>
        </w:rPr>
        <w:t xml:space="preserve">承担。样品检测不合格，检测费用由</w:t>
      </w:r>
      <w:r>
        <w:rPr>
          <w:rFonts w:hint="eastAsia" w:ascii="宋体" w:hAnsi="宋体" w:eastAsia="宋体" w:cs="微软雅黑"/>
          <w:color w:val="000000" w:themeColor="text1"/>
          <w:sz w:val="24"/>
          <w:szCs w:val="24"/>
          <w:highlight w:val="none"/>
          <w14:textFill>
            <w14:solidFill>
              <w14:schemeClr w14:val="tx1"/>
            </w14:solidFill>
          </w14:textFill>
        </w:rPr>
        <w:t xml:space="preserve">供货人</w:t>
      </w:r>
      <w:r>
        <w:rPr>
          <w:rFonts w:hint="eastAsia" w:ascii="宋体" w:hAnsi="宋体" w:eastAsia="宋体" w:cs="微软雅黑"/>
          <w:color w:val="000000" w:themeColor="text1"/>
          <w:sz w:val="24"/>
          <w:szCs w:val="24"/>
          <w:highlight w:val="none"/>
          <w:lang w:val="en-US" w:eastAsia="zh-CN"/>
          <w14:textFill>
            <w14:solidFill>
              <w14:schemeClr w14:val="tx1"/>
            </w14:solidFill>
          </w14:textFill>
        </w:rPr>
        <w:t xml:space="preserve">承担。</w:t>
      </w:r>
      <w:r/>
    </w:p>
    <w:p>
      <w:pPr>
        <w:ind w:firstLine="360"/>
        <w:jc w:val="left"/>
        <w:spacing w:line="431" w:lineRule="exact"/>
        <w:rPr>
          <w:rFonts w:hint="eastAsia" w:ascii="宋体" w:hAnsi="宋体" w:eastAsia="宋体" w:cs="微软雅黑"/>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如质量达不到招标文件和国家有关质量标准要求，采购人将视情况严重程度要求整改或赔偿。对于情况不严重将由供应商免费整改。如果情况严重，采购人将责成供应商全部更换，直到达到招标文件和国家有关质量标准为止，由此造成的全部损失将由供应商自行承担。此外，采购人认为有必要的情形下（包括但不限于中标供应商未及时提供检测报告、采购人对中标供应商提供的检测报告有异议等），采购人还可请国家认可的专业检测机构参与初步验收及最终验收，并由其出具质量检测报告</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微软雅黑"/>
          <w:color w:val="000000" w:themeColor="text1"/>
          <w:sz w:val="24"/>
          <w:szCs w:val="24"/>
          <w:highlight w:val="none"/>
          <w:lang w:val="en-US" w:eastAsia="zh-CN" w:bidi="ar-SA"/>
          <w14:textFill>
            <w14:solidFill>
              <w14:schemeClr w14:val="tx1"/>
            </w14:solidFill>
          </w14:textFill>
        </w:rPr>
        <w:t xml:space="preserve">检测合格，检测费用由采购人承担。样品检测不合格，检测费用由供货人承担。</w:t>
      </w:r>
      <w:r/>
    </w:p>
    <w:p>
      <w:pPr>
        <w:ind w:firstLine="480"/>
        <w:jc w:val="left"/>
        <w:spacing w:line="431" w:lineRule="exact"/>
        <w:rPr>
          <w:rFonts w:hint="eastAsia" w:ascii="宋体" w:hAnsi="宋体" w:eastAsia="宋体" w:cs="微软雅黑"/>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采购单位代表</w:t>
      </w:r>
      <w:r>
        <w:rPr>
          <w:rFonts w:hint="eastAsia" w:ascii="宋体" w:hAnsi="宋体"/>
          <w:color w:val="000000" w:themeColor="text1"/>
          <w:sz w:val="24"/>
          <w:szCs w:val="24"/>
          <w:highlight w:val="none"/>
          <w14:textFill>
            <w14:solidFill>
              <w14:schemeClr w14:val="tx1"/>
            </w14:solidFill>
          </w14:textFill>
        </w:rPr>
        <w:t xml:space="preserve">可</w:t>
      </w:r>
      <w:r>
        <w:rPr>
          <w:rFonts w:ascii="宋体" w:hAnsi="宋体"/>
          <w:color w:val="000000" w:themeColor="text1"/>
          <w:sz w:val="24"/>
          <w:szCs w:val="24"/>
          <w:highlight w:val="none"/>
          <w14:textFill>
            <w14:solidFill>
              <w14:schemeClr w14:val="tx1"/>
            </w14:solidFill>
          </w14:textFill>
        </w:rPr>
        <w:t xml:space="preserve">在生产过程中到生产现场查看本项目所有制作材料的型号和进货清单等书面材料及原始凭证，中标供应商在基材备货完成阶段和货物生产完成30%阶段，及时告知采购人，以便采购人安排现场监督。</w:t>
      </w:r>
      <w:r/>
    </w:p>
    <w:p>
      <w:pPr>
        <w:ind w:firstLine="480"/>
        <w:jc w:val="left"/>
        <w:spacing w:line="431" w:lineRule="exac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（4）中标供应商需在货物安装结束后，验收前由具有相关资质的专业检测机构依据GB/T 18883-2022标准进行空气检测，抽检数量为10%的房间数，并出具空气环境检测报告，检测费用由中标供应商承担。如交货安装完成后空气检测不合格，由中标供应商进行整改，在招标文件规定的合同期限内达到国家空气健康标准；如仍不合格，采购人有权拒付货款并要求中标供应商承担由此所造成的一切损失。</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5．中标供应商在最终验收合格之后，向采购人提供装箱清单、测试报告、产品合格证、使用说明书、保养、维护所</w:t>
      </w:r>
      <w:r>
        <w:rPr>
          <w:rFonts w:hint="eastAsia" w:ascii="宋体" w:hAnsi="宋体" w:cs="宋体"/>
          <w:color w:val="000000" w:themeColor="text1"/>
          <w:sz w:val="24"/>
          <w:highlight w:val="none"/>
          <w:lang w:val="en-US" w:eastAsia="zh-CN"/>
          <w14:textFill>
            <w14:solidFill>
              <w14:schemeClr w14:val="tx1"/>
            </w14:solidFill>
          </w14:textFill>
        </w:rPr>
        <w:t xml:space="preserve">需要</w:t>
      </w:r>
      <w:r>
        <w:rPr>
          <w:rFonts w:hint="eastAsia" w:ascii="宋体" w:hAnsi="宋体" w:cs="宋体"/>
          <w:color w:val="000000" w:themeColor="text1"/>
          <w:sz w:val="24"/>
          <w:highlight w:val="none"/>
          <w14:textFill>
            <w14:solidFill>
              <w14:schemeClr w14:val="tx1"/>
            </w14:solidFill>
          </w14:textFill>
        </w:rPr>
        <w:t xml:space="preserve">的资料。供货商无条件配合甲方聘请的监理单位、审计单位参与进行的验收工作。</w:t>
      </w:r>
      <w:r/>
    </w:p>
    <w:p>
      <w:pPr>
        <w:ind w:firstLine="480"/>
        <w:jc w:val="left"/>
        <w:spacing w:line="431"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五</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投标人履约能力及其他要求</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.1投标人或所投产品制造商具有完成本项目所需的生产设备，如</w:t>
      </w:r>
      <w:r>
        <w:rPr>
          <w:rFonts w:hint="eastAsia" w:ascii="宋体" w:hAnsi="宋体" w:cs="宋体"/>
          <w:color w:val="000000" w:themeColor="text1"/>
          <w:sz w:val="24"/>
          <w:highlight w:val="none"/>
          <w:lang w:val="en-US" w:eastAsia="zh-CN"/>
          <w14:textFill>
            <w14:solidFill>
              <w14:schemeClr w14:val="tx1"/>
            </w14:solidFill>
          </w14:textFill>
        </w:rPr>
        <w:t xml:space="preserve">激光切割设备、焊接机器人（自动焊接设备）、喷涂生产线、数控弯管机、数控板材开料锯、自动封边机</w:t>
      </w:r>
      <w:r>
        <w:rPr>
          <w:rFonts w:hint="eastAsia" w:ascii="宋体" w:hAnsi="宋体" w:cs="宋体"/>
          <w:color w:val="000000" w:themeColor="text1"/>
          <w:sz w:val="24"/>
          <w:highlight w:val="none"/>
          <w14:textFill>
            <w14:solidFill>
              <w14:schemeClr w14:val="tx1"/>
            </w14:solidFill>
          </w14:textFill>
        </w:rPr>
        <w:t xml:space="preserve">等具有相同或类似功能的设备。</w:t>
      </w:r>
      <w:r/>
    </w:p>
    <w:p>
      <w:p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投标人提供自202</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年1月1日以来（以合同签订时间为准）销售、供货及安装与本项目类似的成功案例</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根据评分办法具体内容提供证明材料</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431" w:lineRule="exact"/>
        <w:rPr>
          <w:rFonts w:hint="eastAsia"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六</w:t>
      </w:r>
      <w:r>
        <w:rPr>
          <w:rFonts w:hint="eastAsia" w:ascii="宋体" w:hAnsi="宋体" w:cs="宋体"/>
          <w:b/>
          <w:bCs/>
          <w:color w:val="000000" w:themeColor="text1"/>
          <w:sz w:val="24"/>
          <w:highlight w:val="none"/>
          <w:lang w:eastAsia="zh-CN"/>
          <w14:textFill>
            <w14:solidFill>
              <w14:schemeClr w14:val="tx1"/>
            </w14:solidFill>
          </w14:textFill>
        </w:rPr>
        <w:t xml:space="preserve">）履约保证金</w:t>
      </w:r>
      <w:r/>
    </w:p>
    <w:p>
      <w:pPr>
        <w:ind w:firstLine="480"/>
        <w:spacing w:line="480" w:lineRule="exact"/>
        <w:rPr>
          <w:rFonts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lang w:val="en-US" w:eastAsia="zh-CN"/>
          <w14:textFill>
            <w14:solidFill>
              <w14:schemeClr w14:val="tx1"/>
            </w14:solidFill>
          </w14:textFill>
        </w:rPr>
        <w:t xml:space="preserve">1、</w:t>
      </w:r>
      <w:r>
        <w:rPr>
          <w:rFonts w:hint="eastAsia" w:ascii="Times New Roman" w:hAnsi="Times New Roman" w:cs="仿宋"/>
          <w:color w:val="000000" w:themeColor="text1"/>
          <w:sz w:val="24"/>
          <w:highlight w:val="none"/>
          <w14:textFill>
            <w14:solidFill>
              <w14:schemeClr w14:val="tx1"/>
            </w14:solidFill>
          </w14:textFill>
        </w:rPr>
        <w:t xml:space="preserve">履约保证金提交形式</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lang w:val="en-US" w:eastAsia="zh-CN"/>
          <w14:textFill>
            <w14:solidFill>
              <w14:schemeClr w14:val="tx1"/>
            </w14:solidFill>
          </w14:textFill>
        </w:rPr>
        <w:t xml:space="preserve">2、</w:t>
      </w:r>
      <w:r>
        <w:rPr>
          <w:rFonts w:hint="eastAsia" w:ascii="Times New Roman" w:hAnsi="Times New Roman" w:cs="仿宋"/>
          <w:color w:val="000000" w:themeColor="text1"/>
          <w:sz w:val="24"/>
          <w:highlight w:val="none"/>
          <w14:textFill>
            <w14:solidFill>
              <w14:schemeClr w14:val="tx1"/>
            </w14:solidFill>
          </w14:textFill>
        </w:rPr>
        <w:t xml:space="preserve">履约保证金提交金额</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按采购合同总价的</w:t>
      </w:r>
      <w:r>
        <w:rPr>
          <w:rFonts w:hint="eastAsia" w:ascii="Times New Roman" w:hAnsi="Times New Roman" w:cs="仿宋"/>
          <w:color w:val="000000" w:themeColor="text1"/>
          <w:sz w:val="24"/>
          <w:highlight w:val="none"/>
          <w:u w:val="single"/>
          <w14:textFill>
            <w14:solidFill>
              <w14:schemeClr w14:val="tx1"/>
            </w14:solidFill>
          </w14:textFill>
        </w:rPr>
        <w:t xml:space="preserve">10</w:t>
      </w:r>
      <w:r>
        <w:rPr>
          <w:rFonts w:hint="eastAsia" w:ascii="Times New Roman" w:hAnsi="Times New Roman" w:cs="仿宋"/>
          <w:color w:val="000000" w:themeColor="text1"/>
          <w:sz w:val="24"/>
          <w:highlight w:val="none"/>
          <w14:textFill>
            <w14:solidFill>
              <w14:schemeClr w14:val="tx1"/>
            </w14:solidFill>
          </w14:textFill>
        </w:rPr>
        <w:t xml:space="preserve">%提交。</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themeColor="text1"/>
          <w:sz w:val="24"/>
          <w:highlight w:val="none"/>
          <w:u w:val="single"/>
          <w14:textFill>
            <w14:solidFill>
              <w14:schemeClr w14:val="tx1"/>
            </w14:solidFill>
          </w14:textFill>
        </w:rPr>
        <w:t xml:space="preserve">6</w:t>
      </w:r>
      <w:r>
        <w:rPr>
          <w:rFonts w:hint="eastAsia" w:ascii="Times New Roman" w:hAnsi="Times New Roman" w:cs="仿宋"/>
          <w:color w:val="000000" w:themeColor="text1"/>
          <w:sz w:val="24"/>
          <w:highlight w:val="none"/>
          <w14:textFill>
            <w14:solidFill>
              <w14:schemeClr w14:val="tx1"/>
            </w14:solidFill>
          </w14:textFill>
        </w:rPr>
        <w:t xml:space="preserve">%提交。办理流程、偿付等内容见江苏政府采购网“保险保函”模块。</w:t>
      </w:r>
      <w:r/>
    </w:p>
    <w:p>
      <w:pPr>
        <w:ind w:firstLine="480"/>
        <w:spacing w:line="480" w:lineRule="exact"/>
        <w:rPr>
          <w:rFonts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lang w:val="en-US" w:eastAsia="zh-CN"/>
          <w14:textFill>
            <w14:solidFill>
              <w14:schemeClr w14:val="tx1"/>
            </w14:solidFill>
          </w14:textFill>
        </w:rPr>
        <w:t xml:space="preserve">3、</w:t>
      </w:r>
      <w:r>
        <w:rPr>
          <w:rFonts w:hint="eastAsia" w:ascii="Times New Roman" w:hAnsi="Times New Roman" w:cs="仿宋"/>
          <w:color w:val="000000" w:themeColor="text1"/>
          <w:sz w:val="24"/>
          <w:highlight w:val="none"/>
          <w14:textFill>
            <w14:solidFill>
              <w14:schemeClr w14:val="tx1"/>
            </w14:solidFill>
          </w14:textFill>
        </w:rPr>
        <w:t xml:space="preserve">履约保证金退还方式</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lang w:val="en-US" w:eastAsia="zh-CN"/>
          <w14:textFill>
            <w14:solidFill>
              <w14:schemeClr w14:val="tx1"/>
            </w14:solidFill>
          </w14:textFill>
        </w:rPr>
        <w:t xml:space="preserve">4、</w:t>
      </w:r>
      <w:r>
        <w:rPr>
          <w:rFonts w:hint="eastAsia" w:ascii="Times New Roman" w:hAnsi="Times New Roman" w:cs="仿宋"/>
          <w:color w:val="000000" w:themeColor="text1"/>
          <w:sz w:val="24"/>
          <w:highlight w:val="none"/>
          <w14:textFill>
            <w14:solidFill>
              <w14:schemeClr w14:val="tx1"/>
            </w14:solidFill>
          </w14:textFill>
        </w:rPr>
        <w:t xml:space="preserve">履约保证金退还条件</w:t>
      </w:r>
      <w:r/>
    </w:p>
    <w:p>
      <w:pPr>
        <w:ind w:firstLine="480"/>
        <w:spacing w:line="480" w:lineRule="exact"/>
        <w:rPr>
          <w:rFonts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具有验收合格相关证明材料。</w:t>
      </w:r>
      <w:r/>
    </w:p>
    <w:p>
      <w:pPr>
        <w:ind w:firstLine="480"/>
        <w:spacing w:line="480" w:lineRule="exact"/>
        <w:rPr>
          <w:rFonts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lang w:val="en-US" w:eastAsia="zh-CN"/>
          <w14:textFill>
            <w14:solidFill>
              <w14:schemeClr w14:val="tx1"/>
            </w14:solidFill>
          </w14:textFill>
        </w:rPr>
        <w:t xml:space="preserve">5、</w:t>
      </w:r>
      <w:r>
        <w:rPr>
          <w:rFonts w:hint="eastAsia" w:ascii="Times New Roman" w:hAnsi="Times New Roman" w:cs="仿宋"/>
          <w:color w:val="000000" w:themeColor="text1"/>
          <w:sz w:val="24"/>
          <w:highlight w:val="none"/>
          <w14:textFill>
            <w14:solidFill>
              <w14:schemeClr w14:val="tx1"/>
            </w14:solidFill>
          </w14:textFill>
        </w:rPr>
        <w:t xml:space="preserve">履约保证金退还时间</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采购人收到投标人退付申请后5个工作日内退还。</w:t>
      </w:r>
      <w:r/>
    </w:p>
    <w:p>
      <w:pPr>
        <w:ind w:firstLine="480"/>
        <w:spacing w:line="480" w:lineRule="exact"/>
        <w:rPr>
          <w:rFonts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6</w:t>
      </w:r>
      <w:r>
        <w:rPr>
          <w:rFonts w:hint="eastAsia" w:ascii="Times New Roman" w:hAnsi="Times New Roman" w:cs="仿宋"/>
          <w:color w:val="000000" w:themeColor="text1"/>
          <w:sz w:val="24"/>
          <w:highlight w:val="none"/>
          <w:lang w:eastAsia="zh-CN"/>
          <w14:textFill>
            <w14:solidFill>
              <w14:schemeClr w14:val="tx1"/>
            </w14:solidFill>
          </w14:textFill>
        </w:rPr>
        <w:t xml:space="preserve">、</w:t>
      </w:r>
      <w:r>
        <w:rPr>
          <w:rFonts w:hint="eastAsia" w:ascii="Times New Roman" w:hAnsi="Times New Roman" w:cs="仿宋"/>
          <w:color w:val="000000" w:themeColor="text1"/>
          <w:sz w:val="24"/>
          <w:highlight w:val="none"/>
          <w14:textFill>
            <w14:solidFill>
              <w14:schemeClr w14:val="tx1"/>
            </w14:solidFill>
          </w14:textFill>
        </w:rPr>
        <w:t xml:space="preserve">履约保证金不予退还情形</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lang w:val="en-US" w:eastAsia="zh-CN"/>
          <w14:textFill>
            <w14:solidFill>
              <w14:schemeClr w14:val="tx1"/>
            </w14:solidFill>
          </w14:textFill>
        </w:rPr>
        <w:t xml:space="preserve">7、</w:t>
      </w:r>
      <w:r>
        <w:rPr>
          <w:rFonts w:hint="eastAsia" w:ascii="Times New Roman" w:hAnsi="Times New Roman" w:cs="仿宋"/>
          <w:color w:val="000000" w:themeColor="text1"/>
          <w:sz w:val="24"/>
          <w:highlight w:val="none"/>
          <w14:textFill>
            <w14:solidFill>
              <w14:schemeClr w14:val="tx1"/>
            </w14:solidFill>
          </w14:textFill>
        </w:rPr>
        <w:t xml:space="preserve">逾期退还履约保证金违约责任</w:t>
      </w:r>
      <w:r/>
    </w:p>
    <w:p>
      <w:pPr>
        <w:ind w:firstLine="480"/>
        <w:spacing w:line="480" w:lineRule="exact"/>
        <w:rPr>
          <w:rFonts w:hint="eastAsia" w:ascii="宋体" w:hAnsi="宋体" w:cs="宋体"/>
          <w:color w:val="000000" w:themeColor="text1"/>
          <w:sz w:val="24"/>
          <w:highlight w:val="none"/>
          <w:lang w:val="en-US" w:eastAsia="zh-CN"/>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采购人逾期退还履约保证金的，除应退还履约保证金外，还应按中国人民银行同期贷款基准利率上浮20％后的利率支付超期资金占用费，但因投标人自身原因导致无法及时退还的除外。</w:t>
      </w:r>
      <w:r/>
    </w:p>
    <w:p>
      <w:pPr>
        <w:numPr>
          <w:ilvl w:val="0"/>
          <w:numId w:val="16"/>
        </w:numPr>
        <w:ind w:firstLine="480"/>
        <w:jc w:val="left"/>
        <w:spacing w:line="431" w:lineRule="exact"/>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付款方式：</w:t>
      </w:r>
      <w:r/>
    </w:p>
    <w:p>
      <w:pPr>
        <w:numPr>
          <w:ilvl w:val="0"/>
          <w:numId w:val="0"/>
        </w:numPr>
        <w:ind w:firstLine="480"/>
        <w:jc w:val="left"/>
        <w:spacing w:line="431"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签订合同后，</w:t>
      </w:r>
      <w:r>
        <w:rPr>
          <w:rFonts w:hint="eastAsia" w:ascii="宋体" w:hAnsi="宋体" w:cs="宋体"/>
          <w:color w:val="000000" w:themeColor="text1"/>
          <w:sz w:val="24"/>
          <w:highlight w:val="none"/>
          <w:lang w:val="en-US" w:eastAsia="zh-CN"/>
          <w14:textFill>
            <w14:solidFill>
              <w14:schemeClr w14:val="tx1"/>
            </w14:solidFill>
          </w14:textFill>
        </w:rPr>
        <w:t xml:space="preserve">采购</w:t>
      </w:r>
      <w:r>
        <w:rPr>
          <w:rFonts w:hint="eastAsia" w:ascii="宋体" w:hAnsi="宋体" w:cs="宋体"/>
          <w:color w:val="000000" w:themeColor="text1"/>
          <w:sz w:val="24"/>
          <w:highlight w:val="none"/>
          <w14:textFill>
            <w14:solidFill>
              <w14:schemeClr w14:val="tx1"/>
            </w14:solidFill>
          </w14:textFill>
        </w:rPr>
        <w:t xml:space="preserve">人</w:t>
      </w:r>
      <w:r>
        <w:rPr>
          <w:rFonts w:hint="eastAsia" w:ascii="Times New Roman" w:hAnsi="Times New Roman" w:eastAsia="宋体" w:cs="Times New Roman"/>
          <w:color w:val="000000" w:themeColor="text1"/>
          <w:sz w:val="24"/>
          <w:szCs w:val="21"/>
          <w:highlight w:val="none"/>
          <w14:textFill>
            <w14:solidFill>
              <w14:schemeClr w14:val="tx1"/>
            </w14:solidFill>
          </w14:textFill>
        </w:rPr>
        <w:t xml:space="preserve">收到</w:t>
      </w:r>
      <w:r>
        <w:rPr>
          <w:rFonts w:hint="eastAsia" w:ascii="Times New Roman" w:hAnsi="Times New Roman" w:cs="Times New Roman"/>
          <w:color w:val="000000" w:themeColor="text1"/>
          <w:sz w:val="24"/>
          <w:szCs w:val="21"/>
          <w:highlight w:val="none"/>
          <w:lang w:val="en-US" w:eastAsia="zh-CN"/>
          <w14:textFill>
            <w14:solidFill>
              <w14:schemeClr w14:val="tx1"/>
            </w14:solidFill>
          </w14:textFill>
        </w:rPr>
        <w:t xml:space="preserve">中标</w:t>
      </w:r>
      <w:r>
        <w:rPr>
          <w:rFonts w:hint="eastAsia" w:ascii="Times New Roman" w:hAnsi="Times New Roman" w:eastAsia="宋体" w:cs="Times New Roman"/>
          <w:color w:val="000000" w:themeColor="text1"/>
          <w:sz w:val="24"/>
          <w:szCs w:val="21"/>
          <w:highlight w:val="none"/>
          <w14:textFill>
            <w14:solidFill>
              <w14:schemeClr w14:val="tx1"/>
            </w14:solidFill>
          </w14:textFill>
        </w:rPr>
        <w:t xml:space="preserve">供应商发票10</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个</w:t>
      </w:r>
      <w:r>
        <w:rPr>
          <w:rFonts w:hint="eastAsia" w:ascii="Times New Roman" w:hAnsi="Times New Roman" w:eastAsia="宋体" w:cs="Times New Roman"/>
          <w:color w:val="000000" w:themeColor="text1"/>
          <w:sz w:val="24"/>
          <w:szCs w:val="21"/>
          <w:highlight w:val="none"/>
          <w14:textFill>
            <w14:solidFill>
              <w14:schemeClr w14:val="tx1"/>
            </w14:solidFill>
          </w14:textFill>
        </w:rPr>
        <w:t xml:space="preserve">工作日内</w:t>
      </w:r>
      <w:r>
        <w:rPr>
          <w:rFonts w:hint="eastAsia" w:ascii="宋体" w:hAnsi="宋体" w:cs="宋体"/>
          <w:color w:val="000000" w:themeColor="text1"/>
          <w:sz w:val="24"/>
          <w:highlight w:val="none"/>
          <w14:textFill>
            <w14:solidFill>
              <w14:schemeClr w14:val="tx1"/>
            </w14:solidFill>
          </w14:textFill>
        </w:rPr>
        <w:t xml:space="preserve">支付合同总价款的30%作为预付款。货到现场，采购人委托第三方专业检测机构进行抽样检测，对家具进行破坏性抽检，对基材、五金配件及各项指标是否按照招标文件要求进行检测抽查，家具安装调试结束，采购人验收合格后，</w:t>
      </w:r>
      <w:r>
        <w:rPr>
          <w:rFonts w:hint="eastAsia" w:ascii="Times New Roman" w:hAnsi="Times New Roman" w:eastAsia="宋体" w:cs="Times New Roman"/>
          <w:color w:val="000000" w:themeColor="text1"/>
          <w:sz w:val="24"/>
          <w:szCs w:val="21"/>
          <w:highlight w:val="none"/>
          <w14:textFill>
            <w14:solidFill>
              <w14:schemeClr w14:val="tx1"/>
            </w14:solidFill>
          </w14:textFill>
        </w:rPr>
        <w:t xml:space="preserve">收到</w:t>
      </w:r>
      <w:r>
        <w:rPr>
          <w:rFonts w:hint="eastAsia" w:ascii="Times New Roman" w:hAnsi="Times New Roman" w:cs="Times New Roman"/>
          <w:color w:val="000000" w:themeColor="text1"/>
          <w:sz w:val="24"/>
          <w:szCs w:val="21"/>
          <w:highlight w:val="none"/>
          <w:lang w:val="en-US" w:eastAsia="zh-CN"/>
          <w14:textFill>
            <w14:solidFill>
              <w14:schemeClr w14:val="tx1"/>
            </w14:solidFill>
          </w14:textFill>
        </w:rPr>
        <w:t xml:space="preserve">中标</w:t>
      </w:r>
      <w:r>
        <w:rPr>
          <w:rFonts w:hint="eastAsia" w:ascii="Times New Roman" w:hAnsi="Times New Roman" w:eastAsia="宋体" w:cs="Times New Roman"/>
          <w:color w:val="000000" w:themeColor="text1"/>
          <w:sz w:val="24"/>
          <w:szCs w:val="21"/>
          <w:highlight w:val="none"/>
          <w14:textFill>
            <w14:solidFill>
              <w14:schemeClr w14:val="tx1"/>
            </w14:solidFill>
          </w14:textFill>
        </w:rPr>
        <w:t xml:space="preserve">供应商发票10</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个</w:t>
      </w:r>
      <w:r>
        <w:rPr>
          <w:rFonts w:hint="eastAsia" w:ascii="Times New Roman" w:hAnsi="Times New Roman" w:eastAsia="宋体" w:cs="Times New Roman"/>
          <w:color w:val="000000" w:themeColor="text1"/>
          <w:sz w:val="24"/>
          <w:szCs w:val="21"/>
          <w:highlight w:val="none"/>
          <w14:textFill>
            <w14:solidFill>
              <w14:schemeClr w14:val="tx1"/>
            </w14:solidFill>
          </w14:textFill>
        </w:rPr>
        <w:t xml:space="preserve">工作日内</w:t>
      </w:r>
      <w:r>
        <w:rPr>
          <w:rFonts w:hint="eastAsia" w:ascii="宋体" w:hAnsi="宋体" w:cs="宋体"/>
          <w:color w:val="000000" w:themeColor="text1"/>
          <w:sz w:val="24"/>
          <w:highlight w:val="none"/>
          <w14:textFill>
            <w14:solidFill>
              <w14:schemeClr w14:val="tx1"/>
            </w14:solidFill>
          </w14:textFill>
        </w:rPr>
        <w:t xml:space="preserve">付至合同总价款的100%。</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微软雅黑"/>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710"/>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r>
      <w:r/>
    </w:p>
    <w:p>
      <w:pPr>
        <w:ind w:firstLine="480"/>
        <w:jc w:val="center"/>
        <w:spacing w:line="360" w:lineRule="auto"/>
        <w:rPr>
          <w:rFonts w:hint="eastAsia" w:ascii="黑体" w:hAnsi="Times New Roman" w:eastAsia="黑体"/>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t xml:space="preserve">第五章  </w:t>
      </w:r>
      <w:r>
        <w:rPr>
          <w:rFonts w:hint="eastAsia" w:ascii="黑体" w:hAnsi="Times New Roman" w:eastAsia="黑体"/>
          <w:b/>
          <w:bCs/>
          <w:color w:val="000000" w:themeColor="text1"/>
          <w:sz w:val="44"/>
          <w:szCs w:val="28"/>
          <w:highlight w:val="none"/>
          <w14:textFill>
            <w14:solidFill>
              <w14:schemeClr w14:val="tx1"/>
            </w14:solidFill>
          </w14:textFill>
        </w:rPr>
        <w:t xml:space="preserve">评标方法与评标标准</w:t>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ind w:firstLine="480"/>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采用综合评分法的，评标结果按评审后得分由高到低顺序排列。得分相同的，按投标报价由低到高顺序排列。得分且投标报价相同的并列。</w:t>
      </w:r>
      <w:r/>
    </w:p>
    <w:tbl>
      <w:tblPr>
        <w:tblStyle w:val="705"/>
        <w:tblW w:w="7083"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采购包号</w:t>
            </w:r>
            <w:r/>
          </w:p>
        </w:tc>
        <w:tc>
          <w:tcPr>
            <w:tcW w:w="1610"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选取</w:t>
            </w: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中标候选人数量</w:t>
            </w:r>
            <w:r/>
          </w:p>
        </w:tc>
        <w:tc>
          <w:tcPr>
            <w:tcW w:w="4325"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选取</w:t>
            </w: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中标候选人的原则</w:t>
            </w:r>
            <w:r/>
          </w:p>
        </w:tc>
      </w:tr>
      <w:tr>
        <w:trPr/>
        <w:tc>
          <w:tcPr>
            <w:tcW w:w="1148"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1</w:t>
            </w:r>
            <w:r/>
          </w:p>
        </w:tc>
        <w:tc>
          <w:tcPr>
            <w:tcW w:w="1610" w:type="dxa"/>
            <w:vAlign w:val="center"/>
            <w:textDirection w:val="lrTb"/>
            <w:noWrap w:val="false"/>
          </w:tcPr>
          <w:p>
            <w:pPr>
              <w:jc w:val="center"/>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1</w:t>
            </w:r>
            <w:r/>
          </w:p>
        </w:tc>
        <w:tc>
          <w:tcPr>
            <w:tcW w:w="4325"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满足招标文件全部实质性要求，且按照评审因素的量化指标评审得分最高的投标人为中标候选人。</w:t>
            </w:r>
            <w:r/>
          </w:p>
        </w:tc>
      </w:tr>
      <w:tr>
        <w:trPr/>
        <w:tc>
          <w:tcPr>
            <w:tcW w:w="1148" w:type="dxa"/>
            <w:vAlign w:val="center"/>
            <w:textDirection w:val="lrTb"/>
            <w:noWrap w:val="false"/>
          </w:tcPr>
          <w:p>
            <w:pPr>
              <w:jc w:val="center"/>
              <w:widowControl w:val="off"/>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s="Times New Roman"/>
                <w:color w:val="000000" w:themeColor="text1"/>
                <w:sz w:val="21"/>
                <w:szCs w:val="21"/>
                <w:highlight w:val="none"/>
                <w:lang w:val="en-US" w:eastAsia="zh-CN" w:bidi="ar-SA"/>
                <w14:textFill>
                  <w14:solidFill>
                    <w14:schemeClr w14:val="tx1"/>
                  </w14:solidFill>
                </w14:textFill>
              </w:rPr>
              <w:t xml:space="preserve">2</w:t>
            </w:r>
            <w:r/>
          </w:p>
        </w:tc>
        <w:tc>
          <w:tcPr>
            <w:tcW w:w="1610" w:type="dxa"/>
            <w:vAlign w:val="center"/>
            <w:textDirection w:val="lrTb"/>
            <w:noWrap w:val="false"/>
          </w:tcPr>
          <w:p>
            <w:pPr>
              <w:jc w:val="center"/>
              <w:widowControl w:val="off"/>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s="Times New Roman"/>
                <w:color w:val="000000" w:themeColor="text1"/>
                <w:sz w:val="21"/>
                <w:szCs w:val="21"/>
                <w:highlight w:val="none"/>
                <w:lang w:val="en-US" w:eastAsia="zh-CN" w:bidi="ar-SA"/>
                <w14:textFill>
                  <w14:solidFill>
                    <w14:schemeClr w14:val="tx1"/>
                  </w14:solidFill>
                </w14:textFill>
              </w:rPr>
              <w:t xml:space="preserve">1</w:t>
            </w:r>
            <w:r/>
          </w:p>
        </w:tc>
        <w:tc>
          <w:tcPr>
            <w:tcW w:w="4325"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满足招标文件全部实质性要求，且按照评审因素的量化指标评审得分最高的投标人为中标候选人。</w:t>
            </w:r>
            <w:r/>
          </w:p>
        </w:tc>
      </w:tr>
      <w:tr>
        <w:trPr/>
        <w:tc>
          <w:tcPr>
            <w:tcW w:w="1148" w:type="dxa"/>
            <w:vAlign w:val="center"/>
            <w:textDirection w:val="lrTb"/>
            <w:noWrap w:val="false"/>
          </w:tcPr>
          <w:p>
            <w:pPr>
              <w:jc w:val="center"/>
              <w:widowControl w:val="off"/>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s="Times New Roman"/>
                <w:color w:val="000000" w:themeColor="text1"/>
                <w:sz w:val="21"/>
                <w:szCs w:val="21"/>
                <w:highlight w:val="none"/>
                <w:lang w:val="en-US" w:eastAsia="zh-CN" w:bidi="ar-SA"/>
                <w14:textFill>
                  <w14:solidFill>
                    <w14:schemeClr w14:val="tx1"/>
                  </w14:solidFill>
                </w14:textFill>
              </w:rPr>
              <w:t xml:space="preserve">3</w:t>
            </w:r>
            <w:r/>
          </w:p>
        </w:tc>
        <w:tc>
          <w:tcPr>
            <w:tcW w:w="1610" w:type="dxa"/>
            <w:vAlign w:val="center"/>
            <w:textDirection w:val="lrTb"/>
            <w:noWrap w:val="false"/>
          </w:tcPr>
          <w:p>
            <w:pPr>
              <w:jc w:val="center"/>
              <w:widowControl w:val="off"/>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s="Times New Roman"/>
                <w:color w:val="000000" w:themeColor="text1"/>
                <w:sz w:val="21"/>
                <w:szCs w:val="21"/>
                <w:highlight w:val="none"/>
                <w:lang w:val="en-US" w:eastAsia="zh-CN" w:bidi="ar-SA"/>
                <w14:textFill>
                  <w14:solidFill>
                    <w14:schemeClr w14:val="tx1"/>
                  </w14:solidFill>
                </w14:textFill>
              </w:rPr>
              <w:t xml:space="preserve">1</w:t>
            </w:r>
            <w:r/>
          </w:p>
        </w:tc>
        <w:tc>
          <w:tcPr>
            <w:tcW w:w="4325"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满足招标文件全部实质性要求，且按照评审因素的量化指标评审得分最高的投标人为中标候选人。</w:t>
            </w:r>
            <w:r/>
          </w:p>
        </w:tc>
      </w:tr>
    </w:tbl>
    <w:p>
      <w:pPr>
        <w:ind w:firstLine="439"/>
        <w:jc w:val="left"/>
        <w:spacing w:before="120" w:after="120" w:line="0" w:lineRule="atLeast"/>
        <w:rPr>
          <w:rFonts w:hint="eastAsia" w:ascii="Arial" w:hAnsi="Arial" w:cs="Arial"/>
          <w:color w:val="000000" w:themeColor="text1"/>
          <w:sz w:val="24"/>
          <w:szCs w:val="24"/>
          <w:highlight w:val="none"/>
          <w14:textFill>
            <w14:solidFill>
              <w14:schemeClr w14:val="tx1"/>
            </w14:solidFill>
          </w14:textFill>
        </w:rPr>
      </w:pPr>
      <w:r>
        <w:rPr>
          <w:rFonts w:hint="eastAsia" w:ascii="Arial" w:hAnsi="Arial" w:cs="Arial"/>
          <w:color w:val="000000" w:themeColor="text1"/>
          <w:sz w:val="24"/>
          <w:szCs w:val="24"/>
          <w:highlight w:val="none"/>
          <w14:textFill>
            <w14:solidFill>
              <w14:schemeClr w14:val="tx1"/>
            </w14:solidFill>
          </w14:textFill>
        </w:rPr>
      </w:r>
      <w:r/>
    </w:p>
    <w:p>
      <w:pPr>
        <w:ind w:firstLine="439"/>
        <w:jc w:val="left"/>
        <w:spacing w:before="120" w:after="120" w:line="0" w:lineRule="atLeas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政府采购政策功能落实</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lang w:val="en-US" w:eastAsia="zh-CN"/>
          <w14:textFill>
            <w14:solidFill>
              <w14:schemeClr w14:val="tx1"/>
            </w14:solidFill>
          </w14:textFill>
        </w:rPr>
        <w:t xml:space="preserve">1、</w:t>
      </w:r>
      <w:r>
        <w:rPr>
          <w:rFonts w:hint="eastAsia" w:ascii="Times New Roman" w:hAnsi="Times New Roman" w:cs="仿宋"/>
          <w:color w:val="000000" w:themeColor="text1"/>
          <w:sz w:val="24"/>
          <w:highlight w:val="none"/>
          <w14:textFill>
            <w14:solidFill>
              <w14:schemeClr w14:val="tx1"/>
            </w14:solidFill>
          </w14:textFill>
        </w:rPr>
        <w:t xml:space="preserve">中小企业政策</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本项目对符合规定情形的小微企业报价给予</w:t>
      </w:r>
      <w:r>
        <w:rPr>
          <w:rFonts w:hint="eastAsia" w:ascii="Times New Roman" w:hAnsi="Times New Roman" w:cs="仿宋"/>
          <w:color w:val="000000" w:themeColor="text1"/>
          <w:sz w:val="24"/>
          <w:highlight w:val="none"/>
          <w:u w:val="single"/>
          <w14:textFill>
            <w14:solidFill>
              <w14:schemeClr w14:val="tx1"/>
            </w14:solidFill>
          </w14:textFill>
        </w:rPr>
        <w:t xml:space="preserve">10%</w:t>
      </w:r>
      <w:r>
        <w:rPr>
          <w:rFonts w:hint="eastAsia" w:ascii="Times New Roman" w:hAnsi="Times New Roman" w:cs="仿宋"/>
          <w:color w:val="000000" w:themeColor="text1"/>
          <w:sz w:val="24"/>
          <w:highlight w:val="none"/>
          <w14:textFill>
            <w14:solidFill>
              <w14:schemeClr w14:val="tx1"/>
            </w14:solidFill>
          </w14:textFill>
        </w:rPr>
        <w:t xml:space="preserve">扣除，用扣除后的价格参加评审。</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_GB2312"/>
          <w:color w:val="000000" w:themeColor="text1"/>
          <w:sz w:val="24"/>
          <w:highlight w:val="none"/>
          <w14:textFill>
            <w14:solidFill>
              <w14:schemeClr w14:val="tx1"/>
            </w14:solidFill>
          </w14:textFill>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lang w:val="en-US" w:eastAsia="zh-CN"/>
          <w14:textFill>
            <w14:solidFill>
              <w14:schemeClr w14:val="tx1"/>
            </w14:solidFill>
          </w14:textFill>
        </w:rPr>
        <w:t xml:space="preserve">2、</w:t>
      </w:r>
      <w:r>
        <w:rPr>
          <w:rFonts w:hint="eastAsia" w:ascii="Times New Roman" w:hAnsi="Times New Roman" w:cs="仿宋"/>
          <w:color w:val="000000" w:themeColor="text1"/>
          <w:sz w:val="24"/>
          <w:highlight w:val="none"/>
          <w14:textFill>
            <w14:solidFill>
              <w14:schemeClr w14:val="tx1"/>
            </w14:solidFill>
          </w14:textFill>
        </w:rPr>
        <w:t xml:space="preserve">采购本国产品的支持政策</w:t>
      </w:r>
      <w:r/>
    </w:p>
    <w:p>
      <w:pPr>
        <w:ind w:firstLine="480"/>
        <w:spacing w:line="480" w:lineRule="exact"/>
        <w:rPr>
          <w:rFonts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2.1 </w:t>
      </w:r>
      <w:r>
        <w:rPr>
          <w:rFonts w:hint="eastAsia" w:ascii="宋体" w:hAnsi="宋体"/>
          <w:bCs/>
          <w:color w:val="000000" w:themeColor="text1"/>
          <w:sz w:val="24"/>
          <w:szCs w:val="24"/>
          <w:highlight w:val="none"/>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2.2本项目政府采购活动中既有本国产品又有非本国产品参与竞争的，依法对本国产品给予价格评审优惠，对本国产品的报价给予</w:t>
      </w:r>
      <w:r>
        <w:rPr>
          <w:rFonts w:hint="eastAsia" w:ascii="Times New Roman" w:hAnsi="Times New Roman" w:cs="仿宋"/>
          <w:b/>
          <w:bCs/>
          <w:color w:val="000000" w:themeColor="text1"/>
          <w:sz w:val="24"/>
          <w:highlight w:val="none"/>
          <w:u w:val="single"/>
          <w14:textFill>
            <w14:solidFill>
              <w14:schemeClr w14:val="tx1"/>
            </w14:solidFill>
          </w14:textFill>
        </w:rPr>
        <w:t xml:space="preserve">20%</w:t>
      </w:r>
      <w:r>
        <w:rPr>
          <w:rFonts w:hint="eastAsia" w:ascii="Times New Roman" w:hAnsi="Times New Roman" w:cs="仿宋"/>
          <w:color w:val="000000" w:themeColor="text1"/>
          <w:sz w:val="24"/>
          <w:highlight w:val="none"/>
          <w14:textFill>
            <w14:solidFill>
              <w14:schemeClr w14:val="tx1"/>
            </w14:solidFill>
          </w14:textFill>
        </w:rPr>
        <w:t xml:space="preserve">的价格扣除，用扣除后的价格参与评审。</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color w:val="000000" w:themeColor="text1"/>
          <w:sz w:val="24"/>
          <w:highlight w:val="none"/>
          <w14:textFill>
            <w14:solidFill>
              <w14:schemeClr w14:val="tx1"/>
            </w14:solidFill>
          </w14:textFill>
        </w:rPr>
        <w:t xml:space="preserve">80%以上</w:t>
      </w:r>
      <w:r>
        <w:rPr>
          <w:rFonts w:hint="eastAsia" w:ascii="Times New Roman" w:hAnsi="Times New Roman" w:cs="仿宋"/>
          <w:color w:val="000000" w:themeColor="text1"/>
          <w:sz w:val="24"/>
          <w:highlight w:val="none"/>
          <w14:textFill>
            <w14:solidFill>
              <w14:schemeClr w14:val="tx1"/>
            </w14:solidFill>
          </w14:textFill>
        </w:rPr>
        <w:t xml:space="preserve">时，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2.4 投标人需按照招标文件的要求提供《关于符合本国产品标准的声明函》，如不提供将不享受本国产品价格评审优惠。</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ascii="Times New Roman" w:hAnsi="Times New Roman" w:cs="仿宋"/>
          <w:color w:val="000000" w:themeColor="text1"/>
          <w:sz w:val="24"/>
          <w:highlight w:val="none"/>
          <w14:textFill>
            <w14:solidFill>
              <w14:schemeClr w14:val="tx1"/>
            </w14:solidFill>
          </w14:textFill>
        </w:rPr>
        <w:t xml:space="preserve">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jc w:val="left"/>
        <w:spacing w:before="120" w:after="120" w:line="0" w:lineRule="atLeas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采购包1</w:t>
      </w:r>
      <w:r>
        <w:rPr>
          <w:rFonts w:hint="eastAsia" w:ascii="宋体" w:hAnsi="宋体"/>
          <w:b/>
          <w:color w:val="000000" w:themeColor="text1"/>
          <w:sz w:val="24"/>
          <w:szCs w:val="24"/>
          <w:highlight w:val="none"/>
          <w14:textFill>
            <w14:solidFill>
              <w14:schemeClr w14:val="tx1"/>
            </w14:solidFill>
          </w14:textFill>
        </w:rPr>
        <w:t xml:space="preserve">评标方法与评标标准</w:t>
      </w:r>
      <w:r/>
    </w:p>
    <w:tbl>
      <w:tblPr>
        <w:tblStyle w:val="705"/>
        <w:tblW w:w="9570" w:type="dxa"/>
        <w:jc w:val="center"/>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Layout w:type="fixed"/>
        <w:tblCellMar>
          <w:left w:w="20" w:type="dxa"/>
          <w:top w:w="20" w:type="dxa"/>
          <w:right w:w="20" w:type="dxa"/>
          <w:bottom w:w="20" w:type="dxa"/>
        </w:tblCellMar>
        <w:tblLook w:val="04A0" w:firstRow="1" w:lastRow="0" w:firstColumn="1" w:lastColumn="0" w:noHBand="0" w:noVBand="1"/>
      </w:tblPr>
      <w:tblGrid>
        <w:gridCol w:w="1280"/>
        <w:gridCol w:w="1233"/>
        <w:gridCol w:w="7057"/>
      </w:tblGrid>
      <w:tr>
        <w:trPr>
          <w:jc w:val="center"/>
          <w:trHeight w:val="600"/>
        </w:trPr>
        <w:tc>
          <w:tcPr>
            <w:tcW w:w="1280"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评分因素</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分值   （100分）</w:t>
            </w:r>
            <w:r/>
          </w:p>
        </w:tc>
        <w:tc>
          <w:tcPr>
            <w:tcW w:w="7057"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评分标准</w:t>
            </w:r>
            <w:r/>
          </w:p>
        </w:tc>
      </w:tr>
      <w:tr>
        <w:trPr>
          <w:jc w:val="center"/>
          <w:trHeight w:val="90"/>
        </w:trPr>
        <w:tc>
          <w:tcPr>
            <w:tcW w:w="1280"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1.投标报价</w:t>
            </w:r>
            <w:r/>
          </w:p>
        </w:tc>
        <w:tc>
          <w:tcPr>
            <w:tcW w:w="1233" w:type="dxa"/>
            <w:vAlign w:val="center"/>
            <w:textDirection w:val="lrTb"/>
            <w:noWrap w:val="false"/>
          </w:tcPr>
          <w:p>
            <w:pPr>
              <w:jc w:val="center"/>
              <w:widowControl w:val="off"/>
              <w:rPr>
                <w:rFonts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30分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r/>
          </w:p>
        </w:tc>
      </w:tr>
      <w:tr>
        <w:trPr>
          <w:jc w:val="center"/>
          <w:trHeight w:val="90"/>
        </w:trPr>
        <w:tc>
          <w:tcPr>
            <w:tcW w:w="1280"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2.质量管理及保障方案</w:t>
            </w:r>
            <w:r/>
          </w:p>
        </w:tc>
        <w:tc>
          <w:tcPr>
            <w:tcW w:w="1233" w:type="dxa"/>
            <w:vAlign w:val="center"/>
            <w:textDirection w:val="lrTb"/>
            <w:noWrap w:val="false"/>
          </w:tcPr>
          <w:p>
            <w:pPr>
              <w:jc w:val="center"/>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5分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采购需求”中的“七、商务要求-</w:t>
            </w:r>
            <w:bookmarkStart w:id="205" w:name="OLE_LINK132"/>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（二）项目实施要求-3.1质量管理及保障</w:t>
            </w:r>
            <w:bookmarkEnd w:id="205"/>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方案”提供质量管理及保障方案。优于采购需求的得5分；满足采购需求的得3分；其他情况不得分。</w:t>
            </w:r>
            <w:r/>
          </w:p>
        </w:tc>
      </w:tr>
      <w:tr>
        <w:trPr>
          <w:jc w:val="center"/>
          <w:trHeight w:val="90"/>
        </w:trPr>
        <w:tc>
          <w:tcPr>
            <w:tcW w:w="1280"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3.进度控制方案</w:t>
            </w:r>
            <w:r/>
          </w:p>
        </w:tc>
        <w:tc>
          <w:tcPr>
            <w:tcW w:w="1233" w:type="dxa"/>
            <w:vAlign w:val="center"/>
            <w:textDirection w:val="lrTb"/>
            <w:noWrap w:val="false"/>
          </w:tcPr>
          <w:p>
            <w:pPr>
              <w:jc w:val="center"/>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5分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采购需求”中的“七、商务要求-（二）项目实施要求-3.2进度控制方案”提供进度控制方案。优于采购需求的得5分；满足采购需求的得3分；其他情况不得分。</w:t>
            </w:r>
            <w:r/>
          </w:p>
        </w:tc>
      </w:tr>
      <w:tr>
        <w:trPr>
          <w:jc w:val="center"/>
          <w:trHeight w:val="904"/>
        </w:trPr>
        <w:tc>
          <w:tcPr>
            <w:tcW w:w="1280" w:type="dxa"/>
            <w:vAlign w:val="center"/>
            <w:textDirection w:val="lrTb"/>
            <w:noWrap w:val="false"/>
          </w:tcPr>
          <w:p>
            <w:pPr>
              <w:jc w:val="center"/>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4.项目交付方案</w:t>
            </w:r>
            <w:r/>
          </w:p>
        </w:tc>
        <w:tc>
          <w:tcPr>
            <w:tcW w:w="1233" w:type="dxa"/>
            <w:vAlign w:val="center"/>
            <w:textDirection w:val="lrTb"/>
            <w:noWrap w:val="false"/>
          </w:tcPr>
          <w:p>
            <w:pPr>
              <w:jc w:val="center"/>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七</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、商务要求-（</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四</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）交付要求”提供项目交付方案。优于采购需求的得</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分；满足采购需求的得</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分；其他情况不得分。</w:t>
            </w:r>
            <w:r/>
          </w:p>
        </w:tc>
      </w:tr>
      <w:tr>
        <w:trPr>
          <w:jc w:val="center"/>
          <w:trHeight w:val="339"/>
        </w:trPr>
        <w:tc>
          <w:tcPr>
            <w:tcW w:w="1280" w:type="dxa"/>
            <w:vAlign w:val="center"/>
            <w:textDirection w:val="lrTb"/>
            <w:noWrap w:val="false"/>
          </w:tcPr>
          <w:p>
            <w:pPr>
              <w:jc w:val="center"/>
              <w:widowControl w:val="off"/>
              <w:rPr>
                <w:rFonts w:hint="eastAsia" w:ascii="宋体" w:hAnsi="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5.免费质保期</w:t>
            </w:r>
            <w:r/>
          </w:p>
        </w:tc>
        <w:tc>
          <w:tcPr>
            <w:tcW w:w="1233" w:type="dxa"/>
            <w:vAlign w:val="center"/>
            <w:textDirection w:val="lrTb"/>
            <w:noWrap w:val="false"/>
          </w:tcPr>
          <w:p>
            <w:pPr>
              <w:jc w:val="center"/>
              <w:widowControl w:val="off"/>
              <w:rPr>
                <w:rFonts w:hint="default" w:ascii="宋体" w:hAnsi="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满足招标文件免费质保期3年要求后,每增加1年得2分，最高得4分。注：需在投标文件中附承诺函明确标注延长的质保年限，每增加一年的加分仅以承诺函载明的年限为准；未提供承诺函或承诺年限不清晰不得分（格式自拟）。</w:t>
            </w:r>
            <w:r/>
          </w:p>
        </w:tc>
      </w:tr>
      <w:tr>
        <w:trPr>
          <w:jc w:val="center"/>
          <w:trHeight w:val="405"/>
        </w:trPr>
        <w:tc>
          <w:tcPr>
            <w:tcW w:w="1280"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.售后服务</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七</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、商务要求-（</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三</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）售后服务要求”提供售后服务方案。优于采购需求的得</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分；满足采购需求的得</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分；其他情况不得分。</w:t>
            </w:r>
            <w:r/>
          </w:p>
        </w:tc>
      </w:tr>
      <w:tr>
        <w:trPr>
          <w:jc w:val="center"/>
          <w:trHeight w:val="360"/>
        </w:trPr>
        <w:tc>
          <w:tcPr>
            <w:tcW w:w="1280" w:type="dxa"/>
            <w:vAlign w:val="center"/>
            <w:textDirection w:val="lrTb"/>
            <w:noWrap w:val="false"/>
          </w:tcPr>
          <w:p>
            <w:pPr>
              <w:jc w:val="center"/>
              <w:spacing w:before="68"/>
              <w:widowControl w:val="off"/>
              <w:rPr>
                <w:rFonts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cs="宋体"/>
                <w:color w:val="000000" w:themeColor="text1"/>
                <w:spacing w:val="-2"/>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安装调试及履约能力</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tc>
        <w:tc>
          <w:tcPr>
            <w:tcW w:w="7057" w:type="dxa"/>
            <w:vAlign w:val="top"/>
            <w:textDirection w:val="lrTb"/>
            <w:noWrap w:val="false"/>
          </w:tcPr>
          <w:p>
            <w:pPr>
              <w:jc w:val="left"/>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bookmarkStart w:id="206" w:name="OLE_LINK36"/>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投标人或所投产品制造商相关生产设备：激光切割设备</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0.5</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分）</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w:t>
            </w:r>
            <w:bookmarkStart w:id="207" w:name="OLE_LINK12"/>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焊接机器人</w:t>
            </w:r>
            <w:bookmarkEnd w:id="207"/>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（自动焊接设备）（0.5分）、喷涂生产线（0.5分）、数控弯管机（0.5分）、数控板材开料锯（0.5分）、自动封边机（0.5分），每提供一项得</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0.5</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分，本项最高得3分。</w:t>
            </w:r>
            <w:bookmarkStart w:id="208" w:name="OLE_LINK192"/>
            <w:r/>
            <w:bookmarkStart w:id="209" w:name="OLE_LINK142"/>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注：1.需提供设备生产车间实景照片、设备照片、设备清单及生产设备购置（租赁）发票（或设备采购（租赁）合同或付款凭证），</w:t>
            </w:r>
            <w:bookmarkStart w:id="210" w:name="OLE_LINK137"/>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否则不得分</w:t>
            </w:r>
            <w:bookmarkEnd w:id="210"/>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；2.如所提供设备名称与要求不完全一致，但功能符合要求，需提供相应功能证明材料可得分</w:t>
            </w:r>
            <w:bookmarkEnd w:id="206"/>
            <w:r/>
            <w:bookmarkEnd w:id="208"/>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w:t>
            </w:r>
            <w:bookmarkEnd w:id="209"/>
            <w:r/>
            <w:r/>
          </w:p>
        </w:tc>
      </w:tr>
      <w:tr>
        <w:trPr>
          <w:jc w:val="center"/>
          <w:trHeight w:val="362"/>
        </w:trPr>
        <w:tc>
          <w:tcPr>
            <w:tcW w:w="1280"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.样品</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bookmarkStart w:id="211" w:name="OLE_LINK161"/>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采购需求”中的“采购包1-五、投标样品提供-5.2.1”提供样品，评标委员会对投标人提供的样品外观、工艺、材质方面进行评审。</w:t>
            </w:r>
            <w:bookmarkEnd w:id="211"/>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床前护栏（2分）：样品优于招标文件的对应样品得2分；完全符合招标文件的，得1分。</w:t>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立柱（1分）、前/后床厅管/侧床厅矩形管（1分）、衣柜柜门（1分）、桌面板（1分）、铰链（1分）、导轨（1分）、床板（1分）、学生椅（1分）：样品优于招标文件的对应样品得1分；完全符合招标文件的，得0.5分。</w:t>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本项合计10分。</w:t>
            </w:r>
            <w:r/>
          </w:p>
          <w:p>
            <w:pPr>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注:投标人所提供的样品与招标文件要求不符合或未提供对应样品不得分，3D打印的样品不得分。</w:t>
            </w:r>
            <w:r/>
          </w:p>
        </w:tc>
      </w:tr>
      <w:tr>
        <w:trPr>
          <w:jc w:val="center"/>
          <w:trHeight w:val="90"/>
        </w:trPr>
        <w:tc>
          <w:tcPr>
            <w:tcW w:w="1280"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.项目需求响应情况</w:t>
            </w:r>
            <w:r/>
          </w:p>
        </w:tc>
        <w:tc>
          <w:tcPr>
            <w:tcW w:w="1233"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cs="宋体"/>
                <w:color w:val="000000" w:themeColor="text1"/>
                <w:sz w:val="21"/>
                <w:szCs w:val="21"/>
                <w:highlight w:val="none"/>
                <w:lang w:eastAsia="zh-CN" w:bidi="ar-SA"/>
                <w14:textFill>
                  <w14:solidFill>
                    <w14:schemeClr w14:val="tx1"/>
                  </w14:solidFill>
                </w14:textFill>
              </w:rPr>
              <w:t xml:space="preserve">14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tc>
        <w:tc>
          <w:tcPr>
            <w:tcW w:w="7057" w:type="dxa"/>
            <w:vAlign w:val="center"/>
            <w:textDirection w:val="lrTb"/>
            <w:noWrap w:val="false"/>
          </w:tcPr>
          <w:p>
            <w:pPr>
              <w:jc w:val="left"/>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针对招标文件“第四章 采购需求”中的“采购包1-三、采购图纸及</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技术参数要求</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-3.2技术参数要求”所列内容进行评分（★项除外），所投产品技术参数完全满足或优于招标文件技术参数要求的得14分。“▲”为重点参数要求，共3项，每有一项（一个句号的完整内容为一“项”）不满足的扣1分；其余为一般参数要求（▲、★除外），共20项，每有一项（一个句号的完整内容为一“项”）负偏离扣0.55分，扣完为止。</w:t>
            </w:r>
            <w:r/>
          </w:p>
          <w:p>
            <w:pPr>
              <w:jc w:val="left"/>
              <w:widowControl w:val="off"/>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注：供应商针对本项评标内容在响应文件《技术响应偏离表》中逐条列出响应及偏离情况，《技术响应偏离表》中未列出的对应项按负偏离进行扣分处理。</w:t>
            </w:r>
            <w:r/>
          </w:p>
        </w:tc>
      </w:tr>
      <w:tr>
        <w:trPr>
          <w:jc w:val="center"/>
          <w:trHeight w:val="90"/>
        </w:trPr>
        <w:tc>
          <w:tcPr>
            <w:tcW w:w="1280"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.原材料检测报告</w:t>
            </w:r>
            <w:r/>
          </w:p>
        </w:tc>
        <w:tc>
          <w:tcPr>
            <w:tcW w:w="1233"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6分</w:t>
            </w:r>
            <w:r/>
          </w:p>
        </w:tc>
        <w:tc>
          <w:tcPr>
            <w:tcW w:w="7057" w:type="dxa"/>
            <w:vAlign w:val="center"/>
            <w:textDirection w:val="lrTb"/>
            <w:noWrap w:val="false"/>
          </w:tcPr>
          <w:p>
            <w:pPr>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bookmarkStart w:id="212" w:name="OLE_LINK59"/>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针对招标文件“第四章 采购需求”中的“采购包1-四、检测报告要求-4.2原材料检验报告要求”提供符合对应项的检测报告，每提供1项（每个序号为完整的一项）符合对应要求的检验检测报告电子件的得1分，最高得6分</w:t>
            </w:r>
            <w:bookmarkEnd w:id="212"/>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p>
        </w:tc>
      </w:tr>
      <w:tr>
        <w:trPr>
          <w:jc w:val="center"/>
          <w:trHeight w:val="90"/>
        </w:trPr>
        <w:tc>
          <w:tcPr>
            <w:tcW w:w="1280"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.成品检测报告</w:t>
            </w:r>
            <w:r/>
          </w:p>
        </w:tc>
        <w:tc>
          <w:tcPr>
            <w:tcW w:w="1233"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3分</w:t>
            </w:r>
            <w:r/>
          </w:p>
        </w:tc>
        <w:tc>
          <w:tcPr>
            <w:tcW w:w="7057" w:type="dxa"/>
            <w:vAlign w:val="center"/>
            <w:textDirection w:val="lrTb"/>
            <w:noWrap w:val="false"/>
          </w:tcPr>
          <w:p>
            <w:pPr>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针对招标文件“第四章 采购需求”中的“采购包1-四、检测报告要求-4.1成品检验报告要求”提供对应项的检测报告。每提供1项（每个序号为完整的一项）符合对应要求的检验检测报告电子件的得1分，最高得3分。</w:t>
            </w:r>
            <w:r/>
          </w:p>
        </w:tc>
      </w:tr>
      <w:tr>
        <w:trPr>
          <w:jc w:val="center"/>
          <w:trHeight w:val="720"/>
        </w:trPr>
        <w:tc>
          <w:tcPr>
            <w:tcW w:w="1280" w:type="dxa"/>
            <w:vAlign w:val="center"/>
            <w:textDirection w:val="lrTb"/>
            <w:noWrap w:val="false"/>
          </w:tcPr>
          <w:p>
            <w:pPr>
              <w:pStyle w:val="1018"/>
              <w:jc w:val="center"/>
              <w:widowControl w:val="off"/>
              <w:rPr>
                <w:rFonts w:ascii="宋体" w:hAnsi="宋体" w:eastAsia="宋体" w:cs="宋体"/>
                <w:color w:val="000000" w:themeColor="text1"/>
                <w:sz w:val="21"/>
                <w:szCs w:val="21"/>
                <w:highlight w:val="none"/>
                <w:lang w:val="zh-CN" w:eastAsia="zh-CN" w:bidi="zh-CN"/>
                <w14:textFill>
                  <w14:solidFill>
                    <w14:schemeClr w14:val="tx1"/>
                  </w14:solidFill>
                </w14:textFill>
              </w:rPr>
            </w:pPr>
            <w:r>
              <w:rPr>
                <w:rFonts w:hint="eastAsia" w:cs="宋体"/>
                <w:color w:val="000000" w:themeColor="text1"/>
                <w:spacing w:val="-1"/>
                <w:sz w:val="21"/>
                <w:szCs w:val="21"/>
                <w:highlight w:val="none"/>
                <w:lang w:val="en-US" w:eastAsia="zh-CN" w:bidi="zh-CN"/>
                <w14:textFill>
                  <w14:solidFill>
                    <w14:schemeClr w14:val="tx1"/>
                  </w14:solidFill>
                </w14:textFill>
              </w:rPr>
              <w:t xml:space="preserve">12</w:t>
            </w:r>
            <w:r>
              <w:rPr>
                <w:rFonts w:hint="eastAsia" w:ascii="宋体" w:hAnsi="宋体" w:eastAsia="宋体" w:cs="宋体"/>
                <w:color w:val="000000" w:themeColor="text1"/>
                <w:spacing w:val="-1"/>
                <w:sz w:val="21"/>
                <w:szCs w:val="21"/>
                <w:highlight w:val="none"/>
                <w:lang w:val="en-US" w:eastAsia="zh-CN" w:bidi="zh-CN"/>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val="zh-CN" w:eastAsia="zh-CN" w:bidi="zh-CN"/>
                <w14:textFill>
                  <w14:solidFill>
                    <w14:schemeClr w14:val="tx1"/>
                  </w14:solidFill>
                </w14:textFill>
              </w:rPr>
              <w:t xml:space="preserve">同类业绩</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10分</w:t>
            </w:r>
            <w:r/>
          </w:p>
        </w:tc>
        <w:tc>
          <w:tcPr>
            <w:tcW w:w="7057" w:type="dxa"/>
            <w:vAlign w:val="center"/>
            <w:textDirection w:val="lrTb"/>
            <w:noWrap w:val="false"/>
          </w:tcPr>
          <w:p>
            <w:pPr>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投标人提供自2022年1月1日以来（以合同签订时间为准）实施的同类项目（需与本项目核心产品同类）成功案例，每提供一个业绩得2分，最多得10分。（需提供中标通知书、合同及验收报告扫描件，缺项不得分。）</w:t>
            </w:r>
            <w:r/>
          </w:p>
        </w:tc>
      </w:tr>
      <w:tr>
        <w:trPr>
          <w:jc w:val="center"/>
          <w:trHeight w:val="90"/>
        </w:trPr>
        <w:tc>
          <w:tcPr>
            <w:tcW w:w="1280"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.环保认证</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2分</w:t>
            </w:r>
            <w:r/>
          </w:p>
        </w:tc>
        <w:tc>
          <w:tcPr>
            <w:tcW w:w="7057" w:type="dxa"/>
            <w:vAlign w:val="top"/>
            <w:textDirection w:val="lrTb"/>
            <w:noWrap w:val="false"/>
          </w:tcPr>
          <w:p>
            <w:pPr>
              <w:jc w:val="left"/>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bookmarkStart w:id="213" w:name="OLE_LINK123"/>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产品在财政部、生态环境部公布的“环境标志产品政府采购品目清单”内，且投标文件中提供国家市场监督管理局确定的列入“参与实施政府采购环境标志产品认证机构名录”内的认证机构出具的、有效期内的该产品环境认证证书电子件的，①认证单元</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钢木家具、</w:t>
            </w:r>
            <w:r>
              <w:rPr>
                <w:rFonts w:hint="eastAsia" w:ascii="宋体" w:hAnsi="宋体" w:eastAsia="宋体" w:cs="宋体"/>
                <w:color w:val="ff0000"/>
                <w:sz w:val="21"/>
                <w:szCs w:val="21"/>
                <w:highlight w:val="none"/>
                <w:lang w:val="en-US" w:eastAsia="zh-CN" w:bidi="ar-SA"/>
              </w:rPr>
              <w:t xml:space="preserve">②认证单元</w:t>
            </w:r>
            <w:r>
              <w:rPr>
                <w:rFonts w:hint="default" w:ascii="宋体" w:hAnsi="宋体" w:eastAsia="宋体" w:cs="宋体"/>
                <w:color w:val="ff0000"/>
                <w:sz w:val="21"/>
                <w:szCs w:val="21"/>
                <w:highlight w:val="none"/>
                <w:lang w:val="en-US" w:eastAsia="zh-CN" w:bidi="ar-SA"/>
              </w:rPr>
              <w:t xml:space="preserve">:</w:t>
            </w:r>
            <w:r>
              <w:rPr>
                <w:rFonts w:hint="eastAsia" w:ascii="宋体" w:hAnsi="宋体" w:eastAsia="宋体" w:cs="宋体"/>
                <w:color w:val="ff0000"/>
                <w:sz w:val="21"/>
                <w:szCs w:val="21"/>
                <w:highlight w:val="none"/>
                <w:lang w:val="en-US" w:eastAsia="zh-CN" w:bidi="ar-SA"/>
              </w:rPr>
              <w:t xml:space="preserve">人造板类家具、</w:t>
            </w:r>
            <w:r>
              <w:rPr>
                <w:rFonts w:hint="default" w:ascii="宋体" w:hAnsi="宋体" w:eastAsia="宋体" w:cs="宋体"/>
                <w:color w:val="ff0000"/>
                <w:sz w:val="21"/>
                <w:szCs w:val="21"/>
                <w:highlight w:val="none"/>
                <w:lang w:val="en-US" w:eastAsia="zh-CN" w:bidi="ar-SA"/>
              </w:rPr>
              <w:t xml:space="preserve">③</w:t>
            </w:r>
            <w:r>
              <w:rPr>
                <w:rFonts w:hint="eastAsia" w:ascii="宋体" w:hAnsi="宋体" w:eastAsia="宋体" w:cs="宋体"/>
                <w:color w:val="ff0000"/>
                <w:sz w:val="21"/>
                <w:szCs w:val="21"/>
                <w:highlight w:val="none"/>
                <w:lang w:val="en-US" w:eastAsia="zh-CN" w:bidi="ar-SA"/>
              </w:rPr>
              <w:t xml:space="preserve">认证单元</w:t>
            </w:r>
            <w:r>
              <w:rPr>
                <w:rFonts w:hint="default" w:ascii="宋体" w:hAnsi="宋体" w:eastAsia="宋体" w:cs="宋体"/>
                <w:color w:val="ff0000"/>
                <w:sz w:val="21"/>
                <w:szCs w:val="21"/>
                <w:highlight w:val="none"/>
                <w:lang w:val="en-US" w:eastAsia="zh-CN" w:bidi="ar-SA"/>
              </w:rPr>
              <w:t xml:space="preserve">:</w:t>
            </w:r>
            <w:r>
              <w:rPr>
                <w:rFonts w:hint="eastAsia" w:ascii="宋体" w:hAnsi="宋体" w:eastAsia="宋体" w:cs="宋体"/>
                <w:color w:val="ff0000"/>
                <w:sz w:val="21"/>
                <w:szCs w:val="21"/>
                <w:highlight w:val="none"/>
                <w:lang w:val="en-US" w:eastAsia="zh-CN" w:bidi="ar-SA"/>
              </w:rPr>
              <w:t xml:space="preserve">综合类木家具</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。证书每满足上述一项认证单元的得1分，最高得2分。</w:t>
            </w:r>
            <w:r/>
          </w:p>
          <w:p>
            <w:pPr>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注</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投标文件提供上述证书电子件和在国家市场监督管理总局全国认证认可信息公共服务平台查询认证完整页面截图，未提供的不得分。</w:t>
            </w:r>
            <w:bookmarkEnd w:id="213"/>
            <w:r/>
            <w:r/>
          </w:p>
        </w:tc>
      </w:tr>
    </w:tbl>
    <w:p>
      <w:pPr>
        <w:ind w:firstLine="480"/>
        <w:jc w:val="left"/>
        <w:spacing w:before="120" w:after="120" w:line="0" w:lineRule="atLeas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采购包2</w:t>
      </w:r>
      <w:r>
        <w:rPr>
          <w:rFonts w:hint="eastAsia" w:ascii="宋体" w:hAnsi="宋体"/>
          <w:b/>
          <w:color w:val="000000" w:themeColor="text1"/>
          <w:sz w:val="24"/>
          <w:szCs w:val="24"/>
          <w:highlight w:val="none"/>
          <w14:textFill>
            <w14:solidFill>
              <w14:schemeClr w14:val="tx1"/>
            </w14:solidFill>
          </w14:textFill>
        </w:rPr>
        <w:t xml:space="preserve">评标方法与评标标准</w:t>
      </w:r>
      <w:r/>
    </w:p>
    <w:tbl>
      <w:tblPr>
        <w:tblStyle w:val="705"/>
        <w:tblW w:w="9570" w:type="dxa"/>
        <w:jc w:val="center"/>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Layout w:type="fixed"/>
        <w:tblCellMar>
          <w:left w:w="20" w:type="dxa"/>
          <w:top w:w="20" w:type="dxa"/>
          <w:right w:w="20" w:type="dxa"/>
          <w:bottom w:w="20" w:type="dxa"/>
        </w:tblCellMar>
        <w:tblLook w:val="04A0" w:firstRow="1" w:lastRow="0" w:firstColumn="1" w:lastColumn="0" w:noHBand="0" w:noVBand="1"/>
      </w:tblPr>
      <w:tblGrid>
        <w:gridCol w:w="1280"/>
        <w:gridCol w:w="1233"/>
        <w:gridCol w:w="7057"/>
      </w:tblGrid>
      <w:tr>
        <w:trPr>
          <w:jc w:val="center"/>
          <w:trHeight w:val="600"/>
        </w:trPr>
        <w:tc>
          <w:tcPr>
            <w:tcW w:w="1280"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评分因素</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分值   （100分）</w:t>
            </w:r>
            <w:r/>
          </w:p>
        </w:tc>
        <w:tc>
          <w:tcPr>
            <w:tcW w:w="7057"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评分标准</w:t>
            </w:r>
            <w:r/>
          </w:p>
        </w:tc>
      </w:tr>
      <w:tr>
        <w:trPr>
          <w:jc w:val="center"/>
          <w:trHeight w:val="90"/>
        </w:trPr>
        <w:tc>
          <w:tcPr>
            <w:tcW w:w="1280"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1.投标报价</w:t>
            </w:r>
            <w:r/>
          </w:p>
        </w:tc>
        <w:tc>
          <w:tcPr>
            <w:tcW w:w="1233" w:type="dxa"/>
            <w:vAlign w:val="center"/>
            <w:textDirection w:val="lrTb"/>
            <w:noWrap w:val="false"/>
          </w:tcPr>
          <w:p>
            <w:pPr>
              <w:jc w:val="center"/>
              <w:widowControl w:val="off"/>
              <w:rPr>
                <w:rFonts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30分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r/>
          </w:p>
        </w:tc>
      </w:tr>
      <w:tr>
        <w:trPr>
          <w:jc w:val="center"/>
          <w:trHeight w:val="934"/>
        </w:trPr>
        <w:tc>
          <w:tcPr>
            <w:tcW w:w="1280"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2.质量管理及保障方案</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5分</w:t>
            </w:r>
            <w:r/>
          </w:p>
        </w:tc>
        <w:tc>
          <w:tcPr>
            <w:tcW w:w="7057" w:type="dxa"/>
            <w:vAlign w:val="top"/>
            <w:textDirection w:val="lrTb"/>
            <w:noWrap w:val="false"/>
          </w:tcPr>
          <w:p>
            <w:pPr>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针对招标文件“第四章 采购需求”中的“七、商务要求-（二）项目实施要求-3.1质量管理及保障方案”提供质量管理及保障方案。优于采购需求的得5分；满足采购需求的得3分；其他情况不得分。</w:t>
            </w:r>
            <w:r/>
          </w:p>
        </w:tc>
      </w:tr>
      <w:tr>
        <w:trPr>
          <w:jc w:val="center"/>
          <w:trHeight w:val="829"/>
        </w:trPr>
        <w:tc>
          <w:tcPr>
            <w:tcW w:w="1280"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3.进度控制方案</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5分</w:t>
            </w:r>
            <w:r/>
          </w:p>
        </w:tc>
        <w:tc>
          <w:tcPr>
            <w:tcW w:w="7057" w:type="dxa"/>
            <w:vAlign w:val="top"/>
            <w:textDirection w:val="lrTb"/>
            <w:noWrap w:val="false"/>
          </w:tcPr>
          <w:p>
            <w:pPr>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针对招标文件“第四章 采购需求”中的“七、商务要求-（二）项目实施要求-3.2进度控制方案”提供进度控制方案。优于采购需求的得5分；满足采购需求的得3分；其他情况不得分。</w:t>
            </w:r>
            <w:r/>
          </w:p>
        </w:tc>
      </w:tr>
      <w:tr>
        <w:trPr>
          <w:jc w:val="center"/>
          <w:trHeight w:val="904"/>
        </w:trPr>
        <w:tc>
          <w:tcPr>
            <w:tcW w:w="1280" w:type="dxa"/>
            <w:vAlign w:val="center"/>
            <w:textDirection w:val="lrTb"/>
            <w:noWrap w:val="false"/>
          </w:tcPr>
          <w:p>
            <w:pPr>
              <w:jc w:val="center"/>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4.项目交付方案</w:t>
            </w:r>
            <w:r/>
          </w:p>
        </w:tc>
        <w:tc>
          <w:tcPr>
            <w:tcW w:w="1233" w:type="dxa"/>
            <w:vAlign w:val="center"/>
            <w:textDirection w:val="lrTb"/>
            <w:noWrap w:val="false"/>
          </w:tcPr>
          <w:p>
            <w:pPr>
              <w:jc w:val="center"/>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七</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、商务要求-（</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四</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）交付要求”提供项目交付方案。优于采购需求的得</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分；满足采购需求的得</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分；其他情况不得分。</w:t>
            </w:r>
            <w:r/>
          </w:p>
        </w:tc>
      </w:tr>
      <w:tr>
        <w:trPr>
          <w:jc w:val="center"/>
          <w:trHeight w:val="405"/>
        </w:trPr>
        <w:tc>
          <w:tcPr>
            <w:tcW w:w="1280"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5.免费质保期</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满足招标文件免费质保期3年要求后,每增加1年得2分，最高得4分。注：需在投标文件中附承诺函明确标注延长的质保年限，每增加一年的加分仅以承诺函载明的年限为准；未提供承诺函或承诺年限不清晰不得分（格式自拟）。</w:t>
            </w:r>
            <w:r/>
          </w:p>
        </w:tc>
      </w:tr>
      <w:tr>
        <w:trPr>
          <w:jc w:val="center"/>
          <w:trHeight w:val="405"/>
        </w:trPr>
        <w:tc>
          <w:tcPr>
            <w:tcW w:w="1280" w:type="dxa"/>
            <w:vAlign w:val="center"/>
            <w:textDirection w:val="lrTb"/>
            <w:noWrap w:val="false"/>
          </w:tcPr>
          <w:p>
            <w:pPr>
              <w:jc w:val="center"/>
              <w:widowControl w:val="off"/>
              <w:rPr>
                <w:rFonts w:hint="eastAsia" w:ascii="宋体" w:hAnsi="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.售后服务</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采购需求”中的“七、商务要求-（三）售后服务要求”提供售后服务方案。优于采购需求的得4分；满足采购需求的得2分；其他情况不得分。</w:t>
            </w:r>
            <w:r/>
          </w:p>
        </w:tc>
      </w:tr>
      <w:tr>
        <w:trPr>
          <w:jc w:val="center"/>
          <w:trHeight w:val="90"/>
        </w:trPr>
        <w:tc>
          <w:tcPr>
            <w:tcW w:w="1280" w:type="dxa"/>
            <w:vAlign w:val="center"/>
            <w:textDirection w:val="lrTb"/>
            <w:noWrap w:val="false"/>
          </w:tcPr>
          <w:p>
            <w:pPr>
              <w:jc w:val="center"/>
              <w:spacing w:before="68"/>
              <w:widowControl w:val="off"/>
              <w:rPr>
                <w:rFonts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cs="宋体"/>
                <w:color w:val="000000" w:themeColor="text1"/>
                <w:spacing w:val="-2"/>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安装调试及履约能力</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tc>
        <w:tc>
          <w:tcPr>
            <w:tcW w:w="7057" w:type="dxa"/>
            <w:vAlign w:val="top"/>
            <w:textDirection w:val="lrTb"/>
            <w:noWrap w:val="false"/>
          </w:tcPr>
          <w:p>
            <w:pPr>
              <w:jc w:val="left"/>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投标人或所投产品制造商相关生产设备：激光切割设备</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0.5</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分）</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、焊接机器人（自动焊接设备）（0.5分）、喷涂生产线（0.5分）、数控弯管机（0.5分）、数控板材开料锯（0.5分）、自动封边机（0.5分），每提供一项得</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0.5</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分，本项最高得3分。</w:t>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注：1.需提供设备生产车间实景照片、设备照片、设备清单及生产设备购置（租赁）发票（或设备采购（租赁）合同或付款凭证），否则不得分；2.如所提供设备名称与要求不完全一致，但功能符合要求，需提供相应功能证明材料可得分。</w:t>
            </w:r>
            <w:r/>
          </w:p>
        </w:tc>
      </w:tr>
      <w:tr>
        <w:trPr>
          <w:jc w:val="center"/>
          <w:trHeight w:val="1422"/>
        </w:trPr>
        <w:tc>
          <w:tcPr>
            <w:tcW w:w="1280"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.样品</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采购需求”中的“采购包2-五、投标样品提供-5.2.1”提供样品，评标委员会对投标人提供的样品外观、工艺、材质方面进行评审。</w:t>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床前护栏（2分）：样品优于招标文件的对应样品得2分；完全符合招标文件的，得1分。</w:t>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立柱（1分）、前/后床厅管/侧床厅矩形管（1分）、衣柜柜门（1分）、桌面板（1分）、铰链（1分）、导轨（1分）、床板（1分）、学生椅（1分）：样品优于招标文件的对应样品得1分；完全符合招标文件的，得0.5分。</w:t>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本项合计10分。</w:t>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注:投标人所提供的样品与招标文件要求不符合或未提供对应样品不得分，3D打印的样品不得分。</w:t>
            </w:r>
            <w:r/>
          </w:p>
        </w:tc>
      </w:tr>
      <w:tr>
        <w:trPr>
          <w:jc w:val="center"/>
          <w:trHeight w:val="90"/>
        </w:trPr>
        <w:tc>
          <w:tcPr>
            <w:tcW w:w="1280"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.项目需求响应情况</w:t>
            </w:r>
            <w:r/>
          </w:p>
        </w:tc>
        <w:tc>
          <w:tcPr>
            <w:tcW w:w="1233"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cs="宋体"/>
                <w:color w:val="000000" w:themeColor="text1"/>
                <w:sz w:val="21"/>
                <w:szCs w:val="21"/>
                <w:highlight w:val="none"/>
                <w:lang w:eastAsia="zh-CN" w:bidi="ar-SA"/>
                <w14:textFill>
                  <w14:solidFill>
                    <w14:schemeClr w14:val="tx1"/>
                  </w14:solidFill>
                </w14:textFill>
              </w:rPr>
              <w:t xml:space="preserve">14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tc>
        <w:tc>
          <w:tcPr>
            <w:tcW w:w="7057" w:type="dxa"/>
            <w:vAlign w:val="center"/>
            <w:textDirection w:val="lrTb"/>
            <w:noWrap w:val="false"/>
          </w:tcPr>
          <w:p>
            <w:pPr>
              <w:jc w:val="left"/>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采购需求”中的“采购包2-三、采购图纸及</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技术参数要求</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-3.2技术参数要求”所列内容进行评分（★项除外），所投产品技术参数完全满足或优于招标文件技术参数要求的得14分。“▲”为重点参数要求，共3项，每有一项（一个句号的完整内容为一“项”）不满足的扣1分；其余为一般参数要求（▲、★除外），共20项，每有一项（一个句号的完整内容为一“项”）负偏离扣0.55分，扣完为止。</w:t>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注：供应商针对本项评标内容在响应文件《技术响应偏离表》中逐条列出响应及偏离情况，《技术响应偏离表》中未列出的对应项按负偏离进行扣分处理。</w:t>
            </w:r>
            <w:r/>
          </w:p>
        </w:tc>
      </w:tr>
      <w:tr>
        <w:trPr>
          <w:jc w:val="center"/>
          <w:trHeight w:val="90"/>
        </w:trPr>
        <w:tc>
          <w:tcPr>
            <w:tcW w:w="1280"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.原材料检测报告</w:t>
            </w:r>
            <w:r/>
          </w:p>
        </w:tc>
        <w:tc>
          <w:tcPr>
            <w:tcW w:w="1233"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6分</w:t>
            </w:r>
            <w:r/>
          </w:p>
        </w:tc>
        <w:tc>
          <w:tcPr>
            <w:tcW w:w="7057" w:type="dxa"/>
            <w:vAlign w:val="center"/>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采购需求”中的“采购包2-四、检测报告要求-4.2原材料检验报告要求”提供符合对应项的检测报告，每提供1项（每个序号为完整的一项）符合对应要求的检验检测报告电子件的得1分，最高得6分。</w:t>
            </w:r>
            <w:r/>
          </w:p>
        </w:tc>
      </w:tr>
      <w:tr>
        <w:trPr>
          <w:jc w:val="center"/>
          <w:trHeight w:val="90"/>
        </w:trPr>
        <w:tc>
          <w:tcPr>
            <w:tcW w:w="1280"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.成品检测报告</w:t>
            </w:r>
            <w:r/>
          </w:p>
        </w:tc>
        <w:tc>
          <w:tcPr>
            <w:tcW w:w="1233"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3分</w:t>
            </w:r>
            <w:r/>
          </w:p>
        </w:tc>
        <w:tc>
          <w:tcPr>
            <w:tcW w:w="7057" w:type="dxa"/>
            <w:vAlign w:val="center"/>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采购需求”中的“采购包2-四、检测报告要求-4.1成品检验报告要求”提供对应项的检测报告。每提供1项（每个序号为完整的一项）符合对应要求的检验检测报告电子件的得1分，最高得3分。</w:t>
            </w:r>
            <w:r/>
          </w:p>
        </w:tc>
      </w:tr>
      <w:tr>
        <w:trPr>
          <w:jc w:val="center"/>
          <w:trHeight w:val="345"/>
        </w:trPr>
        <w:tc>
          <w:tcPr>
            <w:tcW w:w="1280" w:type="dxa"/>
            <w:vAlign w:val="center"/>
            <w:textDirection w:val="lrTb"/>
            <w:noWrap w:val="false"/>
          </w:tcPr>
          <w:p>
            <w:pPr>
              <w:pStyle w:val="1018"/>
              <w:jc w:val="center"/>
              <w:widowControl w:val="off"/>
              <w:rPr>
                <w:rFonts w:ascii="宋体" w:hAnsi="宋体" w:eastAsia="宋体" w:cs="宋体"/>
                <w:color w:val="000000" w:themeColor="text1"/>
                <w:sz w:val="21"/>
                <w:szCs w:val="21"/>
                <w:highlight w:val="none"/>
                <w:lang w:val="zh-CN" w:eastAsia="zh-CN" w:bidi="zh-CN"/>
                <w14:textFill>
                  <w14:solidFill>
                    <w14:schemeClr w14:val="tx1"/>
                  </w14:solidFill>
                </w14:textFill>
              </w:rPr>
            </w:pPr>
            <w:r>
              <w:rPr>
                <w:rFonts w:hint="eastAsia" w:cs="宋体"/>
                <w:color w:val="000000" w:themeColor="text1"/>
                <w:spacing w:val="-1"/>
                <w:sz w:val="21"/>
                <w:szCs w:val="21"/>
                <w:highlight w:val="none"/>
                <w:lang w:val="en-US" w:eastAsia="zh-CN" w:bidi="zh-CN"/>
                <w14:textFill>
                  <w14:solidFill>
                    <w14:schemeClr w14:val="tx1"/>
                  </w14:solidFill>
                </w14:textFill>
              </w:rPr>
              <w:t xml:space="preserve">12</w:t>
            </w:r>
            <w:r>
              <w:rPr>
                <w:rFonts w:hint="eastAsia" w:ascii="宋体" w:hAnsi="宋体" w:eastAsia="宋体" w:cs="宋体"/>
                <w:color w:val="000000" w:themeColor="text1"/>
                <w:spacing w:val="-1"/>
                <w:sz w:val="21"/>
                <w:szCs w:val="21"/>
                <w:highlight w:val="none"/>
                <w:lang w:val="en-US" w:eastAsia="zh-CN" w:bidi="zh-CN"/>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val="zh-CN" w:eastAsia="zh-CN" w:bidi="zh-CN"/>
                <w14:textFill>
                  <w14:solidFill>
                    <w14:schemeClr w14:val="tx1"/>
                  </w14:solidFill>
                </w14:textFill>
              </w:rPr>
              <w:t xml:space="preserve">同类业绩</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10分</w:t>
            </w:r>
            <w:r/>
          </w:p>
        </w:tc>
        <w:tc>
          <w:tcPr>
            <w:tcW w:w="7057" w:type="dxa"/>
            <w:vAlign w:val="center"/>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投标人提供自2022年1月1日以来（以合同签订时间为准）实施的同类项目（需与本项目核心产品同类）成功案例，每提供一个业绩得2分，最多得10分。（需提供中标通知书、合同及验收报告扫描件，缺项不得分。）</w:t>
            </w:r>
            <w:r/>
          </w:p>
        </w:tc>
      </w:tr>
      <w:tr>
        <w:trPr>
          <w:jc w:val="center"/>
          <w:trHeight w:val="720"/>
        </w:trPr>
        <w:tc>
          <w:tcPr>
            <w:tcW w:w="1280"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.环保认证</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2分</w:t>
            </w:r>
            <w:r/>
          </w:p>
        </w:tc>
        <w:tc>
          <w:tcPr>
            <w:tcW w:w="7057" w:type="dxa"/>
            <w:vAlign w:val="top"/>
            <w:textDirection w:val="lrTb"/>
            <w:noWrap w:val="false"/>
          </w:tcPr>
          <w:p>
            <w:pPr>
              <w:jc w:val="left"/>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投标产品在财政部、生态环境部公布的“环境标志产品政府采购品目清单”内，且投标文件中提供国家市场监督管理局确定的列入“参与实施政府采购环境标志产品认证机构名录”内的认证机构出具的、有效期内的该产品环境认证证书电子件的，①认证单元</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钢木家具、</w:t>
            </w:r>
            <w:r>
              <w:rPr>
                <w:rFonts w:hint="eastAsia" w:ascii="宋体" w:hAnsi="宋体" w:eastAsia="宋体" w:cs="宋体"/>
                <w:color w:val="ff0000"/>
                <w:sz w:val="21"/>
                <w:szCs w:val="21"/>
                <w:highlight w:val="none"/>
                <w:lang w:val="en-US" w:eastAsia="zh-CN" w:bidi="ar-SA"/>
              </w:rPr>
              <w:t xml:space="preserve">②认证单元</w:t>
            </w:r>
            <w:r>
              <w:rPr>
                <w:rFonts w:hint="default" w:ascii="宋体" w:hAnsi="宋体" w:eastAsia="宋体" w:cs="宋体"/>
                <w:color w:val="ff0000"/>
                <w:sz w:val="21"/>
                <w:szCs w:val="21"/>
                <w:highlight w:val="none"/>
                <w:lang w:val="en-US" w:eastAsia="zh-CN" w:bidi="ar-SA"/>
              </w:rPr>
              <w:t xml:space="preserve">:</w:t>
            </w:r>
            <w:r>
              <w:rPr>
                <w:rFonts w:hint="eastAsia" w:ascii="宋体" w:hAnsi="宋体" w:eastAsia="宋体" w:cs="宋体"/>
                <w:color w:val="ff0000"/>
                <w:sz w:val="21"/>
                <w:szCs w:val="21"/>
                <w:highlight w:val="none"/>
                <w:lang w:val="en-US" w:eastAsia="zh-CN" w:bidi="ar-SA"/>
              </w:rPr>
              <w:t xml:space="preserve">人造板类家具、</w:t>
            </w:r>
            <w:r>
              <w:rPr>
                <w:rFonts w:hint="default" w:ascii="宋体" w:hAnsi="宋体" w:eastAsia="宋体" w:cs="宋体"/>
                <w:color w:val="ff0000"/>
                <w:sz w:val="21"/>
                <w:szCs w:val="21"/>
                <w:highlight w:val="none"/>
                <w:lang w:val="en-US" w:eastAsia="zh-CN" w:bidi="ar-SA"/>
              </w:rPr>
              <w:t xml:space="preserve">③</w:t>
            </w:r>
            <w:r>
              <w:rPr>
                <w:rFonts w:hint="eastAsia" w:ascii="宋体" w:hAnsi="宋体" w:eastAsia="宋体" w:cs="宋体"/>
                <w:color w:val="ff0000"/>
                <w:sz w:val="21"/>
                <w:szCs w:val="21"/>
                <w:highlight w:val="none"/>
                <w:lang w:val="en-US" w:eastAsia="zh-CN" w:bidi="ar-SA"/>
              </w:rPr>
              <w:t xml:space="preserve">认证单元</w:t>
            </w:r>
            <w:r>
              <w:rPr>
                <w:rFonts w:hint="default" w:ascii="宋体" w:hAnsi="宋体" w:eastAsia="宋体" w:cs="宋体"/>
                <w:color w:val="ff0000"/>
                <w:sz w:val="21"/>
                <w:szCs w:val="21"/>
                <w:highlight w:val="none"/>
                <w:lang w:val="en-US" w:eastAsia="zh-CN" w:bidi="ar-SA"/>
              </w:rPr>
              <w:t xml:space="preserve">:</w:t>
            </w:r>
            <w:r>
              <w:rPr>
                <w:rFonts w:hint="eastAsia" w:ascii="宋体" w:hAnsi="宋体" w:eastAsia="宋体" w:cs="宋体"/>
                <w:color w:val="ff0000"/>
                <w:sz w:val="21"/>
                <w:szCs w:val="21"/>
                <w:highlight w:val="none"/>
                <w:lang w:val="en-US" w:eastAsia="zh-CN" w:bidi="ar-SA"/>
              </w:rPr>
              <w:t xml:space="preserve">综合类木家具</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。证书每满足上述一项认证单元的得1分，最高得2分。</w:t>
            </w:r>
            <w:r/>
          </w:p>
          <w:p>
            <w:pPr>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注</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投标文件提供上述证书电子件和在国家市场监督管理总局全国认证认可信息公共服务平台查询认证完整页面截图，未提供的不得分。</w:t>
            </w:r>
            <w:r/>
          </w:p>
        </w:tc>
      </w:tr>
    </w:tbl>
    <w:p>
      <w:pPr>
        <w:ind w:firstLine="480"/>
        <w:jc w:val="left"/>
        <w:spacing w:before="120" w:after="120" w:line="0" w:lineRule="atLeast"/>
        <w:rPr>
          <w:rFonts w:hint="eastAsia" w:ascii="宋体" w:hAnsi="宋体"/>
          <w:b/>
          <w:color w:val="000000" w:themeColor="text1"/>
          <w:sz w:val="24"/>
          <w:szCs w:val="24"/>
          <w:highlight w:val="none"/>
          <w:lang w:val="en-US" w:eastAsia="zh-CN"/>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r>
      <w:r/>
    </w:p>
    <w:p>
      <w:pPr>
        <w:ind w:firstLine="480"/>
        <w:jc w:val="left"/>
        <w:spacing w:before="120" w:after="120" w:line="0" w:lineRule="atLeast"/>
        <w:rPr>
          <w:rFonts w:hint="eastAsia" w:ascii="宋体" w:hAnsi="宋体"/>
          <w:b/>
          <w:color w:val="000000" w:themeColor="text1"/>
          <w:sz w:val="24"/>
          <w:szCs w:val="24"/>
          <w:highlight w:val="none"/>
          <w:lang w:val="en-US" w:eastAsia="zh-CN"/>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r>
      <w:r/>
    </w:p>
    <w:p>
      <w:pPr>
        <w:ind w:firstLine="480"/>
        <w:jc w:val="left"/>
        <w:spacing w:before="120" w:after="120" w:line="0" w:lineRule="atLeas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采购包3：</w:t>
      </w:r>
      <w:r>
        <w:rPr>
          <w:rFonts w:hint="eastAsia" w:ascii="宋体" w:hAnsi="宋体"/>
          <w:b/>
          <w:color w:val="000000" w:themeColor="text1"/>
          <w:sz w:val="24"/>
          <w:szCs w:val="24"/>
          <w:highlight w:val="none"/>
          <w14:textFill>
            <w14:solidFill>
              <w14:schemeClr w14:val="tx1"/>
            </w14:solidFill>
          </w14:textFill>
        </w:rPr>
        <w:t xml:space="preserve">评标方法与评标标准</w:t>
      </w:r>
      <w:r/>
    </w:p>
    <w:tbl>
      <w:tblPr>
        <w:tblStyle w:val="705"/>
        <w:tblW w:w="9570" w:type="dxa"/>
        <w:jc w:val="center"/>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Layout w:type="fixed"/>
        <w:tblCellMar>
          <w:left w:w="20" w:type="dxa"/>
          <w:top w:w="20" w:type="dxa"/>
          <w:right w:w="20" w:type="dxa"/>
          <w:bottom w:w="20" w:type="dxa"/>
        </w:tblCellMar>
        <w:tblLook w:val="04A0" w:firstRow="1" w:lastRow="0" w:firstColumn="1" w:lastColumn="0" w:noHBand="0" w:noVBand="1"/>
      </w:tblPr>
      <w:tblGrid>
        <w:gridCol w:w="1280"/>
        <w:gridCol w:w="1233"/>
        <w:gridCol w:w="7057"/>
      </w:tblGrid>
      <w:tr>
        <w:trPr>
          <w:jc w:val="center"/>
          <w:trHeight w:val="600"/>
        </w:trPr>
        <w:tc>
          <w:tcPr>
            <w:tcW w:w="1280"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评分因素</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分值   （100分）</w:t>
            </w:r>
            <w:r/>
          </w:p>
        </w:tc>
        <w:tc>
          <w:tcPr>
            <w:tcW w:w="7057" w:type="dxa"/>
            <w:vAlign w:val="center"/>
            <w:textDirection w:val="lrTb"/>
            <w:noWrap w:val="false"/>
          </w:tcPr>
          <w:p>
            <w:pPr>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评分标准</w:t>
            </w:r>
            <w:r/>
          </w:p>
        </w:tc>
      </w:tr>
      <w:tr>
        <w:trPr>
          <w:jc w:val="center"/>
          <w:trHeight w:val="90"/>
        </w:trPr>
        <w:tc>
          <w:tcPr>
            <w:tcW w:w="1280"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1.投标报价</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30分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r/>
          </w:p>
        </w:tc>
      </w:tr>
      <w:tr>
        <w:trPr>
          <w:jc w:val="center"/>
          <w:trHeight w:val="90"/>
        </w:trPr>
        <w:tc>
          <w:tcPr>
            <w:tcW w:w="1280"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2.质量管理及保障方案</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5分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采购需求”中的“七、商务要求-（二）项目实施要求-3.1质量管理及保障方案”提供质量管理及保障方案。优于采购需求的得5分；满足采购需求的得3分；其他情况不得分。</w:t>
            </w:r>
            <w:r/>
          </w:p>
        </w:tc>
      </w:tr>
      <w:tr>
        <w:trPr>
          <w:jc w:val="center"/>
          <w:trHeight w:val="90"/>
        </w:trPr>
        <w:tc>
          <w:tcPr>
            <w:tcW w:w="1280"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3.进度控制方案</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5分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采购需求”中的“七、商务要求-（二）项目实施要求-3.2进度控制方案”提供进度控制方案。优于采购需求的得5分；满足采购需求的得3分；其他情况不得分。</w:t>
            </w:r>
            <w:r/>
          </w:p>
        </w:tc>
      </w:tr>
      <w:tr>
        <w:trPr>
          <w:jc w:val="center"/>
          <w:trHeight w:val="664"/>
        </w:trPr>
        <w:tc>
          <w:tcPr>
            <w:tcW w:w="1280" w:type="dxa"/>
            <w:vAlign w:val="center"/>
            <w:textDirection w:val="lrTb"/>
            <w:noWrap w:val="false"/>
          </w:tcPr>
          <w:p>
            <w:pPr>
              <w:jc w:val="center"/>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4.项目交付方案</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七</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、商务要求-（</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四</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）交付要求”提供项目交付方案。优于采购需求的得</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分；满足采购需求的得</w:t>
            </w: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分；其他情况不得分。</w:t>
            </w:r>
            <w:r/>
          </w:p>
        </w:tc>
      </w:tr>
      <w:tr>
        <w:trPr>
          <w:jc w:val="center"/>
          <w:trHeight w:val="405"/>
        </w:trPr>
        <w:tc>
          <w:tcPr>
            <w:tcW w:w="1280"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5.免费质保期</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满足招标文件免费质保期3年要求后,每增加1年得2分，最高得4分。注：需在投标文件中附承诺函明确标注延长的质保年限，每增加一年的加分仅以承诺函载明的年限为准；未提供承诺函或承诺年限不清晰不得分（格式自拟）。</w:t>
            </w:r>
            <w:r/>
          </w:p>
        </w:tc>
      </w:tr>
      <w:tr>
        <w:trPr>
          <w:jc w:val="center"/>
          <w:trHeight w:val="405"/>
        </w:trPr>
        <w:tc>
          <w:tcPr>
            <w:tcW w:w="1280" w:type="dxa"/>
            <w:vAlign w:val="center"/>
            <w:textDirection w:val="lrTb"/>
            <w:noWrap w:val="false"/>
          </w:tcPr>
          <w:p>
            <w:pPr>
              <w:jc w:val="center"/>
              <w:widowControl w:val="off"/>
              <w:rPr>
                <w:rFonts w:hint="eastAsia" w:ascii="宋体" w:hAnsi="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.售后服务</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cs="Courier New"/>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采购需求”中的“七、商务要求-（三）售后服务要求”提供售后服务方案。优于采购需求的得4分；满足采购需求的得2分；其他情况不得分。</w:t>
            </w:r>
            <w:r/>
          </w:p>
        </w:tc>
      </w:tr>
      <w:tr>
        <w:trPr>
          <w:jc w:val="center"/>
          <w:trHeight w:val="360"/>
        </w:trPr>
        <w:tc>
          <w:tcPr>
            <w:tcW w:w="1280" w:type="dxa"/>
            <w:vAlign w:val="center"/>
            <w:textDirection w:val="lrTb"/>
            <w:noWrap w:val="false"/>
          </w:tcPr>
          <w:p>
            <w:pPr>
              <w:jc w:val="center"/>
              <w:spacing w:before="68"/>
              <w:widowControl w:val="off"/>
              <w:rPr>
                <w:rFonts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cs="宋体"/>
                <w:color w:val="000000" w:themeColor="text1"/>
                <w:spacing w:val="-2"/>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安装调试及履约能力</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tc>
        <w:tc>
          <w:tcPr>
            <w:tcW w:w="7057" w:type="dxa"/>
            <w:vAlign w:val="top"/>
            <w:textDirection w:val="lrTb"/>
            <w:noWrap w:val="false"/>
          </w:tcPr>
          <w:p>
            <w:pPr>
              <w:jc w:val="left"/>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投标人或所投产品制造商相关生产设备：激光切割设备</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0.5</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分）</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、焊接机器人（自动焊接设备）（0.5分）、喷涂生产线（0.5分）、数控弯管机（0.5分）、数控板材开料锯（0.5分）、自动封边机（0.5分），每提供一项得</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0.5</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分，本项最高得3分。</w:t>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注：1.需提供设备生产车间实景照片、设备照片、设备清单及生产设备购置（租赁）发票（或设备采购（租赁）合同或付款凭证），否则不得分；2.如所提供设备名称与要求不完全一致，但功能符合要求，需提供相应功能证明材料可得分。</w:t>
            </w:r>
            <w:r/>
          </w:p>
        </w:tc>
      </w:tr>
      <w:tr>
        <w:trPr>
          <w:jc w:val="center"/>
          <w:trHeight w:val="208"/>
        </w:trPr>
        <w:tc>
          <w:tcPr>
            <w:tcW w:w="1280" w:type="dxa"/>
            <w:vAlign w:val="center"/>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8.样品</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10分</w:t>
            </w:r>
            <w:r/>
          </w:p>
        </w:tc>
        <w:tc>
          <w:tcPr>
            <w:tcW w:w="7057" w:type="dxa"/>
            <w:vAlign w:val="top"/>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采购需求”中的“采购包3-五、投标样品提供要求”提供样品，评标委员会对投标人提供的样品外观、工艺、材质方面进行评审。</w:t>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床前护栏（1分）、立柱（1分）、前/后床厅管/侧床厅矩形管（1分）、衣柜柜门（1分）、桌面板（1分）、铰链（1分）、导轨（1分）、爬梯（1分）、床板（1分）、学生椅（1分）：样品优于招标文件的对应样品得1分；完全符合招标文件的，得0.5分。本项合计10分。</w:t>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注:投标人所提供的样品与招标文件要求不符合或未提供对应样品不得分，3D打印的样品不得分。</w:t>
            </w:r>
            <w:r/>
          </w:p>
        </w:tc>
      </w:tr>
      <w:tr>
        <w:trPr>
          <w:jc w:val="center"/>
          <w:trHeight w:val="90"/>
        </w:trPr>
        <w:tc>
          <w:tcPr>
            <w:tcW w:w="1280" w:type="dxa"/>
            <w:vAlign w:val="center"/>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9.项目需求响应情况</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14分</w:t>
            </w:r>
            <w:r/>
          </w:p>
        </w:tc>
        <w:tc>
          <w:tcPr>
            <w:tcW w:w="7057" w:type="dxa"/>
            <w:vAlign w:val="center"/>
            <w:textDirection w:val="lrTb"/>
            <w:noWrap w:val="false"/>
          </w:tcPr>
          <w:p>
            <w:pPr>
              <w:jc w:val="left"/>
              <w:widowControl w:val="off"/>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采购需求”中的“采购包3-三、采购图纸及</w:t>
            </w:r>
            <w:r>
              <w:rPr>
                <w:rFonts w:hint="default" w:ascii="宋体" w:hAnsi="宋体" w:eastAsia="宋体" w:cs="Courier New"/>
                <w:color w:val="000000" w:themeColor="text1"/>
                <w:sz w:val="21"/>
                <w:szCs w:val="21"/>
                <w:highlight w:val="none"/>
                <w:lang w:val="en-US" w:eastAsia="zh-CN" w:bidi="ar-SA"/>
                <w14:textFill>
                  <w14:solidFill>
                    <w14:schemeClr w14:val="tx1"/>
                  </w14:solidFill>
                </w14:textFill>
              </w:rPr>
              <w:t xml:space="preserve">技术参数要求</w:t>
            </w: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-3.2技术参数要求”所列内容进行评分（★项除外），所投产品技术参数完全满足或优于招标文件技术参数要求的得14分。“▲”为重点参数要求，共3项，每有一项（一个句号的完整内容为一“项”）不满足的扣1分；其余为一般参数要求（▲、★除外），共20项，每有一项（一个句号的完整内容为一“项”）负偏离扣0.55分，扣完为止。</w:t>
            </w:r>
            <w:r/>
          </w:p>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注：供应商针对本项评标内容在响应文件《技术响应偏离表》中逐条列出响应及偏离情况，《技术响应偏离表》中未列出的对应项按负偏离进行扣分处理。</w:t>
            </w:r>
            <w:r/>
          </w:p>
        </w:tc>
      </w:tr>
      <w:tr>
        <w:trPr>
          <w:jc w:val="center"/>
          <w:trHeight w:val="90"/>
        </w:trPr>
        <w:tc>
          <w:tcPr>
            <w:tcW w:w="1280"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10.原材料检测报告</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6分</w:t>
            </w:r>
            <w:r/>
          </w:p>
        </w:tc>
        <w:tc>
          <w:tcPr>
            <w:tcW w:w="7057" w:type="dxa"/>
            <w:vAlign w:val="center"/>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采购需求”中的“采购包3-四、检测报告要求-4.2原材料检验报告要求”提供符合对应项的检测报告，每提供1项（每个序号为完整的一项）符合对应要求的检验检测报告电子件的得1分，最高得6分。</w:t>
            </w:r>
            <w:r/>
          </w:p>
        </w:tc>
      </w:tr>
      <w:tr>
        <w:trPr>
          <w:jc w:val="center"/>
          <w:trHeight w:val="90"/>
        </w:trPr>
        <w:tc>
          <w:tcPr>
            <w:tcW w:w="1280"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11.成品检测报告</w:t>
            </w:r>
            <w:r/>
          </w:p>
        </w:tc>
        <w:tc>
          <w:tcPr>
            <w:tcW w:w="1233" w:type="dxa"/>
            <w:vAlign w:val="center"/>
            <w:textDirection w:val="lrTb"/>
            <w:noWrap w:val="false"/>
          </w:tcPr>
          <w:p>
            <w:pPr>
              <w:jc w:val="center"/>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3分</w:t>
            </w:r>
            <w:r/>
          </w:p>
        </w:tc>
        <w:tc>
          <w:tcPr>
            <w:tcW w:w="7057" w:type="dxa"/>
            <w:vAlign w:val="center"/>
            <w:textDirection w:val="lrTb"/>
            <w:noWrap w:val="false"/>
          </w:tcPr>
          <w:p>
            <w:pPr>
              <w:jc w:val="left"/>
              <w:widowControl w:val="off"/>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针对招标文件“第四章 采购需求”中的“采购包3-四、检测报告要求-4.1成品检验报告要求”提供对应项的检测报告。每提供1项（每个序号为完整的一项）符合对应要求的检验检测报告电子件的得1分，最高得3分。</w:t>
            </w:r>
            <w:r/>
          </w:p>
        </w:tc>
      </w:tr>
      <w:tr>
        <w:trPr>
          <w:jc w:val="center"/>
          <w:trHeight w:val="720"/>
        </w:trPr>
        <w:tc>
          <w:tcPr>
            <w:tcW w:w="1280" w:type="dxa"/>
            <w:vAlign w:val="center"/>
            <w:textDirection w:val="lrTb"/>
            <w:noWrap w:val="false"/>
          </w:tcPr>
          <w:p>
            <w:pPr>
              <w:pStyle w:val="1018"/>
              <w:jc w:val="center"/>
              <w:widowControl w:val="off"/>
              <w:rPr>
                <w:rFonts w:ascii="宋体" w:hAnsi="宋体" w:eastAsia="宋体" w:cs="宋体"/>
                <w:color w:val="000000" w:themeColor="text1"/>
                <w:sz w:val="21"/>
                <w:szCs w:val="21"/>
                <w:highlight w:val="none"/>
                <w:lang w:val="zh-CN" w:eastAsia="zh-CN" w:bidi="zh-CN"/>
                <w14:textFill>
                  <w14:solidFill>
                    <w14:schemeClr w14:val="tx1"/>
                  </w14:solidFill>
                </w14:textFill>
              </w:rPr>
            </w:pPr>
            <w:r>
              <w:rPr>
                <w:rFonts w:hint="eastAsia" w:cs="宋体"/>
                <w:color w:val="000000" w:themeColor="text1"/>
                <w:spacing w:val="-1"/>
                <w:sz w:val="21"/>
                <w:szCs w:val="21"/>
                <w:highlight w:val="none"/>
                <w:lang w:val="en-US" w:eastAsia="zh-CN" w:bidi="zh-CN"/>
                <w14:textFill>
                  <w14:solidFill>
                    <w14:schemeClr w14:val="tx1"/>
                  </w14:solidFill>
                </w14:textFill>
              </w:rPr>
              <w:t xml:space="preserve">12</w:t>
            </w:r>
            <w:r>
              <w:rPr>
                <w:rFonts w:hint="eastAsia" w:ascii="宋体" w:hAnsi="宋体" w:eastAsia="宋体" w:cs="宋体"/>
                <w:color w:val="000000" w:themeColor="text1"/>
                <w:spacing w:val="-1"/>
                <w:sz w:val="21"/>
                <w:szCs w:val="21"/>
                <w:highlight w:val="none"/>
                <w:lang w:val="en-US" w:eastAsia="zh-CN" w:bidi="zh-CN"/>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val="zh-CN" w:eastAsia="zh-CN" w:bidi="zh-CN"/>
                <w14:textFill>
                  <w14:solidFill>
                    <w14:schemeClr w14:val="tx1"/>
                  </w14:solidFill>
                </w14:textFill>
              </w:rPr>
              <w:t xml:space="preserve">同类业绩</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10分</w:t>
            </w:r>
            <w:r/>
          </w:p>
        </w:tc>
        <w:tc>
          <w:tcPr>
            <w:tcW w:w="7057" w:type="dxa"/>
            <w:vAlign w:val="center"/>
            <w:textDirection w:val="lrTb"/>
            <w:noWrap w:val="false"/>
          </w:tcPr>
          <w:p>
            <w:pPr>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投标人提供自2022年1月1日以来（以合同签订时间为准）实施的同类项目（需与本项目核心产品同类）成功案例，每提供一个业绩得2分，最多得10分。（需提供中标通知书、合同及验收报告扫描件，缺项不得分。）</w:t>
            </w:r>
            <w:r/>
          </w:p>
        </w:tc>
      </w:tr>
      <w:tr>
        <w:trPr>
          <w:jc w:val="center"/>
          <w:trHeight w:val="720"/>
        </w:trPr>
        <w:tc>
          <w:tcPr>
            <w:tcW w:w="1280"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.环保认证</w:t>
            </w:r>
            <w:r/>
          </w:p>
        </w:tc>
        <w:tc>
          <w:tcPr>
            <w:tcW w:w="123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2分</w:t>
            </w:r>
            <w:r/>
          </w:p>
        </w:tc>
        <w:tc>
          <w:tcPr>
            <w:tcW w:w="7057" w:type="dxa"/>
            <w:vAlign w:val="top"/>
            <w:textDirection w:val="lrTb"/>
            <w:noWrap w:val="false"/>
          </w:tcPr>
          <w:p>
            <w:pPr>
              <w:jc w:val="left"/>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产品在财政部、生态环境部公布的“环境标志产品政府采购品目清单”内，且投标文件中提供国家市场监督管理局确定的列入“参与实施政府采购环境标志产品认证机构名录”内的认证机构出具的、有效期内的该产品环境认证证书电子件的，①认证单元</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钢木家具、</w:t>
            </w:r>
            <w:r>
              <w:rPr>
                <w:rFonts w:hint="eastAsia" w:ascii="宋体" w:hAnsi="宋体" w:eastAsia="宋体" w:cs="宋体"/>
                <w:color w:val="ff0000"/>
                <w:sz w:val="21"/>
                <w:szCs w:val="21"/>
                <w:highlight w:val="none"/>
                <w:lang w:val="en-US" w:eastAsia="zh-CN" w:bidi="ar-SA"/>
              </w:rPr>
              <w:t xml:space="preserve">②认证单元</w:t>
            </w:r>
            <w:r>
              <w:rPr>
                <w:rFonts w:hint="default" w:ascii="宋体" w:hAnsi="宋体" w:eastAsia="宋体" w:cs="宋体"/>
                <w:color w:val="ff0000"/>
                <w:sz w:val="21"/>
                <w:szCs w:val="21"/>
                <w:highlight w:val="none"/>
                <w:lang w:val="en-US" w:eastAsia="zh-CN" w:bidi="ar-SA"/>
              </w:rPr>
              <w:t xml:space="preserve">:</w:t>
            </w:r>
            <w:r>
              <w:rPr>
                <w:rFonts w:hint="eastAsia" w:ascii="宋体" w:hAnsi="宋体" w:eastAsia="宋体" w:cs="宋体"/>
                <w:color w:val="ff0000"/>
                <w:sz w:val="21"/>
                <w:szCs w:val="21"/>
                <w:highlight w:val="none"/>
                <w:lang w:val="en-US" w:eastAsia="zh-CN" w:bidi="ar-SA"/>
              </w:rPr>
              <w:t xml:space="preserve">人造板类家具、</w:t>
            </w:r>
            <w:r>
              <w:rPr>
                <w:rFonts w:hint="default" w:ascii="宋体" w:hAnsi="宋体" w:eastAsia="宋体" w:cs="宋体"/>
                <w:color w:val="ff0000"/>
                <w:sz w:val="21"/>
                <w:szCs w:val="21"/>
                <w:highlight w:val="none"/>
                <w:lang w:val="en-US" w:eastAsia="zh-CN" w:bidi="ar-SA"/>
              </w:rPr>
              <w:t xml:space="preserve">③</w:t>
            </w:r>
            <w:r>
              <w:rPr>
                <w:rFonts w:hint="eastAsia" w:ascii="宋体" w:hAnsi="宋体" w:eastAsia="宋体" w:cs="宋体"/>
                <w:color w:val="ff0000"/>
                <w:sz w:val="21"/>
                <w:szCs w:val="21"/>
                <w:highlight w:val="none"/>
                <w:lang w:val="en-US" w:eastAsia="zh-CN" w:bidi="ar-SA"/>
              </w:rPr>
              <w:t xml:space="preserve">认证单元</w:t>
            </w:r>
            <w:r>
              <w:rPr>
                <w:rFonts w:hint="default" w:ascii="宋体" w:hAnsi="宋体" w:eastAsia="宋体" w:cs="宋体"/>
                <w:color w:val="ff0000"/>
                <w:sz w:val="21"/>
                <w:szCs w:val="21"/>
                <w:highlight w:val="none"/>
                <w:lang w:val="en-US" w:eastAsia="zh-CN" w:bidi="ar-SA"/>
              </w:rPr>
              <w:t xml:space="preserve">:</w:t>
            </w:r>
            <w:r>
              <w:rPr>
                <w:rFonts w:hint="eastAsia" w:ascii="宋体" w:hAnsi="宋体" w:eastAsia="宋体" w:cs="宋体"/>
                <w:color w:val="ff0000"/>
                <w:sz w:val="21"/>
                <w:szCs w:val="21"/>
                <w:highlight w:val="none"/>
                <w:lang w:val="en-US" w:eastAsia="zh-CN" w:bidi="ar-SA"/>
              </w:rPr>
              <w:t xml:space="preserve">综合类木家具</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。证书每满足上述一项认证单元的得1分，最高得2分。</w:t>
            </w:r>
            <w:r/>
          </w:p>
          <w:p>
            <w:pPr>
              <w:jc w:val="lef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注</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投标文件提供上述证书电子件和在国家市场监督管理总局全国认证认可信息公共服务平台查询认证完整页面截图，未提供的不得分。</w:t>
            </w:r>
            <w:r/>
          </w:p>
        </w:tc>
      </w:tr>
    </w:tbl>
    <w:p>
      <w:pPr>
        <w:jc w:val="center"/>
        <w:keepNext/>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pStyle w:val="710"/>
        <w:rPr>
          <w:rFonts w:hint="eastAsia" w:ascii="黑体" w:hAnsi="Times New Roman" w:eastAsia="黑体"/>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r>
      <w:r/>
    </w:p>
    <w:p>
      <w:pPr>
        <w:pStyle w:val="710"/>
        <w:rPr>
          <w:rFonts w:hint="eastAsia" w:ascii="黑体" w:hAnsi="Times New Roman" w:eastAsia="黑体"/>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r>
      <w:r/>
    </w:p>
    <w:p>
      <w:pPr>
        <w:pStyle w:val="710"/>
        <w:rPr>
          <w:rFonts w:hint="eastAsia" w:ascii="黑体" w:hAnsi="Times New Roman" w:eastAsia="黑体"/>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r>
      <w:r/>
    </w:p>
    <w:p>
      <w:pPr>
        <w:pStyle w:val="710"/>
        <w:rPr>
          <w:rFonts w:hint="eastAsia" w:ascii="黑体" w:hAnsi="Times New Roman" w:eastAsia="黑体"/>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r>
      <w:r/>
    </w:p>
    <w:p>
      <w:pPr>
        <w:pStyle w:val="710"/>
        <w:rPr>
          <w:rFonts w:hint="eastAsia" w:ascii="黑体" w:hAnsi="Times New Roman" w:eastAsia="黑体"/>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r>
      <w:r/>
    </w:p>
    <w:p>
      <w:pPr>
        <w:pStyle w:val="710"/>
        <w:rPr>
          <w:rFonts w:hint="eastAsia" w:ascii="黑体" w:hAnsi="Times New Roman" w:eastAsia="黑体"/>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r>
      <w:r/>
    </w:p>
    <w:p>
      <w:pPr>
        <w:jc w:val="center"/>
        <w:keepNext/>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jc w:val="center"/>
        <w:keepNext/>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jc w:val="center"/>
        <w:keepNext/>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p>
    <w:p>
      <w:pPr>
        <w:jc w:val="center"/>
        <w:keepNext/>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t xml:space="preserve">第六章  投标</w:t>
      </w:r>
      <w:bookmarkEnd w:id="183"/>
      <w:r/>
      <w:bookmarkEnd w:id="184"/>
      <w:r/>
      <w:bookmarkEnd w:id="200"/>
      <w:r>
        <w:rPr>
          <w:rFonts w:hint="eastAsia" w:ascii="黑体" w:hAnsi="Times New Roman" w:eastAsia="黑体"/>
          <w:bCs/>
          <w:color w:val="000000" w:themeColor="text1"/>
          <w:sz w:val="44"/>
          <w:szCs w:val="28"/>
          <w:highlight w:val="none"/>
          <w14:textFill>
            <w14:solidFill>
              <w14:schemeClr w14:val="tx1"/>
            </w14:solidFill>
          </w14:textFill>
        </w:rPr>
        <w:t xml:space="preserve">文件格式</w:t>
      </w:r>
      <w:r/>
    </w:p>
    <w:p>
      <w:pPr>
        <w:jc w:val="center"/>
        <w:rPr>
          <w:rFonts w:hint="eastAsia" w:ascii="宋体" w:hAnsi="宋体"/>
          <w:b/>
          <w:color w:val="000000" w:themeColor="text1"/>
          <w:sz w:val="72"/>
          <w:szCs w:val="21"/>
          <w:highlight w:val="none"/>
          <w14:textFill>
            <w14:solidFill>
              <w14:schemeClr w14:val="tx1"/>
            </w14:solidFill>
          </w14:textFill>
        </w:rPr>
      </w:pPr>
      <w:r/>
      <w:bookmarkStart w:id="214" w:name="_Hlt26671244"/>
      <w:r/>
      <w:bookmarkEnd w:id="214"/>
      <w:r/>
      <w:bookmarkStart w:id="215" w:name="_Hlt26955039"/>
      <w:r/>
      <w:bookmarkEnd w:id="215"/>
      <w:r/>
      <w:bookmarkStart w:id="216" w:name="_Toc49090576"/>
      <w:r/>
      <w:bookmarkStart w:id="217" w:name="_Toc26554094"/>
      <w:r/>
      <w:bookmarkStart w:id="218" w:name="_Toc120614282"/>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投  标  文  件</w:t>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ind w:firstLine="1080"/>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名 称：</w:t>
      </w:r>
      <w:r>
        <w:rPr>
          <w:rFonts w:hint="eastAsia" w:ascii="宋体" w:hAnsi="宋体"/>
          <w:b/>
          <w:color w:val="000000" w:themeColor="text1"/>
          <w:sz w:val="36"/>
          <w:szCs w:val="21"/>
          <w:highlight w:val="none"/>
          <w:u w:val="single"/>
          <w14:textFill>
            <w14:solidFill>
              <w14:schemeClr w14:val="tx1"/>
            </w14:solidFill>
          </w14:textFill>
        </w:rPr>
        <w:t xml:space="preserve">               </w:t>
      </w:r>
      <w:r/>
    </w:p>
    <w:p>
      <w:pPr>
        <w:ind w:firstLine="1080"/>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编 号：</w:t>
      </w:r>
      <w:r>
        <w:rPr>
          <w:rFonts w:hint="eastAsia" w:ascii="宋体" w:hAnsi="宋体"/>
          <w:b/>
          <w:color w:val="000000" w:themeColor="text1"/>
          <w:sz w:val="36"/>
          <w:szCs w:val="21"/>
          <w:highlight w:val="none"/>
          <w:u w:val="single"/>
          <w14:textFill>
            <w14:solidFill>
              <w14:schemeClr w14:val="tx1"/>
            </w14:solidFill>
          </w14:textFill>
        </w:rPr>
        <w:t xml:space="preserve">               </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投标人名称 ：</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7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投标文件的</w:t>
      </w:r>
      <w:r>
        <w:rPr>
          <w:rFonts w:ascii="宋体" w:hAnsi="宋体"/>
          <w:b/>
          <w:bCs/>
          <w:color w:val="000000" w:themeColor="text1"/>
          <w:sz w:val="32"/>
          <w:szCs w:val="32"/>
          <w:highlight w:val="none"/>
          <w14:textFill>
            <w14:solidFill>
              <w14:schemeClr w14:val="tx1"/>
            </w14:solidFill>
          </w14:textFill>
        </w:rPr>
        <w:t xml:space="preserve">组成</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left="480"/>
        <w:spacing w:line="400" w:lineRule="exact"/>
        <w:rPr>
          <w:rFonts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一、基本目录</w:t>
      </w:r>
      <w:r/>
    </w:p>
    <w:p>
      <w:pPr>
        <w:ind w:left="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开标一览表（格式见附件</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w:t>
      </w: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投标分项报价表（格式见</w:t>
      </w:r>
      <w:r>
        <w:rPr>
          <w:rFonts w:ascii="宋体" w:hAnsi="宋体"/>
          <w:color w:val="000000" w:themeColor="text1"/>
          <w:sz w:val="24"/>
          <w:szCs w:val="21"/>
          <w:highlight w:val="none"/>
          <w14:textFill>
            <w14:solidFill>
              <w14:schemeClr w14:val="tx1"/>
            </w14:solidFill>
          </w14:textFill>
        </w:rPr>
        <w:t xml:space="preserve">附件2</w:t>
      </w:r>
      <w:r>
        <w:rPr>
          <w:rFonts w:hint="eastAsia" w:ascii="宋体" w:hAnsi="宋体"/>
          <w:color w:val="000000" w:themeColor="text1"/>
          <w:sz w:val="24"/>
          <w:szCs w:val="21"/>
          <w:highlight w:val="none"/>
          <w14:textFill>
            <w14:solidFill>
              <w14:schemeClr w14:val="tx1"/>
            </w14:solidFill>
          </w14:textFill>
        </w:rPr>
        <w:t xml:space="preserve">）</w:t>
      </w: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技术要求响应及偏离表（格式见</w:t>
      </w:r>
      <w:r>
        <w:rPr>
          <w:rFonts w:ascii="宋体" w:hAnsi="宋体"/>
          <w:color w:val="000000" w:themeColor="text1"/>
          <w:sz w:val="24"/>
          <w:szCs w:val="21"/>
          <w:highlight w:val="none"/>
          <w14:textFill>
            <w14:solidFill>
              <w14:schemeClr w14:val="tx1"/>
            </w14:solidFill>
          </w14:textFill>
        </w:rPr>
        <w:t xml:space="preserve">附件3</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商务要求响应及偏离表（格式见</w:t>
      </w:r>
      <w:r>
        <w:rPr>
          <w:rFonts w:ascii="宋体" w:hAnsi="宋体"/>
          <w:color w:val="000000" w:themeColor="text1"/>
          <w:sz w:val="24"/>
          <w:szCs w:val="21"/>
          <w:highlight w:val="none"/>
          <w14:textFill>
            <w14:solidFill>
              <w14:schemeClr w14:val="tx1"/>
            </w14:solidFill>
          </w14:textFill>
        </w:rPr>
        <w:t xml:space="preserve">附件4</w:t>
      </w:r>
      <w:r>
        <w:rPr>
          <w:rFonts w:hint="eastAsia" w:ascii="宋体" w:hAnsi="宋体"/>
          <w:color w:val="000000" w:themeColor="text1"/>
          <w:sz w:val="24"/>
          <w:szCs w:val="21"/>
          <w:highlight w:val="none"/>
          <w14:textFill>
            <w14:solidFill>
              <w14:schemeClr w14:val="tx1"/>
            </w14:solidFill>
          </w14:textFill>
        </w:rPr>
        <w:t xml:space="preserve">）</w:t>
      </w:r>
      <w:r/>
    </w:p>
    <w:p>
      <w:pPr>
        <w:ind w:left="480"/>
        <w:spacing w:line="400" w:lineRule="exact"/>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二</w:t>
      </w:r>
      <w:r>
        <w:rPr>
          <w:rFonts w:ascii="宋体" w:hAnsi="宋体"/>
          <w:b/>
          <w:color w:val="000000" w:themeColor="text1"/>
          <w:sz w:val="24"/>
          <w:szCs w:val="21"/>
          <w:highlight w:val="none"/>
          <w14:textFill>
            <w14:solidFill>
              <w14:schemeClr w14:val="tx1"/>
            </w14:solidFill>
          </w14:textFill>
        </w:rPr>
        <w:t xml:space="preserve">、资格审查内容</w:t>
      </w:r>
      <w:r/>
    </w:p>
    <w:p>
      <w:pPr>
        <w:ind w:left="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法人或者其他组织的营业执照等证明文件，自然人的身份证明</w:t>
      </w:r>
      <w:r/>
    </w:p>
    <w:p>
      <w:pPr>
        <w:ind w:left="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lang w:val="en-US" w:eastAsia="zh-CN"/>
          <w14:textFill>
            <w14:solidFill>
              <w14:schemeClr w14:val="tx1"/>
            </w14:solidFill>
          </w14:textFill>
        </w:rPr>
        <w:t xml:space="preserve">2024或2025</w:t>
      </w:r>
      <w:r>
        <w:rPr>
          <w:rFonts w:hint="eastAsia" w:ascii="宋体" w:hAnsi="宋体"/>
          <w:color w:val="000000" w:themeColor="text1"/>
          <w:sz w:val="24"/>
          <w:szCs w:val="21"/>
          <w:highlight w:val="none"/>
          <w14:textFill>
            <w14:solidFill>
              <w14:schemeClr w14:val="tx1"/>
            </w14:solidFill>
          </w14:textFill>
        </w:rPr>
        <w:t xml:space="preserve">年度的财务状况报告（投标人成立不满一年无需提供）</w:t>
      </w: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依法缴纳税收和社会保障资金的相关材料（提供提交投标文件截止时间</w:t>
      </w:r>
      <w:r/>
    </w:p>
    <w:p>
      <w:pPr>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具备履行合同所必需的设备和专业技术能力的书面声明（格式见</w:t>
      </w:r>
      <w:r>
        <w:rPr>
          <w:rFonts w:ascii="宋体" w:hAnsi="宋体"/>
          <w:color w:val="000000" w:themeColor="text1"/>
          <w:sz w:val="24"/>
          <w:szCs w:val="21"/>
          <w:highlight w:val="none"/>
          <w14:textFill>
            <w14:solidFill>
              <w14:schemeClr w14:val="tx1"/>
            </w14:solidFill>
          </w14:textFill>
        </w:rPr>
        <w:t xml:space="preserve">附件5</w:t>
      </w:r>
      <w:r>
        <w:rPr>
          <w:rFonts w:hint="eastAsia" w:ascii="宋体" w:hAnsi="宋体"/>
          <w:color w:val="000000" w:themeColor="text1"/>
          <w:sz w:val="24"/>
          <w:szCs w:val="21"/>
          <w:highlight w:val="none"/>
          <w14:textFill>
            <w14:solidFill>
              <w14:schemeClr w14:val="tx1"/>
            </w14:solidFill>
          </w14:textFill>
        </w:rPr>
        <w:t xml:space="preserve">）</w:t>
      </w: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5.参加政府采购活动前 3 年内在经营活动中没有重大违法记录的书面声</w:t>
      </w:r>
      <w:r/>
    </w:p>
    <w:p>
      <w:pPr>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明（格式见</w:t>
      </w:r>
      <w:r>
        <w:rPr>
          <w:rFonts w:ascii="宋体" w:hAnsi="宋体"/>
          <w:color w:val="000000" w:themeColor="text1"/>
          <w:sz w:val="24"/>
          <w:szCs w:val="21"/>
          <w:highlight w:val="none"/>
          <w14:textFill>
            <w14:solidFill>
              <w14:schemeClr w14:val="tx1"/>
            </w14:solidFill>
          </w14:textFill>
        </w:rPr>
        <w:t xml:space="preserve">附件6</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6</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特定资格要求的证明文件（如果本项目对投标人</w:t>
      </w:r>
      <w:r>
        <w:rPr>
          <w:rFonts w:ascii="宋体" w:hAnsi="宋体"/>
          <w:color w:val="000000" w:themeColor="text1"/>
          <w:sz w:val="24"/>
          <w:szCs w:val="21"/>
          <w:highlight w:val="none"/>
          <w14:textFill>
            <w14:solidFill>
              <w14:schemeClr w14:val="tx1"/>
            </w14:solidFill>
          </w14:textFill>
        </w:rPr>
        <w:t xml:space="preserve">做出特定资格要求的</w:t>
      </w:r>
      <w:r>
        <w:rPr>
          <w:rFonts w:hint="eastAsia" w:ascii="宋体" w:hAnsi="宋体"/>
          <w:color w:val="000000" w:themeColor="text1"/>
          <w:sz w:val="24"/>
          <w:szCs w:val="21"/>
          <w:highlight w:val="none"/>
          <w14:textFill>
            <w14:solidFill>
              <w14:schemeClr w14:val="tx1"/>
            </w14:solidFill>
          </w14:textFill>
        </w:rPr>
        <w:t xml:space="preserve">，必须提供）</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8.</w:t>
      </w:r>
      <w:r>
        <w:rPr>
          <w:rFonts w:hint="eastAsia" w:ascii="宋体" w:hAnsi="宋体"/>
          <w:color w:val="000000" w:themeColor="text1"/>
          <w:sz w:val="24"/>
          <w:szCs w:val="21"/>
          <w:highlight w:val="none"/>
          <w14:textFill>
            <w14:solidFill>
              <w14:schemeClr w14:val="tx1"/>
            </w14:solidFill>
          </w14:textFill>
        </w:rPr>
        <w:t xml:space="preserve">法人授权书（格式见附件</w:t>
      </w:r>
      <w:r>
        <w:rPr>
          <w:rFonts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9.</w:t>
      </w:r>
      <w:r>
        <w:rPr>
          <w:rFonts w:hint="eastAsia" w:ascii="宋体" w:hAnsi="宋体"/>
          <w:color w:val="000000" w:themeColor="text1"/>
          <w:sz w:val="24"/>
          <w:szCs w:val="21"/>
          <w:highlight w:val="none"/>
          <w14:textFill>
            <w14:solidFill>
              <w14:schemeClr w14:val="tx1"/>
            </w14:solidFill>
          </w14:textFill>
        </w:rPr>
        <w:t xml:space="preserve">投标函（格式见附件</w:t>
      </w:r>
      <w:r>
        <w:rPr>
          <w:rFonts w:ascii="宋体" w:hAnsi="宋体"/>
          <w:color w:val="000000" w:themeColor="text1"/>
          <w:sz w:val="24"/>
          <w:szCs w:val="21"/>
          <w:highlight w:val="none"/>
          <w14:textFill>
            <w14:solidFill>
              <w14:schemeClr w14:val="tx1"/>
            </w14:solidFill>
          </w14:textFill>
        </w:rPr>
        <w:t xml:space="preserve">8</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10.</w:t>
      </w:r>
      <w:r>
        <w:rPr>
          <w:rFonts w:hint="eastAsia" w:ascii="宋体" w:hAnsi="宋体"/>
          <w:color w:val="000000" w:themeColor="text1"/>
          <w:sz w:val="24"/>
          <w:szCs w:val="21"/>
          <w:highlight w:val="none"/>
          <w14:textFill>
            <w14:solidFill>
              <w14:schemeClr w14:val="tx1"/>
            </w14:solidFill>
          </w14:textFill>
        </w:rPr>
        <w:t xml:space="preserve">中小微企业声明函（如果本项目</w:t>
      </w:r>
      <w:r>
        <w:rPr>
          <w:rFonts w:ascii="宋体" w:hAnsi="宋体"/>
          <w:color w:val="000000" w:themeColor="text1"/>
          <w:sz w:val="24"/>
          <w:szCs w:val="21"/>
          <w:highlight w:val="none"/>
          <w14:textFill>
            <w14:solidFill>
              <w14:schemeClr w14:val="tx1"/>
            </w14:solidFill>
          </w14:textFill>
        </w:rPr>
        <w:t xml:space="preserve">专门面向中小微型企业采购，则必须提供</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格式</w:t>
      </w:r>
      <w:r>
        <w:rPr>
          <w:rFonts w:hint="eastAsia" w:ascii="宋体" w:hAnsi="宋体"/>
          <w:color w:val="000000" w:themeColor="text1"/>
          <w:sz w:val="24"/>
          <w:szCs w:val="21"/>
          <w:highlight w:val="none"/>
          <w14:textFill>
            <w14:solidFill>
              <w14:schemeClr w14:val="tx1"/>
            </w14:solidFill>
          </w14:textFill>
        </w:rPr>
        <w:t xml:space="preserve">见</w:t>
      </w:r>
      <w:r>
        <w:rPr>
          <w:rFonts w:ascii="宋体" w:hAnsi="宋体"/>
          <w:color w:val="000000" w:themeColor="text1"/>
          <w:sz w:val="24"/>
          <w:szCs w:val="21"/>
          <w:highlight w:val="none"/>
          <w14:textFill>
            <w14:solidFill>
              <w14:schemeClr w14:val="tx1"/>
            </w14:solidFill>
          </w14:textFill>
        </w:rPr>
        <w:t xml:space="preserve">附件9</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残疾人福利性单位声明函（如果本项目</w:t>
      </w:r>
      <w:r>
        <w:rPr>
          <w:rFonts w:ascii="宋体" w:hAnsi="宋体"/>
          <w:color w:val="000000" w:themeColor="text1"/>
          <w:sz w:val="24"/>
          <w:szCs w:val="21"/>
          <w:highlight w:val="none"/>
          <w14:textFill>
            <w14:solidFill>
              <w14:schemeClr w14:val="tx1"/>
            </w14:solidFill>
          </w14:textFill>
        </w:rPr>
        <w:t xml:space="preserve">专门面向中小微型企业采购，</w:t>
      </w:r>
      <w:r>
        <w:rPr>
          <w:rFonts w:hint="eastAsia" w:ascii="宋体" w:hAnsi="宋体"/>
          <w:color w:val="000000" w:themeColor="text1"/>
          <w:sz w:val="24"/>
          <w:szCs w:val="21"/>
          <w:highlight w:val="none"/>
          <w14:textFill>
            <w14:solidFill>
              <w14:schemeClr w14:val="tx1"/>
            </w14:solidFill>
          </w14:textFill>
        </w:rPr>
        <w:t xml:space="preserve">供应商为</w:t>
      </w:r>
      <w:r>
        <w:rPr>
          <w:rFonts w:ascii="宋体" w:hAnsi="宋体"/>
          <w:color w:val="000000" w:themeColor="text1"/>
          <w:sz w:val="24"/>
          <w:szCs w:val="21"/>
          <w:highlight w:val="none"/>
          <w14:textFill>
            <w14:solidFill>
              <w14:schemeClr w14:val="tx1"/>
            </w14:solidFill>
          </w14:textFill>
        </w:rPr>
        <w:t xml:space="preserve">残疾人福利性单位并</w:t>
      </w:r>
      <w:r>
        <w:rPr>
          <w:rFonts w:hint="eastAsia" w:ascii="宋体" w:hAnsi="宋体"/>
          <w:color w:val="000000" w:themeColor="text1"/>
          <w:sz w:val="24"/>
          <w:szCs w:val="21"/>
          <w:highlight w:val="none"/>
          <w14:textFill>
            <w14:solidFill>
              <w14:schemeClr w14:val="tx1"/>
            </w14:solidFill>
          </w14:textFill>
        </w:rPr>
        <w:t xml:space="preserve">提供本单位制造的货物，或者提供其他残疾人福利性单位制造的货物，</w:t>
      </w:r>
      <w:r>
        <w:rPr>
          <w:rFonts w:ascii="宋体" w:hAnsi="宋体"/>
          <w:color w:val="000000" w:themeColor="text1"/>
          <w:sz w:val="24"/>
          <w:szCs w:val="21"/>
          <w:highlight w:val="none"/>
          <w14:textFill>
            <w14:solidFill>
              <w14:schemeClr w14:val="tx1"/>
            </w14:solidFill>
          </w14:textFill>
        </w:rPr>
        <w:t xml:space="preserve">则必须提供</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格式</w:t>
      </w:r>
      <w:r>
        <w:rPr>
          <w:rFonts w:hint="eastAsia" w:ascii="宋体" w:hAnsi="宋体"/>
          <w:color w:val="000000" w:themeColor="text1"/>
          <w:sz w:val="24"/>
          <w:szCs w:val="21"/>
          <w:highlight w:val="none"/>
          <w14:textFill>
            <w14:solidFill>
              <w14:schemeClr w14:val="tx1"/>
            </w14:solidFill>
          </w14:textFill>
        </w:rPr>
        <w:t xml:space="preserve">见</w:t>
      </w:r>
      <w:r>
        <w:rPr>
          <w:rFonts w:ascii="宋体" w:hAnsi="宋体"/>
          <w:color w:val="000000" w:themeColor="text1"/>
          <w:sz w:val="24"/>
          <w:szCs w:val="21"/>
          <w:highlight w:val="none"/>
          <w14:textFill>
            <w14:solidFill>
              <w14:schemeClr w14:val="tx1"/>
            </w14:solidFill>
          </w14:textFill>
        </w:rPr>
        <w:t xml:space="preserve">附件10</w:t>
      </w:r>
      <w:r>
        <w:rPr>
          <w:rFonts w:hint="eastAsia" w:ascii="宋体" w:hAnsi="宋体"/>
          <w:color w:val="000000" w:themeColor="text1"/>
          <w:sz w:val="24"/>
          <w:szCs w:val="21"/>
          <w:highlight w:val="none"/>
          <w14:textFill>
            <w14:solidFill>
              <w14:schemeClr w14:val="tx1"/>
            </w14:solidFill>
          </w14:textFill>
        </w:rPr>
        <w:t xml:space="preserve">）</w:t>
      </w:r>
      <w:r/>
    </w:p>
    <w:p>
      <w:pPr>
        <w:ind w:left="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总备注：上述“资格审查内容”中1-5条、</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、9条投标人必须在投标文件</w:t>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中提供相关材料，否则作无效投标处理；6、10、11条如招标文件要求必须提供相关材料而未提供的，作无效投标处理。</w:t>
      </w:r>
      <w:r/>
    </w:p>
    <w:p>
      <w:pPr>
        <w:ind w:left="480"/>
        <w:spacing w:line="400" w:lineRule="exact"/>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三</w:t>
      </w:r>
      <w:r>
        <w:rPr>
          <w:rFonts w:ascii="宋体" w:hAnsi="宋体"/>
          <w:b/>
          <w:color w:val="000000" w:themeColor="text1"/>
          <w:sz w:val="24"/>
          <w:szCs w:val="21"/>
          <w:highlight w:val="none"/>
          <w14:textFill>
            <w14:solidFill>
              <w14:schemeClr w14:val="tx1"/>
            </w14:solidFill>
          </w14:textFill>
        </w:rPr>
        <w:t xml:space="preserve">、</w:t>
      </w:r>
      <w:r>
        <w:rPr>
          <w:rFonts w:hint="eastAsia" w:ascii="宋体" w:hAnsi="宋体"/>
          <w:b/>
          <w:color w:val="000000" w:themeColor="text1"/>
          <w:sz w:val="24"/>
          <w:szCs w:val="21"/>
          <w:highlight w:val="none"/>
          <w14:textFill>
            <w14:solidFill>
              <w14:schemeClr w14:val="tx1"/>
            </w14:solidFill>
          </w14:textFill>
        </w:rPr>
        <w:t xml:space="preserve">符合性</w:t>
      </w:r>
      <w:r>
        <w:rPr>
          <w:rFonts w:ascii="宋体" w:hAnsi="宋体"/>
          <w:b/>
          <w:color w:val="000000" w:themeColor="text1"/>
          <w:sz w:val="24"/>
          <w:szCs w:val="21"/>
          <w:highlight w:val="none"/>
          <w14:textFill>
            <w14:solidFill>
              <w14:schemeClr w14:val="tx1"/>
            </w14:solidFill>
          </w14:textFill>
        </w:rPr>
        <w:t xml:space="preserve">审查内容</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投标人必须</w:t>
      </w:r>
      <w:r>
        <w:rPr>
          <w:rFonts w:ascii="宋体" w:hAnsi="宋体"/>
          <w:color w:val="000000" w:themeColor="text1"/>
          <w:sz w:val="24"/>
          <w:szCs w:val="21"/>
          <w:highlight w:val="none"/>
          <w14:textFill>
            <w14:solidFill>
              <w14:schemeClr w14:val="tx1"/>
            </w14:solidFill>
          </w14:textFill>
        </w:rPr>
        <w:t xml:space="preserve">对</w:t>
      </w:r>
      <w:r>
        <w:rPr>
          <w:rFonts w:hint="eastAsia" w:ascii="宋体" w:hAnsi="宋体"/>
          <w:color w:val="000000" w:themeColor="text1"/>
          <w:sz w:val="24"/>
          <w:szCs w:val="21"/>
          <w:highlight w:val="none"/>
          <w14:textFill>
            <w14:solidFill>
              <w14:schemeClr w14:val="tx1"/>
            </w14:solidFill>
          </w14:textFill>
        </w:rPr>
        <w:t xml:space="preserve">招标文件（含技术</w:t>
      </w:r>
      <w:r>
        <w:rPr>
          <w:rFonts w:ascii="宋体" w:hAnsi="宋体"/>
          <w:color w:val="000000" w:themeColor="text1"/>
          <w:sz w:val="24"/>
          <w:szCs w:val="21"/>
          <w:highlight w:val="none"/>
          <w14:textFill>
            <w14:solidFill>
              <w14:schemeClr w14:val="tx1"/>
            </w14:solidFill>
          </w14:textFill>
        </w:rPr>
        <w:t xml:space="preserve">要求和商务</w:t>
      </w:r>
      <w:r>
        <w:rPr>
          <w:rFonts w:hint="eastAsia" w:ascii="宋体" w:hAnsi="宋体"/>
          <w:color w:val="000000" w:themeColor="text1"/>
          <w:sz w:val="24"/>
          <w:szCs w:val="21"/>
          <w:highlight w:val="none"/>
          <w14:textFill>
            <w14:solidFill>
              <w14:schemeClr w14:val="tx1"/>
            </w14:solidFill>
          </w14:textFill>
        </w:rPr>
        <w:t xml:space="preserve">要求）</w:t>
      </w:r>
      <w:r>
        <w:rPr>
          <w:rFonts w:ascii="宋体" w:hAnsi="宋体"/>
          <w:color w:val="000000" w:themeColor="text1"/>
          <w:sz w:val="24"/>
          <w:szCs w:val="21"/>
          <w:highlight w:val="none"/>
          <w14:textFill>
            <w14:solidFill>
              <w14:schemeClr w14:val="tx1"/>
            </w14:solidFill>
          </w14:textFill>
        </w:rPr>
        <w:t xml:space="preserve">中</w:t>
      </w:r>
      <w:r>
        <w:rPr>
          <w:rFonts w:hint="eastAsia" w:ascii="宋体" w:hAnsi="宋体"/>
          <w:b/>
          <w:bCs/>
          <w:i/>
          <w:color w:val="000000" w:themeColor="text1"/>
          <w:sz w:val="24"/>
          <w:szCs w:val="21"/>
          <w:highlight w:val="none"/>
          <w:u w:val="single"/>
          <w14:textFill>
            <w14:solidFill>
              <w14:schemeClr w14:val="tx1"/>
            </w14:solidFill>
          </w14:textFill>
        </w:rPr>
        <w:t xml:space="preserve">斜体且有下划线部分</w:t>
      </w:r>
      <w:r>
        <w:rPr>
          <w:rFonts w:hint="eastAsia" w:ascii="宋体" w:hAnsi="宋体"/>
          <w:b/>
          <w:bCs/>
          <w:color w:val="000000" w:themeColor="text1"/>
          <w:sz w:val="24"/>
          <w:szCs w:val="21"/>
          <w:highlight w:val="none"/>
          <w14:textFill>
            <w14:solidFill>
              <w14:schemeClr w14:val="tx1"/>
            </w14:solidFill>
          </w14:textFill>
        </w:rPr>
        <w:t xml:space="preserve">或加</w:t>
      </w:r>
      <w:r>
        <w:rPr>
          <w:rFonts w:hint="eastAsia" w:ascii="宋体" w:hAnsi="宋体" w:eastAsia="宋体" w:cs="Times New Roman"/>
          <w:b/>
          <w:bCs/>
          <w:i/>
          <w:color w:val="000000" w:themeColor="text1"/>
          <w:sz w:val="24"/>
          <w:szCs w:val="21"/>
          <w:highlight w:val="none"/>
          <w:u w:val="none"/>
          <w:lang w:val="en-US" w:eastAsia="zh-CN" w:bidi="ar-SA"/>
          <w14:textFill>
            <w14:solidFill>
              <w14:schemeClr w14:val="tx1"/>
            </w14:solidFill>
          </w14:textFill>
        </w:rPr>
        <w:t xml:space="preserve">★</w:t>
      </w:r>
      <w:r>
        <w:rPr>
          <w:rFonts w:hint="eastAsia" w:ascii="宋体" w:hAnsi="宋体"/>
          <w:b/>
          <w:bCs/>
          <w:color w:val="000000" w:themeColor="text1"/>
          <w:sz w:val="24"/>
          <w:szCs w:val="21"/>
          <w:highlight w:val="none"/>
          <w14:textFill>
            <w14:solidFill>
              <w14:schemeClr w14:val="tx1"/>
            </w14:solidFill>
          </w14:textFill>
        </w:rPr>
        <w:t xml:space="preserve">号条款</w:t>
      </w:r>
      <w:r>
        <w:rPr>
          <w:rFonts w:ascii="宋体" w:hAnsi="宋体"/>
          <w:color w:val="000000" w:themeColor="text1"/>
          <w:sz w:val="24"/>
          <w:szCs w:val="21"/>
          <w:highlight w:val="none"/>
          <w14:textFill>
            <w14:solidFill>
              <w14:schemeClr w14:val="tx1"/>
            </w14:solidFill>
          </w14:textFill>
        </w:rPr>
        <w:t xml:space="preserve">的实质性要求</w:t>
      </w:r>
      <w:r>
        <w:rPr>
          <w:rFonts w:hint="eastAsia" w:ascii="宋体" w:hAnsi="宋体"/>
          <w:color w:val="000000" w:themeColor="text1"/>
          <w:sz w:val="24"/>
          <w:szCs w:val="21"/>
          <w:highlight w:val="none"/>
          <w14:textFill>
            <w14:solidFill>
              <w14:schemeClr w14:val="tx1"/>
            </w14:solidFill>
          </w14:textFill>
        </w:rPr>
        <w:t xml:space="preserve">逐条</w:t>
      </w:r>
      <w:r>
        <w:rPr>
          <w:rFonts w:ascii="宋体" w:hAnsi="宋体"/>
          <w:color w:val="000000" w:themeColor="text1"/>
          <w:sz w:val="24"/>
          <w:szCs w:val="21"/>
          <w:highlight w:val="none"/>
          <w14:textFill>
            <w14:solidFill>
              <w14:schemeClr w14:val="tx1"/>
            </w14:solidFill>
          </w14:textFill>
        </w:rPr>
        <w:t xml:space="preserve">做出响应，并按照招标</w:t>
      </w:r>
      <w:r>
        <w:rPr>
          <w:rFonts w:hint="eastAsia" w:ascii="宋体" w:hAnsi="宋体"/>
          <w:color w:val="000000" w:themeColor="text1"/>
          <w:sz w:val="24"/>
          <w:szCs w:val="21"/>
          <w:highlight w:val="none"/>
          <w14:textFill>
            <w14:solidFill>
              <w14:schemeClr w14:val="tx1"/>
            </w14:solidFill>
          </w14:textFill>
        </w:rPr>
        <w:t xml:space="preserve">文件</w:t>
      </w:r>
      <w:r>
        <w:rPr>
          <w:rFonts w:ascii="宋体" w:hAnsi="宋体"/>
          <w:color w:val="000000" w:themeColor="text1"/>
          <w:sz w:val="24"/>
          <w:szCs w:val="21"/>
          <w:highlight w:val="none"/>
          <w14:textFill>
            <w14:solidFill>
              <w14:schemeClr w14:val="tx1"/>
            </w14:solidFill>
          </w14:textFill>
        </w:rPr>
        <w:t xml:space="preserve">要求提供</w:t>
      </w:r>
      <w:r>
        <w:rPr>
          <w:rFonts w:hint="eastAsia" w:ascii="宋体" w:hAnsi="宋体"/>
          <w:color w:val="000000" w:themeColor="text1"/>
          <w:sz w:val="24"/>
          <w:szCs w:val="21"/>
          <w:highlight w:val="none"/>
          <w14:textFill>
            <w14:solidFill>
              <w14:schemeClr w14:val="tx1"/>
            </w14:solidFill>
          </w14:textFill>
        </w:rPr>
        <w:t xml:space="preserve">证明</w:t>
      </w:r>
      <w:r>
        <w:rPr>
          <w:rFonts w:ascii="宋体" w:hAnsi="宋体"/>
          <w:color w:val="000000" w:themeColor="text1"/>
          <w:sz w:val="24"/>
          <w:szCs w:val="21"/>
          <w:highlight w:val="none"/>
          <w14:textFill>
            <w14:solidFill>
              <w14:schemeClr w14:val="tx1"/>
            </w14:solidFill>
          </w14:textFill>
        </w:rPr>
        <w:t xml:space="preserve">材料</w:t>
      </w:r>
      <w:r>
        <w:rPr>
          <w:rFonts w:hint="eastAsia" w:ascii="宋体" w:hAnsi="宋体"/>
          <w:color w:val="000000" w:themeColor="text1"/>
          <w:sz w:val="24"/>
          <w:szCs w:val="21"/>
          <w:highlight w:val="none"/>
          <w14:textFill>
            <w14:solidFill>
              <w14:schemeClr w14:val="tx1"/>
            </w14:solidFill>
          </w14:textFill>
        </w:rPr>
        <w:t xml:space="preserve">，否则</w:t>
      </w:r>
      <w:r>
        <w:rPr>
          <w:rFonts w:hint="eastAsia" w:ascii="宋体" w:hAnsi="宋体"/>
          <w:color w:val="000000" w:themeColor="text1"/>
          <w:sz w:val="24"/>
          <w:szCs w:val="21"/>
          <w:highlight w:val="none"/>
          <w:lang w:eastAsia="zh-CN"/>
          <w14:textFill>
            <w14:solidFill>
              <w14:schemeClr w14:val="tx1"/>
            </w14:solidFill>
          </w14:textFill>
        </w:rPr>
        <w:t xml:space="preserve">作</w:t>
      </w:r>
      <w:r>
        <w:rPr>
          <w:rFonts w:hint="eastAsia" w:ascii="宋体" w:hAnsi="宋体"/>
          <w:color w:val="000000" w:themeColor="text1"/>
          <w:sz w:val="24"/>
          <w:szCs w:val="21"/>
          <w:highlight w:val="none"/>
          <w14:textFill>
            <w14:solidFill>
              <w14:schemeClr w14:val="tx1"/>
            </w14:solidFill>
          </w14:textFill>
        </w:rPr>
        <w:t xml:space="preserve">无效投标处理。（格式见</w:t>
      </w:r>
      <w:r>
        <w:rPr>
          <w:rFonts w:ascii="宋体" w:hAnsi="宋体"/>
          <w:color w:val="000000" w:themeColor="text1"/>
          <w:sz w:val="24"/>
          <w:szCs w:val="21"/>
          <w:highlight w:val="none"/>
          <w14:textFill>
            <w14:solidFill>
              <w14:schemeClr w14:val="tx1"/>
            </w14:solidFill>
          </w14:textFill>
        </w:rPr>
        <w:t xml:space="preserve">附件1</w:t>
      </w:r>
      <w:r>
        <w:rPr>
          <w:rFonts w:hint="eastAsia" w:ascii="宋体" w:hAnsi="宋体"/>
          <w:color w:val="000000" w:themeColor="text1"/>
          <w:sz w:val="24"/>
          <w:szCs w:val="21"/>
          <w:highlight w:val="none"/>
          <w:lang w:val="en-US" w:eastAsia="zh-CN"/>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w:t>
      </w:r>
      <w:bookmarkEnd w:id="180"/>
      <w:r/>
      <w:bookmarkEnd w:id="181"/>
      <w:r/>
      <w:bookmarkEnd w:id="216"/>
      <w:r/>
      <w:bookmarkEnd w:id="217"/>
      <w:r/>
      <w:bookmarkEnd w:id="218"/>
      <w:r/>
      <w:r/>
    </w:p>
    <w:p>
      <w:pPr>
        <w:ind w:firstLine="480"/>
        <w:rPr>
          <w:rFonts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四、价格</w:t>
      </w:r>
      <w:r>
        <w:rPr>
          <w:rFonts w:ascii="宋体" w:hAnsi="宋体"/>
          <w:b/>
          <w:color w:val="000000" w:themeColor="text1"/>
          <w:sz w:val="24"/>
          <w:szCs w:val="21"/>
          <w:highlight w:val="none"/>
          <w14:textFill>
            <w14:solidFill>
              <w14:schemeClr w14:val="tx1"/>
            </w14:solidFill>
          </w14:textFill>
        </w:rPr>
        <w:t xml:space="preserve">扣除证明文件</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中小微企业声明函（</w:t>
      </w:r>
      <w:r>
        <w:rPr>
          <w:rFonts w:ascii="宋体" w:hAnsi="宋体"/>
          <w:color w:val="000000" w:themeColor="text1"/>
          <w:sz w:val="24"/>
          <w:szCs w:val="21"/>
          <w:highlight w:val="none"/>
          <w14:textFill>
            <w14:solidFill>
              <w14:schemeClr w14:val="tx1"/>
            </w14:solidFill>
          </w14:textFill>
        </w:rPr>
        <w:t xml:space="preserve">格式</w:t>
      </w:r>
      <w:r>
        <w:rPr>
          <w:rFonts w:hint="eastAsia" w:ascii="宋体" w:hAnsi="宋体"/>
          <w:color w:val="000000" w:themeColor="text1"/>
          <w:sz w:val="24"/>
          <w:szCs w:val="21"/>
          <w:highlight w:val="none"/>
          <w14:textFill>
            <w14:solidFill>
              <w14:schemeClr w14:val="tx1"/>
            </w14:solidFill>
          </w14:textFill>
        </w:rPr>
        <w:t xml:space="preserve">见</w:t>
      </w:r>
      <w:r>
        <w:rPr>
          <w:rFonts w:ascii="宋体" w:hAnsi="宋体"/>
          <w:color w:val="000000" w:themeColor="text1"/>
          <w:sz w:val="24"/>
          <w:szCs w:val="21"/>
          <w:highlight w:val="none"/>
          <w14:textFill>
            <w14:solidFill>
              <w14:schemeClr w14:val="tx1"/>
            </w14:solidFill>
          </w14:textFill>
        </w:rPr>
        <w:t xml:space="preserve">附件9</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残疾人福利性单位声明函（</w:t>
      </w:r>
      <w:r>
        <w:rPr>
          <w:rFonts w:ascii="宋体" w:hAnsi="宋体"/>
          <w:color w:val="000000" w:themeColor="text1"/>
          <w:sz w:val="24"/>
          <w:szCs w:val="21"/>
          <w:highlight w:val="none"/>
          <w14:textFill>
            <w14:solidFill>
              <w14:schemeClr w14:val="tx1"/>
            </w14:solidFill>
          </w14:textFill>
        </w:rPr>
        <w:t xml:space="preserve">格式</w:t>
      </w:r>
      <w:r>
        <w:rPr>
          <w:rFonts w:hint="eastAsia" w:ascii="宋体" w:hAnsi="宋体"/>
          <w:color w:val="000000" w:themeColor="text1"/>
          <w:sz w:val="24"/>
          <w:szCs w:val="21"/>
          <w:highlight w:val="none"/>
          <w14:textFill>
            <w14:solidFill>
              <w14:schemeClr w14:val="tx1"/>
            </w14:solidFill>
          </w14:textFill>
        </w:rPr>
        <w:t xml:space="preserve">见</w:t>
      </w:r>
      <w:r>
        <w:rPr>
          <w:rFonts w:ascii="宋体" w:hAnsi="宋体"/>
          <w:color w:val="000000" w:themeColor="text1"/>
          <w:sz w:val="24"/>
          <w:szCs w:val="21"/>
          <w:highlight w:val="none"/>
          <w14:textFill>
            <w14:solidFill>
              <w14:schemeClr w14:val="tx1"/>
            </w14:solidFill>
          </w14:textFill>
        </w:rPr>
        <w:t xml:space="preserve">附件10</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400" w:lineRule="exact"/>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3.关于符合本国产品标准的声明函（</w:t>
      </w:r>
      <w:r>
        <w:rPr>
          <w:rFonts w:hint="eastAsia" w:ascii="宋体" w:hAnsi="宋体" w:eastAsia="宋体" w:cs="Times New Roman"/>
          <w:color w:val="000000" w:themeColor="text1"/>
          <w:sz w:val="24"/>
          <w:szCs w:val="21"/>
          <w:highlight w:val="none"/>
          <w14:textFill>
            <w14:solidFill>
              <w14:schemeClr w14:val="tx1"/>
            </w14:solidFill>
          </w14:textFill>
        </w:rPr>
        <w:t xml:space="preserve">格式见附件</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1</w:t>
      </w:r>
      <w:r>
        <w:rPr>
          <w:rFonts w:hint="eastAsia" w:ascii="宋体" w:hAnsi="宋体" w:cs="Times New Roman"/>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rPr>
          <w:rFonts w:hint="eastAsia" w:ascii="Times New Roman" w:hAnsi="Times New Roman" w:eastAsia="仿宋_GB2312"/>
          <w:color w:val="000000" w:themeColor="text1"/>
          <w:sz w:val="24"/>
          <w:szCs w:val="20"/>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1 </w:t>
      </w:r>
      <w:r>
        <w:rPr>
          <w:rFonts w:hint="eastAsia" w:ascii="宋体" w:hAnsi="宋体"/>
          <w:b/>
          <w:color w:val="000000" w:themeColor="text1"/>
          <w:sz w:val="24"/>
          <w:szCs w:val="24"/>
          <w:highlight w:val="none"/>
          <w14:textFill>
            <w14:solidFill>
              <w14:schemeClr w14:val="tx1"/>
            </w14:solidFill>
          </w14:textFill>
        </w:rPr>
        <w:t xml:space="preserve">开标一览表</w:t>
      </w:r>
      <w:r/>
    </w:p>
    <w:p>
      <w:pPr>
        <w:ind w:firstLine="482"/>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投标人全称（加盖CA电子签章）：</w:t>
      </w:r>
      <w:r/>
    </w:p>
    <w:p>
      <w:pPr>
        <w:ind w:firstLine="482"/>
        <w:spacing w:line="400" w:lineRule="exact"/>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p>
      <w:pPr>
        <w:ind w:firstLine="482"/>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采购编号</w:t>
      </w:r>
      <w:r>
        <w:rPr>
          <w:rFonts w:hint="eastAsia" w:ascii="宋体" w:hAnsi="宋体"/>
          <w:color w:val="000000" w:themeColor="text1"/>
          <w:sz w:val="24"/>
          <w:szCs w:val="24"/>
          <w:highlight w:val="none"/>
          <w14:textFill>
            <w14:solidFill>
              <w14:schemeClr w14:val="tx1"/>
            </w14:solidFill>
          </w14:textFill>
        </w:rPr>
        <w:t xml:space="preserve">：                                   </w:t>
      </w:r>
      <w:r/>
    </w:p>
    <w:p>
      <w:pPr>
        <w:ind w:firstLine="482"/>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采购包号：</w:t>
      </w:r>
      <w:r/>
    </w:p>
    <w:tbl>
      <w:tblPr>
        <w:tblStyle w:val="70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投标总报价</w:t>
            </w:r>
            <w:r/>
          </w:p>
        </w:tc>
      </w:tr>
      <w:tr>
        <w:trPr>
          <w:cantSplit/>
          <w:trHeight w:val="612"/>
        </w:trPr>
        <w:tc>
          <w:tcPr>
            <w:gridSpan w:val="2"/>
            <w:tcW w:w="8886" w:type="dxa"/>
            <w:vAlign w:val="center"/>
            <w:textDirection w:val="lrTb"/>
            <w:noWrap w:val="false"/>
          </w:tcPr>
          <w:p>
            <w:pPr>
              <w:jc w:val="left"/>
              <w:spacing w:line="500" w:lineRule="exact"/>
              <w:widowControl w:val="off"/>
              <w:rPr>
                <w:rFonts w:hint="eastAsia" w:ascii="宋体" w:hAnsi="宋体" w:eastAsia="宋体" w:cs="Times New Roman"/>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小写：                             （人民币：元）</w:t>
            </w:r>
            <w:r/>
          </w:p>
        </w:tc>
      </w:tr>
      <w:tr>
        <w:trPr>
          <w:cantSplit/>
          <w:trHeight w:val="612"/>
        </w:trPr>
        <w:tc>
          <w:tcPr>
            <w:tcW w:w="2481" w:type="dxa"/>
            <w:vAlign w:val="center"/>
            <w:textDirection w:val="lrTb"/>
            <w:noWrap w:val="false"/>
          </w:tcPr>
          <w:p>
            <w:pPr>
              <w:jc w:val="center"/>
              <w:spacing w:line="30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核心产品品牌</w:t>
            </w:r>
            <w:r/>
          </w:p>
        </w:tc>
        <w:tc>
          <w:tcPr>
            <w:tcW w:w="6405" w:type="dxa"/>
            <w:vAlign w:val="center"/>
            <w:textDirection w:val="lrTb"/>
            <w:noWrap w:val="false"/>
          </w:tcPr>
          <w:p>
            <w:pPr>
              <w:jc w:val="left"/>
              <w:spacing w:line="5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bl>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both"/>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jc w:val="both"/>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jc w:val="cente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2</w:t>
      </w:r>
      <w:r>
        <w:rPr>
          <w:rFonts w:hint="eastAsia" w:ascii="宋体" w:hAnsi="宋体"/>
          <w:b/>
          <w:color w:val="000000" w:themeColor="text1"/>
          <w:sz w:val="24"/>
          <w:szCs w:val="24"/>
          <w:highlight w:val="none"/>
          <w14:textFill>
            <w14:solidFill>
              <w14:schemeClr w14:val="tx1"/>
            </w14:solidFill>
          </w14:textFill>
        </w:rPr>
        <w:t xml:space="preserve"> 投标分项报价表（采购包号：***）</w:t>
      </w:r>
      <w:r/>
    </w:p>
    <w:tbl>
      <w:tblPr>
        <w:tblStyle w:val="705"/>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产品</w:t>
            </w:r>
            <w:r/>
          </w:p>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规格</w:t>
            </w:r>
            <w:r/>
          </w:p>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0" w:lineRule="atLeas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0" w:lineRule="atLeas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72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3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80"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106" w:type="dxa"/>
            <w:vAlign w:val="top"/>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385"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合同签订后</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00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66"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trHeight w:val="724"/>
        </w:trPr>
        <w:tc>
          <w:tcPr>
            <w:tcW w:w="500"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72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3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80"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106" w:type="dxa"/>
            <w:vAlign w:val="top"/>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385"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24"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00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66"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trHeight w:val="640"/>
        </w:trPr>
        <w:tc>
          <w:tcPr>
            <w:tcW w:w="500"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4</w:t>
            </w:r>
            <w:r/>
          </w:p>
        </w:tc>
        <w:tc>
          <w:tcPr>
            <w:tcW w:w="72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72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3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80"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106" w:type="dxa"/>
            <w:vAlign w:val="top"/>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385"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24"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00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66"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trHeight w:val="580"/>
        </w:trPr>
        <w:tc>
          <w:tcPr>
            <w:tcW w:w="500" w:type="dxa"/>
            <w:vAlign w:val="center"/>
            <w:textDirection w:val="lrTb"/>
            <w:noWrap w:val="false"/>
          </w:tcPr>
          <w:p>
            <w:pPr>
              <w:jc w:val="center"/>
              <w:spacing w:line="0" w:lineRule="atLeast"/>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3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80"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106" w:type="dxa"/>
            <w:vAlign w:val="top"/>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385"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24"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008"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966" w:type="dxa"/>
            <w:vAlign w:val="center"/>
            <w:textDirection w:val="lrTb"/>
            <w:noWrap w:val="false"/>
          </w:tcPr>
          <w:p>
            <w:pPr>
              <w:jc w:val="center"/>
              <w:spacing w:line="0" w:lineRule="atLeas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trHeight w:val="434"/>
        </w:trPr>
        <w:tc>
          <w:tcPr>
            <w:gridSpan w:val="10"/>
            <w:tcW w:w="9263" w:type="dxa"/>
            <w:vAlign w:val="top"/>
            <w:textDirection w:val="lrTb"/>
            <w:noWrap w:val="false"/>
          </w:tcPr>
          <w:p>
            <w:pPr>
              <w:jc w:val="both"/>
              <w:widowControl w:val="off"/>
              <w:rPr>
                <w:rFonts w:ascii="宋体" w:hAnsi="宋体" w:eastAsia="宋体" w:cs="Times New Roman"/>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投标总报价（人民币：元）</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 xml:space="preserve">                             </w:t>
            </w:r>
            <w:r/>
          </w:p>
        </w:tc>
      </w:tr>
      <w:tr>
        <w:trPr>
          <w:cantSplit/>
          <w:trHeight w:val="767"/>
        </w:trPr>
        <w:tc>
          <w:tcPr>
            <w:gridSpan w:val="10"/>
            <w:tcW w:w="9263" w:type="dxa"/>
            <w:vAlign w:val="top"/>
            <w:textDirection w:val="lrTb"/>
            <w:noWrap w:val="false"/>
          </w:tcPr>
          <w:p>
            <w:pPr>
              <w:pStyle w:val="753"/>
              <w:ind w:right="0"/>
              <w:jc w:val="left"/>
              <w:keepLines w:val="0"/>
              <w:keepNext w:val="0"/>
              <w:pageBreakBefore w:val="0"/>
              <w:spacing w:before="0" w:beforeAutospacing="0" w:after="0" w:afterAutospacing="0" w:line="0" w:lineRule="atLeas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t xml:space="preserve">本采购包</w:t>
            </w:r>
            <w:r>
              <w:rPr>
                <w:rFonts w:hint="eastAsia" w:ascii="宋体" w:hAnsi="宋体" w:eastAsia="宋体" w:cs="宋体"/>
                <w:i w:val="0"/>
                <w:iCs w:val="0"/>
                <w:caps w:val="0"/>
                <w:color w:val="000000" w:themeColor="text1"/>
                <w:spacing w:val="0"/>
                <w:sz w:val="24"/>
                <w:szCs w:val="24"/>
                <w:highlight w:val="none"/>
                <w:u w:val="none"/>
                <w:lang w:val="en-US" w:eastAsia="zh-CN" w:bidi="ar-SA"/>
                <w14:textFill>
                  <w14:solidFill>
                    <w14:schemeClr w14:val="tx1"/>
                  </w14:solidFill>
                </w14:textFill>
              </w:rPr>
              <w:t xml:space="preserve">中</w:t>
            </w:r>
            <w:r>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t xml:space="preserve">提供的符合本国产品标准的产品成本之和占该采购包提供的全部产品成本之和的比例为</w:t>
            </w:r>
            <w:r>
              <w:rPr>
                <w:rFonts w:hint="eastAsia" w:ascii="宋体" w:hAnsi="宋体" w:eastAsia="宋体" w:cs="宋体"/>
                <w:i w:val="0"/>
                <w:iCs w:val="0"/>
                <w:caps w:val="0"/>
                <w:color w:val="000000" w:themeColor="text1"/>
                <w:spacing w:val="0"/>
                <w:sz w:val="24"/>
                <w:szCs w:val="24"/>
                <w:highlight w:val="none"/>
                <w:u w:val="single"/>
                <w:lang w:val="en-US" w:eastAsia="zh-CN" w:bidi="ar-SA"/>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t xml:space="preserve">。</w:t>
            </w:r>
            <w:r/>
          </w:p>
        </w:tc>
      </w:tr>
    </w:tbl>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p>
    <w:p>
      <w:pPr>
        <w:spacing w:line="400" w:lineRule="exact"/>
        <w:rPr>
          <w:rFonts w:hint="eastAsia" w:ascii="宋体" w:hAnsi="宋体" w:eastAsia="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1.投标报价</w:t>
      </w:r>
      <w:r>
        <w:rPr>
          <w:rFonts w:hint="eastAsia" w:ascii="宋体" w:hAnsi="宋体"/>
          <w:color w:val="000000" w:themeColor="text1"/>
          <w:sz w:val="24"/>
          <w:szCs w:val="21"/>
          <w:highlight w:val="none"/>
          <w14:textFill>
            <w14:solidFill>
              <w14:schemeClr w14:val="tx1"/>
            </w14:solidFill>
          </w14:textFill>
        </w:rPr>
        <w:t xml:space="preserve">采用总承包方式，“投标总报价”应包括所投货物（包含与货物相关的服务）费用、安装调试费、测试验收费、培训费、运行维护费用、税金、国际（如果</w:t>
      </w:r>
      <w:r>
        <w:rPr>
          <w:rFonts w:ascii="宋体" w:hAnsi="宋体"/>
          <w:color w:val="000000" w:themeColor="text1"/>
          <w:sz w:val="24"/>
          <w:szCs w:val="21"/>
          <w:highlight w:val="none"/>
          <w14:textFill>
            <w14:solidFill>
              <w14:schemeClr w14:val="tx1"/>
            </w14:solidFill>
          </w14:textFill>
        </w:rPr>
        <w:t xml:space="preserve">有</w:t>
      </w:r>
      <w:r>
        <w:rPr>
          <w:rFonts w:hint="eastAsia" w:ascii="宋体" w:hAnsi="宋体"/>
          <w:color w:val="000000" w:themeColor="text1"/>
          <w:sz w:val="24"/>
          <w:szCs w:val="21"/>
          <w:highlight w:val="none"/>
          <w14:textFill>
            <w14:solidFill>
              <w14:schemeClr w14:val="tx1"/>
            </w14:solidFill>
          </w14:textFill>
        </w:rPr>
        <w:t xml:space="preserve">）国内运输保险、报关清关（如果</w:t>
      </w:r>
      <w:r>
        <w:rPr>
          <w:rFonts w:ascii="宋体" w:hAnsi="宋体"/>
          <w:color w:val="000000" w:themeColor="text1"/>
          <w:sz w:val="24"/>
          <w:szCs w:val="21"/>
          <w:highlight w:val="none"/>
          <w14:textFill>
            <w14:solidFill>
              <w14:schemeClr w14:val="tx1"/>
            </w14:solidFill>
          </w14:textFill>
        </w:rPr>
        <w:t xml:space="preserve">有</w:t>
      </w:r>
      <w:r>
        <w:rPr>
          <w:rFonts w:hint="eastAsia" w:ascii="宋体" w:hAnsi="宋体"/>
          <w:color w:val="000000" w:themeColor="text1"/>
          <w:sz w:val="24"/>
          <w:szCs w:val="21"/>
          <w:highlight w:val="none"/>
          <w14:textFill>
            <w14:solidFill>
              <w14:schemeClr w14:val="tx1"/>
            </w14:solidFill>
          </w14:textFill>
        </w:rPr>
        <w:t xml:space="preserve">）、开证（如果</w:t>
      </w:r>
      <w:r>
        <w:rPr>
          <w:rFonts w:ascii="宋体" w:hAnsi="宋体"/>
          <w:color w:val="000000" w:themeColor="text1"/>
          <w:sz w:val="24"/>
          <w:szCs w:val="21"/>
          <w:highlight w:val="none"/>
          <w14:textFill>
            <w14:solidFill>
              <w14:schemeClr w14:val="tx1"/>
            </w14:solidFill>
          </w14:textFill>
        </w:rPr>
        <w:t xml:space="preserve">有</w:t>
      </w:r>
      <w:r>
        <w:rPr>
          <w:rFonts w:hint="eastAsia" w:ascii="宋体" w:hAnsi="宋体"/>
          <w:color w:val="000000" w:themeColor="text1"/>
          <w:sz w:val="24"/>
          <w:szCs w:val="21"/>
          <w:highlight w:val="none"/>
          <w14:textFill>
            <w14:solidFill>
              <w14:schemeClr w14:val="tx1"/>
            </w14:solidFill>
          </w14:textFill>
        </w:rPr>
        <w:t xml:space="preserve">）、办理全套免税手续费用（如果</w:t>
      </w:r>
      <w:r>
        <w:rPr>
          <w:rFonts w:ascii="宋体" w:hAnsi="宋体"/>
          <w:color w:val="000000" w:themeColor="text1"/>
          <w:sz w:val="24"/>
          <w:szCs w:val="21"/>
          <w:highlight w:val="none"/>
          <w14:textFill>
            <w14:solidFill>
              <w14:schemeClr w14:val="tx1"/>
            </w14:solidFill>
          </w14:textFill>
        </w:rPr>
        <w:t xml:space="preserve">有</w:t>
      </w:r>
      <w:r>
        <w:rPr>
          <w:rFonts w:hint="eastAsia" w:ascii="宋体" w:hAnsi="宋体"/>
          <w:color w:val="000000" w:themeColor="text1"/>
          <w:sz w:val="24"/>
          <w:szCs w:val="21"/>
          <w:highlight w:val="none"/>
          <w14:textFill>
            <w14:solidFill>
              <w14:schemeClr w14:val="tx1"/>
            </w14:solidFill>
          </w14:textFill>
        </w:rPr>
        <w:t xml:space="preserve">）及其他有关的为完成本项目发生的所有费用，招标文件中另有规定的除外。</w:t>
      </w:r>
      <w:r>
        <w:rPr>
          <w:rFonts w:hint="eastAsia" w:ascii="宋体" w:hAnsi="宋体" w:eastAsia="宋体" w:cs="Times New Roman"/>
          <w:color w:val="000000" w:themeColor="text1"/>
          <w:sz w:val="24"/>
          <w:szCs w:val="21"/>
          <w:highlight w:val="none"/>
          <w14:textFill>
            <w14:solidFill>
              <w14:schemeClr w14:val="tx1"/>
            </w14:solidFill>
          </w14:textFill>
        </w:rPr>
        <w:t xml:space="preserve">“投标总报价”</w:t>
      </w:r>
      <w:r>
        <w:rPr>
          <w:rFonts w:hint="eastAsia" w:ascii="宋体" w:hAnsi="宋体" w:eastAsia="宋体" w:cs="Times New Roman"/>
          <w:color w:val="000000" w:themeColor="text1"/>
          <w:sz w:val="24"/>
          <w:szCs w:val="21"/>
          <w:highlight w:val="none"/>
          <w:lang w:eastAsia="zh-CN"/>
          <w14:textFill>
            <w14:solidFill>
              <w14:schemeClr w14:val="tx1"/>
            </w14:solidFill>
          </w14:textFill>
        </w:rPr>
        <w:t xml:space="preserve">数额为各“分项总价”之和。</w:t>
      </w:r>
      <w:r/>
    </w:p>
    <w:p>
      <w:pPr>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hint="eastAsia" w:ascii="Times New Roman" w:hAnsi="Times New Roman"/>
          <w:color w:val="000000" w:themeColor="text1"/>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投标分项报价表</w:t>
      </w:r>
      <w:r>
        <w:rPr>
          <w:rFonts w:hint="eastAsia" w:ascii="Times New Roman" w:hAnsi="Times New Roman"/>
          <w:color w:val="000000" w:themeColor="text1"/>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中“投标总报价”数额应当与“开标一览表”中“投标总报价”数额一致。</w:t>
      </w:r>
      <w:r/>
    </w:p>
    <w:p>
      <w:pPr>
        <w:spacing w:line="400" w:lineRule="exact"/>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3.</w:t>
      </w:r>
      <w:r>
        <w:rPr>
          <w:rFonts w:hint="eastAsia" w:ascii="宋体" w:hAnsi="宋体" w:eastAsia="宋体" w:cs="Times New Roman"/>
          <w:color w:val="000000" w:themeColor="text1"/>
          <w:sz w:val="24"/>
          <w:szCs w:val="21"/>
          <w:highlight w:val="none"/>
          <w:lang w:eastAsia="zh-CN"/>
          <w14:textFill>
            <w14:solidFill>
              <w14:schemeClr w14:val="tx1"/>
            </w14:solidFill>
          </w14:textFill>
        </w:rPr>
        <w:t xml:space="preserve">本</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采购包中含有多种产品时，</w:t>
      </w:r>
      <w:r>
        <w:rPr>
          <w:rFonts w:hint="eastAsia" w:ascii="宋体" w:hAnsi="宋体" w:eastAsia="宋体" w:cs="Times New Roman"/>
          <w:color w:val="000000" w:themeColor="text1"/>
          <w:sz w:val="24"/>
          <w:szCs w:val="21"/>
          <w:highlight w:val="none"/>
          <w14:textFill>
            <w14:solidFill>
              <w14:schemeClr w14:val="tx1"/>
            </w14:solidFill>
          </w14:textFill>
        </w:rPr>
        <w:t xml:space="preserve">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方正黑体_GBK" w:hAnsi="宋体" w:eastAsia="方正黑体_GBK"/>
          <w:b/>
          <w:color w:val="000000" w:themeColor="text1"/>
          <w:sz w:val="32"/>
          <w:szCs w:val="32"/>
          <w:highlight w:val="none"/>
          <w14:textFill>
            <w14:solidFill>
              <w14:schemeClr w14:val="tx1"/>
            </w14:solidFill>
          </w14:textFill>
        </w:rPr>
      </w:pPr>
      <w:r>
        <w:rPr>
          <w:rFonts w:hint="eastAsia" w:ascii="方正黑体_GBK" w:hAnsi="宋体" w:eastAsia="方正黑体_GBK"/>
          <w:b/>
          <w:color w:val="000000" w:themeColor="text1"/>
          <w:sz w:val="32"/>
          <w:szCs w:val="32"/>
          <w:highlight w:val="none"/>
          <w:lang w:val="en-US" w:eastAsia="zh-CN"/>
          <w14:textFill>
            <w14:solidFill>
              <w14:schemeClr w14:val="tx1"/>
            </w14:solidFill>
          </w14:textFill>
        </w:rPr>
        <w:t xml:space="preserve">4</w:t>
      </w:r>
      <w:r>
        <w:rPr>
          <w:rFonts w:hint="eastAsia" w:ascii="方正黑体_GBK" w:hAnsi="宋体" w:eastAsia="方正黑体_GBK"/>
          <w:b/>
          <w:color w:val="000000" w:themeColor="text1"/>
          <w:sz w:val="32"/>
          <w:szCs w:val="32"/>
          <w:highlight w:val="none"/>
          <w14:textFill>
            <w14:solidFill>
              <w14:schemeClr w14:val="tx1"/>
            </w14:solidFill>
          </w14:textFill>
        </w:rPr>
        <w:t xml:space="preserve">.投标人需认真填写本报价表，尤其注意规格型号的准确填写。</w:t>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lang w:val="en-US" w:eastAsia="zh-CN"/>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.项目</w:t>
      </w:r>
      <w:r>
        <w:rPr>
          <w:rFonts w:ascii="宋体" w:hAnsi="宋体"/>
          <w:color w:val="000000" w:themeColor="text1"/>
          <w:sz w:val="24"/>
          <w:szCs w:val="21"/>
          <w:highlight w:val="none"/>
          <w14:textFill>
            <w14:solidFill>
              <w14:schemeClr w14:val="tx1"/>
            </w14:solidFill>
          </w14:textFill>
        </w:rPr>
        <w:t xml:space="preserve">经办人可以根据</w:t>
      </w:r>
      <w:r>
        <w:rPr>
          <w:rFonts w:hint="eastAsia" w:ascii="宋体" w:hAnsi="宋体"/>
          <w:color w:val="000000" w:themeColor="text1"/>
          <w:sz w:val="24"/>
          <w:szCs w:val="21"/>
          <w:highlight w:val="none"/>
          <w14:textFill>
            <w14:solidFill>
              <w14:schemeClr w14:val="tx1"/>
            </w14:solidFill>
          </w14:textFill>
        </w:rPr>
        <w:t xml:space="preserve">项目</w:t>
      </w:r>
      <w:r>
        <w:rPr>
          <w:rFonts w:ascii="宋体" w:hAnsi="宋体"/>
          <w:color w:val="000000" w:themeColor="text1"/>
          <w:sz w:val="24"/>
          <w:szCs w:val="21"/>
          <w:highlight w:val="none"/>
          <w14:textFill>
            <w14:solidFill>
              <w14:schemeClr w14:val="tx1"/>
            </w14:solidFill>
          </w14:textFill>
        </w:rPr>
        <w:t xml:space="preserve">实际需要</w:t>
      </w:r>
      <w:r>
        <w:rPr>
          <w:rFonts w:hint="eastAsia" w:ascii="宋体" w:hAnsi="宋体"/>
          <w:color w:val="000000" w:themeColor="text1"/>
          <w:sz w:val="24"/>
          <w:szCs w:val="21"/>
          <w:highlight w:val="none"/>
          <w14:textFill>
            <w14:solidFill>
              <w14:schemeClr w14:val="tx1"/>
            </w14:solidFill>
          </w14:textFill>
        </w:rPr>
        <w:t xml:space="preserve">对</w:t>
      </w:r>
      <w:r>
        <w:rPr>
          <w:rFonts w:ascii="宋体" w:hAnsi="宋体"/>
          <w:color w:val="000000" w:themeColor="text1"/>
          <w:sz w:val="24"/>
          <w:szCs w:val="21"/>
          <w:highlight w:val="none"/>
          <w14:textFill>
            <w14:solidFill>
              <w14:schemeClr w14:val="tx1"/>
            </w14:solidFill>
          </w14:textFill>
        </w:rPr>
        <w:t xml:space="preserve">表格结构进行</w:t>
      </w:r>
      <w:r>
        <w:rPr>
          <w:rFonts w:hint="eastAsia" w:ascii="宋体" w:hAnsi="宋体"/>
          <w:color w:val="000000" w:themeColor="text1"/>
          <w:sz w:val="24"/>
          <w:szCs w:val="21"/>
          <w:highlight w:val="none"/>
          <w14:textFill>
            <w14:solidFill>
              <w14:schemeClr w14:val="tx1"/>
            </w14:solidFill>
          </w14:textFill>
        </w:rPr>
        <w:t xml:space="preserve">调整</w:t>
      </w:r>
      <w:r>
        <w:rPr>
          <w:rFonts w:ascii="宋体" w:hAnsi="宋体"/>
          <w:color w:val="000000" w:themeColor="text1"/>
          <w:sz w:val="24"/>
          <w:szCs w:val="21"/>
          <w:highlight w:val="none"/>
          <w14:textFill>
            <w14:solidFill>
              <w14:schemeClr w14:val="tx1"/>
            </w14:solidFill>
          </w14:textFill>
        </w:rPr>
        <w:t xml:space="preserve">。</w:t>
      </w:r>
      <w:r/>
    </w:p>
    <w:p>
      <w:pPr>
        <w:jc w:val="cente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jc w:val="cente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jc w:val="cente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3 </w:t>
      </w:r>
      <w:r>
        <w:rPr>
          <w:rFonts w:hint="eastAsia" w:ascii="宋体" w:hAnsi="宋体"/>
          <w:b/>
          <w:color w:val="000000" w:themeColor="text1"/>
          <w:sz w:val="24"/>
          <w:szCs w:val="24"/>
          <w:highlight w:val="none"/>
          <w14:textFill>
            <w14:solidFill>
              <w14:schemeClr w14:val="tx1"/>
            </w14:solidFill>
          </w14:textFill>
        </w:rPr>
        <w:t xml:space="preserve">技术要求响应及偏离表（采购包号：**）</w:t>
      </w:r>
      <w:r/>
    </w:p>
    <w:tbl>
      <w:tblPr>
        <w:tblStyle w:val="7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序号</w:t>
            </w:r>
            <w:r/>
          </w:p>
        </w:tc>
        <w:tc>
          <w:tcPr>
            <w:tcW w:w="3063" w:type="dxa"/>
            <w:vAlign w:val="center"/>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技术要求</w:t>
            </w:r>
            <w:r/>
          </w:p>
        </w:tc>
        <w:tc>
          <w:tcPr>
            <w:tcW w:w="3191" w:type="dxa"/>
            <w:vAlign w:val="center"/>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投标响应情况</w:t>
            </w:r>
            <w:r/>
          </w:p>
        </w:tc>
        <w:tc>
          <w:tcPr>
            <w:tcW w:w="2128" w:type="dxa"/>
            <w:vAlign w:val="center"/>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超出、符合或偏离</w:t>
            </w:r>
            <w:r/>
          </w:p>
        </w:tc>
      </w:tr>
      <w:tr>
        <w:trPr>
          <w:cantSplit/>
          <w:trHeight w:val="640"/>
        </w:trPr>
        <w:tc>
          <w:tcPr>
            <w:tcW w:w="545"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p>
        </w:tc>
        <w:tc>
          <w:tcPr>
            <w:tcW w:w="3063"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3191"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2128"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trHeight w:val="640"/>
        </w:trPr>
        <w:tc>
          <w:tcPr>
            <w:tcW w:w="545"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3063"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c>
          <w:tcPr>
            <w:tcW w:w="3191"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2128"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bl>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附件</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-1  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1，证明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rFonts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1.投标人需对招标文件技术要求中非实质性要求（</w:t>
      </w:r>
      <w:r>
        <w:rPr>
          <w:rFonts w:hint="eastAsia" w:ascii="宋体" w:hAnsi="宋体" w:eastAsia="宋体" w:cs="宋体"/>
          <w:b/>
          <w:color w:val="000000" w:themeColor="text1"/>
          <w:sz w:val="24"/>
          <w:szCs w:val="24"/>
          <w:highlight w:val="none"/>
          <w14:textFill>
            <w14:solidFill>
              <w14:schemeClr w14:val="tx1"/>
            </w14:solidFill>
          </w14:textFill>
        </w:rPr>
        <w:t xml:space="preserve">未加</w:t>
      </w:r>
      <w:r>
        <w:rPr>
          <w:rFonts w:hint="eastAsia" w:ascii="宋体" w:hAnsi="宋体" w:eastAsia="宋体" w:cs="宋体"/>
          <w:b/>
          <w:i/>
          <w:color w:val="000000" w:themeColor="text1"/>
          <w:sz w:val="24"/>
          <w:szCs w:val="24"/>
          <w:highlight w:val="none"/>
          <w:u w:val="single"/>
          <w14:textFill>
            <w14:solidFill>
              <w14:schemeClr w14:val="tx1"/>
            </w14:solidFill>
          </w14:textFill>
        </w:rPr>
        <w:t xml:space="preserve">斜体下划线</w:t>
      </w:r>
      <w:r>
        <w:rPr>
          <w:rFonts w:hint="eastAsia" w:ascii="宋体" w:hAnsi="宋体" w:eastAsia="宋体" w:cs="宋体"/>
          <w:b/>
          <w:iCs/>
          <w:color w:val="000000" w:themeColor="text1"/>
          <w:sz w:val="24"/>
          <w:szCs w:val="24"/>
          <w:highlight w:val="none"/>
          <w14:textFill>
            <w14:solidFill>
              <w14:schemeClr w14:val="tx1"/>
            </w14:solidFill>
          </w14:textFill>
        </w:rPr>
        <w:t xml:space="preserve">部分</w:t>
      </w:r>
      <w:r>
        <w:rPr>
          <w:rFonts w:hint="eastAsia" w:ascii="宋体" w:hAnsi="宋体" w:eastAsia="宋体" w:cs="宋体"/>
          <w:b/>
          <w:color w:val="000000" w:themeColor="text1"/>
          <w:sz w:val="24"/>
          <w:szCs w:val="24"/>
          <w:highlight w:val="none"/>
          <w14:textFill>
            <w14:solidFill>
              <w14:schemeClr w14:val="tx1"/>
            </w14:solidFill>
          </w14:textFill>
        </w:rPr>
        <w:t xml:space="preserve">或未加</w:t>
      </w:r>
      <w:r>
        <w:rPr>
          <w:rFonts w:hint="eastAsia" w:ascii="宋体" w:hAnsi="宋体" w:eastAsia="宋体" w:cs="Times New Roman"/>
          <w:b/>
          <w:bCs/>
          <w:i/>
          <w:color w:val="000000" w:themeColor="text1"/>
          <w:sz w:val="24"/>
          <w:szCs w:val="21"/>
          <w:highlight w:val="none"/>
          <w:u w:val="none"/>
          <w:lang w:val="en-US" w:eastAsia="zh-CN" w:bidi="ar-SA"/>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号条款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逐条做出明确响应</w:t>
      </w:r>
      <w:r>
        <w:rPr>
          <w:rFonts w:hint="eastAsia"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2.如果招标</w:t>
      </w:r>
      <w:r>
        <w:rPr>
          <w:rFonts w:ascii="宋体" w:hAnsi="宋体"/>
          <w:color w:val="000000" w:themeColor="text1"/>
          <w:sz w:val="24"/>
          <w:szCs w:val="24"/>
          <w:highlight w:val="none"/>
          <w14:textFill>
            <w14:solidFill>
              <w14:schemeClr w14:val="tx1"/>
            </w14:solidFill>
          </w14:textFill>
        </w:rPr>
        <w:t xml:space="preserve">文件要求提供</w:t>
      </w:r>
      <w:r>
        <w:rPr>
          <w:rFonts w:hint="eastAsia" w:ascii="宋体" w:hAnsi="宋体"/>
          <w:color w:val="000000" w:themeColor="text1"/>
          <w:sz w:val="24"/>
          <w:szCs w:val="24"/>
          <w:highlight w:val="none"/>
          <w14:textFill>
            <w14:solidFill>
              <w14:schemeClr w14:val="tx1"/>
            </w14:solidFill>
          </w14:textFill>
        </w:rPr>
        <w:t xml:space="preserve">证明</w:t>
      </w:r>
      <w:r>
        <w:rPr>
          <w:rFonts w:ascii="宋体" w:hAnsi="宋体"/>
          <w:color w:val="000000" w:themeColor="text1"/>
          <w:sz w:val="24"/>
          <w:szCs w:val="24"/>
          <w:highlight w:val="none"/>
          <w14:textFill>
            <w14:solidFill>
              <w14:schemeClr w14:val="tx1"/>
            </w14:solidFill>
          </w14:textFill>
        </w:rPr>
        <w:t xml:space="preserve">材料，投标人</w:t>
      </w:r>
      <w:r>
        <w:rPr>
          <w:rFonts w:hint="eastAsia" w:ascii="宋体" w:hAnsi="宋体"/>
          <w:color w:val="000000" w:themeColor="text1"/>
          <w:sz w:val="24"/>
          <w:szCs w:val="24"/>
          <w:highlight w:val="none"/>
          <w14:textFill>
            <w14:solidFill>
              <w14:schemeClr w14:val="tx1"/>
            </w14:solidFill>
          </w14:textFill>
        </w:rPr>
        <w:t xml:space="preserve">需</w:t>
      </w:r>
      <w:r>
        <w:rPr>
          <w:rFonts w:ascii="宋体" w:hAnsi="宋体"/>
          <w:color w:val="000000" w:themeColor="text1"/>
          <w:sz w:val="24"/>
          <w:szCs w:val="24"/>
          <w:highlight w:val="none"/>
          <w14:textFill>
            <w14:solidFill>
              <w14:schemeClr w14:val="tx1"/>
            </w14:solidFill>
          </w14:textFill>
        </w:rPr>
        <w:t xml:space="preserve">将证明材料</w:t>
      </w:r>
      <w:r>
        <w:rPr>
          <w:rFonts w:hint="eastAsia" w:ascii="宋体" w:hAnsi="宋体"/>
          <w:color w:val="000000" w:themeColor="text1"/>
          <w:sz w:val="24"/>
          <w:szCs w:val="24"/>
          <w:highlight w:val="none"/>
          <w14:textFill>
            <w14:solidFill>
              <w14:schemeClr w14:val="tx1"/>
            </w14:solidFill>
          </w14:textFill>
        </w:rPr>
        <w:t xml:space="preserve">列于</w:t>
      </w:r>
      <w:r>
        <w:rPr>
          <w:rFonts w:ascii="宋体" w:hAnsi="宋体"/>
          <w:color w:val="000000" w:themeColor="text1"/>
          <w:sz w:val="24"/>
          <w:szCs w:val="24"/>
          <w:highlight w:val="none"/>
          <w14:textFill>
            <w14:solidFill>
              <w14:schemeClr w14:val="tx1"/>
            </w14:solidFill>
          </w14:textFill>
        </w:rPr>
        <w:t xml:space="preserve">该表之下。</w:t>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4 </w:t>
      </w:r>
      <w:r>
        <w:rPr>
          <w:rFonts w:hint="eastAsia" w:ascii="宋体" w:hAnsi="宋体"/>
          <w:b/>
          <w:color w:val="000000" w:themeColor="text1"/>
          <w:sz w:val="24"/>
          <w:szCs w:val="24"/>
          <w:highlight w:val="none"/>
          <w14:textFill>
            <w14:solidFill>
              <w14:schemeClr w14:val="tx1"/>
            </w14:solidFill>
          </w14:textFill>
        </w:rPr>
        <w:t xml:space="preserve">商务要求响应及偏离表（采购包号：**）</w:t>
      </w:r>
      <w:r/>
    </w:p>
    <w:tbl>
      <w:tblPr>
        <w:tblStyle w:val="7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序号</w:t>
            </w:r>
            <w:r/>
          </w:p>
        </w:tc>
        <w:tc>
          <w:tcPr>
            <w:tcW w:w="3063" w:type="dxa"/>
            <w:vAlign w:val="center"/>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商务要求</w:t>
            </w:r>
            <w:r/>
          </w:p>
        </w:tc>
        <w:tc>
          <w:tcPr>
            <w:tcW w:w="3191" w:type="dxa"/>
            <w:vAlign w:val="center"/>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投标响应情况</w:t>
            </w:r>
            <w:r/>
          </w:p>
        </w:tc>
        <w:tc>
          <w:tcPr>
            <w:tcW w:w="2128" w:type="dxa"/>
            <w:vAlign w:val="center"/>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超出、符合或偏离</w:t>
            </w:r>
            <w:r/>
          </w:p>
        </w:tc>
      </w:tr>
      <w:tr>
        <w:trPr>
          <w:cantSplit/>
          <w:trHeight w:val="640"/>
        </w:trPr>
        <w:tc>
          <w:tcPr>
            <w:tcW w:w="545"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p>
        </w:tc>
        <w:tc>
          <w:tcPr>
            <w:tcW w:w="3063"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3191"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2128"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trHeight w:val="640"/>
        </w:trPr>
        <w:tc>
          <w:tcPr>
            <w:tcW w:w="545"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3063"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c>
          <w:tcPr>
            <w:tcW w:w="3191"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2128"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bl>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附件</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-1  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1，证明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rFonts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1.投标人需对招标文件商务要求中非实质性要求（</w:t>
      </w:r>
      <w:r>
        <w:rPr>
          <w:rFonts w:hint="eastAsia" w:ascii="宋体" w:hAnsi="宋体" w:eastAsia="宋体" w:cs="宋体"/>
          <w:b/>
          <w:color w:val="000000" w:themeColor="text1"/>
          <w:sz w:val="24"/>
          <w:szCs w:val="24"/>
          <w:highlight w:val="none"/>
          <w14:textFill>
            <w14:solidFill>
              <w14:schemeClr w14:val="tx1"/>
            </w14:solidFill>
          </w14:textFill>
        </w:rPr>
        <w:t xml:space="preserve">未加</w:t>
      </w:r>
      <w:r>
        <w:rPr>
          <w:rFonts w:hint="eastAsia" w:ascii="宋体" w:hAnsi="宋体" w:eastAsia="宋体" w:cs="宋体"/>
          <w:b/>
          <w:i/>
          <w:color w:val="000000" w:themeColor="text1"/>
          <w:sz w:val="24"/>
          <w:szCs w:val="24"/>
          <w:highlight w:val="none"/>
          <w:u w:val="single"/>
          <w14:textFill>
            <w14:solidFill>
              <w14:schemeClr w14:val="tx1"/>
            </w14:solidFill>
          </w14:textFill>
        </w:rPr>
        <w:t xml:space="preserve">斜体下划线</w:t>
      </w:r>
      <w:r>
        <w:rPr>
          <w:rFonts w:hint="eastAsia" w:ascii="宋体" w:hAnsi="宋体" w:eastAsia="宋体" w:cs="宋体"/>
          <w:b/>
          <w:iCs/>
          <w:color w:val="000000" w:themeColor="text1"/>
          <w:sz w:val="24"/>
          <w:szCs w:val="24"/>
          <w:highlight w:val="none"/>
          <w14:textFill>
            <w14:solidFill>
              <w14:schemeClr w14:val="tx1"/>
            </w14:solidFill>
          </w14:textFill>
        </w:rPr>
        <w:t xml:space="preserve">部分</w:t>
      </w:r>
      <w:r>
        <w:rPr>
          <w:rFonts w:hint="eastAsia" w:ascii="宋体" w:hAnsi="宋体" w:eastAsia="宋体" w:cs="宋体"/>
          <w:b/>
          <w:color w:val="000000" w:themeColor="text1"/>
          <w:sz w:val="24"/>
          <w:szCs w:val="24"/>
          <w:highlight w:val="none"/>
          <w14:textFill>
            <w14:solidFill>
              <w14:schemeClr w14:val="tx1"/>
            </w14:solidFill>
          </w14:textFill>
        </w:rPr>
        <w:t xml:space="preserve">或未加</w:t>
      </w:r>
      <w:r>
        <w:rPr>
          <w:rFonts w:hint="eastAsia" w:ascii="宋体" w:hAnsi="宋体" w:eastAsia="宋体" w:cs="Times New Roman"/>
          <w:b/>
          <w:bCs/>
          <w:i/>
          <w:color w:val="000000" w:themeColor="text1"/>
          <w:sz w:val="24"/>
          <w:szCs w:val="21"/>
          <w:highlight w:val="none"/>
          <w:u w:val="none"/>
          <w:lang w:val="en-US" w:eastAsia="zh-CN" w:bidi="ar-SA"/>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号条款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逐条做出明确响应</w:t>
      </w:r>
      <w:r>
        <w:rPr>
          <w:rFonts w:hint="eastAsia" w:ascii="宋体" w:hAnsi="宋体"/>
          <w:color w:val="000000" w:themeColor="text1"/>
          <w:sz w:val="24"/>
          <w:szCs w:val="24"/>
          <w:highlight w:val="none"/>
          <w14:textFill>
            <w14:solidFill>
              <w14:schemeClr w14:val="tx1"/>
            </w14:solidFill>
          </w14:textFill>
        </w:rPr>
        <w:t xml:space="preserve">。</w:t>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2.如果招标</w:t>
      </w:r>
      <w:r>
        <w:rPr>
          <w:rFonts w:ascii="宋体" w:hAnsi="宋体"/>
          <w:color w:val="000000" w:themeColor="text1"/>
          <w:sz w:val="24"/>
          <w:szCs w:val="24"/>
          <w:highlight w:val="none"/>
          <w14:textFill>
            <w14:solidFill>
              <w14:schemeClr w14:val="tx1"/>
            </w14:solidFill>
          </w14:textFill>
        </w:rPr>
        <w:t xml:space="preserve">文件要求提供</w:t>
      </w:r>
      <w:r>
        <w:rPr>
          <w:rFonts w:hint="eastAsia" w:ascii="宋体" w:hAnsi="宋体"/>
          <w:color w:val="000000" w:themeColor="text1"/>
          <w:sz w:val="24"/>
          <w:szCs w:val="24"/>
          <w:highlight w:val="none"/>
          <w14:textFill>
            <w14:solidFill>
              <w14:schemeClr w14:val="tx1"/>
            </w14:solidFill>
          </w14:textFill>
        </w:rPr>
        <w:t xml:space="preserve">证明</w:t>
      </w:r>
      <w:r>
        <w:rPr>
          <w:rFonts w:ascii="宋体" w:hAnsi="宋体"/>
          <w:color w:val="000000" w:themeColor="text1"/>
          <w:sz w:val="24"/>
          <w:szCs w:val="24"/>
          <w:highlight w:val="none"/>
          <w14:textFill>
            <w14:solidFill>
              <w14:schemeClr w14:val="tx1"/>
            </w14:solidFill>
          </w14:textFill>
        </w:rPr>
        <w:t xml:space="preserve">材料，投标人</w:t>
      </w:r>
      <w:r>
        <w:rPr>
          <w:rFonts w:hint="eastAsia" w:ascii="宋体" w:hAnsi="宋体"/>
          <w:color w:val="000000" w:themeColor="text1"/>
          <w:sz w:val="24"/>
          <w:szCs w:val="24"/>
          <w:highlight w:val="none"/>
          <w14:textFill>
            <w14:solidFill>
              <w14:schemeClr w14:val="tx1"/>
            </w14:solidFill>
          </w14:textFill>
        </w:rPr>
        <w:t xml:space="preserve">需</w:t>
      </w:r>
      <w:r>
        <w:rPr>
          <w:rFonts w:ascii="宋体" w:hAnsi="宋体"/>
          <w:color w:val="000000" w:themeColor="text1"/>
          <w:sz w:val="24"/>
          <w:szCs w:val="24"/>
          <w:highlight w:val="none"/>
          <w14:textFill>
            <w14:solidFill>
              <w14:schemeClr w14:val="tx1"/>
            </w14:solidFill>
          </w14:textFill>
        </w:rPr>
        <w:t xml:space="preserve">将证明材料</w:t>
      </w:r>
      <w:r>
        <w:rPr>
          <w:rFonts w:hint="eastAsia" w:ascii="宋体" w:hAnsi="宋体"/>
          <w:color w:val="000000" w:themeColor="text1"/>
          <w:sz w:val="24"/>
          <w:szCs w:val="24"/>
          <w:highlight w:val="none"/>
          <w14:textFill>
            <w14:solidFill>
              <w14:schemeClr w14:val="tx1"/>
            </w14:solidFill>
          </w14:textFill>
        </w:rPr>
        <w:t xml:space="preserve">列于</w:t>
      </w:r>
      <w:r>
        <w:rPr>
          <w:rFonts w:ascii="宋体" w:hAnsi="宋体"/>
          <w:color w:val="000000" w:themeColor="text1"/>
          <w:sz w:val="24"/>
          <w:szCs w:val="24"/>
          <w:highlight w:val="none"/>
          <w14:textFill>
            <w14:solidFill>
              <w14:schemeClr w14:val="tx1"/>
            </w14:solidFill>
          </w14:textFill>
        </w:rPr>
        <w:t xml:space="preserve">该表之下。</w:t>
      </w:r>
      <w:r/>
    </w:p>
    <w:p>
      <w:pPr>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r>
      <w:r/>
    </w:p>
    <w:p>
      <w:pPr>
        <w:ind w:left="480"/>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附件</w:t>
      </w:r>
      <w:r>
        <w:rPr>
          <w:rFonts w:ascii="宋体" w:hAnsi="宋体"/>
          <w:b/>
          <w:color w:val="000000" w:themeColor="text1"/>
          <w:sz w:val="24"/>
          <w:szCs w:val="21"/>
          <w:highlight w:val="none"/>
          <w14:textFill>
            <w14:solidFill>
              <w14:schemeClr w14:val="tx1"/>
            </w14:solidFill>
          </w14:textFill>
        </w:rPr>
        <w:t xml:space="preserve">5</w:t>
      </w:r>
      <w:r>
        <w:rPr>
          <w:rFonts w:hint="eastAsia" w:ascii="宋体" w:hAnsi="宋体"/>
          <w:b/>
          <w:color w:val="000000" w:themeColor="text1"/>
          <w:sz w:val="24"/>
          <w:szCs w:val="21"/>
          <w:highlight w:val="none"/>
          <w14:textFill>
            <w14:solidFill>
              <w14:schemeClr w14:val="tx1"/>
            </w14:solidFill>
          </w14:textFill>
        </w:rPr>
        <w:t xml:space="preserve"> 具备履行合同所必需的设备和专业技术能力的书面声明</w:t>
      </w:r>
      <w:r/>
    </w:p>
    <w:p>
      <w:pPr>
        <w:ind w:firstLine="492"/>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主要设备有：</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w:t>
      </w:r>
      <w:r/>
    </w:p>
    <w:p>
      <w:pPr>
        <w:ind w:firstLine="492"/>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主要专业技术能力有：</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w:t>
      </w:r>
      <w:r/>
    </w:p>
    <w:p>
      <w:pPr>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w:t>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480"/>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附件</w:t>
      </w:r>
      <w:r>
        <w:rPr>
          <w:rFonts w:ascii="宋体" w:hAnsi="宋体"/>
          <w:b/>
          <w:color w:val="000000" w:themeColor="text1"/>
          <w:sz w:val="24"/>
          <w:szCs w:val="21"/>
          <w:highlight w:val="none"/>
          <w14:textFill>
            <w14:solidFill>
              <w14:schemeClr w14:val="tx1"/>
            </w14:solidFill>
          </w14:textFill>
        </w:rPr>
        <w:t xml:space="preserve">6 </w:t>
      </w:r>
      <w:r>
        <w:rPr>
          <w:rFonts w:hint="eastAsia" w:ascii="宋体" w:hAnsi="宋体"/>
          <w:b/>
          <w:color w:val="000000" w:themeColor="text1"/>
          <w:sz w:val="24"/>
          <w:szCs w:val="21"/>
          <w:highlight w:val="none"/>
          <w14:textFill>
            <w14:solidFill>
              <w14:schemeClr w14:val="tx1"/>
            </w14:solidFill>
          </w14:textFill>
        </w:rPr>
        <w:t xml:space="preserve">参加政府采购活动前 3 年内在经营活动中没有重大违法记录的书</w:t>
      </w:r>
      <w:r/>
    </w:p>
    <w:p>
      <w:pPr>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面声明</w:t>
      </w:r>
      <w:r/>
    </w:p>
    <w:p>
      <w:pPr>
        <w:ind w:firstLine="480"/>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bookmarkStart w:id="219" w:name="_Toc120614284"/>
      <w:r/>
      <w:r/>
    </w:p>
    <w:p>
      <w:pPr>
        <w:spacing w:line="460" w:lineRule="exact"/>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r>
      <w:r/>
    </w:p>
    <w:p>
      <w:pPr>
        <w:ind w:firstLine="480"/>
        <w:spacing w:line="460" w:lineRule="exact"/>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firstLine="480"/>
        <w:spacing w:line="460" w:lineRule="exact"/>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firstLine="480"/>
        <w:spacing w:line="460" w:lineRule="exact"/>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firstLine="480"/>
        <w:spacing w:line="460" w:lineRule="exact"/>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firstLine="480"/>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附件</w:t>
      </w:r>
      <w:r>
        <w:rPr>
          <w:rFonts w:ascii="宋体" w:hAnsi="宋体"/>
          <w:b/>
          <w:color w:val="000000" w:themeColor="text1"/>
          <w:sz w:val="24"/>
          <w:szCs w:val="21"/>
          <w:highlight w:val="none"/>
          <w14:textFill>
            <w14:solidFill>
              <w14:schemeClr w14:val="tx1"/>
            </w14:solidFill>
          </w14:textFill>
        </w:rPr>
        <w:t xml:space="preserve">7</w:t>
      </w:r>
      <w:r>
        <w:rPr>
          <w:rFonts w:hint="eastAsia" w:ascii="宋体" w:hAnsi="宋体"/>
          <w:b/>
          <w:color w:val="000000" w:themeColor="text1"/>
          <w:sz w:val="24"/>
          <w:szCs w:val="21"/>
          <w:highlight w:val="none"/>
          <w14:textFill>
            <w14:solidFill>
              <w14:schemeClr w14:val="tx1"/>
            </w14:solidFill>
          </w14:textFill>
        </w:rPr>
        <w:t xml:space="preserve"> </w:t>
      </w:r>
      <w:r>
        <w:rPr>
          <w:rFonts w:ascii="宋体" w:hAnsi="宋体"/>
          <w:b/>
          <w:color w:val="000000" w:themeColor="text1"/>
          <w:sz w:val="24"/>
          <w:szCs w:val="21"/>
          <w:highlight w:val="none"/>
          <w14:textFill>
            <w14:solidFill>
              <w14:schemeClr w14:val="tx1"/>
            </w14:solidFill>
          </w14:textFill>
        </w:rPr>
        <w:t xml:space="preserve">                        </w:t>
      </w:r>
      <w:r>
        <w:rPr>
          <w:rFonts w:hint="eastAsia" w:ascii="宋体" w:hAnsi="宋体"/>
          <w:b/>
          <w:color w:val="000000" w:themeColor="text1"/>
          <w:sz w:val="24"/>
          <w:szCs w:val="21"/>
          <w:highlight w:val="none"/>
          <w14:textFill>
            <w14:solidFill>
              <w14:schemeClr w14:val="tx1"/>
            </w14:solidFill>
          </w14:textFill>
        </w:rPr>
        <w:t xml:space="preserve">法人授权书</w:t>
      </w:r>
      <w:r/>
    </w:p>
    <w:p>
      <w:pPr>
        <w:ind w:firstLine="480"/>
        <w:spacing w:line="400" w:lineRule="exact"/>
        <w:tabs>
          <w:tab w:val="left" w:pos="360" w:leader="none"/>
        </w:tabs>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本授权书声明：____________（投标人名称）授权________________（被授权人的姓名）为我方就采购编号为JSZC-320000-</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SCZX-G20**-****</w:t>
      </w:r>
      <w:r>
        <w:rPr>
          <w:rFonts w:hint="eastAsia" w:ascii="Times New Roman" w:hAnsi="Times New Roman"/>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rPr>
          <w:rFonts w:hint="eastAsia" w:ascii="Times New Roman" w:hAnsi="Times New Roman"/>
          <w:color w:val="000000" w:themeColor="text1"/>
          <w:sz w:val="24"/>
          <w:szCs w:val="24"/>
          <w:highlight w:val="none"/>
          <w14:textFill>
            <w14:solidFill>
              <w14:schemeClr w14:val="tx1"/>
            </w14:solidFill>
          </w14:textFill>
        </w:rPr>
        <w:t xml:space="preserve">项目（项目名称）采购活动的合法代理人，以本单位名义全权处理一切与该项目采购有关的事务。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本授权书于______年____月____日起生效，特此声明。</w:t>
      </w:r>
      <w:r/>
    </w:p>
    <w:p>
      <w:pPr>
        <w:spacing w:line="400" w:lineRule="exact"/>
        <w:tabs>
          <w:tab w:val="left" w:pos="360" w:leader="none"/>
        </w:tabs>
        <w:rPr>
          <w:rFonts w:hint="eastAsia" w:ascii="Times New Roman" w:hAnsi="Times New Roman"/>
          <w:color w:val="000000" w:themeColor="text1"/>
          <w:sz w:val="24"/>
          <w:szCs w:val="24"/>
          <w:highlight w:val="none"/>
          <w:u w:val="singl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被授权人身份证号码：</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p>
    <w:p>
      <w:pPr>
        <w:spacing w:line="400" w:lineRule="exact"/>
        <w:tabs>
          <w:tab w:val="left" w:pos="360" w:leader="none"/>
        </w:tabs>
        <w:rPr>
          <w:rFonts w:hint="eastAsia" w:ascii="Times New Roman" w:hAnsi="Times New Roman"/>
          <w:color w:val="000000" w:themeColor="text1"/>
          <w:sz w:val="24"/>
          <w:szCs w:val="24"/>
          <w:highlight w:val="none"/>
          <w:u w:val="singl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被授权人联系电话：（手机）</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p>
    <w:p>
      <w:pPr>
        <w:ind w:firstLine="1200"/>
        <w:spacing w:line="400" w:lineRule="exact"/>
        <w:tabs>
          <w:tab w:val="left" w:pos="360" w:leader="none"/>
        </w:tabs>
        <w:rPr>
          <w:rFonts w:ascii="Times New Roman" w:hAnsi="Times New Roman"/>
          <w:color w:val="000000" w:themeColor="text1"/>
          <w:sz w:val="24"/>
          <w:szCs w:val="24"/>
          <w:highlight w:val="none"/>
          <w:u w:val="singl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被授权人电子邮箱：</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p>
    <w:p>
      <w:pPr>
        <w:ind w:firstLine="1200"/>
        <w:spacing w:line="400" w:lineRule="exact"/>
        <w:tabs>
          <w:tab w:val="left" w:pos="360" w:leader="none"/>
        </w:tabs>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授权单位名称：</w:t>
      </w:r>
      <w:r>
        <w:rPr>
          <w:rFonts w:hint="eastAsia" w:ascii="Times New Roman" w:hAnsi="Times New Roman"/>
          <w:color w:val="000000" w:themeColor="text1"/>
          <w:sz w:val="24"/>
          <w:szCs w:val="24"/>
          <w:highlight w:val="none"/>
          <w:u w:val="single"/>
          <w14:textFill>
            <w14:solidFill>
              <w14:schemeClr w14:val="tx1"/>
            </w14:solidFill>
          </w14:textFill>
        </w:rPr>
        <w:t xml:space="preserve">（加盖CA电子公章）</w:t>
      </w:r>
      <w:r/>
    </w:p>
    <w:p>
      <w:pPr>
        <w:ind w:firstLine="480"/>
        <w:spacing w:line="400" w:lineRule="exact"/>
        <w:tabs>
          <w:tab w:val="left" w:pos="360" w:leader="none"/>
        </w:tabs>
        <w:rPr>
          <w:rFonts w:hint="eastAsia" w:ascii="Times New Roman" w:hAnsi="Times New Roman"/>
          <w:color w:val="000000" w:themeColor="text1"/>
          <w:sz w:val="24"/>
          <w:szCs w:val="24"/>
          <w:highlight w:val="none"/>
          <w:u w:val="singl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单位地址：</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p>
    <w:p>
      <w:pPr>
        <w:ind w:firstLine="480"/>
        <w:spacing w:line="400" w:lineRule="exact"/>
        <w:tabs>
          <w:tab w:val="left" w:pos="360" w:leader="none"/>
        </w:tabs>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日期：</w:t>
      </w:r>
      <w:bookmarkStart w:id="220" w:name="_Hlt26671380"/>
      <w:r/>
      <w:bookmarkEnd w:id="220"/>
      <w:r/>
      <w:bookmarkStart w:id="221" w:name="_格式3__银行出具的资信证明"/>
      <w:r/>
      <w:bookmarkEnd w:id="221"/>
      <w:r/>
      <w:bookmarkStart w:id="222" w:name="_Hlt26955070"/>
      <w:r/>
      <w:bookmarkEnd w:id="222"/>
      <w:r>
        <w:rPr>
          <w:rFonts w:hint="eastAsia" w:ascii="Times New Roman" w:hAnsi="Times New Roman"/>
          <w:color w:val="000000" w:themeColor="text1"/>
          <w:sz w:val="24"/>
          <w:szCs w:val="24"/>
          <w:highlight w:val="none"/>
          <w:u w:val="single"/>
          <w14:textFill>
            <w14:solidFill>
              <w14:schemeClr w14:val="tx1"/>
            </w14:solidFill>
          </w14:textFill>
        </w:rPr>
        <w:t xml:space="preserve">                                         </w:t>
      </w:r>
      <w:r/>
    </w:p>
    <w:p>
      <w:pPr>
        <w:ind w:firstLine="360"/>
        <w:spacing w:line="40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p>
      <w:pPr>
        <w:keepLines/>
        <w:keepNext/>
        <w:spacing w:before="260" w:after="260" w:line="416" w:lineRule="auto"/>
        <w:rPr>
          <w:rFonts w:ascii="黑体" w:hAnsi="黑体" w:eastAsia="黑体"/>
          <w:b/>
          <w:i/>
          <w:color w:val="000000" w:themeColor="text1"/>
          <w:sz w:val="32"/>
          <w:szCs w:val="32"/>
          <w:highlight w:val="none"/>
          <w:u w:val="single"/>
          <w14:textFill>
            <w14:solidFill>
              <w14:schemeClr w14:val="tx1"/>
            </w14:solidFill>
          </w14:textFill>
        </w:rPr>
        <w:outlineLvl w:val="1"/>
      </w:pPr>
      <w:r>
        <w:rPr>
          <w:rFonts w:ascii="宋体" w:hAnsi="宋体" w:eastAsia="幼圆" w:cs="Arial"/>
          <w:b/>
          <w:color w:val="000000" w:themeColor="text1"/>
          <w:sz w:val="24"/>
          <w:szCs w:val="44"/>
          <w:highlight w:val="none"/>
          <w14:textFill>
            <w14:solidFill>
              <w14:schemeClr w14:val="tx1"/>
            </w14:solidFill>
          </w14:textFill>
        </w:rPr>
        <w:br w:type="page" w:clear="all"/>
      </w:r>
      <w:r>
        <w:rPr>
          <w:rFonts w:hint="eastAsia" w:ascii="宋体" w:hAnsi="宋体"/>
          <w:b/>
          <w:color w:val="000000" w:themeColor="text1"/>
          <w:sz w:val="24"/>
          <w:szCs w:val="21"/>
          <w:highlight w:val="none"/>
          <w14:textFill>
            <w14:solidFill>
              <w14:schemeClr w14:val="tx1"/>
            </w14:solidFill>
          </w14:textFill>
        </w:rPr>
        <w:t xml:space="preserve">附件</w:t>
      </w:r>
      <w:r>
        <w:rPr>
          <w:rFonts w:ascii="宋体" w:hAnsi="宋体"/>
          <w:b/>
          <w:color w:val="000000" w:themeColor="text1"/>
          <w:sz w:val="24"/>
          <w:szCs w:val="21"/>
          <w:highlight w:val="none"/>
          <w14:textFill>
            <w14:solidFill>
              <w14:schemeClr w14:val="tx1"/>
            </w14:solidFill>
          </w14:textFill>
        </w:rPr>
        <w:t xml:space="preserve">8                            </w:t>
      </w:r>
      <w:r>
        <w:rPr>
          <w:rFonts w:hint="eastAsia" w:ascii="宋体" w:hAnsi="宋体"/>
          <w:b/>
          <w:color w:val="000000" w:themeColor="text1"/>
          <w:sz w:val="24"/>
          <w:szCs w:val="21"/>
          <w:highlight w:val="none"/>
          <w14:textFill>
            <w14:solidFill>
              <w14:schemeClr w14:val="tx1"/>
            </w14:solidFill>
          </w14:textFill>
        </w:rPr>
        <w:t xml:space="preserve">投标函（采购包号：**）</w:t>
      </w:r>
      <w:r/>
    </w:p>
    <w:p>
      <w:pPr>
        <w:jc w:val="left"/>
        <w:spacing w:line="420" w:lineRule="exact"/>
        <w:rPr>
          <w:rFonts w:hint="default" w:ascii="宋体" w:hAnsi="宋体" w:eastAsia="宋体"/>
          <w:color w:val="000000" w:themeColor="text1"/>
          <w:sz w:val="24"/>
          <w:szCs w:val="21"/>
          <w:highlight w:val="none"/>
          <w:u w:val="single"/>
          <w:lang w:val="en-US" w:eastAsia="zh-CN"/>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致：</w:t>
      </w:r>
      <w:r>
        <w:rPr>
          <w:rFonts w:hint="eastAsia" w:ascii="宋体" w:hAnsi="宋体"/>
          <w:color w:val="000000" w:themeColor="text1"/>
          <w:sz w:val="24"/>
          <w:szCs w:val="21"/>
          <w:highlight w:val="none"/>
          <w:u w:val="single"/>
          <w:lang w:val="en-US" w:eastAsia="zh-CN"/>
          <w14:textFill>
            <w14:solidFill>
              <w14:schemeClr w14:val="tx1"/>
            </w14:solidFill>
          </w14:textFill>
        </w:rPr>
        <w:t xml:space="preserve">   采购人   </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根据贵方</w:t>
      </w:r>
      <w:r>
        <w:rPr>
          <w:rFonts w:hint="eastAsia" w:ascii="宋体" w:hAnsi="宋体"/>
          <w:color w:val="000000" w:themeColor="text1"/>
          <w:sz w:val="24"/>
          <w:szCs w:val="24"/>
          <w:highlight w:val="none"/>
          <w14:textFill>
            <w14:solidFill>
              <w14:schemeClr w14:val="tx1"/>
            </w14:solidFill>
          </w14:textFill>
        </w:rPr>
        <w:t xml:space="preserve">采购编号为</w:t>
      </w:r>
      <w:r>
        <w:rPr>
          <w:rFonts w:hint="eastAsia" w:ascii="Times New Roman" w:hAnsi="Times New Roman"/>
          <w:color w:val="000000" w:themeColor="text1"/>
          <w:sz w:val="24"/>
          <w:szCs w:val="24"/>
          <w:highlight w:val="none"/>
          <w14:textFill>
            <w14:solidFill>
              <w14:schemeClr w14:val="tx1"/>
            </w14:solidFill>
          </w14:textFill>
        </w:rPr>
        <w:t xml:space="preserve">JSZC-320000-</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SCZX-G20**-****</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u w:val="none"/>
          <w:lang w:val="en-US" w:eastAsia="zh-CN"/>
          <w14:textFill>
            <w14:solidFill>
              <w14:schemeClr w14:val="tx1"/>
            </w14:solidFill>
          </w14:textFill>
        </w:rPr>
        <w:t xml:space="preserve">项目</w:t>
      </w:r>
      <w:r>
        <w:rPr>
          <w:rFonts w:hint="eastAsia" w:ascii="宋体" w:hAnsi="宋体"/>
          <w:color w:val="000000" w:themeColor="text1"/>
          <w:sz w:val="24"/>
          <w:szCs w:val="24"/>
          <w:highlight w:val="none"/>
          <w:u w:val="none"/>
          <w14:textFill>
            <w14:solidFill>
              <w14:schemeClr w14:val="tx1"/>
            </w14:solidFill>
          </w14:textFill>
        </w:rPr>
        <w:t xml:space="preserve">（项目名称）</w:t>
      </w:r>
      <w:r>
        <w:rPr>
          <w:rFonts w:hint="eastAsia" w:ascii="宋体" w:hAnsi="宋体"/>
          <w:color w:val="000000" w:themeColor="text1"/>
          <w:sz w:val="24"/>
          <w:szCs w:val="21"/>
          <w:highlight w:val="none"/>
          <w14:textFill>
            <w14:solidFill>
              <w14:schemeClr w14:val="tx1"/>
            </w14:solidFill>
          </w14:textFill>
        </w:rPr>
        <w:t xml:space="preserve">的招标文件，正式授权下述签字人_____(姓名)代表我方_______（投标人的名称），全权处理本次项目投标的有关事宜。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据此函，__________签字人兹宣布同意如下：</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1.按招标文件规定的各项要求，向买方提供所需货物（包含与货物相关的服务）。</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2.我们完全理解贵方不一定将合同授予最低报价的投标人。</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1"/>
          <w:highlight w:val="none"/>
          <w14:textFill>
            <w14:solidFill>
              <w14:schemeClr w14:val="tx1"/>
            </w14:solidFill>
          </w14:textFill>
        </w:rPr>
        <w:t xml:space="preserve">.与本投标有关的正式通讯地址为：</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地          址：</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邮          编：</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电          话：</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传          真：</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投标人开户行：</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账          号： </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日           期：___年____月____日</w:t>
      </w:r>
      <w:r/>
    </w:p>
    <w:p>
      <w:pPr>
        <w:ind w:firstLine="240"/>
        <w:jc w:val="center"/>
        <w:spacing w:line="5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ind w:firstLine="240"/>
        <w:jc w:val="center"/>
        <w:spacing w:line="5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spacing w:line="560" w:lineRule="exact"/>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firstLine="241"/>
        <w:jc w:val="center"/>
        <w:spacing w:line="560" w:lineRule="exact"/>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附件</w:t>
      </w:r>
      <w:r>
        <w:rPr>
          <w:rFonts w:ascii="宋体" w:hAnsi="宋体"/>
          <w:b/>
          <w:color w:val="000000" w:themeColor="text1"/>
          <w:sz w:val="24"/>
          <w:szCs w:val="21"/>
          <w:highlight w:val="none"/>
          <w14:textFill>
            <w14:solidFill>
              <w14:schemeClr w14:val="tx1"/>
            </w14:solidFill>
          </w14:textFill>
        </w:rPr>
        <w:t xml:space="preserve">9</w:t>
      </w:r>
      <w:r>
        <w:rPr>
          <w:rFonts w:hint="eastAsia" w:ascii="宋体" w:hAnsi="宋体"/>
          <w:b/>
          <w:color w:val="000000" w:themeColor="text1"/>
          <w:sz w:val="24"/>
          <w:szCs w:val="21"/>
          <w:highlight w:val="none"/>
          <w14:textFill>
            <w14:solidFill>
              <w14:schemeClr w14:val="tx1"/>
            </w14:solidFill>
          </w14:textFill>
        </w:rPr>
        <w:t xml:space="preserve"> </w:t>
      </w:r>
      <w:r>
        <w:rPr>
          <w:rFonts w:ascii="宋体" w:hAnsi="宋体"/>
          <w:b/>
          <w:color w:val="000000" w:themeColor="text1"/>
          <w:sz w:val="24"/>
          <w:szCs w:val="21"/>
          <w:highlight w:val="none"/>
          <w14:textFill>
            <w14:solidFill>
              <w14:schemeClr w14:val="tx1"/>
            </w14:solidFill>
          </w14:textFill>
        </w:rPr>
        <w:t xml:space="preserve"> </w:t>
      </w:r>
      <w:r>
        <w:rPr>
          <w:rFonts w:hint="eastAsia" w:ascii="宋体" w:hAnsi="宋体"/>
          <w:b/>
          <w:color w:val="000000" w:themeColor="text1"/>
          <w:sz w:val="24"/>
          <w:szCs w:val="21"/>
          <w:highlight w:val="none"/>
          <w14:textFill>
            <w14:solidFill>
              <w14:schemeClr w14:val="tx1"/>
            </w14:solidFill>
          </w14:textFill>
        </w:rPr>
        <w:t xml:space="preserve">中小微企业声明函（货物类项目）（采购包号：**）</w:t>
      </w: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本公司（联合体）郑重声明，根据《政府采购促进中小企业发展管理办法》(财库〔2020〕46号)的规定，本公司（联合体）参加江苏省政府</w:t>
      </w:r>
      <w:r>
        <w:rPr>
          <w:rFonts w:hint="eastAsia" w:ascii="宋体" w:hAnsi="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组织的</w:t>
      </w:r>
      <w:r>
        <w:rPr>
          <w:rFonts w:hint="eastAsia" w:ascii="宋体" w:hAnsi="宋体"/>
          <w:color w:val="000000" w:themeColor="text1"/>
          <w:sz w:val="24"/>
          <w:szCs w:val="24"/>
          <w:highlight w:val="none"/>
          <w:u w:val="single"/>
          <w14:textFill>
            <w14:solidFill>
              <w14:schemeClr w14:val="tx1"/>
            </w14:solidFill>
          </w14:textFill>
        </w:rPr>
        <w:t xml:space="preserve">（单位名称）</w:t>
      </w:r>
      <w:r>
        <w:rPr>
          <w:rFonts w:hint="eastAsia" w:ascii="宋体" w:hAnsi="宋体"/>
          <w:color w:val="000000" w:themeColor="text1"/>
          <w:sz w:val="24"/>
          <w:szCs w:val="24"/>
          <w:highlight w:val="none"/>
          <w14:textFill>
            <w14:solidFill>
              <w14:schemeClr w14:val="tx1"/>
            </w14:solidFill>
          </w14:textFill>
        </w:rPr>
        <w:t xml:space="preserve">采购编号为</w:t>
      </w:r>
      <w:r>
        <w:rPr>
          <w:rFonts w:hint="eastAsia" w:ascii="Times New Roman" w:hAnsi="Times New Roman"/>
          <w:color w:val="000000" w:themeColor="text1"/>
          <w:sz w:val="24"/>
          <w:szCs w:val="24"/>
          <w:highlight w:val="none"/>
          <w14:textFill>
            <w14:solidFill>
              <w14:schemeClr w14:val="tx1"/>
            </w14:solidFill>
          </w14:textFill>
        </w:rPr>
        <w:t xml:space="preserve">JSZC-320000-</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SCZX-G20**-****</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u w:val="none"/>
          <w:lang w:val="en-US" w:eastAsia="zh-CN"/>
          <w14:textFill>
            <w14:solidFill>
              <w14:schemeClr w14:val="tx1"/>
            </w14:solidFill>
          </w14:textFill>
        </w:rPr>
        <w:t xml:space="preserve">项目</w:t>
      </w:r>
      <w:r>
        <w:rPr>
          <w:rFonts w:hint="eastAsia" w:ascii="宋体" w:hAnsi="宋体"/>
          <w:color w:val="000000" w:themeColor="text1"/>
          <w:sz w:val="24"/>
          <w:szCs w:val="24"/>
          <w:highlight w:val="none"/>
          <w:u w:val="none"/>
          <w14:textFill>
            <w14:solidFill>
              <w14:schemeClr w14:val="tx1"/>
            </w14:solidFill>
          </w14:textFill>
        </w:rPr>
        <w:t xml:space="preserve">（项目名称）（采购包号：**）</w:t>
      </w:r>
      <w:r>
        <w:rPr>
          <w:rFonts w:hint="eastAsia" w:ascii="宋体" w:hAnsi="宋体"/>
          <w:color w:val="000000" w:themeColor="text1"/>
          <w:sz w:val="24"/>
          <w:szCs w:val="24"/>
          <w:highlight w:val="none"/>
          <w14:textFill>
            <w14:solidFill>
              <w14:schemeClr w14:val="tx1"/>
            </w14:solidFill>
          </w14:textFill>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u w:val="single"/>
          <w14:textFill>
            <w14:solidFill>
              <w14:schemeClr w14:val="tx1"/>
            </w14:solidFill>
          </w14:textFill>
        </w:rPr>
        <w:t xml:space="preserve">（标的名称）</w:t>
      </w:r>
      <w:r>
        <w:rPr>
          <w:rFonts w:hint="eastAsia" w:ascii="宋体" w:hAnsi="宋体"/>
          <w:i/>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14:textFill>
            <w14:solidFill>
              <w14:schemeClr w14:val="tx1"/>
            </w14:solidFill>
          </w14:textFill>
        </w:rPr>
        <w:t xml:space="preserve">（供应商填写招标文件中明确的所属行业）</w:t>
      </w:r>
      <w:r>
        <w:rPr>
          <w:rFonts w:hint="eastAsia" w:ascii="宋体" w:hAnsi="宋体"/>
          <w:color w:val="000000" w:themeColor="text1"/>
          <w:sz w:val="24"/>
          <w:szCs w:val="24"/>
          <w:highlight w:val="none"/>
          <w14:textFill>
            <w14:solidFill>
              <w14:schemeClr w14:val="tx1"/>
            </w14:solidFill>
          </w14:textFill>
        </w:rPr>
        <w:t xml:space="preserve">行业；投标产品制造商为</w:t>
      </w:r>
      <w:r>
        <w:rPr>
          <w:rFonts w:hint="eastAsia" w:ascii="宋体" w:hAnsi="宋体"/>
          <w:color w:val="000000" w:themeColor="text1"/>
          <w:sz w:val="24"/>
          <w:szCs w:val="24"/>
          <w:highlight w:val="none"/>
          <w:u w:val="singl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万元，属于</w:t>
      </w:r>
      <w:r>
        <w:rPr>
          <w:rFonts w:hint="eastAsia"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中型企业 □小型企业 </w:t>
      </w:r>
      <w:r>
        <w:rPr>
          <w:rFonts w:hint="eastAsia" w:ascii="宋体" w:hAnsi="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微型企业）；</w:t>
      </w:r>
      <w:r/>
    </w:p>
    <w:p>
      <w:pPr>
        <w:ind w:firstLine="360"/>
        <w:spacing w:line="400" w:lineRule="exact"/>
        <w:rPr>
          <w:rFonts w:hint="eastAsia" w:ascii="宋体" w:hAnsi="宋体"/>
          <w:i/>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（标的名称）</w:t>
      </w:r>
      <w:r>
        <w:rPr>
          <w:rFonts w:hint="eastAsia" w:ascii="宋体" w:hAnsi="宋体"/>
          <w:i/>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14:textFill>
            <w14:solidFill>
              <w14:schemeClr w14:val="tx1"/>
            </w14:solidFill>
          </w14:textFill>
        </w:rPr>
        <w:t xml:space="preserve">（供应商填写招标文件中明确的所属行业）</w:t>
      </w:r>
      <w:r>
        <w:rPr>
          <w:rFonts w:hint="eastAsia" w:ascii="宋体" w:hAnsi="宋体"/>
          <w:color w:val="000000" w:themeColor="text1"/>
          <w:sz w:val="24"/>
          <w:szCs w:val="24"/>
          <w:highlight w:val="none"/>
          <w14:textFill>
            <w14:solidFill>
              <w14:schemeClr w14:val="tx1"/>
            </w14:solidFill>
          </w14:textFill>
        </w:rPr>
        <w:t xml:space="preserve">行业；投标产品制造商为</w:t>
      </w:r>
      <w:r>
        <w:rPr>
          <w:rFonts w:hint="eastAsia" w:ascii="宋体" w:hAnsi="宋体"/>
          <w:color w:val="000000" w:themeColor="text1"/>
          <w:sz w:val="24"/>
          <w:szCs w:val="24"/>
          <w:highlight w:val="none"/>
          <w:u w:val="singl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万元，属于</w:t>
      </w:r>
      <w:r>
        <w:rPr>
          <w:rFonts w:hint="eastAsia" w:ascii="宋体" w:hAnsi="宋体"/>
          <w:color w:val="000000" w:themeColor="text1"/>
          <w:sz w:val="24"/>
          <w:szCs w:val="24"/>
          <w:highlight w:val="none"/>
          <w:u w:val="single"/>
          <w14:textFill>
            <w14:solidFill>
              <w14:schemeClr w14:val="tx1"/>
            </w14:solidFill>
          </w14:textFill>
        </w:rPr>
        <w:t xml:space="preserve">（□中型企业 □小型企业 □微型企业）；</w:t>
      </w: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right="72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right="180" w:firstLine="360"/>
        <w:jc w:val="right"/>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企业名称（加盖CA电子公章）：</w:t>
      </w:r>
      <w:r/>
    </w:p>
    <w:p>
      <w:pPr>
        <w:ind w:right="480" w:firstLine="45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w:t>
      </w:r>
      <w:r>
        <w:rPr>
          <w:rFonts w:hint="eastAsia" w:ascii="宋体" w:hAnsi="宋体"/>
          <w:color w:val="000000" w:themeColor="text1"/>
          <w:sz w:val="24"/>
          <w:szCs w:val="21"/>
          <w:highlight w:val="none"/>
          <w14:textFill>
            <w14:solidFill>
              <w14:schemeClr w14:val="tx1"/>
            </w14:solidFill>
          </w14:textFill>
        </w:rPr>
        <w:t xml:space="preserve">___年____月____日</w:t>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1.从业人员、营业收入、资产总额填报上一年度数据，无上一年度数据的新成立企业可不填报。</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2.专门</w:t>
      </w:r>
      <w:r>
        <w:rPr>
          <w:rFonts w:ascii="宋体" w:hAnsi="宋体"/>
          <w:color w:val="000000" w:themeColor="text1"/>
          <w:sz w:val="24"/>
          <w:szCs w:val="24"/>
          <w:highlight w:val="none"/>
          <w14:textFill>
            <w14:solidFill>
              <w14:schemeClr w14:val="tx1"/>
            </w14:solidFill>
          </w14:textFill>
        </w:rPr>
        <w:t xml:space="preserve">面向中小微型企业</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的项目，</w:t>
      </w:r>
      <w:r>
        <w:rPr>
          <w:rFonts w:hint="eastAsia" w:ascii="宋体" w:hAnsi="宋体"/>
          <w:color w:val="000000" w:themeColor="text1"/>
          <w:sz w:val="24"/>
          <w:szCs w:val="24"/>
          <w:highlight w:val="none"/>
          <w14:textFill>
            <w14:solidFill>
              <w14:schemeClr w14:val="tx1"/>
            </w14:solidFill>
          </w14:textFill>
        </w:rPr>
        <w:t xml:space="preserve">供应商如不提供此声明函，则</w:t>
      </w:r>
      <w:r>
        <w:rPr>
          <w:rFonts w:ascii="宋体" w:hAnsi="宋体"/>
          <w:color w:val="000000" w:themeColor="text1"/>
          <w:sz w:val="24"/>
          <w:szCs w:val="24"/>
          <w:highlight w:val="none"/>
          <w14:textFill>
            <w14:solidFill>
              <w14:schemeClr w14:val="tx1"/>
            </w14:solidFill>
          </w14:textFill>
        </w:rPr>
        <w:t xml:space="preserve">不能通过资格审查；</w:t>
      </w:r>
      <w:r>
        <w:rPr>
          <w:rFonts w:hint="eastAsia" w:ascii="宋体" w:hAnsi="宋体"/>
          <w:color w:val="000000" w:themeColor="text1"/>
          <w:sz w:val="24"/>
          <w:szCs w:val="24"/>
          <w:highlight w:val="none"/>
          <w14:textFill>
            <w14:solidFill>
              <w14:schemeClr w14:val="tx1"/>
            </w14:solidFill>
          </w14:textFill>
        </w:rPr>
        <w:t xml:space="preserve">非专门</w:t>
      </w:r>
      <w:r>
        <w:rPr>
          <w:rFonts w:ascii="宋体" w:hAnsi="宋体"/>
          <w:color w:val="000000" w:themeColor="text1"/>
          <w:sz w:val="24"/>
          <w:szCs w:val="24"/>
          <w:highlight w:val="none"/>
          <w14:textFill>
            <w14:solidFill>
              <w14:schemeClr w14:val="tx1"/>
            </w14:solidFill>
          </w14:textFill>
        </w:rPr>
        <w:t xml:space="preserve">面向中小微型企业</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的项目，</w:t>
      </w:r>
      <w:r>
        <w:rPr>
          <w:rFonts w:hint="eastAsia" w:ascii="宋体" w:hAnsi="宋体"/>
          <w:color w:val="000000" w:themeColor="text1"/>
          <w:sz w:val="24"/>
          <w:szCs w:val="24"/>
          <w:highlight w:val="none"/>
          <w14:textFill>
            <w14:solidFill>
              <w14:schemeClr w14:val="tx1"/>
            </w14:solidFill>
          </w14:textFill>
        </w:rPr>
        <w:t xml:space="preserve">供应商如不提供此声明函，价格将不做相应扣除。</w:t>
      </w:r>
      <w:r/>
    </w:p>
    <w:p>
      <w:pPr>
        <w:ind w:left="540" w:hanging="12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3.供应商应对照《工业和信息化部、国家统计局、国家发展和改革委员会、</w:t>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000000" w:themeColor="text1"/>
          <w:sz w:val="24"/>
          <w:szCs w:val="24"/>
          <w:highlight w:val="none"/>
          <w14:textFill>
            <w14:solidFill>
              <w14:schemeClr w14:val="tx1"/>
            </w14:solidFill>
          </w14:textFill>
        </w:rPr>
        <w:t xml:space="preserve">自行勾选</w:t>
      </w:r>
      <w:r>
        <w:rPr>
          <w:rFonts w:hint="eastAsia" w:ascii="宋体" w:hAnsi="宋体"/>
          <w:color w:val="000000" w:themeColor="text1"/>
          <w:sz w:val="24"/>
          <w:szCs w:val="24"/>
          <w:highlight w:val="none"/>
          <w14:textFill>
            <w14:solidFill>
              <w14:schemeClr w14:val="tx1"/>
            </w14:solidFill>
          </w14:textFill>
        </w:rPr>
        <w:t xml:space="preserve">制造商</w:t>
      </w:r>
      <w:r>
        <w:rPr>
          <w:rFonts w:ascii="宋体" w:hAnsi="宋体"/>
          <w:color w:val="000000" w:themeColor="text1"/>
          <w:sz w:val="24"/>
          <w:szCs w:val="24"/>
          <w:highlight w:val="none"/>
          <w14:textFill>
            <w14:solidFill>
              <w14:schemeClr w14:val="tx1"/>
            </w14:solidFill>
          </w14:textFill>
        </w:rPr>
        <w:t xml:space="preserve">的企业</w:t>
      </w:r>
      <w:r>
        <w:rPr>
          <w:rFonts w:hint="eastAsia" w:ascii="宋体" w:hAnsi="宋体"/>
          <w:color w:val="000000" w:themeColor="text1"/>
          <w:sz w:val="24"/>
          <w:szCs w:val="24"/>
          <w:highlight w:val="none"/>
          <w14:textFill>
            <w14:solidFill>
              <w14:schemeClr w14:val="tx1"/>
            </w14:solidFill>
          </w14:textFill>
        </w:rPr>
        <w:t xml:space="preserve">规模类型</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ascii="黑体" w:hAnsi="黑体" w:eastAsia="黑体"/>
          <w:b/>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10</w:t>
      </w:r>
      <w:r>
        <w:rPr>
          <w:rFonts w:hint="eastAsia" w:ascii="宋体" w:hAnsi="宋体"/>
          <w:b/>
          <w:color w:val="000000" w:themeColor="text1"/>
          <w:sz w:val="24"/>
          <w:szCs w:val="24"/>
          <w:highlight w:val="none"/>
          <w14:textFill>
            <w14:solidFill>
              <w14:schemeClr w14:val="tx1"/>
            </w14:solidFill>
          </w14:textFill>
        </w:rPr>
        <w:t xml:space="preserve">残疾人福利性单位声明函（货物类项目）（采购包号：**）</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000000" w:themeColor="text1"/>
          <w:sz w:val="24"/>
          <w:szCs w:val="24"/>
          <w:highlight w:val="none"/>
          <w14:textFill>
            <w14:solidFill>
              <w14:schemeClr w14:val="tx1"/>
            </w14:solidFill>
          </w14:textFill>
        </w:rPr>
        <w:t xml:space="preserve">JSZC-320000-</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SCZX-G20**-****</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项目</w:t>
      </w:r>
      <w:r>
        <w:rPr>
          <w:rFonts w:hint="eastAsia" w:ascii="宋体" w:hAnsi="宋体"/>
          <w:color w:val="000000" w:themeColor="text1"/>
          <w:sz w:val="24"/>
          <w:szCs w:val="24"/>
          <w:highlight w:val="none"/>
          <w:u w:val="none"/>
          <w14:textFill>
            <w14:solidFill>
              <w14:schemeClr w14:val="tx1"/>
            </w14:solidFill>
          </w14:textFill>
        </w:rPr>
        <w:t xml:space="preserve">（项目名称）</w:t>
      </w:r>
      <w:r>
        <w:rPr>
          <w:rFonts w:hint="eastAsia" w:ascii="宋体" w:hAnsi="宋体"/>
          <w:color w:val="000000" w:themeColor="text1"/>
          <w:sz w:val="24"/>
          <w:szCs w:val="21"/>
          <w:highlight w:val="none"/>
          <w14:textFill>
            <w14:solidFill>
              <w14:schemeClr w14:val="tx1"/>
            </w14:solidFill>
          </w14:textFill>
        </w:rPr>
        <w:t xml:space="preserve">（采购包号：**）采购活动提供本单位制造的货物，或者提供其他残疾人福利性单位制造的货物（不包括使用非残疾人福利性单位注册商标的货物）。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本单位对上述声明的真实性负责。如有虚假，将依法承担相应责任。</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备注：</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专门面向中小微型企业采购的</w:t>
      </w:r>
      <w:r>
        <w:rPr>
          <w:rFonts w:ascii="宋体" w:hAnsi="宋体"/>
          <w:color w:val="000000" w:themeColor="text1"/>
          <w:sz w:val="24"/>
          <w:szCs w:val="21"/>
          <w:highlight w:val="none"/>
          <w14:textFill>
            <w14:solidFill>
              <w14:schemeClr w14:val="tx1"/>
            </w14:solidFill>
          </w14:textFill>
        </w:rPr>
        <w:t xml:space="preserve">项目</w:t>
      </w:r>
      <w:r>
        <w:rPr>
          <w:rFonts w:hint="eastAsia" w:ascii="宋体" w:hAnsi="宋体"/>
          <w:color w:val="000000" w:themeColor="text1"/>
          <w:sz w:val="24"/>
          <w:szCs w:val="21"/>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宋体" w:hAnsi="宋体"/>
          <w:color w:val="000000" w:themeColor="text1"/>
          <w:sz w:val="24"/>
          <w:szCs w:val="21"/>
          <w:highlight w:val="none"/>
          <w14:textFill>
            <w14:solidFill>
              <w14:schemeClr w14:val="tx1"/>
            </w14:solidFill>
          </w14:textFill>
        </w:rPr>
        <w:t xml:space="preserve">声明函</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否则将</w:t>
      </w:r>
      <w:r>
        <w:rPr>
          <w:rFonts w:hint="eastAsia" w:ascii="宋体" w:hAnsi="宋体"/>
          <w:color w:val="000000" w:themeColor="text1"/>
          <w:sz w:val="24"/>
          <w:szCs w:val="21"/>
          <w:highlight w:val="none"/>
          <w14:textFill>
            <w14:solidFill>
              <w14:schemeClr w14:val="tx1"/>
            </w14:solidFill>
          </w14:textFill>
        </w:rPr>
        <w:t xml:space="preserve">不能</w:t>
      </w:r>
      <w:r>
        <w:rPr>
          <w:rFonts w:ascii="宋体" w:hAnsi="宋体"/>
          <w:color w:val="000000" w:themeColor="text1"/>
          <w:sz w:val="24"/>
          <w:szCs w:val="21"/>
          <w:highlight w:val="none"/>
          <w14:textFill>
            <w14:solidFill>
              <w14:schemeClr w14:val="tx1"/>
            </w14:solidFill>
          </w14:textFill>
        </w:rPr>
        <w:t xml:space="preserve">通过资格审查</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 非专门面向中小微型企业采购的</w:t>
      </w:r>
      <w:r>
        <w:rPr>
          <w:rFonts w:ascii="宋体" w:hAnsi="宋体"/>
          <w:color w:val="000000" w:themeColor="text1"/>
          <w:sz w:val="24"/>
          <w:szCs w:val="21"/>
          <w:highlight w:val="none"/>
          <w14:textFill>
            <w14:solidFill>
              <w14:schemeClr w14:val="tx1"/>
            </w14:solidFill>
          </w14:textFill>
        </w:rPr>
        <w:t xml:space="preserve">项目</w:t>
      </w:r>
      <w:r>
        <w:rPr>
          <w:rFonts w:hint="eastAsia" w:ascii="宋体" w:hAnsi="宋体"/>
          <w:color w:val="000000" w:themeColor="text1"/>
          <w:sz w:val="24"/>
          <w:szCs w:val="21"/>
          <w:highlight w:val="none"/>
          <w14:textFill>
            <w14:solidFill>
              <w14:schemeClr w14:val="tx1"/>
            </w14:solidFill>
          </w14:textFill>
        </w:rPr>
        <w:t xml:space="preserve">，供应商如不提供此声明函，价格将不做相应扣除。</w:t>
      </w: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color w:val="000000" w:themeColor="text1"/>
          <w:spacing w:val="6"/>
          <w:sz w:val="30"/>
          <w:szCs w:val="30"/>
          <w:highlight w:val="none"/>
          <w14:textFill>
            <w14:solidFill>
              <w14:schemeClr w14:val="tx1"/>
            </w14:solidFill>
          </w14:textFill>
        </w:rPr>
      </w:pPr>
      <w:r>
        <w:rPr>
          <w:rFonts w:ascii="仿宋_GB2312" w:hAnsi="Times New Roman" w:eastAsia="仿宋_GB2312"/>
          <w:color w:val="000000" w:themeColor="text1"/>
          <w:spacing w:val="6"/>
          <w:sz w:val="30"/>
          <w:szCs w:val="30"/>
          <w:highlight w:val="none"/>
          <w14:textFill>
            <w14:solidFill>
              <w14:schemeClr w14:val="tx1"/>
            </w14:solidFill>
          </w14:textFill>
        </w:rPr>
      </w:r>
      <w:r/>
    </w:p>
    <w:p>
      <w:pPr>
        <w:ind w:right="1559" w:firstLine="624"/>
        <w:jc w:val="center"/>
        <w:spacing w:line="400" w:lineRule="exact"/>
        <w:tabs>
          <w:tab w:val="left" w:pos="4860" w:leader="none"/>
        </w:tabs>
        <w:rPr>
          <w:rFonts w:ascii="宋体" w:hAnsi="宋体"/>
          <w:color w:val="000000" w:themeColor="text1"/>
          <w:sz w:val="24"/>
          <w:szCs w:val="21"/>
          <w:highlight w:val="none"/>
          <w14:textFill>
            <w14:solidFill>
              <w14:schemeClr w14:val="tx1"/>
            </w14:solidFill>
          </w14:textFill>
        </w:rPr>
      </w:pPr>
      <w:r>
        <w:rPr>
          <w:rFonts w:hint="eastAsia" w:ascii="仿宋_GB2312" w:hAnsi="Times New Roman" w:eastAsia="仿宋_GB2312"/>
          <w:color w:val="000000" w:themeColor="text1"/>
          <w:spacing w:val="6"/>
          <w:sz w:val="30"/>
          <w:szCs w:val="30"/>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供应商全称（加盖CA电子公章）：</w:t>
      </w:r>
      <w:r/>
    </w:p>
    <w:p>
      <w:pPr>
        <w:ind w:right="1559" w:firstLine="480"/>
        <w:jc w:val="center"/>
        <w:spacing w:line="400" w:lineRule="exact"/>
        <w:tabs>
          <w:tab w:val="left" w:pos="4860" w:leader="none"/>
        </w:tabs>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lang w:val="en-US" w:eastAsia="zh-CN"/>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日  期：___年____月____日</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 </w:t>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jc w:val="cente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1</w:t>
      </w:r>
      <w:r>
        <w:rPr>
          <w:rFonts w:hint="eastAsia" w:ascii="宋体" w:hAnsi="宋体"/>
          <w:b/>
          <w:color w:val="000000" w:themeColor="text1"/>
          <w:sz w:val="24"/>
          <w:szCs w:val="24"/>
          <w:highlight w:val="none"/>
          <w:lang w:val="en-US" w:eastAsia="zh-CN"/>
          <w14:textFill>
            <w14:solidFill>
              <w14:schemeClr w14:val="tx1"/>
            </w14:solidFill>
          </w14:textFill>
        </w:rPr>
        <w:t xml:space="preserve">1</w:t>
      </w:r>
      <w:r>
        <w:rPr>
          <w:rFonts w:hint="eastAsia" w:ascii="宋体" w:hAnsi="宋体"/>
          <w:b/>
          <w:color w:val="000000" w:themeColor="text1"/>
          <w:sz w:val="24"/>
          <w:szCs w:val="24"/>
          <w:highlight w:val="none"/>
          <w14:textFill>
            <w14:solidFill>
              <w14:schemeClr w14:val="tx1"/>
            </w14:solidFill>
          </w14:textFill>
        </w:rPr>
        <w:t xml:space="preserve">实质性要求响应及偏离表（采购包号：**）</w:t>
      </w:r>
      <w:r/>
    </w:p>
    <w:tbl>
      <w:tblPr>
        <w:tblStyle w:val="7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序号</w:t>
            </w:r>
            <w:r/>
          </w:p>
        </w:tc>
        <w:tc>
          <w:tcPr>
            <w:tcW w:w="3609" w:type="dxa"/>
            <w:vAlign w:val="center"/>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1"/>
                <w:highlight w:val="none"/>
                <w:lang w:val="en-US" w:eastAsia="zh-CN" w:bidi="ar-SA"/>
                <w14:textFill>
                  <w14:solidFill>
                    <w14:schemeClr w14:val="tx1"/>
                  </w14:solidFill>
                </w14:textFill>
              </w:rPr>
              <w:t xml:space="preserve">招标文件（含技术</w:t>
            </w:r>
            <w:r>
              <w:rPr>
                <w:rFonts w:ascii="宋体" w:hAnsi="宋体" w:eastAsia="宋体" w:cs="Times New Roman"/>
                <w:color w:val="000000" w:themeColor="text1"/>
                <w:sz w:val="24"/>
                <w:szCs w:val="21"/>
                <w:highlight w:val="none"/>
                <w:lang w:val="en-US" w:eastAsia="zh-CN" w:bidi="ar-SA"/>
                <w14:textFill>
                  <w14:solidFill>
                    <w14:schemeClr w14:val="tx1"/>
                  </w14:solidFill>
                </w14:textFill>
              </w:rPr>
              <w:t xml:space="preserve">要求和商务</w:t>
            </w:r>
            <w:r>
              <w:rPr>
                <w:rFonts w:hint="eastAsia" w:ascii="宋体" w:hAnsi="宋体" w:eastAsia="宋体" w:cs="Times New Roman"/>
                <w:color w:val="000000" w:themeColor="text1"/>
                <w:sz w:val="24"/>
                <w:szCs w:val="21"/>
                <w:highlight w:val="none"/>
                <w:lang w:val="en-US" w:eastAsia="zh-CN" w:bidi="ar-SA"/>
                <w14:textFill>
                  <w14:solidFill>
                    <w14:schemeClr w14:val="tx1"/>
                  </w14:solidFill>
                </w14:textFill>
              </w:rPr>
              <w:t xml:space="preserve">要求）</w:t>
            </w:r>
            <w:r>
              <w:rPr>
                <w:rFonts w:ascii="宋体" w:hAnsi="宋体" w:eastAsia="宋体" w:cs="Times New Roman"/>
                <w:color w:val="000000" w:themeColor="text1"/>
                <w:sz w:val="24"/>
                <w:szCs w:val="21"/>
                <w:highlight w:val="none"/>
                <w:lang w:val="en-US" w:eastAsia="zh-CN" w:bidi="ar-SA"/>
                <w14:textFill>
                  <w14:solidFill>
                    <w14:schemeClr w14:val="tx1"/>
                  </w14:solidFill>
                </w14:textFill>
              </w:rPr>
              <w:t xml:space="preserve">中</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的实质性要求</w:t>
            </w: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b/>
                <w:bCs/>
                <w:i/>
                <w:color w:val="000000" w:themeColor="text1"/>
                <w:sz w:val="24"/>
                <w:szCs w:val="21"/>
                <w:highlight w:val="none"/>
                <w:u w:val="single"/>
                <w:lang w:val="en-US" w:eastAsia="zh-CN" w:bidi="ar-SA"/>
                <w14:textFill>
                  <w14:solidFill>
                    <w14:schemeClr w14:val="tx1"/>
                  </w14:solidFill>
                </w14:textFill>
              </w:rPr>
              <w:t xml:space="preserve">斜体且有下划线部分</w:t>
            </w:r>
            <w:r>
              <w:rPr>
                <w:rFonts w:hint="eastAsia" w:ascii="宋体" w:hAnsi="宋体" w:eastAsia="宋体" w:cs="Times New Roman"/>
                <w:b/>
                <w:bCs/>
                <w:color w:val="000000" w:themeColor="text1"/>
                <w:sz w:val="24"/>
                <w:szCs w:val="21"/>
                <w:highlight w:val="none"/>
                <w:lang w:val="en-US" w:eastAsia="zh-CN" w:bidi="ar-SA"/>
                <w14:textFill>
                  <w14:solidFill>
                    <w14:schemeClr w14:val="tx1"/>
                  </w14:solidFill>
                </w14:textFill>
              </w:rPr>
              <w:t xml:space="preserve">或加</w:t>
            </w:r>
            <w:r>
              <w:rPr>
                <w:rFonts w:hint="eastAsia" w:ascii="宋体" w:hAnsi="宋体" w:eastAsia="宋体" w:cs="Times New Roman"/>
                <w:b/>
                <w:bCs/>
                <w:i/>
                <w:color w:val="000000" w:themeColor="text1"/>
                <w:sz w:val="24"/>
                <w:szCs w:val="21"/>
                <w:highlight w:val="none"/>
                <w:u w:val="none"/>
                <w:lang w:val="en-US" w:eastAsia="zh-CN" w:bidi="ar-SA"/>
                <w14:textFill>
                  <w14:solidFill>
                    <w14:schemeClr w14:val="tx1"/>
                  </w14:solidFill>
                </w14:textFill>
              </w:rPr>
              <w:t xml:space="preserve">★</w:t>
            </w:r>
            <w:r>
              <w:rPr>
                <w:rFonts w:hint="eastAsia" w:ascii="宋体" w:hAnsi="宋体" w:eastAsia="宋体" w:cs="Times New Roman"/>
                <w:b/>
                <w:bCs/>
                <w:color w:val="000000" w:themeColor="text1"/>
                <w:sz w:val="24"/>
                <w:szCs w:val="21"/>
                <w:highlight w:val="none"/>
                <w:lang w:val="en-US" w:eastAsia="zh-CN" w:bidi="ar-SA"/>
                <w14:textFill>
                  <w14:solidFill>
                    <w14:schemeClr w14:val="tx1"/>
                  </w14:solidFill>
                </w14:textFill>
              </w:rPr>
              <w:t xml:space="preserve">号条款）</w:t>
            </w:r>
            <w:r/>
          </w:p>
        </w:tc>
        <w:tc>
          <w:tcPr>
            <w:tcW w:w="3317" w:type="dxa"/>
            <w:vAlign w:val="center"/>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投标响应情况</w:t>
            </w:r>
            <w:r/>
          </w:p>
        </w:tc>
        <w:tc>
          <w:tcPr>
            <w:tcW w:w="1526" w:type="dxa"/>
            <w:vAlign w:val="center"/>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超出、符合或偏离</w:t>
            </w:r>
            <w:r/>
          </w:p>
        </w:tc>
      </w:tr>
      <w:tr>
        <w:trPr>
          <w:cantSplit/>
          <w:trHeight w:val="640"/>
        </w:trPr>
        <w:tc>
          <w:tcPr>
            <w:tcW w:w="545"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p>
        </w:tc>
        <w:tc>
          <w:tcPr>
            <w:tcW w:w="3609"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3317"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526"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trHeight w:val="640"/>
        </w:trPr>
        <w:tc>
          <w:tcPr>
            <w:tcW w:w="545"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w:t>
            </w:r>
            <w:r/>
          </w:p>
        </w:tc>
        <w:tc>
          <w:tcPr>
            <w:tcW w:w="3609"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3317"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526"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trHeight w:val="640"/>
        </w:trPr>
        <w:tc>
          <w:tcPr>
            <w:tcW w:w="545"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3609"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tc>
        <w:tc>
          <w:tcPr>
            <w:tcW w:w="3317"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tcW w:w="1526" w:type="dxa"/>
            <w:vAlign w:val="top"/>
            <w:textDirection w:val="lrTb"/>
            <w:noWrap w:val="false"/>
          </w:tcPr>
          <w:p>
            <w:pPr>
              <w:jc w:val="center"/>
              <w:spacing w:line="40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bl>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附件</w:t>
      </w:r>
      <w:r>
        <w:rPr>
          <w:rFonts w:ascii="宋体" w:hAnsi="宋体"/>
          <w:color w:val="000000" w:themeColor="text1"/>
          <w:sz w:val="24"/>
          <w:szCs w:val="24"/>
          <w:highlight w:val="none"/>
          <w14:textFill>
            <w14:solidFill>
              <w14:schemeClr w14:val="tx1"/>
            </w14:solidFill>
          </w14:textFill>
        </w:rPr>
        <w:t xml:space="preserve">12-1 </w:t>
      </w:r>
      <w:r>
        <w:rPr>
          <w:rFonts w:hint="eastAsia" w:ascii="宋体" w:hAnsi="宋体"/>
          <w:color w:val="000000" w:themeColor="text1"/>
          <w:sz w:val="24"/>
          <w:szCs w:val="24"/>
          <w:highlight w:val="none"/>
          <w14:textFill>
            <w14:solidFill>
              <w14:schemeClr w14:val="tx1"/>
            </w14:solidFill>
          </w14:textFill>
        </w:rPr>
        <w:t xml:space="preserve">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1，证明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rFonts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1.投标人必须</w:t>
      </w:r>
      <w:r>
        <w:rPr>
          <w:rFonts w:ascii="宋体" w:hAnsi="宋体"/>
          <w:color w:val="000000" w:themeColor="text1"/>
          <w:sz w:val="24"/>
          <w:szCs w:val="24"/>
          <w:highlight w:val="none"/>
          <w14:textFill>
            <w14:solidFill>
              <w14:schemeClr w14:val="tx1"/>
            </w14:solidFill>
          </w14:textFill>
        </w:rPr>
        <w:t xml:space="preserve">对</w:t>
      </w:r>
      <w:r>
        <w:rPr>
          <w:rFonts w:hint="eastAsia" w:ascii="宋体" w:hAnsi="宋体"/>
          <w:color w:val="000000" w:themeColor="text1"/>
          <w:sz w:val="24"/>
          <w:szCs w:val="21"/>
          <w:highlight w:val="none"/>
          <w14:textFill>
            <w14:solidFill>
              <w14:schemeClr w14:val="tx1"/>
            </w14:solidFill>
          </w14:textFill>
        </w:rPr>
        <w:t xml:space="preserve">招标文件（含技术</w:t>
      </w:r>
      <w:r>
        <w:rPr>
          <w:rFonts w:ascii="宋体" w:hAnsi="宋体"/>
          <w:color w:val="000000" w:themeColor="text1"/>
          <w:sz w:val="24"/>
          <w:szCs w:val="21"/>
          <w:highlight w:val="none"/>
          <w14:textFill>
            <w14:solidFill>
              <w14:schemeClr w14:val="tx1"/>
            </w14:solidFill>
          </w14:textFill>
        </w:rPr>
        <w:t xml:space="preserve">要求和商务</w:t>
      </w:r>
      <w:r>
        <w:rPr>
          <w:rFonts w:hint="eastAsia" w:ascii="宋体" w:hAnsi="宋体"/>
          <w:color w:val="000000" w:themeColor="text1"/>
          <w:sz w:val="24"/>
          <w:szCs w:val="21"/>
          <w:highlight w:val="none"/>
          <w14:textFill>
            <w14:solidFill>
              <w14:schemeClr w14:val="tx1"/>
            </w14:solidFill>
          </w14:textFill>
        </w:rPr>
        <w:t xml:space="preserve">要求）</w:t>
      </w:r>
      <w:r>
        <w:rPr>
          <w:rFonts w:ascii="宋体" w:hAnsi="宋体"/>
          <w:color w:val="000000" w:themeColor="text1"/>
          <w:sz w:val="24"/>
          <w:szCs w:val="21"/>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的实质性要求</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i/>
          <w:color w:val="000000" w:themeColor="text1"/>
          <w:sz w:val="24"/>
          <w:szCs w:val="21"/>
          <w:highlight w:val="none"/>
          <w:u w:val="single"/>
          <w14:textFill>
            <w14:solidFill>
              <w14:schemeClr w14:val="tx1"/>
            </w14:solidFill>
          </w14:textFill>
        </w:rPr>
        <w:t xml:space="preserve">斜体且有下划线部分</w:t>
      </w:r>
      <w:r>
        <w:rPr>
          <w:rFonts w:hint="eastAsia" w:ascii="宋体" w:hAnsi="宋体"/>
          <w:b/>
          <w:bCs/>
          <w:color w:val="000000" w:themeColor="text1"/>
          <w:sz w:val="24"/>
          <w:szCs w:val="21"/>
          <w:highlight w:val="none"/>
          <w14:textFill>
            <w14:solidFill>
              <w14:schemeClr w14:val="tx1"/>
            </w14:solidFill>
          </w14:textFill>
        </w:rPr>
        <w:t xml:space="preserve">或加</w:t>
      </w:r>
      <w:r>
        <w:rPr>
          <w:rFonts w:hint="eastAsia" w:ascii="宋体" w:hAnsi="宋体" w:eastAsia="宋体" w:cs="Times New Roman"/>
          <w:b/>
          <w:bCs/>
          <w:i/>
          <w:color w:val="000000" w:themeColor="text1"/>
          <w:sz w:val="24"/>
          <w:szCs w:val="21"/>
          <w:highlight w:val="none"/>
          <w:u w:val="none"/>
          <w:lang w:val="en-US" w:eastAsia="zh-CN" w:bidi="ar-SA"/>
          <w14:textFill>
            <w14:solidFill>
              <w14:schemeClr w14:val="tx1"/>
            </w14:solidFill>
          </w14:textFill>
        </w:rPr>
        <w:t xml:space="preserve">★</w:t>
      </w:r>
      <w:r>
        <w:rPr>
          <w:rFonts w:hint="eastAsia" w:ascii="宋体" w:hAnsi="宋体"/>
          <w:b/>
          <w:bCs/>
          <w:color w:val="000000" w:themeColor="text1"/>
          <w:sz w:val="24"/>
          <w:szCs w:val="21"/>
          <w:highlight w:val="none"/>
          <w14:textFill>
            <w14:solidFill>
              <w14:schemeClr w14:val="tx1"/>
            </w14:solidFill>
          </w14:textFill>
        </w:rPr>
        <w:t xml:space="preserve">号条款）</w:t>
      </w:r>
      <w:r>
        <w:rPr>
          <w:rFonts w:ascii="宋体" w:hAnsi="宋体"/>
          <w:color w:val="000000" w:themeColor="text1"/>
          <w:sz w:val="24"/>
          <w:szCs w:val="24"/>
          <w:highlight w:val="none"/>
          <w14:textFill>
            <w14:solidFill>
              <w14:schemeClr w14:val="tx1"/>
            </w14:solidFill>
          </w14:textFill>
        </w:rPr>
        <w:t xml:space="preserve">逐条做出明确响应</w:t>
      </w:r>
      <w:r>
        <w:rPr>
          <w:rFonts w:hint="eastAsia"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2.如果招标</w:t>
      </w:r>
      <w:r>
        <w:rPr>
          <w:rFonts w:ascii="宋体" w:hAnsi="宋体"/>
          <w:color w:val="000000" w:themeColor="text1"/>
          <w:sz w:val="24"/>
          <w:szCs w:val="24"/>
          <w:highlight w:val="none"/>
          <w14:textFill>
            <w14:solidFill>
              <w14:schemeClr w14:val="tx1"/>
            </w14:solidFill>
          </w14:textFill>
        </w:rPr>
        <w:t xml:space="preserve">文件要求提供</w:t>
      </w:r>
      <w:r>
        <w:rPr>
          <w:rFonts w:hint="eastAsia" w:ascii="宋体" w:hAnsi="宋体"/>
          <w:color w:val="000000" w:themeColor="text1"/>
          <w:sz w:val="24"/>
          <w:szCs w:val="24"/>
          <w:highlight w:val="none"/>
          <w14:textFill>
            <w14:solidFill>
              <w14:schemeClr w14:val="tx1"/>
            </w14:solidFill>
          </w14:textFill>
        </w:rPr>
        <w:t xml:space="preserve">证明</w:t>
      </w:r>
      <w:r>
        <w:rPr>
          <w:rFonts w:ascii="宋体" w:hAnsi="宋体"/>
          <w:color w:val="000000" w:themeColor="text1"/>
          <w:sz w:val="24"/>
          <w:szCs w:val="24"/>
          <w:highlight w:val="none"/>
          <w14:textFill>
            <w14:solidFill>
              <w14:schemeClr w14:val="tx1"/>
            </w14:solidFill>
          </w14:textFill>
        </w:rPr>
        <w:t xml:space="preserve">材料，投标人</w:t>
      </w:r>
      <w:r>
        <w:rPr>
          <w:rFonts w:hint="eastAsia" w:ascii="宋体" w:hAnsi="宋体"/>
          <w:color w:val="000000" w:themeColor="text1"/>
          <w:sz w:val="24"/>
          <w:szCs w:val="24"/>
          <w:highlight w:val="none"/>
          <w14:textFill>
            <w14:solidFill>
              <w14:schemeClr w14:val="tx1"/>
            </w14:solidFill>
          </w14:textFill>
        </w:rPr>
        <w:t xml:space="preserve">必须</w:t>
      </w:r>
      <w:r>
        <w:rPr>
          <w:rFonts w:ascii="宋体" w:hAnsi="宋体"/>
          <w:color w:val="000000" w:themeColor="text1"/>
          <w:sz w:val="24"/>
          <w:szCs w:val="24"/>
          <w:highlight w:val="none"/>
          <w14:textFill>
            <w14:solidFill>
              <w14:schemeClr w14:val="tx1"/>
            </w14:solidFill>
          </w14:textFill>
        </w:rPr>
        <w:t xml:space="preserve">将证明材料</w:t>
      </w:r>
      <w:r>
        <w:rPr>
          <w:rFonts w:hint="eastAsia" w:ascii="宋体" w:hAnsi="宋体"/>
          <w:color w:val="000000" w:themeColor="text1"/>
          <w:sz w:val="24"/>
          <w:szCs w:val="24"/>
          <w:highlight w:val="none"/>
          <w14:textFill>
            <w14:solidFill>
              <w14:schemeClr w14:val="tx1"/>
            </w14:solidFill>
          </w14:textFill>
        </w:rPr>
        <w:t xml:space="preserve">列于</w:t>
      </w:r>
      <w:r>
        <w:rPr>
          <w:rFonts w:ascii="宋体" w:hAnsi="宋体"/>
          <w:color w:val="000000" w:themeColor="text1"/>
          <w:sz w:val="24"/>
          <w:szCs w:val="24"/>
          <w:highlight w:val="none"/>
          <w14:textFill>
            <w14:solidFill>
              <w14:schemeClr w14:val="tx1"/>
            </w14:solidFill>
          </w14:textFill>
        </w:rPr>
        <w:t xml:space="preserve">该表之下。</w:t>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附件1</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 关于符合本国产品标准的声明函（采购包号：**）</w:t>
      </w:r>
      <w:r/>
    </w:p>
    <w:p>
      <w:pPr>
        <w:pStyle w:val="753"/>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3"/>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1.</w:t>
      </w:r>
      <w:r>
        <w:rPr>
          <w:rStyle w:val="759"/>
          <w:rFonts w:hint="eastAsia" w:ascii="宋体" w:hAnsi="宋体" w:eastAsia="宋体" w:cs="宋体"/>
          <w:i w:val="0"/>
          <w:iCs w:val="0"/>
          <w:caps w:val="0"/>
          <w:color w:val="000000" w:themeColor="text1"/>
          <w:spacing w:val="0"/>
          <w:sz w:val="24"/>
          <w:szCs w:val="24"/>
          <w:highlight w:val="none"/>
          <w:u w:val="single"/>
          <w:shd w:val="clear" w:color="auto" w:fill="ffffff"/>
          <w14:textFill>
            <w14:solidFill>
              <w14:schemeClr w14:val="tx1"/>
            </w14:solidFill>
          </w14:textFill>
        </w:rPr>
        <w:t xml:space="preserve">（产品名称1）</w:t>
      </w:r>
      <w:r>
        <w:rPr>
          <w:rStyle w:val="759"/>
          <w:rFonts w:hint="eastAsia" w:ascii="宋体" w:hAnsi="宋体" w:eastAsia="宋体" w:cs="宋体"/>
          <w:i w:val="0"/>
          <w:iCs w:val="0"/>
          <w:caps w:val="0"/>
          <w:color w:val="000000" w:themeColor="text1"/>
          <w:spacing w:val="0"/>
          <w:sz w:val="24"/>
          <w:szCs w:val="24"/>
          <w:highlight w:val="none"/>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，生产厂为</w:t>
      </w:r>
      <w:r>
        <w:rPr>
          <w:rStyle w:val="759"/>
          <w:rFonts w:hint="eastAsia" w:ascii="宋体" w:hAnsi="宋体" w:eastAsia="宋体" w:cs="宋体"/>
          <w:i w:val="0"/>
          <w:iCs w:val="0"/>
          <w:caps w:val="0"/>
          <w:color w:val="000000" w:themeColor="text1"/>
          <w:spacing w:val="0"/>
          <w:sz w:val="24"/>
          <w:szCs w:val="24"/>
          <w:highlight w:val="none"/>
          <w:u w:val="single"/>
          <w:shd w:val="clear" w:color="auto" w:fill="ffffff"/>
          <w14:textFill>
            <w14:solidFill>
              <w14:schemeClr w14:val="tx1"/>
            </w14:solidFill>
          </w14:textFill>
        </w:rPr>
        <w:t xml:space="preserve">（厂名）</w:t>
      </w:r>
      <w:r>
        <w:rPr>
          <w:rStyle w:val="759"/>
          <w:rFonts w:hint="eastAsia" w:ascii="宋体" w:hAnsi="宋体" w:eastAsia="宋体" w:cs="宋体"/>
          <w:i w:val="0"/>
          <w:iCs w:val="0"/>
          <w:caps w:val="0"/>
          <w:color w:val="000000" w:themeColor="text1"/>
          <w:spacing w:val="0"/>
          <w:sz w:val="24"/>
          <w:szCs w:val="24"/>
          <w:highlight w:val="none"/>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，厂址为</w:t>
      </w:r>
      <w:r>
        <w:rPr>
          <w:rStyle w:val="759"/>
          <w:rFonts w:hint="eastAsia" w:ascii="宋体" w:hAnsi="宋体" w:eastAsia="宋体" w:cs="宋体"/>
          <w:i w:val="0"/>
          <w:iCs w:val="0"/>
          <w:caps w:val="0"/>
          <w:color w:val="000000" w:themeColor="text1"/>
          <w:spacing w:val="0"/>
          <w:sz w:val="24"/>
          <w:szCs w:val="24"/>
          <w:highlight w:val="none"/>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59"/>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59"/>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59"/>
          <w:rFonts w:hint="eastAsia" w:ascii="宋体" w:hAnsi="宋体" w:eastAsia="宋体" w:cs="宋体"/>
          <w:i w:val="0"/>
          <w:iCs w:val="0"/>
          <w:caps w:val="0"/>
          <w:color w:val="000000" w:themeColor="text1"/>
          <w:spacing w:val="0"/>
          <w:sz w:val="24"/>
          <w:szCs w:val="24"/>
          <w:highlight w:val="none"/>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59"/>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59"/>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59"/>
          <w:rFonts w:hint="eastAsia" w:ascii="宋体" w:hAnsi="宋体" w:eastAsia="宋体" w:cs="宋体"/>
          <w:i w:val="0"/>
          <w:iCs w:val="0"/>
          <w:caps w:val="0"/>
          <w:color w:val="000000" w:themeColor="text1"/>
          <w:spacing w:val="0"/>
          <w:sz w:val="24"/>
          <w:szCs w:val="24"/>
          <w:highlight w:val="none"/>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59"/>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59"/>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59"/>
          <w:rFonts w:hint="eastAsia" w:ascii="宋体" w:hAnsi="宋体" w:eastAsia="宋体" w:cs="宋体"/>
          <w:i w:val="0"/>
          <w:iCs w:val="0"/>
          <w:caps w:val="0"/>
          <w:color w:val="000000" w:themeColor="text1"/>
          <w:spacing w:val="0"/>
          <w:sz w:val="24"/>
          <w:szCs w:val="24"/>
          <w:highlight w:val="none"/>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在中国境内完成。</w:t>
      </w:r>
      <w:r/>
    </w:p>
    <w:p>
      <w:pPr>
        <w:pStyle w:val="753"/>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Style w:val="759"/>
          <w:rFonts w:hint="eastAsia" w:ascii="宋体" w:hAnsi="宋体" w:eastAsia="宋体" w:cs="宋体"/>
          <w:i w:val="0"/>
          <w:iCs w:val="0"/>
          <w:caps w:val="0"/>
          <w:color w:val="000000" w:themeColor="text1"/>
          <w:spacing w:val="0"/>
          <w:sz w:val="24"/>
          <w:szCs w:val="24"/>
          <w:highlight w:val="none"/>
          <w:u w:val="single"/>
          <w:shd w:val="clear" w:color="auto" w:fill="ffffff"/>
          <w14:textFill>
            <w14:solidFill>
              <w14:schemeClr w14:val="tx1"/>
            </w14:solidFill>
          </w14:textFill>
        </w:rPr>
        <w:t xml:space="preserve">（产品名称</w:t>
      </w:r>
      <w:r>
        <w:rPr>
          <w:rStyle w:val="759"/>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2</w:t>
      </w:r>
      <w:r>
        <w:rPr>
          <w:rStyle w:val="759"/>
          <w:rFonts w:hint="eastAsia" w:ascii="宋体" w:hAnsi="宋体" w:eastAsia="宋体" w:cs="宋体"/>
          <w:i w:val="0"/>
          <w:iCs w:val="0"/>
          <w:caps w:val="0"/>
          <w:color w:val="000000" w:themeColor="text1"/>
          <w:spacing w:val="0"/>
          <w:sz w:val="24"/>
          <w:szCs w:val="24"/>
          <w:highlight w:val="none"/>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，生产厂为</w:t>
      </w:r>
      <w:r>
        <w:rPr>
          <w:rStyle w:val="759"/>
          <w:rFonts w:hint="eastAsia" w:ascii="宋体" w:hAnsi="宋体" w:eastAsia="宋体" w:cs="宋体"/>
          <w:i w:val="0"/>
          <w:iCs w:val="0"/>
          <w:caps w:val="0"/>
          <w:color w:val="000000" w:themeColor="text1"/>
          <w:spacing w:val="0"/>
          <w:sz w:val="24"/>
          <w:szCs w:val="24"/>
          <w:highlight w:val="none"/>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，厂址为</w:t>
      </w:r>
      <w:r>
        <w:rPr>
          <w:rStyle w:val="759"/>
          <w:rFonts w:hint="eastAsia" w:ascii="宋体" w:hAnsi="宋体" w:eastAsia="宋体" w:cs="宋体"/>
          <w:i w:val="0"/>
          <w:iCs w:val="0"/>
          <w:caps w:val="0"/>
          <w:color w:val="000000" w:themeColor="text1"/>
          <w:spacing w:val="0"/>
          <w:sz w:val="24"/>
          <w:szCs w:val="24"/>
          <w:highlight w:val="none"/>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59"/>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59"/>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59"/>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59"/>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59"/>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59"/>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在中国境内完成。</w:t>
      </w:r>
      <w:r/>
    </w:p>
    <w:p>
      <w:pPr>
        <w:pStyle w:val="753"/>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p>
    <w:p>
      <w:pPr>
        <w:pStyle w:val="753"/>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53"/>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r>
      <w:r/>
    </w:p>
    <w:p>
      <w:pPr>
        <w:pStyle w:val="753"/>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　        </w:t>
      </w:r>
      <w:r/>
    </w:p>
    <w:p>
      <w:pPr>
        <w:pStyle w:val="753"/>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日期：</w:t>
      </w:r>
      <w:r>
        <w:rPr>
          <w:rFonts w:hint="eastAsia" w:ascii="宋体" w:hAnsi="宋体"/>
          <w:color w:val="000000" w:themeColor="text1"/>
          <w:sz w:val="24"/>
          <w:szCs w:val="21"/>
          <w:highlight w:val="none"/>
          <w14:textFill>
            <w14:solidFill>
              <w14:schemeClr w14:val="tx1"/>
            </w14:solidFill>
          </w14:textFill>
        </w:rPr>
        <w:t xml:space="preserve">___年____月____日</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        </w:t>
      </w:r>
      <w:r/>
    </w:p>
    <w:p>
      <w:pPr>
        <w:pStyle w:val="753"/>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__________________</w:t>
      </w:r>
      <w:r/>
    </w:p>
    <w:p>
      <w:pPr>
        <w:pStyle w:val="753"/>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1.产品如有型号，请在“产品名称”栏一并填写。</w:t>
      </w:r>
      <w:r/>
    </w:p>
    <w:p>
      <w:pPr>
        <w:pStyle w:val="753"/>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2.生产厂名与厂址应与生产厂营业执照载明的相关信息保持一致。</w:t>
      </w:r>
      <w:r/>
    </w:p>
    <w:p>
      <w:pPr>
        <w:pStyle w:val="753"/>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53"/>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4.该产品的关键组件要求实施前，“关键组件”栏可不填，下同。</w:t>
      </w:r>
      <w:r/>
    </w:p>
    <w:p>
      <w:pPr>
        <w:pStyle w:val="753"/>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5.该产品的关键工序要求实施前，“关键工序”栏可不填，下同。</w:t>
      </w:r>
      <w:r/>
    </w:p>
    <w:p>
      <w:pPr>
        <w:pStyle w:val="753"/>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759"/>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”的地方无需填写。</w:t>
      </w: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bookmarkEnd w:id="219"/>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pStyle w:val="714"/>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pStyle w:val="710"/>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pStyle w:val="710"/>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pStyle w:val="710"/>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t xml:space="preserve">质疑函范本</w:t>
      </w:r>
      <w:r/>
    </w:p>
    <w:p>
      <w:pPr>
        <w:spacing w:before="312"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一、质疑供应商基本信息</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质疑供应商：</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ascii="宋体" w:hAnsi="宋体" w:cs="仿宋"/>
          <w:color w:val="000000" w:themeColor="text1"/>
          <w:sz w:val="24"/>
          <w:szCs w:val="24"/>
          <w:highlight w:val="none"/>
          <w14:textFill>
            <w14:solidFill>
              <w14:schemeClr w14:val="tx1"/>
            </w14:solidFill>
          </w14:textFill>
        </w:rPr>
        <w:t xml:space="preserve"> </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二、质疑项目基本情况</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质疑项目的编号：</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包号：</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采购文件获取日期：</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三、质疑事项具体内容</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四、与质疑事项相关的质疑请求</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签字(签章)：                   公章：                      </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w:t>
      </w:r>
      <w:r/>
    </w:p>
    <w:p>
      <w:pPr>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质疑函制作说明：</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3.质疑供应商若对项目的某一采购包进行质疑，质疑函中应列明具体采购包号。</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汉仪书宋二S">
    <w:panose1 w:val="020B0503020202020204"/>
  </w:font>
  <w:font w:name="方正魏碑_GBK">
    <w:panose1 w:val="020B0503020202020204"/>
  </w:font>
  <w:font w:name="华文新魏">
    <w:panose1 w:val="02010800040101010101"/>
  </w:font>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Century">
    <w:panose1 w:val="020406040505050203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pPr>
    <w:r>
      <w:fldChar w:fldCharType="begin"/>
    </w:r>
    <w:r>
      <w:instrText xml:space="preserve">PAGE   \* MERGEFORMAT</w:instrText>
    </w:r>
    <w:r>
      <w:fldChar w:fldCharType="separate"/>
    </w:r>
    <w:r>
      <w:rPr>
        <w:lang w:val="zh-CN"/>
      </w:rPr>
      <w:t xml:space="preserve">19</w:t>
    </w:r>
    <w:r>
      <w:fldChar w:fldCharType="end"/>
    </w:r>
    <w:r/>
  </w:p>
  <w:p>
    <w:pPr>
      <w:pStyle w:val="9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1021"/>
        <w:rFonts w:ascii="宋体" w:hAnsi="宋体"/>
      </w:rPr>
      <w:framePr w:wrap="around" w:vAnchor="text" w:hAnchor="margin" w:xAlign="center" w:y="1"/>
    </w:pPr>
    <w:r>
      <w:rPr>
        <w:rFonts w:ascii="宋体" w:hAnsi="宋体"/>
      </w:rPr>
      <w:fldChar w:fldCharType="begin"/>
    </w:r>
    <w:r>
      <w:rPr>
        <w:rStyle w:val="1021"/>
        <w:rFonts w:ascii="宋体" w:hAnsi="宋体"/>
      </w:rPr>
      <w:instrText xml:space="preserve">PAGE  </w:instrText>
    </w:r>
    <w:r>
      <w:rPr>
        <w:rFonts w:ascii="宋体" w:hAnsi="宋体"/>
      </w:rPr>
      <w:fldChar w:fldCharType="separate"/>
    </w:r>
    <w:r>
      <w:rPr>
        <w:rStyle w:val="1021"/>
        <w:rFonts w:ascii="宋体" w:hAnsi="宋体"/>
      </w:rPr>
      <w:t xml:space="preserve">22</w:t>
    </w:r>
    <w:r>
      <w:rPr>
        <w:rFonts w:ascii="宋体" w:hAnsi="宋体"/>
      </w:rPr>
      <w:fldChar w:fldCharType="end"/>
    </w:r>
    <w:r/>
  </w:p>
  <w:p>
    <w:pPr>
      <w:pStyle w:val="949"/>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1021"/>
      </w:rPr>
      <w:framePr w:wrap="around" w:vAnchor="text" w:hAnchor="margin" w:xAlign="center" w:y="1"/>
    </w:pPr>
    <w:r>
      <w:fldChar w:fldCharType="begin"/>
    </w:r>
    <w:r>
      <w:rPr>
        <w:rStyle w:val="1021"/>
      </w:rPr>
      <w:instrText xml:space="preserve">PAGE  </w:instrText>
    </w:r>
    <w:r>
      <w:fldChar w:fldCharType="separate"/>
    </w:r>
    <w:r>
      <w:rPr>
        <w:rStyle w:val="1021"/>
      </w:rPr>
      <w:t xml:space="preserve">1</w:t>
    </w:r>
    <w:r>
      <w:fldChar w:fldCharType="end"/>
    </w:r>
    <w:r/>
  </w:p>
  <w:p>
    <w:pPr>
      <w:pStyle w:val="9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99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9"/>
      <w:isLgl w:val="false"/>
      <w:suff w:val="nothing"/>
      <w:lvlText w:val=""/>
      <w:lvlJc w:val="left"/>
      <w:pPr>
        <w:ind w:left="0" w:firstLine="0"/>
      </w:pPr>
      <w:rPr>
        <w:rFonts w:hint="eastAsia"/>
      </w:rPr>
    </w:lvl>
    <w:lvl w:ilvl="6">
      <w:start w:val="1"/>
      <w:numFmt w:val="decimal"/>
      <w:pStyle w:val="921"/>
      <w:isLgl w:val="false"/>
      <w:suff w:val="nothing"/>
      <w:lvlText w:val=""/>
      <w:lvlJc w:val="left"/>
      <w:pPr>
        <w:ind w:left="0" w:firstLine="0"/>
      </w:pPr>
      <w:rPr>
        <w:rFonts w:hint="eastAsia"/>
      </w:rPr>
    </w:lvl>
    <w:lvl w:ilvl="7">
      <w:start w:val="1"/>
      <w:numFmt w:val="decimal"/>
      <w:pStyle w:val="923"/>
      <w:isLgl w:val="false"/>
      <w:suff w:val="nothing"/>
      <w:lvlText w:val=""/>
      <w:lvlJc w:val="left"/>
      <w:pPr>
        <w:ind w:left="0" w:firstLine="0"/>
      </w:pPr>
      <w:rPr>
        <w:rFonts w:hint="eastAsia"/>
      </w:rPr>
    </w:lvl>
    <w:lvl w:ilvl="8">
      <w:start w:val="1"/>
      <w:numFmt w:val="decimal"/>
      <w:pStyle w:val="925"/>
      <w:isLgl w:val="false"/>
      <w:suff w:val="nothing"/>
      <w:lvlText w:val=""/>
      <w:lvlJc w:val="left"/>
      <w:pPr>
        <w:ind w:left="0" w:firstLine="0"/>
      </w:pPr>
      <w:rPr>
        <w:rFonts w:hint="eastAsia"/>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99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2"/>
  </w:num>
  <w:num w:numId="4">
    <w:abstractNumId w:val="2"/>
  </w:num>
  <w:num w:numId="5">
    <w:abstractNumId w:val="11"/>
  </w:num>
  <w:num w:numId="6">
    <w:abstractNumId w:val="1"/>
  </w:num>
  <w:num w:numId="7">
    <w:abstractNumId w:val="7"/>
  </w:num>
  <w:num w:numId="8">
    <w:abstractNumId w:val="9"/>
  </w:num>
  <w:num w:numId="9">
    <w:abstractNumId w:val="14"/>
  </w:num>
  <w:num w:numId="10">
    <w:abstractNumId w:val="6"/>
  </w:num>
  <w:num w:numId="11">
    <w:abstractNumId w:val="0"/>
  </w:num>
  <w:num w:numId="12">
    <w:abstractNumId w:val="10"/>
  </w:num>
  <w:num w:numId="13">
    <w:abstractNumId w:val="13"/>
  </w:num>
  <w:num w:numId="14">
    <w:abstractNumId w:val="15"/>
  </w:num>
  <w:num w:numId="15">
    <w:abstractNumId w:val="8"/>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link w:val="1026"/>
    <w:uiPriority w:val="0"/>
    <w:qFormat/>
    <w:pPr>
      <w:jc w:val="both"/>
      <w:widowControl w:val="off"/>
    </w:pPr>
    <w:rPr>
      <w:rFonts w:hint="default" w:ascii="Times New Roman" w:hAnsi="Times New Roman" w:eastAsia="宋体" w:cs="Times New Roman"/>
      <w:sz w:val="21"/>
      <w:szCs w:val="22"/>
      <w:lang w:eastAsia="zh-CN"/>
    </w:rPr>
  </w:style>
  <w:style w:type="paragraph" w:styleId="695">
    <w:name w:val="Heading 1"/>
    <w:basedOn w:val="694"/>
    <w:next w:val="694"/>
    <w:link w:val="762"/>
    <w:uiPriority w:val="9"/>
    <w:qFormat/>
    <w:pPr>
      <w:keepLines/>
      <w:keepNext/>
      <w:spacing w:before="480" w:after="200"/>
      <w:outlineLvl w:val="0"/>
    </w:pPr>
    <w:rPr>
      <w:rFonts w:ascii="楷体_GB2312" w:hAnsi="Times New Roman" w:eastAsia="楷体_GB2312" w:cs="Times New Roman"/>
      <w:sz w:val="28"/>
      <w:szCs w:val="28"/>
    </w:rPr>
  </w:style>
  <w:style w:type="paragraph" w:styleId="696">
    <w:name w:val="Heading 2"/>
    <w:basedOn w:val="694"/>
    <w:next w:val="694"/>
    <w:link w:val="763"/>
    <w:uiPriority w:val="9"/>
    <w:unhideWhenUsed/>
    <w:qFormat/>
    <w:pPr>
      <w:keepLines/>
      <w:keepNext/>
      <w:spacing w:before="360" w:after="200"/>
      <w:outlineLvl w:val="1"/>
    </w:pPr>
    <w:rPr>
      <w:rFonts w:ascii="Arial" w:hAnsi="Arial" w:eastAsia="幼圆" w:cs="Arial"/>
      <w:b/>
      <w:bCs/>
      <w:sz w:val="44"/>
      <w:szCs w:val="44"/>
    </w:rPr>
  </w:style>
  <w:style w:type="paragraph" w:styleId="697">
    <w:name w:val="Heading 3"/>
    <w:basedOn w:val="694"/>
    <w:next w:val="706"/>
    <w:link w:val="764"/>
    <w:uiPriority w:val="9"/>
    <w:unhideWhenUsed/>
    <w:qFormat/>
    <w:pPr>
      <w:keepLines/>
      <w:keepNext/>
      <w:spacing w:before="320" w:after="200"/>
      <w:outlineLvl w:val="2"/>
    </w:pPr>
    <w:rPr>
      <w:rFonts w:ascii="Times New Roman" w:hAnsi="Times New Roman" w:eastAsia="宋体" w:cs="Times New Roman"/>
      <w:b/>
      <w:bCs/>
      <w:sz w:val="32"/>
      <w:szCs w:val="32"/>
    </w:rPr>
  </w:style>
  <w:style w:type="paragraph" w:styleId="698">
    <w:name w:val="Heading 4"/>
    <w:basedOn w:val="694"/>
    <w:next w:val="694"/>
    <w:link w:val="765"/>
    <w:uiPriority w:val="9"/>
    <w:unhideWhenUsed/>
    <w:qFormat/>
    <w:pPr>
      <w:keepLines/>
      <w:keepNext/>
      <w:spacing w:before="320" w:after="200"/>
      <w:outlineLvl w:val="3"/>
    </w:pPr>
    <w:rPr>
      <w:rFonts w:ascii="Arial" w:hAnsi="Arial" w:eastAsia="黑体" w:cs="Arial"/>
      <w:b/>
      <w:bCs/>
      <w:sz w:val="28"/>
      <w:szCs w:val="28"/>
    </w:rPr>
  </w:style>
  <w:style w:type="paragraph" w:styleId="699">
    <w:name w:val="Heading 5"/>
    <w:basedOn w:val="694"/>
    <w:next w:val="694"/>
    <w:link w:val="766"/>
    <w:uiPriority w:val="9"/>
    <w:unhideWhenUsed/>
    <w:qFormat/>
    <w:pPr>
      <w:keepLines/>
      <w:keepNext/>
      <w:spacing w:before="320" w:after="200"/>
      <w:outlineLvl w:val="4"/>
    </w:pPr>
    <w:rPr>
      <w:rFonts w:ascii="宋体" w:hAnsi="Times New Roman" w:eastAsia="宋体" w:cs="Times New Roman"/>
      <w:color w:val="000000"/>
      <w:sz w:val="28"/>
      <w:szCs w:val="28"/>
    </w:rPr>
  </w:style>
  <w:style w:type="paragraph" w:styleId="700">
    <w:name w:val="Heading 6"/>
    <w:basedOn w:val="694"/>
    <w:next w:val="694"/>
    <w:link w:val="767"/>
    <w:uiPriority w:val="9"/>
    <w:unhideWhenUsed/>
    <w:qFormat/>
    <w:pPr>
      <w:keepLines/>
      <w:keepNext/>
      <w:spacing w:before="320" w:after="200"/>
      <w:outlineLvl w:val="5"/>
    </w:pPr>
    <w:rPr>
      <w:rFonts w:ascii="Arial" w:hAnsi="Arial" w:eastAsia="黑体" w:cs="Times New Roman"/>
      <w:b/>
      <w:bCs/>
      <w:sz w:val="24"/>
      <w:szCs w:val="24"/>
    </w:rPr>
  </w:style>
  <w:style w:type="paragraph" w:styleId="701">
    <w:name w:val="Heading 7"/>
    <w:basedOn w:val="694"/>
    <w:next w:val="694"/>
    <w:link w:val="768"/>
    <w:uiPriority w:val="9"/>
    <w:unhideWhenUsed/>
    <w:qFormat/>
    <w:pPr>
      <w:keepLines/>
      <w:keepNext/>
      <w:spacing w:before="320" w:after="200"/>
      <w:outlineLvl w:val="6"/>
    </w:pPr>
    <w:rPr>
      <w:rFonts w:ascii="Times New Roman" w:hAnsi="Times New Roman" w:eastAsia="宋体" w:cs="Times New Roman"/>
      <w:b/>
      <w:bCs/>
      <w:sz w:val="24"/>
      <w:szCs w:val="24"/>
    </w:rPr>
  </w:style>
  <w:style w:type="paragraph" w:styleId="702">
    <w:name w:val="Heading 8"/>
    <w:basedOn w:val="694"/>
    <w:next w:val="694"/>
    <w:link w:val="769"/>
    <w:uiPriority w:val="9"/>
    <w:unhideWhenUsed/>
    <w:qFormat/>
    <w:pPr>
      <w:keepLines/>
      <w:keepNext/>
      <w:spacing w:before="320" w:after="200"/>
      <w:outlineLvl w:val="7"/>
    </w:pPr>
    <w:rPr>
      <w:rFonts w:ascii="Arial" w:hAnsi="Arial" w:eastAsia="黑体" w:cs="Times New Roman"/>
      <w:sz w:val="24"/>
      <w:szCs w:val="24"/>
    </w:rPr>
  </w:style>
  <w:style w:type="paragraph" w:styleId="703">
    <w:name w:val="Heading 9"/>
    <w:basedOn w:val="694"/>
    <w:next w:val="694"/>
    <w:link w:val="770"/>
    <w:uiPriority w:val="9"/>
    <w:unhideWhenUsed/>
    <w:qFormat/>
    <w:pPr>
      <w:keepLines/>
      <w:keepNext/>
      <w:spacing w:before="320" w:after="200"/>
      <w:outlineLvl w:val="8"/>
    </w:pPr>
    <w:rPr>
      <w:rFonts w:ascii="Arial" w:hAnsi="Arial" w:eastAsia="黑体" w:cs="Times New Roman"/>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customStyle="1">
    <w:name w:val="Normal_19"/>
    <w:next w:val="707"/>
    <w:uiPriority w:val="0"/>
    <w:qFormat/>
    <w:rPr>
      <w:rFonts w:ascii="黑体" w:hAnsi="黑体" w:eastAsia="黑体" w:cs="黑体"/>
      <w:b/>
      <w:sz w:val="32"/>
      <w:szCs w:val="24"/>
      <w:lang w:val="en-US" w:eastAsia="zh-CN" w:bidi="ar-SA"/>
    </w:rPr>
  </w:style>
  <w:style w:type="paragraph" w:styleId="707" w:default="1" w:customStyle="1">
    <w:name w:val="Normal"/>
    <w:next w:val="708"/>
    <w:uiPriority w:val="0"/>
    <w:qFormat/>
    <w:pPr>
      <w:jc w:val="both"/>
      <w:widowControl w:val="off"/>
    </w:pPr>
    <w:rPr>
      <w:rFonts w:ascii="Times New Roman" w:hAnsi="Times New Roman" w:eastAsia="宋体" w:cs="Times New Roman"/>
      <w:szCs w:val="21"/>
      <w:lang w:val="en-US" w:eastAsia="zh-CN" w:bidi="ar-SA"/>
    </w:rPr>
  </w:style>
  <w:style w:type="paragraph" w:styleId="708" w:customStyle="1">
    <w:name w:val="Body Text First Indent1"/>
    <w:uiPriority w:val="99"/>
    <w:unhideWhenUsed/>
    <w:qFormat/>
    <w:pPr>
      <w:ind w:firstLine="420"/>
      <w:jc w:val="both"/>
      <w:spacing w:after="120"/>
      <w:widowControl w:val="off"/>
    </w:pPr>
    <w:rPr>
      <w:rFonts w:ascii="Times New Roman" w:hAnsi="Times New Roman" w:eastAsia="宋体" w:cs="Times New Roman"/>
      <w:szCs w:val="21"/>
      <w:lang w:val="en-US" w:eastAsia="zh-CN" w:bidi="ar-SA"/>
    </w:rPr>
  </w:style>
  <w:style w:type="paragraph" w:styleId="709">
    <w:name w:val="toc 7"/>
    <w:basedOn w:val="694"/>
    <w:next w:val="694"/>
    <w:uiPriority w:val="39"/>
    <w:unhideWhenUsed/>
    <w:qFormat/>
    <w:pPr>
      <w:ind w:left="1701" w:right="0" w:firstLine="0"/>
      <w:spacing w:after="57"/>
    </w:pPr>
  </w:style>
  <w:style w:type="paragraph" w:styleId="710">
    <w:name w:val="Normal Indent"/>
    <w:uiPriority w:val="0"/>
    <w:qFormat/>
    <w:pPr>
      <w:ind w:firstLine="420"/>
      <w:jc w:val="both"/>
      <w:widowControl w:val="off"/>
    </w:pPr>
    <w:rPr>
      <w:rFonts w:hint="default" w:ascii="宋体" w:hAnsi="Times New Roman" w:eastAsia="宋体" w:cs="Times New Roman"/>
      <w:color w:val="000000"/>
      <w:sz w:val="24"/>
      <w:szCs w:val="20"/>
      <w:lang w:eastAsia="zh-CN"/>
    </w:rPr>
  </w:style>
  <w:style w:type="paragraph" w:styleId="711">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toc 5"/>
    <w:basedOn w:val="694"/>
    <w:next w:val="694"/>
    <w:uiPriority w:val="39"/>
    <w:unhideWhenUsed/>
    <w:qFormat/>
    <w:pPr>
      <w:ind w:left="1134" w:right="0" w:firstLine="0"/>
      <w:spacing w:after="57"/>
    </w:pPr>
  </w:style>
  <w:style w:type="paragraph" w:styleId="713">
    <w:name w:val="toc 3"/>
    <w:basedOn w:val="694"/>
    <w:next w:val="694"/>
    <w:uiPriority w:val="39"/>
    <w:unhideWhenUsed/>
    <w:qFormat/>
    <w:pPr>
      <w:ind w:left="567" w:right="0" w:firstLine="0"/>
      <w:spacing w:after="57"/>
    </w:pPr>
  </w:style>
  <w:style w:type="paragraph" w:styleId="714">
    <w:name w:val="Plain Text"/>
    <w:next w:val="710"/>
    <w:uiPriority w:val="0"/>
    <w:qFormat/>
    <w:pPr>
      <w:jc w:val="both"/>
      <w:widowControl w:val="off"/>
    </w:pPr>
    <w:rPr>
      <w:rFonts w:hint="default" w:ascii="宋体" w:hAnsi="Times New Roman" w:eastAsia="宋体" w:cs="Times New Roman"/>
      <w:sz w:val="21"/>
      <w:szCs w:val="21"/>
      <w:lang w:eastAsia="zh-CN"/>
    </w:rPr>
  </w:style>
  <w:style w:type="paragraph" w:styleId="715">
    <w:name w:val="toc 8"/>
    <w:basedOn w:val="694"/>
    <w:next w:val="694"/>
    <w:uiPriority w:val="39"/>
    <w:unhideWhenUsed/>
    <w:qFormat/>
    <w:pPr>
      <w:ind w:left="1984" w:right="0" w:firstLine="0"/>
      <w:spacing w:after="57"/>
    </w:pPr>
  </w:style>
  <w:style w:type="paragraph" w:styleId="716">
    <w:name w:val="endnote text"/>
    <w:basedOn w:val="694"/>
    <w:uiPriority w:val="99"/>
    <w:semiHidden/>
    <w:unhideWhenUsed/>
    <w:qFormat/>
    <w:pPr>
      <w:spacing w:after="0" w:line="240" w:lineRule="auto"/>
    </w:pPr>
    <w:rPr>
      <w:sz w:val="20"/>
    </w:rPr>
  </w:style>
  <w:style w:type="paragraph" w:styleId="717">
    <w:name w:val="Footer"/>
    <w:basedOn w:val="694"/>
    <w:uiPriority w:val="99"/>
    <w:unhideWhenUsed/>
    <w:qFormat/>
    <w:pPr>
      <w:spacing w:after="0" w:line="240" w:lineRule="auto"/>
      <w:tabs>
        <w:tab w:val="center" w:pos="7143" w:leader="none"/>
        <w:tab w:val="right" w:pos="14287" w:leader="none"/>
      </w:tabs>
    </w:pPr>
  </w:style>
  <w:style w:type="paragraph" w:styleId="718">
    <w:name w:val="Header"/>
    <w:basedOn w:val="694"/>
    <w:uiPriority w:val="99"/>
    <w:unhideWhenUsed/>
    <w:qFormat/>
    <w:pPr>
      <w:spacing w:after="0" w:line="240" w:lineRule="auto"/>
      <w:tabs>
        <w:tab w:val="center" w:pos="7143" w:leader="none"/>
        <w:tab w:val="right" w:pos="14287" w:leader="none"/>
      </w:tabs>
    </w:pPr>
  </w:style>
  <w:style w:type="paragraph" w:styleId="719">
    <w:name w:val="toc 1"/>
    <w:basedOn w:val="694"/>
    <w:next w:val="694"/>
    <w:uiPriority w:val="39"/>
    <w:unhideWhenUsed/>
    <w:qFormat/>
    <w:pPr>
      <w:ind w:left="0" w:right="0" w:firstLine="0"/>
      <w:spacing w:after="57"/>
    </w:pPr>
  </w:style>
  <w:style w:type="paragraph" w:styleId="720">
    <w:name w:val="toc 4"/>
    <w:basedOn w:val="694"/>
    <w:next w:val="694"/>
    <w:uiPriority w:val="39"/>
    <w:unhideWhenUsed/>
    <w:qFormat/>
    <w:pPr>
      <w:ind w:left="850" w:right="0" w:firstLine="0"/>
      <w:spacing w:after="57"/>
    </w:pPr>
  </w:style>
  <w:style w:type="paragraph" w:styleId="721">
    <w:name w:val="Subtitle"/>
    <w:basedOn w:val="694"/>
    <w:next w:val="694"/>
    <w:uiPriority w:val="11"/>
    <w:qFormat/>
    <w:pPr>
      <w:spacing w:before="200" w:after="200"/>
    </w:pPr>
    <w:rPr>
      <w:sz w:val="24"/>
      <w:szCs w:val="24"/>
    </w:rPr>
  </w:style>
  <w:style w:type="paragraph" w:styleId="722">
    <w:name w:val="footnote text"/>
    <w:basedOn w:val="694"/>
    <w:uiPriority w:val="99"/>
    <w:semiHidden/>
    <w:unhideWhenUsed/>
    <w:qFormat/>
    <w:pPr>
      <w:spacing w:after="40" w:line="240" w:lineRule="auto"/>
    </w:pPr>
    <w:rPr>
      <w:sz w:val="18"/>
    </w:rPr>
  </w:style>
  <w:style w:type="paragraph" w:styleId="723">
    <w:name w:val="toc 6"/>
    <w:basedOn w:val="694"/>
    <w:next w:val="694"/>
    <w:uiPriority w:val="39"/>
    <w:unhideWhenUsed/>
    <w:qFormat/>
    <w:pPr>
      <w:ind w:left="1417" w:right="0" w:firstLine="0"/>
      <w:spacing w:after="57"/>
    </w:pPr>
  </w:style>
  <w:style w:type="paragraph" w:styleId="724">
    <w:name w:val="table of figures"/>
    <w:basedOn w:val="694"/>
    <w:next w:val="694"/>
    <w:uiPriority w:val="99"/>
    <w:unhideWhenUsed/>
    <w:qFormat/>
    <w:pPr>
      <w:spacing w:after="0" w:afterAutospacing="0"/>
    </w:pPr>
  </w:style>
  <w:style w:type="paragraph" w:styleId="725">
    <w:name w:val="toc 2"/>
    <w:basedOn w:val="694"/>
    <w:next w:val="694"/>
    <w:uiPriority w:val="39"/>
    <w:unhideWhenUsed/>
    <w:qFormat/>
    <w:pPr>
      <w:ind w:left="283" w:right="0" w:firstLine="0"/>
      <w:spacing w:after="57"/>
    </w:pPr>
  </w:style>
  <w:style w:type="paragraph" w:styleId="726">
    <w:name w:val="toc 9"/>
    <w:basedOn w:val="694"/>
    <w:next w:val="694"/>
    <w:uiPriority w:val="39"/>
    <w:unhideWhenUsed/>
    <w:qFormat/>
    <w:pPr>
      <w:ind w:left="2268" w:right="0" w:firstLine="0"/>
      <w:spacing w:after="57"/>
    </w:pPr>
  </w:style>
  <w:style w:type="paragraph" w:styleId="727">
    <w:name w:val="Title"/>
    <w:basedOn w:val="694"/>
    <w:next w:val="694"/>
    <w:uiPriority w:val="10"/>
    <w:qFormat/>
    <w:pPr>
      <w:contextualSpacing/>
      <w:spacing w:before="300" w:after="200"/>
    </w:pPr>
    <w:rPr>
      <w:sz w:val="48"/>
      <w:szCs w:val="48"/>
    </w:rPr>
  </w:style>
  <w:style w:type="table" w:styleId="7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Strong"/>
    <w:uiPriority w:val="22"/>
    <w:qFormat/>
    <w:rPr>
      <w:b/>
    </w:rPr>
  </w:style>
  <w:style w:type="character" w:styleId="730">
    <w:name w:val="endnote reference"/>
    <w:uiPriority w:val="99"/>
    <w:semiHidden/>
    <w:unhideWhenUsed/>
    <w:qFormat/>
    <w:rPr>
      <w:vertAlign w:val="superscript"/>
    </w:rPr>
  </w:style>
  <w:style w:type="character" w:styleId="731">
    <w:name w:val="Hyperlink"/>
    <w:uiPriority w:val="99"/>
    <w:unhideWhenUsed/>
    <w:qFormat/>
    <w:rPr>
      <w:color w:val="0000ff" w:themeColor="hyperlink"/>
      <w:u w:val="single"/>
      <w14:textFill>
        <w14:solidFill>
          <w14:schemeClr w14:val="hlink"/>
        </w14:solidFill>
      </w14:textFill>
    </w:rPr>
  </w:style>
  <w:style w:type="character" w:styleId="732">
    <w:name w:val="footnote reference"/>
    <w:uiPriority w:val="99"/>
    <w:unhideWhenUsed/>
    <w:qFormat/>
    <w:rPr>
      <w:vertAlign w:val="superscript"/>
    </w:rPr>
  </w:style>
  <w:style w:type="character" w:styleId="733" w:customStyle="1">
    <w:name w:val="默认段落字体11"/>
    <w:link w:val="694"/>
    <w:uiPriority w:val="1"/>
    <w:unhideWhenUsed/>
    <w:qFormat/>
  </w:style>
  <w:style w:type="table" w:styleId="734" w:customStyle="1">
    <w:name w:val="普通表格1"/>
    <w:uiPriority w:val="99"/>
    <w:unhideWhenUsed/>
    <w:qFormat/>
    <w:tblPr/>
  </w:style>
  <w:style w:type="paragraph" w:styleId="735" w:customStyle="1">
    <w:name w:val="目录 711"/>
    <w:basedOn w:val="694"/>
    <w:next w:val="694"/>
    <w:uiPriority w:val="39"/>
    <w:unhideWhenUsed/>
    <w:qFormat/>
    <w:pPr>
      <w:ind w:left="1701" w:right="0" w:firstLine="0"/>
      <w:spacing w:after="57"/>
    </w:pPr>
  </w:style>
  <w:style w:type="paragraph" w:styleId="736" w:customStyle="1">
    <w:name w:val="批注文字11"/>
    <w:basedOn w:val="694"/>
    <w:uiPriority w:val="99"/>
    <w:unhideWhenUsed/>
    <w:qFormat/>
    <w:pPr>
      <w:jc w:val="left"/>
    </w:pPr>
  </w:style>
  <w:style w:type="paragraph" w:styleId="737" w:customStyle="1">
    <w:name w:val="索引 41"/>
    <w:basedOn w:val="694"/>
    <w:next w:val="694"/>
    <w:uiPriority w:val="0"/>
    <w:qFormat/>
    <w:pPr>
      <w:ind w:left="600"/>
      <w:spacing w:line="360" w:lineRule="auto"/>
    </w:pPr>
    <w:rPr>
      <w:rFonts w:ascii="Century" w:hAnsi="Century" w:cs="Century"/>
      <w:sz w:val="24"/>
    </w:rPr>
  </w:style>
  <w:style w:type="paragraph" w:styleId="738" w:customStyle="1">
    <w:name w:val="目录 511"/>
    <w:basedOn w:val="694"/>
    <w:next w:val="694"/>
    <w:uiPriority w:val="39"/>
    <w:unhideWhenUsed/>
    <w:qFormat/>
    <w:pPr>
      <w:ind w:left="1134" w:right="0" w:firstLine="0"/>
      <w:spacing w:after="57"/>
    </w:pPr>
  </w:style>
  <w:style w:type="paragraph" w:styleId="739" w:customStyle="1">
    <w:name w:val="目录 311"/>
    <w:basedOn w:val="694"/>
    <w:next w:val="694"/>
    <w:uiPriority w:val="39"/>
    <w:unhideWhenUsed/>
    <w:qFormat/>
    <w:pPr>
      <w:ind w:left="567" w:right="0" w:firstLine="0"/>
      <w:spacing w:after="57"/>
    </w:pPr>
  </w:style>
  <w:style w:type="paragraph" w:styleId="740" w:customStyle="1">
    <w:name w:val="目录 811"/>
    <w:basedOn w:val="694"/>
    <w:next w:val="694"/>
    <w:uiPriority w:val="39"/>
    <w:unhideWhenUsed/>
    <w:qFormat/>
    <w:pPr>
      <w:ind w:left="1984" w:right="0" w:firstLine="0"/>
      <w:spacing w:after="57"/>
    </w:pPr>
  </w:style>
  <w:style w:type="paragraph" w:styleId="741" w:customStyle="1">
    <w:name w:val="尾注文本1"/>
    <w:basedOn w:val="694"/>
    <w:link w:val="742"/>
    <w:uiPriority w:val="99"/>
    <w:unhideWhenUsed/>
    <w:qFormat/>
    <w:pPr>
      <w:spacing w:after="0" w:line="240" w:lineRule="auto"/>
    </w:pPr>
    <w:rPr>
      <w:sz w:val="20"/>
    </w:rPr>
  </w:style>
  <w:style w:type="character" w:styleId="742" w:customStyle="1">
    <w:name w:val="Endnote Text Char"/>
    <w:link w:val="741"/>
    <w:uiPriority w:val="99"/>
    <w:qFormat/>
    <w:rPr>
      <w:sz w:val="20"/>
    </w:rPr>
  </w:style>
  <w:style w:type="paragraph" w:styleId="743" w:customStyle="1">
    <w:name w:val="目录 111"/>
    <w:basedOn w:val="694"/>
    <w:next w:val="694"/>
    <w:uiPriority w:val="39"/>
    <w:unhideWhenUsed/>
    <w:qFormat/>
    <w:pPr>
      <w:ind w:left="0" w:right="0" w:firstLine="0"/>
      <w:spacing w:after="57"/>
    </w:pPr>
  </w:style>
  <w:style w:type="paragraph" w:styleId="744" w:customStyle="1">
    <w:name w:val="目录 411"/>
    <w:basedOn w:val="694"/>
    <w:next w:val="694"/>
    <w:uiPriority w:val="39"/>
    <w:unhideWhenUsed/>
    <w:qFormat/>
    <w:pPr>
      <w:ind w:left="850" w:right="0" w:firstLine="0"/>
      <w:spacing w:after="57"/>
    </w:pPr>
  </w:style>
  <w:style w:type="paragraph" w:styleId="745" w:customStyle="1">
    <w:name w:val="副标题1"/>
    <w:basedOn w:val="694"/>
    <w:next w:val="694"/>
    <w:link w:val="746"/>
    <w:uiPriority w:val="11"/>
    <w:qFormat/>
    <w:pPr>
      <w:spacing w:before="200" w:after="200"/>
    </w:pPr>
    <w:rPr>
      <w:sz w:val="24"/>
      <w:szCs w:val="24"/>
    </w:rPr>
  </w:style>
  <w:style w:type="character" w:styleId="746" w:customStyle="1">
    <w:name w:val="Subtitle Char Char"/>
    <w:link w:val="745"/>
    <w:uiPriority w:val="11"/>
    <w:qFormat/>
    <w:rPr>
      <w:sz w:val="24"/>
      <w:szCs w:val="24"/>
    </w:rPr>
  </w:style>
  <w:style w:type="paragraph" w:styleId="747" w:customStyle="1">
    <w:name w:val="脚注文本1"/>
    <w:basedOn w:val="694"/>
    <w:link w:val="748"/>
    <w:uiPriority w:val="99"/>
    <w:unhideWhenUsed/>
    <w:qFormat/>
    <w:pPr>
      <w:spacing w:after="40" w:line="240" w:lineRule="auto"/>
    </w:pPr>
    <w:rPr>
      <w:sz w:val="18"/>
    </w:rPr>
  </w:style>
  <w:style w:type="character" w:styleId="748" w:customStyle="1">
    <w:name w:val="Footnote Text Char"/>
    <w:link w:val="747"/>
    <w:uiPriority w:val="99"/>
    <w:qFormat/>
    <w:rPr>
      <w:sz w:val="18"/>
    </w:rPr>
  </w:style>
  <w:style w:type="paragraph" w:styleId="749" w:customStyle="1">
    <w:name w:val="目录 611"/>
    <w:basedOn w:val="694"/>
    <w:next w:val="694"/>
    <w:uiPriority w:val="39"/>
    <w:unhideWhenUsed/>
    <w:qFormat/>
    <w:pPr>
      <w:ind w:left="1417" w:right="0" w:firstLine="0"/>
      <w:spacing w:after="57"/>
    </w:pPr>
  </w:style>
  <w:style w:type="paragraph" w:styleId="750" w:customStyle="1">
    <w:name w:val="图表目录11"/>
    <w:basedOn w:val="694"/>
    <w:next w:val="694"/>
    <w:uiPriority w:val="99"/>
    <w:unhideWhenUsed/>
    <w:qFormat/>
    <w:pPr>
      <w:spacing w:after="0" w:afterAutospacing="0"/>
    </w:pPr>
  </w:style>
  <w:style w:type="paragraph" w:styleId="751" w:customStyle="1">
    <w:name w:val="目录 211"/>
    <w:basedOn w:val="694"/>
    <w:next w:val="694"/>
    <w:uiPriority w:val="39"/>
    <w:unhideWhenUsed/>
    <w:qFormat/>
    <w:pPr>
      <w:ind w:left="283" w:right="0" w:firstLine="0"/>
      <w:spacing w:after="57"/>
    </w:pPr>
  </w:style>
  <w:style w:type="paragraph" w:styleId="752" w:customStyle="1">
    <w:name w:val="目录 911"/>
    <w:basedOn w:val="694"/>
    <w:next w:val="694"/>
    <w:uiPriority w:val="39"/>
    <w:unhideWhenUsed/>
    <w:qFormat/>
    <w:pPr>
      <w:ind w:left="2268" w:right="0" w:firstLine="0"/>
      <w:spacing w:after="57"/>
    </w:pPr>
  </w:style>
  <w:style w:type="paragraph" w:styleId="753" w:customStyle="1">
    <w:name w:val="普通(网站)11"/>
    <w:basedOn w:val="694"/>
    <w:uiPriority w:val="99"/>
    <w:qFormat/>
    <w:pPr>
      <w:jc w:val="left"/>
      <w:spacing w:before="100" w:beforeAutospacing="1" w:after="100" w:afterAutospacing="1"/>
      <w:widowControl/>
    </w:pPr>
    <w:rPr>
      <w:rFonts w:ascii="宋体" w:hAnsi="宋体" w:eastAsia="宋体" w:cs="宋体"/>
      <w:sz w:val="24"/>
      <w:szCs w:val="24"/>
    </w:rPr>
  </w:style>
  <w:style w:type="paragraph" w:styleId="754" w:customStyle="1">
    <w:name w:val="标题11"/>
    <w:basedOn w:val="694"/>
    <w:next w:val="694"/>
    <w:link w:val="755"/>
    <w:uiPriority w:val="10"/>
    <w:qFormat/>
    <w:pPr>
      <w:contextualSpacing/>
      <w:spacing w:before="300" w:after="200"/>
    </w:pPr>
    <w:rPr>
      <w:sz w:val="48"/>
      <w:szCs w:val="48"/>
    </w:rPr>
  </w:style>
  <w:style w:type="character" w:styleId="755" w:customStyle="1">
    <w:name w:val="Title Char Char"/>
    <w:link w:val="754"/>
    <w:uiPriority w:val="10"/>
    <w:qFormat/>
    <w:rPr>
      <w:sz w:val="48"/>
      <w:szCs w:val="48"/>
    </w:rPr>
  </w:style>
  <w:style w:type="table" w:styleId="756" w:customStyle="1">
    <w:name w:val="网格型1"/>
    <w:basedOn w:val="734"/>
    <w:uiPriority w:val="59"/>
    <w:qFormat/>
    <w:pPr>
      <w:spacing w:after="0" w:line="240" w:lineRule="auto"/>
    </w:pPr>
    <w:tblPr/>
  </w:style>
  <w:style w:type="character" w:styleId="757" w:customStyle="1">
    <w:name w:val="尾注引用1"/>
    <w:link w:val="694"/>
    <w:uiPriority w:val="99"/>
    <w:unhideWhenUsed/>
    <w:qFormat/>
    <w:rPr>
      <w:vertAlign w:val="superscript"/>
    </w:rPr>
  </w:style>
  <w:style w:type="character" w:styleId="758" w:customStyle="1">
    <w:name w:val="页码11"/>
    <w:link w:val="694"/>
    <w:uiPriority w:val="0"/>
    <w:qFormat/>
  </w:style>
  <w:style w:type="character" w:styleId="759" w:customStyle="1">
    <w:name w:val="强调11"/>
    <w:basedOn w:val="733"/>
    <w:link w:val="694"/>
    <w:uiPriority w:val="0"/>
    <w:qFormat/>
    <w:rPr>
      <w:i/>
    </w:rPr>
  </w:style>
  <w:style w:type="character" w:styleId="760" w:customStyle="1">
    <w:name w:val="超链接11"/>
    <w:link w:val="694"/>
    <w:uiPriority w:val="99"/>
    <w:unhideWhenUsed/>
    <w:qFormat/>
    <w:rPr>
      <w:color w:val="0000ff"/>
      <w:u w:val="single"/>
    </w:rPr>
  </w:style>
  <w:style w:type="character" w:styleId="761" w:customStyle="1">
    <w:name w:val="脚注引用1"/>
    <w:link w:val="694"/>
    <w:uiPriority w:val="99"/>
    <w:unhideWhenUsed/>
    <w:qFormat/>
    <w:rPr>
      <w:vertAlign w:val="superscript"/>
    </w:rPr>
  </w:style>
  <w:style w:type="character" w:styleId="762" w:customStyle="1">
    <w:name w:val="Heading 1 Char"/>
    <w:link w:val="695"/>
    <w:uiPriority w:val="9"/>
    <w:qFormat/>
    <w:rPr>
      <w:rFonts w:ascii="Arial" w:hAnsi="Arial" w:eastAsia="Arial" w:cs="Arial"/>
      <w:sz w:val="40"/>
      <w:szCs w:val="40"/>
    </w:rPr>
  </w:style>
  <w:style w:type="character" w:styleId="763" w:customStyle="1">
    <w:name w:val="Heading 2 Char"/>
    <w:link w:val="696"/>
    <w:uiPriority w:val="9"/>
    <w:qFormat/>
    <w:rPr>
      <w:rFonts w:ascii="Arial" w:hAnsi="Arial" w:eastAsia="Arial" w:cs="Arial"/>
      <w:sz w:val="34"/>
    </w:rPr>
  </w:style>
  <w:style w:type="character" w:styleId="764" w:customStyle="1">
    <w:name w:val="Heading 3 Char"/>
    <w:link w:val="697"/>
    <w:uiPriority w:val="9"/>
    <w:qFormat/>
    <w:rPr>
      <w:rFonts w:ascii="Arial" w:hAnsi="Arial" w:eastAsia="Arial" w:cs="Arial"/>
      <w:sz w:val="30"/>
      <w:szCs w:val="30"/>
    </w:rPr>
  </w:style>
  <w:style w:type="character" w:styleId="765" w:customStyle="1">
    <w:name w:val="Heading 4 Char"/>
    <w:link w:val="698"/>
    <w:uiPriority w:val="9"/>
    <w:qFormat/>
    <w:rPr>
      <w:rFonts w:ascii="Arial" w:hAnsi="Arial" w:eastAsia="Arial" w:cs="Arial"/>
      <w:b/>
      <w:bCs/>
      <w:sz w:val="26"/>
      <w:szCs w:val="26"/>
    </w:rPr>
  </w:style>
  <w:style w:type="character" w:styleId="766" w:customStyle="1">
    <w:name w:val="Heading 5 Char"/>
    <w:link w:val="699"/>
    <w:uiPriority w:val="9"/>
    <w:qFormat/>
    <w:rPr>
      <w:rFonts w:ascii="Arial" w:hAnsi="Arial" w:eastAsia="Arial" w:cs="Arial"/>
      <w:b/>
      <w:bCs/>
      <w:sz w:val="24"/>
      <w:szCs w:val="24"/>
    </w:rPr>
  </w:style>
  <w:style w:type="character" w:styleId="767" w:customStyle="1">
    <w:name w:val="Heading 6 Char"/>
    <w:link w:val="700"/>
    <w:uiPriority w:val="9"/>
    <w:qFormat/>
    <w:rPr>
      <w:rFonts w:ascii="Arial" w:hAnsi="Arial" w:eastAsia="Arial" w:cs="Arial"/>
      <w:b/>
      <w:bCs/>
      <w:sz w:val="22"/>
      <w:szCs w:val="22"/>
    </w:rPr>
  </w:style>
  <w:style w:type="character" w:styleId="768" w:customStyle="1">
    <w:name w:val="Heading 7 Char"/>
    <w:link w:val="701"/>
    <w:uiPriority w:val="9"/>
    <w:qFormat/>
    <w:rPr>
      <w:rFonts w:ascii="Arial" w:hAnsi="Arial" w:eastAsia="Arial" w:cs="Arial"/>
      <w:b/>
      <w:bCs/>
      <w:i/>
      <w:iCs/>
      <w:sz w:val="22"/>
      <w:szCs w:val="22"/>
    </w:rPr>
  </w:style>
  <w:style w:type="character" w:styleId="769" w:customStyle="1">
    <w:name w:val="Heading 8 Char"/>
    <w:link w:val="702"/>
    <w:uiPriority w:val="9"/>
    <w:qFormat/>
    <w:rPr>
      <w:rFonts w:ascii="Arial" w:hAnsi="Arial" w:eastAsia="Arial" w:cs="Arial"/>
      <w:i/>
      <w:iCs/>
      <w:sz w:val="22"/>
      <w:szCs w:val="22"/>
    </w:rPr>
  </w:style>
  <w:style w:type="character" w:styleId="770" w:customStyle="1">
    <w:name w:val="Heading 9 Char"/>
    <w:link w:val="703"/>
    <w:uiPriority w:val="9"/>
    <w:qFormat/>
    <w:rPr>
      <w:rFonts w:ascii="Arial" w:hAnsi="Arial" w:eastAsia="Arial" w:cs="Arial"/>
      <w:i/>
      <w:iCs/>
      <w:sz w:val="21"/>
      <w:szCs w:val="21"/>
    </w:rPr>
  </w:style>
  <w:style w:type="paragraph" w:styleId="771" w:customStyle="1">
    <w:name w:val="Caption1"/>
    <w:basedOn w:val="694"/>
    <w:next w:val="694"/>
    <w:uiPriority w:val="35"/>
    <w:unhideWhenUsed/>
    <w:qFormat/>
    <w:pPr>
      <w:spacing w:line="276" w:lineRule="auto"/>
    </w:pPr>
    <w:rPr>
      <w:b/>
      <w:bCs/>
      <w:color w:val="4f81bd"/>
      <w:sz w:val="18"/>
      <w:szCs w:val="18"/>
    </w:rPr>
  </w:style>
  <w:style w:type="paragraph" w:styleId="772" w:customStyle="1">
    <w:name w:val="Footer1"/>
    <w:basedOn w:val="694"/>
    <w:link w:val="774"/>
    <w:uiPriority w:val="99"/>
    <w:unhideWhenUsed/>
    <w:qFormat/>
    <w:pPr>
      <w:spacing w:after="0" w:line="240" w:lineRule="auto"/>
      <w:tabs>
        <w:tab w:val="center" w:pos="7143" w:leader="none"/>
        <w:tab w:val="right" w:pos="14287" w:leader="none"/>
      </w:tabs>
    </w:pPr>
    <w:rPr>
      <w:rFonts w:ascii="Times New Roman" w:hAnsi="Times New Roman" w:eastAsia="宋体" w:cs="Times New Roman"/>
      <w:sz w:val="18"/>
      <w:szCs w:val="18"/>
    </w:rPr>
  </w:style>
  <w:style w:type="character" w:styleId="773" w:customStyle="1">
    <w:name w:val="Footer Char"/>
    <w:link w:val="772"/>
    <w:uiPriority w:val="99"/>
    <w:qFormat/>
  </w:style>
  <w:style w:type="character" w:styleId="774" w:customStyle="1">
    <w:name w:val="Caption Char"/>
    <w:link w:val="772"/>
    <w:uiPriority w:val="99"/>
    <w:qFormat/>
  </w:style>
  <w:style w:type="paragraph" w:styleId="775" w:customStyle="1">
    <w:name w:val="Header1"/>
    <w:basedOn w:val="694"/>
    <w:link w:val="776"/>
    <w:uiPriority w:val="99"/>
    <w:unhideWhenUsed/>
    <w:qFormat/>
    <w:pPr>
      <w:spacing w:after="0" w:line="240" w:lineRule="auto"/>
      <w:tabs>
        <w:tab w:val="center" w:pos="7143" w:leader="none"/>
        <w:tab w:val="right" w:pos="14287" w:leader="none"/>
      </w:tabs>
    </w:pPr>
    <w:rPr>
      <w:rFonts w:ascii="Times New Roman" w:hAnsi="Times New Roman" w:eastAsia="宋体" w:cs="Times New Roman"/>
      <w:sz w:val="18"/>
      <w:szCs w:val="18"/>
    </w:rPr>
  </w:style>
  <w:style w:type="character" w:styleId="776" w:customStyle="1">
    <w:name w:val="Header Char"/>
    <w:link w:val="775"/>
    <w:uiPriority w:val="99"/>
    <w:qFormat/>
  </w:style>
  <w:style w:type="character" w:styleId="777" w:customStyle="1">
    <w:name w:val="Title Char"/>
    <w:basedOn w:val="733"/>
    <w:link w:val="694"/>
    <w:uiPriority w:val="10"/>
    <w:qFormat/>
    <w:rPr>
      <w:sz w:val="48"/>
      <w:szCs w:val="48"/>
    </w:rPr>
  </w:style>
  <w:style w:type="character" w:styleId="778" w:customStyle="1">
    <w:name w:val="Subtitle Char"/>
    <w:basedOn w:val="733"/>
    <w:link w:val="694"/>
    <w:uiPriority w:val="11"/>
    <w:qFormat/>
    <w:rPr>
      <w:sz w:val="24"/>
      <w:szCs w:val="24"/>
    </w:rPr>
  </w:style>
  <w:style w:type="character" w:styleId="779" w:customStyle="1">
    <w:name w:val="Quote Char"/>
    <w:link w:val="694"/>
    <w:uiPriority w:val="29"/>
    <w:qFormat/>
    <w:rPr>
      <w:i/>
    </w:rPr>
  </w:style>
  <w:style w:type="character" w:styleId="780" w:customStyle="1">
    <w:name w:val="Intense Quote Char"/>
    <w:link w:val="694"/>
    <w:uiPriority w:val="30"/>
    <w:qFormat/>
    <w:rPr>
      <w:i/>
    </w:rPr>
  </w:style>
  <w:style w:type="table" w:styleId="781" w:customStyle="1">
    <w:name w:val="Table Grid Light"/>
    <w:basedOn w:val="734"/>
    <w:uiPriority w:val="59"/>
    <w:qFormat/>
    <w:pPr>
      <w:spacing w:after="0" w:line="240" w:lineRule="auto"/>
    </w:pPr>
    <w:tblPr/>
  </w:style>
  <w:style w:type="table" w:styleId="782" w:customStyle="1">
    <w:name w:val="Plain Table 1"/>
    <w:basedOn w:val="734"/>
    <w:uiPriority w:val="59"/>
    <w:qFormat/>
    <w:pPr>
      <w:spacing w:after="0" w:line="240" w:lineRule="auto"/>
    </w:pPr>
    <w:tblPr/>
  </w:style>
  <w:style w:type="table" w:styleId="783" w:customStyle="1">
    <w:name w:val="Plain Table 2"/>
    <w:basedOn w:val="734"/>
    <w:uiPriority w:val="59"/>
    <w:qFormat/>
    <w:pPr>
      <w:spacing w:after="0" w:line="240" w:lineRule="auto"/>
    </w:pPr>
    <w:tblPr/>
  </w:style>
  <w:style w:type="table" w:styleId="784" w:customStyle="1">
    <w:name w:val="Plain Table 3"/>
    <w:basedOn w:val="734"/>
    <w:uiPriority w:val="99"/>
    <w:qFormat/>
    <w:pPr>
      <w:spacing w:after="0" w:line="240" w:lineRule="auto"/>
    </w:pPr>
    <w:tblPr/>
  </w:style>
  <w:style w:type="table" w:styleId="785" w:customStyle="1">
    <w:name w:val="Plain Table 4"/>
    <w:basedOn w:val="734"/>
    <w:uiPriority w:val="99"/>
    <w:qFormat/>
    <w:pPr>
      <w:spacing w:after="0" w:line="240" w:lineRule="auto"/>
    </w:pPr>
    <w:tblPr/>
  </w:style>
  <w:style w:type="table" w:styleId="786" w:customStyle="1">
    <w:name w:val="Plain Table 5"/>
    <w:basedOn w:val="734"/>
    <w:uiPriority w:val="99"/>
    <w:qFormat/>
    <w:pPr>
      <w:spacing w:after="0" w:line="240" w:lineRule="auto"/>
    </w:pPr>
    <w:tblPr/>
  </w:style>
  <w:style w:type="table" w:styleId="787" w:customStyle="1">
    <w:name w:val="Grid Table 1 Light"/>
    <w:basedOn w:val="734"/>
    <w:uiPriority w:val="99"/>
    <w:qFormat/>
    <w:pPr>
      <w:spacing w:after="0" w:line="240" w:lineRule="auto"/>
    </w:pPr>
    <w:tblPr/>
  </w:style>
  <w:style w:type="table" w:styleId="788" w:customStyle="1">
    <w:name w:val="Grid Table 1 Light - Accent 1"/>
    <w:basedOn w:val="734"/>
    <w:uiPriority w:val="99"/>
    <w:qFormat/>
    <w:pPr>
      <w:spacing w:after="0" w:line="240" w:lineRule="auto"/>
    </w:pPr>
    <w:tblPr/>
  </w:style>
  <w:style w:type="table" w:styleId="789" w:customStyle="1">
    <w:name w:val="Grid Table 1 Light - Accent 2"/>
    <w:basedOn w:val="734"/>
    <w:uiPriority w:val="99"/>
    <w:qFormat/>
    <w:pPr>
      <w:spacing w:after="0" w:line="240" w:lineRule="auto"/>
    </w:pPr>
    <w:tblPr/>
  </w:style>
  <w:style w:type="table" w:styleId="790" w:customStyle="1">
    <w:name w:val="Grid Table 1 Light - Accent 3"/>
    <w:basedOn w:val="734"/>
    <w:uiPriority w:val="99"/>
    <w:qFormat/>
    <w:pPr>
      <w:spacing w:after="0" w:line="240" w:lineRule="auto"/>
    </w:pPr>
    <w:tblPr/>
  </w:style>
  <w:style w:type="table" w:styleId="791" w:customStyle="1">
    <w:name w:val="Grid Table 1 Light - Accent 4"/>
    <w:basedOn w:val="734"/>
    <w:uiPriority w:val="99"/>
    <w:qFormat/>
    <w:pPr>
      <w:spacing w:after="0" w:line="240" w:lineRule="auto"/>
    </w:pPr>
    <w:tblPr/>
  </w:style>
  <w:style w:type="table" w:styleId="792" w:customStyle="1">
    <w:name w:val="Grid Table 1 Light - Accent 5"/>
    <w:basedOn w:val="734"/>
    <w:uiPriority w:val="99"/>
    <w:qFormat/>
    <w:pPr>
      <w:spacing w:after="0" w:line="240" w:lineRule="auto"/>
    </w:pPr>
    <w:tblPr/>
  </w:style>
  <w:style w:type="table" w:styleId="793" w:customStyle="1">
    <w:name w:val="Grid Table 1 Light - Accent 6"/>
    <w:basedOn w:val="734"/>
    <w:uiPriority w:val="99"/>
    <w:qFormat/>
    <w:pPr>
      <w:spacing w:after="0" w:line="240" w:lineRule="auto"/>
    </w:pPr>
    <w:tblPr/>
  </w:style>
  <w:style w:type="table" w:styleId="794" w:customStyle="1">
    <w:name w:val="Grid Table 2"/>
    <w:basedOn w:val="734"/>
    <w:uiPriority w:val="99"/>
    <w:qFormat/>
    <w:pPr>
      <w:spacing w:after="0" w:line="240" w:lineRule="auto"/>
    </w:pPr>
    <w:tblPr/>
  </w:style>
  <w:style w:type="table" w:styleId="795" w:customStyle="1">
    <w:name w:val="Grid Table 2 - Accent 1"/>
    <w:basedOn w:val="734"/>
    <w:uiPriority w:val="99"/>
    <w:qFormat/>
    <w:pPr>
      <w:spacing w:after="0" w:line="240" w:lineRule="auto"/>
    </w:pPr>
    <w:tblPr/>
  </w:style>
  <w:style w:type="table" w:styleId="796" w:customStyle="1">
    <w:name w:val="Grid Table 2 - Accent 2"/>
    <w:basedOn w:val="734"/>
    <w:uiPriority w:val="99"/>
    <w:qFormat/>
    <w:pPr>
      <w:spacing w:after="0" w:line="240" w:lineRule="auto"/>
    </w:pPr>
    <w:tblPr/>
  </w:style>
  <w:style w:type="table" w:styleId="797" w:customStyle="1">
    <w:name w:val="Grid Table 2 - Accent 3"/>
    <w:basedOn w:val="734"/>
    <w:uiPriority w:val="99"/>
    <w:qFormat/>
    <w:pPr>
      <w:spacing w:after="0" w:line="240" w:lineRule="auto"/>
    </w:pPr>
    <w:tblPr/>
  </w:style>
  <w:style w:type="table" w:styleId="798" w:customStyle="1">
    <w:name w:val="Grid Table 2 - Accent 4"/>
    <w:basedOn w:val="734"/>
    <w:uiPriority w:val="99"/>
    <w:qFormat/>
    <w:pPr>
      <w:spacing w:after="0" w:line="240" w:lineRule="auto"/>
    </w:pPr>
    <w:tblPr/>
  </w:style>
  <w:style w:type="table" w:styleId="799" w:customStyle="1">
    <w:name w:val="Grid Table 2 - Accent 5"/>
    <w:basedOn w:val="734"/>
    <w:uiPriority w:val="99"/>
    <w:qFormat/>
    <w:pPr>
      <w:spacing w:after="0" w:line="240" w:lineRule="auto"/>
    </w:pPr>
    <w:tblPr/>
  </w:style>
  <w:style w:type="table" w:styleId="800" w:customStyle="1">
    <w:name w:val="Grid Table 2 - Accent 6"/>
    <w:basedOn w:val="734"/>
    <w:uiPriority w:val="99"/>
    <w:qFormat/>
    <w:pPr>
      <w:spacing w:after="0" w:line="240" w:lineRule="auto"/>
    </w:pPr>
    <w:tblPr/>
  </w:style>
  <w:style w:type="table" w:styleId="801" w:customStyle="1">
    <w:name w:val="Grid Table 3"/>
    <w:basedOn w:val="734"/>
    <w:uiPriority w:val="99"/>
    <w:qFormat/>
    <w:pPr>
      <w:spacing w:after="0" w:line="240" w:lineRule="auto"/>
    </w:pPr>
    <w:tblPr/>
  </w:style>
  <w:style w:type="table" w:styleId="802" w:customStyle="1">
    <w:name w:val="Grid Table 3 - Accent 1"/>
    <w:basedOn w:val="734"/>
    <w:uiPriority w:val="99"/>
    <w:qFormat/>
    <w:pPr>
      <w:spacing w:after="0" w:line="240" w:lineRule="auto"/>
    </w:pPr>
    <w:tblPr/>
  </w:style>
  <w:style w:type="table" w:styleId="803" w:customStyle="1">
    <w:name w:val="Grid Table 3 - Accent 2"/>
    <w:basedOn w:val="734"/>
    <w:uiPriority w:val="99"/>
    <w:qFormat/>
    <w:pPr>
      <w:spacing w:after="0" w:line="240" w:lineRule="auto"/>
    </w:pPr>
    <w:tblPr/>
  </w:style>
  <w:style w:type="table" w:styleId="804" w:customStyle="1">
    <w:name w:val="Grid Table 3 - Accent 3"/>
    <w:basedOn w:val="734"/>
    <w:uiPriority w:val="99"/>
    <w:qFormat/>
    <w:pPr>
      <w:spacing w:after="0" w:line="240" w:lineRule="auto"/>
    </w:pPr>
    <w:tblPr/>
  </w:style>
  <w:style w:type="table" w:styleId="805" w:customStyle="1">
    <w:name w:val="Grid Table 3 - Accent 4"/>
    <w:basedOn w:val="734"/>
    <w:uiPriority w:val="99"/>
    <w:qFormat/>
    <w:pPr>
      <w:spacing w:after="0" w:line="240" w:lineRule="auto"/>
    </w:pPr>
    <w:tblPr/>
  </w:style>
  <w:style w:type="table" w:styleId="806" w:customStyle="1">
    <w:name w:val="Grid Table 3 - Accent 5"/>
    <w:basedOn w:val="734"/>
    <w:uiPriority w:val="99"/>
    <w:qFormat/>
    <w:pPr>
      <w:spacing w:after="0" w:line="240" w:lineRule="auto"/>
    </w:pPr>
    <w:tblPr/>
  </w:style>
  <w:style w:type="table" w:styleId="807" w:customStyle="1">
    <w:name w:val="Grid Table 3 - Accent 6"/>
    <w:basedOn w:val="734"/>
    <w:uiPriority w:val="99"/>
    <w:qFormat/>
    <w:pPr>
      <w:spacing w:after="0" w:line="240" w:lineRule="auto"/>
    </w:pPr>
    <w:tblPr/>
  </w:style>
  <w:style w:type="table" w:styleId="808" w:customStyle="1">
    <w:name w:val="Grid Table 4"/>
    <w:basedOn w:val="734"/>
    <w:uiPriority w:val="59"/>
    <w:qFormat/>
    <w:pPr>
      <w:spacing w:after="0" w:line="240" w:lineRule="auto"/>
    </w:pPr>
    <w:tblPr/>
  </w:style>
  <w:style w:type="table" w:styleId="809" w:customStyle="1">
    <w:name w:val="Grid Table 4 - Accent 1"/>
    <w:basedOn w:val="734"/>
    <w:uiPriority w:val="59"/>
    <w:qFormat/>
    <w:pPr>
      <w:spacing w:after="0" w:line="240" w:lineRule="auto"/>
    </w:pPr>
    <w:tblPr/>
  </w:style>
  <w:style w:type="table" w:styleId="810" w:customStyle="1">
    <w:name w:val="Grid Table 4 - Accent 2"/>
    <w:basedOn w:val="734"/>
    <w:uiPriority w:val="59"/>
    <w:qFormat/>
    <w:pPr>
      <w:spacing w:after="0" w:line="240" w:lineRule="auto"/>
    </w:pPr>
    <w:tblPr/>
  </w:style>
  <w:style w:type="table" w:styleId="811" w:customStyle="1">
    <w:name w:val="Grid Table 4 - Accent 3"/>
    <w:basedOn w:val="734"/>
    <w:uiPriority w:val="59"/>
    <w:qFormat/>
    <w:pPr>
      <w:spacing w:after="0" w:line="240" w:lineRule="auto"/>
    </w:pPr>
    <w:tblPr/>
  </w:style>
  <w:style w:type="table" w:styleId="812" w:customStyle="1">
    <w:name w:val="Grid Table 4 - Accent 4"/>
    <w:basedOn w:val="734"/>
    <w:uiPriority w:val="59"/>
    <w:qFormat/>
    <w:pPr>
      <w:spacing w:after="0" w:line="240" w:lineRule="auto"/>
    </w:pPr>
    <w:tblPr/>
  </w:style>
  <w:style w:type="table" w:styleId="813" w:customStyle="1">
    <w:name w:val="Grid Table 4 - Accent 5"/>
    <w:basedOn w:val="734"/>
    <w:uiPriority w:val="59"/>
    <w:qFormat/>
    <w:pPr>
      <w:spacing w:after="0" w:line="240" w:lineRule="auto"/>
    </w:pPr>
    <w:tblPr/>
  </w:style>
  <w:style w:type="table" w:styleId="814" w:customStyle="1">
    <w:name w:val="Grid Table 4 - Accent 6"/>
    <w:basedOn w:val="734"/>
    <w:uiPriority w:val="59"/>
    <w:qFormat/>
    <w:pPr>
      <w:spacing w:after="0" w:line="240" w:lineRule="auto"/>
    </w:pPr>
    <w:tblPr/>
  </w:style>
  <w:style w:type="table" w:styleId="815" w:customStyle="1">
    <w:name w:val="Grid Table 5 Dark"/>
    <w:basedOn w:val="734"/>
    <w:uiPriority w:val="99"/>
    <w:qFormat/>
    <w:pPr>
      <w:spacing w:after="0" w:line="240" w:lineRule="auto"/>
    </w:pPr>
    <w:tblPr/>
  </w:style>
  <w:style w:type="table" w:styleId="816" w:customStyle="1">
    <w:name w:val="Grid Table 5 Dark- Accent 1"/>
    <w:basedOn w:val="734"/>
    <w:uiPriority w:val="99"/>
    <w:qFormat/>
    <w:pPr>
      <w:spacing w:after="0" w:line="240" w:lineRule="auto"/>
    </w:pPr>
    <w:tblPr/>
  </w:style>
  <w:style w:type="table" w:styleId="817" w:customStyle="1">
    <w:name w:val="Grid Table 5 Dark - Accent 2"/>
    <w:basedOn w:val="734"/>
    <w:uiPriority w:val="99"/>
    <w:qFormat/>
    <w:pPr>
      <w:spacing w:after="0" w:line="240" w:lineRule="auto"/>
    </w:pPr>
    <w:tblPr/>
  </w:style>
  <w:style w:type="table" w:styleId="818" w:customStyle="1">
    <w:name w:val="Grid Table 5 Dark - Accent 3"/>
    <w:basedOn w:val="734"/>
    <w:uiPriority w:val="99"/>
    <w:qFormat/>
    <w:pPr>
      <w:spacing w:after="0" w:line="240" w:lineRule="auto"/>
    </w:pPr>
    <w:tblPr/>
  </w:style>
  <w:style w:type="table" w:styleId="819" w:customStyle="1">
    <w:name w:val="Grid Table 5 Dark- Accent 4"/>
    <w:basedOn w:val="734"/>
    <w:uiPriority w:val="99"/>
    <w:qFormat/>
    <w:pPr>
      <w:spacing w:after="0" w:line="240" w:lineRule="auto"/>
    </w:pPr>
    <w:tblPr/>
  </w:style>
  <w:style w:type="table" w:styleId="820" w:customStyle="1">
    <w:name w:val="Grid Table 5 Dark - Accent 5"/>
    <w:basedOn w:val="734"/>
    <w:uiPriority w:val="99"/>
    <w:qFormat/>
    <w:pPr>
      <w:spacing w:after="0" w:line="240" w:lineRule="auto"/>
    </w:pPr>
    <w:tblPr/>
  </w:style>
  <w:style w:type="table" w:styleId="821" w:customStyle="1">
    <w:name w:val="Grid Table 5 Dark - Accent 6"/>
    <w:basedOn w:val="734"/>
    <w:uiPriority w:val="99"/>
    <w:qFormat/>
    <w:pPr>
      <w:spacing w:after="0" w:line="240" w:lineRule="auto"/>
    </w:pPr>
    <w:tblPr/>
  </w:style>
  <w:style w:type="table" w:styleId="822" w:customStyle="1">
    <w:name w:val="Grid Table 6 Colorful"/>
    <w:basedOn w:val="734"/>
    <w:uiPriority w:val="99"/>
    <w:qFormat/>
    <w:pPr>
      <w:spacing w:after="0" w:line="240" w:lineRule="auto"/>
    </w:pPr>
    <w:tblPr/>
  </w:style>
  <w:style w:type="table" w:styleId="823" w:customStyle="1">
    <w:name w:val="Grid Table 6 Colorful - Accent 1"/>
    <w:basedOn w:val="734"/>
    <w:uiPriority w:val="99"/>
    <w:qFormat/>
    <w:pPr>
      <w:spacing w:after="0" w:line="240" w:lineRule="auto"/>
    </w:pPr>
    <w:tblPr/>
  </w:style>
  <w:style w:type="table" w:styleId="824" w:customStyle="1">
    <w:name w:val="Grid Table 6 Colorful - Accent 2"/>
    <w:basedOn w:val="734"/>
    <w:uiPriority w:val="99"/>
    <w:qFormat/>
    <w:pPr>
      <w:spacing w:after="0" w:line="240" w:lineRule="auto"/>
    </w:pPr>
    <w:tblPr/>
  </w:style>
  <w:style w:type="table" w:styleId="825" w:customStyle="1">
    <w:name w:val="Grid Table 6 Colorful - Accent 3"/>
    <w:basedOn w:val="734"/>
    <w:uiPriority w:val="99"/>
    <w:qFormat/>
    <w:pPr>
      <w:spacing w:after="0" w:line="240" w:lineRule="auto"/>
    </w:pPr>
    <w:tblPr/>
  </w:style>
  <w:style w:type="table" w:styleId="826" w:customStyle="1">
    <w:name w:val="Grid Table 6 Colorful - Accent 4"/>
    <w:basedOn w:val="734"/>
    <w:uiPriority w:val="99"/>
    <w:qFormat/>
    <w:pPr>
      <w:spacing w:after="0" w:line="240" w:lineRule="auto"/>
    </w:pPr>
    <w:tblPr/>
  </w:style>
  <w:style w:type="table" w:styleId="827" w:customStyle="1">
    <w:name w:val="Grid Table 6 Colorful - Accent 5"/>
    <w:basedOn w:val="734"/>
    <w:uiPriority w:val="99"/>
    <w:qFormat/>
    <w:pPr>
      <w:spacing w:after="0" w:line="240" w:lineRule="auto"/>
    </w:pPr>
    <w:tblPr/>
  </w:style>
  <w:style w:type="table" w:styleId="828" w:customStyle="1">
    <w:name w:val="Grid Table 6 Colorful - Accent 6"/>
    <w:basedOn w:val="734"/>
    <w:uiPriority w:val="99"/>
    <w:qFormat/>
    <w:pPr>
      <w:spacing w:after="0" w:line="240" w:lineRule="auto"/>
    </w:pPr>
    <w:tblPr/>
  </w:style>
  <w:style w:type="table" w:styleId="829" w:customStyle="1">
    <w:name w:val="Grid Table 7 Colorful"/>
    <w:basedOn w:val="734"/>
    <w:uiPriority w:val="99"/>
    <w:qFormat/>
    <w:pPr>
      <w:spacing w:after="0" w:line="240" w:lineRule="auto"/>
    </w:pPr>
    <w:tblPr/>
  </w:style>
  <w:style w:type="table" w:styleId="830" w:customStyle="1">
    <w:name w:val="Grid Table 7 Colorful - Accent 1"/>
    <w:basedOn w:val="734"/>
    <w:uiPriority w:val="99"/>
    <w:qFormat/>
    <w:pPr>
      <w:spacing w:after="0" w:line="240" w:lineRule="auto"/>
    </w:pPr>
    <w:tblPr/>
  </w:style>
  <w:style w:type="table" w:styleId="831" w:customStyle="1">
    <w:name w:val="Grid Table 7 Colorful - Accent 2"/>
    <w:basedOn w:val="734"/>
    <w:uiPriority w:val="99"/>
    <w:qFormat/>
    <w:pPr>
      <w:spacing w:after="0" w:line="240" w:lineRule="auto"/>
    </w:pPr>
    <w:tblPr/>
  </w:style>
  <w:style w:type="table" w:styleId="832" w:customStyle="1">
    <w:name w:val="Grid Table 7 Colorful - Accent 3"/>
    <w:basedOn w:val="734"/>
    <w:uiPriority w:val="99"/>
    <w:qFormat/>
    <w:pPr>
      <w:spacing w:after="0" w:line="240" w:lineRule="auto"/>
    </w:pPr>
    <w:tblPr/>
  </w:style>
  <w:style w:type="table" w:styleId="833" w:customStyle="1">
    <w:name w:val="Grid Table 7 Colorful - Accent 4"/>
    <w:basedOn w:val="734"/>
    <w:uiPriority w:val="99"/>
    <w:qFormat/>
    <w:pPr>
      <w:spacing w:after="0" w:line="240" w:lineRule="auto"/>
    </w:pPr>
    <w:tblPr/>
  </w:style>
  <w:style w:type="table" w:styleId="834" w:customStyle="1">
    <w:name w:val="Grid Table 7 Colorful - Accent 5"/>
    <w:basedOn w:val="734"/>
    <w:uiPriority w:val="99"/>
    <w:qFormat/>
    <w:pPr>
      <w:spacing w:after="0" w:line="240" w:lineRule="auto"/>
    </w:pPr>
    <w:tblPr/>
  </w:style>
  <w:style w:type="table" w:styleId="835" w:customStyle="1">
    <w:name w:val="Grid Table 7 Colorful - Accent 6"/>
    <w:basedOn w:val="734"/>
    <w:uiPriority w:val="99"/>
    <w:qFormat/>
    <w:pPr>
      <w:spacing w:after="0" w:line="240" w:lineRule="auto"/>
    </w:pPr>
    <w:tblPr/>
  </w:style>
  <w:style w:type="table" w:styleId="836" w:customStyle="1">
    <w:name w:val="List Table 1 Light"/>
    <w:basedOn w:val="734"/>
    <w:uiPriority w:val="99"/>
    <w:qFormat/>
    <w:pPr>
      <w:spacing w:after="0" w:line="240" w:lineRule="auto"/>
    </w:pPr>
    <w:tblPr/>
  </w:style>
  <w:style w:type="table" w:styleId="837" w:customStyle="1">
    <w:name w:val="List Table 1 Light - Accent 1"/>
    <w:basedOn w:val="734"/>
    <w:uiPriority w:val="99"/>
    <w:qFormat/>
    <w:pPr>
      <w:spacing w:after="0" w:line="240" w:lineRule="auto"/>
    </w:pPr>
    <w:tblPr/>
  </w:style>
  <w:style w:type="table" w:styleId="838" w:customStyle="1">
    <w:name w:val="List Table 1 Light - Accent 2"/>
    <w:basedOn w:val="734"/>
    <w:uiPriority w:val="99"/>
    <w:qFormat/>
    <w:pPr>
      <w:spacing w:after="0" w:line="240" w:lineRule="auto"/>
    </w:pPr>
    <w:tblPr/>
  </w:style>
  <w:style w:type="table" w:styleId="839" w:customStyle="1">
    <w:name w:val="List Table 1 Light - Accent 3"/>
    <w:basedOn w:val="734"/>
    <w:uiPriority w:val="99"/>
    <w:qFormat/>
    <w:pPr>
      <w:spacing w:after="0" w:line="240" w:lineRule="auto"/>
    </w:pPr>
    <w:tblPr/>
  </w:style>
  <w:style w:type="table" w:styleId="840" w:customStyle="1">
    <w:name w:val="List Table 1 Light - Accent 4"/>
    <w:basedOn w:val="734"/>
    <w:uiPriority w:val="99"/>
    <w:qFormat/>
    <w:pPr>
      <w:spacing w:after="0" w:line="240" w:lineRule="auto"/>
    </w:pPr>
    <w:tblPr/>
  </w:style>
  <w:style w:type="table" w:styleId="841" w:customStyle="1">
    <w:name w:val="List Table 1 Light - Accent 5"/>
    <w:basedOn w:val="734"/>
    <w:uiPriority w:val="99"/>
    <w:qFormat/>
    <w:pPr>
      <w:spacing w:after="0" w:line="240" w:lineRule="auto"/>
    </w:pPr>
    <w:tblPr/>
  </w:style>
  <w:style w:type="table" w:styleId="842" w:customStyle="1">
    <w:name w:val="List Table 1 Light - Accent 6"/>
    <w:basedOn w:val="734"/>
    <w:uiPriority w:val="99"/>
    <w:qFormat/>
    <w:pPr>
      <w:spacing w:after="0" w:line="240" w:lineRule="auto"/>
    </w:pPr>
    <w:tblPr/>
  </w:style>
  <w:style w:type="table" w:styleId="843" w:customStyle="1">
    <w:name w:val="List Table 2"/>
    <w:basedOn w:val="734"/>
    <w:uiPriority w:val="99"/>
    <w:qFormat/>
    <w:pPr>
      <w:spacing w:after="0" w:line="240" w:lineRule="auto"/>
    </w:pPr>
    <w:tblPr/>
  </w:style>
  <w:style w:type="table" w:styleId="844" w:customStyle="1">
    <w:name w:val="List Table 2 - Accent 1"/>
    <w:basedOn w:val="734"/>
    <w:uiPriority w:val="99"/>
    <w:qFormat/>
    <w:pPr>
      <w:spacing w:after="0" w:line="240" w:lineRule="auto"/>
    </w:pPr>
    <w:tblPr/>
  </w:style>
  <w:style w:type="table" w:styleId="845" w:customStyle="1">
    <w:name w:val="List Table 2 - Accent 2"/>
    <w:basedOn w:val="734"/>
    <w:uiPriority w:val="99"/>
    <w:qFormat/>
    <w:pPr>
      <w:spacing w:after="0" w:line="240" w:lineRule="auto"/>
    </w:pPr>
    <w:tblPr/>
  </w:style>
  <w:style w:type="table" w:styleId="846" w:customStyle="1">
    <w:name w:val="List Table 2 - Accent 3"/>
    <w:basedOn w:val="734"/>
    <w:uiPriority w:val="99"/>
    <w:qFormat/>
    <w:pPr>
      <w:spacing w:after="0" w:line="240" w:lineRule="auto"/>
    </w:pPr>
    <w:tblPr/>
  </w:style>
  <w:style w:type="table" w:styleId="847" w:customStyle="1">
    <w:name w:val="List Table 2 - Accent 4"/>
    <w:basedOn w:val="734"/>
    <w:uiPriority w:val="99"/>
    <w:qFormat/>
    <w:pPr>
      <w:spacing w:after="0" w:line="240" w:lineRule="auto"/>
    </w:pPr>
    <w:tblPr/>
  </w:style>
  <w:style w:type="table" w:styleId="848" w:customStyle="1">
    <w:name w:val="List Table 2 - Accent 5"/>
    <w:basedOn w:val="734"/>
    <w:uiPriority w:val="99"/>
    <w:qFormat/>
    <w:pPr>
      <w:spacing w:after="0" w:line="240" w:lineRule="auto"/>
    </w:pPr>
    <w:tblPr/>
  </w:style>
  <w:style w:type="table" w:styleId="849" w:customStyle="1">
    <w:name w:val="List Table 2 - Accent 6"/>
    <w:basedOn w:val="734"/>
    <w:uiPriority w:val="99"/>
    <w:qFormat/>
    <w:pPr>
      <w:spacing w:after="0" w:line="240" w:lineRule="auto"/>
    </w:pPr>
    <w:tblPr/>
  </w:style>
  <w:style w:type="table" w:styleId="850" w:customStyle="1">
    <w:name w:val="List Table 3"/>
    <w:basedOn w:val="734"/>
    <w:uiPriority w:val="99"/>
    <w:qFormat/>
    <w:pPr>
      <w:spacing w:after="0" w:line="240" w:lineRule="auto"/>
    </w:pPr>
    <w:tblPr/>
  </w:style>
  <w:style w:type="table" w:styleId="851" w:customStyle="1">
    <w:name w:val="List Table 3 - Accent 1"/>
    <w:basedOn w:val="734"/>
    <w:uiPriority w:val="99"/>
    <w:qFormat/>
    <w:pPr>
      <w:spacing w:after="0" w:line="240" w:lineRule="auto"/>
    </w:pPr>
    <w:tblPr/>
  </w:style>
  <w:style w:type="table" w:styleId="852" w:customStyle="1">
    <w:name w:val="List Table 3 - Accent 2"/>
    <w:basedOn w:val="734"/>
    <w:uiPriority w:val="99"/>
    <w:qFormat/>
    <w:pPr>
      <w:spacing w:after="0" w:line="240" w:lineRule="auto"/>
    </w:pPr>
    <w:tblPr/>
  </w:style>
  <w:style w:type="table" w:styleId="853" w:customStyle="1">
    <w:name w:val="List Table 3 - Accent 3"/>
    <w:basedOn w:val="734"/>
    <w:uiPriority w:val="99"/>
    <w:qFormat/>
    <w:pPr>
      <w:spacing w:after="0" w:line="240" w:lineRule="auto"/>
    </w:pPr>
    <w:tblPr/>
  </w:style>
  <w:style w:type="table" w:styleId="854" w:customStyle="1">
    <w:name w:val="List Table 3 - Accent 4"/>
    <w:basedOn w:val="734"/>
    <w:uiPriority w:val="99"/>
    <w:qFormat/>
    <w:pPr>
      <w:spacing w:after="0" w:line="240" w:lineRule="auto"/>
    </w:pPr>
    <w:tblPr/>
  </w:style>
  <w:style w:type="table" w:styleId="855" w:customStyle="1">
    <w:name w:val="List Table 3 - Accent 5"/>
    <w:basedOn w:val="734"/>
    <w:uiPriority w:val="99"/>
    <w:qFormat/>
    <w:pPr>
      <w:spacing w:after="0" w:line="240" w:lineRule="auto"/>
    </w:pPr>
    <w:tblPr/>
  </w:style>
  <w:style w:type="table" w:styleId="856" w:customStyle="1">
    <w:name w:val="List Table 3 - Accent 6"/>
    <w:basedOn w:val="734"/>
    <w:uiPriority w:val="99"/>
    <w:qFormat/>
    <w:pPr>
      <w:spacing w:after="0" w:line="240" w:lineRule="auto"/>
    </w:pPr>
    <w:tblPr/>
  </w:style>
  <w:style w:type="table" w:styleId="857" w:customStyle="1">
    <w:name w:val="List Table 4"/>
    <w:basedOn w:val="734"/>
    <w:uiPriority w:val="99"/>
    <w:qFormat/>
    <w:pPr>
      <w:spacing w:after="0" w:line="240" w:lineRule="auto"/>
    </w:pPr>
    <w:tblPr/>
  </w:style>
  <w:style w:type="table" w:styleId="858" w:customStyle="1">
    <w:name w:val="List Table 4 - Accent 1"/>
    <w:basedOn w:val="734"/>
    <w:uiPriority w:val="99"/>
    <w:qFormat/>
    <w:pPr>
      <w:spacing w:after="0" w:line="240" w:lineRule="auto"/>
    </w:pPr>
    <w:tblPr/>
  </w:style>
  <w:style w:type="table" w:styleId="859" w:customStyle="1">
    <w:name w:val="List Table 4 - Accent 2"/>
    <w:basedOn w:val="734"/>
    <w:uiPriority w:val="99"/>
    <w:qFormat/>
    <w:pPr>
      <w:spacing w:after="0" w:line="240" w:lineRule="auto"/>
    </w:pPr>
    <w:tblPr/>
  </w:style>
  <w:style w:type="table" w:styleId="860" w:customStyle="1">
    <w:name w:val="List Table 4 - Accent 3"/>
    <w:basedOn w:val="734"/>
    <w:uiPriority w:val="99"/>
    <w:qFormat/>
    <w:pPr>
      <w:spacing w:after="0" w:line="240" w:lineRule="auto"/>
    </w:pPr>
    <w:tblPr/>
  </w:style>
  <w:style w:type="table" w:styleId="861" w:customStyle="1">
    <w:name w:val="List Table 4 - Accent 4"/>
    <w:basedOn w:val="734"/>
    <w:uiPriority w:val="99"/>
    <w:qFormat/>
    <w:pPr>
      <w:spacing w:after="0" w:line="240" w:lineRule="auto"/>
    </w:pPr>
    <w:tblPr/>
  </w:style>
  <w:style w:type="table" w:styleId="862" w:customStyle="1">
    <w:name w:val="List Table 4 - Accent 5"/>
    <w:basedOn w:val="734"/>
    <w:uiPriority w:val="99"/>
    <w:qFormat/>
    <w:pPr>
      <w:spacing w:after="0" w:line="240" w:lineRule="auto"/>
    </w:pPr>
    <w:tblPr/>
  </w:style>
  <w:style w:type="table" w:styleId="863" w:customStyle="1">
    <w:name w:val="List Table 4 - Accent 6"/>
    <w:basedOn w:val="734"/>
    <w:uiPriority w:val="99"/>
    <w:qFormat/>
    <w:pPr>
      <w:spacing w:after="0" w:line="240" w:lineRule="auto"/>
    </w:pPr>
    <w:tblPr/>
  </w:style>
  <w:style w:type="table" w:styleId="864" w:customStyle="1">
    <w:name w:val="List Table 5 Dark"/>
    <w:basedOn w:val="734"/>
    <w:uiPriority w:val="99"/>
    <w:qFormat/>
    <w:pPr>
      <w:spacing w:after="0" w:line="240" w:lineRule="auto"/>
    </w:pPr>
    <w:tblPr/>
  </w:style>
  <w:style w:type="table" w:styleId="865" w:customStyle="1">
    <w:name w:val="List Table 5 Dark - Accent 1"/>
    <w:basedOn w:val="734"/>
    <w:uiPriority w:val="99"/>
    <w:qFormat/>
    <w:pPr>
      <w:spacing w:after="0" w:line="240" w:lineRule="auto"/>
    </w:pPr>
    <w:tblPr/>
  </w:style>
  <w:style w:type="table" w:styleId="866" w:customStyle="1">
    <w:name w:val="List Table 5 Dark - Accent 2"/>
    <w:basedOn w:val="734"/>
    <w:uiPriority w:val="99"/>
    <w:qFormat/>
    <w:pPr>
      <w:spacing w:after="0" w:line="240" w:lineRule="auto"/>
    </w:pPr>
    <w:tblPr/>
  </w:style>
  <w:style w:type="table" w:styleId="867" w:customStyle="1">
    <w:name w:val="List Table 5 Dark - Accent 3"/>
    <w:basedOn w:val="734"/>
    <w:uiPriority w:val="99"/>
    <w:qFormat/>
    <w:pPr>
      <w:spacing w:after="0" w:line="240" w:lineRule="auto"/>
    </w:pPr>
    <w:tblPr/>
  </w:style>
  <w:style w:type="table" w:styleId="868" w:customStyle="1">
    <w:name w:val="List Table 5 Dark - Accent 4"/>
    <w:basedOn w:val="734"/>
    <w:uiPriority w:val="99"/>
    <w:qFormat/>
    <w:pPr>
      <w:spacing w:after="0" w:line="240" w:lineRule="auto"/>
    </w:pPr>
    <w:tblPr/>
  </w:style>
  <w:style w:type="table" w:styleId="869" w:customStyle="1">
    <w:name w:val="List Table 5 Dark - Accent 5"/>
    <w:basedOn w:val="734"/>
    <w:uiPriority w:val="99"/>
    <w:qFormat/>
    <w:pPr>
      <w:spacing w:after="0" w:line="240" w:lineRule="auto"/>
    </w:pPr>
    <w:tblPr/>
  </w:style>
  <w:style w:type="table" w:styleId="870" w:customStyle="1">
    <w:name w:val="List Table 5 Dark - Accent 6"/>
    <w:basedOn w:val="734"/>
    <w:uiPriority w:val="99"/>
    <w:qFormat/>
    <w:pPr>
      <w:spacing w:after="0" w:line="240" w:lineRule="auto"/>
    </w:pPr>
    <w:tblPr/>
  </w:style>
  <w:style w:type="table" w:styleId="871" w:customStyle="1">
    <w:name w:val="List Table 6 Colorful"/>
    <w:basedOn w:val="734"/>
    <w:uiPriority w:val="99"/>
    <w:qFormat/>
    <w:pPr>
      <w:spacing w:after="0" w:line="240" w:lineRule="auto"/>
    </w:pPr>
    <w:tblPr/>
  </w:style>
  <w:style w:type="table" w:styleId="872" w:customStyle="1">
    <w:name w:val="List Table 6 Colorful - Accent 1"/>
    <w:basedOn w:val="734"/>
    <w:uiPriority w:val="99"/>
    <w:qFormat/>
    <w:pPr>
      <w:spacing w:after="0" w:line="240" w:lineRule="auto"/>
    </w:pPr>
    <w:tblPr/>
  </w:style>
  <w:style w:type="table" w:styleId="873" w:customStyle="1">
    <w:name w:val="List Table 6 Colorful - Accent 2"/>
    <w:basedOn w:val="734"/>
    <w:uiPriority w:val="99"/>
    <w:qFormat/>
    <w:pPr>
      <w:spacing w:after="0" w:line="240" w:lineRule="auto"/>
    </w:pPr>
    <w:tblPr/>
  </w:style>
  <w:style w:type="table" w:styleId="874" w:customStyle="1">
    <w:name w:val="List Table 6 Colorful - Accent 3"/>
    <w:basedOn w:val="734"/>
    <w:uiPriority w:val="99"/>
    <w:qFormat/>
    <w:pPr>
      <w:spacing w:after="0" w:line="240" w:lineRule="auto"/>
    </w:pPr>
    <w:tblPr/>
  </w:style>
  <w:style w:type="table" w:styleId="875" w:customStyle="1">
    <w:name w:val="List Table 6 Colorful - Accent 4"/>
    <w:basedOn w:val="734"/>
    <w:uiPriority w:val="99"/>
    <w:qFormat/>
    <w:pPr>
      <w:spacing w:after="0" w:line="240" w:lineRule="auto"/>
    </w:pPr>
    <w:tblPr/>
  </w:style>
  <w:style w:type="table" w:styleId="876" w:customStyle="1">
    <w:name w:val="List Table 6 Colorful - Accent 5"/>
    <w:basedOn w:val="734"/>
    <w:uiPriority w:val="99"/>
    <w:qFormat/>
    <w:pPr>
      <w:spacing w:after="0" w:line="240" w:lineRule="auto"/>
    </w:pPr>
    <w:tblPr/>
  </w:style>
  <w:style w:type="table" w:styleId="877" w:customStyle="1">
    <w:name w:val="List Table 6 Colorful - Accent 6"/>
    <w:basedOn w:val="734"/>
    <w:uiPriority w:val="99"/>
    <w:qFormat/>
    <w:pPr>
      <w:spacing w:after="0" w:line="240" w:lineRule="auto"/>
    </w:pPr>
    <w:tblPr/>
  </w:style>
  <w:style w:type="table" w:styleId="878" w:customStyle="1">
    <w:name w:val="List Table 7 Colorful"/>
    <w:basedOn w:val="734"/>
    <w:uiPriority w:val="99"/>
    <w:qFormat/>
    <w:pPr>
      <w:spacing w:after="0" w:line="240" w:lineRule="auto"/>
    </w:pPr>
    <w:tblPr/>
  </w:style>
  <w:style w:type="table" w:styleId="879" w:customStyle="1">
    <w:name w:val="List Table 7 Colorful - Accent 1"/>
    <w:basedOn w:val="734"/>
    <w:uiPriority w:val="99"/>
    <w:qFormat/>
    <w:pPr>
      <w:spacing w:after="0" w:line="240" w:lineRule="auto"/>
    </w:pPr>
    <w:tblPr/>
  </w:style>
  <w:style w:type="table" w:styleId="880" w:customStyle="1">
    <w:name w:val="List Table 7 Colorful - Accent 2"/>
    <w:basedOn w:val="734"/>
    <w:uiPriority w:val="99"/>
    <w:qFormat/>
    <w:pPr>
      <w:spacing w:after="0" w:line="240" w:lineRule="auto"/>
    </w:pPr>
    <w:tblPr/>
  </w:style>
  <w:style w:type="table" w:styleId="881" w:customStyle="1">
    <w:name w:val="List Table 7 Colorful - Accent 3"/>
    <w:basedOn w:val="734"/>
    <w:uiPriority w:val="99"/>
    <w:qFormat/>
    <w:pPr>
      <w:spacing w:after="0" w:line="240" w:lineRule="auto"/>
    </w:pPr>
    <w:tblPr/>
  </w:style>
  <w:style w:type="table" w:styleId="882" w:customStyle="1">
    <w:name w:val="List Table 7 Colorful - Accent 4"/>
    <w:basedOn w:val="734"/>
    <w:uiPriority w:val="99"/>
    <w:qFormat/>
    <w:pPr>
      <w:spacing w:after="0" w:line="240" w:lineRule="auto"/>
    </w:pPr>
    <w:tblPr/>
  </w:style>
  <w:style w:type="table" w:styleId="883" w:customStyle="1">
    <w:name w:val="List Table 7 Colorful - Accent 5"/>
    <w:basedOn w:val="734"/>
    <w:uiPriority w:val="99"/>
    <w:qFormat/>
    <w:pPr>
      <w:spacing w:after="0" w:line="240" w:lineRule="auto"/>
    </w:pPr>
    <w:tblPr/>
  </w:style>
  <w:style w:type="table" w:styleId="884" w:customStyle="1">
    <w:name w:val="List Table 7 Colorful - Accent 6"/>
    <w:basedOn w:val="734"/>
    <w:uiPriority w:val="99"/>
    <w:qFormat/>
    <w:pPr>
      <w:spacing w:after="0" w:line="240" w:lineRule="auto"/>
    </w:pPr>
    <w:tblPr/>
  </w:style>
  <w:style w:type="table" w:styleId="885" w:customStyle="1">
    <w:name w:val="Lined - Accent"/>
    <w:basedOn w:val="734"/>
    <w:uiPriority w:val="99"/>
    <w:qFormat/>
    <w:pPr>
      <w:spacing w:after="0" w:line="240" w:lineRule="auto"/>
    </w:pPr>
    <w:rPr>
      <w:color w:val="404040"/>
    </w:rPr>
    <w:tblPr/>
  </w:style>
  <w:style w:type="table" w:styleId="886" w:customStyle="1">
    <w:name w:val="Lined - Accent 1"/>
    <w:basedOn w:val="734"/>
    <w:uiPriority w:val="99"/>
    <w:qFormat/>
    <w:pPr>
      <w:spacing w:after="0" w:line="240" w:lineRule="auto"/>
    </w:pPr>
    <w:rPr>
      <w:color w:val="404040"/>
    </w:rPr>
    <w:tblPr/>
  </w:style>
  <w:style w:type="table" w:styleId="887" w:customStyle="1">
    <w:name w:val="Lined - Accent 2"/>
    <w:basedOn w:val="734"/>
    <w:uiPriority w:val="99"/>
    <w:qFormat/>
    <w:pPr>
      <w:spacing w:after="0" w:line="240" w:lineRule="auto"/>
    </w:pPr>
    <w:rPr>
      <w:color w:val="404040"/>
    </w:rPr>
    <w:tblPr/>
  </w:style>
  <w:style w:type="table" w:styleId="888" w:customStyle="1">
    <w:name w:val="Lined - Accent 3"/>
    <w:basedOn w:val="734"/>
    <w:uiPriority w:val="99"/>
    <w:qFormat/>
    <w:pPr>
      <w:spacing w:after="0" w:line="240" w:lineRule="auto"/>
    </w:pPr>
    <w:rPr>
      <w:color w:val="404040"/>
    </w:rPr>
    <w:tblPr/>
  </w:style>
  <w:style w:type="table" w:styleId="889" w:customStyle="1">
    <w:name w:val="Lined - Accent 4"/>
    <w:basedOn w:val="734"/>
    <w:uiPriority w:val="99"/>
    <w:qFormat/>
    <w:pPr>
      <w:spacing w:after="0" w:line="240" w:lineRule="auto"/>
    </w:pPr>
    <w:rPr>
      <w:color w:val="404040"/>
    </w:rPr>
    <w:tblPr/>
  </w:style>
  <w:style w:type="table" w:styleId="890" w:customStyle="1">
    <w:name w:val="Lined - Accent 5"/>
    <w:basedOn w:val="734"/>
    <w:uiPriority w:val="99"/>
    <w:qFormat/>
    <w:pPr>
      <w:spacing w:after="0" w:line="240" w:lineRule="auto"/>
    </w:pPr>
    <w:rPr>
      <w:color w:val="404040"/>
    </w:rPr>
    <w:tblPr/>
  </w:style>
  <w:style w:type="table" w:styleId="891" w:customStyle="1">
    <w:name w:val="Lined - Accent 6"/>
    <w:basedOn w:val="734"/>
    <w:uiPriority w:val="99"/>
    <w:qFormat/>
    <w:pPr>
      <w:spacing w:after="0" w:line="240" w:lineRule="auto"/>
    </w:pPr>
    <w:rPr>
      <w:color w:val="404040"/>
    </w:rPr>
    <w:tblPr/>
  </w:style>
  <w:style w:type="table" w:styleId="892" w:customStyle="1">
    <w:name w:val="Bordered &amp; Lined - Accent"/>
    <w:basedOn w:val="734"/>
    <w:uiPriority w:val="99"/>
    <w:qFormat/>
    <w:pPr>
      <w:spacing w:after="0" w:line="240" w:lineRule="auto"/>
    </w:pPr>
    <w:rPr>
      <w:color w:val="404040"/>
    </w:rPr>
    <w:tblPr/>
  </w:style>
  <w:style w:type="table" w:styleId="893" w:customStyle="1">
    <w:name w:val="Bordered &amp; Lined - Accent 1"/>
    <w:basedOn w:val="734"/>
    <w:uiPriority w:val="99"/>
    <w:qFormat/>
    <w:pPr>
      <w:spacing w:after="0" w:line="240" w:lineRule="auto"/>
    </w:pPr>
    <w:rPr>
      <w:color w:val="404040"/>
    </w:rPr>
    <w:tblPr/>
  </w:style>
  <w:style w:type="table" w:styleId="894" w:customStyle="1">
    <w:name w:val="Bordered &amp; Lined - Accent 2"/>
    <w:basedOn w:val="734"/>
    <w:uiPriority w:val="99"/>
    <w:qFormat/>
    <w:pPr>
      <w:spacing w:after="0" w:line="240" w:lineRule="auto"/>
    </w:pPr>
    <w:rPr>
      <w:color w:val="404040"/>
    </w:rPr>
    <w:tblPr/>
  </w:style>
  <w:style w:type="table" w:styleId="895" w:customStyle="1">
    <w:name w:val="Bordered &amp; Lined - Accent 3"/>
    <w:basedOn w:val="734"/>
    <w:uiPriority w:val="99"/>
    <w:qFormat/>
    <w:pPr>
      <w:spacing w:after="0" w:line="240" w:lineRule="auto"/>
    </w:pPr>
    <w:rPr>
      <w:color w:val="404040"/>
    </w:rPr>
    <w:tblPr/>
  </w:style>
  <w:style w:type="table" w:styleId="896" w:customStyle="1">
    <w:name w:val="Bordered &amp; Lined - Accent 4"/>
    <w:basedOn w:val="734"/>
    <w:uiPriority w:val="99"/>
    <w:qFormat/>
    <w:pPr>
      <w:spacing w:after="0" w:line="240" w:lineRule="auto"/>
    </w:pPr>
    <w:rPr>
      <w:color w:val="404040"/>
    </w:rPr>
    <w:tblPr/>
  </w:style>
  <w:style w:type="table" w:styleId="897" w:customStyle="1">
    <w:name w:val="Bordered &amp; Lined - Accent 5"/>
    <w:basedOn w:val="734"/>
    <w:uiPriority w:val="99"/>
    <w:qFormat/>
    <w:pPr>
      <w:spacing w:after="0" w:line="240" w:lineRule="auto"/>
    </w:pPr>
    <w:rPr>
      <w:color w:val="404040"/>
    </w:rPr>
    <w:tblPr/>
  </w:style>
  <w:style w:type="table" w:styleId="898" w:customStyle="1">
    <w:name w:val="Bordered &amp; Lined - Accent 6"/>
    <w:basedOn w:val="734"/>
    <w:uiPriority w:val="99"/>
    <w:qFormat/>
    <w:pPr>
      <w:spacing w:after="0" w:line="240" w:lineRule="auto"/>
    </w:pPr>
    <w:rPr>
      <w:color w:val="404040"/>
    </w:rPr>
    <w:tblPr/>
  </w:style>
  <w:style w:type="table" w:styleId="899" w:customStyle="1">
    <w:name w:val="Bordered"/>
    <w:basedOn w:val="734"/>
    <w:uiPriority w:val="99"/>
    <w:qFormat/>
    <w:pPr>
      <w:spacing w:after="0" w:line="240" w:lineRule="auto"/>
    </w:pPr>
    <w:tblPr/>
  </w:style>
  <w:style w:type="table" w:styleId="900" w:customStyle="1">
    <w:name w:val="Bordered - Accent 1"/>
    <w:basedOn w:val="734"/>
    <w:uiPriority w:val="99"/>
    <w:qFormat/>
    <w:pPr>
      <w:spacing w:after="0" w:line="240" w:lineRule="auto"/>
    </w:pPr>
    <w:tblPr/>
  </w:style>
  <w:style w:type="table" w:styleId="901" w:customStyle="1">
    <w:name w:val="Bordered - Accent 2"/>
    <w:basedOn w:val="734"/>
    <w:uiPriority w:val="99"/>
    <w:qFormat/>
    <w:pPr>
      <w:spacing w:after="0" w:line="240" w:lineRule="auto"/>
    </w:pPr>
    <w:tblPr/>
  </w:style>
  <w:style w:type="table" w:styleId="902" w:customStyle="1">
    <w:name w:val="Bordered - Accent 3"/>
    <w:basedOn w:val="734"/>
    <w:uiPriority w:val="99"/>
    <w:qFormat/>
    <w:pPr>
      <w:spacing w:after="0" w:line="240" w:lineRule="auto"/>
    </w:pPr>
    <w:tblPr/>
  </w:style>
  <w:style w:type="table" w:styleId="903" w:customStyle="1">
    <w:name w:val="Bordered - Accent 4"/>
    <w:basedOn w:val="734"/>
    <w:uiPriority w:val="99"/>
    <w:qFormat/>
    <w:pPr>
      <w:spacing w:after="0" w:line="240" w:lineRule="auto"/>
    </w:pPr>
    <w:tblPr/>
  </w:style>
  <w:style w:type="table" w:styleId="904" w:customStyle="1">
    <w:name w:val="Bordered - Accent 5"/>
    <w:basedOn w:val="734"/>
    <w:uiPriority w:val="99"/>
    <w:qFormat/>
    <w:pPr>
      <w:spacing w:after="0" w:line="240" w:lineRule="auto"/>
    </w:pPr>
    <w:tblPr/>
  </w:style>
  <w:style w:type="table" w:styleId="905" w:customStyle="1">
    <w:name w:val="Bordered - Accent 6"/>
    <w:basedOn w:val="734"/>
    <w:uiPriority w:val="99"/>
    <w:qFormat/>
    <w:pPr>
      <w:spacing w:after="0" w:line="240" w:lineRule="auto"/>
    </w:pPr>
    <w:tblPr/>
  </w:style>
  <w:style w:type="character" w:styleId="906" w:customStyle="1">
    <w:name w:val="标题 1 Char"/>
    <w:link w:val="907"/>
    <w:uiPriority w:val="0"/>
    <w:qFormat/>
    <w:rPr>
      <w:rFonts w:ascii="楷体_GB2312" w:hAnsi="Times New Roman" w:eastAsia="楷体_GB2312" w:cs="Times New Roman"/>
      <w:sz w:val="28"/>
      <w:szCs w:val="28"/>
    </w:rPr>
  </w:style>
  <w:style w:type="paragraph" w:styleId="907" w:customStyle="1">
    <w:name w:val="标题 11"/>
    <w:basedOn w:val="694"/>
    <w:next w:val="694"/>
    <w:link w:val="906"/>
    <w:uiPriority w:val="0"/>
    <w:qFormat/>
    <w:pPr>
      <w:jc w:val="center"/>
      <w:keepNext/>
      <w:outlineLvl w:val="0"/>
    </w:pPr>
    <w:rPr>
      <w:rFonts w:ascii="楷体_GB2312" w:hAnsi="Times New Roman" w:eastAsia="楷体_GB2312" w:cs="Times New Roman"/>
      <w:sz w:val="28"/>
      <w:szCs w:val="28"/>
    </w:rPr>
  </w:style>
  <w:style w:type="character" w:styleId="908" w:customStyle="1">
    <w:name w:val="标题 2 Char"/>
    <w:link w:val="909"/>
    <w:uiPriority w:val="0"/>
    <w:qFormat/>
    <w:rPr>
      <w:rFonts w:ascii="Arial" w:hAnsi="Arial" w:eastAsia="幼圆" w:cs="Arial"/>
      <w:b/>
      <w:bCs/>
      <w:sz w:val="44"/>
      <w:szCs w:val="44"/>
    </w:rPr>
  </w:style>
  <w:style w:type="paragraph" w:styleId="909" w:customStyle="1">
    <w:name w:val="标题 21"/>
    <w:basedOn w:val="694"/>
    <w:next w:val="910"/>
    <w:link w:val="90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0" w:customStyle="1">
    <w:name w:val="正文缩进11"/>
    <w:basedOn w:val="694"/>
    <w:link w:val="911"/>
    <w:uiPriority w:val="0"/>
    <w:qFormat/>
    <w:pPr>
      <w:ind w:firstLine="420"/>
    </w:pPr>
    <w:rPr>
      <w:szCs w:val="21"/>
    </w:rPr>
  </w:style>
  <w:style w:type="character" w:styleId="911" w:customStyle="1">
    <w:name w:val="正文缩进 Char"/>
    <w:link w:val="910"/>
    <w:uiPriority w:val="0"/>
    <w:qFormat/>
    <w:rPr>
      <w:szCs w:val="21"/>
    </w:rPr>
  </w:style>
  <w:style w:type="character" w:styleId="912" w:customStyle="1">
    <w:name w:val="标题 3 Char"/>
    <w:link w:val="913"/>
    <w:uiPriority w:val="0"/>
    <w:qFormat/>
    <w:rPr>
      <w:rFonts w:ascii="Times New Roman" w:hAnsi="Times New Roman" w:eastAsia="宋体" w:cs="Times New Roman"/>
      <w:b/>
      <w:bCs/>
      <w:sz w:val="32"/>
      <w:szCs w:val="32"/>
    </w:rPr>
  </w:style>
  <w:style w:type="paragraph" w:styleId="913" w:customStyle="1">
    <w:name w:val="标题 31"/>
    <w:basedOn w:val="694"/>
    <w:next w:val="910"/>
    <w:link w:val="912"/>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914" w:customStyle="1">
    <w:name w:val="标题 4 Char"/>
    <w:link w:val="915"/>
    <w:uiPriority w:val="0"/>
    <w:qFormat/>
    <w:rPr>
      <w:rFonts w:ascii="Arial" w:hAnsi="Arial" w:eastAsia="黑体" w:cs="Arial"/>
      <w:b/>
      <w:bCs/>
      <w:sz w:val="28"/>
      <w:szCs w:val="28"/>
    </w:rPr>
  </w:style>
  <w:style w:type="paragraph" w:styleId="915" w:customStyle="1">
    <w:name w:val="标题 41"/>
    <w:basedOn w:val="694"/>
    <w:next w:val="910"/>
    <w:link w:val="914"/>
    <w:uiPriority w:val="0"/>
    <w:qFormat/>
    <w:pPr>
      <w:keepLines/>
      <w:keepNext/>
      <w:spacing w:before="280" w:after="290" w:line="376" w:lineRule="auto"/>
      <w:outlineLvl w:val="3"/>
    </w:pPr>
    <w:rPr>
      <w:rFonts w:ascii="Arial" w:hAnsi="Arial" w:eastAsia="黑体" w:cs="Arial"/>
      <w:b/>
      <w:bCs/>
      <w:sz w:val="28"/>
      <w:szCs w:val="28"/>
    </w:rPr>
  </w:style>
  <w:style w:type="character" w:styleId="916" w:customStyle="1">
    <w:name w:val="标题 5 Char"/>
    <w:link w:val="917"/>
    <w:uiPriority w:val="0"/>
    <w:qFormat/>
    <w:rPr>
      <w:rFonts w:ascii="宋体" w:hAnsi="Times New Roman" w:eastAsia="宋体" w:cs="Times New Roman"/>
      <w:color w:val="000000"/>
      <w:sz w:val="28"/>
      <w:szCs w:val="28"/>
    </w:rPr>
  </w:style>
  <w:style w:type="paragraph" w:styleId="917" w:customStyle="1">
    <w:name w:val="标题 51"/>
    <w:basedOn w:val="694"/>
    <w:next w:val="910"/>
    <w:link w:val="916"/>
    <w:uiPriority w:val="0"/>
    <w:qFormat/>
    <w:pPr>
      <w:keepNext/>
      <w:outlineLvl w:val="4"/>
    </w:pPr>
    <w:rPr>
      <w:rFonts w:ascii="宋体" w:hAnsi="Times New Roman" w:eastAsia="宋体" w:cs="Times New Roman"/>
      <w:color w:val="000000"/>
      <w:sz w:val="28"/>
      <w:szCs w:val="28"/>
    </w:rPr>
  </w:style>
  <w:style w:type="character" w:styleId="918" w:customStyle="1">
    <w:name w:val="标题 6 Char"/>
    <w:link w:val="919"/>
    <w:uiPriority w:val="0"/>
    <w:qFormat/>
    <w:rPr>
      <w:rFonts w:ascii="Arial" w:hAnsi="Arial" w:eastAsia="黑体" w:cs="Times New Roman"/>
      <w:b/>
      <w:bCs/>
      <w:sz w:val="24"/>
      <w:szCs w:val="24"/>
    </w:rPr>
  </w:style>
  <w:style w:type="paragraph" w:styleId="919" w:customStyle="1">
    <w:name w:val="标题 61"/>
    <w:basedOn w:val="694"/>
    <w:next w:val="694"/>
    <w:link w:val="91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920" w:customStyle="1">
    <w:name w:val="标题 7 Char"/>
    <w:link w:val="921"/>
    <w:uiPriority w:val="0"/>
    <w:qFormat/>
    <w:rPr>
      <w:rFonts w:ascii="Times New Roman" w:hAnsi="Times New Roman" w:eastAsia="宋体" w:cs="Times New Roman"/>
      <w:b/>
      <w:bCs/>
      <w:sz w:val="24"/>
      <w:szCs w:val="24"/>
    </w:rPr>
  </w:style>
  <w:style w:type="paragraph" w:styleId="921" w:customStyle="1">
    <w:name w:val="标题 71"/>
    <w:basedOn w:val="694"/>
    <w:next w:val="694"/>
    <w:link w:val="920"/>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922" w:customStyle="1">
    <w:name w:val="标题 8 Char"/>
    <w:link w:val="923"/>
    <w:uiPriority w:val="0"/>
    <w:qFormat/>
    <w:rPr>
      <w:rFonts w:ascii="Arial" w:hAnsi="Arial" w:eastAsia="黑体" w:cs="Times New Roman"/>
      <w:sz w:val="24"/>
      <w:szCs w:val="24"/>
    </w:rPr>
  </w:style>
  <w:style w:type="paragraph" w:styleId="923" w:customStyle="1">
    <w:name w:val="标题 81"/>
    <w:basedOn w:val="694"/>
    <w:next w:val="694"/>
    <w:link w:val="922"/>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924" w:customStyle="1">
    <w:name w:val="标题 9 Char"/>
    <w:link w:val="925"/>
    <w:uiPriority w:val="0"/>
    <w:qFormat/>
    <w:rPr>
      <w:rFonts w:ascii="Arial" w:hAnsi="Arial" w:eastAsia="黑体" w:cs="Times New Roman"/>
      <w:szCs w:val="21"/>
    </w:rPr>
  </w:style>
  <w:style w:type="paragraph" w:styleId="925" w:customStyle="1">
    <w:name w:val="标题 91"/>
    <w:basedOn w:val="694"/>
    <w:next w:val="694"/>
    <w:link w:val="92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6" w:customStyle="1">
    <w:name w:val="批注主题 Char"/>
    <w:link w:val="927"/>
    <w:uiPriority w:val="0"/>
    <w:semiHidden/>
    <w:qFormat/>
    <w:rPr>
      <w:rFonts w:ascii="Times New Roman" w:hAnsi="Times New Roman" w:eastAsia="宋体" w:cs="Times New Roman"/>
      <w:b/>
      <w:bCs/>
      <w:szCs w:val="21"/>
    </w:rPr>
  </w:style>
  <w:style w:type="paragraph" w:styleId="927" w:customStyle="1">
    <w:name w:val="批注主题1"/>
    <w:basedOn w:val="928"/>
    <w:next w:val="928"/>
    <w:link w:val="926"/>
    <w:uiPriority w:val="0"/>
    <w:semiHidden/>
    <w:qFormat/>
    <w:rPr>
      <w:rFonts w:ascii="Times New Roman" w:hAnsi="Times New Roman" w:eastAsia="宋体" w:cs="Times New Roman"/>
      <w:b/>
      <w:bCs/>
      <w:szCs w:val="21"/>
    </w:rPr>
  </w:style>
  <w:style w:type="paragraph" w:styleId="928" w:customStyle="1">
    <w:name w:val="批注文字1"/>
    <w:basedOn w:val="694"/>
    <w:link w:val="929"/>
    <w:uiPriority w:val="0"/>
    <w:unhideWhenUsed/>
    <w:qFormat/>
    <w:pPr>
      <w:jc w:val="left"/>
    </w:pPr>
  </w:style>
  <w:style w:type="character" w:styleId="929" w:customStyle="1">
    <w:name w:val="批注文字 Char"/>
    <w:link w:val="928"/>
    <w:uiPriority w:val="99"/>
    <w:semiHidden/>
    <w:qFormat/>
  </w:style>
  <w:style w:type="character" w:styleId="930" w:customStyle="1">
    <w:name w:val="正文首行缩进 Char"/>
    <w:link w:val="931"/>
    <w:uiPriority w:val="0"/>
    <w:qFormat/>
    <w:rPr>
      <w:rFonts w:ascii="仿宋_GB2312" w:hAnsi="Times New Roman" w:eastAsia="仿宋_GB2312" w:cs="Times New Roman"/>
      <w:sz w:val="30"/>
      <w:szCs w:val="30"/>
    </w:rPr>
  </w:style>
  <w:style w:type="paragraph" w:styleId="931" w:customStyle="1">
    <w:name w:val="正文首行缩进1"/>
    <w:basedOn w:val="694"/>
    <w:link w:val="930"/>
    <w:uiPriority w:val="0"/>
    <w:qFormat/>
    <w:pPr>
      <w:ind w:firstLine="200"/>
      <w:spacing w:line="360" w:lineRule="auto"/>
    </w:pPr>
    <w:rPr>
      <w:rFonts w:ascii="仿宋_GB2312" w:hAnsi="Times New Roman" w:eastAsia="仿宋_GB2312" w:cs="Times New Roman"/>
      <w:sz w:val="30"/>
      <w:szCs w:val="30"/>
    </w:rPr>
  </w:style>
  <w:style w:type="character" w:styleId="932" w:customStyle="1">
    <w:name w:val="文档结构图 Char"/>
    <w:link w:val="933"/>
    <w:uiPriority w:val="0"/>
    <w:semiHidden/>
    <w:qFormat/>
    <w:rPr>
      <w:rFonts w:ascii="Times New Roman" w:hAnsi="Times New Roman" w:eastAsia="宋体" w:cs="Times New Roman"/>
      <w:szCs w:val="21"/>
      <w:shd w:val="clear" w:color="auto" w:fill="000080"/>
    </w:rPr>
  </w:style>
  <w:style w:type="paragraph" w:styleId="933" w:customStyle="1">
    <w:name w:val="文档结构图1"/>
    <w:basedOn w:val="694"/>
    <w:link w:val="932"/>
    <w:uiPriority w:val="0"/>
    <w:semiHidden/>
    <w:qFormat/>
    <w:pPr>
      <w:shd w:val="clear" w:color="auto" w:fill="000080"/>
    </w:pPr>
    <w:rPr>
      <w:rFonts w:ascii="Times New Roman" w:hAnsi="Times New Roman" w:eastAsia="宋体" w:cs="Times New Roman"/>
      <w:szCs w:val="21"/>
    </w:rPr>
  </w:style>
  <w:style w:type="character" w:styleId="934" w:customStyle="1">
    <w:name w:val="正文文本 3 Char"/>
    <w:link w:val="935"/>
    <w:uiPriority w:val="0"/>
    <w:qFormat/>
    <w:rPr>
      <w:rFonts w:ascii="仿宋_GB2312" w:hAnsi="Arial" w:eastAsia="仿宋_GB2312" w:cs="Times New Roman"/>
      <w:sz w:val="32"/>
      <w:szCs w:val="32"/>
    </w:rPr>
  </w:style>
  <w:style w:type="paragraph" w:styleId="935" w:customStyle="1">
    <w:name w:val="正文文本 31"/>
    <w:basedOn w:val="694"/>
    <w:link w:val="934"/>
    <w:uiPriority w:val="0"/>
    <w:qFormat/>
    <w:rPr>
      <w:rFonts w:ascii="仿宋_GB2312" w:hAnsi="Arial" w:eastAsia="仿宋_GB2312" w:cs="Times New Roman"/>
      <w:sz w:val="32"/>
      <w:szCs w:val="32"/>
    </w:rPr>
  </w:style>
  <w:style w:type="character" w:styleId="936" w:customStyle="1">
    <w:name w:val="正文文本 Char"/>
    <w:link w:val="937"/>
    <w:uiPriority w:val="0"/>
    <w:qFormat/>
    <w:rPr>
      <w:rFonts w:ascii="楷体_GB2312" w:hAnsi="Arial" w:eastAsia="楷体_GB2312" w:cs="Times New Roman"/>
      <w:sz w:val="28"/>
      <w:szCs w:val="28"/>
    </w:rPr>
  </w:style>
  <w:style w:type="paragraph" w:styleId="937" w:customStyle="1">
    <w:name w:val="正文文本1"/>
    <w:basedOn w:val="694"/>
    <w:link w:val="936"/>
    <w:uiPriority w:val="0"/>
    <w:qFormat/>
    <w:rPr>
      <w:rFonts w:ascii="楷体_GB2312" w:hAnsi="Arial" w:eastAsia="楷体_GB2312" w:cs="Times New Roman"/>
      <w:sz w:val="28"/>
      <w:szCs w:val="28"/>
    </w:rPr>
  </w:style>
  <w:style w:type="character" w:styleId="938" w:customStyle="1">
    <w:name w:val="正文文本缩进 Char"/>
    <w:link w:val="939"/>
    <w:uiPriority w:val="99"/>
    <w:semiHidden/>
    <w:qFormat/>
  </w:style>
  <w:style w:type="paragraph" w:styleId="939" w:customStyle="1">
    <w:name w:val="正文文本缩进1"/>
    <w:basedOn w:val="694"/>
    <w:link w:val="938"/>
    <w:uiPriority w:val="0"/>
    <w:unhideWhenUsed/>
    <w:qFormat/>
    <w:pPr>
      <w:ind w:left="420"/>
      <w:spacing w:after="120"/>
    </w:pPr>
  </w:style>
  <w:style w:type="character" w:styleId="940" w:customStyle="1">
    <w:name w:val="纯文本 Char"/>
    <w:link w:val="941"/>
    <w:uiPriority w:val="0"/>
    <w:qFormat/>
    <w:rPr>
      <w:rFonts w:ascii="宋体" w:hAnsi="Courier New" w:eastAsia="宋体" w:cs="Courier New"/>
      <w:szCs w:val="21"/>
    </w:rPr>
  </w:style>
  <w:style w:type="paragraph" w:styleId="941" w:customStyle="1">
    <w:name w:val="纯文本1"/>
    <w:basedOn w:val="694"/>
    <w:link w:val="940"/>
    <w:uiPriority w:val="0"/>
    <w:qFormat/>
    <w:rPr>
      <w:rFonts w:ascii="宋体" w:hAnsi="Courier New" w:eastAsia="宋体" w:cs="Courier New"/>
      <w:szCs w:val="21"/>
    </w:rPr>
  </w:style>
  <w:style w:type="character" w:styleId="942" w:customStyle="1">
    <w:name w:val="日期 Char"/>
    <w:link w:val="943"/>
    <w:uiPriority w:val="0"/>
    <w:qFormat/>
    <w:rPr>
      <w:rFonts w:ascii="Times New Roman" w:hAnsi="Times New Roman" w:eastAsia="宋体" w:cs="Times New Roman"/>
      <w:sz w:val="24"/>
      <w:szCs w:val="24"/>
    </w:rPr>
  </w:style>
  <w:style w:type="paragraph" w:styleId="943" w:customStyle="1">
    <w:name w:val="日期1"/>
    <w:basedOn w:val="694"/>
    <w:next w:val="694"/>
    <w:link w:val="942"/>
    <w:uiPriority w:val="0"/>
    <w:qFormat/>
    <w:rPr>
      <w:rFonts w:ascii="Times New Roman" w:hAnsi="Times New Roman" w:eastAsia="宋体" w:cs="Times New Roman"/>
      <w:sz w:val="24"/>
      <w:szCs w:val="24"/>
    </w:rPr>
  </w:style>
  <w:style w:type="character" w:styleId="944" w:customStyle="1">
    <w:name w:val="正文文本缩进 2 Char"/>
    <w:link w:val="945"/>
    <w:uiPriority w:val="0"/>
    <w:qFormat/>
    <w:rPr>
      <w:rFonts w:ascii="Arial" w:hAnsi="Arial" w:eastAsia="仿宋_GB2312" w:cs="Arial"/>
      <w:sz w:val="32"/>
      <w:szCs w:val="32"/>
    </w:rPr>
  </w:style>
  <w:style w:type="paragraph" w:styleId="945" w:customStyle="1">
    <w:name w:val="正文文本缩进 21"/>
    <w:basedOn w:val="694"/>
    <w:link w:val="944"/>
    <w:uiPriority w:val="0"/>
    <w:qFormat/>
    <w:pPr>
      <w:ind w:left="630" w:firstLine="645"/>
    </w:pPr>
    <w:rPr>
      <w:rFonts w:ascii="Arial" w:hAnsi="Arial" w:eastAsia="仿宋_GB2312" w:cs="Arial"/>
      <w:sz w:val="32"/>
      <w:szCs w:val="32"/>
    </w:rPr>
  </w:style>
  <w:style w:type="character" w:styleId="946" w:customStyle="1">
    <w:name w:val="批注框文本 Char"/>
    <w:link w:val="947"/>
    <w:uiPriority w:val="0"/>
    <w:semiHidden/>
    <w:qFormat/>
    <w:rPr>
      <w:rFonts w:ascii="Times New Roman" w:hAnsi="Times New Roman" w:eastAsia="宋体" w:cs="Times New Roman"/>
      <w:sz w:val="18"/>
      <w:szCs w:val="18"/>
    </w:rPr>
  </w:style>
  <w:style w:type="paragraph" w:styleId="947" w:customStyle="1">
    <w:name w:val="批注框文本1"/>
    <w:basedOn w:val="694"/>
    <w:link w:val="946"/>
    <w:uiPriority w:val="0"/>
    <w:semiHidden/>
    <w:qFormat/>
    <w:rPr>
      <w:rFonts w:ascii="Times New Roman" w:hAnsi="Times New Roman" w:eastAsia="宋体" w:cs="Times New Roman"/>
      <w:sz w:val="18"/>
      <w:szCs w:val="18"/>
    </w:rPr>
  </w:style>
  <w:style w:type="character" w:styleId="948" w:customStyle="1">
    <w:name w:val="页脚 Char"/>
    <w:link w:val="949"/>
    <w:uiPriority w:val="99"/>
    <w:qFormat/>
    <w:rPr>
      <w:rFonts w:ascii="Times New Roman" w:hAnsi="Times New Roman" w:eastAsia="宋体" w:cs="Times New Roman"/>
      <w:sz w:val="18"/>
      <w:szCs w:val="18"/>
    </w:rPr>
  </w:style>
  <w:style w:type="paragraph" w:styleId="949" w:customStyle="1">
    <w:name w:val="页脚1"/>
    <w:basedOn w:val="694"/>
    <w:link w:val="948"/>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50" w:customStyle="1">
    <w:name w:val="正文首行缩进 2 Char"/>
    <w:link w:val="951"/>
    <w:uiPriority w:val="0"/>
    <w:qFormat/>
    <w:rPr>
      <w:rFonts w:ascii="宋体" w:hAnsi="宋体" w:eastAsia="宋体" w:cs="Times New Roman"/>
      <w:szCs w:val="20"/>
    </w:rPr>
  </w:style>
  <w:style w:type="paragraph" w:styleId="951" w:customStyle="1">
    <w:name w:val="正文首行缩进 21"/>
    <w:basedOn w:val="939"/>
    <w:link w:val="950"/>
    <w:uiPriority w:val="0"/>
    <w:qFormat/>
    <w:pPr>
      <w:ind w:left="0" w:firstLine="420"/>
      <w:spacing w:after="0" w:line="360" w:lineRule="auto"/>
    </w:pPr>
    <w:rPr>
      <w:rFonts w:ascii="宋体" w:hAnsi="宋体" w:eastAsia="宋体" w:cs="Times New Roman"/>
      <w:szCs w:val="20"/>
    </w:rPr>
  </w:style>
  <w:style w:type="character" w:styleId="952" w:customStyle="1">
    <w:name w:val="页眉 Char"/>
    <w:link w:val="953"/>
    <w:uiPriority w:val="0"/>
    <w:qFormat/>
    <w:rPr>
      <w:rFonts w:ascii="Times New Roman" w:hAnsi="Times New Roman" w:eastAsia="宋体" w:cs="Times New Roman"/>
      <w:sz w:val="18"/>
      <w:szCs w:val="18"/>
    </w:rPr>
  </w:style>
  <w:style w:type="paragraph" w:styleId="953" w:customStyle="1">
    <w:name w:val="页眉1"/>
    <w:basedOn w:val="694"/>
    <w:link w:val="952"/>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4" w:customStyle="1">
    <w:name w:val="正文文本缩进 3 Char"/>
    <w:link w:val="955"/>
    <w:uiPriority w:val="0"/>
    <w:qFormat/>
    <w:rPr>
      <w:rFonts w:ascii="Arial" w:hAnsi="Arial" w:eastAsia="仿宋_GB2312" w:cs="Arial"/>
      <w:color w:val="ffff00"/>
      <w:sz w:val="32"/>
      <w:szCs w:val="32"/>
    </w:rPr>
  </w:style>
  <w:style w:type="paragraph" w:styleId="955" w:customStyle="1">
    <w:name w:val="正文文本缩进 31"/>
    <w:basedOn w:val="694"/>
    <w:link w:val="954"/>
    <w:uiPriority w:val="0"/>
    <w:qFormat/>
    <w:pPr>
      <w:ind w:left="645" w:firstLine="645"/>
    </w:pPr>
    <w:rPr>
      <w:rFonts w:ascii="Arial" w:hAnsi="Arial" w:eastAsia="仿宋_GB2312" w:cs="Arial"/>
      <w:color w:val="ffff00"/>
      <w:sz w:val="32"/>
      <w:szCs w:val="32"/>
    </w:rPr>
  </w:style>
  <w:style w:type="character" w:styleId="956" w:customStyle="1">
    <w:name w:val="正文文本 2 Char"/>
    <w:link w:val="957"/>
    <w:uiPriority w:val="0"/>
    <w:qFormat/>
    <w:rPr>
      <w:rFonts w:ascii="楷体_GB2312" w:hAnsi="Times New Roman" w:eastAsia="楷体_GB2312" w:cs="Times New Roman"/>
      <w:sz w:val="28"/>
      <w:szCs w:val="28"/>
    </w:rPr>
  </w:style>
  <w:style w:type="paragraph" w:styleId="957" w:customStyle="1">
    <w:name w:val="正文文本 21"/>
    <w:basedOn w:val="694"/>
    <w:link w:val="956"/>
    <w:uiPriority w:val="0"/>
    <w:qFormat/>
    <w:pPr>
      <w:jc w:val="center"/>
      <w:widowControl/>
    </w:pPr>
    <w:rPr>
      <w:rFonts w:ascii="楷体_GB2312" w:hAnsi="Times New Roman" w:eastAsia="楷体_GB2312" w:cs="Times New Roman"/>
      <w:sz w:val="28"/>
      <w:szCs w:val="28"/>
    </w:rPr>
  </w:style>
  <w:style w:type="paragraph" w:styleId="958">
    <w:name w:val="List Paragraph"/>
    <w:basedOn w:val="694"/>
    <w:uiPriority w:val="34"/>
    <w:qFormat/>
    <w:pPr>
      <w:contextualSpacing/>
      <w:ind w:left="720"/>
    </w:pPr>
  </w:style>
  <w:style w:type="paragraph" w:styleId="959">
    <w:name w:val="No Spacing"/>
    <w:uiPriority w:val="1"/>
    <w:qFormat/>
    <w:pPr>
      <w:spacing w:before="0" w:after="0" w:line="240" w:lineRule="auto"/>
    </w:pPr>
    <w:rPr>
      <w:rFonts w:hint="default" w:ascii="Times New Roman" w:hAnsi="Times New Roman" w:eastAsia="宋体" w:cs="Times New Roman"/>
      <w:lang w:eastAsia="zh-CN"/>
    </w:rPr>
  </w:style>
  <w:style w:type="paragraph" w:styleId="960">
    <w:name w:val="Quote"/>
    <w:basedOn w:val="694"/>
    <w:next w:val="694"/>
    <w:link w:val="961"/>
    <w:uiPriority w:val="29"/>
    <w:qFormat/>
    <w:pPr>
      <w:ind w:left="720" w:right="720"/>
    </w:pPr>
    <w:rPr>
      <w:i/>
    </w:rPr>
  </w:style>
  <w:style w:type="character" w:styleId="961" w:customStyle="1">
    <w:name w:val="Quote Char Char"/>
    <w:link w:val="960"/>
    <w:uiPriority w:val="29"/>
    <w:qFormat/>
    <w:rPr>
      <w:i/>
    </w:rPr>
  </w:style>
  <w:style w:type="paragraph" w:styleId="962">
    <w:name w:val="Intense Quote"/>
    <w:basedOn w:val="694"/>
    <w:next w:val="694"/>
    <w:link w:val="9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3" w:customStyle="1">
    <w:name w:val="Intense Quote Char Char"/>
    <w:link w:val="962"/>
    <w:uiPriority w:val="30"/>
    <w:qFormat/>
    <w:rPr>
      <w:i/>
    </w:rPr>
  </w:style>
  <w:style w:type="paragraph" w:styleId="964" w:customStyle="1">
    <w:name w:val="TOC Heading"/>
    <w:uiPriority w:val="39"/>
    <w:unhideWhenUsed/>
    <w:qFormat/>
    <w:rPr>
      <w:rFonts w:hint="default" w:ascii="Times New Roman" w:hAnsi="Times New Roman" w:eastAsia="宋体" w:cs="Times New Roman"/>
      <w:lang w:eastAsia="zh-CN"/>
    </w:rPr>
  </w:style>
  <w:style w:type="paragraph" w:styleId="965" w:customStyle="1">
    <w:name w:val="列表 31"/>
    <w:basedOn w:val="694"/>
    <w:uiPriority w:val="0"/>
    <w:qFormat/>
    <w:pPr>
      <w:ind w:left="100" w:hanging="200"/>
    </w:pPr>
    <w:rPr>
      <w:rFonts w:ascii="Times New Roman" w:hAnsi="Times New Roman" w:eastAsia="宋体" w:cs="Times New Roman"/>
      <w:szCs w:val="21"/>
    </w:rPr>
  </w:style>
  <w:style w:type="paragraph" w:styleId="966" w:customStyle="1">
    <w:name w:val="目录 71"/>
    <w:basedOn w:val="694"/>
    <w:next w:val="694"/>
    <w:uiPriority w:val="0"/>
    <w:semiHidden/>
    <w:qFormat/>
    <w:pPr>
      <w:ind w:left="1260"/>
      <w:jc w:val="left"/>
    </w:pPr>
    <w:rPr>
      <w:rFonts w:ascii="Times New Roman" w:hAnsi="Times New Roman" w:eastAsia="宋体" w:cs="Times New Roman"/>
      <w:szCs w:val="21"/>
    </w:rPr>
  </w:style>
  <w:style w:type="paragraph" w:styleId="967" w:customStyle="1">
    <w:name w:val="列表 21"/>
    <w:basedOn w:val="694"/>
    <w:uiPriority w:val="0"/>
    <w:qFormat/>
    <w:pPr>
      <w:ind w:left="100" w:hanging="200"/>
    </w:pPr>
    <w:rPr>
      <w:rFonts w:ascii="Times New Roman" w:hAnsi="Times New Roman" w:eastAsia="宋体" w:cs="Times New Roman"/>
      <w:szCs w:val="21"/>
    </w:rPr>
  </w:style>
  <w:style w:type="paragraph" w:styleId="968" w:customStyle="1">
    <w:name w:val="文本块1"/>
    <w:basedOn w:val="694"/>
    <w:uiPriority w:val="99"/>
    <w:qFormat/>
    <w:pPr>
      <w:ind w:left="1440" w:right="1440"/>
      <w:spacing w:after="120"/>
    </w:pPr>
    <w:rPr>
      <w:szCs w:val="24"/>
    </w:rPr>
  </w:style>
  <w:style w:type="paragraph" w:styleId="969" w:customStyle="1">
    <w:name w:val="目录 51"/>
    <w:basedOn w:val="694"/>
    <w:next w:val="694"/>
    <w:uiPriority w:val="0"/>
    <w:semiHidden/>
    <w:qFormat/>
    <w:pPr>
      <w:ind w:left="840"/>
      <w:jc w:val="left"/>
    </w:pPr>
    <w:rPr>
      <w:rFonts w:ascii="Times New Roman" w:hAnsi="Times New Roman" w:eastAsia="宋体" w:cs="Times New Roman"/>
      <w:szCs w:val="21"/>
    </w:rPr>
  </w:style>
  <w:style w:type="paragraph" w:styleId="970" w:customStyle="1">
    <w:name w:val="目录 31"/>
    <w:basedOn w:val="694"/>
    <w:next w:val="694"/>
    <w:uiPriority w:val="0"/>
    <w:semiHidden/>
    <w:qFormat/>
    <w:pPr>
      <w:ind w:left="420"/>
      <w:jc w:val="left"/>
    </w:pPr>
    <w:rPr>
      <w:rFonts w:ascii="Times New Roman" w:hAnsi="Times New Roman" w:eastAsia="宋体" w:cs="Times New Roman"/>
      <w:i/>
      <w:iCs/>
      <w:szCs w:val="24"/>
    </w:rPr>
  </w:style>
  <w:style w:type="paragraph" w:styleId="971" w:customStyle="1">
    <w:name w:val="目录 81"/>
    <w:basedOn w:val="694"/>
    <w:next w:val="694"/>
    <w:uiPriority w:val="0"/>
    <w:semiHidden/>
    <w:qFormat/>
    <w:pPr>
      <w:ind w:left="1470"/>
      <w:jc w:val="left"/>
    </w:pPr>
    <w:rPr>
      <w:rFonts w:ascii="Times New Roman" w:hAnsi="Times New Roman" w:eastAsia="宋体" w:cs="Times New Roman"/>
      <w:szCs w:val="21"/>
    </w:rPr>
  </w:style>
  <w:style w:type="paragraph" w:styleId="972" w:customStyle="1">
    <w:name w:val="目录 11"/>
    <w:basedOn w:val="694"/>
    <w:next w:val="69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73" w:customStyle="1">
    <w:name w:val="目录 41"/>
    <w:basedOn w:val="694"/>
    <w:next w:val="694"/>
    <w:uiPriority w:val="0"/>
    <w:semiHidden/>
    <w:qFormat/>
    <w:pPr>
      <w:ind w:left="630"/>
      <w:jc w:val="left"/>
    </w:pPr>
    <w:rPr>
      <w:rFonts w:ascii="Times New Roman" w:hAnsi="Times New Roman" w:eastAsia="宋体" w:cs="Times New Roman"/>
      <w:szCs w:val="21"/>
    </w:rPr>
  </w:style>
  <w:style w:type="paragraph" w:styleId="974" w:customStyle="1">
    <w:name w:val="列表1"/>
    <w:basedOn w:val="694"/>
    <w:uiPriority w:val="0"/>
    <w:qFormat/>
    <w:pPr>
      <w:ind w:left="200" w:hanging="200"/>
    </w:pPr>
    <w:rPr>
      <w:rFonts w:ascii="Times New Roman" w:hAnsi="Times New Roman" w:eastAsia="宋体" w:cs="Times New Roman"/>
      <w:szCs w:val="21"/>
    </w:rPr>
  </w:style>
  <w:style w:type="paragraph" w:styleId="975" w:customStyle="1">
    <w:name w:val="目录 61"/>
    <w:basedOn w:val="694"/>
    <w:next w:val="694"/>
    <w:uiPriority w:val="0"/>
    <w:semiHidden/>
    <w:qFormat/>
    <w:pPr>
      <w:ind w:left="1050"/>
      <w:jc w:val="left"/>
    </w:pPr>
    <w:rPr>
      <w:rFonts w:ascii="Times New Roman" w:hAnsi="Times New Roman" w:eastAsia="宋体" w:cs="Times New Roman"/>
      <w:szCs w:val="21"/>
    </w:rPr>
  </w:style>
  <w:style w:type="paragraph" w:styleId="976" w:customStyle="1">
    <w:name w:val="图表目录1"/>
    <w:basedOn w:val="694"/>
    <w:next w:val="694"/>
    <w:uiPriority w:val="0"/>
    <w:semiHidden/>
    <w:qFormat/>
    <w:pPr>
      <w:ind w:left="840" w:hanging="420"/>
    </w:pPr>
    <w:rPr>
      <w:rFonts w:ascii="Times New Roman" w:hAnsi="Times New Roman" w:eastAsia="宋体" w:cs="Times New Roman"/>
      <w:szCs w:val="21"/>
    </w:rPr>
  </w:style>
  <w:style w:type="paragraph" w:styleId="977" w:customStyle="1">
    <w:name w:val="目录 21"/>
    <w:basedOn w:val="694"/>
    <w:next w:val="694"/>
    <w:uiPriority w:val="0"/>
    <w:semiHidden/>
    <w:qFormat/>
    <w:pPr>
      <w:ind w:left="210"/>
      <w:jc w:val="left"/>
    </w:pPr>
    <w:rPr>
      <w:rFonts w:ascii="Times New Roman" w:hAnsi="Times New Roman" w:eastAsia="宋体" w:cs="Times New Roman"/>
      <w:smallCaps/>
      <w:szCs w:val="24"/>
    </w:rPr>
  </w:style>
  <w:style w:type="paragraph" w:styleId="978" w:customStyle="1">
    <w:name w:val="目录 91"/>
    <w:basedOn w:val="694"/>
    <w:next w:val="694"/>
    <w:uiPriority w:val="0"/>
    <w:semiHidden/>
    <w:qFormat/>
    <w:pPr>
      <w:ind w:left="1680"/>
      <w:jc w:val="left"/>
    </w:pPr>
    <w:rPr>
      <w:rFonts w:ascii="Times New Roman" w:hAnsi="Times New Roman" w:eastAsia="宋体" w:cs="Times New Roman"/>
      <w:szCs w:val="21"/>
    </w:rPr>
  </w:style>
  <w:style w:type="paragraph" w:styleId="979" w:customStyle="1">
    <w:name w:val="普通(网站)1"/>
    <w:basedOn w:val="694"/>
    <w:uiPriority w:val="99"/>
    <w:qFormat/>
    <w:pPr>
      <w:jc w:val="left"/>
      <w:spacing w:before="100" w:beforeAutospacing="1" w:after="100" w:afterAutospacing="1"/>
      <w:widowControl/>
    </w:pPr>
    <w:rPr>
      <w:rFonts w:ascii="宋体" w:hAnsi="宋体" w:eastAsia="宋体" w:cs="宋体"/>
      <w:sz w:val="24"/>
      <w:szCs w:val="24"/>
    </w:rPr>
  </w:style>
  <w:style w:type="paragraph" w:styleId="980" w:customStyle="1">
    <w:name w:val="索引 11"/>
    <w:basedOn w:val="694"/>
    <w:next w:val="694"/>
    <w:uiPriority w:val="0"/>
    <w:semiHidden/>
    <w:qFormat/>
    <w:pPr>
      <w:spacing w:line="240" w:lineRule="atLeast"/>
    </w:pPr>
    <w:rPr>
      <w:rFonts w:ascii="Times New Roman" w:hAnsi="Times New Roman" w:eastAsia="宋体" w:cs="Times New Roman"/>
      <w:b/>
      <w:bCs/>
      <w:szCs w:val="21"/>
    </w:rPr>
  </w:style>
  <w:style w:type="paragraph" w:styleId="981" w:customStyle="1">
    <w:name w:val="二级目录"/>
    <w:next w:val="694"/>
    <w:link w:val="982"/>
    <w:uiPriority w:val="0"/>
    <w:qFormat/>
    <w:pPr>
      <w:numPr>
        <w:ilvl w:val="0"/>
        <w:numId w:val="2"/>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982" w:customStyle="1">
    <w:name w:val="二级目录 Char Char"/>
    <w:link w:val="981"/>
    <w:uiPriority w:val="0"/>
    <w:qFormat/>
    <w:rPr>
      <w:b/>
      <w:sz w:val="30"/>
      <w:szCs w:val="28"/>
    </w:rPr>
  </w:style>
  <w:style w:type="paragraph" w:styleId="983" w:customStyle="1">
    <w:name w:val="列出段落1"/>
    <w:basedOn w:val="694"/>
    <w:link w:val="984"/>
    <w:uiPriority w:val="0"/>
    <w:qFormat/>
    <w:pPr>
      <w:contextualSpacing/>
      <w:ind w:left="720"/>
      <w:jc w:val="left"/>
      <w:widowControl/>
    </w:pPr>
    <w:rPr>
      <w:rFonts w:ascii="Calibri" w:hAnsi="Calibri"/>
      <w:sz w:val="24"/>
      <w:szCs w:val="24"/>
      <w:lang w:eastAsia="en-US" w:bidi="en-US"/>
    </w:rPr>
  </w:style>
  <w:style w:type="character" w:styleId="984" w:customStyle="1">
    <w:name w:val="列出段落 Char Char"/>
    <w:link w:val="983"/>
    <w:uiPriority w:val="0"/>
    <w:qFormat/>
    <w:rPr>
      <w:rFonts w:ascii="Calibri" w:hAnsi="Calibri"/>
      <w:sz w:val="24"/>
      <w:szCs w:val="24"/>
      <w:lang w:eastAsia="en-US" w:bidi="en-US"/>
    </w:rPr>
  </w:style>
  <w:style w:type="paragraph" w:styleId="985" w:customStyle="1">
    <w:name w:val="Body Text(ch)"/>
    <w:basedOn w:val="694"/>
    <w:next w:val="937"/>
    <w:uiPriority w:val="0"/>
    <w:qFormat/>
    <w:pPr>
      <w:spacing w:after="120"/>
    </w:pPr>
    <w:rPr>
      <w:rFonts w:ascii="宋体" w:hAnsi="Arial" w:eastAsia="宋体" w:cs="Times New Roman"/>
      <w:bCs/>
      <w:iCs/>
      <w:szCs w:val="24"/>
    </w:rPr>
  </w:style>
  <w:style w:type="paragraph" w:styleId="986" w:customStyle="1">
    <w:name w:val="xl27"/>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7" w:customStyle="1">
    <w:name w:val="xl26"/>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8" w:customStyle="1">
    <w:name w:val="Char"/>
    <w:basedOn w:val="694"/>
    <w:uiPriority w:val="0"/>
    <w:qFormat/>
    <w:pPr>
      <w:ind w:firstLine="200"/>
      <w:tabs>
        <w:tab w:val="left" w:pos="360" w:leader="none"/>
      </w:tabs>
    </w:pPr>
    <w:rPr>
      <w:rFonts w:ascii="Times New Roman" w:hAnsi="Times New Roman" w:eastAsia="宋体" w:cs="Times New Roman"/>
      <w:sz w:val="28"/>
      <w:szCs w:val="30"/>
    </w:rPr>
  </w:style>
  <w:style w:type="paragraph" w:styleId="989" w:customStyle="1">
    <w:name w:val=" Char"/>
    <w:basedOn w:val="933"/>
    <w:uiPriority w:val="0"/>
    <w:qFormat/>
    <w:rPr>
      <w:rFonts w:ascii="Tahoma" w:hAnsi="Tahoma"/>
      <w:sz w:val="24"/>
      <w:szCs w:val="24"/>
    </w:rPr>
  </w:style>
  <w:style w:type="paragraph" w:styleId="990" w:customStyle="1">
    <w:name w:val="普通正文"/>
    <w:basedOn w:val="694"/>
    <w:uiPriority w:val="0"/>
    <w:qFormat/>
    <w:pPr>
      <w:ind w:firstLine="480"/>
      <w:jc w:val="left"/>
      <w:spacing w:before="120" w:after="120" w:line="360" w:lineRule="auto"/>
    </w:pPr>
    <w:rPr>
      <w:rFonts w:ascii="Arial" w:hAnsi="Arial" w:eastAsia="宋体" w:cs="Times New Roman"/>
      <w:sz w:val="24"/>
      <w:szCs w:val="24"/>
    </w:rPr>
  </w:style>
  <w:style w:type="paragraph" w:styleId="991" w:customStyle="1">
    <w:name w:val="table_lines"/>
    <w:basedOn w:val="694"/>
    <w:uiPriority w:val="0"/>
    <w:qFormat/>
    <w:pPr>
      <w:jc w:val="left"/>
      <w:widowControl/>
    </w:pPr>
    <w:rPr>
      <w:rFonts w:ascii="Times New Roman" w:hAnsi="Times New Roman" w:eastAsia="宋体" w:cs="Times New Roman"/>
      <w:sz w:val="20"/>
      <w:szCs w:val="20"/>
    </w:rPr>
  </w:style>
  <w:style w:type="paragraph" w:styleId="992" w:customStyle="1">
    <w:name w:val="附录1"/>
    <w:uiPriority w:val="0"/>
    <w:qFormat/>
    <w:pPr>
      <w:numPr>
        <w:ilvl w:val="0"/>
        <w:numId w:val="2"/>
      </w:numPr>
      <w:ind w:left="907" w:hanging="907"/>
      <w:spacing w:before="240" w:line="600" w:lineRule="atLeast"/>
    </w:pPr>
    <w:rPr>
      <w:rFonts w:hint="default" w:ascii="Times New Roman" w:hAnsi="Times New Roman" w:eastAsia="宋体" w:cs="Times New Roman"/>
      <w:b/>
      <w:i/>
      <w:sz w:val="28"/>
      <w:lang w:eastAsia="zh-CN"/>
    </w:rPr>
  </w:style>
  <w:style w:type="paragraph" w:styleId="993" w:customStyle="1">
    <w:name w:val="font7"/>
    <w:basedOn w:val="69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4" w:customStyle="1">
    <w:name w:val=" Char Char Char Char"/>
    <w:basedOn w:val="933"/>
    <w:uiPriority w:val="0"/>
    <w:qFormat/>
    <w:pPr>
      <w:spacing w:line="360" w:lineRule="auto"/>
    </w:pPr>
    <w:rPr>
      <w:rFonts w:ascii="Tahoma" w:hAnsi="Tahoma"/>
      <w:sz w:val="24"/>
      <w:szCs w:val="24"/>
    </w:rPr>
  </w:style>
  <w:style w:type="paragraph" w:styleId="995" w:customStyle="1">
    <w:name w:val="列出段落"/>
    <w:basedOn w:val="694"/>
    <w:uiPriority w:val="0"/>
    <w:qFormat/>
    <w:pPr>
      <w:contextualSpacing/>
      <w:ind w:left="720"/>
      <w:jc w:val="left"/>
      <w:widowControl/>
    </w:pPr>
    <w:rPr>
      <w:rFonts w:ascii="Calibri" w:hAnsi="Calibri" w:eastAsia="宋体" w:cs="Times New Roman"/>
      <w:sz w:val="24"/>
      <w:szCs w:val="24"/>
      <w:lang w:eastAsia="en-US" w:bidi="en-US"/>
    </w:rPr>
  </w:style>
  <w:style w:type="paragraph" w:styleId="996" w:customStyle="1">
    <w:name w:val="4"/>
    <w:basedOn w:val="694"/>
    <w:next w:val="955"/>
    <w:uiPriority w:val="0"/>
    <w:qFormat/>
    <w:pPr>
      <w:ind w:firstLine="420"/>
      <w:spacing w:line="360" w:lineRule="auto"/>
    </w:pPr>
    <w:rPr>
      <w:rFonts w:ascii="Times New Roman" w:hAnsi="Times New Roman" w:eastAsia="宋体" w:cs="Times New Roman"/>
      <w:color w:val="ff0000"/>
      <w:sz w:val="24"/>
      <w:szCs w:val="24"/>
    </w:rPr>
  </w:style>
  <w:style w:type="paragraph" w:styleId="997" w:customStyle="1">
    <w:name w:val="普通 (Web)"/>
    <w:basedOn w:val="694"/>
    <w:uiPriority w:val="0"/>
    <w:qFormat/>
    <w:pPr>
      <w:jc w:val="left"/>
      <w:spacing w:before="100" w:beforeAutospacing="1" w:after="100" w:afterAutospacing="1"/>
      <w:widowControl/>
    </w:pPr>
    <w:rPr>
      <w:rFonts w:ascii="宋体" w:hAnsi="宋体" w:eastAsia="宋体" w:cs="Times New Roman"/>
      <w:sz w:val="24"/>
      <w:szCs w:val="24"/>
    </w:rPr>
  </w:style>
  <w:style w:type="paragraph" w:styleId="998" w:customStyle="1">
    <w:name w:val=" Char Char Char Char Char Char Char Char Char Char"/>
    <w:basedOn w:val="694"/>
    <w:uiPriority w:val="0"/>
    <w:qFormat/>
    <w:pPr>
      <w:spacing w:line="360" w:lineRule="auto"/>
    </w:pPr>
    <w:rPr>
      <w:rFonts w:ascii="Times New Roman" w:hAnsi="Times New Roman" w:eastAsia="宋体" w:cs="Times New Roman"/>
      <w:sz w:val="24"/>
      <w:szCs w:val="20"/>
    </w:rPr>
  </w:style>
  <w:style w:type="paragraph" w:styleId="999" w:customStyle="1">
    <w:name w:val="样式1"/>
    <w:basedOn w:val="694"/>
    <w:uiPriority w:val="0"/>
    <w:qFormat/>
    <w:pPr>
      <w:numPr>
        <w:ilvl w:val="0"/>
        <w:numId w:val="3"/>
      </w:numPr>
    </w:pPr>
    <w:rPr>
      <w:rFonts w:ascii="宋体" w:hAnsi="宋体" w:eastAsia="宋体" w:cs="Times New Roman"/>
      <w:szCs w:val="21"/>
    </w:rPr>
  </w:style>
  <w:style w:type="paragraph" w:styleId="1000" w:customStyle="1">
    <w:name w:val="font6"/>
    <w:basedOn w:val="69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1" w:customStyle="1">
    <w:name w:val="xl25"/>
    <w:basedOn w:val="6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2" w:customStyle="1">
    <w:name w:val="图标"/>
    <w:basedOn w:val="694"/>
    <w:next w:val="69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3" w:customStyle="1">
    <w:name w:val="标题3"/>
    <w:basedOn w:val="694"/>
    <w:next w:val="694"/>
    <w:uiPriority w:val="0"/>
    <w:qFormat/>
    <w:pPr>
      <w:ind w:firstLine="624"/>
      <w:spacing w:line="590" w:lineRule="atLeast"/>
    </w:pPr>
    <w:rPr>
      <w:rFonts w:ascii="方正黑体_GBK" w:hAnsi="Times New Roman" w:eastAsia="方正黑体_GBK" w:cs="Times New Roman"/>
      <w:sz w:val="32"/>
      <w:szCs w:val="32"/>
    </w:rPr>
  </w:style>
  <w:style w:type="paragraph" w:styleId="1004" w:customStyle="1">
    <w:name w:val="xl24"/>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5" w:customStyle="1">
    <w:name w:val="xl29"/>
    <w:basedOn w:val="69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6" w:customStyle="1">
    <w:name w:val="Char Char Char Char Char Char Char Char"/>
    <w:basedOn w:val="694"/>
    <w:uiPriority w:val="0"/>
    <w:qFormat/>
    <w:pPr>
      <w:jc w:val="left"/>
      <w:spacing w:after="160" w:line="240" w:lineRule="exact"/>
      <w:widowControl/>
    </w:pPr>
    <w:rPr>
      <w:rFonts w:ascii="Verdana" w:hAnsi="Verdana" w:eastAsia="宋体" w:cs="Times New Roman"/>
      <w:sz w:val="20"/>
      <w:szCs w:val="20"/>
      <w:lang w:eastAsia="en-US"/>
    </w:rPr>
  </w:style>
  <w:style w:type="paragraph" w:styleId="1007" w:customStyle="1">
    <w:name w:val="xl28"/>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8" w:customStyle="1">
    <w:name w:val=" Char Char Char Char Char Char Char Char"/>
    <w:basedOn w:val="694"/>
    <w:uiPriority w:val="0"/>
    <w:qFormat/>
    <w:pPr>
      <w:jc w:val="left"/>
      <w:spacing w:after="160" w:line="240" w:lineRule="exact"/>
      <w:widowControl/>
    </w:pPr>
    <w:rPr>
      <w:rFonts w:ascii="Verdana" w:hAnsi="Verdana" w:eastAsia="宋体" w:cs="Times New Roman"/>
      <w:sz w:val="20"/>
      <w:szCs w:val="20"/>
      <w:lang w:eastAsia="en-US"/>
    </w:rPr>
  </w:style>
  <w:style w:type="paragraph" w:styleId="1009" w:customStyle="1">
    <w:name w:val="xl30"/>
    <w:basedOn w:val="69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0" w:customStyle="1">
    <w:name w:val="Char Char Char Char"/>
    <w:basedOn w:val="933"/>
    <w:uiPriority w:val="0"/>
    <w:qFormat/>
    <w:pPr>
      <w:spacing w:line="360" w:lineRule="auto"/>
    </w:pPr>
    <w:rPr>
      <w:rFonts w:ascii="Tahoma" w:hAnsi="Tahoma"/>
      <w:sz w:val="24"/>
      <w:szCs w:val="24"/>
    </w:rPr>
  </w:style>
  <w:style w:type="paragraph" w:styleId="1011" w:customStyle="1">
    <w:name w:val="table_1stline"/>
    <w:basedOn w:val="694"/>
    <w:uiPriority w:val="0"/>
    <w:qFormat/>
    <w:pPr>
      <w:jc w:val="left"/>
      <w:spacing w:before="120"/>
      <w:widowControl/>
    </w:pPr>
    <w:rPr>
      <w:rFonts w:ascii="Times New Roman" w:hAnsi="Times New Roman" w:eastAsia="宋体" w:cs="Times New Roman"/>
      <w:bCs/>
      <w:sz w:val="20"/>
      <w:szCs w:val="20"/>
    </w:rPr>
  </w:style>
  <w:style w:type="paragraph" w:styleId="1012" w:customStyle="1">
    <w:name w:val="font5"/>
    <w:basedOn w:val="69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3" w:customStyle="1">
    <w:name w:val="标题1"/>
    <w:basedOn w:val="694"/>
    <w:next w:val="69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4" w:customStyle="1">
    <w:name w:val="修订"/>
    <w:uiPriority w:val="99"/>
    <w:semiHidden/>
    <w:qFormat/>
    <w:rPr>
      <w:rFonts w:hint="default" w:ascii="Times New Roman" w:hAnsi="Times New Roman" w:eastAsia="宋体" w:cs="Times New Roman"/>
      <w:sz w:val="21"/>
      <w:szCs w:val="21"/>
      <w:lang w:eastAsia="zh-CN"/>
    </w:rPr>
  </w:style>
  <w:style w:type="paragraph" w:styleId="1015"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1016" w:customStyle="1">
    <w:name w:val="AONormal"/>
    <w:uiPriority w:val="0"/>
    <w:qFormat/>
    <w:pPr>
      <w:ind w:firstLine="440"/>
      <w:spacing w:line="400" w:lineRule="exact"/>
    </w:pPr>
    <w:rPr>
      <w:rFonts w:hint="default" w:ascii="华文楷体" w:hAnsi="华文楷体" w:eastAsia="华文楷体" w:cs="华文楷体"/>
      <w:sz w:val="22"/>
      <w:szCs w:val="21"/>
      <w:lang w:eastAsia="zh-CN"/>
    </w:rPr>
  </w:style>
  <w:style w:type="paragraph" w:styleId="1017" w:customStyle="1">
    <w:name w:val="正文缩进1"/>
    <w:basedOn w:val="694"/>
    <w:next w:val="694"/>
    <w:uiPriority w:val="99"/>
    <w:qFormat/>
    <w:pPr>
      <w:ind w:firstLine="420"/>
    </w:pPr>
    <w:rPr>
      <w:rFonts w:ascii="Times New Roman" w:hAnsi="Times New Roman"/>
      <w:sz w:val="20"/>
      <w:szCs w:val="21"/>
      <w:lang w:eastAsia="en-US"/>
    </w:rPr>
  </w:style>
  <w:style w:type="paragraph" w:styleId="1018" w:customStyle="1">
    <w:name w:val="Table Paragraph"/>
    <w:basedOn w:val="694"/>
    <w:uiPriority w:val="0"/>
    <w:qFormat/>
    <w:pPr>
      <w:jc w:val="left"/>
    </w:pPr>
    <w:rPr>
      <w:rFonts w:ascii="宋体" w:hAnsi="宋体" w:cs="宋体"/>
      <w:sz w:val="22"/>
      <w:lang w:val="zh-CN" w:bidi="zh-CN"/>
    </w:rPr>
  </w:style>
  <w:style w:type="character" w:styleId="1019" w:customStyle="1">
    <w:name w:val="默认段落字体1"/>
    <w:link w:val="694"/>
    <w:uiPriority w:val="1"/>
    <w:unhideWhenUsed/>
    <w:qFormat/>
  </w:style>
  <w:style w:type="character" w:styleId="1020" w:customStyle="1">
    <w:name w:val="要点1"/>
    <w:basedOn w:val="1019"/>
    <w:link w:val="694"/>
    <w:uiPriority w:val="0"/>
    <w:qFormat/>
    <w:rPr>
      <w:b/>
      <w:bCs/>
    </w:rPr>
  </w:style>
  <w:style w:type="character" w:styleId="1021" w:customStyle="1">
    <w:name w:val="页码1"/>
    <w:link w:val="694"/>
    <w:uiPriority w:val="0"/>
    <w:qFormat/>
  </w:style>
  <w:style w:type="character" w:styleId="1022" w:customStyle="1">
    <w:name w:val="已访问的超链接1"/>
    <w:link w:val="694"/>
    <w:uiPriority w:val="0"/>
    <w:qFormat/>
    <w:rPr>
      <w:color w:val="800080"/>
      <w:u w:val="single"/>
    </w:rPr>
  </w:style>
  <w:style w:type="character" w:styleId="1023" w:customStyle="1">
    <w:name w:val="强调1"/>
    <w:basedOn w:val="1019"/>
    <w:link w:val="694"/>
    <w:uiPriority w:val="0"/>
    <w:qFormat/>
    <w:rPr>
      <w:i/>
    </w:rPr>
  </w:style>
  <w:style w:type="character" w:styleId="1024" w:customStyle="1">
    <w:name w:val="超链接1"/>
    <w:link w:val="694"/>
    <w:uiPriority w:val="0"/>
    <w:qFormat/>
    <w:rPr>
      <w:color w:val="0000ff"/>
      <w:u w:val="single"/>
    </w:rPr>
  </w:style>
  <w:style w:type="character" w:styleId="1025" w:customStyle="1">
    <w:name w:val="批注引用1"/>
    <w:link w:val="694"/>
    <w:uiPriority w:val="0"/>
    <w:semiHidden/>
    <w:qFormat/>
    <w:rPr>
      <w:sz w:val="21"/>
      <w:szCs w:val="21"/>
    </w:rPr>
  </w:style>
  <w:style w:type="character" w:styleId="1026" w:customStyle="1">
    <w:name w:val="font5 Char Char"/>
    <w:link w:val="694"/>
    <w:uiPriority w:val="0"/>
    <w:qFormat/>
    <w:rPr>
      <w:rFonts w:ascii="宋体" w:hAnsi="宋体" w:eastAsia="宋体"/>
      <w:sz w:val="28"/>
      <w:szCs w:val="28"/>
      <w:lang w:val="en-US" w:eastAsia="zh-CN" w:bidi="ar-SA"/>
    </w:rPr>
  </w:style>
  <w:style w:type="paragraph" w:styleId="1027" w:customStyle="1">
    <w:name w:val="正文_0"/>
    <w:uiPriority w:val="0"/>
    <w:qFormat/>
    <w:pPr>
      <w:jc w:val="both"/>
      <w:widowControl w:val="off"/>
    </w:pPr>
    <w:rPr>
      <w:rFonts w:hint="default" w:ascii="Times New Roman" w:hAnsi="Times New Roman" w:eastAsia="宋体" w:cs="Times New Roman"/>
      <w:sz w:val="21"/>
      <w:szCs w:val="24"/>
      <w:lang w:eastAsia="zh-CN"/>
    </w:rPr>
  </w:style>
  <w:style w:type="paragraph" w:styleId="1028" w:customStyle="1">
    <w:name w:val="Normal1"/>
    <w:next w:val="697"/>
    <w:uiPriority w:val="0"/>
    <w:qFormat/>
    <w:pPr>
      <w:jc w:val="both"/>
      <w:widowControl w:val="off"/>
    </w:pPr>
    <w:rPr>
      <w:rFonts w:ascii="Calibri" w:hAnsi="Calibri" w:eastAsia="宋体" w:cs="Times New Roman"/>
      <w:sz w:val="21"/>
      <w:szCs w:val="22"/>
      <w:lang w:val="en-US" w:eastAsia="zh-CN" w:bidi="ar-SA"/>
    </w:rPr>
  </w:style>
  <w:style w:type="paragraph" w:styleId="1029" w:customStyle="1">
    <w:name w:val="Body Text1"/>
    <w:uiPriority w:val="99"/>
    <w:unhideWhenUsed/>
    <w:qFormat/>
    <w:pPr>
      <w:jc w:val="both"/>
      <w:spacing w:after="120"/>
      <w:widowControl w:val="off"/>
    </w:pPr>
    <w:rPr>
      <w:rFonts w:ascii="Times New Roman" w:hAnsi="Times New Roman" w:eastAsia="宋体" w:cs="Times New Roman"/>
      <w:szCs w:val="21"/>
      <w:lang w:val="en-US" w:eastAsia="zh-CN" w:bidi="ar-SA"/>
    </w:rPr>
  </w:style>
  <w:style w:type="numbering" w:styleId="178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 Id="rId18" Type="http://schemas.openxmlformats.org/officeDocument/2006/relationships/image" Target="media/image6.jpg"/><Relationship Id="rId19" Type="http://schemas.openxmlformats.org/officeDocument/2006/relationships/image" Target="media/image7.jpg"/><Relationship Id="rId20" Type="http://schemas.openxmlformats.org/officeDocument/2006/relationships/image" Target="media/image8.jpg"/><Relationship Id="rId21" Type="http://schemas.openxmlformats.org/officeDocument/2006/relationships/image" Target="media/image9.jpg"/><Relationship Id="rId22" Type="http://schemas.openxmlformats.org/officeDocument/2006/relationships/image" Target="media/image10.jp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jpg"/><Relationship Id="rId26" Type="http://schemas.openxmlformats.org/officeDocument/2006/relationships/image" Target="media/image14.jpg"/><Relationship Id="rId27" Type="http://schemas.openxmlformats.org/officeDocument/2006/relationships/image" Target="media/image15.jpg"/><Relationship Id="rId28" Type="http://schemas.openxmlformats.org/officeDocument/2006/relationships/image" Target="media/image16.jpg"/><Relationship Id="rId29" Type="http://schemas.openxmlformats.org/officeDocument/2006/relationships/image" Target="media/image17.jpg"/><Relationship Id="rId30" Type="http://schemas.openxmlformats.org/officeDocument/2006/relationships/image" Target="media/image18.png"/><Relationship Id="rId31" Type="http://schemas.openxmlformats.org/officeDocument/2006/relationships/image" Target="media/image19.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赵</dc:creator>
  <cp:lastModifiedBy>李许静</cp:lastModifiedBy>
  <cp:revision>9</cp:revision>
  <dcterms:created xsi:type="dcterms:W3CDTF">2023-03-16T02:13:00Z</dcterms:created>
  <dcterms:modified xsi:type="dcterms:W3CDTF">2026-06-30T07:29:27Z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5A9D9F0E701243D7B90E78DA95E21D72_13</vt:lpwstr>
  </property>
  <property fmtid="{D5CDD505-2E9C-101B-9397-08002B2CF9AE}" pid="4" name="KSOTemplateDocerSaveRecord">
    <vt:lpwstr>eyJoZGlkIjoiODZkYzAxNDBhNTFlOTk0OWZiN2Q0NjcxOGRlZjM3NDAiLCJ1c2VySWQiOiI5NDA4NzQzOTQifQ==</vt:lpwstr>
  </property>
</Properties>
</file>