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EED86">
      <w:pPr>
        <w:spacing w:line="360" w:lineRule="auto"/>
        <w:ind w:firstLine="422" w:firstLineChars="200"/>
        <w:outlineLvl w:val="1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1、设备要求</w:t>
      </w:r>
    </w:p>
    <w:p w14:paraId="44B40AA9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根据本项目实施内容要求，投标单位须配置以下设备：</w:t>
      </w:r>
    </w:p>
    <w:tbl>
      <w:tblPr>
        <w:tblStyle w:val="7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016"/>
        <w:gridCol w:w="1893"/>
        <w:gridCol w:w="800"/>
        <w:gridCol w:w="2400"/>
        <w:gridCol w:w="2353"/>
      </w:tblGrid>
      <w:tr w14:paraId="35D4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44" w:type="dxa"/>
            <w:vAlign w:val="center"/>
          </w:tcPr>
          <w:p w14:paraId="2F9BEDE0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909" w:type="dxa"/>
            <w:gridSpan w:val="2"/>
            <w:vAlign w:val="center"/>
          </w:tcPr>
          <w:p w14:paraId="7F1D79BF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设备名称</w:t>
            </w:r>
          </w:p>
        </w:tc>
        <w:tc>
          <w:tcPr>
            <w:tcW w:w="800" w:type="dxa"/>
            <w:vAlign w:val="center"/>
          </w:tcPr>
          <w:p w14:paraId="51C28C8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数量要求</w:t>
            </w:r>
          </w:p>
        </w:tc>
        <w:tc>
          <w:tcPr>
            <w:tcW w:w="2400" w:type="dxa"/>
            <w:vAlign w:val="center"/>
          </w:tcPr>
          <w:p w14:paraId="0D980B20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配置要求</w:t>
            </w:r>
          </w:p>
        </w:tc>
        <w:tc>
          <w:tcPr>
            <w:tcW w:w="2353" w:type="dxa"/>
            <w:vAlign w:val="center"/>
          </w:tcPr>
          <w:p w14:paraId="42D2F445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主要作用</w:t>
            </w:r>
          </w:p>
        </w:tc>
      </w:tr>
      <w:tr w14:paraId="6D09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544" w:type="dxa"/>
            <w:vAlign w:val="center"/>
          </w:tcPr>
          <w:p w14:paraId="564CFEA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016" w:type="dxa"/>
            <w:vMerge w:val="restart"/>
            <w:vAlign w:val="center"/>
          </w:tcPr>
          <w:p w14:paraId="62ACBFC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地下病害体探测设备</w:t>
            </w:r>
          </w:p>
        </w:tc>
        <w:tc>
          <w:tcPr>
            <w:tcW w:w="1893" w:type="dxa"/>
            <w:vAlign w:val="center"/>
          </w:tcPr>
          <w:p w14:paraId="6D466DBE"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三维地质雷达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车</w:t>
            </w:r>
          </w:p>
        </w:tc>
        <w:tc>
          <w:tcPr>
            <w:tcW w:w="800" w:type="dxa"/>
            <w:vAlign w:val="center"/>
          </w:tcPr>
          <w:p w14:paraId="17CEBF7B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2400" w:type="dxa"/>
            <w:vAlign w:val="center"/>
          </w:tcPr>
          <w:p w14:paraId="0D3A99C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主频宜为80MHz～500MHz 的屏蔽天线。</w:t>
            </w:r>
          </w:p>
        </w:tc>
        <w:tc>
          <w:tcPr>
            <w:tcW w:w="2353" w:type="dxa"/>
            <w:vAlign w:val="center"/>
          </w:tcPr>
          <w:p w14:paraId="17AB37C5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道路塌陷隐患探测普查。</w:t>
            </w:r>
          </w:p>
        </w:tc>
      </w:tr>
      <w:tr w14:paraId="5D3E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44" w:type="dxa"/>
            <w:vAlign w:val="center"/>
          </w:tcPr>
          <w:p w14:paraId="2C6861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016" w:type="dxa"/>
            <w:vMerge w:val="continue"/>
            <w:vAlign w:val="center"/>
          </w:tcPr>
          <w:p w14:paraId="65C6B5B1"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2A358B35"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便携式二维地质雷达</w:t>
            </w:r>
          </w:p>
        </w:tc>
        <w:tc>
          <w:tcPr>
            <w:tcW w:w="800" w:type="dxa"/>
            <w:vAlign w:val="center"/>
          </w:tcPr>
          <w:p w14:paraId="01F366B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</w:t>
            </w:r>
          </w:p>
        </w:tc>
        <w:tc>
          <w:tcPr>
            <w:tcW w:w="2400" w:type="dxa"/>
            <w:vAlign w:val="center"/>
          </w:tcPr>
          <w:p w14:paraId="42A37C74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主频宜为80MHz～500MHz 的屏蔽天线。</w:t>
            </w:r>
          </w:p>
        </w:tc>
        <w:tc>
          <w:tcPr>
            <w:tcW w:w="2353" w:type="dxa"/>
            <w:vAlign w:val="center"/>
          </w:tcPr>
          <w:p w14:paraId="41D999D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道路塌陷隐患探测祥查。</w:t>
            </w:r>
          </w:p>
          <w:p w14:paraId="7D5415D0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其中1台便携式二维地质雷达设备用于项目服务期内的应急突发探测。</w:t>
            </w:r>
          </w:p>
        </w:tc>
      </w:tr>
      <w:tr w14:paraId="31D70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44" w:type="dxa"/>
            <w:vMerge w:val="restart"/>
            <w:vAlign w:val="center"/>
          </w:tcPr>
          <w:p w14:paraId="6D0B0AFF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016" w:type="dxa"/>
            <w:vMerge w:val="restart"/>
            <w:vAlign w:val="center"/>
          </w:tcPr>
          <w:p w14:paraId="68771BBE"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定期检测设备</w:t>
            </w:r>
          </w:p>
        </w:tc>
        <w:tc>
          <w:tcPr>
            <w:tcW w:w="1893" w:type="dxa"/>
            <w:vAlign w:val="center"/>
          </w:tcPr>
          <w:p w14:paraId="60C0EBFC"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检测车</w:t>
            </w:r>
          </w:p>
        </w:tc>
        <w:tc>
          <w:tcPr>
            <w:tcW w:w="800" w:type="dxa"/>
            <w:vAlign w:val="center"/>
          </w:tcPr>
          <w:p w14:paraId="3D225651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2400" w:type="dxa"/>
            <w:vAlign w:val="center"/>
          </w:tcPr>
          <w:p w14:paraId="4563C82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具有路面破损、平整度、抗滑等</w:t>
            </w:r>
            <w:r>
              <w:rPr>
                <w:rFonts w:hint="eastAsia" w:ascii="宋体" w:hAnsi="宋体" w:eastAsia="宋体" w:cs="宋体"/>
                <w:highlight w:val="yellow"/>
                <w:lang w:val="en-US" w:eastAsia="zh-CN"/>
              </w:rPr>
              <w:t>多功能路况</w:t>
            </w:r>
            <w:r>
              <w:rPr>
                <w:rFonts w:hint="eastAsia" w:ascii="宋体" w:hAnsi="宋体" w:eastAsia="宋体" w:cs="宋体"/>
              </w:rPr>
              <w:t>检测能力</w:t>
            </w:r>
          </w:p>
        </w:tc>
        <w:tc>
          <w:tcPr>
            <w:tcW w:w="2353" w:type="dxa"/>
            <w:vAlign w:val="center"/>
          </w:tcPr>
          <w:p w14:paraId="1E71E953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常规检测</w:t>
            </w:r>
          </w:p>
        </w:tc>
      </w:tr>
      <w:tr w14:paraId="2A7A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44" w:type="dxa"/>
            <w:vMerge w:val="continue"/>
            <w:vAlign w:val="center"/>
          </w:tcPr>
          <w:p w14:paraId="4C3213FE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41467D9F"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93" w:type="dxa"/>
            <w:vAlign w:val="center"/>
          </w:tcPr>
          <w:p w14:paraId="50AEFA52"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弯沉仪</w:t>
            </w:r>
          </w:p>
        </w:tc>
        <w:tc>
          <w:tcPr>
            <w:tcW w:w="800" w:type="dxa"/>
            <w:vAlign w:val="center"/>
          </w:tcPr>
          <w:p w14:paraId="3A44733D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2400" w:type="dxa"/>
            <w:vAlign w:val="center"/>
          </w:tcPr>
          <w:p w14:paraId="1C2664C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yellow"/>
                <w:lang w:val="en-US" w:eastAsia="zh-CN"/>
              </w:rPr>
              <w:t>落锤式或弯沉式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需配备搭载上述设备的车辆，并提供在有效期内的检定或校准证书。</w:t>
            </w:r>
          </w:p>
        </w:tc>
        <w:tc>
          <w:tcPr>
            <w:tcW w:w="2353" w:type="dxa"/>
            <w:vAlign w:val="center"/>
          </w:tcPr>
          <w:p w14:paraId="183C2DBB">
            <w:pPr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结构强度检测</w:t>
            </w:r>
          </w:p>
        </w:tc>
      </w:tr>
      <w:tr w14:paraId="4411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44" w:type="dxa"/>
            <w:vAlign w:val="center"/>
          </w:tcPr>
          <w:p w14:paraId="3A94C16F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016" w:type="dxa"/>
            <w:vAlign w:val="center"/>
          </w:tcPr>
          <w:p w14:paraId="62EBC7D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安全作业保障车辆</w:t>
            </w:r>
          </w:p>
        </w:tc>
        <w:tc>
          <w:tcPr>
            <w:tcW w:w="1893" w:type="dxa"/>
            <w:vAlign w:val="center"/>
          </w:tcPr>
          <w:p w14:paraId="4F9115A9"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防撞缓冲车</w:t>
            </w:r>
          </w:p>
        </w:tc>
        <w:tc>
          <w:tcPr>
            <w:tcW w:w="800" w:type="dxa"/>
            <w:vAlign w:val="center"/>
          </w:tcPr>
          <w:p w14:paraId="5422DD5D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2400" w:type="dxa"/>
            <w:vAlign w:val="center"/>
          </w:tcPr>
          <w:p w14:paraId="01F32ACE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可吸收重量2 吨、最大时速70公里的车辆追撞能量。</w:t>
            </w:r>
          </w:p>
        </w:tc>
        <w:tc>
          <w:tcPr>
            <w:tcW w:w="2353" w:type="dxa"/>
            <w:vAlign w:val="center"/>
          </w:tcPr>
          <w:p w14:paraId="3A57464B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保障现场作业安全。</w:t>
            </w:r>
          </w:p>
        </w:tc>
      </w:tr>
    </w:tbl>
    <w:p w14:paraId="0A7AE8B4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备注：</w:t>
      </w:r>
    </w:p>
    <w:p w14:paraId="0AACE593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投标单位在投标时须最少有</w:t>
      </w:r>
      <w:r>
        <w:rPr>
          <w:rFonts w:hint="eastAsia" w:ascii="宋体" w:hAnsi="宋体" w:eastAsia="宋体" w:cs="宋体"/>
          <w:bCs/>
          <w:szCs w:val="21"/>
          <w:highlight w:val="yellow"/>
        </w:rPr>
        <w:t>1台三维地质雷达车、1辆检测车</w:t>
      </w:r>
      <w:r>
        <w:rPr>
          <w:rFonts w:hint="eastAsia" w:ascii="宋体" w:hAnsi="宋体" w:eastAsia="宋体" w:cs="宋体"/>
          <w:bCs/>
          <w:szCs w:val="21"/>
        </w:rPr>
        <w:t>为购买或租赁。拟投入车辆、设备（包括数量及规格参数等）须满足招标文件的要求，低于招标文件要求的视为未实质性响应招标文件要求，为无效标。</w:t>
      </w:r>
    </w:p>
    <w:p w14:paraId="0480E32D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</w:t>
      </w:r>
    </w:p>
    <w:p w14:paraId="1718E122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1）设备为自有的，须在表后附上车辆行驶证、车辆登记证、交强险保单扫描件（或电</w:t>
      </w:r>
      <w:bookmarkStart w:id="0" w:name="_GoBack"/>
      <w:bookmarkEnd w:id="0"/>
      <w:r>
        <w:rPr>
          <w:rFonts w:hint="eastAsia" w:ascii="宋体" w:hAnsi="宋体" w:eastAsia="宋体" w:cs="宋体"/>
          <w:bCs/>
          <w:szCs w:val="21"/>
        </w:rPr>
        <w:t>子保单扫描件）（行驶证、车辆登记证上载明的所有人必须为供应商或其分公司，且车辆需在检验有效期内）；</w:t>
      </w:r>
    </w:p>
    <w:p w14:paraId="4339AD0A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）设备为租赁的，须在表后附上供应商的租赁协议（租赁期限需覆盖本项目整个服务期）、车辆行驶证、车辆登记证、交强险保单正本扫描件（或电子保单扫描件）（行驶证、车辆登记证上载明的所有人必须为出租方单位，且车辆需在检验有效期内）。</w:t>
      </w:r>
    </w:p>
    <w:p w14:paraId="0EF10684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3）若有以下情形的，视为车辆（设备）无效，不计入有效数量：租赁车辆（设备）的期限无法覆盖本项目整个服务期；发现不同供应商拟投入的车辆（设备）为同一车辆（设备）。</w:t>
      </w:r>
    </w:p>
    <w:p w14:paraId="4847F6FD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4</w:t>
      </w:r>
      <w:r>
        <w:rPr>
          <w:rFonts w:hint="eastAsia" w:ascii="宋体" w:hAnsi="宋体" w:eastAsia="宋体" w:cs="宋体"/>
          <w:bCs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szCs w:val="21"/>
        </w:rPr>
        <w:t>拟投入上述车辆（包括数量及规格参数等）须满足招标文件的要求，低于招标文件实质性要求的视为未实质性响应招标文件要求，为无效标。</w:t>
      </w:r>
    </w:p>
    <w:p w14:paraId="4FF99178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1"/>
          <w:szCs w:val="21"/>
        </w:rPr>
        <w:t>）上述设备要求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bCs/>
          <w:sz w:val="21"/>
          <w:szCs w:val="21"/>
        </w:rPr>
        <w:t>承诺均为投标文件实质性响应内容。根据项目实际需要，设备均需进场核验，且在服务期内未经采购人书面同意不得随意调换上述设备。</w:t>
      </w:r>
    </w:p>
    <w:p w14:paraId="7F348697">
      <w:pPr>
        <w:spacing w:line="360" w:lineRule="auto"/>
        <w:ind w:firstLine="422" w:firstLineChars="200"/>
        <w:outlineLvl w:val="1"/>
        <w:rPr>
          <w:rFonts w:hint="eastAsia" w:ascii="宋体" w:hAnsi="宋体" w:eastAsia="宋体" w:cs="宋体"/>
          <w:b/>
          <w:bCs w:val="0"/>
          <w:szCs w:val="21"/>
        </w:rPr>
      </w:pPr>
    </w:p>
    <w:p w14:paraId="355804FA">
      <w:pPr>
        <w:spacing w:line="360" w:lineRule="auto"/>
        <w:ind w:firstLine="422" w:firstLineChars="200"/>
        <w:outlineLvl w:val="1"/>
        <w:rPr>
          <w:rFonts w:hint="eastAsia" w:ascii="宋体" w:hAnsi="宋体" w:eastAsia="宋体" w:cs="宋体"/>
          <w:b/>
          <w:bCs w:val="0"/>
          <w:szCs w:val="21"/>
        </w:rPr>
      </w:pPr>
    </w:p>
    <w:p w14:paraId="60F0984C">
      <w:pPr>
        <w:spacing w:line="360" w:lineRule="auto"/>
        <w:ind w:firstLine="422" w:firstLineChars="200"/>
        <w:outlineLvl w:val="1"/>
        <w:rPr>
          <w:rFonts w:hint="eastAsia" w:ascii="宋体" w:hAnsi="宋体" w:eastAsia="宋体" w:cs="宋体"/>
          <w:b/>
          <w:bCs w:val="0"/>
          <w:szCs w:val="21"/>
        </w:rPr>
      </w:pPr>
    </w:p>
    <w:p w14:paraId="7B85D115">
      <w:pPr>
        <w:spacing w:line="360" w:lineRule="auto"/>
        <w:ind w:firstLine="422" w:firstLineChars="200"/>
        <w:outlineLvl w:val="1"/>
        <w:rPr>
          <w:rFonts w:hint="eastAsia" w:ascii="宋体" w:hAnsi="宋体" w:eastAsia="宋体" w:cs="宋体"/>
          <w:b/>
          <w:bCs w:val="0"/>
          <w:szCs w:val="21"/>
        </w:rPr>
      </w:pPr>
      <w:r>
        <w:rPr>
          <w:rFonts w:hint="eastAsia" w:ascii="宋体" w:hAnsi="宋体" w:eastAsia="宋体" w:cs="宋体"/>
          <w:b/>
          <w:bCs w:val="0"/>
          <w:szCs w:val="21"/>
        </w:rPr>
        <w:t>2、项目人员要求</w:t>
      </w:r>
    </w:p>
    <w:tbl>
      <w:tblPr>
        <w:tblStyle w:val="6"/>
        <w:tblW w:w="8278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854"/>
        <w:gridCol w:w="1040"/>
        <w:gridCol w:w="1186"/>
        <w:gridCol w:w="4678"/>
      </w:tblGrid>
      <w:tr w14:paraId="15ED6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92829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894" w:type="dxa"/>
            <w:gridSpan w:val="2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C5B8C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项目人员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664F5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467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7F612F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人员要求</w:t>
            </w:r>
          </w:p>
        </w:tc>
      </w:tr>
      <w:tr w14:paraId="280F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26483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82BACF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项目组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8FCD0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</w:t>
            </w:r>
          </w:p>
          <w:p w14:paraId="73EA1B7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负责人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3D3AF5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4678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8D454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具有本科及以上学历</w:t>
            </w:r>
          </w:p>
          <w:p w14:paraId="297BE3F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（2）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至少1人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具有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高级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职称</w:t>
            </w:r>
          </w:p>
          <w:p w14:paraId="09DE151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）至少1人具有注册土木工程师（道路或岩土）资格证书</w:t>
            </w:r>
          </w:p>
        </w:tc>
      </w:tr>
      <w:tr w14:paraId="7E37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3BE63C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vAlign w:val="center"/>
          </w:tcPr>
          <w:p w14:paraId="7F785007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BE2CA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技术</w:t>
            </w:r>
          </w:p>
          <w:p w14:paraId="61F6766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负责人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0102E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4678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39CF87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4F02F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8EAA6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vAlign w:val="center"/>
          </w:tcPr>
          <w:p w14:paraId="2BC2BE58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1CE334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安全员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268023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467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5BAC4A">
            <w:pPr>
              <w:jc w:val="both"/>
              <w:rPr>
                <w:rFonts w:hint="eastAsia" w:ascii="宋体" w:hAnsi="宋体" w:eastAsia="宋体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（1）具有</w:t>
            </w:r>
            <w:r>
              <w:rPr>
                <w:rFonts w:hint="eastAsia" w:ascii="宋体" w:hAnsi="宋体" w:eastAsia="宋体" w:cs="宋体"/>
                <w:color w:val="000000"/>
              </w:rPr>
              <w:t>安全生产相关考核合格证书</w:t>
            </w:r>
          </w:p>
        </w:tc>
      </w:tr>
      <w:tr w14:paraId="212F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89EBDC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F85D903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作业组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523BB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外业</w:t>
            </w:r>
          </w:p>
          <w:p w14:paraId="7A7DD3E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人员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9528B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4678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550E854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至少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1人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具有工程测量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或地质勘察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或工程检测专业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工程师（中级及以上）</w:t>
            </w:r>
          </w:p>
          <w:p w14:paraId="79CFA715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至少2人具有公路水运工程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试验检测师（道路工程）资格</w:t>
            </w:r>
          </w:p>
        </w:tc>
      </w:tr>
      <w:tr w14:paraId="04FF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52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4A44C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vAlign w:val="center"/>
          </w:tcPr>
          <w:p w14:paraId="0BD1069C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2C99334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内业</w:t>
            </w:r>
          </w:p>
          <w:p w14:paraId="534099D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人员</w:t>
            </w:r>
          </w:p>
        </w:tc>
        <w:tc>
          <w:tcPr>
            <w:tcW w:w="118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A38C5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678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15F0C53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</w:tr>
    </w:tbl>
    <w:p w14:paraId="36DCC58F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备</w:t>
      </w:r>
      <w:r>
        <w:rPr>
          <w:rFonts w:hint="eastAsia" w:ascii="宋体" w:hAnsi="宋体" w:eastAsia="宋体" w:cs="宋体"/>
          <w:bCs/>
          <w:szCs w:val="21"/>
        </w:rPr>
        <w:t>注：</w:t>
      </w:r>
    </w:p>
    <w:p w14:paraId="633B088C">
      <w:pPr>
        <w:numPr>
          <w:ilvl w:val="0"/>
          <w:numId w:val="0"/>
        </w:num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  <w:highlight w:val="none"/>
        </w:rPr>
      </w:pP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Cs/>
          <w:szCs w:val="21"/>
          <w:highlight w:val="none"/>
        </w:rPr>
        <w:t>投标文件中须提供</w:t>
      </w: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项目负责人、技术负责人学历及项目组人员最</w:t>
      </w:r>
      <w:r>
        <w:rPr>
          <w:rFonts w:hint="eastAsia" w:ascii="宋体" w:hAnsi="宋体" w:eastAsia="宋体" w:cs="宋体"/>
          <w:bCs/>
          <w:szCs w:val="21"/>
          <w:highlight w:val="none"/>
        </w:rPr>
        <w:t>近一期社保证明（社保局盖章）扫描件</w:t>
      </w:r>
      <w:r>
        <w:rPr>
          <w:rFonts w:hint="eastAsia" w:ascii="宋体" w:hAnsi="宋体" w:eastAsia="宋体" w:cs="宋体"/>
          <w:bCs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szCs w:val="21"/>
          <w:highlight w:val="none"/>
        </w:rPr>
        <w:t>另须</w:t>
      </w: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提供</w:t>
      </w:r>
      <w:r>
        <w:rPr>
          <w:rFonts w:hint="eastAsia" w:ascii="宋体" w:hAnsi="宋体" w:eastAsia="宋体" w:cs="宋体"/>
          <w:bCs/>
          <w:szCs w:val="21"/>
          <w:highlight w:val="none"/>
        </w:rPr>
        <w:t>：项目负责人与技术负责人中至少一人具有高级职称，至少一人具有注册土木工程师</w:t>
      </w:r>
      <w:r>
        <w:rPr>
          <w:rFonts w:hint="eastAsia" w:ascii="宋体" w:hAnsi="宋体" w:eastAsia="宋体" w:cs="宋体"/>
          <w:bCs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道路或岩土</w:t>
      </w:r>
      <w:r>
        <w:rPr>
          <w:rFonts w:hint="eastAsia" w:ascii="宋体" w:hAnsi="宋体" w:eastAsia="宋体" w:cs="宋体"/>
          <w:bCs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szCs w:val="21"/>
          <w:highlight w:val="none"/>
        </w:rPr>
        <w:t>资格</w:t>
      </w: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证书</w:t>
      </w:r>
      <w:r>
        <w:rPr>
          <w:rFonts w:hint="eastAsia" w:ascii="宋体" w:hAnsi="宋体" w:eastAsia="宋体" w:cs="宋体"/>
          <w:bCs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szCs w:val="21"/>
          <w:highlight w:val="none"/>
        </w:rPr>
        <w:t>安全员</w:t>
      </w: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具备</w:t>
      </w:r>
      <w:r>
        <w:rPr>
          <w:rFonts w:hint="eastAsia" w:ascii="宋体" w:hAnsi="宋体" w:eastAsia="宋体" w:cs="宋体"/>
          <w:bCs/>
          <w:szCs w:val="21"/>
          <w:highlight w:val="none"/>
        </w:rPr>
        <w:t>安全生产考核合格证书。上述证明材料未提供或提供不完整的视为未实质性响应，为无效标。</w:t>
      </w:r>
    </w:p>
    <w:p w14:paraId="3D02E441">
      <w:pPr>
        <w:numPr>
          <w:ilvl w:val="0"/>
          <w:numId w:val="0"/>
        </w:num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2、投标人承诺配备人员岗位数量不满足人员岗位配置要求的，视为未实质性响应招标文件要求，为无效标；</w:t>
      </w:r>
    </w:p>
    <w:p w14:paraId="310317CD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3、项目人员（上表中序号1至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Cs/>
          <w:szCs w:val="21"/>
        </w:rPr>
        <w:t>的人员）按要求进场核验。</w:t>
      </w:r>
    </w:p>
    <w:p w14:paraId="3953B66D">
      <w:pPr>
        <w:spacing w:line="360" w:lineRule="auto"/>
        <w:ind w:firstLine="420" w:firstLineChars="200"/>
        <w:outlineLvl w:val="1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ZTllZTdlZDkyZjgxNWRhMDQ0YTZjYzY3MWM1ZDgifQ=="/>
  </w:docVars>
  <w:rsids>
    <w:rsidRoot w:val="051E58EE"/>
    <w:rsid w:val="000C2D10"/>
    <w:rsid w:val="003B36EC"/>
    <w:rsid w:val="008432FF"/>
    <w:rsid w:val="008C19AD"/>
    <w:rsid w:val="008D138C"/>
    <w:rsid w:val="00A826AF"/>
    <w:rsid w:val="00BC6A52"/>
    <w:rsid w:val="00DE26D6"/>
    <w:rsid w:val="02C67337"/>
    <w:rsid w:val="03E312C3"/>
    <w:rsid w:val="04C16C6A"/>
    <w:rsid w:val="051E58EE"/>
    <w:rsid w:val="07F4660F"/>
    <w:rsid w:val="08A2799E"/>
    <w:rsid w:val="0B0B77DD"/>
    <w:rsid w:val="0B3D39C0"/>
    <w:rsid w:val="0B774AFC"/>
    <w:rsid w:val="0C0369A6"/>
    <w:rsid w:val="0C1B04CA"/>
    <w:rsid w:val="0F9B75C7"/>
    <w:rsid w:val="1202325C"/>
    <w:rsid w:val="1396406E"/>
    <w:rsid w:val="14942891"/>
    <w:rsid w:val="19A60971"/>
    <w:rsid w:val="1BA21D3C"/>
    <w:rsid w:val="1C6A4D69"/>
    <w:rsid w:val="1DE7534D"/>
    <w:rsid w:val="1F9E2816"/>
    <w:rsid w:val="21D0683E"/>
    <w:rsid w:val="255045B2"/>
    <w:rsid w:val="26173D8C"/>
    <w:rsid w:val="26AF70B6"/>
    <w:rsid w:val="26EF1BA9"/>
    <w:rsid w:val="31237C08"/>
    <w:rsid w:val="32913779"/>
    <w:rsid w:val="32CA473F"/>
    <w:rsid w:val="343558E9"/>
    <w:rsid w:val="35C0308E"/>
    <w:rsid w:val="369C0D5D"/>
    <w:rsid w:val="36A06F99"/>
    <w:rsid w:val="36BA52C5"/>
    <w:rsid w:val="37270EEB"/>
    <w:rsid w:val="3A2D05C6"/>
    <w:rsid w:val="3A6D71C1"/>
    <w:rsid w:val="3BD86AFA"/>
    <w:rsid w:val="3ECA06E3"/>
    <w:rsid w:val="3F20694C"/>
    <w:rsid w:val="43C57AC2"/>
    <w:rsid w:val="44DA54AD"/>
    <w:rsid w:val="45623DE8"/>
    <w:rsid w:val="48343468"/>
    <w:rsid w:val="49A07007"/>
    <w:rsid w:val="4AA765E8"/>
    <w:rsid w:val="4B2C48CA"/>
    <w:rsid w:val="4CA26BF2"/>
    <w:rsid w:val="4D330192"/>
    <w:rsid w:val="4DBA7F6B"/>
    <w:rsid w:val="4F043E64"/>
    <w:rsid w:val="500532E9"/>
    <w:rsid w:val="51967FEE"/>
    <w:rsid w:val="530C4DB4"/>
    <w:rsid w:val="53242298"/>
    <w:rsid w:val="55AB428E"/>
    <w:rsid w:val="564B1F53"/>
    <w:rsid w:val="589D1393"/>
    <w:rsid w:val="58EB2E9D"/>
    <w:rsid w:val="5B6836FC"/>
    <w:rsid w:val="5CEE68DE"/>
    <w:rsid w:val="5F4104EC"/>
    <w:rsid w:val="5F553907"/>
    <w:rsid w:val="67DA2938"/>
    <w:rsid w:val="68487A88"/>
    <w:rsid w:val="687C4AF7"/>
    <w:rsid w:val="6C57134F"/>
    <w:rsid w:val="6CDC17AA"/>
    <w:rsid w:val="6D097972"/>
    <w:rsid w:val="70C44AD9"/>
    <w:rsid w:val="70F66E6C"/>
    <w:rsid w:val="72181B40"/>
    <w:rsid w:val="74252C5C"/>
    <w:rsid w:val="75D25EEA"/>
    <w:rsid w:val="791B2586"/>
    <w:rsid w:val="7C41288A"/>
    <w:rsid w:val="7EE54599"/>
    <w:rsid w:val="7F250E39"/>
    <w:rsid w:val="7F4042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 Indent"/>
    <w:basedOn w:val="1"/>
    <w:next w:val="1"/>
    <w:qFormat/>
    <w:uiPriority w:val="99"/>
    <w:pPr>
      <w:spacing w:line="520" w:lineRule="exact"/>
      <w:ind w:left="570"/>
    </w:pPr>
    <w:rPr>
      <w:rFonts w:ascii="方正仿宋简体" w:hAnsi="创艺简仿宋" w:eastAsia="方正仿宋简体" w:cs="Times New Roman"/>
      <w:sz w:val="24"/>
      <w:szCs w:val="20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paragraph" w:customStyle="1" w:styleId="11">
    <w:name w:val="4.正文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2">
    <w:name w:val="**正文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kern w:val="0"/>
      <w:sz w:val="2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1066</Words>
  <Characters>1085</Characters>
  <Lines>14</Lines>
  <Paragraphs>4</Paragraphs>
  <TotalTime>4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2023-10-20T02:09:00Z</dcterms:created>
  <dc:creator>苏州卫康招标代理公司</dc:creator>
  <cp:lastModifiedBy>读书人</cp:lastModifiedBy>
  <dcterms:modified xsi:type="dcterms:W3CDTF">2026-07-21T08:19:26Z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A0AB0E68D8D344BFBF42C53565435AFE_13</vt:lpwstr>
  </property>
  <property fmtid="{D5CDD505-2E9C-101B-9397-08002B2CF9AE}" pid="4" name="KSOTemplateDocerSaveRecord">
    <vt:lpwstr>eyJoZGlkIjoiM2FiNjA0NGZkN2IxZTI3ZDk1YzUyYmI3M2Y0MjAxNjUiLCJ1c2VySWQiOiIyNjc5MzQifQ==</vt:lpwstr>
  </property>
</Properties>
</file>