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52"/>
        </w:rPr>
        <w:t xml:space="preserve">南通市通州区城南社区卫生服务中心智能化预防接种门诊系统采购项目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sz w:val="24"/>
        </w:rPr>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32"/>
        </w:rPr>
        <w:t xml:space="preserve"> </w:t>
      </w:r>
      <w:r>
        <w:rPr>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二○二六年六月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36"/>
        </w:rPr>
        <w:t xml:space="preserve">目录</w:t>
      </w:r>
      <w:r>
        <w:rPr>
          <w:rFonts w:ascii="SimSun" w:hAnsi="SimSun" w:eastAsia="SimSun" w:cs="SimSun"/>
          <w:sz w:val="32"/>
        </w:rPr>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814"/>
            <w:rFonts w:ascii="SimSun" w:hAnsi="SimSun" w:eastAsia="SimSun" w:cs="SimSun"/>
            <w:color w:val="000000"/>
            <w:sz w:val="26"/>
            <w:u w:val="single"/>
          </w:rPr>
          <w:t xml:space="preserve">第一章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814"/>
            <w:rFonts w:ascii="SimSun" w:hAnsi="SimSun" w:eastAsia="SimSun" w:cs="SimSun"/>
            <w:color w:val="000000"/>
            <w:sz w:val="26"/>
            <w:u w:val="single"/>
          </w:rPr>
          <w:t xml:space="preserve">第二章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814"/>
            <w:rFonts w:ascii="SimSun" w:hAnsi="SimSun" w:eastAsia="SimSun" w:cs="SimSun"/>
            <w:color w:val="000000"/>
            <w:sz w:val="26"/>
            <w:u w:val="single"/>
          </w:rPr>
          <w:t xml:space="preserve">第三章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814"/>
            <w:rFonts w:ascii="SimSun" w:hAnsi="SimSun" w:eastAsia="SimSun" w:cs="SimSun"/>
            <w:color w:val="000000"/>
            <w:sz w:val="26"/>
            <w:u w:val="single"/>
          </w:rPr>
          <w:t xml:space="preserve">第四章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814"/>
            <w:rFonts w:ascii="SimSun" w:hAnsi="SimSun" w:eastAsia="SimSun" w:cs="SimSun"/>
            <w:color w:val="000000"/>
            <w:sz w:val="26"/>
            <w:u w:val="single"/>
          </w:rPr>
          <w:t xml:space="preserve">第五章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814"/>
            <w:rFonts w:ascii="SimSun" w:hAnsi="SimSun" w:eastAsia="SimSun" w:cs="SimSun"/>
            <w:color w:val="000000"/>
            <w:sz w:val="26"/>
            <w:u w:val="single"/>
          </w:rPr>
          <w:t xml:space="preserve">第六章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814"/>
            <w:rFonts w:ascii="SimSun" w:hAnsi="SimSun" w:eastAsia="SimSun" w:cs="SimSun"/>
            <w:color w:val="000000"/>
            <w:sz w:val="26"/>
            <w:u w:val="single"/>
          </w:rPr>
          <w:t xml:space="preserve">第七章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814"/>
            <w:rFonts w:ascii="SimSun" w:hAnsi="SimSun" w:eastAsia="SimSun" w:cs="SimSun"/>
            <w:color w:val="000000"/>
            <w:sz w:val="26"/>
            <w:u w:val="single"/>
          </w:rPr>
          <w:t xml:space="preserve">第八章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南通市通州区城南社区卫生服务中心智能化预防接种门诊系统采购项目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7</w:t>
      </w:r>
      <w:r>
        <w:rPr>
          <w:rFonts w:ascii="SimSun" w:hAnsi="SimSun" w:eastAsia="SimSun" w:cs="SimSun"/>
          <w:color w:val="000000"/>
          <w:sz w:val="24"/>
          <w:highlight w:val="yellow"/>
          <w:u w:val="single"/>
        </w:rPr>
        <w:t xml:space="preserve">月</w:t>
      </w:r>
      <w:r>
        <w:rPr>
          <w:rFonts w:ascii="Times New Roman" w:hAnsi="Times New Roman" w:eastAsia="Times New Roman" w:cs="Times New Roman"/>
          <w:color w:val="000000"/>
          <w:sz w:val="24"/>
          <w:highlight w:val="yellow"/>
          <w:u w:val="single"/>
        </w:rPr>
        <w:t xml:space="preserve">29</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14</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highlight w:val="yellow"/>
        </w:rPr>
        <w:t xml:space="preserve">（</w:t>
      </w:r>
      <w:r>
        <w:rPr>
          <w:rFonts w:ascii="SimSun" w:hAnsi="SimSun" w:eastAsia="SimSun" w:cs="SimSun"/>
          <w:color w:val="000000"/>
          <w:sz w:val="24"/>
        </w:rPr>
        <w:t xml:space="preserve">北京时间）前递交投标文件。</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JSZC-320612-NTCS-G2026-0002</w:t>
      </w:r>
      <w:r>
        <w:rPr>
          <w:rFonts w:ascii="SimSun" w:hAnsi="SimSun" w:eastAsia="SimSun" w:cs="SimSun"/>
          <w:color w:val="000000"/>
          <w:sz w:val="24"/>
          <w:highlight w:val="yellow"/>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130</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128</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、项目需求：智能化预防接种门诊系统及配套设施设备，具体要求详见招标文件第三章项目需求。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yellow"/>
        </w:rPr>
        <w:t xml:space="preserve">7</w:t>
      </w:r>
      <w:r>
        <w:rPr>
          <w:rFonts w:ascii="SimSun" w:hAnsi="SimSun" w:eastAsia="SimSun" w:cs="SimSun"/>
          <w:color w:val="000000"/>
          <w:sz w:val="24"/>
          <w:highlight w:val="yellow"/>
        </w:rPr>
        <w:t xml:space="preserve">、服务期限：合同履行期限：签订合同后</w:t>
      </w:r>
      <w:r>
        <w:rPr>
          <w:rFonts w:ascii="Times New Roman" w:hAnsi="Times New Roman" w:eastAsia="Times New Roman" w:cs="Times New Roman"/>
          <w:color w:val="000000"/>
          <w:sz w:val="24"/>
          <w:highlight w:val="yellow"/>
        </w:rPr>
        <w:t xml:space="preserve">30</w:t>
      </w:r>
      <w:r>
        <w:rPr>
          <w:rFonts w:ascii="SimSun" w:hAnsi="SimSun" w:eastAsia="SimSun" w:cs="SimSun"/>
          <w:color w:val="000000"/>
          <w:sz w:val="24"/>
          <w:highlight w:val="yellow"/>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rPr>
          <w:rFonts w:ascii="SimSun" w:hAnsi="SimSun" w:eastAsia="SimSun" w:cs="SimSun"/>
          <w:color w:val="000000"/>
          <w:sz w:val="24"/>
          <w:highlight w:val="yellow"/>
        </w:rPr>
        <w:t xml:space="preserve">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本项目特定资质要求：无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、投标文件提交截止时间：</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7</w:t>
      </w:r>
      <w:r>
        <w:rPr>
          <w:rFonts w:ascii="SimSun" w:hAnsi="SimSun" w:eastAsia="SimSun" w:cs="SimSun"/>
          <w:color w:val="000000"/>
          <w:sz w:val="24"/>
          <w:highlight w:val="yellow"/>
          <w:u w:val="single"/>
        </w:rPr>
        <w:t xml:space="preserve">月</w:t>
      </w:r>
      <w:r>
        <w:rPr>
          <w:rFonts w:ascii="Times New Roman" w:hAnsi="Times New Roman" w:eastAsia="Times New Roman" w:cs="Times New Roman"/>
          <w:color w:val="000000"/>
          <w:sz w:val="24"/>
          <w:highlight w:val="yellow"/>
          <w:u w:val="single"/>
        </w:rPr>
        <w:t xml:space="preserve">29</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14</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rPr>
        <w:t xml:space="preserve">（北京时间）。逾时，“苏采云”系统将拒绝接受上传响应文件电子文档。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、线上开标地点：“苏采云”系统（网址：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1527"/>
        <w:gridCol w:w="1501"/>
        <w:gridCol w:w="150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814"/>
            <w:rFonts w:ascii="Times New Roman" w:hAnsi="Times New Roman" w:eastAsia="Times New Roman" w:cs="Times New Roman"/>
            <w:color w:val="000000"/>
            <w:sz w:val="24"/>
            <w:u w:val="single"/>
          </w:rPr>
          <w:t xml:space="preserve">http://jszfcg.jsczt.cn/</w:t>
        </w:r>
        <w:r>
          <w:rPr>
            <w:rStyle w:val="814"/>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定制疫苗冷库</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外形尺寸：2℃～8℃疫苗存储冷藏厢体：根据现场房间合理布局冷藏箱体，采用六面体组合式冷藏箱体，外尺寸：（长*宽*高）≤7600mm×1850mm×2800mm，冷藏箱体内部人工通道地面敷设≥1mm厚压花铝板。</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▲库体材料：库体采用双面彩钢硬质聚异氰脲酸酯手工挂钩夹芯板，冷库库板与库板的连接使用偏心勾锁快速自锁扣安装，厚度≥100mm，燃烧性能需通过B1级认证</w:t>
      </w:r>
      <w:r>
        <w:rPr>
          <w:rFonts w:ascii="SimSun" w:hAnsi="SimSun" w:eastAsia="SimSun" w:cs="SimSun"/>
          <w:b/>
          <w:color w:val="000000"/>
          <w:sz w:val="24"/>
        </w:rPr>
        <w:t xml:space="preserve">（提供具有CMA或CNAS认证的第三方检测机构出具的库板燃烧B1级检测报告)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温湿度要求：疫苗冷藏厢体温度在+2～+8℃范围内可调，温控箱显示板显示温度精度±0.1℃，疫苗冷藏厢体稳定运行时，湿度应保持在35%RH-75%RH。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检修门：疫苗冷藏箱体预留整箱玻璃门，安装门禁系统进行权限控制，方便对疫苗取用；配置带门锁检修门，以方便库内设备维护或其他作业，同时防止无权限人员进入。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▲入库自动门：冷藏箱体入库自动门一扇，自动门在入苗时可自动开启，方便入苗操作。</w:t>
      </w:r>
      <w:r>
        <w:rPr>
          <w:rFonts w:ascii="SimSun" w:hAnsi="SimSun" w:eastAsia="SimSun" w:cs="SimSun"/>
          <w:b/>
          <w:color w:val="000000"/>
          <w:sz w:val="24"/>
        </w:rPr>
        <w:t xml:space="preserve">（提供用于冷库的自动门专利证书）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冷链室正面安装冷链观察窗，观察窗尺寸≥1000*800mm，方便用户观察疫苗存储及机械手动作。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疫苗冷藏箱体要求使用两套制冷系统，一用一备，其中一套制冷系统出现故障或者制冷效率低下，另外一套制冷系统自动切入；如果热负荷增加（例如初始冷却），则两个制冷系统都接入。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制冷剂：要求使用HFC类绿色环保型制冷剂。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▲电源：220V AC/50Hz，噪音声压级≤65dB，降温时间≤60min，具有过热保护和高、低电压开关保护。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要求疫苗冷藏箱体控制系统根据环境温度，具有智能判断，智能自动调节，智能温度补偿功能，确保库内温度时刻保持在+2℃～+8℃范围内，保障疫苗存储安全，湿度保持在35%RH-75%RH。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采用吊顶式蒸发器；随机标配加热丝橡胶冷凝水外排装置，可整体取出维修。可最大程度利用库内存储空间。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电气控制模块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冷藏箱体温控柜配置液晶触控屏，屏幕尺寸≥7寸，实现登录权限管理，一用一备模式可选。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可根据需求设定冷藏箱体运行参数，查看疫苗冷藏箱体温度和报警的历史记录，温度数据显示，系统故障发出声光报警。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具有速冷功能,当系统大量进货或者初始使用,进行大风量供应,双系统共同制冷,达到速冷的效果。</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冷藏箱体管理系统要求达到即时数据查询，可与微机联网实现历史数据保存、降温曲线、温度报表、历史故障记录打印功能。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多重报警方式：高低温报警、故障报警、远程报警、断电报警；报警方式：声音报警、微信、短信、电话等多种报警方式。</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安全保护功能齐全：漏电保护、过载保护、电源相序保护、缺相保护等功能。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可显示并查询当前库温、风机/压缩机运行状态、温度历史曲线等，实时监控冷藏箱体运行状态。</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具有物联功能，支持4G,RJ45,WIFI等多种联网方式，可通过PC端、手机APP远程查看设备参数及报警信息，并对温度历史数据记录保存，实现远程监控。</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超温限报警值可调、压缩机延时时间可调、化霜时间可调、报警延时可调。</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PLC控温，库内温度数字显示，调节精度≤0.1℃。</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冷藏箱体配备≥4路温度传感器，精准控制冷藏箱体内部温度恒定在2-8℃。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自动化控制模块</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专用自动控制电控箱，内置知名品牌PLC主控制器及配套数字量/模拟量扩展模块，配置工业级服务器、工业级交换机、伺服电机及伺服驱动器、直流稳压电源、电控箱散热换气风扇、电气文件收纳盒等全套元器件，品牌选用国际一线或国内主流知名品牌，元器件性能稳定、抗干扰能力强、适应冷链低温高湿环境长期运行。</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▲控制系统具备全自动发苗、智能出苗、疫苗定位输送、抽屉自动弹出、异常疫苗锁定隔离、冷链状态实时监测、故障自诊断与报警等全流程自动化控制功能。</w:t>
      </w:r>
      <w:r>
        <w:rPr>
          <w:rFonts w:ascii="SimSun" w:hAnsi="SimSun" w:eastAsia="SimSun" w:cs="SimSun"/>
          <w:b/>
          <w:color w:val="000000"/>
          <w:sz w:val="24"/>
        </w:rPr>
        <w:t xml:space="preserve">（提供自动化控制系统软件著作权登记证书）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自动化存储货架</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存储单元集成在智能化存储货架内，存储货架外设置取货门，方便疫苗快速存入库内，由框架及层板组成，可调式层板可自由定义存储疫苗种类并适应不同尺寸疫苗包装尺寸，满足暂时不存入盒装疫苗存储区的疫苗存储要求。</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配置密集式平板储存货架存储盒装疫苗，自动化存储货位容量≥5000支(单只包装),单货位容量≥500 支(单只包装,不含整箱区)，可实现机器人单盒疫苗/多盒疫苗收发疫苗。</w:t>
      </w:r>
      <w:r>
        <w:rPr>
          <w:rFonts w:ascii="SimSun" w:hAnsi="SimSun" w:eastAsia="SimSun" w:cs="SimSun"/>
          <w:b/>
          <w:color w:val="000000"/>
          <w:sz w:val="24"/>
        </w:rPr>
        <w:t xml:space="preserve">（以百白破疫苗85*55*35mm为例，库体尺寸≤7600mm×1850mm×2800mm，提供单盒存储区存储容量计算说明，单组货架容量须提供具有CMA或CNAS认证的第三方检测机构出具的检测报告）</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库内配置智能高密度存储货架，每组层板尺寸L(长度)≤700mm，W（宽度）≤350mm，可自由增减层板。单列货架中玻璃层板间距可依据疫苗种类灵活定制，适应不同种类疫苗存储，进行单只、多人份、一盒多支等疫苗存储。</w:t>
      </w:r>
      <w:r>
        <w:rPr>
          <w:rFonts w:ascii="SimSun" w:hAnsi="SimSun" w:eastAsia="SimSun" w:cs="SimSun"/>
          <w:b/>
          <w:color w:val="000000"/>
          <w:sz w:val="24"/>
        </w:rPr>
        <w:t xml:space="preserve">（提供用于冷库的高密度存储货架专利证书）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整箱疫苗货架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集成拼装式全平板专用货架，模块化组合安装，卡扣式装配，层间距可根据现场进行调节，底部预留通风离地间隙，适配 2℃～8℃疫苗冷库使用。</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表面防锈防潮、耐低温，满足医药仓储洁净使用标准，适配整箱疫苗平铺堆放，单储物区域疫苗整箱存放数量≥4 箱，箱体摆放无悬空、无挤压。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自动盘点模块</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盘点:可随时在操作终端上发库存盘点指令，智能疫苗管理机械臂上的盘点装置自动进行激光盘点，完成智能存储系统内单人份、多人份、一盒多支疫苗实物盘点，满库盘点≤30min，并自动生成盘点报表，多种盘点模式可选按用户需求生成盘点计划（按日、按月或特定货位、品类盘点）。</w:t>
      </w:r>
      <w:r>
        <w:rPr>
          <w:rFonts w:ascii="SimSun" w:hAnsi="SimSun" w:eastAsia="SimSun" w:cs="SimSun"/>
          <w:b/>
          <w:color w:val="000000"/>
          <w:sz w:val="24"/>
        </w:rPr>
        <w:t xml:space="preserve">（盘点速度须提供具有CMA或CNAS认证的第三方检测机构出具的检测报告）</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库存整理:可定期进行库存整理操作，系统接收到指令后自动进行库存整理，可有效提高疫苗存储空间利用率，做到有序存储疫苗。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自动补苗模块</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▲智能库外补苗装置：采用智能轨道进行盒装疫苗自动存入，为保障医护人员身体健康，操作人员在常温区将疫苗放入冷藏操作台进行补苗操作，无需进入冷库内，避免低温环境对人体造成影响。</w:t>
      </w:r>
      <w:r>
        <w:rPr>
          <w:rFonts w:ascii="SimSun" w:hAnsi="SimSun" w:eastAsia="SimSun" w:cs="SimSun"/>
          <w:b/>
          <w:color w:val="000000"/>
          <w:sz w:val="24"/>
        </w:rPr>
        <w:t xml:space="preserve">（提供工作人员在冷库外进行补苗清晰的全景实景照片，接种门诊名称及负责人联系方式进行备查）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补苗通道：为适合用户补苗效率需求，设置人员操作台，工作人员将疫苗扫码后放入补苗通道内进行补苗，通道数≥3个以上，保证某个通道出现故障，其余通道仍可进行补苗，入苗机械臂将疫苗补入相应位置。</w:t>
      </w:r>
      <w:r>
        <w:rPr>
          <w:rFonts w:ascii="SimSun" w:hAnsi="SimSun" w:eastAsia="SimSun" w:cs="SimSun"/>
          <w:b/>
          <w:color w:val="000000"/>
          <w:sz w:val="24"/>
        </w:rPr>
        <w:t xml:space="preserve">（提供清晰补苗多通道现场实景照片，接种门诊名称及负责人联系方式进行备查）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使用最新存储货位算法，可根据疫苗数量、种类及疫苗包装尺寸信息，将盒装疫苗自动存入密集式平板存储单元，动态分配货位，精准定位，一品一位，避免货位浪费和不足。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自动发苗模块</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发苗装置≥5套，采用嵌入式发苗装置集成在疫苗存储冷藏厢体，保证全程温度可控，不断链，并直接对接疫苗接种工作台。为最大化提高疫苗存储空间，小型化设计，发苗装置尺寸L(长度)≤475mm，W（宽度）≤370mm，H(高度) ≤430mm，存储容积≥5L，内设2个存储位，具备出苗、多人份疫苗暂存功能。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▲接种台出苗系统：接种时，机械手将疫苗运输至相应出苗抽屉，疫苗运输到位后抽屉自动弹出，提示医护人员拿取疫苗，发苗成功率≥99.9%；</w:t>
      </w:r>
      <w:r>
        <w:rPr>
          <w:rFonts w:ascii="SimSun" w:hAnsi="SimSun" w:eastAsia="SimSun" w:cs="SimSun"/>
          <w:b/>
          <w:color w:val="000000"/>
          <w:sz w:val="24"/>
        </w:rPr>
        <w:t xml:space="preserve">（发苗成功率须提供具有CMA或CNAS认证的第三方检测机构出具的检测报告)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疫苗自动锁定及隔离出库功能:对不合格或召回等异常疫苗进行锁定，异常疫苗处于锁定状态将不再出库接种使用。并根据需要整理搬运到不合格区等指定区域，经批准后出库报废或其他处理。</w:t>
      </w:r>
      <w:r>
        <w:rPr>
          <w:rFonts w:ascii="SimSun" w:hAnsi="SimSun" w:eastAsia="SimSun" w:cs="SimSun"/>
          <w:b/>
          <w:color w:val="000000"/>
          <w:sz w:val="24"/>
        </w:rPr>
        <w:t xml:space="preserve">（自动锁定功能须提供具有CMA或CNAS认证的第三方检测机构出具的检测报告)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高速机械手</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▲智能疫苗管理机械臂运动方式为可在X,Y,Z 三个方向上联动，可270度旋转，最快行走速度≥2.5m/s，取放速度≤5s/次。可实现在疫苗冷库内双排货架无阻碍存取疫苗，机械臂具有防撞和防坠落功能；可实现疫苗自动入库、自动出库、自动盘点、自动整理等功能。</w:t>
      </w:r>
      <w:r>
        <w:rPr>
          <w:rFonts w:ascii="SimSun" w:hAnsi="SimSun" w:eastAsia="SimSun" w:cs="SimSun"/>
          <w:b/>
          <w:color w:val="000000"/>
          <w:sz w:val="24"/>
        </w:rPr>
        <w:t xml:space="preserve">（提供用于冷库的机械手专利证书及第三方检测报告）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高速机械臂具有安全检测功能，具备防撞、防挤苗功能，机械手重复定位精度≤±0.05mm，具备安全防护罩，富有科技感，简洁美观。</w:t>
      </w:r>
      <w:r>
        <w:rPr>
          <w:rFonts w:ascii="SimSun" w:hAnsi="SimSun" w:eastAsia="SimSun" w:cs="SimSun"/>
          <w:b/>
          <w:color w:val="000000"/>
          <w:sz w:val="24"/>
        </w:rPr>
        <w:t xml:space="preserve">（机械手重复定位精度须提供具有CMA或CNAS认证的第三方检测机构出具的检测报告)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机械手外观尺寸L（长度）≥420mm，W（宽度）≥150mm，H（高度）≥200mm；夹取有效宽度≥110mm，夹爪向前运动有效行程距离≥350mm。</w:t>
      </w:r>
      <w:r>
        <w:rPr>
          <w:rFonts w:ascii="SimSun" w:hAnsi="SimSun" w:eastAsia="SimSun" w:cs="SimSun"/>
          <w:b/>
          <w:color w:val="000000"/>
          <w:sz w:val="24"/>
        </w:rPr>
        <w:t xml:space="preserve">（提供同一场景内机械手长度、宽度、高度、夹取宽度及有效行程实景测量数据照片；夹爪行程距离须提供具有CMA或CNAS认证的第三方检测机构出具的检测报告）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高速机械臂可实现存取疫苗过程实时监控查看存储视频。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定制接种桌</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接种台秉持清新简约的设计风格，桌前面可自由张贴儿童卡通图案，符合儿童审美眼光，有效消除儿童接种疫苗时的紧张情绪。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▲按门诊科室面积定制接种桌≥5套，尺寸≥1500*600*750mm，每个接种位须配备一个接种椅、一个接种用软包皮凳；接种桌基材采用E0级或以上优质环保实木颗粒板，耐磨、耐脏、耐高温；符合检测标准：GB/T 17657-2013. 甲醛释放量≤0.010mg/m3。</w:t>
      </w:r>
      <w:r>
        <w:rPr>
          <w:rFonts w:ascii="SimSun" w:hAnsi="SimSun" w:eastAsia="SimSun" w:cs="SimSun"/>
          <w:b/>
          <w:color w:val="000000"/>
          <w:sz w:val="24"/>
        </w:rPr>
        <w:t xml:space="preserve">（甲醛释放量须提供具有CMA或CNAS认证的第三方检测机构出具的检测报告）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隔挡：为保护接种人员隐私遮挡、降噪分区，符合预防接种门诊建设规范要求；每个接种位须安装隔断，分隔后单个接种单元使用面积≥4.5㎡，材料采用静电喷塑防腐处理，抗氧化、防潮耐消毒液腐蚀；连接件采用锌合金卡扣配件，拆装便捷，牢固无松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接种工作台配有五孔面板数量≥2个，双口网络面板数量≥1个。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接种台分区设计，内嵌锐器桶、医废桶、打印机位置等科室必备医用器材，且医用垃圾区隔离设计，并设置注射器、棉签等的存放区域，便于接种人员操作；</w:t>
      </w:r>
      <w:r>
        <w:rPr>
          <w:rFonts w:ascii="SimSun" w:hAnsi="SimSun" w:eastAsia="SimSun" w:cs="SimSun"/>
          <w:b/>
          <w:color w:val="000000"/>
          <w:sz w:val="24"/>
        </w:rPr>
        <w:t xml:space="preserve">（提供接种桌设计图并说明投放位置分布）</w:t>
      </w:r>
      <w:r>
        <w:rPr>
          <w:rFonts w:ascii="SimSun" w:hAnsi="SimSun" w:eastAsia="SimSun" w:cs="SimSun"/>
          <w:color w:val="000000"/>
          <w:sz w:val="24"/>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接种电脑</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配备接种管理电脑≥5套，CPU:i7处理器四核八线程3.4G;显卡：超清4G独显；内存：16G+512G固态；显示器：24寸高清显示器；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疫苗接种终端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数量≥5套，采用多点触摸显示屏：Android版本≥14；GPU Adreno610及以上、分辨率≥1080P,显示比例16:9，终端内存≥8G+128G、支持SD卡扩展、含前后双摄≥800W像素，断电待机时长≥48小时。支持对接数字化门诊软件，与叫号软件协同工作。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智慧云屏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大屏尺寸：55寸，4k超高清（3840×2160），网络类型：wifi、有线可选，内置安卓系统，可直接显示库内温湿度、出入库信息、库存信息、库内监控画面信息在大屏上。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系统具备首页管理、入库管理、出库管理、库存管理、统计查询、系统管理等功能模块。系统预留软件对接接口，支持与疫苗管理平台软件进行数据对接。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系统具备各主功能模块显示，疫苗在库信息显示、近效期产品显示、温度显示、设备状态显示等。</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疫苗入库管理功能（盒装/箱条疫苗入库）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不同箱型疫苗入库信息化管理功能，具备通过自动化装置，将疫苗按照最小包装自动、安全、准确的安放在智慧疫苗管理系统自动指定存储位置，并实时更新疫苗在库管理信息功能；具备根据实际疫苗数量自行编辑定义疫苗存储货位功能，一码一位。</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疫苗出库管理功能（接种疫苗/其他疫苗出库）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疫苗出库，系统具备按照智慧疫苗管理系统指令通过自动化装置，将疫苗按照最小包装方式，从疫苗存储位置自动、安全、准确的发送到指定的预防接种工作台并进行提示功能；发送的同品种疫苗遵循“近效期优先”原则；具备发送过程中出现故障时报警提示功能，系统具备将预防接种工作台开启后在有效时间未使用完的单支多人份或多支多人份疫苗剩余份量，放置在疫苗临时存储装置保存，待下次继续使用功能；具备已开启且超过有效时间的疫苗剩余份量，放置到疫苗临时存储设备进行限制性存储，待报损报废处理功能。系统具备因非接种疫苗出库等其他原因产生的出</w:t>
      </w:r>
      <w:r>
        <w:rPr>
          <w:rFonts w:ascii="SimSun" w:hAnsi="SimSun" w:eastAsia="SimSun" w:cs="SimSun"/>
          <w:color w:val="000000"/>
          <w:sz w:val="24"/>
        </w:rPr>
        <w:t xml:space="preserve">库要求功能。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疫苗库存管理功能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满足疫苗冷藏存储要求的疫苗分类存储功能；具备实时或定时的自动盘点和库存整理功能；具备自定义疫苗近效期功能，具备疫苗近效期提示功能。系统具备可通过智慧疫苗管理系统对指定批号或疫苗追溯码的疫苗进行自动锁定功能，并根据需要整理搬运到不合格区，经批准后出库报废；系统具备可按照智慧疫苗管理系统将需退库疫苗一次或多次完成疫苗退库功能。</w:t>
      </w:r>
      <w:r>
        <w:rPr>
          <w:rFonts w:ascii="SimSun" w:hAnsi="SimSun" w:eastAsia="SimSun" w:cs="SimSun"/>
          <w:b/>
          <w:color w:val="000000"/>
          <w:sz w:val="24"/>
        </w:rPr>
        <w:t xml:space="preserve">（提供疫苗存储分区管理、自动盘点、近效期提示、自动锁定功能软件的清晰界面截图）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统计查询功能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可自定义查询和统计疫苗库存信息、入库信息、出库信息、盘点信息、温度信息等功能，信息应包括且不限于疫苗品种、数量、状态、上市许可人名称、规格、批号、疫苗追溯码、疫苗存储位置、操作人员等内容。</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管理，系统支持基于角色的访问授权与控制；角色配置及个人隐私保护授权进行权限管理。支持密码识别方式进行身份认证。基础信息管理，系统具备货位管理、疫苗上市许可持有人、疫苗基础信息新增、修改、禁用和启用等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运行状态监测管理功能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运行状态监测管理功能，支持查询统计系统各关键设备部件的运行状态记录；具备全流程作业的视频监控管理功能；具备记录和存储疫苗入库、存储和发送全过程的视频信息功能；支持查看7天内本地存储全过程视频信息。</w:t>
      </w:r>
      <w:r>
        <w:rPr>
          <w:rFonts w:ascii="SimSun" w:hAnsi="SimSun" w:eastAsia="SimSun" w:cs="SimSun"/>
          <w:b/>
          <w:color w:val="000000"/>
          <w:sz w:val="24"/>
        </w:rPr>
        <w:t xml:space="preserve">（提供现场监控清晰的实景截图及具有CMA或CNAS认证的第三方检测机构出具的检测报告）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系统具备在紧急或特殊情况下进行声光报警功能,具备在紧急或特殊情况下切换至手工操作模式功能。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▲具备疫苗存储管理软件的独立著作产权，以便于后期系统维护升级。</w:t>
      </w:r>
      <w:r>
        <w:rPr>
          <w:rFonts w:ascii="SimSun" w:hAnsi="SimSun" w:eastAsia="SimSun" w:cs="SimSun"/>
          <w:b/>
          <w:color w:val="000000"/>
          <w:sz w:val="24"/>
        </w:rPr>
        <w:t xml:space="preserve">（提供智能疫苗存储系统软件著作权登记证书）</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★软件系统须实现与江苏省预防接种综合服务管理系统和江苏省预防接种客户端无缝对接。投标单位须在投标时提供承诺函，供应商报价中须包含与上述系统的对接的所有费用。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配套门诊疫苗支付系统，实现预防接种系统与门诊 HIS 诊疗系统的对接，实现预防接种系统将接种数据传输给 HIS 诊疗系统（本项目中不包含 HIS 诊疗系统对接费用），HIS 诊疗系统接收到相关数据后形成缴费二维码返回给预防接种系统，预防接种系统则打印在处方单上提供给受种者扫码付款。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成人预防接种数字化门诊信息系统，需实现与江苏省成人预防接种系统无缝对接，江苏省成人预防接种客户端升级调整时，成人数字化预防接种系统也需要同步完成升级，不得出现影响数字化预防接种门诊运行的情况。投标单位须在投标时提供承诺函，供应商报价中须包含与上述系统的对接的所有费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场地改造</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需根据方案布局及接种工作要求，完成接种门诊的场地改造及强弱电布线。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质保期：本项目整体质保期为 3 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★交付期：合同签订后30天内交付。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评分标准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765"/>
        <w:gridCol w:w="643"/>
        <w:gridCol w:w="53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 =(评标基准价/投标报价)×价格权值 ×100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投标人所投产品技术参数完全满足招标文件参数要求的得 25分，其中加“★”部分为实质性条款要求，必须满足；加 “▲” 部分为重点条款要求，每有一项不满足的扣 2 分；其它 (除 “▲”、“★”技术参数外) 技术参数每有一项不满足扣 1 分，扣完为止。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本项目中加 “▲” 部分的参数须按参数要求提供指定证明材料加盖厂家公章作为佐证，如参数中未指定的，需提供以下任意一项证明材料作为佐证：（1）具有CMA或CNAS认证的第三方检测机构出具的合格检验报告书复印件并加盖厂家公章；（2）产品功能的截图证明和链接相关证明材料复印件并加盖厂家公章；否则视为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（2）技术参数中每一条的要求为一项；技术参数中要求提供证明材料的需在投标文件中注明对应页码和序号，便于评委审核。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提供工作人员在冷库外进行补苗清晰的全景实景照片，查接种门诊名称及负责人联系方式进行备查</w:t>
            </w:r>
            <w:r>
              <w:rPr>
                <w:rFonts w:ascii="SimSun" w:hAnsi="SimSun" w:eastAsia="SimSun" w:cs="SimSun"/>
                <w:color w:val="000000"/>
                <w:sz w:val="24"/>
              </w:rPr>
              <w:t xml:space="preserve">。</w:t>
            </w:r>
            <w:r/>
          </w:p>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提供清晰补苗多通道现场实景照片，查接种门诊名称及负责人联系方式进行备查</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每满足 1 条流程得3分，最高得6分；</w:t>
            </w:r>
            <w:r>
              <w:rPr>
                <w:sz w:val="26"/>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根据投标人拟提供所投产品综合性能，包含但不限于产品选型、硬件配置、软件功能、平台技术及安全性、稳定性和操控性等，结合投标文件提供的佐证材料等进行综合评审。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①产品技术完全自主开发、无专利冲突风险、质量可靠安全、产品成熟、耐久性强、具有安全性、稳定性和操控性得5分；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②产品性能齐全、质量良好、耐久性一般，有一定的安全性、稳定性和操控性得 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③产品性能、质量一般、耐久性、安全性、稳定性和操控性差的得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投标人根据本项目要求提供深化施工图，方案内容包含但不限于：（1）设计总说明；（2）空间功能规划设计图；（3）整体室内外观设计效果图；（4）平面图；（5）立面图。</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注：平面图、立面图、均涵盖详细的存储系统、制冷系统安装、强弱电改造、场地改造、相关设施设备及辅助系统布局。</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①设计方案整体布局科学合理、工作流程运行流畅、图纸详细、完全满足接种门诊工作需要的得5分；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②设计方案整体布局基本合理、工作流程运行较流畅、图纸较详细、基本满足接种门诊工作需要的得3分；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③设计方案整体布局欠合理、工作流程运行不畅、图纸简单、难以满足接种门诊工作需要的得1分；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投标人针对本项目提供实施方案，包括实施计划、进度安排、人员配置、安装调试流程、质量保证措施等。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①项目实施计划完善，进度计划合理，人员配置合理且经验丰富，安装调试流程完善，质量保证措施针对性强、可操作性强，能够有效的实施得 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②项目实施计划较为完善，进度计划基本合理能满足要求、略有欠缺，人员配置基本合理且有一定经验，安装调试流程基本合理，质量保证措施有针对性、基本可行的得3分；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③项目实施计划较为简陋，进度计划不合理，人员配置不合理且无相关经验，安装调试流程不合理，质量保证措施针对性不足、可操作性不强的得1分；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投标人针对本项目提供培训方案，包括培训大纲、培训内容、培训时间、培训人员等。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①提供的培训大纲内容详细，培训人员较多且经验丰富、培训时间满足采购文件要求的得4分；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②提供的培训大纲内容相对详细，培训人员数量一般；培训时间基本满足采购文件要求的得2分；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③提供的培训大纲内容简单，培训人员较少；培训时间未能满足采购文件要求的得1分；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投标人针对本项目提供售后服务方案，包括售后服务内容、响应时间、售后服务网点、服务人员安排及专业技能、巡检制度、备品备件供应情况。</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①方案详细完整、响应及时、人员安排齐全、专业技能强、服务体系完整、措施可靠，有健全的巡检制度、备品备件齐全且能及时供应，切实可行的得 4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②方案合理、响应时间满足要求，人员安排合理、技术能力能确保业务稳定运行，有充分的备品备件，得 2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③方案笼统、响应滞后，服务体系虽完整，但缺乏有效保障业务稳定运行的措施，备品备件不充分得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满足采购文件质保期要求；每延长一年质保得1分，最多得2分；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制造商取得ISO13485医疗器械质量管理体系认证、ISO45001职业健康安全管理体系、ISO27001信息安全管理体系认证证书（认证覆盖的业务范围须包含：智能存储管理系统的设计开发、组装、销售、售后服务（安装、调试）相关活动），商品售后服务评价认证五星级（认证覆盖的业务范围须包含：智能存储设备的售后服务）；提供有效期之内证书扫描件加盖公章及国家认证认证监督管理委员会官网查询截图，每提供一个证书得0.5分，最高得 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2、所投产品制造商拟派技术负责人：具有二级及以上建造师职业资格（机电工程专业），提供证书复印件及人社部门官网截图并加盖投标人公章；所投产品制造商拟派项目负责人：具有项目管理员 PMP 等级证书，提供证书复印件并加盖投标人公章。（以上人员必须为制造商在职员工，须提供产品制造商为其缴纳的近 6 个月社保证明，否则不得分），每提供一个合格的证书得 2分，最高得 4 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提供投标人或制造商自 2023 年 1 月 1 日以来（以合同签订时间为准）完成的，与本项目类似的业绩。</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提供合同（合同内容须包含投标人或制造商到预防接种门诊单位的完整合同链路，合同核心内容（至少包含产品名称、品牌或制造商）及合同签署双方盖章的完整信息）。</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提供包含预防接种门诊单位名称的用户验收报告及用户联系方式备查。</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业绩必须包含合同、验收报告及用户联系方式，每提供一份完整的业绩得 1分，不完整不得分，满分 8分。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）本项目为非专门面向中小微企业的项目，对小型和微型企业产品给予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b/>
          <w:color w:val="000000"/>
          <w:sz w:val="24"/>
          <w:highlight w:val="yellow"/>
          <w:u w:val="single"/>
        </w:rPr>
        <w:t xml:space="preserve">工业和信息技术服务业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于货物缺陷责任期满且卖方已完全履行缺陷修复义务、无遗留质量问题时支付。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本项目成交后的履约保证金为成交金额的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天内退还。履约保证金用以约束供应商在合同履行中的行为，弥补合同执行中由于自身行为可能给采购人带来的各种损失。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 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 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、系统对接及费用全包承诺书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、供应商认为其它需要提交的资格审查证明材料。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采购需求中必须满足的实质性要求：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本项目“五、商务条款”为实质性响应条款，不接受负偏离。供应商需提供《商务条款响应正负偏离表》（格式见第八章）。</w:t>
      </w:r>
      <w:r>
        <w:rPr>
          <w:rFonts w:ascii="SimSun" w:hAnsi="SimSun" w:eastAsia="SimSun" w:cs="SimSun"/>
          <w:b/>
          <w:color w:val="000000"/>
          <w:sz w:val="24"/>
        </w:rPr>
        <w:t xml:space="preserve">存在负偏离或未提供《商务条款响应正负偏离表》的视为无效投标。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、评标办法中所涉及的事项需提供的所有资料。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说明：因苏采云系统中“开标一览表”格式为系统固定格式，无法调整，单价报价无法标注单位，统一默认单位为万条。</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、系统对接及费用全包承诺书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我方自愿参与本项目投标，针对本项目预防接种相关系统对接、升级服务及费用包含要求，郑重作出如下承诺：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所投本项目所有报价，已全额包含实现与江苏省预防接种综合服务管理系统、江苏省预防接种客户端无缝对接所需的全部费用，包含但不限于接口开发、数据联调、系统适配、测试对接、现场调试、验收配合、技术整改等所有相关费用，项目实施全过程无任何隐形费用、无后期追加费用，完全满足本项目对接使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保证本项目成人预防接种数字化门诊信息系统，可与江苏省成人预防接种系统实现无缝对接。如遇江苏省成人预防接种客户端进行版本升级、功能调整、接口更新等情况，我方将免费、同步完成本项目对应系统的升级适配与调整工作，确保门诊数字化接种业务正常、稳定、不间断运行，不因上级系统升级出现业务瘫痪、数据异常、对接失效等问题，相关所有升级适配费用均已包含在本次投标报价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、本项目预防接种系统与门诊</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诊疗系统的数据对接传输工作，我方将按招标文件要求，完成接种数据向</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诊疗系统的正常传输，配合实现</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系统回传缴费二维码、处方单打印扫码支付的完整业务流程。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、我方充分知悉并认可本项目所有系统对接、适配、升级、调试的全部工作内容及费用要求，投标报价真实、完整、全覆盖，中标后不以任何理由申请增加对接费用、升级费用、调试费用及其他相关费用。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承诺单位（盖章）：</w:t>
      </w:r>
      <w:r>
        <w:rPr>
          <w:rFonts w:ascii="Times New Roman" w:hAnsi="Times New Roman" w:eastAsia="Times New Roman" w:cs="Times New Roman"/>
          <w:color w:val="000000"/>
          <w:sz w:val="24"/>
        </w:rPr>
        <w:t xml:space="preserve">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授权代表人（签字）：</w:t>
      </w:r>
      <w:r>
        <w:rPr>
          <w:rFonts w:ascii="Times New Roman" w:hAnsi="Times New Roman" w:eastAsia="Times New Roman" w:cs="Times New Roman"/>
          <w:color w:val="000000"/>
          <w:sz w:val="24"/>
        </w:rPr>
        <w:t xml:space="preserve">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、投标人一般情况表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10</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8"/>
        <w:gridCol w:w="2295"/>
        <w:gridCol w:w="2029"/>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供应商提交的投标文件中与招标文件第三章“项目需求”中的“五、商务条款”的要求，应逐条填列在偏离表中。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22"/>
        <w:gridCol w:w="6632"/>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短信单价投标报价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万条</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万条</w:t>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）最终结算按实际短信数量及短信投标单价来计算短信平台服务费。</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w:t>
      </w:r>
      <w:r>
        <w:rPr>
          <w:rFonts w:ascii="SimSun" w:hAnsi="SimSun" w:eastAsia="SimSun" w:cs="SimSun"/>
          <w:b/>
          <w:color w:val="000000"/>
          <w:sz w:val="24"/>
        </w:rPr>
        <w:t xml:space="preserve">中小企业声明函（服务）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（如是，则提供）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3</cp:revision>
  <dcterms:created xsi:type="dcterms:W3CDTF">2026-07-08T02:39:26Z</dcterms:created>
  <dcterms:modified xsi:type="dcterms:W3CDTF">2026-07-08T03:34:43Z</dcterms:modified>
</cp:coreProperties>
</file>