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color w:val="000000" w:themeColor="text1"/>
          <w:sz w:val="72"/>
          <w:szCs w:val="72"/>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r>
      <w:r/>
    </w:p>
    <w:p>
      <w:pPr>
        <w:jc w:val="center"/>
        <w:rPr>
          <w:rFonts w:hint="eastAsia" w:hAnsi="宋体"/>
          <w:b/>
          <w:color w:val="000000" w:themeColor="text1"/>
          <w:spacing w:val="40"/>
          <w:sz w:val="96"/>
          <w:szCs w:val="96"/>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t xml:space="preserve">苏州市吴中区政府采购</w:t>
      </w:r>
      <w:r/>
    </w:p>
    <w:p>
      <w:pPr>
        <w:jc w:val="center"/>
        <w:rPr>
          <w:rFonts w:hint="eastAsia" w:ascii="宋体" w:hAnsi="宋体"/>
          <w:b/>
          <w:color w:val="000000" w:themeColor="text1"/>
          <w:sz w:val="72"/>
          <w:szCs w:val="72"/>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t xml:space="preserve">竞争性磋商文件</w:t>
      </w:r>
      <w:r/>
    </w:p>
    <w:p>
      <w:pPr>
        <w:jc w:val="cente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95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5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b/>
          <w:color w:val="000000" w:themeColor="text1"/>
          <w:sz w:val="28"/>
          <w14:textFill>
            <w14:solidFill>
              <w14:schemeClr w14:val="tx1"/>
            </w14:solidFill>
          </w14:textFill>
        </w:rPr>
      </w:pPr>
      <w:r>
        <w:rPr>
          <w:b/>
          <w:color w:val="000000" w:themeColor="text1"/>
          <w:sz w:val="28"/>
          <w14:textFill>
            <w14:solidFill>
              <w14:schemeClr w14:val="tx1"/>
            </w14:solidFill>
          </w14:textFill>
        </w:rPr>
        <w:t xml:space="preserve">       </w:t>
      </w:r>
      <w:r>
        <w:rPr>
          <w:rFonts w:hint="eastAsia"/>
          <w:b/>
          <w:color w:val="000000" w:themeColor="text1"/>
          <w:sz w:val="28"/>
          <w14:textFill>
            <w14:solidFill>
              <w14:schemeClr w14:val="tx1"/>
            </w14:solidFill>
          </w14:textFill>
        </w:rPr>
        <w:t xml:space="preserve">  </w:t>
      </w:r>
      <w:r>
        <w:rPr>
          <w:b/>
          <w:color w:val="000000" w:themeColor="text1"/>
          <w:sz w:val="28"/>
          <w14:textFill>
            <w14:solidFill>
              <w14:schemeClr w14:val="tx1"/>
            </w14:solidFill>
          </w14:textFill>
        </w:rPr>
        <w:t xml:space="preserve"> 采购编号：</w:t>
      </w:r>
      <w:r>
        <w:rPr>
          <w:rFonts w:hint="eastAsia"/>
          <w:b/>
          <w:color w:val="000000" w:themeColor="text1"/>
          <w:sz w:val="28"/>
          <w14:textFill>
            <w14:solidFill>
              <w14:schemeClr w14:val="tx1"/>
            </w14:solidFill>
          </w14:textFill>
        </w:rPr>
        <w:t xml:space="preserve">JSZC-320506006-ZHCD-C2026-0014号</w:t>
      </w:r>
      <w:r/>
    </w:p>
    <w:p>
      <w:pPr>
        <w:spacing w:line="360" w:lineRule="auto"/>
        <w:rPr>
          <w:b/>
          <w:color w:val="000000" w:themeColor="text1"/>
          <w:sz w:val="28"/>
          <w14:textFill>
            <w14:solidFill>
              <w14:schemeClr w14:val="tx1"/>
            </w14:solidFill>
          </w14:textFill>
        </w:rPr>
      </w:pPr>
      <w:r>
        <w:rPr>
          <w:rFonts w:hint="eastAsia"/>
          <w:b/>
          <w:color w:val="000000" w:themeColor="text1"/>
          <w:sz w:val="28"/>
          <w14:textFill>
            <w14:solidFill>
              <w14:schemeClr w14:val="tx1"/>
            </w14:solidFill>
          </w14:textFill>
        </w:rPr>
        <w:t xml:space="preserve">          项目名称：太湖街道2026年道路交通公共安全隐患排查治理服务</w:t>
      </w:r>
      <w:r/>
    </w:p>
    <w:p>
      <w:pPr>
        <w:spacing w:line="360" w:lineRule="auto"/>
        <w:rPr>
          <w:b/>
          <w:color w:val="000000" w:themeColor="text1"/>
          <w:sz w:val="28"/>
          <w14:textFill>
            <w14:solidFill>
              <w14:schemeClr w14:val="tx1"/>
            </w14:solidFill>
          </w14:textFill>
        </w:rPr>
      </w:pPr>
      <w:r>
        <w:rPr>
          <w:b/>
          <w:color w:val="000000" w:themeColor="text1"/>
          <w:sz w:val="28"/>
          <w14:textFill>
            <w14:solidFill>
              <w14:schemeClr w14:val="tx1"/>
            </w14:solidFill>
          </w14:textFill>
        </w:rPr>
        <w:t xml:space="preserve">          采购</w:t>
      </w:r>
      <w:r>
        <w:rPr>
          <w:rFonts w:hint="eastAsia"/>
          <w:b/>
          <w:color w:val="000000" w:themeColor="text1"/>
          <w:sz w:val="28"/>
          <w14:textFill>
            <w14:solidFill>
              <w14:schemeClr w14:val="tx1"/>
            </w14:solidFill>
          </w14:textFill>
        </w:rPr>
        <w:t xml:space="preserve">单位</w:t>
      </w:r>
      <w:r>
        <w:rPr>
          <w:b/>
          <w:color w:val="000000" w:themeColor="text1"/>
          <w:sz w:val="28"/>
          <w14:textFill>
            <w14:solidFill>
              <w14:schemeClr w14:val="tx1"/>
            </w14:solidFill>
          </w14:textFill>
        </w:rPr>
        <w:t xml:space="preserve">：</w:t>
      </w:r>
      <w:r>
        <w:rPr>
          <w:rFonts w:hint="eastAsia"/>
          <w:b/>
          <w:color w:val="000000" w:themeColor="text1"/>
          <w:sz w:val="28"/>
          <w14:textFill>
            <w14:solidFill>
              <w14:schemeClr w14:val="tx1"/>
            </w14:solidFill>
          </w14:textFill>
        </w:rPr>
        <w:t xml:space="preserve">苏州市吴中区人民政府太湖街道办事处</w:t>
      </w:r>
      <w:r/>
    </w:p>
    <w:p>
      <w:pPr>
        <w:ind w:firstLine="1405"/>
        <w:spacing w:line="360" w:lineRule="auto"/>
        <w:rPr>
          <w:b/>
          <w:color w:val="000000" w:themeColor="text1"/>
          <w:sz w:val="28"/>
          <w14:textFill>
            <w14:solidFill>
              <w14:schemeClr w14:val="tx1"/>
            </w14:solidFill>
          </w14:textFill>
        </w:rPr>
      </w:pPr>
      <w:r>
        <w:rPr>
          <w:b/>
          <w:color w:val="000000" w:themeColor="text1"/>
          <w:sz w:val="28"/>
          <w14:textFill>
            <w14:solidFill>
              <w14:schemeClr w14:val="tx1"/>
            </w14:solidFill>
          </w14:textFill>
        </w:rPr>
        <w:t xml:space="preserve">采购</w:t>
      </w:r>
      <w:r>
        <w:rPr>
          <w:rFonts w:hint="eastAsia"/>
          <w:b/>
          <w:color w:val="000000" w:themeColor="text1"/>
          <w:sz w:val="28"/>
          <w14:textFill>
            <w14:solidFill>
              <w14:schemeClr w14:val="tx1"/>
            </w14:solidFill>
          </w14:textFill>
        </w:rPr>
        <w:t xml:space="preserve">代理机构</w:t>
      </w:r>
      <w:r>
        <w:rPr>
          <w:b/>
          <w:color w:val="000000" w:themeColor="text1"/>
          <w:sz w:val="28"/>
          <w14:textFill>
            <w14:solidFill>
              <w14:schemeClr w14:val="tx1"/>
            </w14:solidFill>
          </w14:textFill>
        </w:rPr>
        <w:t xml:space="preserve">：</w:t>
      </w:r>
      <w:r>
        <w:rPr>
          <w:rFonts w:hint="eastAsia"/>
          <w:b/>
          <w:color w:val="000000" w:themeColor="text1"/>
          <w:sz w:val="28"/>
          <w14:textFill>
            <w14:solidFill>
              <w14:schemeClr w14:val="tx1"/>
            </w14:solidFill>
          </w14:textFill>
        </w:rPr>
        <w:t xml:space="preserve">江苏至衡诚达工程咨询有限公司</w:t>
      </w:r>
      <w:r/>
    </w:p>
    <w:p>
      <w:pPr>
        <w:ind w:firstLine="1405"/>
        <w:spacing w:line="360" w:lineRule="auto"/>
        <w:rPr>
          <w:b/>
          <w:color w:val="000000" w:themeColor="text1"/>
          <w:sz w:val="28"/>
          <w14:textFill>
            <w14:solidFill>
              <w14:schemeClr w14:val="tx1"/>
            </w14:solidFill>
          </w14:textFill>
        </w:rPr>
      </w:pPr>
      <w:r>
        <w:rPr>
          <w:rFonts w:hint="eastAsia"/>
          <w:b/>
          <w:color w:val="000000" w:themeColor="text1"/>
          <w:sz w:val="28"/>
          <w14:textFill>
            <w14:solidFill>
              <w14:schemeClr w14:val="tx1"/>
            </w14:solidFill>
          </w14:textFill>
        </w:rPr>
        <w:t xml:space="preserve">采购类型：服务类</w:t>
      </w:r>
      <w:r/>
    </w:p>
    <w:p>
      <w:pPr>
        <w:spacing w:line="360" w:lineRule="auto"/>
        <w:rPr>
          <w:b/>
          <w:color w:val="000000" w:themeColor="text1"/>
          <w:sz w:val="28"/>
          <w14:textFill>
            <w14:solidFill>
              <w14:schemeClr w14:val="tx1"/>
            </w14:solidFill>
          </w14:textFill>
        </w:rPr>
      </w:pPr>
      <w:r>
        <w:rPr>
          <w:b/>
          <w:color w:val="000000" w:themeColor="text1"/>
          <w:sz w:val="28"/>
          <w14:textFill>
            <w14:solidFill>
              <w14:schemeClr w14:val="tx1"/>
            </w14:solidFill>
          </w14:textFill>
        </w:rPr>
      </w:r>
      <w:r/>
    </w:p>
    <w:p>
      <w:pPr>
        <w:spacing w:line="360" w:lineRule="auto"/>
        <w:rPr>
          <w:b/>
          <w:color w:val="000000" w:themeColor="text1"/>
          <w:sz w:val="32"/>
          <w14:textFill>
            <w14:solidFill>
              <w14:schemeClr w14:val="tx1"/>
            </w14:solidFill>
          </w14:textFill>
        </w:rPr>
      </w:pPr>
      <w:r>
        <w:rPr>
          <w:b/>
          <w:color w:val="000000" w:themeColor="text1"/>
          <w:sz w:val="32"/>
          <w14:textFill>
            <w14:solidFill>
              <w14:schemeClr w14:val="tx1"/>
            </w14:solidFill>
          </w14:textFill>
        </w:rPr>
      </w:r>
      <w:r/>
    </w:p>
    <w:p>
      <w:pPr>
        <w:spacing w:line="360" w:lineRule="auto"/>
        <w:rPr>
          <w:b/>
          <w:color w:val="000000" w:themeColor="text1"/>
          <w:spacing w:val="-26"/>
          <w14:textFill>
            <w14:solidFill>
              <w14:schemeClr w14:val="tx1"/>
            </w14:solidFill>
          </w14:textFill>
        </w:rPr>
      </w:pPr>
      <w:r>
        <w:rPr>
          <w:b/>
          <w:color w:val="000000" w:themeColor="text1"/>
          <w:spacing w:val="-26"/>
          <w14:textFill>
            <w14:solidFill>
              <w14:schemeClr w14:val="tx1"/>
            </w14:solidFill>
          </w14:textFill>
        </w:rPr>
      </w:r>
      <w:r/>
    </w:p>
    <w:p>
      <w:pPr>
        <w:pStyle w:val="1225"/>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b/>
          <w:color w:val="000000" w:themeColor="text1"/>
          <w14:textFill>
            <w14:solidFill>
              <w14:schemeClr w14:val="tx1"/>
            </w14:solidFill>
          </w14:textFill>
        </w:rPr>
      </w:pPr>
      <w:r>
        <w:rPr>
          <w:b/>
          <w:color w:val="000000" w:themeColor="text1"/>
          <w14:textFill>
            <w14:solidFill>
              <w14:schemeClr w14:val="tx1"/>
            </w14:solidFill>
          </w14:textFill>
        </w:rPr>
      </w:r>
      <w:r/>
    </w:p>
    <w:p>
      <w:pPr>
        <w:jc w:val="center"/>
        <w:rPr>
          <w:rFonts w:hint="eastAsia" w:hAnsi="宋体"/>
          <w:b/>
          <w:color w:val="000000" w:themeColor="text1"/>
          <w:sz w:val="32"/>
          <w14:textFill>
            <w14:solidFill>
              <w14:schemeClr w14:val="tx1"/>
            </w14:solidFill>
          </w14:textFill>
        </w:rPr>
      </w:pPr>
      <w:r>
        <w:rPr>
          <w:rFonts w:hAnsi="宋体"/>
          <w:b/>
          <w:color w:val="000000" w:themeColor="text1"/>
          <w:sz w:val="32"/>
          <w14:textFill>
            <w14:solidFill>
              <w14:schemeClr w14:val="tx1"/>
            </w14:solidFill>
          </w14:textFill>
        </w:rPr>
        <w:t xml:space="preserve">二</w:t>
      </w:r>
      <w:r>
        <w:rPr>
          <w:rFonts w:hint="eastAsia"/>
          <w:b/>
          <w:color w:val="000000" w:themeColor="text1"/>
          <w:sz w:val="32"/>
          <w14:textFill>
            <w14:solidFill>
              <w14:schemeClr w14:val="tx1"/>
            </w14:solidFill>
          </w14:textFill>
        </w:rPr>
        <w:t xml:space="preserve">〇</w:t>
      </w:r>
      <w:r>
        <w:rPr>
          <w:rFonts w:hint="eastAsia" w:hAnsi="宋体"/>
          <w:b/>
          <w:color w:val="000000" w:themeColor="text1"/>
          <w:sz w:val="32"/>
          <w14:textFill>
            <w14:solidFill>
              <w14:schemeClr w14:val="tx1"/>
            </w14:solidFill>
          </w14:textFill>
        </w:rPr>
        <w:t xml:space="preserve">二</w:t>
      </w:r>
      <w:r>
        <w:rPr>
          <w:rFonts w:hint="eastAsia"/>
          <w:b/>
          <w:color w:val="000000" w:themeColor="text1"/>
          <w:sz w:val="32"/>
          <w14:textFill>
            <w14:solidFill>
              <w14:schemeClr w14:val="tx1"/>
            </w14:solidFill>
          </w14:textFill>
        </w:rPr>
        <w:t xml:space="preserve">六</w:t>
      </w:r>
      <w:r>
        <w:rPr>
          <w:rFonts w:hAnsi="宋体"/>
          <w:b/>
          <w:color w:val="000000" w:themeColor="text1"/>
          <w:sz w:val="32"/>
          <w14:textFill>
            <w14:solidFill>
              <w14:schemeClr w14:val="tx1"/>
            </w14:solidFill>
          </w14:textFill>
        </w:rPr>
        <w:t xml:space="preserve">年</w:t>
      </w:r>
      <w:r>
        <w:rPr>
          <w:rFonts w:hint="eastAsia" w:hAnsi="宋体"/>
          <w:b/>
          <w:color w:val="000000" w:themeColor="text1"/>
          <w:sz w:val="32"/>
          <w14:textFill>
            <w14:solidFill>
              <w14:schemeClr w14:val="tx1"/>
            </w14:solidFill>
          </w14:textFill>
        </w:rPr>
        <w:t xml:space="preserve">六</w:t>
      </w:r>
      <w:r>
        <w:rPr>
          <w:rFonts w:hAnsi="宋体"/>
          <w:b/>
          <w:color w:val="000000" w:themeColor="text1"/>
          <w:sz w:val="32"/>
          <w14:textFill>
            <w14:solidFill>
              <w14:schemeClr w14:val="tx1"/>
            </w14:solidFill>
          </w14:textFill>
        </w:rPr>
        <w:t xml:space="preserve">月</w:t>
      </w:r>
      <w:r/>
    </w:p>
    <w:p>
      <w:pPr>
        <w:pStyle w:val="950"/>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jc w:val="center"/>
        <w:spacing w:line="360" w:lineRule="auto"/>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前附表</w:t>
      </w:r>
      <w:r/>
    </w:p>
    <w:tbl>
      <w:tblPr>
        <w:tblStyle w:val="879"/>
        <w:tblW w:w="91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6908"/>
      </w:tblGrid>
      <w:tr>
        <w:trPr>
          <w:jc w:val="center"/>
          <w:trHeight w:val="585"/>
        </w:trPr>
        <w:tc>
          <w:tcPr>
            <w:tcW w:w="766" w:type="dxa"/>
            <w:vAlign w:val="center"/>
            <w:textDirection w:val="lrTb"/>
            <w:noWrap w:val="false"/>
          </w:tcPr>
          <w:p>
            <w:pPr>
              <w:ind w:right="-136"/>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tcW w:w="1522" w:type="dxa"/>
            <w:vAlign w:val="center"/>
            <w:textDirection w:val="lrTb"/>
            <w:noWrap w:val="false"/>
          </w:tcPr>
          <w:p>
            <w:pPr>
              <w:jc w:val="cente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项目内容</w:t>
            </w:r>
            <w:r/>
          </w:p>
        </w:tc>
        <w:tc>
          <w:tcPr>
            <w:tcW w:w="6908" w:type="dxa"/>
            <w:vAlign w:val="center"/>
            <w:textDirection w:val="lrTb"/>
            <w:noWrap w:val="false"/>
          </w:tcPr>
          <w:p>
            <w:pPr>
              <w:jc w:val="cente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内容规定</w:t>
            </w:r>
            <w:r/>
          </w:p>
        </w:tc>
      </w:tr>
      <w:tr>
        <w:trPr>
          <w:jc w:val="center"/>
          <w:trHeight w:val="315"/>
        </w:trPr>
        <w:tc>
          <w:tcPr>
            <w:tcW w:w="766"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522"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c>
        <w:tc>
          <w:tcPr>
            <w:tcW w:w="6908" w:type="dxa"/>
            <w:vAlign w:val="center"/>
            <w:textDirection w:val="lrTb"/>
            <w:noWrap w:val="false"/>
          </w:tcPr>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太湖街道2026年道路交通公共安全隐患排查治理服务</w:t>
            </w:r>
            <w:r/>
          </w:p>
        </w:tc>
      </w:tr>
      <w:tr>
        <w:trPr>
          <w:jc w:val="center"/>
          <w:trHeight w:val="510"/>
        </w:trPr>
        <w:tc>
          <w:tcPr>
            <w:tcW w:w="766"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1522"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 有效期</w:t>
            </w:r>
            <w:r/>
          </w:p>
        </w:tc>
        <w:tc>
          <w:tcPr>
            <w:tcW w:w="6908" w:type="dxa"/>
            <w:vAlign w:val="center"/>
            <w:textDirection w:val="lrTb"/>
            <w:noWrap w:val="false"/>
          </w:tcPr>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响应文件提交截止之日起60天（日历日）</w:t>
            </w:r>
            <w:r/>
          </w:p>
        </w:tc>
      </w:tr>
      <w:tr>
        <w:trPr>
          <w:jc w:val="center"/>
          <w:trHeight w:val="434"/>
        </w:trPr>
        <w:tc>
          <w:tcPr>
            <w:tcW w:w="766"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1522"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磋商保证金</w:t>
            </w:r>
            <w:r/>
          </w:p>
        </w:tc>
        <w:tc>
          <w:tcPr>
            <w:tcW w:w="6908" w:type="dxa"/>
            <w:vAlign w:val="center"/>
            <w:textDirection w:val="lrTb"/>
            <w:noWrap w:val="false"/>
          </w:tcPr>
          <w:p>
            <w:pPr>
              <w:pStyle w:val="1215"/>
              <w:rPr>
                <w:rFonts w:hint="eastAsia"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t xml:space="preserve">保证金：</w:t>
            </w:r>
            <w:r/>
          </w:p>
          <w:p>
            <w:pPr>
              <w:pStyle w:val="1215"/>
              <w:rPr>
                <w:rFonts w:hint="eastAsia" w:eastAsia="宋体"/>
                <w:color w:val="000000" w:themeColor="text1"/>
                <w:szCs w:val="24"/>
                <w14:textFill>
                  <w14:solidFill>
                    <w14:schemeClr w14:val="tx1"/>
                  </w14:solidFill>
                </w14:textFill>
              </w:rPr>
            </w:pPr>
            <w:r>
              <w:rPr>
                <w:rFonts w:hint="eastAsia" w:ascii="MS Gothic" w:hAnsi="MS Gothic" w:eastAsia="宋体" w:cs="MS Gothic"/>
                <w:color w:val="000000" w:themeColor="text1"/>
                <w:szCs w:val="24"/>
                <w14:textFill>
                  <w14:solidFill>
                    <w14:schemeClr w14:val="tx1"/>
                  </w14:solidFill>
                </w14:textFill>
              </w:rPr>
              <w:t xml:space="preserve">☑</w:t>
            </w:r>
            <w:r>
              <w:rPr>
                <w:rFonts w:eastAsia="宋体"/>
                <w:color w:val="000000" w:themeColor="text1"/>
                <w:szCs w:val="24"/>
                <w14:textFill>
                  <w14:solidFill>
                    <w14:schemeClr w14:val="tx1"/>
                  </w14:solidFill>
                </w14:textFill>
              </w:rPr>
              <w:t xml:space="preserve">不需提交，采购文件中有关保证金的规定均不适用。</w:t>
            </w:r>
            <w:r/>
          </w:p>
          <w:p>
            <w:pPr>
              <w:pStyle w:val="1215"/>
              <w:rPr>
                <w:rFonts w:hint="eastAsia" w:eastAsia="宋体"/>
                <w:color w:val="000000" w:themeColor="text1"/>
                <w:szCs w:val="24"/>
                <w14:textFill>
                  <w14:solidFill>
                    <w14:schemeClr w14:val="tx1"/>
                  </w14:solidFill>
                </w14:textFill>
              </w:rPr>
            </w:pPr>
            <w:r>
              <w:rPr>
                <w:rFonts w:ascii="MS Gothic" w:hAnsi="MS Gothic" w:eastAsia="MS Gothic" w:cs="MS Gothic"/>
                <w:color w:val="000000" w:themeColor="text1"/>
                <w:szCs w:val="24"/>
                <w14:textFill>
                  <w14:solidFill>
                    <w14:schemeClr w14:val="tx1"/>
                  </w14:solidFill>
                </w14:textFill>
              </w:rPr>
              <w:t xml:space="preserve">☒</w:t>
            </w:r>
            <w:r>
              <w:rPr>
                <w:rFonts w:eastAsia="宋体"/>
                <w:color w:val="000000" w:themeColor="text1"/>
                <w:szCs w:val="24"/>
                <w14:textFill>
                  <w14:solidFill>
                    <w14:schemeClr w14:val="tx1"/>
                  </w14:solidFill>
                </w14:textFill>
              </w:rPr>
              <w:t xml:space="preserve">需提交，保证金金额（¥）：</w:t>
            </w:r>
            <w:r>
              <w:rPr>
                <w:rFonts w:hint="eastAsia" w:eastAsia="宋体"/>
                <w:color w:val="000000" w:themeColor="text1"/>
                <w:szCs w:val="24"/>
                <w14:textFill>
                  <w14:solidFill>
                    <w14:schemeClr w14:val="tx1"/>
                  </w14:solidFill>
                </w14:textFill>
              </w:rPr>
              <w:t xml:space="preserve">     元整</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帐户名：江苏至衡诚达工程咨询有限公司苏州分公司</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开户银行：中国银行吴中经济开发区支行</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银行帐号：535280515118</w:t>
            </w:r>
            <w:r/>
          </w:p>
          <w:p>
            <w:pPr>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保证金的提交方式：供应商的投标保证金以银行汇票方式或银行本票方式，于投标截止时间前随同投标（响应）文件在开标现场一并提交给代理机构。代理机构在开标现场收取投标保证金后当场开具有效收据。供应商如为实施国库集中支付管理的事业单位，无需提交投标（响应）保证金，但应于开标（或磋商等）现场提交盖有本单位公章的有效的统一社会信用代码证或者组织机构代码证复印件，否则被视作无效投标处理。</w:t>
            </w:r>
            <w:r/>
          </w:p>
        </w:tc>
      </w:tr>
      <w:tr>
        <w:trPr>
          <w:jc w:val="center"/>
          <w:trHeight w:val="703"/>
        </w:trPr>
        <w:tc>
          <w:tcPr>
            <w:tcW w:w="766"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1522"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磋商文件 份数</w:t>
            </w:r>
            <w:r/>
          </w:p>
        </w:tc>
        <w:tc>
          <w:tcPr>
            <w:tcW w:w="6908" w:type="dxa"/>
            <w:vAlign w:val="center"/>
            <w:textDirection w:val="lrTb"/>
            <w:noWrap w:val="false"/>
          </w:tcPr>
          <w:p>
            <w:pPr>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用电子响应文件，供应商按照采购文件要求制作上传电子响应文件。成交单位需在领取采购合同前向采购代理机构提供三份纸质响应文件，纸质响应文件需与上传的电子响应文件一致。注：纸质响应文件仅作归档使用。</w:t>
            </w:r>
            <w:r/>
          </w:p>
        </w:tc>
      </w:tr>
      <w:tr>
        <w:trPr>
          <w:jc w:val="center"/>
          <w:trHeight w:val="920"/>
        </w:trPr>
        <w:tc>
          <w:tcPr>
            <w:tcW w:w="766"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1522"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响应文件提交截止时间</w:t>
            </w:r>
            <w:r/>
          </w:p>
        </w:tc>
        <w:tc>
          <w:tcPr>
            <w:tcW w:w="6908" w:type="dxa"/>
            <w:vAlign w:val="center"/>
            <w:textDirection w:val="lrTb"/>
            <w:noWrap w:val="false"/>
          </w:tcPr>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截止时间：</w:t>
            </w:r>
            <w:r>
              <w:rPr>
                <w:rFonts w:hint="eastAsia" w:ascii="宋体" w:hAnsi="宋体"/>
                <w:color w:val="000000" w:themeColor="text1"/>
                <w:sz w:val="24"/>
                <w:szCs w:val="22"/>
                <w:lang w:eastAsia="zh-CN"/>
                <w14:textFill>
                  <w14:solidFill>
                    <w14:schemeClr w14:val="tx1"/>
                  </w14:solidFill>
                </w14:textFill>
              </w:rPr>
              <w:t xml:space="preserve">2026年7月13日</w:t>
            </w:r>
            <w:r>
              <w:rPr>
                <w:rFonts w:hint="eastAsia" w:ascii="宋体" w:hAnsi="宋体"/>
                <w:color w:val="000000" w:themeColor="text1"/>
                <w:sz w:val="24"/>
                <w14:textFill>
                  <w14:solidFill>
                    <w14:schemeClr w14:val="tx1"/>
                  </w14:solidFill>
                </w14:textFill>
              </w:rPr>
              <w:t xml:space="preserve">09:30（北京时间）</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磋商时间：</w:t>
            </w:r>
            <w:r>
              <w:rPr>
                <w:rFonts w:hint="eastAsia" w:ascii="宋体" w:hAnsi="宋体"/>
                <w:color w:val="000000" w:themeColor="text1"/>
                <w:sz w:val="24"/>
                <w:lang w:eastAsia="zh-CN"/>
                <w14:textFill>
                  <w14:solidFill>
                    <w14:schemeClr w14:val="tx1"/>
                  </w14:solidFill>
                </w14:textFill>
              </w:rPr>
              <w:t xml:space="preserve">2026年7月13日</w:t>
            </w:r>
            <w:r>
              <w:rPr>
                <w:rFonts w:hint="eastAsia" w:ascii="宋体" w:hAnsi="宋体"/>
                <w:color w:val="000000" w:themeColor="text1"/>
                <w:sz w:val="24"/>
                <w14:textFill>
                  <w14:solidFill>
                    <w14:schemeClr w14:val="tx1"/>
                  </w14:solidFill>
                </w14:textFill>
              </w:rPr>
              <w:t xml:space="preserve">09:30（北京时间）</w:t>
            </w:r>
            <w:r/>
          </w:p>
          <w:p>
            <w:pP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磋商地点：“苏采云”政府采购交易系统网上开标大厅。</w:t>
            </w:r>
            <w:r/>
          </w:p>
        </w:tc>
      </w:tr>
      <w:tr>
        <w:trPr>
          <w:jc w:val="center"/>
          <w:trHeight w:val="1365"/>
        </w:trPr>
        <w:tc>
          <w:tcPr>
            <w:tcW w:w="766"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1522"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磋商时间</w:t>
            </w:r>
            <w:r/>
          </w:p>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w:t>
            </w:r>
            <w:r/>
          </w:p>
        </w:tc>
        <w:tc>
          <w:tcPr>
            <w:tcW w:w="6908" w:type="dxa"/>
            <w:vAlign w:val="center"/>
            <w:textDirection w:val="lrTb"/>
            <w:noWrap w:val="false"/>
          </w:tcPr>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2026年7月13日</w:t>
            </w:r>
            <w:r>
              <w:rPr>
                <w:rFonts w:hint="eastAsia" w:ascii="宋体" w:hAnsi="宋体" w:cs="宋体"/>
                <w:color w:val="000000" w:themeColor="text1"/>
                <w:sz w:val="24"/>
                <w14:textFill>
                  <w14:solidFill>
                    <w14:schemeClr w14:val="tx1"/>
                  </w14:solidFill>
                </w14:textFill>
              </w:rPr>
              <w:t xml:space="preserve">09：30（北京时间）</w:t>
            </w:r>
            <w:r/>
          </w:p>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“苏采云”系统（网址：http：//jszfcg.jsczt.cn/）</w:t>
            </w:r>
            <w:r/>
          </w:p>
          <w:p>
            <w:pP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b/>
                <w:bCs/>
                <w:color w:val="000000" w:themeColor="text1"/>
                <w:sz w:val="24"/>
                <w:szCs w:val="22"/>
                <w14:textFill>
                  <w14:solidFill>
                    <w14:schemeClr w14:val="tx1"/>
                  </w14:solidFill>
                </w14:textFill>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481"/>
        </w:trPr>
        <w:tc>
          <w:tcPr>
            <w:tcW w:w="766"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7</w:t>
            </w:r>
            <w:r/>
          </w:p>
        </w:tc>
        <w:tc>
          <w:tcPr>
            <w:tcW w:w="1522"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评审时间</w:t>
            </w:r>
            <w:r/>
          </w:p>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w:t>
            </w:r>
            <w:r/>
          </w:p>
        </w:tc>
        <w:tc>
          <w:tcPr>
            <w:tcW w:w="6908" w:type="dxa"/>
            <w:vAlign w:val="center"/>
            <w:textDirection w:val="lrTb"/>
            <w:noWrap w:val="false"/>
          </w:tcPr>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2026年7月13日</w:t>
            </w:r>
            <w:r>
              <w:rPr>
                <w:rFonts w:hint="eastAsia" w:ascii="宋体" w:hAnsi="宋体" w:cs="宋体"/>
                <w:color w:val="000000" w:themeColor="text1"/>
                <w:sz w:val="24"/>
                <w14:textFill>
                  <w14:solidFill>
                    <w14:schemeClr w14:val="tx1"/>
                  </w14:solidFill>
                </w14:textFill>
              </w:rPr>
              <w:t xml:space="preserve">09：30（北京时间）</w:t>
            </w:r>
            <w:r/>
          </w:p>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苏州市高新区邓蔚路105号狮山科技馆</w:t>
            </w:r>
            <w:r/>
          </w:p>
        </w:tc>
      </w:tr>
      <w:tr>
        <w:trPr>
          <w:jc w:val="center"/>
          <w:trHeight w:val="5350"/>
        </w:trPr>
        <w:tc>
          <w:tcPr>
            <w:tcW w:w="766"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8</w:t>
            </w:r>
            <w:r/>
          </w:p>
        </w:tc>
        <w:tc>
          <w:tcPr>
            <w:tcW w:w="1522"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w:t>
            </w:r>
            <w:r/>
          </w:p>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服务费</w:t>
            </w:r>
            <w:r/>
          </w:p>
        </w:tc>
        <w:tc>
          <w:tcPr>
            <w:tcW w:w="6908" w:type="dxa"/>
            <w:vAlign w:val="center"/>
            <w:textDirection w:val="lrTb"/>
            <w:noWrap w:val="false"/>
          </w:tcPr>
          <w:p>
            <w:pPr>
              <w:ind w:firstLine="480"/>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成交服务费：应采购单位要求，项目采购预算包含成交服务费，成交服务费由成交供应商支付。根据苏财购告【2017】23号文件的规定收取成交服务费。领取成交通知书时成交供应商向招标代理机构一次性付清。按照采购预算100万元以内1.5%、100～500万元以1.1%、500~1000万元以0.8%，差额定率累进法计算并支付成交服务费。</w:t>
            </w:r>
            <w:r>
              <w:rPr>
                <w:rFonts w:hint="eastAsia" w:ascii="宋体" w:hAnsi="宋体" w:cs="宋体"/>
                <w:color w:val="000000" w:themeColor="text1"/>
                <w:sz w:val="24"/>
                <w14:textFill>
                  <w14:solidFill>
                    <w14:schemeClr w14:val="tx1"/>
                  </w14:solidFill>
                </w14:textFill>
              </w:rPr>
              <w:t xml:space="preserve">单个项目收费不低于3000.00元。</w:t>
            </w:r>
            <w:r/>
          </w:p>
          <w:p>
            <w:pPr>
              <w:ind w:firstLine="480"/>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说明：代理服务费以采购预算金额为基数依据，按以上规定的标准和差额定率累进法进行计算收取。例：如预算金额为150万元，则代理服务费＝100万元以下部分×1.5%＋（500万元－100万元以下部分）×1.1%。</w:t>
            </w:r>
            <w:r/>
          </w:p>
          <w:p>
            <w:pPr>
              <w:ind w:firstLine="48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本项目代理服务费为￥38210元；由成交单位支付，在领取成交通知书时向采购代理机构一次性付清。</w:t>
            </w:r>
            <w:r/>
          </w:p>
          <w:p>
            <w:pPr>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576"/>
        </w:trPr>
        <w:tc>
          <w:tcPr>
            <w:tcW w:w="766"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9</w:t>
            </w:r>
            <w:r/>
          </w:p>
        </w:tc>
        <w:tc>
          <w:tcPr>
            <w:tcW w:w="1522"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监督管理</w:t>
            </w:r>
            <w:r/>
          </w:p>
        </w:tc>
        <w:tc>
          <w:tcPr>
            <w:tcW w:w="6908" w:type="dxa"/>
            <w:vAlign w:val="center"/>
            <w:textDirection w:val="lrTb"/>
            <w:noWrap w:val="false"/>
          </w:tcPr>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苏州太湖新城吴中管理委员会监管电话：（0512）65169307</w:t>
            </w:r>
            <w:r/>
          </w:p>
        </w:tc>
      </w:tr>
    </w:tbl>
    <w:p>
      <w:pPr>
        <w:jc w:val="center"/>
        <w:tabs>
          <w:tab w:val="left" w:pos="315" w:leader="none"/>
          <w:tab w:val="center" w:pos="4153"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tabs>
          <w:tab w:val="left" w:pos="315" w:leader="none"/>
          <w:tab w:val="center" w:pos="4153"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tabs>
          <w:tab w:val="left" w:pos="315" w:leader="none"/>
          <w:tab w:val="center" w:pos="4153" w:leader="none"/>
        </w:tabs>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br w:type="page" w:clear="all"/>
      </w:r>
      <w:r/>
    </w:p>
    <w:p>
      <w:pPr>
        <w:pStyle w:val="942"/>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pStyle w:val="928"/>
        <w:ind w:left="0"/>
        <w:rPr>
          <w:color w:val="000000" w:themeColor="text1"/>
          <w14:textFill>
            <w14:solidFill>
              <w14:schemeClr w14:val="tx1"/>
            </w14:solidFill>
          </w14:textFill>
        </w:rPr>
      </w:pPr>
      <w:r>
        <w:rPr>
          <w:color w:val="000000" w:themeColor="text1"/>
          <w14:textFill>
            <w14:solidFill>
              <w14:schemeClr w14:val="tx1"/>
            </w14:solidFill>
          </w14:textFill>
        </w:rPr>
      </w:r>
      <w:r/>
    </w:p>
    <w:p>
      <w:pPr>
        <w:jc w:val="center"/>
        <w:tabs>
          <w:tab w:val="left" w:pos="315" w:leader="none"/>
          <w:tab w:val="center" w:pos="4153" w:leader="none"/>
        </w:tabs>
        <w:rPr>
          <w:rFonts w:hint="eastAsia" w:ascii="黑体" w:hAnsi="宋体" w:eastAsia="黑体" w:cs="宋体"/>
          <w:b/>
          <w:color w:val="000000" w:themeColor="text1"/>
          <w:sz w:val="44"/>
          <w14:textFill>
            <w14:solidFill>
              <w14:schemeClr w14:val="tx1"/>
            </w14:solidFill>
          </w14:textFill>
        </w:rPr>
      </w:pPr>
      <w:r>
        <w:rPr>
          <w:rFonts w:hint="eastAsia" w:ascii="黑体" w:hAnsi="宋体" w:eastAsia="黑体" w:cs="宋体"/>
          <w:b/>
          <w:color w:val="000000" w:themeColor="text1"/>
          <w:sz w:val="44"/>
          <w14:textFill>
            <w14:solidFill>
              <w14:schemeClr w14:val="tx1"/>
            </w14:solidFill>
          </w14:textFill>
        </w:rPr>
        <w:t xml:space="preserve">总目录</w:t>
      </w:r>
      <w:r/>
    </w:p>
    <w:p>
      <w:pPr>
        <w:jc w:val="center"/>
        <w:tabs>
          <w:tab w:val="left" w:pos="315" w:leader="none"/>
          <w:tab w:val="center" w:pos="4153"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tabs>
          <w:tab w:val="left" w:pos="315" w:leader="none"/>
          <w:tab w:val="center" w:pos="4153" w:leader="none"/>
        </w:tabs>
        <w:rPr>
          <w:rFonts w:eastAsia="黑体"/>
          <w:color w:val="000000" w:themeColor="text1"/>
          <w:sz w:val="24"/>
          <w14:textFill>
            <w14:solidFill>
              <w14:schemeClr w14:val="tx1"/>
            </w14:solidFill>
          </w14:textFill>
        </w:rPr>
      </w:pPr>
      <w:r>
        <w:rPr>
          <w:rFonts w:eastAsia="黑体"/>
          <w:color w:val="000000" w:themeColor="text1"/>
          <w:sz w:val="24"/>
          <w14:textFill>
            <w14:solidFill>
              <w14:schemeClr w14:val="tx1"/>
            </w14:solidFill>
          </w14:textFill>
        </w:rPr>
      </w:r>
      <w:r/>
    </w:p>
    <w:p>
      <w:pPr>
        <w:tabs>
          <w:tab w:val="left" w:pos="315" w:leader="none"/>
          <w:tab w:val="center" w:pos="4153" w:leader="none"/>
        </w:tabs>
        <w:rPr>
          <w:rFonts w:eastAsia="黑体"/>
          <w:b/>
          <w:color w:val="000000" w:themeColor="text1"/>
          <w:sz w:val="24"/>
          <w14:textFill>
            <w14:solidFill>
              <w14:schemeClr w14:val="tx1"/>
            </w14:solidFill>
          </w14:textFill>
        </w:rPr>
      </w:pPr>
      <w:r>
        <w:rPr>
          <w:rFonts w:eastAsia="黑体"/>
          <w:b/>
          <w:color w:val="000000" w:themeColor="text1"/>
          <w:sz w:val="24"/>
          <w14:textFill>
            <w14:solidFill>
              <w14:schemeClr w14:val="tx1"/>
            </w14:solidFill>
          </w14:textFill>
        </w:rPr>
      </w:r>
      <w:r/>
    </w:p>
    <w:p>
      <w:pPr>
        <w:spacing w:line="360" w:lineRule="auto"/>
        <w:tabs>
          <w:tab w:val="left" w:pos="315" w:leader="none"/>
          <w:tab w:val="center" w:pos="4153" w:leader="none"/>
        </w:tabs>
        <w:rPr>
          <w:rFonts w:eastAsia="黑体"/>
          <w:b/>
          <w:color w:val="000000" w:themeColor="text1"/>
          <w:sz w:val="56"/>
          <w:szCs w:val="56"/>
          <w14:textFill>
            <w14:solidFill>
              <w14:schemeClr w14:val="tx1"/>
            </w14:solidFill>
          </w14:textFill>
        </w:rPr>
      </w:pPr>
      <w:r>
        <w:rPr>
          <w:rFonts w:eastAsia="黑体"/>
          <w:b/>
          <w:color w:val="000000" w:themeColor="text1"/>
          <w:sz w:val="56"/>
          <w:szCs w:val="56"/>
          <w14:textFill>
            <w14:solidFill>
              <w14:schemeClr w14:val="tx1"/>
            </w14:solidFill>
          </w14:textFill>
        </w:rPr>
      </w:r>
      <w:r/>
    </w:p>
    <w:p>
      <w:pPr>
        <w:pStyle w:val="892"/>
        <w:tabs>
          <w:tab w:val="right" w:pos="8312" w:leader="dot"/>
        </w:tabs>
        <w:rPr>
          <w:color w:val="000000" w:themeColor="text1"/>
          <w:sz w:val="40"/>
          <w:szCs w:val="48"/>
          <w14:textFill>
            <w14:solidFill>
              <w14:schemeClr w14:val="tx1"/>
            </w14:solidFill>
          </w14:textFill>
        </w:rPr>
      </w:pPr>
      <w:r>
        <w:rPr>
          <w:rFonts w:eastAsia="黑体"/>
          <w:b/>
          <w:color w:val="000000" w:themeColor="text1"/>
          <w:sz w:val="192"/>
          <w:szCs w:val="192"/>
          <w14:textFill>
            <w14:solidFill>
              <w14:schemeClr w14:val="tx1"/>
            </w14:solidFill>
          </w14:textFill>
        </w:rPr>
        <w:fldChar w:fldCharType="begin"/>
      </w:r>
      <w:r>
        <w:rPr>
          <w:rFonts w:eastAsia="黑体"/>
          <w:b/>
          <w:color w:val="000000" w:themeColor="text1"/>
          <w:sz w:val="192"/>
          <w:szCs w:val="192"/>
          <w14:textFill>
            <w14:solidFill>
              <w14:schemeClr w14:val="tx1"/>
            </w14:solidFill>
          </w14:textFill>
        </w:rPr>
        <w:instrText xml:space="preserve"> TOC \o "1-1" \h \z \u </w:instrText>
      </w:r>
      <w:r>
        <w:rPr>
          <w:rFonts w:eastAsia="黑体"/>
          <w:b/>
          <w:color w:val="000000" w:themeColor="text1"/>
          <w:sz w:val="192"/>
          <w:szCs w:val="192"/>
          <w14:textFill>
            <w14:solidFill>
              <w14:schemeClr w14:val="tx1"/>
            </w14:solidFill>
          </w14:textFill>
        </w:rPr>
        <w:fldChar w:fldCharType="separate"/>
      </w:r>
      <w:r>
        <w:fldChar w:fldCharType="begin"/>
      </w:r>
      <w:r>
        <w:instrText xml:space="preserve"> HYPERLINK \l "_Toc19146" </w:instrText>
      </w:r>
      <w:r>
        <w:fldChar w:fldCharType="separate"/>
      </w:r>
      <w:r>
        <w:rPr>
          <w:rFonts w:hint="eastAsia" w:ascii="黑体" w:hAnsi="宋体" w:eastAsia="黑体"/>
          <w:color w:val="000000" w:themeColor="text1"/>
          <w:sz w:val="40"/>
          <w:szCs w:val="28"/>
          <w14:textFill>
            <w14:solidFill>
              <w14:schemeClr w14:val="tx1"/>
            </w14:solidFill>
          </w14:textFill>
        </w:rPr>
        <w:t xml:space="preserve">第一章  竞争性磋商公告</w:t>
      </w:r>
      <w:r>
        <w:rPr>
          <w:color w:val="000000" w:themeColor="text1"/>
          <w:sz w:val="40"/>
          <w:szCs w:val="48"/>
          <w14:textFill>
            <w14:solidFill>
              <w14:schemeClr w14:val="tx1"/>
            </w14:solidFill>
          </w14:textFill>
        </w:rPr>
        <w:tab/>
      </w:r>
      <w:r>
        <w:rPr>
          <w:color w:val="000000" w:themeColor="text1"/>
          <w:sz w:val="40"/>
          <w:szCs w:val="48"/>
          <w14:textFill>
            <w14:solidFill>
              <w14:schemeClr w14:val="tx1"/>
            </w14:solidFill>
          </w14:textFill>
        </w:rPr>
        <w:fldChar w:fldCharType="begin"/>
      </w:r>
      <w:r>
        <w:rPr>
          <w:color w:val="000000" w:themeColor="text1"/>
          <w:sz w:val="40"/>
          <w:szCs w:val="48"/>
          <w14:textFill>
            <w14:solidFill>
              <w14:schemeClr w14:val="tx1"/>
            </w14:solidFill>
          </w14:textFill>
        </w:rPr>
        <w:instrText xml:space="preserve"> PAGEREF _Toc19146 \h </w:instrText>
      </w:r>
      <w:r>
        <w:rPr>
          <w:color w:val="000000" w:themeColor="text1"/>
          <w:sz w:val="40"/>
          <w:szCs w:val="48"/>
          <w14:textFill>
            <w14:solidFill>
              <w14:schemeClr w14:val="tx1"/>
            </w14:solidFill>
          </w14:textFill>
        </w:rPr>
        <w:fldChar w:fldCharType="separate"/>
      </w:r>
      <w:r>
        <w:rPr>
          <w:color w:val="000000" w:themeColor="text1"/>
          <w:sz w:val="40"/>
          <w:szCs w:val="48"/>
          <w14:textFill>
            <w14:solidFill>
              <w14:schemeClr w14:val="tx1"/>
            </w14:solidFill>
          </w14:textFill>
        </w:rPr>
        <w:t xml:space="preserve">5</w:t>
      </w:r>
      <w:r>
        <w:rPr>
          <w:color w:val="000000" w:themeColor="text1"/>
          <w:sz w:val="40"/>
          <w:szCs w:val="48"/>
          <w14:textFill>
            <w14:solidFill>
              <w14:schemeClr w14:val="tx1"/>
            </w14:solidFill>
          </w14:textFill>
        </w:rPr>
      </w:r>
      <w:r>
        <w:rPr>
          <w:color w:val="000000" w:themeColor="text1"/>
          <w:sz w:val="40"/>
          <w:szCs w:val="48"/>
          <w14:textFill>
            <w14:solidFill>
              <w14:schemeClr w14:val="tx1"/>
            </w14:solidFill>
          </w14:textFill>
        </w:rPr>
        <w:fldChar w:fldCharType="end"/>
      </w:r>
      <w:r>
        <w:rPr>
          <w:color w:val="000000" w:themeColor="text1"/>
          <w:sz w:val="40"/>
          <w:szCs w:val="48"/>
          <w14:textFill>
            <w14:solidFill>
              <w14:schemeClr w14:val="tx1"/>
            </w14:solidFill>
          </w14:textFill>
        </w:rPr>
        <w:fldChar w:fldCharType="end"/>
      </w:r>
      <w:r/>
    </w:p>
    <w:p>
      <w:pPr>
        <w:pStyle w:val="892"/>
        <w:tabs>
          <w:tab w:val="right" w:pos="8312" w:leader="dot"/>
        </w:tabs>
        <w:rPr>
          <w:color w:val="000000" w:themeColor="text1"/>
          <w:sz w:val="40"/>
          <w:szCs w:val="48"/>
          <w14:textFill>
            <w14:solidFill>
              <w14:schemeClr w14:val="tx1"/>
            </w14:solidFill>
          </w14:textFill>
        </w:rPr>
      </w:pPr>
      <w:r>
        <w:fldChar w:fldCharType="begin"/>
      </w:r>
      <w:r>
        <w:instrText xml:space="preserve"> HYPERLINK \l "_Toc26670" </w:instrText>
      </w:r>
      <w:r>
        <w:fldChar w:fldCharType="separate"/>
      </w:r>
      <w:r>
        <w:rPr>
          <w:rFonts w:hint="eastAsia" w:ascii="黑体" w:hAnsi="宋体" w:eastAsia="黑体"/>
          <w:color w:val="000000" w:themeColor="text1"/>
          <w:sz w:val="40"/>
          <w:szCs w:val="28"/>
          <w14:textFill>
            <w14:solidFill>
              <w14:schemeClr w14:val="tx1"/>
            </w14:solidFill>
          </w14:textFill>
        </w:rPr>
        <w:t xml:space="preserve">第二章</w:t>
      </w:r>
      <w:r>
        <w:rPr>
          <w:rFonts w:ascii="黑体" w:hAnsi="宋体" w:eastAsia="黑体"/>
          <w:color w:val="000000" w:themeColor="text1"/>
          <w:sz w:val="40"/>
          <w:szCs w:val="28"/>
          <w14:textFill>
            <w14:solidFill>
              <w14:schemeClr w14:val="tx1"/>
            </w14:solidFill>
          </w14:textFill>
        </w:rPr>
        <w:t xml:space="preserve"> </w:t>
      </w:r>
      <w:r>
        <w:rPr>
          <w:rFonts w:hint="eastAsia" w:ascii="黑体" w:hAnsi="宋体" w:eastAsia="黑体"/>
          <w:color w:val="000000" w:themeColor="text1"/>
          <w:sz w:val="40"/>
          <w:szCs w:val="28"/>
          <w14:textFill>
            <w14:solidFill>
              <w14:schemeClr w14:val="tx1"/>
            </w14:solidFill>
          </w14:textFill>
        </w:rPr>
        <w:t xml:space="preserve"> 供应商须知</w:t>
      </w:r>
      <w:r>
        <w:rPr>
          <w:color w:val="000000" w:themeColor="text1"/>
          <w:sz w:val="40"/>
          <w:szCs w:val="48"/>
          <w14:textFill>
            <w14:solidFill>
              <w14:schemeClr w14:val="tx1"/>
            </w14:solidFill>
          </w14:textFill>
        </w:rPr>
        <w:tab/>
      </w:r>
      <w:r>
        <w:rPr>
          <w:color w:val="000000" w:themeColor="text1"/>
          <w:sz w:val="40"/>
          <w:szCs w:val="48"/>
          <w14:textFill>
            <w14:solidFill>
              <w14:schemeClr w14:val="tx1"/>
            </w14:solidFill>
          </w14:textFill>
        </w:rPr>
        <w:fldChar w:fldCharType="begin"/>
      </w:r>
      <w:r>
        <w:rPr>
          <w:color w:val="000000" w:themeColor="text1"/>
          <w:sz w:val="40"/>
          <w:szCs w:val="48"/>
          <w14:textFill>
            <w14:solidFill>
              <w14:schemeClr w14:val="tx1"/>
            </w14:solidFill>
          </w14:textFill>
        </w:rPr>
        <w:instrText xml:space="preserve"> PAGEREF _Toc26670 \h </w:instrText>
      </w:r>
      <w:r>
        <w:rPr>
          <w:color w:val="000000" w:themeColor="text1"/>
          <w:sz w:val="40"/>
          <w:szCs w:val="48"/>
          <w14:textFill>
            <w14:solidFill>
              <w14:schemeClr w14:val="tx1"/>
            </w14:solidFill>
          </w14:textFill>
        </w:rPr>
        <w:fldChar w:fldCharType="separate"/>
      </w:r>
      <w:r>
        <w:rPr>
          <w:color w:val="000000" w:themeColor="text1"/>
          <w:sz w:val="40"/>
          <w:szCs w:val="48"/>
          <w14:textFill>
            <w14:solidFill>
              <w14:schemeClr w14:val="tx1"/>
            </w14:solidFill>
          </w14:textFill>
        </w:rPr>
        <w:t xml:space="preserve">10</w:t>
      </w:r>
      <w:r>
        <w:rPr>
          <w:color w:val="000000" w:themeColor="text1"/>
          <w:sz w:val="40"/>
          <w:szCs w:val="48"/>
          <w14:textFill>
            <w14:solidFill>
              <w14:schemeClr w14:val="tx1"/>
            </w14:solidFill>
          </w14:textFill>
        </w:rPr>
      </w:r>
      <w:r>
        <w:rPr>
          <w:color w:val="000000" w:themeColor="text1"/>
          <w:sz w:val="40"/>
          <w:szCs w:val="48"/>
          <w14:textFill>
            <w14:solidFill>
              <w14:schemeClr w14:val="tx1"/>
            </w14:solidFill>
          </w14:textFill>
        </w:rPr>
        <w:fldChar w:fldCharType="end"/>
      </w:r>
      <w:r>
        <w:rPr>
          <w:color w:val="000000" w:themeColor="text1"/>
          <w:sz w:val="40"/>
          <w:szCs w:val="48"/>
          <w14:textFill>
            <w14:solidFill>
              <w14:schemeClr w14:val="tx1"/>
            </w14:solidFill>
          </w14:textFill>
        </w:rPr>
        <w:fldChar w:fldCharType="end"/>
      </w:r>
      <w:r/>
    </w:p>
    <w:p>
      <w:pPr>
        <w:pStyle w:val="892"/>
        <w:tabs>
          <w:tab w:val="right" w:pos="8312" w:leader="dot"/>
        </w:tabs>
        <w:rPr>
          <w:color w:val="000000" w:themeColor="text1"/>
          <w:sz w:val="40"/>
          <w:szCs w:val="48"/>
          <w14:textFill>
            <w14:solidFill>
              <w14:schemeClr w14:val="tx1"/>
            </w14:solidFill>
          </w14:textFill>
        </w:rPr>
      </w:pPr>
      <w:r>
        <w:fldChar w:fldCharType="begin"/>
      </w:r>
      <w:r>
        <w:instrText xml:space="preserve"> HYPERLINK \l "_Toc20478" </w:instrText>
      </w:r>
      <w:r>
        <w:fldChar w:fldCharType="separate"/>
      </w:r>
      <w:r>
        <w:rPr>
          <w:rFonts w:hint="eastAsia" w:ascii="黑体" w:hAnsi="宋体" w:eastAsia="黑体"/>
          <w:color w:val="000000" w:themeColor="text1"/>
          <w:sz w:val="40"/>
          <w:szCs w:val="28"/>
          <w14:textFill>
            <w14:solidFill>
              <w14:schemeClr w14:val="tx1"/>
            </w14:solidFill>
          </w14:textFill>
        </w:rPr>
        <w:t xml:space="preserve">第三章  采购需求</w:t>
      </w:r>
      <w:r>
        <w:rPr>
          <w:color w:val="000000" w:themeColor="text1"/>
          <w:sz w:val="40"/>
          <w:szCs w:val="48"/>
          <w14:textFill>
            <w14:solidFill>
              <w14:schemeClr w14:val="tx1"/>
            </w14:solidFill>
          </w14:textFill>
        </w:rPr>
        <w:tab/>
      </w:r>
      <w:r>
        <w:rPr>
          <w:color w:val="000000" w:themeColor="text1"/>
          <w:sz w:val="40"/>
          <w:szCs w:val="48"/>
          <w14:textFill>
            <w14:solidFill>
              <w14:schemeClr w14:val="tx1"/>
            </w14:solidFill>
          </w14:textFill>
        </w:rPr>
        <w:fldChar w:fldCharType="begin"/>
      </w:r>
      <w:r>
        <w:rPr>
          <w:color w:val="000000" w:themeColor="text1"/>
          <w:sz w:val="40"/>
          <w:szCs w:val="48"/>
          <w14:textFill>
            <w14:solidFill>
              <w14:schemeClr w14:val="tx1"/>
            </w14:solidFill>
          </w14:textFill>
        </w:rPr>
        <w:instrText xml:space="preserve"> PAGEREF _Toc20478 \h </w:instrText>
      </w:r>
      <w:r>
        <w:rPr>
          <w:color w:val="000000" w:themeColor="text1"/>
          <w:sz w:val="40"/>
          <w:szCs w:val="48"/>
          <w14:textFill>
            <w14:solidFill>
              <w14:schemeClr w14:val="tx1"/>
            </w14:solidFill>
          </w14:textFill>
        </w:rPr>
        <w:fldChar w:fldCharType="separate"/>
      </w:r>
      <w:r>
        <w:rPr>
          <w:color w:val="000000" w:themeColor="text1"/>
          <w:sz w:val="40"/>
          <w:szCs w:val="48"/>
          <w14:textFill>
            <w14:solidFill>
              <w14:schemeClr w14:val="tx1"/>
            </w14:solidFill>
          </w14:textFill>
        </w:rPr>
        <w:t xml:space="preserve">22</w:t>
      </w:r>
      <w:r>
        <w:rPr>
          <w:color w:val="000000" w:themeColor="text1"/>
          <w:sz w:val="40"/>
          <w:szCs w:val="48"/>
          <w14:textFill>
            <w14:solidFill>
              <w14:schemeClr w14:val="tx1"/>
            </w14:solidFill>
          </w14:textFill>
        </w:rPr>
      </w:r>
      <w:r>
        <w:rPr>
          <w:color w:val="000000" w:themeColor="text1"/>
          <w:sz w:val="40"/>
          <w:szCs w:val="48"/>
          <w14:textFill>
            <w14:solidFill>
              <w14:schemeClr w14:val="tx1"/>
            </w14:solidFill>
          </w14:textFill>
        </w:rPr>
        <w:fldChar w:fldCharType="end"/>
      </w:r>
      <w:r>
        <w:rPr>
          <w:color w:val="000000" w:themeColor="text1"/>
          <w:sz w:val="40"/>
          <w:szCs w:val="48"/>
          <w14:textFill>
            <w14:solidFill>
              <w14:schemeClr w14:val="tx1"/>
            </w14:solidFill>
          </w14:textFill>
        </w:rPr>
        <w:fldChar w:fldCharType="end"/>
      </w:r>
      <w:r/>
    </w:p>
    <w:p>
      <w:pPr>
        <w:pStyle w:val="892"/>
        <w:tabs>
          <w:tab w:val="right" w:pos="8312" w:leader="dot"/>
        </w:tabs>
        <w:rPr>
          <w:color w:val="000000" w:themeColor="text1"/>
          <w:sz w:val="40"/>
          <w:szCs w:val="48"/>
          <w14:textFill>
            <w14:solidFill>
              <w14:schemeClr w14:val="tx1"/>
            </w14:solidFill>
          </w14:textFill>
        </w:rPr>
      </w:pPr>
      <w:r>
        <w:fldChar w:fldCharType="begin"/>
      </w:r>
      <w:r>
        <w:instrText xml:space="preserve"> HYPERLINK \l "_Toc14138" </w:instrText>
      </w:r>
      <w:r>
        <w:fldChar w:fldCharType="separate"/>
      </w:r>
      <w:r>
        <w:rPr>
          <w:rFonts w:hint="eastAsia" w:ascii="黑体" w:hAnsi="宋体" w:eastAsia="黑体"/>
          <w:color w:val="000000" w:themeColor="text1"/>
          <w:sz w:val="40"/>
          <w:szCs w:val="48"/>
          <w14:textFill>
            <w14:solidFill>
              <w14:schemeClr w14:val="tx1"/>
            </w14:solidFill>
          </w14:textFill>
        </w:rPr>
        <w:t xml:space="preserve">第四章  合同主要条款</w:t>
      </w:r>
      <w:r>
        <w:rPr>
          <w:color w:val="000000" w:themeColor="text1"/>
          <w:sz w:val="40"/>
          <w:szCs w:val="48"/>
          <w14:textFill>
            <w14:solidFill>
              <w14:schemeClr w14:val="tx1"/>
            </w14:solidFill>
          </w14:textFill>
        </w:rPr>
        <w:tab/>
      </w:r>
      <w:r>
        <w:rPr>
          <w:color w:val="000000" w:themeColor="text1"/>
          <w:sz w:val="40"/>
          <w:szCs w:val="48"/>
          <w14:textFill>
            <w14:solidFill>
              <w14:schemeClr w14:val="tx1"/>
            </w14:solidFill>
          </w14:textFill>
        </w:rPr>
        <w:fldChar w:fldCharType="begin"/>
      </w:r>
      <w:r>
        <w:rPr>
          <w:color w:val="000000" w:themeColor="text1"/>
          <w:sz w:val="40"/>
          <w:szCs w:val="48"/>
          <w14:textFill>
            <w14:solidFill>
              <w14:schemeClr w14:val="tx1"/>
            </w14:solidFill>
          </w14:textFill>
        </w:rPr>
        <w:instrText xml:space="preserve"> PAGEREF _Toc14138 \h </w:instrText>
      </w:r>
      <w:r>
        <w:rPr>
          <w:color w:val="000000" w:themeColor="text1"/>
          <w:sz w:val="40"/>
          <w:szCs w:val="48"/>
          <w14:textFill>
            <w14:solidFill>
              <w14:schemeClr w14:val="tx1"/>
            </w14:solidFill>
          </w14:textFill>
        </w:rPr>
        <w:fldChar w:fldCharType="separate"/>
      </w:r>
      <w:r>
        <w:rPr>
          <w:color w:val="000000" w:themeColor="text1"/>
          <w:sz w:val="40"/>
          <w:szCs w:val="48"/>
          <w14:textFill>
            <w14:solidFill>
              <w14:schemeClr w14:val="tx1"/>
            </w14:solidFill>
          </w14:textFill>
        </w:rPr>
        <w:t xml:space="preserve">33</w:t>
      </w:r>
      <w:r>
        <w:rPr>
          <w:color w:val="000000" w:themeColor="text1"/>
          <w:sz w:val="40"/>
          <w:szCs w:val="48"/>
          <w14:textFill>
            <w14:solidFill>
              <w14:schemeClr w14:val="tx1"/>
            </w14:solidFill>
          </w14:textFill>
        </w:rPr>
      </w:r>
      <w:r>
        <w:rPr>
          <w:color w:val="000000" w:themeColor="text1"/>
          <w:sz w:val="40"/>
          <w:szCs w:val="48"/>
          <w14:textFill>
            <w14:solidFill>
              <w14:schemeClr w14:val="tx1"/>
            </w14:solidFill>
          </w14:textFill>
        </w:rPr>
        <w:fldChar w:fldCharType="end"/>
      </w:r>
      <w:r>
        <w:rPr>
          <w:color w:val="000000" w:themeColor="text1"/>
          <w:sz w:val="40"/>
          <w:szCs w:val="48"/>
          <w14:textFill>
            <w14:solidFill>
              <w14:schemeClr w14:val="tx1"/>
            </w14:solidFill>
          </w14:textFill>
        </w:rPr>
        <w:fldChar w:fldCharType="end"/>
      </w:r>
      <w:r/>
    </w:p>
    <w:p>
      <w:pPr>
        <w:pStyle w:val="892"/>
        <w:tabs>
          <w:tab w:val="right" w:pos="8312" w:leader="dot"/>
        </w:tabs>
        <w:rPr>
          <w:color w:val="000000" w:themeColor="text1"/>
          <w:sz w:val="40"/>
          <w:szCs w:val="48"/>
          <w14:textFill>
            <w14:solidFill>
              <w14:schemeClr w14:val="tx1"/>
            </w14:solidFill>
          </w14:textFill>
        </w:rPr>
      </w:pPr>
      <w:r>
        <w:fldChar w:fldCharType="begin"/>
      </w:r>
      <w:r>
        <w:instrText xml:space="preserve"> HYPERLINK \l "_Toc25383" </w:instrText>
      </w:r>
      <w:r>
        <w:fldChar w:fldCharType="separate"/>
      </w:r>
      <w:r>
        <w:rPr>
          <w:rFonts w:hint="eastAsia" w:ascii="黑体" w:hAnsi="宋体" w:eastAsia="黑体"/>
          <w:color w:val="000000" w:themeColor="text1"/>
          <w:sz w:val="40"/>
          <w:szCs w:val="28"/>
          <w14:textFill>
            <w14:solidFill>
              <w14:schemeClr w14:val="tx1"/>
            </w14:solidFill>
          </w14:textFill>
        </w:rPr>
        <w:t xml:space="preserve">第五章  评审办法</w:t>
      </w:r>
      <w:r>
        <w:rPr>
          <w:color w:val="000000" w:themeColor="text1"/>
          <w:sz w:val="40"/>
          <w:szCs w:val="48"/>
          <w14:textFill>
            <w14:solidFill>
              <w14:schemeClr w14:val="tx1"/>
            </w14:solidFill>
          </w14:textFill>
        </w:rPr>
        <w:tab/>
      </w:r>
      <w:r>
        <w:rPr>
          <w:color w:val="000000" w:themeColor="text1"/>
          <w:sz w:val="40"/>
          <w:szCs w:val="48"/>
          <w14:textFill>
            <w14:solidFill>
              <w14:schemeClr w14:val="tx1"/>
            </w14:solidFill>
          </w14:textFill>
        </w:rPr>
        <w:fldChar w:fldCharType="begin"/>
      </w:r>
      <w:r>
        <w:rPr>
          <w:color w:val="000000" w:themeColor="text1"/>
          <w:sz w:val="40"/>
          <w:szCs w:val="48"/>
          <w14:textFill>
            <w14:solidFill>
              <w14:schemeClr w14:val="tx1"/>
            </w14:solidFill>
          </w14:textFill>
        </w:rPr>
        <w:instrText xml:space="preserve"> PAGEREF _Toc25383 \h </w:instrText>
      </w:r>
      <w:r>
        <w:rPr>
          <w:color w:val="000000" w:themeColor="text1"/>
          <w:sz w:val="40"/>
          <w:szCs w:val="48"/>
          <w14:textFill>
            <w14:solidFill>
              <w14:schemeClr w14:val="tx1"/>
            </w14:solidFill>
          </w14:textFill>
        </w:rPr>
        <w:fldChar w:fldCharType="separate"/>
      </w:r>
      <w:r>
        <w:rPr>
          <w:color w:val="000000" w:themeColor="text1"/>
          <w:sz w:val="40"/>
          <w:szCs w:val="48"/>
          <w14:textFill>
            <w14:solidFill>
              <w14:schemeClr w14:val="tx1"/>
            </w14:solidFill>
          </w14:textFill>
        </w:rPr>
        <w:t xml:space="preserve">44</w:t>
      </w:r>
      <w:r>
        <w:rPr>
          <w:color w:val="000000" w:themeColor="text1"/>
          <w:sz w:val="40"/>
          <w:szCs w:val="48"/>
          <w14:textFill>
            <w14:solidFill>
              <w14:schemeClr w14:val="tx1"/>
            </w14:solidFill>
          </w14:textFill>
        </w:rPr>
      </w:r>
      <w:r>
        <w:rPr>
          <w:color w:val="000000" w:themeColor="text1"/>
          <w:sz w:val="40"/>
          <w:szCs w:val="48"/>
          <w14:textFill>
            <w14:solidFill>
              <w14:schemeClr w14:val="tx1"/>
            </w14:solidFill>
          </w14:textFill>
        </w:rPr>
        <w:fldChar w:fldCharType="end"/>
      </w:r>
      <w:r>
        <w:rPr>
          <w:color w:val="000000" w:themeColor="text1"/>
          <w:sz w:val="40"/>
          <w:szCs w:val="48"/>
          <w14:textFill>
            <w14:solidFill>
              <w14:schemeClr w14:val="tx1"/>
            </w14:solidFill>
          </w14:textFill>
        </w:rPr>
        <w:fldChar w:fldCharType="end"/>
      </w:r>
      <w:r/>
    </w:p>
    <w:p>
      <w:pPr>
        <w:pStyle w:val="892"/>
        <w:tabs>
          <w:tab w:val="right" w:pos="8312" w:leader="dot"/>
        </w:tabs>
        <w:rPr>
          <w:color w:val="000000" w:themeColor="text1"/>
          <w:sz w:val="40"/>
          <w:szCs w:val="48"/>
          <w14:textFill>
            <w14:solidFill>
              <w14:schemeClr w14:val="tx1"/>
            </w14:solidFill>
          </w14:textFill>
        </w:rPr>
      </w:pPr>
      <w:r>
        <w:fldChar w:fldCharType="begin"/>
      </w:r>
      <w:r>
        <w:instrText xml:space="preserve"> HYPERLINK \l "_Toc26351" </w:instrText>
      </w:r>
      <w:r>
        <w:fldChar w:fldCharType="separate"/>
      </w:r>
      <w:r>
        <w:rPr>
          <w:rFonts w:hint="eastAsia" w:ascii="黑体" w:hAnsi="宋体" w:eastAsia="黑体"/>
          <w:color w:val="000000" w:themeColor="text1"/>
          <w:sz w:val="40"/>
          <w:szCs w:val="28"/>
          <w14:textFill>
            <w14:solidFill>
              <w14:schemeClr w14:val="tx1"/>
            </w14:solidFill>
          </w14:textFill>
        </w:rPr>
        <w:t xml:space="preserve">第六章  磋商响应文件格式</w:t>
      </w:r>
      <w:r>
        <w:rPr>
          <w:color w:val="000000" w:themeColor="text1"/>
          <w:sz w:val="40"/>
          <w:szCs w:val="48"/>
          <w14:textFill>
            <w14:solidFill>
              <w14:schemeClr w14:val="tx1"/>
            </w14:solidFill>
          </w14:textFill>
        </w:rPr>
        <w:tab/>
      </w:r>
      <w:r>
        <w:rPr>
          <w:color w:val="000000" w:themeColor="text1"/>
          <w:sz w:val="40"/>
          <w:szCs w:val="48"/>
          <w14:textFill>
            <w14:solidFill>
              <w14:schemeClr w14:val="tx1"/>
            </w14:solidFill>
          </w14:textFill>
        </w:rPr>
        <w:fldChar w:fldCharType="begin"/>
      </w:r>
      <w:r>
        <w:rPr>
          <w:color w:val="000000" w:themeColor="text1"/>
          <w:sz w:val="40"/>
          <w:szCs w:val="48"/>
          <w14:textFill>
            <w14:solidFill>
              <w14:schemeClr w14:val="tx1"/>
            </w14:solidFill>
          </w14:textFill>
        </w:rPr>
        <w:instrText xml:space="preserve"> PAGEREF _Toc26351 \h </w:instrText>
      </w:r>
      <w:r>
        <w:rPr>
          <w:color w:val="000000" w:themeColor="text1"/>
          <w:sz w:val="40"/>
          <w:szCs w:val="48"/>
          <w14:textFill>
            <w14:solidFill>
              <w14:schemeClr w14:val="tx1"/>
            </w14:solidFill>
          </w14:textFill>
        </w:rPr>
        <w:fldChar w:fldCharType="separate"/>
      </w:r>
      <w:r>
        <w:rPr>
          <w:color w:val="000000" w:themeColor="text1"/>
          <w:sz w:val="40"/>
          <w:szCs w:val="48"/>
          <w14:textFill>
            <w14:solidFill>
              <w14:schemeClr w14:val="tx1"/>
            </w14:solidFill>
          </w14:textFill>
        </w:rPr>
        <w:t xml:space="preserve">49</w:t>
      </w:r>
      <w:r>
        <w:rPr>
          <w:color w:val="000000" w:themeColor="text1"/>
          <w:sz w:val="40"/>
          <w:szCs w:val="48"/>
          <w14:textFill>
            <w14:solidFill>
              <w14:schemeClr w14:val="tx1"/>
            </w14:solidFill>
          </w14:textFill>
        </w:rPr>
      </w:r>
      <w:r>
        <w:rPr>
          <w:color w:val="000000" w:themeColor="text1"/>
          <w:sz w:val="40"/>
          <w:szCs w:val="48"/>
          <w14:textFill>
            <w14:solidFill>
              <w14:schemeClr w14:val="tx1"/>
            </w14:solidFill>
          </w14:textFill>
        </w:rPr>
        <w:fldChar w:fldCharType="end"/>
      </w:r>
      <w:r>
        <w:rPr>
          <w:color w:val="000000" w:themeColor="text1"/>
          <w:sz w:val="40"/>
          <w:szCs w:val="48"/>
          <w14:textFill>
            <w14:solidFill>
              <w14:schemeClr w14:val="tx1"/>
            </w14:solidFill>
          </w14:textFill>
        </w:rPr>
        <w:fldChar w:fldCharType="end"/>
      </w:r>
      <w:r/>
    </w:p>
    <w:p>
      <w:pPr>
        <w:spacing w:line="360" w:lineRule="auto"/>
        <w:tabs>
          <w:tab w:val="left" w:pos="315" w:leader="none"/>
          <w:tab w:val="center" w:pos="4153" w:leader="none"/>
        </w:tabs>
        <w:rPr>
          <w:rFonts w:eastAsia="黑体"/>
          <w:b/>
          <w:color w:val="000000" w:themeColor="text1"/>
          <w:sz w:val="48"/>
          <w:szCs w:val="48"/>
          <w14:textFill>
            <w14:solidFill>
              <w14:schemeClr w14:val="tx1"/>
            </w14:solidFill>
          </w14:textFill>
        </w:rPr>
      </w:pPr>
      <w:r>
        <w:rPr>
          <w:rFonts w:eastAsia="黑体"/>
          <w:color w:val="000000" w:themeColor="text1"/>
          <w:sz w:val="40"/>
          <w:szCs w:val="192"/>
          <w14:textFill>
            <w14:solidFill>
              <w14:schemeClr w14:val="tx1"/>
            </w14:solidFill>
          </w14:textFill>
        </w:rPr>
        <w:fldChar w:fldCharType="end"/>
      </w:r>
      <w:r/>
    </w:p>
    <w:p>
      <w:pPr>
        <w:spacing w:line="360" w:lineRule="auto"/>
        <w:tabs>
          <w:tab w:val="left" w:pos="315" w:leader="none"/>
          <w:tab w:val="center" w:pos="4153" w:leader="none"/>
        </w:tabs>
        <w:rPr>
          <w:rFonts w:eastAsia="黑体"/>
          <w:b/>
          <w:color w:val="000000" w:themeColor="text1"/>
          <w:sz w:val="24"/>
          <w14:textFill>
            <w14:solidFill>
              <w14:schemeClr w14:val="tx1"/>
            </w14:solidFill>
          </w14:textFill>
        </w:rPr>
      </w:pPr>
      <w:r>
        <w:rPr>
          <w:rFonts w:eastAsia="黑体"/>
          <w:b/>
          <w:color w:val="000000" w:themeColor="text1"/>
          <w:sz w:val="24"/>
          <w14:textFill>
            <w14:solidFill>
              <w14:schemeClr w14:val="tx1"/>
            </w14:solidFill>
          </w14:textFill>
        </w:rPr>
      </w:r>
      <w:r/>
    </w:p>
    <w:p>
      <w:pPr>
        <w:tabs>
          <w:tab w:val="left" w:pos="315" w:leader="none"/>
          <w:tab w:val="center" w:pos="4153" w:leader="none"/>
        </w:tabs>
        <w:rPr>
          <w:rFonts w:eastAsia="黑体"/>
          <w:b/>
          <w:color w:val="000000" w:themeColor="text1"/>
          <w:sz w:val="24"/>
          <w14:textFill>
            <w14:solidFill>
              <w14:schemeClr w14:val="tx1"/>
            </w14:solidFill>
          </w14:textFill>
        </w:rPr>
      </w:pPr>
      <w:r>
        <w:rPr>
          <w:rFonts w:eastAsia="黑体"/>
          <w:b/>
          <w:color w:val="000000" w:themeColor="text1"/>
          <w:sz w:val="24"/>
          <w14:textFill>
            <w14:solidFill>
              <w14:schemeClr w14:val="tx1"/>
            </w14:solidFill>
          </w14:textFill>
        </w:rPr>
      </w:r>
      <w:r/>
    </w:p>
    <w:p>
      <w:pPr>
        <w:tabs>
          <w:tab w:val="left" w:pos="315" w:leader="none"/>
          <w:tab w:val="center" w:pos="4153" w:leader="none"/>
        </w:tabs>
        <w:rPr>
          <w:rFonts w:eastAsia="黑体"/>
          <w:b/>
          <w:color w:val="000000" w:themeColor="text1"/>
          <w:sz w:val="24"/>
          <w14:textFill>
            <w14:solidFill>
              <w14:schemeClr w14:val="tx1"/>
            </w14:solidFill>
          </w14:textFill>
        </w:rPr>
      </w:pPr>
      <w:r>
        <w:rPr>
          <w:rFonts w:eastAsia="黑体"/>
          <w:b/>
          <w:color w:val="000000" w:themeColor="text1"/>
          <w:sz w:val="24"/>
          <w14:textFill>
            <w14:solidFill>
              <w14:schemeClr w14:val="tx1"/>
            </w14:solidFill>
          </w14:textFill>
        </w:rPr>
        <w:br w:type="page" w:clear="all"/>
      </w:r>
      <w:r/>
    </w:p>
    <w:p>
      <w:pPr>
        <w:pStyle w:val="1196"/>
        <w:jc w:val="center"/>
        <w:rPr>
          <w:rFonts w:hint="eastAsia" w:ascii="黑体" w:hAnsi="宋体" w:eastAsia="黑体"/>
          <w:color w:val="000000" w:themeColor="text1"/>
          <w:szCs w:val="16"/>
          <w14:textFill>
            <w14:solidFill>
              <w14:schemeClr w14:val="tx1"/>
            </w14:solidFill>
          </w14:textFill>
        </w:rPr>
      </w:pPr>
      <w:r/>
      <w:bookmarkStart w:id="0" w:name="_Toc474491763"/>
      <w:r/>
      <w:bookmarkStart w:id="1" w:name="_Toc19146"/>
      <w:r>
        <w:rPr>
          <w:rFonts w:hint="eastAsia" w:ascii="黑体" w:hAnsi="宋体" w:eastAsia="黑体"/>
          <w:color w:val="000000" w:themeColor="text1"/>
          <w:szCs w:val="16"/>
          <w14:textFill>
            <w14:solidFill>
              <w14:schemeClr w14:val="tx1"/>
            </w14:solidFill>
          </w14:textFill>
        </w:rPr>
        <w:t xml:space="preserve">第一章  </w:t>
      </w:r>
      <w:bookmarkEnd w:id="0"/>
      <w:r>
        <w:rPr>
          <w:rFonts w:hint="eastAsia" w:ascii="黑体" w:hAnsi="宋体" w:eastAsia="黑体"/>
          <w:color w:val="000000" w:themeColor="text1"/>
          <w:szCs w:val="16"/>
          <w14:textFill>
            <w14:solidFill>
              <w14:schemeClr w14:val="tx1"/>
            </w14:solidFill>
          </w14:textFill>
        </w:rPr>
        <w:t xml:space="preserve">竞争性磋商公告</w:t>
      </w:r>
      <w:bookmarkEnd w:id="1"/>
      <w:r/>
      <w:r/>
    </w:p>
    <w:tbl>
      <w:tblPr>
        <w:tblStyle w:val="87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0"/>
      </w:tblGrid>
      <w:tr>
        <w:trPr>
          <w:jc w:val="center"/>
        </w:trPr>
        <w:tc>
          <w:tcPr>
            <w:tcW w:w="5000" w:type="dxa"/>
            <w:textDirection w:val="lrTb"/>
            <w:noWrap w:val="false"/>
          </w:tcPr>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项目概况</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太湖街道2026年道路交通公共安全隐患排查治理服务</w:t>
            </w:r>
            <w:r>
              <w:rPr>
                <w:rFonts w:hint="eastAsia" w:ascii="宋体" w:hAnsi="宋体"/>
                <w:color w:val="000000" w:themeColor="text1"/>
                <w:sz w:val="24"/>
                <w14:textFill>
                  <w14:solidFill>
                    <w14:schemeClr w14:val="tx1"/>
                  </w14:solidFill>
                </w14:textFill>
              </w:rPr>
              <w:t xml:space="preserve">采购项目的潜在供应商应在</w:t>
            </w:r>
            <w:r>
              <w:rPr>
                <w:rFonts w:hint="eastAsia" w:ascii="宋体" w:hAnsi="宋体" w:cs="宋体"/>
                <w:color w:val="000000" w:themeColor="text1"/>
                <w:sz w:val="24"/>
                <w:u w:val="single"/>
                <w14:textFill>
                  <w14:solidFill>
                    <w14:schemeClr w14:val="tx1"/>
                  </w14:solidFill>
                </w14:textFill>
              </w:rPr>
              <w:t xml:space="preserve">“苏采云”政府采购交易系统（以下简称“苏采云系统”）</w:t>
            </w:r>
            <w:r>
              <w:rPr>
                <w:rFonts w:hint="eastAsia" w:ascii="宋体" w:hAnsi="宋体" w:cs="宋体"/>
                <w:color w:val="000000" w:themeColor="text1"/>
                <w:sz w:val="24"/>
                <w14:textFill>
                  <w14:solidFill>
                    <w14:schemeClr w14:val="tx1"/>
                  </w14:solidFill>
                </w14:textFill>
              </w:rPr>
              <w:t xml:space="preserve">获取招标文件，并于</w:t>
            </w:r>
            <w:r>
              <w:rPr>
                <w:rFonts w:hint="eastAsia" w:ascii="宋体" w:hAnsi="宋体" w:cs="宋体"/>
                <w:color w:val="000000" w:themeColor="text1"/>
                <w:sz w:val="24"/>
                <w:u w:val="single"/>
                <w:lang w:eastAsia="zh-CN"/>
                <w14:textFill>
                  <w14:solidFill>
                    <w14:schemeClr w14:val="tx1"/>
                  </w14:solidFill>
                </w14:textFill>
              </w:rPr>
              <w:t xml:space="preserve">2026年7月13日</w:t>
            </w:r>
            <w:r>
              <w:rPr>
                <w:rFonts w:hint="eastAsia" w:ascii="宋体" w:hAnsi="宋体" w:cs="宋体"/>
                <w:color w:val="000000" w:themeColor="text1"/>
                <w:sz w:val="24"/>
                <w:u w:val="single"/>
                <w14:textFill>
                  <w14:solidFill>
                    <w14:schemeClr w14:val="tx1"/>
                  </w14:solidFill>
                </w14:textFill>
              </w:rPr>
              <w:t xml:space="preserve">09:30</w:t>
            </w:r>
            <w:r>
              <w:rPr>
                <w:rFonts w:hint="eastAsia" w:ascii="宋体" w:hAnsi="宋体" w:cs="宋体"/>
                <w:bCs/>
                <w:color w:val="000000" w:themeColor="text1"/>
                <w:sz w:val="24"/>
                <w14:textFill>
                  <w14:solidFill>
                    <w14:schemeClr w14:val="tx1"/>
                  </w14:solidFill>
                </w14:textFill>
              </w:rPr>
              <w:t xml:space="preserve">（北京时间）前递交响应文件</w:t>
            </w:r>
            <w:r>
              <w:rPr>
                <w:rFonts w:hint="eastAsia" w:ascii="宋体" w:hAnsi="宋体" w:cs="宋体"/>
                <w:color w:val="000000" w:themeColor="text1"/>
                <w:sz w:val="24"/>
                <w14:textFill>
                  <w14:solidFill>
                    <w14:schemeClr w14:val="tx1"/>
                  </w14:solidFill>
                </w14:textFill>
              </w:rPr>
              <w:t xml:space="preserve">。</w:t>
            </w:r>
            <w:r/>
          </w:p>
        </w:tc>
      </w:tr>
    </w:tbl>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一、项目基本情况</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bookmarkStart w:id="2" w:name="auto_fouce_1"/>
      <w:r>
        <w:rPr>
          <w:rFonts w:hint="eastAsia" w:ascii="宋体" w:hAnsi="宋体" w:cs="宋体"/>
          <w:color w:val="000000" w:themeColor="text1"/>
          <w:sz w:val="24"/>
          <w14:textFill>
            <w14:solidFill>
              <w14:schemeClr w14:val="tx1"/>
            </w14:solidFill>
          </w14:textFill>
        </w:rPr>
        <w:t xml:space="preserve">项目编号：</w:t>
      </w:r>
      <w:bookmarkEnd w:id="2"/>
      <w:r>
        <w:rPr>
          <w:rFonts w:hint="eastAsia" w:ascii="宋体" w:hAnsi="宋体"/>
          <w:color w:val="000000" w:themeColor="text1"/>
          <w:sz w:val="24"/>
          <w14:textFill>
            <w14:solidFill>
              <w14:schemeClr w14:val="tx1"/>
            </w14:solidFill>
          </w14:textFill>
        </w:rPr>
        <w:t xml:space="preserve">JSZC-320506006-ZHCD-C2026-0014</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2、项目名称：太湖街道2026年道路交通公共安全隐患排查治理服务</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3、采购方式：竞争性磋商</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4、预算金额：叁佰壹拾壹万元整（￥3110000.00元）。</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5、最高限价：叁佰壹拾壹万元整（￥3110000.00元）。</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6、采购内容：</w:t>
      </w:r>
      <w:r/>
    </w:p>
    <w:p>
      <w:pPr>
        <w:ind w:firstLine="480"/>
        <w:spacing w:line="360" w:lineRule="auto"/>
        <w:rPr>
          <w:rFonts w:eastAsia="楷体_GB2312"/>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进一步提高苏州市吴中区人民政府太湖街道道路安全管理和服务保障能力，拟采取“服务外包”形式，组建一支交通公共安全隐患排查治理队伍，协助交警部门参与早、晚高峰期、平峰期、夜间及节假日的道路交通秩序维持工作。协助开展辖区道路巡逻、排查安全隐患、疏导交通、维护路口秩序劝导违法行为等等，保障辖区道路畅通和群众出行安全。具体见采购文件第三章。</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7、项目地点：</w:t>
      </w:r>
      <w:r>
        <w:rPr>
          <w:rFonts w:hint="eastAsia" w:ascii="宋体" w:hAnsi="宋体"/>
          <w:color w:val="000000" w:themeColor="text1"/>
          <w:sz w:val="24"/>
          <w14:textFill>
            <w14:solidFill>
              <w14:schemeClr w14:val="tx1"/>
            </w14:solidFill>
          </w14:textFill>
        </w:rPr>
        <w:t xml:space="preserve">苏州吴中区太湖街道辖区</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8、技术、质量要求：符合采购单位要求及国家相关规定。</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9、合同期限：1年</w:t>
      </w:r>
      <w:r>
        <w:rPr>
          <w:rFonts w:hint="eastAsia" w:ascii="宋体" w:hAnsi="宋体" w:cs="宋体"/>
          <w:color w:val="000000" w:themeColor="text1"/>
          <w:sz w:val="24"/>
          <w:lang w:val="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具体进场日期以采购单位通知为准</w:t>
      </w:r>
      <w:r>
        <w:rPr>
          <w:rFonts w:hint="eastAsia" w:ascii="宋体" w:hAnsi="宋体" w:cs="宋体"/>
          <w:color w:val="000000" w:themeColor="text1"/>
          <w:sz w:val="24"/>
          <w:lang w:val="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10、本项目不接受联合体响应、不允许分包、不允许转包。</w:t>
      </w:r>
      <w:r/>
    </w:p>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二、供应商资格要求：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1、满足《中华人民共和国政府采购法》第二十二条规定；</w:t>
      </w:r>
      <w:r/>
    </w:p>
    <w:p>
      <w:pPr>
        <w:ind w:firstLine="480"/>
        <w:spacing w:line="360" w:lineRule="auto"/>
        <w:rPr>
          <w:rFonts w:hint="eastAsia" w:ascii="宋体" w:hAnsi="宋体" w:cs="宋体"/>
          <w:color w:val="000000" w:themeColor="text1"/>
          <w:sz w:val="24"/>
          <w14:textFill>
            <w14:solidFill>
              <w14:schemeClr w14:val="tx1"/>
            </w14:solidFill>
          </w14:textFill>
        </w:rPr>
      </w:pPr>
      <w:r/>
      <w:bookmarkStart w:id="3" w:name="_Toc28359003"/>
      <w:r>
        <w:rPr>
          <w:rFonts w:hint="eastAsia" w:ascii="宋体" w:hAnsi="宋体" w:cs="宋体"/>
          <w:color w:val="000000" w:themeColor="text1"/>
          <w:sz w:val="24"/>
          <w14:textFill>
            <w14:solidFill>
              <w14:schemeClr w14:val="tx1"/>
            </w14:solidFill>
          </w14:textFill>
        </w:rPr>
        <w:t xml:space="preserve">（1）具有独立承担民事责任的能力；</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（2）具有良好的商业信誉和健全的财务会计制度，（提供 2024年度或2025年度经审计的财务报告（至少包括审计报告、资产负债表和利润表，成立时间至提交磋商响应文件截止时间不足一年的可提供成立后任意时段的资产负债表），或其开标前三个月内基本存款账户开户银行出具的资信证明及基本存款账户开户许可证）；</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（3）具有履行合同所必需的设备和专业技术能力；</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（4）有依法缴纳税收和社会保障资金的良好记录；</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（5）参加政府采购活动前三年内，在经营活动中没有重大违法记录；</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（6）法律、行政法规规定的其他条件</w:t>
      </w:r>
      <w:bookmarkEnd w:id="3"/>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2、落实政府采购政策需满足的资格要求：根据《关于印发&lt;苏州市政府采购促进中小企业发展实施意见&gt;的通知》的相关规定，本项目专门面向中小企业，所属行业为其他未列明行业。</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3、本项目的特定资格要求：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（3）其他特定资格要求：无。</w:t>
      </w:r>
      <w:r/>
    </w:p>
    <w:p>
      <w:pPr>
        <w:ind w:firstLine="480"/>
        <w:jc w:val="left"/>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w:t>
      </w:r>
      <w:r>
        <w:rPr>
          <w:rFonts w:ascii="宋体" w:hAnsi="宋体"/>
          <w:b/>
          <w:bCs/>
          <w:color w:val="000000" w:themeColor="text1"/>
          <w:sz w:val="24"/>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磋商文件获取</w:t>
      </w:r>
      <w:r>
        <w:rPr>
          <w:rFonts w:ascii="宋体" w:hAnsi="宋体"/>
          <w:b/>
          <w:bCs/>
          <w:color w:val="000000" w:themeColor="text1"/>
          <w:sz w:val="24"/>
          <w14:textFill>
            <w14:solidFill>
              <w14:schemeClr w14:val="tx1"/>
            </w14:solidFill>
          </w14:textFill>
        </w:rPr>
        <w:t xml:space="preserve">信息：</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1、报名时间：</w:t>
      </w:r>
      <w:r>
        <w:rPr>
          <w:rFonts w:hint="eastAsia" w:ascii="宋体" w:hAnsi="宋体"/>
          <w:bCs/>
          <w:color w:val="000000" w:themeColor="text1"/>
          <w:sz w:val="24"/>
          <w14:textFill>
            <w14:solidFill>
              <w14:schemeClr w14:val="tx1"/>
            </w14:solidFill>
          </w14:textFill>
        </w:rPr>
        <w:t xml:space="preserve">自公告发布之日五个工作日</w:t>
      </w:r>
      <w:r>
        <w:rPr>
          <w:rFonts w:ascii="宋体" w:hAnsi="宋体"/>
          <w:bCs/>
          <w:color w:val="000000" w:themeColor="text1"/>
          <w:sz w:val="24"/>
          <w14:textFill>
            <w14:solidFill>
              <w14:schemeClr w14:val="tx1"/>
            </w14:solidFill>
          </w14:textFill>
        </w:rPr>
        <w:t xml:space="preserve">。</w:t>
      </w:r>
      <w:r/>
    </w:p>
    <w:p>
      <w:pPr>
        <w:ind w:firstLine="480"/>
        <w:spacing w:line="360" w:lineRule="auto"/>
        <w:shd w:val="clear" w:color="auto" w:fill="ffffff"/>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2、地点：苏采云系统中自行下载</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3、报名方式：</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（1）CA证书办理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000000" w:themeColor="text1"/>
          <w:sz w:val="24"/>
          <w14:textFill>
            <w14:solidFill>
              <w14:schemeClr w14:val="tx1"/>
            </w14:solidFill>
          </w14:textFill>
        </w:rPr>
        <w:t xml:space="preserve">苏州现场办理地址：苏州市高新区邓蔚路105号狮山科技馆一楼服务大厅，咨询电话：0512 6573 7699。</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（2）参与采购活动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（3）电子投标准备</w:t>
      </w:r>
      <w:r/>
    </w:p>
    <w:p>
      <w:pPr>
        <w:ind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供应商在“苏采云”系统中操作成功参与项目后，必须在“已参与项目”界面中下载电子采购文件（后缀名为“.kedt”）并导入政府采购客户端工具后方可进行电子响应文件制作和提交</w:t>
      </w:r>
      <w:r>
        <w:rPr>
          <w:rFonts w:hint="eastAsia" w:ascii="宋体" w:hAnsi="宋体"/>
          <w:b/>
          <w:bCs/>
          <w:color w:val="000000" w:themeColor="text1"/>
          <w:sz w:val="24"/>
          <w14:textFill>
            <w14:solidFill>
              <w14:schemeClr w14:val="tx1"/>
            </w14:solidFill>
          </w14:textFill>
        </w:rPr>
        <w:t xml:space="preserve">（具体详见《苏采云系统供应商操作手册》，</w:t>
      </w:r>
      <w:r/>
    </w:p>
    <w:p>
      <w:pPr>
        <w:ind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网址链接</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https://czju.suzhou.gov.cn/zfcg/html/content/20231220161910031.shtml）</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（4）补充通知（如有）：成功获取磋商文件的供应商应及时关注政府采购信息发布媒体上发布的更正（补充）公告，同时在“苏采云”系统中下载更正（补充）资料，</w:t>
      </w:r>
      <w:r>
        <w:rPr>
          <w:rFonts w:hint="eastAsia" w:ascii="宋体" w:hAnsi="宋体"/>
          <w:b/>
          <w:bCs/>
          <w:color w:val="000000" w:themeColor="text1"/>
          <w:sz w:val="24"/>
          <w14:textFill>
            <w14:solidFill>
              <w14:schemeClr w14:val="tx1"/>
            </w14:solidFill>
          </w14:textFill>
        </w:rPr>
        <w:t xml:space="preserve">如有遗漏（包括但不限于文件未下载或下载不完整），可能无法解密投标（响应）文件，由此所造成的响应失败或损失由供应商自行负责。</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考虑到熟悉“苏采云”系统、办理CA证书都需要一定的时间，请提早准备以免耽误招标采购活动。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4、在系统操作过程中如有疑问，请按以下方式联系：</w:t>
      </w:r>
      <w:r/>
    </w:p>
    <w:p>
      <w:pPr>
        <w:ind w:firstLine="482"/>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注册咨询：18261002950；</w:t>
      </w:r>
      <w:r/>
    </w:p>
    <w:p>
      <w:pPr>
        <w:ind w:firstLine="482"/>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CA技术咨询电话：400-608-6099；</w:t>
      </w:r>
      <w:r/>
    </w:p>
    <w:p>
      <w:pPr>
        <w:ind w:firstLine="482"/>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签章使用问题：025-83633811、025-83633812、15380932027、15371015030；</w:t>
      </w:r>
      <w:r/>
    </w:p>
    <w:p>
      <w:pPr>
        <w:ind w:firstLine="482"/>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系统使用指导与咨询：联系电话：18261002950；QQ：3048755361、1315179389、895706745。</w:t>
      </w:r>
      <w:r/>
    </w:p>
    <w:p>
      <w:pPr>
        <w:ind w:firstLine="482"/>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四、响应文件提交</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1、截止时间：</w:t>
      </w:r>
      <w:r>
        <w:rPr>
          <w:rFonts w:hint="eastAsia" w:ascii="宋体" w:hAnsi="宋体"/>
          <w:color w:val="000000" w:themeColor="text1"/>
          <w:sz w:val="24"/>
          <w:lang w:eastAsia="zh-CN"/>
          <w14:textFill>
            <w14:solidFill>
              <w14:schemeClr w14:val="tx1"/>
            </w14:solidFill>
          </w14:textFill>
        </w:rPr>
        <w:t xml:space="preserve">2026年7月13日</w:t>
      </w:r>
      <w:r>
        <w:rPr>
          <w:rFonts w:hint="eastAsia" w:ascii="宋体" w:hAnsi="宋体"/>
          <w:color w:val="000000" w:themeColor="text1"/>
          <w:sz w:val="24"/>
          <w14:textFill>
            <w14:solidFill>
              <w14:schemeClr w14:val="tx1"/>
            </w14:solidFill>
          </w14:textFill>
        </w:rPr>
        <w:t xml:space="preserve">09:30（北京时间）</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2、地点：“苏采云”系统（网址：http://jszfcg.jsczt.cn/），响应文件网上递交，不需要现场参加采购活动，无需提供纸质响应文件。</w:t>
      </w:r>
      <w:r/>
    </w:p>
    <w:p>
      <w:pPr>
        <w:ind w:firstLine="482"/>
        <w:spacing w:line="360" w:lineRule="auto"/>
        <w:rPr>
          <w:rFonts w:hint="eastAsia" w:ascii="宋体" w:hAnsi="宋体"/>
          <w:b/>
          <w:bCs/>
          <w:color w:val="000000" w:themeColor="text1"/>
          <w:sz w:val="24"/>
          <w:szCs w:val="22"/>
          <w14:textFill>
            <w14:solidFill>
              <w14:schemeClr w14:val="tx1"/>
            </w14:solidFill>
          </w14:textFill>
        </w:rPr>
      </w:pPr>
      <w:r>
        <w:rPr>
          <w:rFonts w:hint="eastAsia" w:ascii="宋体" w:hAnsi="宋体"/>
          <w:b/>
          <w:bCs/>
          <w:color w:val="000000" w:themeColor="text1"/>
          <w:sz w:val="24"/>
          <w:szCs w:val="22"/>
          <w14:textFill>
            <w14:solidFill>
              <w14:schemeClr w14:val="tx1"/>
            </w14:solidFill>
          </w14:textFill>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五、开启</w:t>
      </w:r>
      <w:r/>
    </w:p>
    <w:p>
      <w:pPr>
        <w:ind w:firstLine="480"/>
        <w:spacing w:line="360" w:lineRule="auto"/>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时间：</w:t>
      </w:r>
      <w:r>
        <w:rPr>
          <w:rFonts w:hint="eastAsia" w:ascii="宋体" w:hAnsi="宋体"/>
          <w:color w:val="000000" w:themeColor="text1"/>
          <w:sz w:val="24"/>
          <w:lang w:eastAsia="zh-CN"/>
          <w14:textFill>
            <w14:solidFill>
              <w14:schemeClr w14:val="tx1"/>
            </w14:solidFill>
          </w14:textFill>
        </w:rPr>
        <w:t xml:space="preserve">2026年7月13日</w:t>
      </w:r>
      <w:r>
        <w:rPr>
          <w:rFonts w:hint="eastAsia" w:ascii="宋体" w:hAnsi="宋体"/>
          <w:color w:val="000000" w:themeColor="text1"/>
          <w:sz w:val="24"/>
          <w14:textFill>
            <w14:solidFill>
              <w14:schemeClr w14:val="tx1"/>
            </w14:solidFill>
          </w14:textFill>
        </w:rPr>
        <w:t xml:space="preserve">09:30</w:t>
      </w:r>
      <w:r>
        <w:rPr>
          <w:rFonts w:hint="eastAsia" w:ascii="宋体" w:hAnsi="宋体"/>
          <w:color w:val="000000" w:themeColor="text1"/>
          <w:sz w:val="24"/>
          <w:szCs w:val="22"/>
          <w14:textFill>
            <w14:solidFill>
              <w14:schemeClr w14:val="tx1"/>
            </w14:solidFill>
          </w14:textFill>
        </w:rPr>
        <w:t xml:space="preserve">（北京时间）</w:t>
      </w:r>
      <w:r/>
    </w:p>
    <w:p>
      <w:pPr>
        <w:ind w:firstLine="480"/>
        <w:spacing w:line="360" w:lineRule="auto"/>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地点：“苏采云”政府采购交易系统网上开标大厅（网址：</w:t>
      </w:r>
      <w:r>
        <w:fldChar w:fldCharType="begin"/>
      </w:r>
      <w:r>
        <w:instrText xml:space="preserve">HYPERLINK "http://jszfcg.jsczt.cn/），响应文件网上递交，不需要现场参加采购活动。"</w:instrText>
      </w:r>
      <w:r>
        <w:fldChar w:fldCharType="separate"/>
      </w:r>
      <w:r>
        <w:rPr>
          <w:rFonts w:hint="eastAsia" w:ascii="宋体" w:hAnsi="宋体"/>
          <w:color w:val="000000" w:themeColor="text1"/>
          <w:sz w:val="24"/>
          <w:szCs w:val="22"/>
          <w14:textFill>
            <w14:solidFill>
              <w14:schemeClr w14:val="tx1"/>
            </w14:solidFill>
          </w14:textFill>
        </w:rPr>
        <w:t xml:space="preserve">http://jszfcg.jsczt.cn/），响应文件网上递交，不需要现场参加采购活动。</w:t>
      </w:r>
      <w:r>
        <w:fldChar w:fldCharType="end"/>
      </w:r>
      <w:r/>
    </w:p>
    <w:p>
      <w:pPr>
        <w:ind w:firstLine="480"/>
        <w:spacing w:line="360" w:lineRule="auto"/>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color w:val="000000" w:themeColor="text1"/>
          <w:sz w:val="24"/>
          <w:szCs w:val="22"/>
          <w14:textFill>
            <w14:solidFill>
              <w14:schemeClr w14:val="tx1"/>
            </w14:solidFill>
          </w14:textFill>
        </w:rPr>
        <w:t xml:space="preserve">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p>
    <w:p>
      <w:pPr>
        <w:ind w:firstLine="482"/>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六、公告期限</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自本公告发布之日起3个工作日。</w:t>
      </w:r>
      <w:r/>
    </w:p>
    <w:p>
      <w:pPr>
        <w:ind w:firstLine="482"/>
        <w:spacing w:line="360" w:lineRule="auto"/>
        <w:rPr>
          <w:rFonts w:hint="eastAsia" w:ascii="宋体" w:hAnsi="宋体" w:cs="宋体"/>
          <w:b/>
          <w:color w:val="000000" w:themeColor="text1"/>
          <w:sz w:val="24"/>
          <w14:textFill>
            <w14:solidFill>
              <w14:schemeClr w14:val="tx1"/>
            </w14:solidFill>
          </w14:textFill>
        </w:rPr>
      </w:pPr>
      <w:r/>
      <w:bookmarkStart w:id="4" w:name="_Toc35393795"/>
      <w:r/>
      <w:bookmarkStart w:id="5" w:name="_Toc35393626"/>
      <w:r>
        <w:rPr>
          <w:rFonts w:hint="eastAsia" w:ascii="宋体" w:hAnsi="宋体" w:cs="宋体"/>
          <w:b/>
          <w:color w:val="000000" w:themeColor="text1"/>
          <w:sz w:val="24"/>
          <w14:textFill>
            <w14:solidFill>
              <w14:schemeClr w14:val="tx1"/>
            </w14:solidFill>
          </w14:textFill>
        </w:rPr>
        <w:t xml:space="preserve">七、其他补充事宜</w:t>
      </w:r>
      <w:bookmarkEnd w:id="4"/>
      <w:r/>
      <w:bookmarkEnd w:id="5"/>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1、本次采购的有关信息将在中国政府采购网中央主网、江苏政府采购网、苏州政府采购网，敬请留意！</w:t>
      </w:r>
      <w:r/>
    </w:p>
    <w:p>
      <w:pPr>
        <w:ind w:firstLine="480"/>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2、苏州太湖新城吴中管理委员会党政办公室监管电话：（0512）65169307。</w:t>
      </w:r>
      <w:r/>
    </w:p>
    <w:p>
      <w:pPr>
        <w:ind w:firstLine="482"/>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八、凡对本次采购提出询问，请按以下方式联系。</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1、采购人信息</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名称：</w:t>
      </w:r>
      <w:r>
        <w:rPr>
          <w:rFonts w:hint="eastAsia" w:ascii="宋体" w:hAnsi="宋体"/>
          <w:color w:val="000000" w:themeColor="text1"/>
          <w:sz w:val="24"/>
          <w14:textFill>
            <w14:solidFill>
              <w14:schemeClr w14:val="tx1"/>
            </w14:solidFill>
          </w14:textFill>
        </w:rPr>
        <w:t xml:space="preserve">苏州市吴中区人民政府太湖街道办事处</w:t>
      </w:r>
      <w:r/>
    </w:p>
    <w:p>
      <w:pPr>
        <w:ind w:firstLine="480"/>
        <w:jc w:val="left"/>
        <w:spacing w:line="360" w:lineRule="auto"/>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地址：江苏省苏州市吴中区龙翔路777号</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联系方式：席东/0512-68560020</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2、采购代理机构信息</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名称：江苏至衡诚达工程咨询有限公司</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地址：东太湖路66号威仪工园2号楼217室</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联系方式：孙继伟/13063718760</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3、项目联系方式</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项目联系人：孙继伟 邢建东</w:t>
      </w:r>
      <w:r>
        <w:rPr>
          <w:rFonts w:hint="eastAsia" w:ascii="宋体" w:hAnsi="宋体" w:cs="宋体"/>
          <w:color w:val="000000" w:themeColor="text1"/>
          <w:sz w:val="24"/>
          <w14:textFill>
            <w14:solidFill>
              <w14:schemeClr w14:val="tx1"/>
            </w14:solidFill>
          </w14:textFill>
        </w:rPr>
        <w:tab/>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电话：13063718760</w:t>
      </w:r>
      <w:r/>
    </w:p>
    <w:p>
      <w:pPr>
        <w:ind w:firstLine="480"/>
        <w:jc w:val="righ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80"/>
        <w:jc w:val="righ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80"/>
        <w:jc w:val="righ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江苏至衡诚达工程咨询有限公司</w:t>
      </w:r>
      <w:r/>
    </w:p>
    <w:p>
      <w:pPr>
        <w:ind w:firstLine="480"/>
        <w:jc w:val="right"/>
        <w:spacing w:line="360" w:lineRule="auto"/>
        <w:rPr>
          <w:rFonts w:hint="eastAsia" w:ascii="宋体" w:hAnsi="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2026年6月</w:t>
      </w:r>
      <w:r>
        <w:rPr>
          <w:rFonts w:hint="eastAsia" w:ascii="宋体" w:hAnsi="宋体" w:cs="宋体"/>
          <w:color w:val="000000" w:themeColor="text1"/>
          <w:sz w:val="24"/>
          <w:lang w:val="en-US" w:eastAsia="zh-CN"/>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日</w:t>
      </w:r>
      <w:r>
        <w:rPr>
          <w:rFonts w:ascii="宋体" w:hAnsi="宋体"/>
          <w:color w:val="000000" w:themeColor="text1"/>
          <w:sz w:val="24"/>
          <w14:textFill>
            <w14:solidFill>
              <w14:schemeClr w14:val="tx1"/>
            </w14:solidFill>
          </w14:textFill>
        </w:rPr>
        <w:br w:type="page" w:clear="all"/>
      </w:r>
      <w:r/>
    </w:p>
    <w:p>
      <w:pPr>
        <w:pStyle w:val="1196"/>
        <w:jc w:val="center"/>
        <w:rPr>
          <w:rFonts w:hint="eastAsia" w:ascii="黑体" w:hAnsi="宋体" w:eastAsia="黑体"/>
          <w:color w:val="000000" w:themeColor="text1"/>
          <w:szCs w:val="16"/>
          <w14:textFill>
            <w14:solidFill>
              <w14:schemeClr w14:val="tx1"/>
            </w14:solidFill>
          </w14:textFill>
        </w:rPr>
      </w:pPr>
      <w:r/>
      <w:bookmarkStart w:id="6" w:name="_Toc474491764"/>
      <w:r/>
      <w:bookmarkStart w:id="7" w:name="_Toc26670"/>
      <w:r>
        <w:rPr>
          <w:rFonts w:hint="eastAsia" w:ascii="黑体" w:hAnsi="宋体" w:eastAsia="黑体"/>
          <w:color w:val="000000" w:themeColor="text1"/>
          <w:szCs w:val="16"/>
          <w14:textFill>
            <w14:solidFill>
              <w14:schemeClr w14:val="tx1"/>
            </w14:solidFill>
          </w14:textFill>
        </w:rPr>
        <w:t xml:space="preserve">第二章</w:t>
      </w:r>
      <w:r>
        <w:rPr>
          <w:rFonts w:ascii="黑体" w:hAnsi="宋体" w:eastAsia="黑体"/>
          <w:color w:val="000000" w:themeColor="text1"/>
          <w:szCs w:val="16"/>
          <w14:textFill>
            <w14:solidFill>
              <w14:schemeClr w14:val="tx1"/>
            </w14:solidFill>
          </w14:textFill>
        </w:rPr>
        <w:t xml:space="preserve"> </w:t>
      </w:r>
      <w:r>
        <w:rPr>
          <w:rFonts w:hint="eastAsia" w:ascii="黑体" w:hAnsi="宋体" w:eastAsia="黑体"/>
          <w:color w:val="000000" w:themeColor="text1"/>
          <w:szCs w:val="16"/>
          <w14:textFill>
            <w14:solidFill>
              <w14:schemeClr w14:val="tx1"/>
            </w14:solidFill>
          </w14:textFill>
        </w:rPr>
        <w:t xml:space="preserve"> </w:t>
      </w:r>
      <w:bookmarkEnd w:id="6"/>
      <w:r>
        <w:rPr>
          <w:rFonts w:hint="eastAsia" w:ascii="黑体" w:hAnsi="宋体" w:eastAsia="黑体"/>
          <w:color w:val="000000" w:themeColor="text1"/>
          <w:szCs w:val="16"/>
          <w14:textFill>
            <w14:solidFill>
              <w14:schemeClr w14:val="tx1"/>
            </w14:solidFill>
          </w14:textFill>
        </w:rPr>
        <w:t xml:space="preserve">供应商须知</w:t>
      </w:r>
      <w:bookmarkEnd w:id="7"/>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A 说明和释义</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1.说明</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1.1本采购文件仅适用于江苏至衡诚达工程咨询有限公司组织的采购活动。</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1.3本采购文件的解释权属于江苏至衡诚达工程咨询有限公司。</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2.词语释义</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2.2供应商：响应磋商并且符合磋商采购文件规定的资格条件和参加磋商竞争的法人、其他组织或者自然人。</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2.5采购单位（采购方）：合同中明确规定的实际购买货物和服务的法人或其他组织和自然人。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2.6供应商（服务单位）（供应商）：合同中规定的向采购方提供货物和服务的法人或其他组织和自然人。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2.7货物：系指供应商（服务单位）按采购文件规定，应向采购单位提供的一切设备、备品、备件、工具、手册及其</w:t>
      </w:r>
      <w:r>
        <w:rPr>
          <w:rFonts w:ascii="宋体" w:hAnsi="宋体" w:cs="宋体"/>
          <w:color w:val="000000" w:themeColor="text1"/>
          <w:sz w:val="24"/>
          <w14:textFill>
            <w14:solidFill>
              <w14:schemeClr w14:val="tx1"/>
            </w14:solidFill>
          </w14:textFill>
        </w:rPr>
        <w:t xml:space="preserve">他</w:t>
      </w:r>
      <w:r>
        <w:rPr>
          <w:rFonts w:hint="eastAsia" w:ascii="宋体" w:hAnsi="宋体" w:cs="宋体"/>
          <w:color w:val="000000" w:themeColor="text1"/>
          <w:sz w:val="24"/>
          <w14:textFill>
            <w14:solidFill>
              <w14:schemeClr w14:val="tx1"/>
            </w14:solidFill>
          </w14:textFill>
        </w:rPr>
        <w:t xml:space="preserve">有关技术资料和材料。</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2.8服务：系指本次采购文件规定供应商（服务单位）应承担的与提供货物和服务有关的辅助服务，比如运输、保险、安装、调试、提供技术援助、培训、配合措施、维修响应及合同中规定供应商（服务单位）应承担的其它义务。</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2.10天：日历天。</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2.11交货地点：合同中明确约定的供应商（服务单位）提交的货物和服务最终到达地点。</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2.12合同价款：根据合同规定，供应商（服务单位）在正确的履行合同义务后采购单位应支付供应商（服务单位）的价款。</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B 供应商</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3.合格磋商供应商的一般条件</w:t>
      </w:r>
      <w:r/>
    </w:p>
    <w:p>
      <w:pPr>
        <w:pStyle w:val="1290"/>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3.1能够独立承担民事责任的能力（供应商营业执照及法人身份证明文件）；</w:t>
      </w:r>
      <w:r/>
    </w:p>
    <w:p>
      <w:pPr>
        <w:pStyle w:val="1290"/>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3.2具有良好的商业信誉和健全的财务会计制度证明。包括但不限于最近一期经审计的财务报告，其他组织、自然人及成立未满一年的法人应提供银行出具的资信证明；</w:t>
      </w:r>
      <w:r/>
    </w:p>
    <w:p>
      <w:pPr>
        <w:pStyle w:val="1290"/>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3.3具有履行合同所必需的设备和专业技术能力，（根据《中华人民共和国市场主体登记管理条例》第十三条及相关部门规章的规定，企业法人性质的政府采购供应商应在经工商管理部门核准登记注册的经营范围内参与经营活动）；</w:t>
      </w:r>
      <w:r/>
    </w:p>
    <w:p>
      <w:pPr>
        <w:pStyle w:val="1290"/>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3.4有依法缴纳税收和社会保障资金的良好记录（合理期限内依法缴纳税收的凭据，社会保险登记证或依法缴纳社会保险的凭据）；</w:t>
      </w:r>
      <w:r/>
    </w:p>
    <w:p>
      <w:pPr>
        <w:pStyle w:val="1290"/>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3.5参加政府采购活动前三年内，在经营活动中没有重大违法记录（书面声明函）；</w:t>
      </w:r>
      <w:r/>
    </w:p>
    <w:p>
      <w:pPr>
        <w:pStyle w:val="1290"/>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3.6法律、行政法规规定的其他条件；</w:t>
      </w:r>
      <w:r/>
    </w:p>
    <w:p>
      <w:pPr>
        <w:pStyle w:val="1290"/>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3.7本次采购不接受进口产品；</w:t>
      </w:r>
      <w:r/>
    </w:p>
    <w:p>
      <w:pPr>
        <w:pStyle w:val="1290"/>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3.8本项目不接受联合体投标；</w:t>
      </w:r>
      <w:r/>
    </w:p>
    <w:p>
      <w:pPr>
        <w:pStyle w:val="1290"/>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3.9合格磋商供应商的特殊条件：</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3.9.1单位负责人为同一人或者存在直接控股、管理关系的不同供应商（包含法定代表人为同一个人的两个及两个以上法人，母公司、全资子公司及其控股公司），不得参加同一合同项下的政府采购活动。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3.9.2未被列入失信被执行人、重大税收违法案件当事人名单、政府采购严重失信行为记录名单</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3.9.3其他特定资格要求：无。</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10</w:t>
      </w:r>
      <w:r>
        <w:rPr>
          <w:rFonts w:ascii="宋体" w:hAnsi="宋体" w:cs="宋体"/>
          <w:color w:val="000000" w:themeColor="text1"/>
          <w:sz w:val="24"/>
          <w14:textFill>
            <w14:solidFill>
              <w14:schemeClr w14:val="tx1"/>
            </w14:solidFill>
          </w14:textFill>
        </w:rPr>
        <w:t xml:space="preserve">项目负责人的替换：在项目执行过程中，因特殊情形需要替换项目负责人时，供应商应至少提前十五日向采购人报告，并提供替换人选的相关</w:t>
      </w:r>
      <w:r>
        <w:rPr>
          <w:rFonts w:hint="eastAsia" w:ascii="宋体" w:hAnsi="宋体" w:cs="宋体"/>
          <w:color w:val="000000" w:themeColor="text1"/>
          <w:sz w:val="24"/>
          <w14:textFill>
            <w14:solidFill>
              <w14:schemeClr w14:val="tx1"/>
            </w14:solidFill>
          </w14:textFill>
        </w:rPr>
        <w:t xml:space="preserve">证书</w:t>
      </w:r>
      <w:r>
        <w:rPr>
          <w:rFonts w:ascii="宋体" w:hAnsi="宋体" w:cs="宋体"/>
          <w:color w:val="000000" w:themeColor="text1"/>
          <w:sz w:val="24"/>
          <w14:textFill>
            <w14:solidFill>
              <w14:schemeClr w14:val="tx1"/>
            </w14:solidFill>
          </w14:textFill>
        </w:rPr>
        <w:t xml:space="preserve">，且需经采购人书面确认同意后方可</w:t>
      </w:r>
      <w:r>
        <w:rPr>
          <w:rFonts w:hint="eastAsia" w:ascii="宋体" w:hAnsi="宋体" w:cs="宋体"/>
          <w:color w:val="000000" w:themeColor="text1"/>
          <w:sz w:val="24"/>
          <w14:textFill>
            <w14:solidFill>
              <w14:schemeClr w14:val="tx1"/>
            </w14:solidFill>
          </w14:textFill>
        </w:rPr>
        <w:t xml:space="preserve">替换</w:t>
      </w:r>
      <w:r>
        <w:rPr>
          <w:rFonts w:ascii="宋体" w:hAnsi="宋体" w:cs="宋体"/>
          <w:color w:val="000000" w:themeColor="text1"/>
          <w:sz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4.供应商代表</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5.磋商费用</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6.磋商采购文件</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7.采购文件的修改</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7.1在递交（上传）磋商响应文件截止时间前，采购单位无论出于自己的考虑，还是出</w:t>
      </w:r>
      <w:r>
        <w:rPr>
          <w:rFonts w:hint="eastAsia" w:ascii="宋体" w:hAnsi="宋体" w:cs="宋体"/>
          <w:color w:val="000000" w:themeColor="text1"/>
          <w:sz w:val="24"/>
          <w14:textFill>
            <w14:solidFill>
              <w14:schemeClr w14:val="tx1"/>
            </w14:solidFill>
          </w14:textFill>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8.采购文件提疑</w:t>
      </w:r>
      <w:r/>
    </w:p>
    <w:p>
      <w:pPr>
        <w:ind w:firstLine="480"/>
        <w:spacing w:line="360" w:lineRule="auto"/>
        <w:tabs>
          <w:tab w:val="left" w:pos="8930" w:leader="none"/>
          <w:tab w:val="left" w:pos="9306" w:leader="none"/>
        </w:tabs>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themeColor="text1"/>
          <w:sz w:val="24"/>
          <w14:textFill>
            <w14:solidFill>
              <w14:schemeClr w14:val="tx1"/>
            </w14:solidFill>
          </w14:textFill>
        </w:rPr>
        <w:t xml:space="preserve">投标供应商确认函</w:t>
      </w:r>
      <w:r>
        <w:rPr>
          <w:rFonts w:hint="eastAsia" w:ascii="宋体" w:hAnsi="宋体" w:cs="宋体"/>
          <w:bCs/>
          <w:color w:val="000000" w:themeColor="text1"/>
          <w:sz w:val="24"/>
          <w14:textFill>
            <w14:solidFill>
              <w14:schemeClr w14:val="tx1"/>
            </w14:solidFill>
          </w14:textFill>
        </w:rPr>
        <w:t xml:space="preserve">》）与质疑函一起递交，否则不予受理。</w:t>
      </w:r>
      <w:r/>
    </w:p>
    <w:p>
      <w:pPr>
        <w:ind w:firstLine="480"/>
        <w:spacing w:line="360" w:lineRule="auto"/>
        <w:tabs>
          <w:tab w:val="left" w:pos="8930" w:leader="none"/>
          <w:tab w:val="left" w:pos="9306" w:leader="none"/>
        </w:tabs>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8.4.2质疑项目的名称、编号；</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8.4.3具体、明确的质疑事项和与质疑事项相关的请求；</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8.4.4事实依据；</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8.4.5必要的法律依据；</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8.4.6提出质疑的日期。</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8.4.7</w:t>
      </w:r>
      <w:r>
        <w:rPr>
          <w:rFonts w:hint="eastAsia" w:ascii="宋体" w:hAnsi="宋体" w:cs="宋体"/>
          <w:bCs/>
          <w:color w:val="000000" w:themeColor="text1"/>
          <w:sz w:val="24"/>
          <w14:textFill>
            <w14:solidFill>
              <w14:schemeClr w14:val="tx1"/>
            </w14:solidFill>
          </w14:textFill>
        </w:rPr>
        <w:t xml:space="preserve">供应商参加投标确认函</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tabs>
          <w:tab w:val="left" w:pos="8930" w:leader="none"/>
          <w:tab w:val="left" w:pos="9306" w:leader="none"/>
        </w:tabs>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质疑联系人：孙继伟</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联系电话：13063718760</w:t>
      </w:r>
      <w:r/>
    </w:p>
    <w:p>
      <w:pPr>
        <w:ind w:firstLine="480"/>
        <w:spacing w:line="360" w:lineRule="auto"/>
        <w:tabs>
          <w:tab w:val="left" w:pos="8930" w:leader="none"/>
          <w:tab w:val="left" w:pos="9306" w:leader="none"/>
        </w:tabs>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通讯地址：东太湖路66号威仪工园2号楼217室</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9.提示与要求</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10.响应文件计量单位和使用文字</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 响应文件组成（部分格式见第六章）</w:t>
      </w:r>
      <w:r/>
    </w:p>
    <w:p>
      <w:pPr>
        <w:pStyle w:val="1291"/>
        <w:ind w:firstLine="482"/>
        <w:spacing w:line="360" w:lineRule="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11.1响应文件报价部分：</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11.1.1磋商响应函；</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11.1.2磋商响应报价表；</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11.1.3分项报价明细表；</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11.1.4法定代表人授权委托书（如有授权）；</w:t>
      </w:r>
      <w:r/>
    </w:p>
    <w:p>
      <w:pPr>
        <w:pStyle w:val="1291"/>
        <w:ind w:firstLine="482"/>
        <w:spacing w:line="360" w:lineRule="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11.2响应文件资格及技术部分：</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11.2.1关于资格文件的声明函；</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11.2.2磋商响应单位基本情况表；</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11.2.3磋商响应单位《营业执照》副本扫描件；</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11.2.4磋商响应单位法定代表人身份证扫描件；</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11.2.5磋商响应单位代理人身份证扫描件（如有授权）；</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11.2.6合格供应商的基本条件</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11.2.6.1具有独立承担民事责任的能力证明。包括法人或者其他组织的营业执照等证明文件，自然人的身份证明；</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11.2.6.2具有良好的商业信誉和健全的财务会计制度证明。包括但不限于最近一期经审计的财务报告，其他组织、自然人及成立未满一年的法人应提供银行出具的资信证明。</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11.2.6.3响应单位证明其满足合格响应单位条件的证书、证明、文件等资料以及响应单位所具备的专业设备和专业技术能力，（根据《中华人民共和国市场主体登记管理条例》第十三条及相关部门规章的规定，企业法人性质的政府采购响应单位应在经工商管理部门核准登记注册的经营范围内参与经营活动。）</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11.2.6.4有依法缴纳税收和社会保障资金的良好记录。如税务登记证（如有）和合理期限内依法缴纳税收的凭据，社会保险登记证（如有）和合理期限内依法缴纳社会保险的凭据（专用收据或社会保险缴纳清单）。</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11.2.6.5参加政府采购活动前三年内，在经营活动中没有重大违法记录的书面声明函；</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11.2.6.6《中小企业声明函》或《残疾人福利性单位声明函》或由省级以上监狱管理局、戒毒管理局（含新疆生产建设兵团）出具的属于监狱企业的证明文件</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11.2.7合格供应商的特殊条件</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未被“信用中国”网站（www.creditchina.gov.cn）列入失信被执行人、重大税收违法案件当事人名单、政府采购严重失信行为记录名单；</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11.2.8其他特定资格要求：无。</w:t>
      </w:r>
      <w:r/>
    </w:p>
    <w:p>
      <w:pPr>
        <w:pStyle w:val="1291"/>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11.3响应单位针对本项目的服务方案；</w:t>
      </w:r>
      <w:r/>
    </w:p>
    <w:p>
      <w:pPr>
        <w:ind w:firstLine="480"/>
        <w:spacing w:line="360" w:lineRule="auto"/>
        <w:tabs>
          <w:tab w:val="left" w:pos="753"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w:t>
      </w:r>
      <w:r>
        <w:rPr>
          <w:rFonts w:hint="eastAsia" w:ascii="宋体" w:hAnsi="宋体" w:cs="宋体"/>
          <w:b/>
          <w:bCs/>
          <w:color w:val="000000" w:themeColor="text1"/>
          <w:sz w:val="24"/>
          <w14:textFill>
            <w14:solidFill>
              <w14:schemeClr w14:val="tx1"/>
            </w14:solidFill>
          </w14:textFill>
        </w:rPr>
        <w:t xml:space="preserve">磋商供应商必须上传上述“11.1-11.3”款规定的资料。否则，磋商响应文件将被认定为未实质性响应。</w:t>
      </w:r>
      <w:r/>
    </w:p>
    <w:p>
      <w:pPr>
        <w:pStyle w:val="1292"/>
        <w:ind w:firstLine="422"/>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注：</w:t>
      </w:r>
      <w:r>
        <w:rPr>
          <w:rFonts w:hint="eastAsia" w:ascii="宋体" w:hAnsi="宋体" w:cs="宋体"/>
          <w:b/>
          <w:bCs/>
          <w:color w:val="000000" w:themeColor="text1"/>
          <w14:textFill>
            <w14:solidFill>
              <w14:schemeClr w14:val="tx1"/>
            </w14:solidFill>
          </w14:textFill>
        </w:rPr>
        <w:t xml:space="preserve">（1）以上11.2.6-11.2.8为资格审查要求提供的材料，是作为对供应商资格审查、质疑身份认定的依据，响应供应商必须提供并加盖电子公章。否则，磋商响应文件将被认定为不符合资格审查要求。</w:t>
      </w:r>
      <w:r/>
    </w:p>
    <w:p>
      <w:pPr>
        <w:pStyle w:val="129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（2）以上11.1.1-11.2.5为符合性审查须提供的资料，响应供应商必须提供并加盖电子公章。否则，磋商响应文件将被认定为未实质性响应。</w:t>
      </w:r>
      <w:r/>
    </w:p>
    <w:p>
      <w:pPr>
        <w:pStyle w:val="1292"/>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（3）制作电子响应文件时必须与响应文件制作软件目录一一对应，将相关资料上传至相应模块。</w:t>
      </w:r>
      <w:r/>
    </w:p>
    <w:p>
      <w:pPr>
        <w:pStyle w:val="1292"/>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（4）磋商响应文件编制要求：</w:t>
      </w:r>
      <w:r>
        <w:rPr>
          <w:rFonts w:hint="eastAsia" w:ascii="宋体" w:hAnsi="宋体" w:cs="宋体"/>
          <w:bCs/>
          <w:color w:val="000000" w:themeColor="text1"/>
          <w14:textFill>
            <w14:solidFill>
              <w14:schemeClr w14:val="tx1"/>
            </w14:solidFill>
          </w14:textFill>
        </w:rPr>
        <w:t xml:space="preserve">本项目采用电子招投标形式，请供应商按照《苏采云系统供应商操作手册》进行制作、上传电子响应文件。</w:t>
      </w:r>
      <w:r>
        <w:rPr>
          <w:rFonts w:hint="eastAsia" w:ascii="宋体" w:hAnsi="宋体" w:cs="宋体"/>
          <w:b/>
          <w:bCs/>
          <w:color w:val="000000" w:themeColor="text1"/>
          <w14:textFill>
            <w14:solidFill>
              <w14:schemeClr w14:val="tx1"/>
            </w14:solidFill>
          </w14:textFill>
        </w:rPr>
        <w:t xml:space="preserve">电子响应文件制作完成后请于响应文件递交截止时间前成功上传至“苏采云”系统，否则视为放弃参加该采购项目。</w:t>
      </w:r>
      <w:r>
        <w:rPr>
          <w:rFonts w:hint="eastAsia" w:ascii="宋体" w:hAnsi="宋体" w:cs="宋体"/>
          <w:bCs/>
          <w:color w:val="000000" w:themeColor="text1"/>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241"/>
        <w:spacing w:line="360" w:lineRule="auto"/>
        <w:tabs>
          <w:tab w:val="left" w:pos="753"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241"/>
        <w:spacing w:line="360" w:lineRule="auto"/>
        <w:tabs>
          <w:tab w:val="left" w:pos="753"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（6）在“苏采云”系统中出现供应商“机器码一致”情形的，响应文件将被拒绝。</w:t>
      </w:r>
      <w:r/>
    </w:p>
    <w:p>
      <w:pPr>
        <w:ind w:firstLine="241"/>
        <w:spacing w:line="360" w:lineRule="auto"/>
        <w:tabs>
          <w:tab w:val="left" w:pos="753" w:leader="none"/>
        </w:tabs>
        <w:rPr>
          <w:rFonts w:hint="eastAsia" w:ascii="宋体" w:hAnsi="宋体" w:cs="宋体"/>
          <w:color w:val="000000" w:themeColor="text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7）项目评标结束后成交供应商须向采购代理机构提交响应文件纸质版，份数为三份。纸质响应文件与上传的电子响应文件一致，用于存档备案。（邮寄地址东太湖路66号威仪工园2号楼217室，联系人：孙继伟，联系电话：13063718760）</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12.报价（编制）要求的说明</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bookmarkStart w:id="8" w:name="_Toc14166"/>
      <w:r>
        <w:rPr>
          <w:rFonts w:hint="eastAsia" w:ascii="宋体" w:hAnsi="宋体" w:cs="宋体"/>
          <w:color w:val="000000" w:themeColor="text1"/>
          <w:sz w:val="24"/>
          <w14:textFill>
            <w14:solidFill>
              <w14:schemeClr w14:val="tx1"/>
            </w14:solidFill>
          </w14:textFill>
        </w:rPr>
        <w:t xml:space="preserve">12.1根据提供的磋商文件、服务清单及有关资料单独编制相关项目实施的磋商报价并汇总填入《分项报价明细表》。</w:t>
      </w:r>
      <w:bookmarkEnd w:id="8"/>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bookmarkStart w:id="9" w:name="_Toc5748"/>
      <w:r>
        <w:rPr>
          <w:rFonts w:hint="eastAsia" w:ascii="宋体" w:hAnsi="宋体" w:cs="宋体"/>
          <w:color w:val="000000" w:themeColor="text1"/>
          <w:sz w:val="24"/>
          <w14:textFill>
            <w14:solidFill>
              <w14:schemeClr w14:val="tx1"/>
            </w14:solidFill>
          </w14:textFill>
        </w:rPr>
        <w:t xml:space="preserve">12.2《分项报价明细表》中标的物顺序和数量均应按本磋商文件提供的清单编制。如发现响应报价中有错算现象，一旦成交，磋商供应商自行承担错算这部分的经济损失</w:t>
      </w:r>
      <w:bookmarkEnd w:id="9"/>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bookmarkStart w:id="10" w:name="_Toc24886"/>
      <w:r>
        <w:rPr>
          <w:rFonts w:hint="eastAsia" w:ascii="宋体" w:hAnsi="宋体" w:cs="宋体"/>
          <w:color w:val="000000" w:themeColor="text1"/>
          <w:sz w:val="24"/>
          <w14:textFill>
            <w14:solidFill>
              <w14:schemeClr w14:val="tx1"/>
            </w14:solidFill>
          </w14:textFill>
        </w:rPr>
        <w:t xml:space="preserve">本项目采用线上二次报价：</w:t>
      </w:r>
      <w:bookmarkEnd w:id="10"/>
      <w:r/>
      <w:r/>
    </w:p>
    <w:p>
      <w:pPr>
        <w:ind w:firstLine="408"/>
        <w:spacing w:line="360" w:lineRule="auto"/>
        <w:rPr>
          <w:rFonts w:hint="eastAsia" w:ascii="宋体" w:hAnsi="宋体" w:cs="宋体"/>
          <w:color w:val="000000" w:themeColor="text1"/>
          <w:sz w:val="24"/>
          <w14:textFill>
            <w14:solidFill>
              <w14:schemeClr w14:val="tx1"/>
            </w14:solidFill>
          </w14:textFill>
        </w:rPr>
        <w:outlineLvl w:val="0"/>
      </w:pPr>
      <w:r/>
      <w:bookmarkStart w:id="11" w:name="_Toc8820"/>
      <w:r/>
      <w:bookmarkStart w:id="12" w:name="_Toc25069"/>
      <w:r/>
      <w:bookmarkStart w:id="13" w:name="_Toc4164"/>
      <w:r/>
      <w:bookmarkStart w:id="14" w:name="_Toc1802"/>
      <w:r>
        <w:rPr>
          <w:rFonts w:hint="eastAsia" w:ascii="宋体" w:hAnsi="宋体" w:cs="宋体"/>
          <w:bCs/>
          <w:color w:val="000000" w:themeColor="text1"/>
          <w:sz w:val="24"/>
          <w14:textFill>
            <w14:solidFill>
              <w14:schemeClr w14:val="tx1"/>
            </w14:solidFill>
          </w14:textFill>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color w:val="000000" w:themeColor="text1"/>
          <w:sz w:val="24"/>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bookmarkEnd w:id="11"/>
      <w:r/>
      <w:bookmarkEnd w:id="12"/>
      <w:r/>
      <w:bookmarkEnd w:id="13"/>
      <w:r/>
      <w:bookmarkEnd w:id="14"/>
      <w:r/>
      <w:r/>
    </w:p>
    <w:p>
      <w:pPr>
        <w:ind w:firstLine="482"/>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12.2磋商供应商应对采购文件内所要采购的全部内容进行总价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12.3一项内容只允许一个报价，采购单位不接受任何有选择性的报价。各供应商根据竞争性磋商文件的规定，结合企业自身管理水平及市场行情自主报价，</w:t>
      </w:r>
      <w:r>
        <w:rPr>
          <w:rFonts w:hint="eastAsia" w:ascii="宋体" w:hAnsi="宋体" w:cs="宋体"/>
          <w:b/>
          <w:bCs/>
          <w:color w:val="000000" w:themeColor="text1"/>
          <w:sz w:val="24"/>
          <w14:textFill>
            <w14:solidFill>
              <w14:schemeClr w14:val="tx1"/>
            </w14:solidFill>
          </w14:textFill>
        </w:rPr>
        <w:t xml:space="preserve">报价均不得超过项目预算（最高限价）</w:t>
      </w:r>
      <w:r>
        <w:rPr>
          <w:rFonts w:hint="eastAsia" w:ascii="宋体" w:hAnsi="宋体" w:cs="宋体"/>
          <w:color w:val="000000" w:themeColor="text1"/>
          <w:sz w:val="24"/>
          <w14:textFill>
            <w14:solidFill>
              <w14:schemeClr w14:val="tx1"/>
            </w14:solidFill>
          </w14:textFill>
        </w:rPr>
        <w:t xml:space="preserve">。凡因供应商对竞争性磋商文件阅读疏忽或误解，或因对现场、环境、市场行情等了解不清而造成的后果和风险，由供应商负责；如供应商因此而提出索赔或交货期延长，采购人将不予批准。</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12.4磋商响应文件报价中的单价和总价全部采用人民币表示，除非合同的特殊条款另有规定。价格条件为项目现场完税价，报价含增值税和其他税费、保险费及其它伴随费用之和。</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13.保证金</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14.响应文件的有效期</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14.1自磋商响应文件递交（上传）截止之日起</w:t>
      </w:r>
      <w:r>
        <w:rPr>
          <w:rFonts w:hint="eastAsia" w:ascii="宋体" w:hAnsi="宋体" w:cs="宋体"/>
          <w:color w:val="000000" w:themeColor="text1"/>
          <w:sz w:val="24"/>
          <w:u w:val="single"/>
          <w14:textFill>
            <w14:solidFill>
              <w14:schemeClr w14:val="tx1"/>
            </w14:solidFill>
          </w14:textFill>
        </w:rPr>
        <w:t xml:space="preserve">60</w:t>
      </w:r>
      <w:r>
        <w:rPr>
          <w:rFonts w:hint="eastAsia" w:ascii="宋体" w:hAnsi="宋体" w:cs="宋体"/>
          <w:color w:val="000000" w:themeColor="text1"/>
          <w:sz w:val="24"/>
          <w14:textFill>
            <w14:solidFill>
              <w14:schemeClr w14:val="tx1"/>
            </w14:solidFill>
          </w14:textFill>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15.截止时间</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15.1响应文件必须在递交（上传）截止时间前上传系统。</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15.3在递交（上传）截止时间以后递交（上传）的磋商响应文件，采购单位将拒绝接收。</w:t>
      </w:r>
      <w:r/>
    </w:p>
    <w:p>
      <w:pPr>
        <w:spacing w:line="360" w:lineRule="auto"/>
        <w:tabs>
          <w:tab w:val="left" w:pos="753"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16. 磋商程序</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16.1采购代理机构按本须知规定的时间、地点主持磋商采购活动。</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16.3由磋商小组审查供应商解密的响应文件。</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16.5磋商过程中关于异常低价审查的相关要求</w:t>
      </w:r>
      <w:r/>
    </w:p>
    <w:p>
      <w:pPr>
        <w:ind w:firstLine="480"/>
        <w:spacing w:line="360" w:lineRule="auto"/>
        <w:tabs>
          <w:tab w:val="left" w:pos="753"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16.5.1依据“财库〔2026〕2号”文相关规定，评审过程中出现下列情形之一的，磋商小组应当启动异常低价投标（响应）审查程序：</w:t>
      </w:r>
      <w:r/>
    </w:p>
    <w:p>
      <w:pPr>
        <w:ind w:firstLine="480"/>
        <w:spacing w:line="360" w:lineRule="auto"/>
        <w:tabs>
          <w:tab w:val="left" w:pos="753"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16.5.1.1投标（响应）报价低于全部通过符合性审查供应商投标（响应）报价平均值50%的，即投标（响应）报价&lt;全部通过符合性审查供应商投标（响应）报价平均值×50%；</w:t>
      </w:r>
      <w:r/>
    </w:p>
    <w:p>
      <w:pPr>
        <w:ind w:firstLine="480"/>
        <w:spacing w:line="360" w:lineRule="auto"/>
        <w:tabs>
          <w:tab w:val="left" w:pos="753"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16.5.1.2投标（响应）报价低于通过符合性审查的次低报价供应商投标（响应）报价50%的，即投标（响应）报价&lt;通过符合性审查的次低报价供应商投标（响应）报价×50%；</w:t>
      </w:r>
      <w:r/>
    </w:p>
    <w:p>
      <w:pPr>
        <w:ind w:firstLine="480"/>
        <w:spacing w:line="360" w:lineRule="auto"/>
        <w:tabs>
          <w:tab w:val="left" w:pos="753"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16.5.1.3投标（响应）报价低于采购项目最高限价45%的，即投标（响应）报价&lt;采购项目最高限价×45%；</w:t>
      </w:r>
      <w:r/>
    </w:p>
    <w:p>
      <w:pPr>
        <w:ind w:firstLine="480"/>
        <w:spacing w:line="360" w:lineRule="auto"/>
        <w:tabs>
          <w:tab w:val="left" w:pos="753"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16.5.1.4评审委员会基于专业判断，认为供应商报价过低，有可能影响产品质量或者不能诚信履约的其他情形。</w:t>
      </w:r>
      <w:r/>
    </w:p>
    <w:p>
      <w:pPr>
        <w:ind w:firstLine="480"/>
        <w:spacing w:line="360" w:lineRule="auto"/>
        <w:tabs>
          <w:tab w:val="left" w:pos="753"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80"/>
        <w:spacing w:line="360" w:lineRule="auto"/>
        <w:tabs>
          <w:tab w:val="left" w:pos="753"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相关法律法规对供应商报价有规定的，从其规定。</w:t>
      </w:r>
      <w:r/>
    </w:p>
    <w:p>
      <w:pPr>
        <w:ind w:firstLine="480"/>
        <w:spacing w:line="360" w:lineRule="auto"/>
        <w:tabs>
          <w:tab w:val="left" w:pos="753"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16.5.2评审委员会启动异常低价投标（响应）审查后，属于前述第16.5.1.1项至第16.5.1.4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16.5.1.3项情形，供应商已随投标（响应）文件一并提交相关书面说明及必要的证明材料的，在评审现场可不再重复提交。</w:t>
      </w:r>
      <w:r/>
    </w:p>
    <w:p>
      <w:pPr>
        <w:ind w:firstLine="480"/>
        <w:spacing w:line="360" w:lineRule="auto"/>
        <w:tabs>
          <w:tab w:val="left" w:pos="753"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753"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b/>
          <w:color w:val="000000" w:themeColor="text1"/>
          <w:sz w:val="24"/>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16.7对于通过资格审查和符合性审查的供应商，磋商小组所有成员集中与单一供应商分别进行磋商，并给予所有参加磋商的供应商平等的磋商机会。</w:t>
      </w:r>
      <w:r>
        <w:rPr>
          <w:rFonts w:hint="eastAsia" w:ascii="宋体" w:hAnsi="宋体" w:cs="宋体"/>
          <w:b/>
          <w:bCs/>
          <w:color w:val="000000" w:themeColor="text1"/>
          <w:sz w:val="24"/>
          <w14:textFill>
            <w14:solidFill>
              <w14:schemeClr w14:val="tx1"/>
            </w14:solidFill>
          </w14:textFill>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16.9供应商应当按照采购文件的变动情况和磋商小组的要求，各供应商应及时关注【评审】环节等待询标澄清进行回复。</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16.10磋商结束后，</w:t>
      </w:r>
      <w:r>
        <w:rPr>
          <w:rFonts w:hint="eastAsia" w:ascii="宋体" w:hAnsi="宋体" w:cs="宋体"/>
          <w:b/>
          <w:bCs/>
          <w:color w:val="000000" w:themeColor="text1"/>
          <w:sz w:val="24"/>
          <w14:textFill>
            <w14:solidFill>
              <w14:schemeClr w14:val="tx1"/>
            </w14:solidFill>
          </w14:textFill>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16.11经磋商确定最终采购需求和提交最后报价的供应商后，由磋商小组采用综合评分法对提交最后报价的供应商的响应文件和最后报价进行综合评分。</w:t>
      </w:r>
      <w:bookmarkStart w:id="30" w:name="_GoBack"/>
      <w:r/>
      <w:bookmarkEnd w:id="30"/>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16.12磋商小组根据磋商成交原则确定成交供应商，并将结果通知所有参加磋商的供应商。若出现违反政府采购相关法律、法规或采购文件中的明确要求等情形，由此导致成交结果无效或合同解除的，供应商要承担由此引起的违约责任，并赔偿采购人因此遭受的所有损失。</w:t>
      </w:r>
      <w:r/>
    </w:p>
    <w:p>
      <w:pPr>
        <w:ind w:firstLine="480"/>
        <w:spacing w:line="360" w:lineRule="auto"/>
        <w:tabs>
          <w:tab w:val="left" w:pos="753"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16.13如磋商过程中出现本采购文件未尽事宜，由磋商小组根据政府采购有关法律、法规讨论决定。</w:t>
      </w:r>
      <w:r/>
    </w:p>
    <w:p>
      <w:pPr>
        <w:ind w:firstLine="480"/>
        <w:spacing w:line="360" w:lineRule="auto"/>
        <w:tabs>
          <w:tab w:val="left" w:pos="753"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16.14竞争性磋商文件的解释权归采购代理机构，如发现竞争性磋商文件内容与现行法律法规不相符的情况，以现行法律法规为准。</w:t>
      </w:r>
      <w:r/>
    </w:p>
    <w:p>
      <w:pP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17.项目的终止</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17.1出现下列情形之一的，将终止竞争性磋商采购活动：</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17.1.1因情况变化，不再符合规定的竞争性磋商采购方式适用情形的；</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17.1.2出现影响采购公正的违法、违规行为的；</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17.1.3在采购过程中符合要求的供应商或者报价未超过采购预算的供应商不足3家的；</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17.1.4在采购活动中因重大变故，采购任务取消的。</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18.评审内容的保密</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18.1磋商开始后，直到宣布授予成交单位合同为止，凡属于审查、澄清、评价和比较磋商响应文件的所有资料，有关授予合同的信息都不应向磋商供应商或与评审无关的其他人泄露。供应商在此期间应保持信息的保密性，未经许可不得擅自发布或公开与磋商相关的任何信息，违者应承担相应的法律责任。</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18.3在评审期间，采购单位将通过指定联络人与磋商供应商进行联系。</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19.成交单位的确认</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19.2</w:t>
      </w:r>
      <w:r>
        <w:rPr>
          <w:rFonts w:hint="eastAsia" w:ascii="宋体" w:hAnsi="宋体" w:cs="宋体"/>
          <w:color w:val="000000" w:themeColor="text1"/>
          <w:sz w:val="24"/>
          <w14:textFill>
            <w14:solidFill>
              <w14:schemeClr w14:val="tx1"/>
            </w14:solidFill>
          </w14:textFill>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19.3</w:t>
      </w:r>
      <w:r>
        <w:rPr>
          <w:rFonts w:hint="eastAsia" w:ascii="宋体" w:hAnsi="宋体" w:cs="宋体"/>
          <w:bCs/>
          <w:color w:val="000000" w:themeColor="text1"/>
          <w:sz w:val="24"/>
          <w14:textFill>
            <w14:solidFill>
              <w14:schemeClr w14:val="tx1"/>
            </w14:solidFill>
          </w14:textFill>
        </w:rPr>
        <w:t xml:space="preserve">由采购人在磋商小组推荐的成交候选单位中确定成交供应商。</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20.合同授予标准</w:t>
      </w:r>
      <w:r/>
    </w:p>
    <w:p>
      <w:pPr>
        <w:ind w:firstLine="480"/>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21.成交通知书</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21.2成交通知书将成为合同的组成部分。</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21.3采购单位对未成交单位不承担解释未成交原因的义务。</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21.4在发放《中标（成交）通知书》的同时，向参与项目评审的未中标（成交）供应商发放《未中标（成交）通知书》，以</w:t>
      </w:r>
      <w:r>
        <w:rPr>
          <w:rFonts w:hint="eastAsia" w:ascii="宋体" w:hAnsi="宋体" w:cs="宋体"/>
          <w:color w:val="000000" w:themeColor="text1"/>
          <w:sz w:val="24"/>
          <w:u w:val="single"/>
          <w14:textFill>
            <w14:solidFill>
              <w14:schemeClr w14:val="tx1"/>
            </w14:solidFill>
          </w14:textFill>
        </w:rPr>
        <w:t xml:space="preserve">电子邮件、</w:t>
      </w:r>
      <w:r>
        <w:rPr>
          <w:rFonts w:hint="eastAsia" w:ascii="宋体" w:hAnsi="宋体" w:cs="宋体"/>
          <w:color w:val="000000" w:themeColor="text1"/>
          <w:sz w:val="24"/>
          <w14:textFill>
            <w14:solidFill>
              <w14:schemeClr w14:val="tx1"/>
            </w14:solidFill>
          </w14:textFill>
        </w:rPr>
        <w:t xml:space="preserve">纸质寄送等与投标（响应）供应商约定的方式书面告知该未中标（成交）供应商的评审得分与排名，未中标（成交）供应商未按约定的时间和方式获取告知信息的，视为自动放弃并自行承担相应后果。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21.5各响应单位应在响应文件醒目位置注明电子邮箱号，如未按上述要求提供邮箱，视为自动放弃并自行承担相应后果。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21.6成交单位应按成交通知书中规定的时间和地点，由法定代表人或代理人与采购单位代表签订合同。否则按放弃处理。</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21.7签订合同及合同条款应以采购文件和成交单位的磋商响应文件及其澄清文件为依据。</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21.8成交单位因自身原因不按规定与采购人签订货物合同，则采购人将废除授标，并由成交单位依法承担相应法律责任。成交供应商因不可抗力或者自身原因不能履行采购合同的，采购人可以与排位在成交供应商之后第一位的成交候选供应商签订采购合同，以此类推，也可以重新开展采购活动。因自身原因拒绝签订采购合同的或者未按合同约定进行履约的，成交人不得参加对该项目重新开展的招标活动。</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22.服务费</w:t>
      </w:r>
      <w:r/>
    </w:p>
    <w:p>
      <w:pPr>
        <w:ind w:firstLine="480"/>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22.1成交单位须按前附表的规定按其预算金额计算并支付服务费，该费用应在领取成交通知书前付清。</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23.</w:t>
      </w:r>
      <w:r>
        <w:rPr>
          <w:rFonts w:hint="eastAsia" w:ascii="宋体" w:hAnsi="宋体" w:cs="宋体"/>
          <w:b/>
          <w:bCs/>
          <w:color w:val="000000" w:themeColor="text1"/>
          <w:sz w:val="24"/>
          <w14:textFill>
            <w14:solidFill>
              <w14:schemeClr w14:val="tx1"/>
            </w14:solidFill>
          </w14:textFill>
        </w:rPr>
        <w:t xml:space="preserve">履约保证金（履约保函）</w:t>
      </w:r>
      <w:r>
        <w:rPr>
          <w:rFonts w:hint="eastAsia" w:ascii="宋体" w:hAnsi="宋体" w:cs="宋体"/>
          <w:bCs/>
          <w:color w:val="000000" w:themeColor="text1"/>
          <w:sz w:val="24"/>
          <w14:textFill>
            <w14:solidFill>
              <w14:schemeClr w14:val="tx1"/>
            </w14:solidFill>
          </w14:textFill>
        </w:rPr>
        <w:t xml:space="preserve">：无。</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24.未尽事宜</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按《中华人民共和国政府采购法》及其他有关的法律法规的规定执行。</w:t>
      </w:r>
      <w:r/>
    </w:p>
    <w:p>
      <w:pPr>
        <w:pStyle w:val="1202"/>
        <w:ind w:firstLine="0"/>
        <w:spacing w:line="360" w:lineRule="auto"/>
        <w:rPr>
          <w:rFonts w:hint="eastAsia" w:ascii="宋体" w:hAnsi="宋体" w:eastAsia="宋体"/>
          <w:b/>
          <w:color w:val="000000" w:themeColor="text1"/>
          <w:sz w:val="21"/>
          <w:szCs w:val="21"/>
          <w14:textFill>
            <w14:solidFill>
              <w14:schemeClr w14:val="tx1"/>
            </w14:solidFill>
          </w14:textFill>
        </w:rPr>
        <w:outlineLvl w:val="2"/>
      </w:pPr>
      <w:r>
        <w:rPr>
          <w:rFonts w:hint="eastAsia" w:ascii="宋体" w:hAnsi="宋体" w:eastAsia="宋体"/>
          <w:b/>
          <w:color w:val="000000" w:themeColor="text1"/>
          <w:sz w:val="21"/>
          <w:szCs w:val="21"/>
          <w14:textFill>
            <w14:solidFill>
              <w14:schemeClr w14:val="tx1"/>
            </w14:solidFill>
          </w14:textFill>
        </w:rPr>
      </w:r>
      <w:r/>
    </w:p>
    <w:p>
      <w:pPr>
        <w:pStyle w:val="1202"/>
        <w:ind w:firstLine="0"/>
        <w:spacing w:line="360" w:lineRule="auto"/>
        <w:rPr>
          <w:rFonts w:hint="eastAsia" w:ascii="宋体" w:hAnsi="宋体" w:eastAsia="宋体"/>
          <w:b/>
          <w:color w:val="000000" w:themeColor="text1"/>
          <w:sz w:val="21"/>
          <w:szCs w:val="21"/>
          <w14:textFill>
            <w14:solidFill>
              <w14:schemeClr w14:val="tx1"/>
            </w14:solidFill>
          </w14:textFill>
        </w:rPr>
        <w:outlineLvl w:val="2"/>
      </w:pPr>
      <w:r>
        <w:rPr>
          <w:rFonts w:hint="eastAsia" w:ascii="宋体" w:hAnsi="宋体" w:eastAsia="宋体"/>
          <w:b/>
          <w:color w:val="000000" w:themeColor="text1"/>
          <w:sz w:val="21"/>
          <w:szCs w:val="21"/>
          <w14:textFill>
            <w14:solidFill>
              <w14:schemeClr w14:val="tx1"/>
            </w14:solidFill>
          </w14:textFill>
        </w:rPr>
      </w:r>
      <w:r/>
    </w:p>
    <w:p>
      <w:pPr>
        <w:pStyle w:val="1202"/>
        <w:ind w:firstLine="0"/>
        <w:spacing w:line="360" w:lineRule="auto"/>
        <w:rPr>
          <w:rFonts w:hint="eastAsia" w:ascii="宋体" w:hAnsi="宋体"/>
          <w:color w:val="000000" w:themeColor="text1"/>
          <w14:textFill>
            <w14:solidFill>
              <w14:schemeClr w14:val="tx1"/>
            </w14:solidFill>
          </w14:textFill>
        </w:rPr>
        <w:outlineLvl w:val="2"/>
      </w:pPr>
      <w:r>
        <w:rPr>
          <w:rFonts w:ascii="宋体" w:hAnsi="宋体" w:eastAsia="宋体"/>
          <w:b/>
          <w:color w:val="000000" w:themeColor="text1"/>
          <w:sz w:val="21"/>
          <w:szCs w:val="21"/>
          <w14:textFill>
            <w14:solidFill>
              <w14:schemeClr w14:val="tx1"/>
            </w14:solidFill>
          </w14:textFill>
        </w:rPr>
        <w:br w:type="page" w:clear="all"/>
      </w:r>
      <w:r/>
    </w:p>
    <w:p>
      <w:pPr>
        <w:pStyle w:val="1196"/>
        <w:jc w:val="center"/>
        <w:rPr>
          <w:rFonts w:hint="eastAsia" w:ascii="黑体" w:hAnsi="宋体" w:eastAsia="黑体"/>
          <w:color w:val="000000" w:themeColor="text1"/>
          <w:szCs w:val="16"/>
          <w14:textFill>
            <w14:solidFill>
              <w14:schemeClr w14:val="tx1"/>
            </w14:solidFill>
          </w14:textFill>
        </w:rPr>
      </w:pPr>
      <w:r/>
      <w:bookmarkStart w:id="15" w:name="_Toc13642115"/>
      <w:r/>
      <w:bookmarkStart w:id="16" w:name="_Toc474491765"/>
      <w:r/>
      <w:bookmarkStart w:id="17" w:name="_Toc20478"/>
      <w:r>
        <w:rPr>
          <w:rFonts w:hint="eastAsia" w:ascii="黑体" w:hAnsi="宋体" w:eastAsia="黑体"/>
          <w:color w:val="000000" w:themeColor="text1"/>
          <w:szCs w:val="16"/>
          <w14:textFill>
            <w14:solidFill>
              <w14:schemeClr w14:val="tx1"/>
            </w14:solidFill>
          </w14:textFill>
        </w:rPr>
        <w:t xml:space="preserve">第三章 </w:t>
      </w:r>
      <w:bookmarkEnd w:id="15"/>
      <w:r>
        <w:rPr>
          <w:rFonts w:hint="eastAsia" w:ascii="黑体" w:hAnsi="宋体" w:eastAsia="黑体"/>
          <w:color w:val="000000" w:themeColor="text1"/>
          <w:szCs w:val="16"/>
          <w14:textFill>
            <w14:solidFill>
              <w14:schemeClr w14:val="tx1"/>
            </w14:solidFill>
          </w14:textFill>
        </w:rPr>
        <w:t xml:space="preserve"> 采购</w:t>
      </w:r>
      <w:bookmarkEnd w:id="16"/>
      <w:r>
        <w:rPr>
          <w:rFonts w:hint="eastAsia" w:ascii="黑体" w:hAnsi="宋体" w:eastAsia="黑体"/>
          <w:color w:val="000000" w:themeColor="text1"/>
          <w:szCs w:val="16"/>
          <w14:textFill>
            <w14:solidFill>
              <w14:schemeClr w14:val="tx1"/>
            </w14:solidFill>
          </w14:textFill>
        </w:rPr>
        <w:t xml:space="preserve">需求</w:t>
      </w:r>
      <w:bookmarkEnd w:id="17"/>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受苏州市吴中区人民政府太湖街道办事处委托，江苏至衡诚达工程咨询有限公司对其</w:t>
      </w:r>
      <w:r>
        <w:rPr>
          <w:rFonts w:hint="eastAsia" w:ascii="宋体" w:hAnsi="宋体" w:cs="宋体"/>
          <w:color w:val="000000" w:themeColor="text1"/>
          <w:sz w:val="24"/>
          <w14:textFill>
            <w14:solidFill>
              <w14:schemeClr w14:val="tx1"/>
            </w14:solidFill>
          </w14:textFill>
        </w:rPr>
        <w:t xml:space="preserve">太湖街道2026年道路交通公共安全隐患排查治理服务</w:t>
      </w:r>
      <w:r>
        <w:rPr>
          <w:rFonts w:hint="eastAsia" w:ascii="宋体" w:hAnsi="宋体"/>
          <w:color w:val="000000" w:themeColor="text1"/>
          <w:sz w:val="24"/>
          <w14:textFill>
            <w14:solidFill>
              <w14:schemeClr w14:val="tx1"/>
            </w14:solidFill>
          </w14:textFill>
        </w:rPr>
        <w:t xml:space="preserve">在国内组织竞争性磋商采购。欢迎符合资格条件的供应商前来报名参加磋商。</w:t>
      </w:r>
      <w:r/>
    </w:p>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一、项目编号：</w:t>
      </w:r>
      <w:r>
        <w:rPr>
          <w:rFonts w:hint="eastAsia" w:ascii="宋体" w:hAnsi="宋体"/>
          <w:b/>
          <w:bCs/>
          <w:color w:val="000000" w:themeColor="text1"/>
          <w:sz w:val="24"/>
          <w14:textFill>
            <w14:solidFill>
              <w14:schemeClr w14:val="tx1"/>
            </w14:solidFill>
          </w14:textFill>
        </w:rPr>
        <w:t xml:space="preserve">JSZC-320506006-ZHCD-C2026-0014</w:t>
      </w:r>
      <w:r/>
    </w:p>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二、项目名称：太湖街道2026年道路交通公共安全隐患排查治理服务</w:t>
      </w:r>
      <w:r/>
    </w:p>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三、采购方式：竞争性磋商</w:t>
      </w:r>
      <w:r/>
    </w:p>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四、预算金额：叁佰壹拾壹万元整（￥3110000.00元）</w:t>
      </w:r>
      <w:r/>
    </w:p>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五、最高限价：叁佰壹拾壹万元整（￥3110000.00元）</w:t>
      </w:r>
      <w:r/>
    </w:p>
    <w:p>
      <w:p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六、采购内容：</w:t>
      </w:r>
      <w:r/>
    </w:p>
    <w:p>
      <w:p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（一）项目情况</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1、项目范围及概况</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进一步提高苏州市吴中区人民政府太湖街道道路安全管理和服务保障能力，拟采取“服务外包”形式，组建一支交通公共安全隐患排查治理队伍，协助交警部门参与早、晚高峰期、平峰期、夜间及节假日的道路交通秩序维持工作。协助开展辖区道路巡逻、排查安全隐患、疏导交通、维护路口秩序劝导违法行为等等，保障辖区道路畅通和群众出行安全。</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2、人员工作范围</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（1）全面负责辖区范围，维持辖区内城市道路秩序，维护辖区稳定，及时发现和消除安全及火灾隐患。</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（2）在甲方负责人的组织和领导下，做好道路秩序维护工作。</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（3）协助甲方相关管理部门提供安全力量支援。</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（4）随时出员，为辖区提供紧急救助服务，做好辖区内各项安全保卫工作，做好应急预案处置工作。</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（5）配合相关部门，纠查辖区内的各类违法违规活动。</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3、本项目中服务人员工作职责</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服务人员主要工作职责：维护管辖区域内交通路面的秩序，及时疏导路面，对发现的不安全隐患等各类事件基础信息，及时上报各类动态信息，完成上级管理机构交办的其他工作任务。</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4、项目人员工作时间及纪律</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（1）项目人员工作时间：</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保证每天全员在岗，在岗时间每天8小时。</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（2）项目人员工作纪律：</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服务人员在值勤中，应严格遵守以下纪律：</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①</w:t>
      </w:r>
      <w:r>
        <w:rPr>
          <w:rFonts w:hint="eastAsia" w:ascii="宋体" w:hAnsi="宋体" w:cs="宋体"/>
          <w:color w:val="000000" w:themeColor="text1"/>
          <w:sz w:val="24"/>
          <w14:textFill>
            <w14:solidFill>
              <w14:schemeClr w14:val="tx1"/>
            </w14:solidFill>
          </w14:textFill>
        </w:rPr>
        <w:t xml:space="preserve">值勤时应按规定着装，必须着工作服、系领带、穿黑皮鞋，服装要保持整洁并且着装要整齐规范（不得敞胸不扣纽扣、不得混乱着装、不得卷袖口及裤管），附件（帽子、武装带、胸号、胸牌、工作牌等）要佩戴齐全，仪表要保持整洁干净（不得蓄胡子、留长发或染发），非值勤时间内不准胡乱混穿工作制服。</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②</w:t>
      </w:r>
      <w:r>
        <w:rPr>
          <w:rFonts w:hint="eastAsia" w:ascii="宋体" w:hAnsi="宋体" w:cs="宋体"/>
          <w:color w:val="000000" w:themeColor="text1"/>
          <w:sz w:val="24"/>
          <w14:textFill>
            <w14:solidFill>
              <w14:schemeClr w14:val="tx1"/>
            </w14:solidFill>
          </w14:textFill>
        </w:rPr>
        <w:t xml:space="preserve">值勤时应使用文明礼貌用语，敬礼要规范，举止要文明，坐立姿势要端正。</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③</w:t>
      </w:r>
      <w:r>
        <w:rPr>
          <w:rFonts w:hint="eastAsia" w:ascii="宋体" w:hAnsi="宋体" w:cs="宋体"/>
          <w:color w:val="000000" w:themeColor="text1"/>
          <w:sz w:val="24"/>
          <w14:textFill>
            <w14:solidFill>
              <w14:schemeClr w14:val="tx1"/>
            </w14:solidFill>
          </w14:textFill>
        </w:rPr>
        <w:t xml:space="preserve">值勤中不得粗暴无礼，讲污言秽语，严禁打人、骂人。</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④</w:t>
      </w:r>
      <w:r>
        <w:rPr>
          <w:rFonts w:hint="eastAsia" w:ascii="宋体" w:hAnsi="宋体" w:cs="宋体"/>
          <w:color w:val="000000" w:themeColor="text1"/>
          <w:sz w:val="24"/>
          <w14:textFill>
            <w14:solidFill>
              <w14:schemeClr w14:val="tx1"/>
            </w14:solidFill>
          </w14:textFill>
        </w:rPr>
        <w:t xml:space="preserve">值勤时不准在岗位上看书看报，不准在岗位上干私活、会私客，更不准与无关人员闲聊。</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⑤</w:t>
      </w:r>
      <w:r>
        <w:rPr>
          <w:rFonts w:hint="eastAsia" w:ascii="宋体" w:hAnsi="宋体" w:cs="宋体"/>
          <w:color w:val="000000" w:themeColor="text1"/>
          <w:sz w:val="24"/>
          <w14:textFill>
            <w14:solidFill>
              <w14:schemeClr w14:val="tx1"/>
            </w14:solidFill>
          </w14:textFill>
        </w:rPr>
        <w:t xml:space="preserve">值勤时不准在岗位上电话聊天或玩手机、听耳机、吃零食。</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⑥</w:t>
      </w:r>
      <w:r>
        <w:rPr>
          <w:rFonts w:hint="eastAsia" w:ascii="宋体" w:hAnsi="宋体" w:cs="宋体"/>
          <w:color w:val="000000" w:themeColor="text1"/>
          <w:sz w:val="24"/>
          <w14:textFill>
            <w14:solidFill>
              <w14:schemeClr w14:val="tx1"/>
            </w14:solidFill>
          </w14:textFill>
        </w:rPr>
        <w:t xml:space="preserve">值勤时间不准饮酒，平时严禁酗酒（上岗前更不准饮酒）；不准吸烟，更不准在禁烟的地方吸烟。</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⑦</w:t>
      </w:r>
      <w:r>
        <w:rPr>
          <w:rFonts w:hint="eastAsia" w:ascii="宋体" w:hAnsi="宋体" w:cs="宋体"/>
          <w:color w:val="000000" w:themeColor="text1"/>
          <w:sz w:val="24"/>
          <w14:textFill>
            <w14:solidFill>
              <w14:schemeClr w14:val="tx1"/>
            </w14:solidFill>
          </w14:textFill>
        </w:rPr>
        <w:t xml:space="preserve">值勤时应服从领导的工作安排（有意见或认为安排不合理的应事后提出或向公司投诉），不准挑弄是非影响团队工作及形象。</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⑧</w:t>
      </w:r>
      <w:r>
        <w:rPr>
          <w:rFonts w:hint="eastAsia" w:ascii="宋体" w:hAnsi="宋体" w:cs="宋体"/>
          <w:color w:val="000000" w:themeColor="text1"/>
          <w:sz w:val="24"/>
          <w14:textFill>
            <w14:solidFill>
              <w14:schemeClr w14:val="tx1"/>
            </w14:solidFill>
          </w14:textFill>
        </w:rPr>
        <w:t xml:space="preserve">不准迟到、早退、旷工。</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⑨</w:t>
      </w:r>
      <w:r>
        <w:rPr>
          <w:rFonts w:hint="eastAsia" w:ascii="宋体" w:hAnsi="宋体" w:cs="宋体"/>
          <w:color w:val="000000" w:themeColor="text1"/>
          <w:sz w:val="24"/>
          <w14:textFill>
            <w14:solidFill>
              <w14:schemeClr w14:val="tx1"/>
            </w14:solidFill>
          </w14:textFill>
        </w:rPr>
        <w:t xml:space="preserve">不准利用工作之便在岗位上拉关系、谋私利、向他人索取财物。</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⑩</w:t>
      </w:r>
      <w:r>
        <w:rPr>
          <w:rFonts w:hint="eastAsia" w:ascii="宋体" w:hAnsi="宋体" w:cs="宋体"/>
          <w:color w:val="000000" w:themeColor="text1"/>
          <w:sz w:val="24"/>
          <w14:textFill>
            <w14:solidFill>
              <w14:schemeClr w14:val="tx1"/>
            </w14:solidFill>
          </w14:textFill>
        </w:rPr>
        <w:t xml:space="preserve">不准故意损坏公司配备值勤器材、设备、财物等。</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⑪</w:t>
      </w:r>
      <w:r>
        <w:rPr>
          <w:rFonts w:hint="eastAsia" w:ascii="宋体" w:hAnsi="宋体" w:cs="宋体"/>
          <w:color w:val="000000" w:themeColor="text1"/>
          <w:sz w:val="24"/>
          <w14:textFill>
            <w14:solidFill>
              <w14:schemeClr w14:val="tx1"/>
            </w14:solidFill>
          </w14:textFill>
        </w:rPr>
        <w:t xml:space="preserve">不准无故不参加班、队会、训练及其他集体活动。</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⑫</w:t>
      </w:r>
      <w:r>
        <w:rPr>
          <w:rFonts w:hint="eastAsia" w:ascii="宋体" w:hAnsi="宋体" w:cs="宋体"/>
          <w:color w:val="000000" w:themeColor="text1"/>
          <w:sz w:val="24"/>
          <w14:textFill>
            <w14:solidFill>
              <w14:schemeClr w14:val="tx1"/>
            </w14:solidFill>
          </w14:textFill>
        </w:rPr>
        <w:t xml:space="preserve">不准虚填考勤、虚报加班、冒领工资及其他虚假行为。</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⑬</w:t>
      </w:r>
      <w:r>
        <w:rPr>
          <w:rFonts w:hint="eastAsia" w:ascii="宋体" w:hAnsi="宋体" w:cs="宋体"/>
          <w:color w:val="000000" w:themeColor="text1"/>
          <w:sz w:val="24"/>
          <w14:textFill>
            <w14:solidFill>
              <w14:schemeClr w14:val="tx1"/>
            </w14:solidFill>
          </w14:textFill>
        </w:rPr>
        <w:t xml:space="preserve">不准监守自盗、内外勾结、为他人非法行为提供方便；不准参与赌博、 吸毒等其他涉及违法犯罪的活动。</w:t>
      </w:r>
      <w:r/>
    </w:p>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（二）项目管理要求：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1、目标要求：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（1）、成交单位应根据甲方管理规定与服务要求，制订切实可行的本项目服务整体方案和应急预案，突发事件反应迅速，预案处置有力；</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（2）、成交单位应依法办事，文明值勤，严格管理，保障本项目管理范围内的人员人身不受侵害，维护正常的工作、生活秩序；</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（3）、成交单位应做到全年无责任事故和责任案件发生。</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2、服务要求：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（1）、成交单位应树立“服务第一，业主至上”的思想，切实维护员工的人身和财产安全；</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（2）、成交单位管理应坚持原则、慎密严谨；服务以人为本、主动热情；处理问题高度警惕、有理有节；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（3）、上岗人员仪表整洁，业务操作规范，礼貌待人，保持岗位卫生整洁；</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（4）、依法办事，文明执勤，不与服务对象发生争吵，杜绝服务人员与服务对象发生冲突，禁止出手伤及服务对象人身安全，做到打不还手、骂不还口；</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（5）、服从甲方领导，遵守甲方有关制度，对甲方项目范围内的要求有求必应，有险情必出。</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3、管理要求：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（1）、成交单位应负责提供进驻服务人员值勤所需的服装装备、器材等设备，常用办公耗材等；</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成交单位应从项目安全实际出发，经常开展在岗人员业务培训和紧急预案演练，服务人员上岗培训必须达到相关要求，消防培训必须聘请具备专业消防培训资质的机构和人员进行培训，每名在岗人员必须参加；</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（3）、成交单位内部管理体制健全，本项目全员不低于30人，设立项目负责人1名，班（队）长2名，全面负责日常队伍的规范化管理；</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成交单位必须采取切实有效措施保持项目组人员的稳定，严格控制非违纪人员轮换岗比例，合同期限内轮换岗服务人数不得超过合同编制的30%，并在响应文件中作出承诺；服务队伍主要管理人员更换，应提前一个月以书面形式通知招标人，其他队员更换要提前壹周告知招标人；确保服务质量不因人员变动而受影响；</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（5）、服务人员应聘、录用、离职等管理档案规范，手续齐全，相应资料必须报甲方项目主管部门备案，禁止离职服务人员进入辖区。</w:t>
      </w:r>
      <w:r/>
    </w:p>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（三）岗位人员要求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1、岗位人数要求：</w:t>
      </w:r>
      <w:r/>
    </w:p>
    <w:tbl>
      <w:tblPr>
        <w:tblStyle w:val="87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65"/>
        <w:gridCol w:w="2877"/>
        <w:gridCol w:w="1968"/>
        <w:gridCol w:w="2566"/>
      </w:tblGrid>
      <w:tr>
        <w:trPr>
          <w:jc w:val="center"/>
        </w:trPr>
        <w:tc>
          <w:tcPr>
            <w:tcW w:w="1322"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岗位名称</w:t>
            </w:r>
            <w:r/>
          </w:p>
        </w:tc>
        <w:tc>
          <w:tcPr>
            <w:tcW w:w="1427"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工作时间</w:t>
            </w:r>
            <w:r/>
          </w:p>
        </w:tc>
        <w:tc>
          <w:tcPr>
            <w:tcW w:w="976"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人数</w:t>
            </w:r>
            <w:r/>
          </w:p>
        </w:tc>
        <w:tc>
          <w:tcPr>
            <w:tcW w:w="1273"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备注</w:t>
            </w:r>
            <w:r/>
          </w:p>
        </w:tc>
      </w:tr>
      <w:tr>
        <w:trPr>
          <w:jc w:val="center"/>
        </w:trPr>
        <w:tc>
          <w:tcPr>
            <w:tcW w:w="1322"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交通管理辅助人员</w:t>
            </w:r>
            <w:r/>
          </w:p>
        </w:tc>
        <w:tc>
          <w:tcPr>
            <w:tcW w:w="1427"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在岗时间每天8小时</w:t>
            </w:r>
            <w:r/>
          </w:p>
        </w:tc>
        <w:tc>
          <w:tcPr>
            <w:tcW w:w="976"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视具体情况</w:t>
            </w:r>
            <w:r/>
          </w:p>
        </w:tc>
        <w:tc>
          <w:tcPr>
            <w:tcW w:w="1273"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男性</w:t>
            </w:r>
            <w:r/>
          </w:p>
        </w:tc>
      </w:tr>
      <w:tr>
        <w:trPr>
          <w:jc w:val="center"/>
        </w:trPr>
        <w:tc>
          <w:tcPr>
            <w:tcW w:w="1322"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应急人员</w:t>
            </w:r>
            <w:r/>
          </w:p>
        </w:tc>
        <w:tc>
          <w:tcPr>
            <w:tcW w:w="1427"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视具体情况</w:t>
            </w:r>
            <w:r/>
          </w:p>
        </w:tc>
        <w:tc>
          <w:tcPr>
            <w:tcW w:w="976"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视具体情况</w:t>
            </w:r>
            <w:r/>
          </w:p>
        </w:tc>
        <w:tc>
          <w:tcPr>
            <w:tcW w:w="1273"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2、人员配置要求：</w:t>
      </w:r>
      <w:r/>
    </w:p>
    <w:tbl>
      <w:tblPr>
        <w:tblStyle w:val="87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0"/>
        <w:gridCol w:w="4125"/>
        <w:gridCol w:w="4411"/>
      </w:tblGrid>
      <w:tr>
        <w:trPr>
          <w:jc w:val="center"/>
        </w:trPr>
        <w:tc>
          <w:tcPr>
            <w:tcW w:w="764"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w:t>
            </w:r>
            <w:r/>
          </w:p>
        </w:tc>
        <w:tc>
          <w:tcPr>
            <w:tcW w:w="2046"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要  求</w:t>
            </w:r>
            <w:r/>
          </w:p>
        </w:tc>
        <w:tc>
          <w:tcPr>
            <w:tcW w:w="2188"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备注</w:t>
            </w:r>
            <w:r/>
          </w:p>
        </w:tc>
      </w:tr>
      <w:tr>
        <w:trPr>
          <w:jc w:val="center"/>
        </w:trPr>
        <w:tc>
          <w:tcPr>
            <w:tcW w:w="764"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基本要求</w:t>
            </w:r>
            <w:r/>
          </w:p>
        </w:tc>
        <w:tc>
          <w:tcPr>
            <w:tcW w:w="2046"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2188"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617"/>
        </w:trPr>
        <w:tc>
          <w:tcPr>
            <w:tcW w:w="764"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性别</w:t>
            </w:r>
            <w:r/>
          </w:p>
        </w:tc>
        <w:tc>
          <w:tcPr>
            <w:tcW w:w="2046"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男性</w:t>
            </w:r>
            <w:r/>
          </w:p>
        </w:tc>
        <w:tc>
          <w:tcPr>
            <w:tcW w:w="2188"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W w:w="764"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w:t>
            </w:r>
            <w:r/>
          </w:p>
        </w:tc>
        <w:tc>
          <w:tcPr>
            <w:tcW w:w="2046"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20-45周岁</w:t>
            </w:r>
            <w:r/>
          </w:p>
        </w:tc>
        <w:tc>
          <w:tcPr>
            <w:tcW w:w="2188"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W w:w="764"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身高</w:t>
            </w:r>
            <w:r/>
          </w:p>
        </w:tc>
        <w:tc>
          <w:tcPr>
            <w:tcW w:w="2046"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1.70米以上</w:t>
            </w:r>
            <w:r/>
          </w:p>
        </w:tc>
        <w:tc>
          <w:tcPr>
            <w:tcW w:w="2188"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W w:w="764"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形象</w:t>
            </w:r>
            <w:r/>
          </w:p>
        </w:tc>
        <w:tc>
          <w:tcPr>
            <w:tcW w:w="2046"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相貌端正，体形标准</w:t>
            </w:r>
            <w:r/>
          </w:p>
        </w:tc>
        <w:tc>
          <w:tcPr>
            <w:tcW w:w="2188"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W w:w="764"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学历</w:t>
            </w:r>
            <w:r/>
          </w:p>
        </w:tc>
        <w:tc>
          <w:tcPr>
            <w:tcBorders>
              <w:bottom w:val="single" w:color="auto" w:sz="4" w:space="0"/>
            </w:tcBorders>
            <w:tcW w:w="2046"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中专以上学历</w:t>
            </w:r>
            <w:r/>
          </w:p>
        </w:tc>
        <w:tc>
          <w:tcPr>
            <w:tcW w:w="2188"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W w:w="764"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体能要求</w:t>
            </w:r>
            <w:r/>
          </w:p>
        </w:tc>
        <w:tc>
          <w:tcPr>
            <w:tcW w:w="2046"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10米</w:t>
            </w:r>
            <w:bookmarkStart w:id="18" w:name="_Hlt495500445"/>
            <w:r/>
            <w:bookmarkStart w:id="19" w:name="_Hlt495500444"/>
            <w:r>
              <w:rPr>
                <w:rFonts w:hint="eastAsia" w:ascii="宋体" w:hAnsi="宋体" w:cs="宋体"/>
                <w:color w:val="000000" w:themeColor="text1"/>
                <w:sz w:val="24"/>
                <w14:textFill>
                  <w14:solidFill>
                    <w14:schemeClr w14:val="tx1"/>
                  </w14:solidFill>
                </w14:textFill>
              </w:rPr>
              <w:t xml:space="preserve">×</w:t>
            </w:r>
            <w:bookmarkEnd w:id="18"/>
            <w:r/>
            <w:bookmarkEnd w:id="19"/>
            <w:r>
              <w:rPr>
                <w:rFonts w:hint="eastAsia" w:ascii="宋体" w:hAnsi="宋体" w:cs="宋体"/>
                <w:color w:val="000000" w:themeColor="text1"/>
                <w:sz w:val="24"/>
                <w14:textFill>
                  <w14:solidFill>
                    <w14:schemeClr w14:val="tx1"/>
                  </w14:solidFill>
                </w14:textFill>
              </w:rPr>
              <w:t xml:space="preserve">4往返跑，纵跳摸高，1000米跑达到交通协警体能测评标准</w:t>
            </w:r>
            <w:r/>
          </w:p>
        </w:tc>
        <w:tc>
          <w:tcPr>
            <w:tcW w:w="2188"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能适应长时间路面交通辅警作业</w:t>
            </w:r>
            <w:r/>
          </w:p>
        </w:tc>
      </w:tr>
      <w:tr>
        <w:trPr>
          <w:jc w:val="center"/>
        </w:trPr>
        <w:tc>
          <w:tcPr>
            <w:tcW w:w="764"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基本素质</w:t>
            </w:r>
            <w:r/>
          </w:p>
        </w:tc>
        <w:tc>
          <w:tcPr>
            <w:tcW w:w="2046"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具备一定的事件识别能力和预先处置能力，具备吃苦耐劳精神</w:t>
            </w:r>
            <w:r/>
          </w:p>
        </w:tc>
        <w:tc>
          <w:tcPr>
            <w:tcW w:w="2188"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W w:w="764"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身体素质</w:t>
            </w:r>
            <w:r/>
          </w:p>
        </w:tc>
        <w:tc>
          <w:tcPr>
            <w:tcW w:w="2046"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体检合格，具备较强体力和耐力</w:t>
            </w:r>
            <w:r/>
          </w:p>
        </w:tc>
        <w:tc>
          <w:tcPr>
            <w:tcW w:w="2188"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W w:w="764"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职业素质</w:t>
            </w:r>
            <w:r/>
          </w:p>
        </w:tc>
        <w:tc>
          <w:tcPr>
            <w:tcW w:w="2046"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无犯罪记录及行政处罚记录</w:t>
            </w:r>
            <w:r/>
          </w:p>
        </w:tc>
        <w:tc>
          <w:tcPr>
            <w:tcW w:w="2188"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W w:w="764"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技能要求</w:t>
            </w:r>
            <w:r/>
          </w:p>
        </w:tc>
        <w:tc>
          <w:tcPr>
            <w:tcW w:w="2046"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能懂得交通法规知识及路面交通指挥手势，懂得消防安全知识</w:t>
            </w:r>
            <w:r/>
          </w:p>
        </w:tc>
        <w:tc>
          <w:tcPr>
            <w:tcW w:w="2188" w:type="pct"/>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（四）承担风险：</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1、采购人将对服务质量进行全过程监控，成交单位人员日常工作不到位、不达标、或有违约现象，将依据合同约定，作出相应的违约处理与处罚。</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2、成交单位人员在岗履行工作职责期间，发生自身的人身伤害、伤亡，均由成交单位负责处理并承担经济和道义上的责任，采购人不承担任何责任。</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3、成交单位违反国家相关法规，与聘用人员发生纠纷，均由成交单位负责调解与处理，采购人不承担责任。</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4、成交单位在服务中违反国家相关法规或相关行业规范，因过失造成他人人身伤亡的，均由成交单位负责处理并承担经济和道义上的责任，采购人不承担任何责任。</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5、采购人项目发生安全事故（如人身伤害、火灾、盗情），要追究乙方责任，成交单位应协助采购人追究当班人员责任，并承担相应的赔偿责任。</w:t>
      </w:r>
      <w:r/>
    </w:p>
    <w:p>
      <w:pPr>
        <w:ind w:firstLine="482"/>
        <w:spacing w:line="360" w:lineRule="auto"/>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（五）综合说明及其他</w:t>
      </w:r>
      <w:r/>
    </w:p>
    <w:p>
      <w:pPr>
        <w:ind w:firstLine="482"/>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1、响应单位按照磋商文件的要求提交响应文件，并对所提供的全部资料的真实性承担法律责任。</w:t>
      </w:r>
      <w:r>
        <w:rPr>
          <w:rFonts w:hint="eastAsia" w:ascii="宋体" w:hAnsi="宋体" w:cs="宋体"/>
          <w:color w:val="000000" w:themeColor="text1"/>
          <w:sz w:val="24"/>
          <w14:textFill>
            <w14:solidFill>
              <w14:schemeClr w14:val="tx1"/>
            </w14:solidFill>
          </w14:textFill>
        </w:rPr>
        <w:t xml:space="preserve">响应单位提供的磋商响应文件内容须真实、准确、有效，如提供虚假材料或对磋商采购文件所要求说明的情况故意隐瞒或虚报，视为不实质性响应采购要求，其磋商响应文件将被拒绝。</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磋商响应单位必须说明其是否响应采购文件中提出的全部服务内容与要求，如果对其中某些条款不响应时，应在文件中逐条列出，未列出的视同响应。响应单位所提供的相关服务应符合国家有关标准和规范，遵循磋商采购文件的要求，并提供详细说明。</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3、本次采购活动不接受联合报价及分包、转包。</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4、报价包括完成该项目成本、管理费、代理服务费、文件规定政策性费用等所有费用。</w:t>
      </w:r>
      <w:r/>
    </w:p>
    <w:p>
      <w:pPr>
        <w:ind w:firstLine="482"/>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5、供应商应综合考量服务过程中所需的人工费(所有工作人员的值休、轮休、法定假日休息以及岗位顶班、日常机动人员的配备)、材料费、工具及设备使用费等相关费用、管理费、代理服务费、餐费、住宿费、人员出行交通费、各种社会保险、规费以及响应单位企业利润、税金和政策性文件规定及合同包含的所有风险、责任等各项应有费用。遇到法律法规规定的最低工资调整，其中人工费用相应浮动，由供应商自行承担。</w:t>
      </w:r>
      <w:r>
        <w:rPr>
          <w:rFonts w:hint="eastAsia" w:ascii="宋体" w:hAnsi="宋体" w:cs="宋体"/>
          <w:color w:val="000000" w:themeColor="text1"/>
          <w:sz w:val="24"/>
          <w14:textFill>
            <w14:solidFill>
              <w14:schemeClr w14:val="tx1"/>
            </w14:solidFill>
          </w14:textFill>
        </w:rPr>
        <w:t xml:space="preserve">采购方不再提供工作餐。</w:t>
      </w:r>
      <w:r/>
    </w:p>
    <w:p>
      <w:pPr>
        <w:ind w:firstLine="482"/>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注：成交单位需向管理方开具增值税专用发票，合同中不含税价款除合同另有约定外不因任何原因变化而变化，若在合同履行期间，遇到国家税收政策调整，则未开发票部分按照新税率重新计算税金，不含税价款不变。若开票金额与合同金额有尾差，以实际开票为准。</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6、成交单位工作人员在服务期间内出现的工伤及其他意外事故，均由成交单位自行负责，采购单位不承担任何责任。</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rPr>
          <w:rFonts w:hint="eastAsia" w:ascii="宋体" w:hAnsi="宋体" w:cs="宋体"/>
          <w:color w:val="000000" w:themeColor="text1"/>
          <w:sz w:val="24"/>
          <w:lang w:val="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成交单位如因各种原因退出在采购单位的服务工作，应按交接三方（采购单位、成交单位和新服务公司）达成的交接要求做好交接工作，在正式交接前，成交单位不得以各种借口提前退出在采购单位的服务工作，即使协议已到期的，也应作适当的延期直到交接工作的圆满完成，否则成交单位要承担由此给采购单位造成的各种损失。交接工作是本协议成交单位应尽的义务之一，如果交接期间发生在本合同期内，则其相关费用已经包含在本协议价款中，如果交接期发生在合同期之外，则采购单位按照本合同有关条款支付延期服务费用。</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8、预付款、</w:t>
      </w:r>
      <w:r>
        <w:rPr>
          <w:rFonts w:hint="eastAsia" w:ascii="宋体" w:hAnsi="宋体" w:cs="宋体"/>
          <w:color w:val="000000" w:themeColor="text1"/>
          <w:sz w:val="24"/>
          <w14:textFill>
            <w14:solidFill>
              <w14:schemeClr w14:val="tx1"/>
            </w14:solidFill>
          </w14:textFill>
        </w:rPr>
        <w:t xml:space="preserve">合同价款的支付及付款方式</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bookmarkStart w:id="20" w:name="tip_risk_bookmark_2"/>
      <w:r>
        <w:rPr>
          <w:rFonts w:hint="eastAsia" w:ascii="宋体" w:hAnsi="宋体" w:cs="宋体"/>
          <w:color w:val="000000" w:themeColor="text1"/>
          <w:sz w:val="24"/>
          <w14:textFill>
            <w14:solidFill>
              <w14:schemeClr w14:val="tx1"/>
            </w14:solidFill>
          </w14:textFill>
        </w:rPr>
        <w:t xml:space="preserve">本合同签订并生效后，甲方向乙方支付本合同总金额的10%作为预付款，剩余款项每月付款。每月付款金额=合同剩余金额×1/12-考核扣款。</w:t>
      </w:r>
      <w:bookmarkEnd w:id="20"/>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（2）在签订合同时，乙方明确表示无需预付款或者主动要求降低预付款比例的，甲方可不适用上述关于预付款的规定。具体实施要求按苏财购【2020】52号：一、建立政府采购资金预付款制度的相关规定。</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（3）甲方每月根据实际服务内容按实结算，按考核结果支付相应金额。</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具体付款步骤详见合同主要条款</w:t>
      </w:r>
      <w:r>
        <w:rPr>
          <w:color w:val="000000" w:themeColor="text1"/>
          <w14:textFill>
            <w14:solidFill>
              <w14:schemeClr w14:val="tx1"/>
            </w14:solidFill>
          </w14:textFill>
        </w:rPr>
        <w:t xml:space="preserve">。</w:t>
      </w:r>
      <w:r/>
    </w:p>
    <w:p>
      <w:pPr>
        <w:ind w:firstLine="482"/>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8.1根据现行税法对采购方征收的与本项目采购合同有关的一切税费均由采购方承担；根据现行税法对成交单位征收的与本项目采购合同有关的一切税费均由成交单位承担。</w:t>
      </w:r>
      <w:r/>
    </w:p>
    <w:p>
      <w:pPr>
        <w:ind w:firstLine="482"/>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8.2支付方式：以采购方实际支付方式为准。付款前，成交单位须先向采购方提供的凭据，以采购方具体要求为准。</w:t>
      </w:r>
      <w:r/>
    </w:p>
    <w:p>
      <w:pPr>
        <w:ind w:firstLine="482"/>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9、成交单位将根据磋商文件、响应文件的相关约定，承担合同责任，履行合同义务。成交单位在服务中如达不到其当时在响应文件内所承诺的服务，采购方有权单方面解除合同。</w:t>
      </w:r>
      <w:r/>
    </w:p>
    <w:p>
      <w:pPr>
        <w:ind w:firstLine="482"/>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10、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firstLine="482"/>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11、质量、考核与验收</w:t>
      </w:r>
      <w:r/>
    </w:p>
    <w:p>
      <w:pPr>
        <w:ind w:firstLine="482"/>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11.1成交单位应按照磋商文件的要求提供合格的服务；</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11.2考核标准如下：</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 xml:space="preserve">考核总分100分，每月考核一次；</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 xml:space="preserve">得分90分（含）以上的，足额支付当月费用；</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 xml:space="preserve">得分75分（含）——89分的，扣除当月费用的5%；</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 xml:space="preserve">得分60分（含）——74分的，扣除当月费用的10%；</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 xml:space="preserve">60分以下的，扣除当月费用的20%；</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 xml:space="preserve">乙方连续两次考核得分60分（含）——74分之间的、或单次考核60分以下的、或乙方人员发生严重违法违纪行为的，采购人有权单方解除合同且不承担任何违约责任。</w:t>
      </w:r>
      <w:r/>
    </w:p>
    <w:tbl>
      <w:tblPr>
        <w:tblStyle w:val="879"/>
        <w:tblpPr w:horzAnchor="margin" w:tblpXSpec="center" w:vertAnchor="text" w:tblpY="117"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4866"/>
        <w:gridCol w:w="2060"/>
        <w:gridCol w:w="1076"/>
        <w:gridCol w:w="1373"/>
      </w:tblGrid>
      <w:tr>
        <w:trPr>
          <w:trHeight w:val="457"/>
        </w:trPr>
        <w:tc>
          <w:tcPr>
            <w:tcW w:w="347" w:type="pct"/>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序号</w:t>
            </w:r>
            <w:r/>
          </w:p>
        </w:tc>
        <w:tc>
          <w:tcPr>
            <w:tcW w:w="2414" w:type="pct"/>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项目</w:t>
            </w:r>
            <w:r/>
          </w:p>
        </w:tc>
        <w:tc>
          <w:tcPr>
            <w:tcW w:w="1022" w:type="pct"/>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分值</w:t>
            </w:r>
            <w:r/>
          </w:p>
        </w:tc>
        <w:tc>
          <w:tcPr>
            <w:tcW w:w="534" w:type="pct"/>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扣分</w:t>
            </w:r>
            <w:r/>
          </w:p>
        </w:tc>
        <w:tc>
          <w:tcPr>
            <w:tcW w:w="681" w:type="pct"/>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扣分原因</w:t>
            </w:r>
            <w:r/>
          </w:p>
        </w:tc>
      </w:tr>
      <w:tr>
        <w:trPr>
          <w:trHeight w:val="346"/>
        </w:trPr>
        <w:tc>
          <w:tcPr>
            <w:tcW w:w="347"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W w:w="2414"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未按照合同要求配足配齐设备的</w:t>
            </w:r>
            <w:r/>
          </w:p>
        </w:tc>
        <w:tc>
          <w:tcPr>
            <w:tcW w:w="1022"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10-20分/次</w:t>
            </w:r>
            <w:r/>
          </w:p>
        </w:tc>
        <w:tc>
          <w:tcPr>
            <w:tcW w:w="534"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681"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346"/>
        </w:trPr>
        <w:tc>
          <w:tcPr>
            <w:tcW w:w="347"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p>
        </w:tc>
        <w:tc>
          <w:tcPr>
            <w:tcW w:w="2414"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在岗人员未按要求着装，整齐着装</w:t>
            </w:r>
            <w:r/>
          </w:p>
        </w:tc>
        <w:tc>
          <w:tcPr>
            <w:tcW w:w="1022"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5分/起</w:t>
            </w:r>
            <w:r/>
          </w:p>
        </w:tc>
        <w:tc>
          <w:tcPr>
            <w:tcW w:w="534"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681"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15"/>
        </w:trPr>
        <w:tc>
          <w:tcPr>
            <w:tcW w:w="347"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p>
        </w:tc>
        <w:tc>
          <w:tcPr>
            <w:tcW w:w="2414"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抽烟、工作时间聊天的</w:t>
            </w:r>
            <w:r/>
          </w:p>
        </w:tc>
        <w:tc>
          <w:tcPr>
            <w:tcW w:w="1022"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2-5分/次</w:t>
            </w:r>
            <w:r/>
          </w:p>
        </w:tc>
        <w:tc>
          <w:tcPr>
            <w:tcW w:w="534"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681"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15"/>
        </w:trPr>
        <w:tc>
          <w:tcPr>
            <w:tcW w:w="347"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p>
        </w:tc>
        <w:tc>
          <w:tcPr>
            <w:tcW w:w="2414"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不能按照合同要求，</w:t>
            </w:r>
            <w:r>
              <w:rPr>
                <w:rFonts w:hint="eastAsia" w:ascii="宋体" w:hAnsi="宋体"/>
                <w:color w:val="000000" w:themeColor="text1"/>
                <w:szCs w:val="21"/>
                <w14:textFill>
                  <w14:solidFill>
                    <w14:schemeClr w14:val="tx1"/>
                  </w14:solidFill>
                </w14:textFill>
              </w:rPr>
              <w:t xml:space="preserve">每天</w:t>
            </w:r>
            <w:r>
              <w:rPr>
                <w:rFonts w:ascii="宋体" w:hAnsi="宋体"/>
                <w:color w:val="000000" w:themeColor="text1"/>
                <w:szCs w:val="21"/>
                <w14:textFill>
                  <w14:solidFill>
                    <w14:schemeClr w14:val="tx1"/>
                  </w14:solidFill>
                </w14:textFill>
              </w:rPr>
              <w:t xml:space="preserve">及时</w:t>
            </w:r>
            <w:r>
              <w:rPr>
                <w:rFonts w:hint="eastAsia" w:ascii="宋体" w:hAnsi="宋体"/>
                <w:color w:val="000000" w:themeColor="text1"/>
                <w:szCs w:val="21"/>
                <w14:textFill>
                  <w14:solidFill>
                    <w14:schemeClr w14:val="tx1"/>
                  </w14:solidFill>
                </w14:textFill>
              </w:rPr>
              <w:t xml:space="preserve">到岗的</w:t>
            </w:r>
            <w:r/>
          </w:p>
        </w:tc>
        <w:tc>
          <w:tcPr>
            <w:tcW w:w="1022"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5-10分/次</w:t>
            </w:r>
            <w:r/>
          </w:p>
        </w:tc>
        <w:tc>
          <w:tcPr>
            <w:tcW w:w="534"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681"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01"/>
        </w:trPr>
        <w:tc>
          <w:tcPr>
            <w:tcW w:w="347"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p>
        </w:tc>
        <w:tc>
          <w:tcPr>
            <w:tcW w:w="2414"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在</w:t>
            </w:r>
            <w:r>
              <w:rPr>
                <w:rFonts w:hint="eastAsia" w:ascii="宋体" w:hAnsi="宋体"/>
                <w:color w:val="000000" w:themeColor="text1"/>
                <w:szCs w:val="21"/>
                <w14:textFill>
                  <w14:solidFill>
                    <w14:schemeClr w14:val="tx1"/>
                  </w14:solidFill>
                </w14:textFill>
              </w:rPr>
              <w:t xml:space="preserve">巡查</w:t>
            </w:r>
            <w:r>
              <w:rPr>
                <w:rFonts w:ascii="宋体" w:hAnsi="宋体"/>
                <w:color w:val="000000" w:themeColor="text1"/>
                <w:szCs w:val="21"/>
                <w14:textFill>
                  <w14:solidFill>
                    <w14:schemeClr w14:val="tx1"/>
                  </w14:solidFill>
                </w14:textFill>
              </w:rPr>
              <w:t xml:space="preserve">区域大声喧哗，影响</w:t>
            </w:r>
            <w:r>
              <w:rPr>
                <w:rFonts w:hint="eastAsia" w:ascii="宋体" w:hAnsi="宋体"/>
                <w:color w:val="000000" w:themeColor="text1"/>
                <w:szCs w:val="21"/>
                <w14:textFill>
                  <w14:solidFill>
                    <w14:schemeClr w14:val="tx1"/>
                  </w14:solidFill>
                </w14:textFill>
              </w:rPr>
              <w:t xml:space="preserve">办公</w:t>
            </w:r>
            <w:r>
              <w:rPr>
                <w:rFonts w:ascii="宋体" w:hAnsi="宋体"/>
                <w:color w:val="000000" w:themeColor="text1"/>
                <w:szCs w:val="21"/>
                <w14:textFill>
                  <w14:solidFill>
                    <w14:schemeClr w14:val="tx1"/>
                  </w14:solidFill>
                </w14:textFill>
              </w:rPr>
              <w:t xml:space="preserve">的</w:t>
            </w:r>
            <w:r/>
          </w:p>
        </w:tc>
        <w:tc>
          <w:tcPr>
            <w:tcW w:w="1022"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5分/起</w:t>
            </w:r>
            <w:r/>
          </w:p>
        </w:tc>
        <w:tc>
          <w:tcPr>
            <w:tcW w:w="534"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681"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354"/>
        </w:trPr>
        <w:tc>
          <w:tcPr>
            <w:tcW w:w="347"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p>
        </w:tc>
        <w:tc>
          <w:tcPr>
            <w:tcW w:w="2414"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上岗时间睡觉的</w:t>
            </w:r>
            <w:r/>
          </w:p>
        </w:tc>
        <w:tc>
          <w:tcPr>
            <w:tcW w:w="1022"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扣除10分/起</w:t>
            </w:r>
            <w:r/>
          </w:p>
        </w:tc>
        <w:tc>
          <w:tcPr>
            <w:tcW w:w="534"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681"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373"/>
        </w:trPr>
        <w:tc>
          <w:tcPr>
            <w:tcW w:w="347"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7</w:t>
            </w:r>
            <w:r/>
          </w:p>
        </w:tc>
        <w:tc>
          <w:tcPr>
            <w:tcW w:w="2414"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在岗人员在工作期间人数不足，或外出或离岗未及时向</w:t>
            </w:r>
            <w:r>
              <w:rPr>
                <w:rFonts w:hint="eastAsia" w:ascii="宋体" w:hAnsi="宋体"/>
                <w:color w:val="000000" w:themeColor="text1"/>
                <w:szCs w:val="21"/>
                <w14:textFill>
                  <w14:solidFill>
                    <w14:schemeClr w14:val="tx1"/>
                  </w14:solidFill>
                </w14:textFill>
              </w:rPr>
              <w:t xml:space="preserve">采购方</w:t>
            </w:r>
            <w:r>
              <w:rPr>
                <w:rFonts w:ascii="宋体" w:hAnsi="宋体"/>
                <w:color w:val="000000" w:themeColor="text1"/>
                <w:szCs w:val="21"/>
                <w14:textFill>
                  <w14:solidFill>
                    <w14:schemeClr w14:val="tx1"/>
                  </w14:solidFill>
                </w14:textFill>
              </w:rPr>
              <w:t xml:space="preserve">请假的</w:t>
            </w:r>
            <w:r/>
          </w:p>
        </w:tc>
        <w:tc>
          <w:tcPr>
            <w:tcW w:w="1022"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扣除10分/起</w:t>
            </w:r>
            <w:r/>
          </w:p>
        </w:tc>
        <w:tc>
          <w:tcPr>
            <w:tcW w:w="534"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681"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378"/>
        </w:trPr>
        <w:tc>
          <w:tcPr>
            <w:tcW w:w="347"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8</w:t>
            </w:r>
            <w:r/>
          </w:p>
        </w:tc>
        <w:tc>
          <w:tcPr>
            <w:tcW w:w="2414"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利用</w:t>
            </w:r>
            <w:r>
              <w:rPr>
                <w:rFonts w:hint="eastAsia" w:ascii="宋体" w:hAnsi="宋体"/>
                <w:color w:val="000000" w:themeColor="text1"/>
                <w:szCs w:val="21"/>
                <w14:textFill>
                  <w14:solidFill>
                    <w14:schemeClr w14:val="tx1"/>
                  </w14:solidFill>
                </w14:textFill>
              </w:rPr>
              <w:t xml:space="preserve">工作</w:t>
            </w:r>
            <w:r>
              <w:rPr>
                <w:rFonts w:ascii="宋体" w:hAnsi="宋体"/>
                <w:color w:val="000000" w:themeColor="text1"/>
                <w:szCs w:val="21"/>
                <w14:textFill>
                  <w14:solidFill>
                    <w14:schemeClr w14:val="tx1"/>
                  </w14:solidFill>
                </w14:textFill>
              </w:rPr>
              <w:t xml:space="preserve">之便，偷盗</w:t>
            </w:r>
            <w:r>
              <w:rPr>
                <w:rFonts w:hint="eastAsia" w:ascii="宋体" w:hAnsi="宋体"/>
                <w:color w:val="000000" w:themeColor="text1"/>
                <w:szCs w:val="21"/>
                <w14:textFill>
                  <w14:solidFill>
                    <w14:schemeClr w14:val="tx1"/>
                  </w14:solidFill>
                </w14:textFill>
              </w:rPr>
              <w:t xml:space="preserve">采购单位</w:t>
            </w:r>
            <w:r>
              <w:rPr>
                <w:rFonts w:ascii="宋体" w:hAnsi="宋体"/>
                <w:color w:val="000000" w:themeColor="text1"/>
                <w:szCs w:val="21"/>
                <w14:textFill>
                  <w14:solidFill>
                    <w14:schemeClr w14:val="tx1"/>
                  </w14:solidFill>
                </w14:textFill>
              </w:rPr>
              <w:t xml:space="preserve">物品的</w:t>
            </w:r>
            <w:r/>
          </w:p>
        </w:tc>
        <w:tc>
          <w:tcPr>
            <w:tcW w:w="1022"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扣除20分/起</w:t>
            </w:r>
            <w:r/>
          </w:p>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情节严重的扣除30-50分/起</w:t>
            </w:r>
            <w:r>
              <w:rPr>
                <w:rFonts w:hint="eastAsia" w:ascii="宋体" w:hAnsi="宋体"/>
                <w:color w:val="000000" w:themeColor="text1"/>
                <w:szCs w:val="21"/>
                <w14:textFill>
                  <w14:solidFill>
                    <w14:schemeClr w14:val="tx1"/>
                  </w14:solidFill>
                </w14:textFill>
              </w:rPr>
              <w:t xml:space="preserve">，开除相关人员</w:t>
            </w:r>
            <w:r/>
          </w:p>
        </w:tc>
        <w:tc>
          <w:tcPr>
            <w:tcW w:w="534"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681"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313"/>
        </w:trPr>
        <w:tc>
          <w:tcPr>
            <w:tcW w:w="347"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9</w:t>
            </w:r>
            <w:r/>
          </w:p>
        </w:tc>
        <w:tc>
          <w:tcPr>
            <w:tcW w:w="2414"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履行工作职责范围以内工作时不听从</w:t>
            </w:r>
            <w:r>
              <w:rPr>
                <w:rFonts w:hint="eastAsia" w:ascii="宋体" w:hAnsi="宋体"/>
                <w:color w:val="000000" w:themeColor="text1"/>
                <w:szCs w:val="21"/>
                <w14:textFill>
                  <w14:solidFill>
                    <w14:schemeClr w14:val="tx1"/>
                  </w14:solidFill>
                </w14:textFill>
              </w:rPr>
              <w:t xml:space="preserve">采购方</w:t>
            </w:r>
            <w:r>
              <w:rPr>
                <w:rFonts w:ascii="宋体" w:hAnsi="宋体"/>
                <w:color w:val="000000" w:themeColor="text1"/>
                <w:szCs w:val="21"/>
                <w14:textFill>
                  <w14:solidFill>
                    <w14:schemeClr w14:val="tx1"/>
                  </w14:solidFill>
                </w14:textFill>
              </w:rPr>
              <w:t xml:space="preserve">工作安排的，不服从分配、不听从指挥的</w:t>
            </w:r>
            <w:r/>
          </w:p>
        </w:tc>
        <w:tc>
          <w:tcPr>
            <w:tcW w:w="1022"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扣10分/次</w:t>
            </w:r>
            <w:r/>
          </w:p>
        </w:tc>
        <w:tc>
          <w:tcPr>
            <w:tcW w:w="534"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681"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610"/>
        </w:trPr>
        <w:tc>
          <w:tcPr>
            <w:tcW w:w="347"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10</w:t>
            </w:r>
            <w:r/>
          </w:p>
        </w:tc>
        <w:tc>
          <w:tcPr>
            <w:tcW w:w="2414"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没有提前通知而更换人员的</w:t>
            </w:r>
            <w:r/>
          </w:p>
        </w:tc>
        <w:tc>
          <w:tcPr>
            <w:tcW w:w="1022" w:type="pct"/>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扣10分/起</w:t>
            </w:r>
            <w:r/>
          </w:p>
        </w:tc>
        <w:tc>
          <w:tcPr>
            <w:tcW w:w="534"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681" w:type="pct"/>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82"/>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ind w:firstLine="482"/>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11.3验收标准：完全符合现行国家规范，地方、行业标准及采购方要求，以验收通过为准。</w:t>
      </w:r>
      <w:r/>
    </w:p>
    <w:p>
      <w:pPr>
        <w:numPr>
          <w:ilvl w:val="0"/>
          <w:numId w:val="1"/>
        </w:num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服务地点：采购单位指定地点。</w:t>
      </w:r>
      <w:r/>
    </w:p>
    <w:p>
      <w:pPr>
        <w:ind w:firstLine="482"/>
        <w:spacing w:line="360" w:lineRule="auto"/>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七、综合说明及其他：</w:t>
      </w:r>
      <w:r/>
    </w:p>
    <w:p>
      <w:pPr>
        <w:ind w:firstLine="482"/>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1、响应单位按照磋商文件的要求提交响应文件，并对所提供的全部资料的真实性承担法律责任。</w:t>
      </w:r>
      <w:r>
        <w:rPr>
          <w:rFonts w:hint="eastAsia" w:ascii="宋体" w:hAnsi="宋体" w:cs="宋体"/>
          <w:color w:val="000000" w:themeColor="text1"/>
          <w:sz w:val="24"/>
          <w14:textFill>
            <w14:solidFill>
              <w14:schemeClr w14:val="tx1"/>
            </w14:solidFill>
          </w14:textFill>
        </w:rPr>
        <w:t xml:space="preserve">响应单位提供的磋商响应文件内容须真实、准确、有效，如提供虚假材料或对磋商采购文件所要求说明的情况故意隐瞒或虚报，视为不实质性响应采购要求，其磋商响应文件将被拒绝。</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磋商响应单位必须说明其是否响应采购文件中提出的全部服务内容与要求，如果对其中某些条款不响应时，应在文件中逐条列出，未列出的视同响应。响应单位所提供的相关服务应符合国家有关标准和规范，遵循磋商采购文件的要求，并提供详细说明。</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3、本次采购活动不接受联合报价及分包、转包。</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磋商响应总报价包含全部服务所需的人工费、通讯费、交通费、资料费、调查费、研究报告及研究编制费（含印刷费）、咨询费、后续服务费、利润、税金、政策性文件规定及合同包含的所有风险、责任等完成本项目的各项应有费用。除非合同条款中另有规定，否则，成交单位所报价格在合同实施期间不因市场变化因素而变动。磋商响应单位未填价格的项目，在实施后，采购单位将不予支付，并视为该项费用已包括磋商总报价中。</w:t>
      </w:r>
      <w:r/>
    </w:p>
    <w:p>
      <w:pPr>
        <w:ind w:firstLine="482"/>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注：成交单位需向管理方开具增值税专用发票，合同中不含税价款除合同另有约定外不因任何原因变化而变化，若在合同履行期间，遇到国家税收政策调整，则未开发票部分按照新税率重新计算税金，不含税价款不变。若开票金额与合同金额有尾差，以实际开票为准。</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5、磋商说明：</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（1）不符合供应商资格要求的响应文件将被拒绝；</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（2）机器码检查中，不同供应商使用同一台电脑编制响应文件的，响应文件将被认定为无效响应；</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（3）最终报价超过采购预算或最高限价的，不能成交；</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（4）不实质性响应磋商文件的不能成交；</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（6）最终合同单价按最终总报价同比例下浮。</w:t>
      </w:r>
      <w:r/>
    </w:p>
    <w:p>
      <w:pPr>
        <w:ind w:firstLine="482"/>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6、成交单位将根据磋商文件、响应文件的相关约定，承担合同责任，履行合同义务。成交单位在服务中如达不到其当时在响应文件内所承诺的服务，采购方有权单方面解除合同。</w:t>
      </w:r>
      <w:r/>
    </w:p>
    <w:p>
      <w:pPr>
        <w:ind w:firstLine="482"/>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7、质量、考核与验收</w:t>
      </w:r>
      <w:r/>
    </w:p>
    <w:p>
      <w:pPr>
        <w:ind w:firstLine="482"/>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（1）成交单位应按照磋商文件的要求提供合格的服务；</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（2）考核标准另行制定：</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8、凡涉及磋商采购文件的补充说明和修改，均以苏州政府采购网上发布的通知为准。</w:t>
      </w:r>
      <w:r/>
    </w:p>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八、政府采购政策：</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1、中、小企业：根据《关于印发&lt;苏州市政府采购促进中小企业发展实施意见&gt;的通知》（苏财购[2022]16号）规定：</w:t>
      </w:r>
      <w:r/>
    </w:p>
    <w:p>
      <w:pPr>
        <w:ind w:firstLine="480"/>
        <w:jc w:val="left"/>
        <w:spacing w:line="360" w:lineRule="auto"/>
        <w:rPr>
          <w:rFonts w:hint="eastAsia"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1.1本项目属于专门面向中小企业采购。</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1.3本项目采购标的对应的中小企业划分标准所属行业为：其他未列明行业。</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1.4中小企业参加政府采购活动，应当出具《关于印发&lt;苏州市政府采购促进中小企业发展实施意见&gt;的通知》（苏财购[2022]16号）规定的《中小企业声明函》，否则不得享受相关中小企业扶持政策。</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1.5本项目中，供应商提供的服务由中小企业承接，即提供服务的人员为中小企业依照《中华人民共和国劳动合同法》订立劳动合同的从业人员，才可享受规定的中小企业扶持政策。</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1.6若供应商提供的《中小企业声明函》为虚假声明则视同提供虚假材料，按政府采购相关规定处理并报请政府监管部门给予行政处罚。</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5、对本国产品的支持政策：根据国办发〔2025〕</w:t>
      </w:r>
      <w:r>
        <w:rPr>
          <w:rFonts w:hint="eastAsia" w:ascii="宋体" w:hAnsi="宋体" w:cs="宋体"/>
          <w:color w:val="000000" w:themeColor="text1"/>
          <w:sz w:val="24"/>
          <w14:textFill>
            <w14:solidFill>
              <w14:schemeClr w14:val="tx1"/>
            </w14:solidFill>
          </w14:textFill>
        </w:rPr>
        <w:t xml:space="preserve">34号文《国务院办公厅关于在政府采购中实施本国产品标准及相关政策的通知》的相关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对其提供的产品出具《关于符合本国产品标准的声明函》（样式见附件，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6、若供应商提供的《中小企业声明函》、《残疾人福利性单位声明函》及监狱企业认定证明等材料为虚假材料，按《政府采购法》相关规定处理并报请政府采购监管部门给予行政处罚。</w:t>
      </w:r>
      <w:r/>
    </w:p>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九、关于对参与供应商信用记录的政府采购要求</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1、采购代理机构会在接收响应文件截止时间后，登录信用中国网站（www.creditchina.gov.cn/）和中国政府采购网（www.ccgp.gov.cn/）查询供应商的信用记录，并将查询结果递交评审小组。</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（二）财政部门与法院、工商、税务等部门联合惩戒的失信信息，包括：</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（1）被列入失信被执行人名单；</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（2）被列入重大税收违法案件当事人名单；</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2.2供应商若在经营活动中受到罚款的，请携带相关地方、部门对较大数额认定标准的证明材料，与响应文件一并提交。若无法提供，则可能承担响应无效等相应不利后果。</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2.3对存在失信信息的供应商，由失信供应商进行确认。同时，采购代理机构工作人员应根据评审小组确认的失信信息，登陆到相关来源网站页面进行复核并打印，作为证据留存。</w:t>
      </w:r>
      <w:r/>
    </w:p>
    <w:p>
      <w:pPr>
        <w:ind w:firstLine="480"/>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十、行业属性：</w:t>
      </w:r>
      <w:r/>
    </w:p>
    <w:p>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    根据《政府采购促进中小企业发展管理办法》（财库〔2020〕46号）及《中小企业划型标准规定》（工信部联企业〔2011〕300号），本采购标的对应的中小企业划分标准所属行业为：</w:t>
      </w:r>
      <w:r>
        <w:rPr>
          <w:rFonts w:hint="eastAsia" w:ascii="宋体" w:hAnsi="宋体" w:cs="宋体"/>
          <w:b/>
          <w:color w:val="000000" w:themeColor="text1"/>
          <w:sz w:val="24"/>
          <w14:textFill>
            <w14:solidFill>
              <w14:schemeClr w14:val="tx1"/>
            </w14:solidFill>
          </w14:textFill>
        </w:rPr>
        <w:t xml:space="preserve">其他未列明行业</w:t>
      </w:r>
      <w:r/>
    </w:p>
    <w:p>
      <w:pPr>
        <w:ind w:firstLine="480"/>
        <w:jc w:val="left"/>
        <w:spacing w:line="360" w:lineRule="auto"/>
        <w:rPr>
          <w:rFonts w:hint="eastAsia" w:ascii="宋体" w:hAnsi="宋体"/>
          <w:color w:val="000000" w:themeColor="text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十一、凡涉及采购文件的补充说明和修改，均以苏州政府采购网发布的文件为准。</w:t>
      </w:r>
      <w:r>
        <w:rPr>
          <w:color w:val="000000" w:themeColor="text1"/>
          <w:sz w:val="24"/>
          <w14:textFill>
            <w14:solidFill>
              <w14:schemeClr w14:val="tx1"/>
            </w14:solidFill>
          </w14:textFill>
        </w:rPr>
        <w:br w:type="page" w:clear="all"/>
      </w:r>
      <w:r/>
    </w:p>
    <w:p>
      <w:pPr>
        <w:pStyle w:val="1196"/>
        <w:jc w:val="center"/>
        <w:rPr>
          <w:rFonts w:hint="eastAsia" w:ascii="黑体" w:hAnsi="宋体" w:eastAsia="黑体"/>
          <w:color w:val="000000" w:themeColor="text1"/>
          <w:sz w:val="52"/>
          <w14:textFill>
            <w14:solidFill>
              <w14:schemeClr w14:val="tx1"/>
            </w14:solidFill>
          </w14:textFill>
        </w:rPr>
      </w:pPr>
      <w:r/>
      <w:bookmarkStart w:id="21" w:name="_Toc14138"/>
      <w:r/>
      <w:bookmarkStart w:id="22" w:name="_Toc474491766"/>
      <w:r>
        <w:rPr>
          <w:rFonts w:hint="eastAsia" w:ascii="黑体" w:hAnsi="宋体" w:eastAsia="黑体"/>
          <w:color w:val="000000" w:themeColor="text1"/>
          <w:sz w:val="52"/>
          <w14:textFill>
            <w14:solidFill>
              <w14:schemeClr w14:val="tx1"/>
            </w14:solidFill>
          </w14:textFill>
        </w:rPr>
        <w:t xml:space="preserve">第四章  合同主要条款</w:t>
      </w:r>
      <w:bookmarkEnd w:id="21"/>
      <w:r/>
      <w:bookmarkEnd w:id="22"/>
      <w:r/>
      <w:r/>
    </w:p>
    <w:tbl>
      <w:tblPr>
        <w:tblStyle w:val="879"/>
        <w:tblW w:w="9673" w:type="dxa"/>
        <w:jc w:val="center"/>
        <w:tblLayout w:type="fixed"/>
        <w:tblCellMar>
          <w:left w:w="108" w:type="dxa"/>
          <w:top w:w="0" w:type="dxa"/>
          <w:right w:w="108" w:type="dxa"/>
          <w:bottom w:w="0" w:type="dxa"/>
        </w:tblCellMar>
        <w:tblLook w:val="04A0" w:firstRow="1" w:lastRow="0" w:firstColumn="1" w:lastColumn="0" w:noHBand="0" w:noVBand="1"/>
      </w:tblPr>
      <w:tblGrid>
        <w:gridCol w:w="6539"/>
        <w:gridCol w:w="3134"/>
      </w:tblGrid>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jc w:val="left"/>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t xml:space="preserve">甲方（采购人）：</w:t>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jc w:val="left"/>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t xml:space="preserve">单位地址：</w:t>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t xml:space="preserve">联系人：</w:t>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t xml:space="preserve">乙方（供应商）：</w:t>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t xml:space="preserve">单位地址：</w:t>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t xml:space="preserve">联系人：</w:t>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14:textFill>
                  <w14:solidFill>
                    <w14:schemeClr w14:val="tx1"/>
                  </w14:solidFill>
                </w14:textFill>
              </w:rPr>
            </w:pPr>
            <w:r>
              <w:rPr>
                <w:rFonts w:hint="eastAsia" w:ascii="宋体" w:hAnsi="宋体" w:cs="方正仿宋_GB2312"/>
                <w:color w:val="000000" w:themeColor="text1"/>
                <w:sz w:val="24"/>
                <w14:textFill>
                  <w14:solidFill>
                    <w14:schemeClr w14:val="tx1"/>
                  </w14:solidFill>
                </w14:textFill>
              </w:rPr>
            </w:r>
            <w:r/>
          </w:p>
        </w:tc>
      </w:tr>
    </w:tbl>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ind w:firstLine="480"/>
        <w:spacing w:line="360" w:lineRule="auto"/>
        <w:rPr>
          <w:rFonts w:hint="eastAsia" w:ascii="宋体" w:hAnsi="宋体" w:cs="宋体"/>
          <w:bCs/>
          <w:color w:val="000000" w:themeColor="text1"/>
          <w:sz w:val="24"/>
          <w14:textFill>
            <w14:solidFill>
              <w14:schemeClr w14:val="tx1"/>
            </w14:solidFill>
          </w14:textFill>
        </w:rPr>
      </w:pPr>
      <w:r/>
      <w:bookmarkStart w:id="23" w:name="tip_risk_bookmark_4"/>
      <w:r>
        <w:rPr>
          <w:rFonts w:hint="eastAsia" w:ascii="宋体" w:hAnsi="宋体" w:cs="宋体"/>
          <w:bCs/>
          <w:color w:val="000000" w:themeColor="text1"/>
          <w:sz w:val="24"/>
          <w14:textFill>
            <w14:solidFill>
              <w14:schemeClr w14:val="tx1"/>
            </w14:solidFill>
          </w14:textFill>
        </w:rPr>
        <w:t xml:space="preserve">根据</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采购编号</w:t>
      </w:r>
      <w:r>
        <w:rPr>
          <w:rFonts w:hint="eastAsia" w:ascii="宋体" w:hAnsi="宋体" w:cs="宋体"/>
          <w:bCs/>
          <w:color w:val="000000" w:themeColor="text1"/>
          <w:sz w:val="24"/>
          <w:u w:val="single"/>
          <w14:textFill>
            <w14:solidFill>
              <w14:schemeClr w14:val="tx1"/>
            </w14:solidFill>
          </w14:textFill>
        </w:rPr>
        <w:t xml:space="preserve">                 号</w:t>
      </w:r>
      <w:r>
        <w:rPr>
          <w:rFonts w:hint="eastAsia" w:ascii="宋体" w:hAnsi="宋体" w:cs="宋体"/>
          <w:bCs/>
          <w:color w:val="000000" w:themeColor="text1"/>
          <w:sz w:val="24"/>
          <w14:textFill>
            <w14:solidFill>
              <w14:schemeClr w14:val="tx1"/>
            </w14:solidFill>
          </w14:textFill>
        </w:rPr>
        <w:t xml:space="preserve">政府采购文件及成交单位的响应文件和成交通知书，甲乙双方就此次成交项目的</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事宜，签订本合同书。</w:t>
      </w:r>
      <w:bookmarkEnd w:id="23"/>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一、合同内容：</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1、合同内容：供方向需方提供的服务。</w:t>
      </w:r>
      <w:r>
        <w:rPr>
          <w:rFonts w:ascii="宋体" w:hAnsi="宋体" w:cs="宋体"/>
          <w:bCs/>
          <w:color w:val="000000" w:themeColor="text1"/>
          <w:sz w:val="24"/>
          <w14:textFill>
            <w14:solidFill>
              <w14:schemeClr w14:val="tx1"/>
            </w14:solidFill>
          </w14:textFill>
        </w:rPr>
        <w:tab/>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2、下列文件为本合同不可分割部分：</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2.1成交通知书；</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2.2乙方成交的磋商响应文件；</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2.3磋商采购文件；</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2.4乙方所作的其他承诺、声明、书面澄清等。</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3、合同内容：</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3.1服务内容：乙方负责完成甲方的</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，详见采购文件。</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3.2服务期限：1年（</w:t>
      </w:r>
      <w:r>
        <w:rPr>
          <w:rFonts w:hint="eastAsia" w:ascii="宋体" w:hAnsi="宋体" w:cs="宋体"/>
          <w:bCs/>
          <w:color w:val="000000" w:themeColor="text1"/>
          <w:sz w:val="24"/>
          <w:u w:val="single"/>
          <w14:textFill>
            <w14:solidFill>
              <w14:schemeClr w14:val="tx1"/>
            </w14:solidFill>
          </w14:textFill>
        </w:rPr>
        <w:t xml:space="preserve">   年  月  日至   年  月  日</w:t>
      </w:r>
      <w:r>
        <w:rPr>
          <w:rFonts w:hint="eastAsia" w:ascii="宋体" w:hAnsi="宋体" w:cs="宋体"/>
          <w:bCs/>
          <w:color w:val="000000" w:themeColor="text1"/>
          <w:sz w:val="24"/>
          <w14:textFill>
            <w14:solidFill>
              <w14:schemeClr w14:val="tx1"/>
            </w14:solidFill>
          </w14:textFill>
        </w:rPr>
        <w:t xml:space="preserve">） 。</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3.3交付地点：详见采购文件。</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二、价格与支付：</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2.1合同价格按此次成交价格执行。合同金额为人民币（大写）            元 ￥             。合同金额应包括服务外包人工、培训、保险、利润、税金、交通、食宿、加班、服务所需设备及材料（除采购方配备的外）等工作所发生的全部费用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2.2预付款、合同价款的支付及付款方式：</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（1）本合同签订并生效后，甲方向乙方支付本合同总金额的10%作为预付款，剩余款项每月付款。每月付款金额=合同剩余金额×1/12-考核扣款。</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（2）在签订合同时，乙方明确表示无需预付款或者主动要求降低预付款比例的，甲方可不适用上述关于预付款的规定。具体实施要求按苏财购【2020】52号：一、建立政府采购资金预付款制度的相关规定。</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（3）甲方每月根据实际服务内容按实结算，按考核结果支付相应金额。</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2.3支付方式：银行转账，具体支付方式甲方有权根据财务安排自主选择。</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三、考核：甲方根据磋商文件中考核细则对乙方管理服务工作进行考核。</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四、违约责任</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1.甲方违约责任及违约金支付：</w:t>
      </w:r>
      <w:r/>
    </w:p>
    <w:p>
      <w:pPr>
        <w:ind w:firstLine="480"/>
        <w:spacing w:line="360" w:lineRule="auto"/>
        <w:rPr>
          <w:rFonts w:hint="eastAsia" w:ascii="宋体" w:hAnsi="宋体" w:cs="宋体"/>
          <w:bCs/>
          <w:color w:val="000000" w:themeColor="text1"/>
          <w:sz w:val="24"/>
          <w14:textFill>
            <w14:solidFill>
              <w14:schemeClr w14:val="tx1"/>
            </w14:solidFill>
          </w14:textFill>
        </w:rPr>
      </w:pPr>
      <w:r/>
      <w:bookmarkStart w:id="24" w:name="tip_risk_bookmark_5"/>
      <w:r>
        <w:rPr>
          <w:rFonts w:hint="eastAsia" w:ascii="宋体" w:hAnsi="宋体" w:cs="宋体"/>
          <w:bCs/>
          <w:color w:val="000000" w:themeColor="text1"/>
          <w:sz w:val="24"/>
          <w14:textFill>
            <w14:solidFill>
              <w14:schemeClr w14:val="tx1"/>
            </w14:solidFill>
          </w14:textFill>
        </w:rPr>
        <w:fldChar w:fldCharType="begin"/>
      </w:r>
      <w:r>
        <w:rPr>
          <w:rFonts w:hint="eastAsia" w:ascii="宋体" w:hAnsi="宋体" w:cs="宋体"/>
          <w:bCs/>
          <w:color w:val="000000" w:themeColor="text1"/>
          <w:sz w:val="24"/>
          <w14:textFill>
            <w14:solidFill>
              <w14:schemeClr w14:val="tx1"/>
            </w14:solidFill>
          </w14:textFill>
        </w:rPr>
        <w:instrText xml:space="preserve"> = 1 \* GB3 </w:instrText>
      </w:r>
      <w:r>
        <w:rPr>
          <w:rFonts w:hint="eastAsia" w:ascii="宋体" w:hAnsi="宋体" w:cs="宋体"/>
          <w:bCs/>
          <w:color w:val="000000" w:themeColor="text1"/>
          <w:sz w:val="24"/>
          <w14:textFill>
            <w14:solidFill>
              <w14:schemeClr w14:val="tx1"/>
            </w14:solidFill>
          </w14:textFill>
        </w:rPr>
        <w:fldChar w:fldCharType="separate"/>
      </w:r>
      <w:r>
        <w:rPr>
          <w:rFonts w:hint="eastAsia" w:ascii="宋体" w:hAnsi="宋体" w:cs="宋体"/>
          <w:bCs/>
          <w:color w:val="000000" w:themeColor="text1"/>
          <w:sz w:val="24"/>
          <w14:textFill>
            <w14:solidFill>
              <w14:schemeClr w14:val="tx1"/>
            </w14:solidFill>
          </w14:textFill>
        </w:rPr>
        <w:t xml:space="preserve">①</w:t>
      </w:r>
      <w:r>
        <w:rPr>
          <w:rFonts w:hint="eastAsia" w:ascii="宋体" w:hAnsi="宋体" w:cs="宋体"/>
          <w:bCs/>
          <w:color w:val="000000" w:themeColor="text1"/>
          <w:sz w:val="24"/>
          <w14:textFill>
            <w14:solidFill>
              <w14:schemeClr w14:val="tx1"/>
            </w14:solidFill>
          </w14:textFill>
        </w:rPr>
        <w:fldChar w:fldCharType="end"/>
      </w:r>
      <w:r>
        <w:rPr>
          <w:rFonts w:hint="eastAsia" w:ascii="宋体" w:hAnsi="宋体" w:cs="宋体"/>
          <w:bCs/>
          <w:color w:val="000000" w:themeColor="text1"/>
          <w:sz w:val="24"/>
          <w14:textFill>
            <w14:solidFill>
              <w14:schemeClr w14:val="tx1"/>
            </w14:solidFill>
          </w14:textFill>
        </w:rPr>
        <w:t xml:space="preserve">在合同生效后，甲方无理由要求终止服务的，应向乙方偿付合同总价款的5%，作为违约金，违约金不足以补偿损失的，乙方有权要求甲方补足。</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fldChar w:fldCharType="begin"/>
      </w:r>
      <w:r>
        <w:rPr>
          <w:rFonts w:hint="eastAsia" w:ascii="宋体" w:hAnsi="宋体" w:cs="宋体"/>
          <w:bCs/>
          <w:color w:val="000000" w:themeColor="text1"/>
          <w:sz w:val="24"/>
          <w14:textFill>
            <w14:solidFill>
              <w14:schemeClr w14:val="tx1"/>
            </w14:solidFill>
          </w14:textFill>
        </w:rPr>
        <w:instrText xml:space="preserve"> = 2 \* GB3 </w:instrText>
      </w:r>
      <w:r>
        <w:rPr>
          <w:rFonts w:hint="eastAsia" w:ascii="宋体" w:hAnsi="宋体" w:cs="宋体"/>
          <w:bCs/>
          <w:color w:val="000000" w:themeColor="text1"/>
          <w:sz w:val="24"/>
          <w14:textFill>
            <w14:solidFill>
              <w14:schemeClr w14:val="tx1"/>
            </w14:solidFill>
          </w14:textFill>
        </w:rPr>
        <w:fldChar w:fldCharType="separate"/>
      </w:r>
      <w:r>
        <w:rPr>
          <w:rFonts w:hint="eastAsia" w:ascii="宋体" w:hAnsi="宋体" w:cs="宋体"/>
          <w:bCs/>
          <w:color w:val="000000" w:themeColor="text1"/>
          <w:sz w:val="24"/>
          <w14:textFill>
            <w14:solidFill>
              <w14:schemeClr w14:val="tx1"/>
            </w14:solidFill>
          </w14:textFill>
        </w:rPr>
        <w:t xml:space="preserve">②</w:t>
      </w:r>
      <w:r>
        <w:rPr>
          <w:rFonts w:hint="eastAsia" w:ascii="宋体" w:hAnsi="宋体" w:cs="宋体"/>
          <w:bCs/>
          <w:color w:val="000000" w:themeColor="text1"/>
          <w:sz w:val="24"/>
          <w14:textFill>
            <w14:solidFill>
              <w14:schemeClr w14:val="tx1"/>
            </w14:solidFill>
          </w14:textFill>
        </w:rPr>
        <w:fldChar w:fldCharType="end"/>
      </w:r>
      <w:r>
        <w:rPr>
          <w:rFonts w:hint="eastAsia" w:ascii="宋体" w:hAnsi="宋体" w:cs="宋体"/>
          <w:bCs/>
          <w:color w:val="000000" w:themeColor="text1"/>
          <w:sz w:val="24"/>
          <w14:textFill>
            <w14:solidFill>
              <w14:schemeClr w14:val="tx1"/>
            </w14:solidFill>
          </w14:textFill>
        </w:rPr>
        <w:t xml:space="preserve">甲方逾期付款的应按照逾期付款金额的每天万分之四支付逾期付款违约金。</w:t>
      </w:r>
      <w:bookmarkEnd w:id="24"/>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fldChar w:fldCharType="begin"/>
      </w:r>
      <w:r>
        <w:rPr>
          <w:rFonts w:hint="eastAsia" w:ascii="宋体" w:hAnsi="宋体" w:cs="宋体"/>
          <w:bCs/>
          <w:color w:val="000000" w:themeColor="text1"/>
          <w:sz w:val="24"/>
          <w14:textFill>
            <w14:solidFill>
              <w14:schemeClr w14:val="tx1"/>
            </w14:solidFill>
          </w14:textFill>
        </w:rPr>
        <w:instrText xml:space="preserve"> = 3 \* GB3 </w:instrText>
      </w:r>
      <w:r>
        <w:rPr>
          <w:rFonts w:hint="eastAsia" w:ascii="宋体" w:hAnsi="宋体" w:cs="宋体"/>
          <w:bCs/>
          <w:color w:val="000000" w:themeColor="text1"/>
          <w:sz w:val="24"/>
          <w14:textFill>
            <w14:solidFill>
              <w14:schemeClr w14:val="tx1"/>
            </w14:solidFill>
          </w14:textFill>
        </w:rPr>
        <w:fldChar w:fldCharType="separate"/>
      </w:r>
      <w:r>
        <w:rPr>
          <w:rFonts w:hint="eastAsia" w:ascii="宋体" w:hAnsi="宋体" w:cs="宋体"/>
          <w:bCs/>
          <w:color w:val="000000" w:themeColor="text1"/>
          <w:sz w:val="24"/>
          <w14:textFill>
            <w14:solidFill>
              <w14:schemeClr w14:val="tx1"/>
            </w14:solidFill>
          </w14:textFill>
        </w:rPr>
        <w:t xml:space="preserve">③</w:t>
      </w:r>
      <w:r>
        <w:rPr>
          <w:rFonts w:hint="eastAsia" w:ascii="宋体" w:hAnsi="宋体" w:cs="宋体"/>
          <w:bCs/>
          <w:color w:val="000000" w:themeColor="text1"/>
          <w:sz w:val="24"/>
          <w14:textFill>
            <w14:solidFill>
              <w14:schemeClr w14:val="tx1"/>
            </w14:solidFill>
          </w14:textFill>
        </w:rPr>
        <w:fldChar w:fldCharType="end"/>
      </w:r>
      <w:r>
        <w:rPr>
          <w:rFonts w:hint="eastAsia" w:ascii="宋体" w:hAnsi="宋体" w:cs="宋体"/>
          <w:bCs/>
          <w:color w:val="000000" w:themeColor="text1"/>
          <w:sz w:val="24"/>
          <w14:textFill>
            <w14:solidFill>
              <w14:schemeClr w14:val="tx1"/>
            </w14:solidFill>
          </w14:textFill>
        </w:rPr>
        <w:t xml:space="preserve">甲方违反合同规定，拒绝接受乙方提供服务，应当承担乙方由此造成的损失。                                         </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2.乙方违约责任及违约金支付：</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fldChar w:fldCharType="begin"/>
      </w:r>
      <w:r>
        <w:rPr>
          <w:rFonts w:hint="eastAsia" w:ascii="宋体" w:hAnsi="宋体" w:cs="宋体"/>
          <w:bCs/>
          <w:color w:val="000000" w:themeColor="text1"/>
          <w:sz w:val="24"/>
          <w14:textFill>
            <w14:solidFill>
              <w14:schemeClr w14:val="tx1"/>
            </w14:solidFill>
          </w14:textFill>
        </w:rPr>
        <w:instrText xml:space="preserve"> = 1 \* GB3 </w:instrText>
      </w:r>
      <w:r>
        <w:rPr>
          <w:rFonts w:hint="eastAsia" w:ascii="宋体" w:hAnsi="宋体" w:cs="宋体"/>
          <w:bCs/>
          <w:color w:val="000000" w:themeColor="text1"/>
          <w:sz w:val="24"/>
          <w14:textFill>
            <w14:solidFill>
              <w14:schemeClr w14:val="tx1"/>
            </w14:solidFill>
          </w14:textFill>
        </w:rPr>
        <w:fldChar w:fldCharType="separate"/>
      </w:r>
      <w:r>
        <w:rPr>
          <w:rFonts w:hint="eastAsia" w:ascii="宋体" w:hAnsi="宋体" w:cs="宋体"/>
          <w:bCs/>
          <w:color w:val="000000" w:themeColor="text1"/>
          <w:sz w:val="24"/>
          <w14:textFill>
            <w14:solidFill>
              <w14:schemeClr w14:val="tx1"/>
            </w14:solidFill>
          </w14:textFill>
        </w:rPr>
        <w:t xml:space="preserve">①</w:t>
      </w:r>
      <w:r>
        <w:rPr>
          <w:rFonts w:hint="eastAsia" w:ascii="宋体" w:hAnsi="宋体" w:cs="宋体"/>
          <w:bCs/>
          <w:color w:val="000000" w:themeColor="text1"/>
          <w:sz w:val="24"/>
          <w14:textFill>
            <w14:solidFill>
              <w14:schemeClr w14:val="tx1"/>
            </w14:solidFill>
          </w14:textFill>
        </w:rPr>
        <w:fldChar w:fldCharType="end"/>
      </w:r>
      <w:r>
        <w:rPr>
          <w:rFonts w:hint="eastAsia" w:ascii="宋体" w:hAnsi="宋体" w:cs="宋体"/>
          <w:bCs/>
          <w:color w:val="000000" w:themeColor="text1"/>
          <w:sz w:val="24"/>
          <w14:textFill>
            <w14:solidFill>
              <w14:schemeClr w14:val="tx1"/>
            </w14:solidFill>
          </w14:textFill>
        </w:rPr>
        <w:t xml:space="preserve">乙方不能提供服务的，或服务不合格从而影响甲方按期正常使用的，应向甲方偿付合同总价款5%的违约金，违约金不足以补偿损失的甲方有权要求乙方补足。</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fldChar w:fldCharType="begin"/>
      </w:r>
      <w:r>
        <w:rPr>
          <w:rFonts w:hint="eastAsia" w:ascii="宋体" w:hAnsi="宋体" w:cs="宋体"/>
          <w:bCs/>
          <w:color w:val="000000" w:themeColor="text1"/>
          <w:sz w:val="24"/>
          <w14:textFill>
            <w14:solidFill>
              <w14:schemeClr w14:val="tx1"/>
            </w14:solidFill>
          </w14:textFill>
        </w:rPr>
        <w:instrText xml:space="preserve"> = 2 \* GB3 </w:instrText>
      </w:r>
      <w:r>
        <w:rPr>
          <w:rFonts w:hint="eastAsia" w:ascii="宋体" w:hAnsi="宋体" w:cs="宋体"/>
          <w:bCs/>
          <w:color w:val="000000" w:themeColor="text1"/>
          <w:sz w:val="24"/>
          <w14:textFill>
            <w14:solidFill>
              <w14:schemeClr w14:val="tx1"/>
            </w14:solidFill>
          </w14:textFill>
        </w:rPr>
        <w:fldChar w:fldCharType="separate"/>
      </w:r>
      <w:r>
        <w:rPr>
          <w:rFonts w:hint="eastAsia" w:ascii="宋体" w:hAnsi="宋体" w:cs="宋体"/>
          <w:bCs/>
          <w:color w:val="000000" w:themeColor="text1"/>
          <w:sz w:val="24"/>
          <w14:textFill>
            <w14:solidFill>
              <w14:schemeClr w14:val="tx1"/>
            </w14:solidFill>
          </w14:textFill>
        </w:rPr>
        <w:t xml:space="preserve">②</w:t>
      </w:r>
      <w:r>
        <w:rPr>
          <w:rFonts w:hint="eastAsia" w:ascii="宋体" w:hAnsi="宋体" w:cs="宋体"/>
          <w:bCs/>
          <w:color w:val="000000" w:themeColor="text1"/>
          <w:sz w:val="24"/>
          <w14:textFill>
            <w14:solidFill>
              <w14:schemeClr w14:val="tx1"/>
            </w14:solidFill>
          </w14:textFill>
        </w:rPr>
        <w:fldChar w:fldCharType="end"/>
      </w:r>
      <w:r>
        <w:rPr>
          <w:rFonts w:hint="eastAsia" w:ascii="宋体" w:hAnsi="宋体" w:cs="宋体"/>
          <w:bCs/>
          <w:color w:val="000000" w:themeColor="text1"/>
          <w:sz w:val="24"/>
          <w14:textFill>
            <w14:solidFill>
              <w14:schemeClr w14:val="tx1"/>
            </w14:solidFill>
          </w14:textFill>
        </w:rPr>
        <w:t xml:space="preserve">乙方逾期提供服务的，应与甲方和政府采购管理部门协商，甲方仍需求的，乙方应立即提供服务按照逾期服务的每天万分之四支付逾期违约金，同时承担甲方因此遭致的损失费用。</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五、不可抗力</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2.合同一方因不可抗力不能履行合同的，应当及时通知对方，以减轻可能给对方造成的损失，并应当在合理期限内提供证明。</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六、合同生效</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合同经甲乙双方代表签字并加盖公章即生效。合同须经政府采购管理部门备案。</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七、合同的解除和转让</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1.甲方和乙方协商一致，可以解除合同。</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bookmarkStart w:id="25" w:name="auto_fouce_6"/>
      <w:r>
        <w:rPr>
          <w:rFonts w:hint="eastAsia" w:ascii="宋体" w:hAnsi="宋体" w:cs="宋体"/>
          <w:bCs/>
          <w:color w:val="000000" w:themeColor="text1"/>
          <w:sz w:val="24"/>
          <w14:textFill>
            <w14:solidFill>
              <w14:schemeClr w14:val="tx1"/>
            </w14:solidFill>
          </w14:textFill>
        </w:rPr>
        <w:t xml:space="preserve">有下列情形之一，合同一方可以解除合同： ①因不可抗力致使不能实现合同目的，未受不可抗力影响的一方有权解除合同； ②因合同一方违约导致合同不能履行，另一方有权解除合同。③乙方连续两次考核得分60分（含）——74分之间的、或单次考核60分以下的、或乙方人员发生严重违法违纪行为的，甲方有权单方解除合同且不承担任何违约责任。</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3.有权解除合同的一方，应当在违约事实或不可抗力发生之后三十天内书面通知对方提出解除合同，合同在书面通知到达对方时解除。</w:t>
      </w:r>
      <w:bookmarkEnd w:id="25"/>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4.合同的部分和全部都不得转让。</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八、其它</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1.乙方除应做好服务人员的安全教育外，还应为服务人员提供必要的劳动保护条件，一切安全责任事故均由乙方负责；</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2.本合同未尽之处双方协商解决；如协商不成，双方同意由一方向合同履行地人民法院提起诉讼。</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九、附则</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1.合同份数：本合同一式柒份，甲方四份，乙方一份，代理机构一份，政府采购管理部门一份。</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2.本合同文件使用中文书写、解释和说明。</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3.本合同履行过程中产生的纪要、协议以及成交通知书、采购响应文件和采购文件为本合同的附件，与合同具有同等效力。</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4.未尽事宜</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本合同未尽事宜应按《中华人民共和国民法典》、《中华人民共和国政府采购法》以及其同相关法律、法规之规定解释执行。</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以下无正文。</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bl>
      <w:tblPr>
        <w:tblStyle w:val="87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5311"/>
        <w:gridCol w:w="4765"/>
      </w:tblGrid>
      <w:tr>
        <w:trPr>
          <w:jc w:val="center"/>
          <w:trHeight w:val="830"/>
        </w:trPr>
        <w:tc>
          <w:tcPr>
            <w:tcBorders>
              <w:top w:val="none" w:color="000000" w:sz="4" w:space="0"/>
              <w:left w:val="none" w:color="000000" w:sz="4" w:space="0"/>
              <w:bottom w:val="none" w:color="000000" w:sz="4" w:space="0"/>
              <w:right w:val="none" w:color="000000" w:sz="4" w:space="0"/>
            </w:tcBorders>
            <w:tcW w:w="4494" w:type="dxa"/>
            <w:textDirection w:val="lrTb"/>
            <w:noWrap w:val="false"/>
          </w:tcPr>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采购单位（采购人/发包人）（公章）：</w:t>
            </w:r>
            <w:r/>
          </w:p>
        </w:tc>
        <w:tc>
          <w:tcPr>
            <w:tcBorders>
              <w:top w:val="none" w:color="000000" w:sz="4" w:space="0"/>
              <w:left w:val="none" w:color="000000" w:sz="4" w:space="0"/>
              <w:bottom w:val="none" w:color="000000" w:sz="4" w:space="0"/>
              <w:right w:val="none" w:color="000000" w:sz="4" w:space="0"/>
            </w:tcBorders>
            <w:tcW w:w="4032"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供应商（服务单位）（公章）：</w:t>
            </w:r>
            <w:r/>
          </w:p>
        </w:tc>
      </w:tr>
      <w:tr>
        <w:trPr>
          <w:jc w:val="center"/>
          <w:trHeight w:val="451"/>
        </w:trPr>
        <w:tc>
          <w:tcPr>
            <w:tcBorders>
              <w:top w:val="none" w:color="000000" w:sz="4" w:space="0"/>
              <w:left w:val="none" w:color="000000" w:sz="4" w:space="0"/>
              <w:bottom w:val="none" w:color="000000" w:sz="4" w:space="0"/>
              <w:right w:val="none" w:color="000000" w:sz="4" w:space="0"/>
            </w:tcBorders>
            <w:tcW w:w="4494"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住所：</w:t>
            </w:r>
            <w:r/>
          </w:p>
        </w:tc>
        <w:tc>
          <w:tcPr>
            <w:tcBorders>
              <w:top w:val="none" w:color="000000" w:sz="4" w:space="0"/>
              <w:left w:val="none" w:color="000000" w:sz="4" w:space="0"/>
              <w:bottom w:val="none" w:color="000000" w:sz="4" w:space="0"/>
              <w:right w:val="none" w:color="000000" w:sz="4" w:space="0"/>
            </w:tcBorders>
            <w:tcW w:w="4032"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住所：</w:t>
            </w:r>
            <w:r/>
          </w:p>
        </w:tc>
      </w:tr>
      <w:tr>
        <w:trPr>
          <w:jc w:val="center"/>
          <w:trHeight w:val="571"/>
        </w:trPr>
        <w:tc>
          <w:tcPr>
            <w:tcBorders>
              <w:top w:val="none" w:color="000000" w:sz="4" w:space="0"/>
              <w:left w:val="none" w:color="000000" w:sz="4" w:space="0"/>
              <w:bottom w:val="none" w:color="000000" w:sz="4" w:space="0"/>
              <w:right w:val="none" w:color="000000" w:sz="4" w:space="0"/>
            </w:tcBorders>
            <w:tcW w:w="4494"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法定代表人（签章）：</w:t>
            </w:r>
            <w:r/>
          </w:p>
        </w:tc>
        <w:tc>
          <w:tcPr>
            <w:tcBorders>
              <w:top w:val="none" w:color="000000" w:sz="4" w:space="0"/>
              <w:left w:val="none" w:color="000000" w:sz="4" w:space="0"/>
              <w:bottom w:val="none" w:color="000000" w:sz="4" w:space="0"/>
              <w:right w:val="none" w:color="000000" w:sz="4" w:space="0"/>
            </w:tcBorders>
            <w:tcW w:w="4032"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法定代表人（签章）：</w:t>
            </w:r>
            <w:r/>
          </w:p>
        </w:tc>
      </w:tr>
      <w:tr>
        <w:trPr>
          <w:jc w:val="center"/>
          <w:trHeight w:val="571"/>
        </w:trPr>
        <w:tc>
          <w:tcPr>
            <w:tcBorders>
              <w:top w:val="none" w:color="000000" w:sz="4" w:space="0"/>
              <w:left w:val="none" w:color="000000" w:sz="4" w:space="0"/>
              <w:bottom w:val="none" w:color="000000" w:sz="4" w:space="0"/>
              <w:right w:val="none" w:color="000000" w:sz="4" w:space="0"/>
            </w:tcBorders>
            <w:tcW w:w="4494"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委托代理人（签字）：</w:t>
            </w:r>
            <w:r/>
          </w:p>
        </w:tc>
        <w:tc>
          <w:tcPr>
            <w:tcBorders>
              <w:top w:val="none" w:color="000000" w:sz="4" w:space="0"/>
              <w:left w:val="none" w:color="000000" w:sz="4" w:space="0"/>
              <w:bottom w:val="none" w:color="000000" w:sz="4" w:space="0"/>
              <w:right w:val="none" w:color="000000" w:sz="4" w:space="0"/>
            </w:tcBorders>
            <w:tcW w:w="4032"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委托代理人（签字）：</w:t>
            </w:r>
            <w:r/>
          </w:p>
        </w:tc>
      </w:tr>
      <w:tr>
        <w:trPr>
          <w:jc w:val="center"/>
          <w:trHeight w:val="551"/>
        </w:trPr>
        <w:tc>
          <w:tcPr>
            <w:tcBorders>
              <w:top w:val="none" w:color="000000" w:sz="4" w:space="0"/>
              <w:left w:val="none" w:color="000000" w:sz="4" w:space="0"/>
              <w:bottom w:val="none" w:color="000000" w:sz="4" w:space="0"/>
              <w:right w:val="none" w:color="000000" w:sz="4" w:space="0"/>
            </w:tcBorders>
            <w:tcW w:w="4494"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w:t>
            </w:r>
            <w:r/>
          </w:p>
        </w:tc>
        <w:tc>
          <w:tcPr>
            <w:tcBorders>
              <w:top w:val="none" w:color="000000" w:sz="4" w:space="0"/>
              <w:left w:val="none" w:color="000000" w:sz="4" w:space="0"/>
              <w:bottom w:val="none" w:color="000000" w:sz="4" w:space="0"/>
              <w:right w:val="none" w:color="000000" w:sz="4" w:space="0"/>
            </w:tcBorders>
            <w:tcW w:w="4032"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w:t>
            </w:r>
            <w:r/>
          </w:p>
        </w:tc>
      </w:tr>
      <w:tr>
        <w:trPr>
          <w:jc w:val="center"/>
          <w:trHeight w:val="551"/>
        </w:trPr>
        <w:tc>
          <w:tcPr>
            <w:tcBorders>
              <w:top w:val="none" w:color="000000" w:sz="4" w:space="0"/>
              <w:left w:val="none" w:color="000000" w:sz="4" w:space="0"/>
              <w:bottom w:val="none" w:color="000000" w:sz="4" w:space="0"/>
              <w:right w:val="none" w:color="000000" w:sz="4" w:space="0"/>
            </w:tcBorders>
            <w:tcW w:w="4494"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传真：</w:t>
            </w:r>
            <w:r/>
          </w:p>
        </w:tc>
        <w:tc>
          <w:tcPr>
            <w:tcBorders>
              <w:top w:val="none" w:color="000000" w:sz="4" w:space="0"/>
              <w:left w:val="none" w:color="000000" w:sz="4" w:space="0"/>
              <w:bottom w:val="none" w:color="000000" w:sz="4" w:space="0"/>
              <w:right w:val="none" w:color="000000" w:sz="4" w:space="0"/>
            </w:tcBorders>
            <w:tcW w:w="4032"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传真：</w:t>
            </w:r>
            <w:r/>
          </w:p>
        </w:tc>
      </w:tr>
      <w:tr>
        <w:trPr>
          <w:jc w:val="center"/>
          <w:trHeight w:val="551"/>
        </w:trPr>
        <w:tc>
          <w:tcPr>
            <w:tcBorders>
              <w:top w:val="none" w:color="000000" w:sz="4" w:space="0"/>
              <w:left w:val="none" w:color="000000" w:sz="4" w:space="0"/>
              <w:bottom w:val="none" w:color="000000" w:sz="4" w:space="0"/>
              <w:right w:val="none" w:color="000000" w:sz="4" w:space="0"/>
            </w:tcBorders>
            <w:tcW w:w="4494"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032"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w:t>
            </w:r>
            <w:r/>
          </w:p>
        </w:tc>
      </w:tr>
      <w:tr>
        <w:trPr>
          <w:jc w:val="center"/>
          <w:trHeight w:val="551"/>
        </w:trPr>
        <w:tc>
          <w:tcPr>
            <w:tcBorders>
              <w:top w:val="none" w:color="000000" w:sz="4" w:space="0"/>
              <w:left w:val="none" w:color="000000" w:sz="4" w:space="0"/>
              <w:bottom w:val="none" w:color="000000" w:sz="4" w:space="0"/>
              <w:right w:val="none" w:color="000000" w:sz="4" w:space="0"/>
            </w:tcBorders>
            <w:tcW w:w="4494"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银行账号：</w:t>
            </w:r>
            <w:r/>
          </w:p>
        </w:tc>
        <w:tc>
          <w:tcPr>
            <w:tcBorders>
              <w:top w:val="none" w:color="000000" w:sz="4" w:space="0"/>
              <w:left w:val="none" w:color="000000" w:sz="4" w:space="0"/>
              <w:bottom w:val="none" w:color="000000" w:sz="4" w:space="0"/>
              <w:right w:val="none" w:color="000000" w:sz="4" w:space="0"/>
            </w:tcBorders>
            <w:tcW w:w="4032"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银行账号：</w:t>
            </w:r>
            <w:r/>
          </w:p>
        </w:tc>
      </w:tr>
      <w:tr>
        <w:trPr>
          <w:jc w:val="center"/>
          <w:trHeight w:val="551"/>
        </w:trPr>
        <w:tc>
          <w:tcPr>
            <w:tcBorders>
              <w:top w:val="none" w:color="000000" w:sz="4" w:space="0"/>
              <w:left w:val="none" w:color="000000" w:sz="4" w:space="0"/>
              <w:bottom w:val="none" w:color="000000" w:sz="4" w:space="0"/>
              <w:right w:val="none" w:color="000000" w:sz="4" w:space="0"/>
            </w:tcBorders>
            <w:tcW w:w="4494"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数币账号</w:t>
            </w:r>
            <w:r/>
          </w:p>
        </w:tc>
        <w:tc>
          <w:tcPr>
            <w:tcBorders>
              <w:top w:val="none" w:color="000000" w:sz="4" w:space="0"/>
              <w:left w:val="none" w:color="000000" w:sz="4" w:space="0"/>
              <w:bottom w:val="none" w:color="000000" w:sz="4" w:space="0"/>
              <w:right w:val="none" w:color="000000" w:sz="4" w:space="0"/>
            </w:tcBorders>
            <w:tcW w:w="4032"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数币账号</w:t>
            </w:r>
            <w:r/>
          </w:p>
        </w:tc>
      </w:tr>
      <w:tr>
        <w:trPr>
          <w:jc w:val="center"/>
        </w:trPr>
        <w:tc>
          <w:tcPr>
            <w:tcBorders>
              <w:top w:val="none" w:color="000000" w:sz="4" w:space="0"/>
              <w:left w:val="none" w:color="000000" w:sz="4" w:space="0"/>
              <w:bottom w:val="none" w:color="000000" w:sz="4" w:space="0"/>
              <w:right w:val="none" w:color="000000" w:sz="4" w:space="0"/>
            </w:tcBorders>
            <w:tcW w:w="4494"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签订日期：</w:t>
            </w:r>
            <w:r/>
          </w:p>
        </w:tc>
        <w:tc>
          <w:tcPr>
            <w:tcBorders>
              <w:top w:val="none" w:color="000000" w:sz="4" w:space="0"/>
              <w:left w:val="none" w:color="000000" w:sz="4" w:space="0"/>
              <w:bottom w:val="none" w:color="000000" w:sz="4" w:space="0"/>
              <w:right w:val="none" w:color="000000" w:sz="4" w:space="0"/>
            </w:tcBorders>
            <w:tcW w:w="4032"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签订日期：</w:t>
            </w:r>
            <w:r/>
          </w:p>
        </w:tc>
      </w:tr>
    </w:tbl>
    <w:p>
      <w:pPr>
        <w:ind w:left="625"/>
        <w:spacing w:before="59" w:line="238" w:lineRule="exact"/>
        <w:rPr>
          <w:rFonts w:hint="eastAsia" w:ascii="宋体" w:hAnsi="宋体" w:cs="宋体"/>
          <w:b/>
          <w:color w:val="000000" w:themeColor="text1"/>
          <w:szCs w:val="21"/>
          <w14:textFill>
            <w14:solidFill>
              <w14:schemeClr w14:val="tx1"/>
            </w14:solidFill>
          </w14:textFill>
        </w:rPr>
        <w:outlineLvl w:val="0"/>
      </w:pPr>
      <w:r>
        <w:rPr>
          <w:rFonts w:hint="eastAsia" w:ascii="宋体" w:hAnsi="宋体" w:cs="宋体"/>
          <w:b/>
          <w:color w:val="000000" w:themeColor="text1"/>
          <w:szCs w:val="21"/>
          <w14:textFill>
            <w14:solidFill>
              <w14:schemeClr w14:val="tx1"/>
            </w14:solidFill>
          </w14:textFill>
        </w:rPr>
      </w:r>
      <w:r/>
    </w:p>
    <w:p>
      <w:pP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clear="all"/>
      </w:r>
      <w:r/>
    </w:p>
    <w:p>
      <w:pPr>
        <w:spacing w:line="440" w:lineRule="exact"/>
        <w:rPr>
          <w:rFonts w:hint="eastAsia" w:ascii="宋体" w:hAnsi="宋体"/>
          <w:b/>
          <w:color w:val="000000" w:themeColor="text1"/>
          <w:szCs w:val="21"/>
          <w14:textFill>
            <w14:solidFill>
              <w14:schemeClr w14:val="tx1"/>
            </w14:solidFill>
          </w14:textFill>
        </w:rPr>
      </w:pPr>
      <w:r>
        <w:rPr>
          <w:rFonts w:hint="eastAsia" w:ascii="宋体" w:hAnsi="宋体" w:cs="宋体"/>
          <w:b/>
          <w:bCs/>
          <w:sz w:val="24"/>
        </w:rPr>
        <w:t xml:space="preserve">附件1：</w:t>
      </w:r>
      <w:r>
        <w:rPr>
          <w:rFonts w:hint="eastAsia" w:ascii="宋体" w:hAnsi="宋体"/>
          <w:b/>
          <w:color w:val="000000" w:themeColor="text1"/>
          <w:szCs w:val="21"/>
          <w14:textFill>
            <w14:solidFill>
              <w14:schemeClr w14:val="tx1"/>
            </w14:solidFill>
          </w14:textFill>
        </w:rPr>
        <w:t xml:space="preserve">服务</w:t>
      </w:r>
      <w:r>
        <w:rPr>
          <w:rFonts w:ascii="宋体" w:hAnsi="宋体"/>
          <w:b/>
          <w:color w:val="000000" w:themeColor="text1"/>
          <w:szCs w:val="21"/>
          <w14:textFill>
            <w14:solidFill>
              <w14:schemeClr w14:val="tx1"/>
            </w14:solidFill>
          </w14:textFill>
        </w:rPr>
        <w:t xml:space="preserve">考核细则</w:t>
      </w:r>
      <w:r>
        <w:rPr>
          <w:rFonts w:hint="eastAsia" w:ascii="宋体" w:hAnsi="宋体"/>
          <w:b/>
          <w:color w:val="000000" w:themeColor="text1"/>
          <w:szCs w:val="21"/>
          <w14:textFill>
            <w14:solidFill>
              <w14:schemeClr w14:val="tx1"/>
            </w14:solidFill>
          </w14:textFill>
        </w:rPr>
        <w:t xml:space="preserve">表</w:t>
      </w:r>
      <w:r/>
    </w:p>
    <w:p>
      <w:pPr>
        <w:pStyle w:val="1001"/>
        <w:numPr>
          <w:ilvl w:val="0"/>
          <w:numId w:val="2"/>
        </w:num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考核总分100分，每月考核一次；</w:t>
      </w:r>
      <w:r/>
    </w:p>
    <w:p>
      <w:pPr>
        <w:pStyle w:val="1001"/>
        <w:numPr>
          <w:ilvl w:val="0"/>
          <w:numId w:val="2"/>
        </w:num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得分90分（含）以上的，足额支付当月费用；</w:t>
      </w:r>
      <w:r/>
    </w:p>
    <w:p>
      <w:pPr>
        <w:pStyle w:val="1001"/>
        <w:numPr>
          <w:ilvl w:val="0"/>
          <w:numId w:val="2"/>
        </w:num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得分75分（含）——89分的，扣除当月费用的5%；</w:t>
      </w:r>
      <w:r/>
    </w:p>
    <w:p>
      <w:pPr>
        <w:pStyle w:val="1001"/>
        <w:numPr>
          <w:ilvl w:val="0"/>
          <w:numId w:val="2"/>
        </w:num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得分60分（含）——74分的，扣除当月费用的10%；</w:t>
      </w:r>
      <w:r/>
    </w:p>
    <w:p>
      <w:pPr>
        <w:pStyle w:val="1001"/>
        <w:numPr>
          <w:ilvl w:val="0"/>
          <w:numId w:val="2"/>
        </w:num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60分以下的，扣除当月费用的20%；</w:t>
      </w:r>
      <w:r/>
    </w:p>
    <w:p>
      <w:pPr>
        <w:pStyle w:val="1001"/>
        <w:numPr>
          <w:ilvl w:val="0"/>
          <w:numId w:val="2"/>
        </w:num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乙方连续两次考核得分60分（含）——74分之间的、或单次考核60分以下的、或乙方人员发生严重违法违纪行为的，甲方有权单方解除合同且不承担任何违约责任。</w:t>
      </w:r>
      <w:r/>
    </w:p>
    <w:tbl>
      <w:tblPr>
        <w:tblStyle w:val="879"/>
        <w:tblpPr w:horzAnchor="margin" w:tblpXSpec="center" w:vertAnchor="text" w:tblpY="117" w:leftFromText="180" w:topFromText="0" w:rightFromText="180" w:bottomFromText="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4025"/>
        <w:gridCol w:w="2381"/>
        <w:gridCol w:w="998"/>
        <w:gridCol w:w="1270"/>
      </w:tblGrid>
      <w:tr>
        <w:trPr>
          <w:trHeight w:val="457"/>
        </w:trPr>
        <w:tc>
          <w:tcPr>
            <w:tcW w:w="648" w:type="dxa"/>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序号</w:t>
            </w:r>
            <w:r/>
          </w:p>
        </w:tc>
        <w:tc>
          <w:tcPr>
            <w:tcW w:w="4025" w:type="dxa"/>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项目</w:t>
            </w:r>
            <w:r/>
          </w:p>
        </w:tc>
        <w:tc>
          <w:tcPr>
            <w:tcW w:w="2381" w:type="dxa"/>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分值</w:t>
            </w:r>
            <w:r/>
          </w:p>
        </w:tc>
        <w:tc>
          <w:tcPr>
            <w:tcW w:w="998" w:type="dxa"/>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扣分</w:t>
            </w:r>
            <w:r/>
          </w:p>
        </w:tc>
        <w:tc>
          <w:tcPr>
            <w:tcW w:w="1270" w:type="dxa"/>
            <w:vAlign w:val="center"/>
            <w:textDirection w:val="lrTb"/>
            <w:noWrap w:val="false"/>
          </w:tcPr>
          <w:p>
            <w:pPr>
              <w:jc w:val="center"/>
              <w:spacing w:line="44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扣分原因</w:t>
            </w:r>
            <w:r/>
          </w:p>
        </w:tc>
      </w:tr>
      <w:tr>
        <w:trPr>
          <w:trHeight w:val="346"/>
        </w:trPr>
        <w:tc>
          <w:tcPr>
            <w:tcW w:w="64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W w:w="4025"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未按照合同要求配足配齐设备的</w:t>
            </w:r>
            <w:r/>
          </w:p>
        </w:tc>
        <w:tc>
          <w:tcPr>
            <w:tcW w:w="2381"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10-20分/次</w:t>
            </w:r>
            <w:r/>
          </w:p>
        </w:tc>
        <w:tc>
          <w:tcPr>
            <w:tcW w:w="99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0"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346"/>
        </w:trPr>
        <w:tc>
          <w:tcPr>
            <w:tcW w:w="64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p>
        </w:tc>
        <w:tc>
          <w:tcPr>
            <w:tcW w:w="4025"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在岗人员未按要求着装，整齐着装</w:t>
            </w:r>
            <w:r/>
          </w:p>
        </w:tc>
        <w:tc>
          <w:tcPr>
            <w:tcW w:w="2381"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5分/起</w:t>
            </w:r>
            <w:r/>
          </w:p>
        </w:tc>
        <w:tc>
          <w:tcPr>
            <w:tcW w:w="99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0"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15"/>
        </w:trPr>
        <w:tc>
          <w:tcPr>
            <w:tcW w:w="64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p>
        </w:tc>
        <w:tc>
          <w:tcPr>
            <w:tcW w:w="4025"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抽烟、工作时间聊天的</w:t>
            </w:r>
            <w:r/>
          </w:p>
        </w:tc>
        <w:tc>
          <w:tcPr>
            <w:tcW w:w="2381"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2-5分/次</w:t>
            </w:r>
            <w:r/>
          </w:p>
        </w:tc>
        <w:tc>
          <w:tcPr>
            <w:tcW w:w="99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0"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15"/>
        </w:trPr>
        <w:tc>
          <w:tcPr>
            <w:tcW w:w="64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p>
        </w:tc>
        <w:tc>
          <w:tcPr>
            <w:tcW w:w="4025"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不能按照合同要求，</w:t>
            </w:r>
            <w:r>
              <w:rPr>
                <w:rFonts w:hint="eastAsia" w:ascii="宋体" w:hAnsi="宋体"/>
                <w:color w:val="000000" w:themeColor="text1"/>
                <w:szCs w:val="21"/>
                <w14:textFill>
                  <w14:solidFill>
                    <w14:schemeClr w14:val="tx1"/>
                  </w14:solidFill>
                </w14:textFill>
              </w:rPr>
              <w:t xml:space="preserve">每天</w:t>
            </w:r>
            <w:r>
              <w:rPr>
                <w:rFonts w:ascii="宋体" w:hAnsi="宋体"/>
                <w:color w:val="000000" w:themeColor="text1"/>
                <w:szCs w:val="21"/>
                <w14:textFill>
                  <w14:solidFill>
                    <w14:schemeClr w14:val="tx1"/>
                  </w14:solidFill>
                </w14:textFill>
              </w:rPr>
              <w:t xml:space="preserve">及时</w:t>
            </w:r>
            <w:r>
              <w:rPr>
                <w:rFonts w:hint="eastAsia" w:ascii="宋体" w:hAnsi="宋体"/>
                <w:color w:val="000000" w:themeColor="text1"/>
                <w:szCs w:val="21"/>
                <w14:textFill>
                  <w14:solidFill>
                    <w14:schemeClr w14:val="tx1"/>
                  </w14:solidFill>
                </w14:textFill>
              </w:rPr>
              <w:t xml:space="preserve">到岗的</w:t>
            </w:r>
            <w:r/>
          </w:p>
        </w:tc>
        <w:tc>
          <w:tcPr>
            <w:tcW w:w="2381"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5-10分/次</w:t>
            </w:r>
            <w:r/>
          </w:p>
        </w:tc>
        <w:tc>
          <w:tcPr>
            <w:tcW w:w="99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0"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01"/>
        </w:trPr>
        <w:tc>
          <w:tcPr>
            <w:tcW w:w="64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p>
        </w:tc>
        <w:tc>
          <w:tcPr>
            <w:tcW w:w="4025"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在</w:t>
            </w:r>
            <w:r>
              <w:rPr>
                <w:rFonts w:hint="eastAsia" w:ascii="宋体" w:hAnsi="宋体"/>
                <w:color w:val="000000" w:themeColor="text1"/>
                <w:szCs w:val="21"/>
                <w14:textFill>
                  <w14:solidFill>
                    <w14:schemeClr w14:val="tx1"/>
                  </w14:solidFill>
                </w14:textFill>
              </w:rPr>
              <w:t xml:space="preserve">巡查</w:t>
            </w:r>
            <w:r>
              <w:rPr>
                <w:rFonts w:ascii="宋体" w:hAnsi="宋体"/>
                <w:color w:val="000000" w:themeColor="text1"/>
                <w:szCs w:val="21"/>
                <w14:textFill>
                  <w14:solidFill>
                    <w14:schemeClr w14:val="tx1"/>
                  </w14:solidFill>
                </w14:textFill>
              </w:rPr>
              <w:t xml:space="preserve">区域大声喧哗，影响</w:t>
            </w:r>
            <w:r>
              <w:rPr>
                <w:rFonts w:hint="eastAsia" w:ascii="宋体" w:hAnsi="宋体"/>
                <w:color w:val="000000" w:themeColor="text1"/>
                <w:szCs w:val="21"/>
                <w14:textFill>
                  <w14:solidFill>
                    <w14:schemeClr w14:val="tx1"/>
                  </w14:solidFill>
                </w14:textFill>
              </w:rPr>
              <w:t xml:space="preserve">办公</w:t>
            </w:r>
            <w:r>
              <w:rPr>
                <w:rFonts w:ascii="宋体" w:hAnsi="宋体"/>
                <w:color w:val="000000" w:themeColor="text1"/>
                <w:szCs w:val="21"/>
                <w14:textFill>
                  <w14:solidFill>
                    <w14:schemeClr w14:val="tx1"/>
                  </w14:solidFill>
                </w14:textFill>
              </w:rPr>
              <w:t xml:space="preserve">的</w:t>
            </w:r>
            <w:r/>
          </w:p>
        </w:tc>
        <w:tc>
          <w:tcPr>
            <w:tcW w:w="2381"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5分/起</w:t>
            </w:r>
            <w:r/>
          </w:p>
        </w:tc>
        <w:tc>
          <w:tcPr>
            <w:tcW w:w="99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0"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354"/>
        </w:trPr>
        <w:tc>
          <w:tcPr>
            <w:tcW w:w="64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p>
        </w:tc>
        <w:tc>
          <w:tcPr>
            <w:tcW w:w="4025"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上岗时间睡觉的</w:t>
            </w:r>
            <w:r/>
          </w:p>
        </w:tc>
        <w:tc>
          <w:tcPr>
            <w:tcW w:w="2381"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扣除10分/起</w:t>
            </w:r>
            <w:r/>
          </w:p>
        </w:tc>
        <w:tc>
          <w:tcPr>
            <w:tcW w:w="99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0"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373"/>
        </w:trPr>
        <w:tc>
          <w:tcPr>
            <w:tcW w:w="64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7</w:t>
            </w:r>
            <w:r/>
          </w:p>
        </w:tc>
        <w:tc>
          <w:tcPr>
            <w:tcW w:w="4025"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在岗人员在工作期间人数不足，或外出或离岗未及时向</w:t>
            </w:r>
            <w:r>
              <w:rPr>
                <w:rFonts w:hint="eastAsia" w:ascii="宋体" w:hAnsi="宋体"/>
                <w:color w:val="000000" w:themeColor="text1"/>
                <w:szCs w:val="21"/>
                <w14:textFill>
                  <w14:solidFill>
                    <w14:schemeClr w14:val="tx1"/>
                  </w14:solidFill>
                </w14:textFill>
              </w:rPr>
              <w:t xml:space="preserve">采购方</w:t>
            </w:r>
            <w:r>
              <w:rPr>
                <w:rFonts w:ascii="宋体" w:hAnsi="宋体"/>
                <w:color w:val="000000" w:themeColor="text1"/>
                <w:szCs w:val="21"/>
                <w14:textFill>
                  <w14:solidFill>
                    <w14:schemeClr w14:val="tx1"/>
                  </w14:solidFill>
                </w14:textFill>
              </w:rPr>
              <w:t xml:space="preserve">请假的</w:t>
            </w:r>
            <w:r/>
          </w:p>
        </w:tc>
        <w:tc>
          <w:tcPr>
            <w:tcW w:w="2381"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扣除10分/起</w:t>
            </w:r>
            <w:r/>
          </w:p>
        </w:tc>
        <w:tc>
          <w:tcPr>
            <w:tcW w:w="99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0"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378"/>
        </w:trPr>
        <w:tc>
          <w:tcPr>
            <w:tcW w:w="64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8</w:t>
            </w:r>
            <w:r/>
          </w:p>
        </w:tc>
        <w:tc>
          <w:tcPr>
            <w:tcW w:w="4025"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利用</w:t>
            </w:r>
            <w:r>
              <w:rPr>
                <w:rFonts w:hint="eastAsia" w:ascii="宋体" w:hAnsi="宋体"/>
                <w:color w:val="000000" w:themeColor="text1"/>
                <w:szCs w:val="21"/>
                <w14:textFill>
                  <w14:solidFill>
                    <w14:schemeClr w14:val="tx1"/>
                  </w14:solidFill>
                </w14:textFill>
              </w:rPr>
              <w:t xml:space="preserve">工作</w:t>
            </w:r>
            <w:r>
              <w:rPr>
                <w:rFonts w:ascii="宋体" w:hAnsi="宋体"/>
                <w:color w:val="000000" w:themeColor="text1"/>
                <w:szCs w:val="21"/>
                <w14:textFill>
                  <w14:solidFill>
                    <w14:schemeClr w14:val="tx1"/>
                  </w14:solidFill>
                </w14:textFill>
              </w:rPr>
              <w:t xml:space="preserve">之便，偷盗</w:t>
            </w:r>
            <w:r>
              <w:rPr>
                <w:rFonts w:hint="eastAsia" w:ascii="宋体" w:hAnsi="宋体"/>
                <w:color w:val="000000" w:themeColor="text1"/>
                <w:szCs w:val="21"/>
                <w14:textFill>
                  <w14:solidFill>
                    <w14:schemeClr w14:val="tx1"/>
                  </w14:solidFill>
                </w14:textFill>
              </w:rPr>
              <w:t xml:space="preserve">采购单位</w:t>
            </w:r>
            <w:r>
              <w:rPr>
                <w:rFonts w:ascii="宋体" w:hAnsi="宋体"/>
                <w:color w:val="000000" w:themeColor="text1"/>
                <w:szCs w:val="21"/>
                <w14:textFill>
                  <w14:solidFill>
                    <w14:schemeClr w14:val="tx1"/>
                  </w14:solidFill>
                </w14:textFill>
              </w:rPr>
              <w:t xml:space="preserve">物品的</w:t>
            </w:r>
            <w:r/>
          </w:p>
        </w:tc>
        <w:tc>
          <w:tcPr>
            <w:tcW w:w="2381"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扣除20分/起</w:t>
            </w:r>
            <w:r/>
          </w:p>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情节严重的扣除30-50分/起</w:t>
            </w:r>
            <w:r>
              <w:rPr>
                <w:rFonts w:hint="eastAsia" w:ascii="宋体" w:hAnsi="宋体"/>
                <w:color w:val="000000" w:themeColor="text1"/>
                <w:szCs w:val="21"/>
                <w14:textFill>
                  <w14:solidFill>
                    <w14:schemeClr w14:val="tx1"/>
                  </w14:solidFill>
                </w14:textFill>
              </w:rPr>
              <w:t xml:space="preserve">，开除相关人员</w:t>
            </w:r>
            <w:r/>
          </w:p>
        </w:tc>
        <w:tc>
          <w:tcPr>
            <w:tcW w:w="99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0"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313"/>
        </w:trPr>
        <w:tc>
          <w:tcPr>
            <w:tcW w:w="64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9</w:t>
            </w:r>
            <w:r/>
          </w:p>
        </w:tc>
        <w:tc>
          <w:tcPr>
            <w:tcW w:w="4025"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履行工作职责范围以内工作时不听从</w:t>
            </w:r>
            <w:r>
              <w:rPr>
                <w:rFonts w:hint="eastAsia" w:ascii="宋体" w:hAnsi="宋体"/>
                <w:color w:val="000000" w:themeColor="text1"/>
                <w:szCs w:val="21"/>
                <w14:textFill>
                  <w14:solidFill>
                    <w14:schemeClr w14:val="tx1"/>
                  </w14:solidFill>
                </w14:textFill>
              </w:rPr>
              <w:t xml:space="preserve">采购方</w:t>
            </w:r>
            <w:r>
              <w:rPr>
                <w:rFonts w:ascii="宋体" w:hAnsi="宋体"/>
                <w:color w:val="000000" w:themeColor="text1"/>
                <w:szCs w:val="21"/>
                <w14:textFill>
                  <w14:solidFill>
                    <w14:schemeClr w14:val="tx1"/>
                  </w14:solidFill>
                </w14:textFill>
              </w:rPr>
              <w:t xml:space="preserve">工作安排的，不服从分配、不听从指挥的</w:t>
            </w:r>
            <w:r/>
          </w:p>
        </w:tc>
        <w:tc>
          <w:tcPr>
            <w:tcW w:w="2381"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扣10分/次</w:t>
            </w:r>
            <w:r/>
          </w:p>
        </w:tc>
        <w:tc>
          <w:tcPr>
            <w:tcW w:w="99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0"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610"/>
        </w:trPr>
        <w:tc>
          <w:tcPr>
            <w:tcW w:w="64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10</w:t>
            </w:r>
            <w:r/>
          </w:p>
        </w:tc>
        <w:tc>
          <w:tcPr>
            <w:tcW w:w="4025"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没有提前通知而更换人员的</w:t>
            </w:r>
            <w:r/>
          </w:p>
        </w:tc>
        <w:tc>
          <w:tcPr>
            <w:tcW w:w="2381"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扣10分/起</w:t>
            </w:r>
            <w:r/>
          </w:p>
        </w:tc>
        <w:tc>
          <w:tcPr>
            <w:tcW w:w="998"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70"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检查日期：</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检查人：</w:t>
      </w:r>
      <w:r/>
    </w:p>
    <w:p>
      <w:pPr>
        <w:ind w:left="625"/>
        <w:spacing w:before="59" w:line="238" w:lineRule="exact"/>
        <w:rPr>
          <w:rFonts w:hint="eastAsia" w:ascii="宋体" w:hAnsi="宋体" w:cs="宋体"/>
          <w:b/>
          <w:color w:val="000000" w:themeColor="text1"/>
          <w:szCs w:val="21"/>
          <w14:textFill>
            <w14:solidFill>
              <w14:schemeClr w14:val="tx1"/>
            </w14:solidFill>
          </w14:textFill>
        </w:rPr>
        <w:outlineLvl w:val="0"/>
      </w:pPr>
      <w:r>
        <w:rPr>
          <w:rFonts w:hint="eastAsia" w:ascii="宋体" w:hAnsi="宋体" w:cs="宋体"/>
          <w:b/>
          <w:color w:val="000000" w:themeColor="text1"/>
          <w:szCs w:val="21"/>
          <w14:textFill>
            <w14:solidFill>
              <w14:schemeClr w14:val="tx1"/>
            </w14:solidFill>
          </w14:textFill>
        </w:rPr>
        <w:br w:type="page" w:clear="all"/>
      </w:r>
      <w:bookmarkStart w:id="26" w:name="_Toc474491767"/>
      <w:r/>
      <w:r/>
    </w:p>
    <w:p>
      <w:pPr>
        <w:spacing w:line="360" w:lineRule="auto"/>
        <w:rPr>
          <w:rFonts w:hint="eastAsia" w:ascii="宋体" w:hAnsi="宋体" w:cs="宋体"/>
          <w:b/>
          <w:sz w:val="24"/>
          <w:szCs w:val="44"/>
        </w:rPr>
      </w:pPr>
      <w:r>
        <w:rPr>
          <w:rFonts w:hint="eastAsia" w:ascii="宋体" w:hAnsi="宋体" w:cs="宋体"/>
          <w:b/>
          <w:szCs w:val="36"/>
        </w:rPr>
        <w:t xml:space="preserve">附件2：</w:t>
      </w:r>
      <w:r/>
    </w:p>
    <w:p>
      <w:pPr>
        <w:jc w:val="center"/>
        <w:spacing w:after="160" w:line="360" w:lineRule="auto"/>
        <w:rPr>
          <w:rFonts w:hint="eastAsia" w:ascii="宋体" w:hAnsi="宋体" w:cs="宋体"/>
          <w:b/>
          <w:sz w:val="36"/>
          <w:szCs w:val="22"/>
        </w:rPr>
      </w:pPr>
      <w:r>
        <w:rPr>
          <w:rFonts w:hint="eastAsia" w:ascii="宋体" w:hAnsi="宋体" w:cs="宋体"/>
          <w:b/>
          <w:sz w:val="36"/>
          <w:szCs w:val="22"/>
        </w:rPr>
        <w:t xml:space="preserve">服务类项目履约验收方案</w:t>
      </w:r>
      <w:r/>
    </w:p>
    <w:p>
      <w:pPr>
        <w:numPr>
          <w:ilvl w:val="0"/>
          <w:numId w:val="3"/>
        </w:numPr>
        <w:jc w:val="left"/>
        <w:spacing w:after="160" w:line="360" w:lineRule="auto"/>
        <w:rPr>
          <w:rFonts w:hint="eastAsia" w:ascii="宋体" w:hAnsi="宋体" w:cs="宋体"/>
          <w:b/>
        </w:rPr>
      </w:pPr>
      <w:r>
        <w:rPr>
          <w:rFonts w:hint="eastAsia" w:ascii="宋体" w:hAnsi="宋体" w:cs="宋体"/>
          <w:b/>
          <w:sz w:val="24"/>
        </w:rPr>
        <w:t xml:space="preserve">项目概况</w:t>
      </w:r>
      <w:r/>
    </w:p>
    <w:p>
      <w:pPr>
        <w:jc w:val="left"/>
        <w:spacing w:after="160" w:line="360" w:lineRule="auto"/>
        <w:rPr>
          <w:rFonts w:hint="eastAsia" w:ascii="宋体" w:hAnsi="宋体" w:cs="宋体"/>
          <w:szCs w:val="22"/>
        </w:rPr>
      </w:pPr>
      <w:r>
        <w:rPr>
          <w:rFonts w:hint="eastAsia" w:ascii="宋体" w:hAnsi="宋体" w:cs="宋体"/>
          <w:szCs w:val="22"/>
        </w:rPr>
        <w:t xml:space="preserve">项目编号：</w:t>
      </w:r>
      <w:r/>
    </w:p>
    <w:p>
      <w:pPr>
        <w:jc w:val="left"/>
        <w:spacing w:after="160" w:line="360" w:lineRule="auto"/>
        <w:rPr>
          <w:rFonts w:hint="eastAsia" w:ascii="宋体" w:hAnsi="宋体" w:cs="宋体"/>
          <w:szCs w:val="22"/>
        </w:rPr>
      </w:pPr>
      <w:r>
        <w:rPr>
          <w:rFonts w:hint="eastAsia" w:ascii="宋体" w:hAnsi="宋体" w:cs="宋体"/>
          <w:szCs w:val="22"/>
        </w:rPr>
        <w:t xml:space="preserve">项目名称：</w:t>
      </w:r>
      <w:r/>
    </w:p>
    <w:p>
      <w:pPr>
        <w:jc w:val="left"/>
        <w:spacing w:after="160" w:line="360" w:lineRule="auto"/>
        <w:rPr>
          <w:rFonts w:hint="eastAsia" w:ascii="宋体" w:hAnsi="宋体" w:cs="宋体"/>
          <w:szCs w:val="22"/>
        </w:rPr>
      </w:pPr>
      <w:r>
        <w:rPr>
          <w:rFonts w:hint="eastAsia" w:ascii="宋体" w:hAnsi="宋体" w:cs="宋体"/>
          <w:szCs w:val="22"/>
        </w:rPr>
        <w:t xml:space="preserve">供应商名称：</w:t>
      </w:r>
      <w:r/>
    </w:p>
    <w:p>
      <w:pPr>
        <w:jc w:val="left"/>
        <w:spacing w:after="160" w:line="360" w:lineRule="auto"/>
        <w:rPr>
          <w:rFonts w:hint="eastAsia" w:ascii="宋体" w:hAnsi="宋体" w:cs="宋体"/>
          <w:szCs w:val="22"/>
        </w:rPr>
      </w:pPr>
      <w:r>
        <w:rPr>
          <w:rFonts w:hint="eastAsia" w:ascii="宋体" w:hAnsi="宋体" w:cs="宋体"/>
          <w:szCs w:val="22"/>
        </w:rPr>
        <w:t xml:space="preserve">合同金额：</w:t>
      </w:r>
      <w:r/>
    </w:p>
    <w:p>
      <w:pPr>
        <w:jc w:val="left"/>
        <w:spacing w:after="160" w:line="360" w:lineRule="auto"/>
        <w:rPr>
          <w:rFonts w:hint="eastAsia" w:ascii="宋体" w:hAnsi="宋体" w:cs="宋体"/>
          <w:szCs w:val="22"/>
        </w:rPr>
      </w:pPr>
      <w:r>
        <w:rPr>
          <w:rFonts w:hint="eastAsia" w:ascii="宋体" w:hAnsi="宋体" w:cs="宋体"/>
          <w:szCs w:val="22"/>
        </w:rPr>
        <w:t xml:space="preserve">验收主体：</w:t>
      </w:r>
      <w:r/>
    </w:p>
    <w:p>
      <w:pPr>
        <w:numPr>
          <w:ilvl w:val="0"/>
          <w:numId w:val="3"/>
        </w:numPr>
        <w:jc w:val="left"/>
        <w:spacing w:after="160" w:line="360" w:lineRule="auto"/>
        <w:rPr>
          <w:rFonts w:hint="eastAsia" w:ascii="宋体" w:hAnsi="宋体" w:cs="宋体"/>
          <w:b/>
          <w:sz w:val="24"/>
        </w:rPr>
      </w:pPr>
      <w:r>
        <w:rPr>
          <w:rFonts w:hint="eastAsia" w:ascii="宋体" w:hAnsi="宋体" w:cs="宋体"/>
          <w:b/>
          <w:sz w:val="24"/>
        </w:rPr>
        <w:t xml:space="preserve">验收目的</w:t>
      </w:r>
      <w:r/>
    </w:p>
    <w:p>
      <w:pPr>
        <w:jc w:val="left"/>
        <w:spacing w:after="160" w:line="360" w:lineRule="auto"/>
        <w:rPr>
          <w:rFonts w:hint="eastAsia" w:ascii="宋体" w:hAnsi="宋体" w:cs="宋体"/>
          <w:szCs w:val="22"/>
        </w:rPr>
      </w:pPr>
      <w:r>
        <w:rPr>
          <w:rFonts w:hint="eastAsia" w:ascii="宋体" w:hAnsi="宋体" w:cs="宋体"/>
          <w:szCs w:val="22"/>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numPr>
          <w:ilvl w:val="0"/>
          <w:numId w:val="3"/>
        </w:numPr>
        <w:jc w:val="left"/>
        <w:spacing w:after="160" w:line="360" w:lineRule="auto"/>
        <w:rPr>
          <w:rFonts w:hint="eastAsia" w:ascii="宋体" w:hAnsi="宋体" w:cs="宋体"/>
          <w:b/>
          <w:sz w:val="24"/>
        </w:rPr>
      </w:pPr>
      <w:r>
        <w:rPr>
          <w:rFonts w:hint="eastAsia" w:ascii="宋体" w:hAnsi="宋体" w:cs="宋体"/>
          <w:b/>
          <w:sz w:val="24"/>
        </w:rPr>
        <w:t xml:space="preserve">验收依据</w:t>
      </w:r>
      <w:r/>
    </w:p>
    <w:p>
      <w:pPr>
        <w:jc w:val="left"/>
        <w:spacing w:after="160" w:line="360" w:lineRule="auto"/>
        <w:rPr>
          <w:rFonts w:hint="eastAsia" w:ascii="宋体" w:hAnsi="宋体" w:cs="宋体"/>
          <w:szCs w:val="22"/>
        </w:rPr>
      </w:pPr>
      <w:r>
        <w:rPr>
          <w:rFonts w:hint="eastAsia" w:ascii="宋体" w:hAnsi="宋体" w:cs="宋体"/>
          <w:szCs w:val="22"/>
        </w:rPr>
        <w:t xml:space="preserve">采购单位通过政府采购方式和程序确定供应商的货物和服务类政府采购项目应当执行《江苏省政府采购履约验收管理办法》（苏财规〔2024〕7号）。政府招标文件、供应商投标（响应）文件、政府采购合同是履约验收工作的基本依据。</w:t>
      </w:r>
      <w:r/>
    </w:p>
    <w:p>
      <w:pPr>
        <w:numPr>
          <w:ilvl w:val="0"/>
          <w:numId w:val="3"/>
        </w:numPr>
        <w:jc w:val="left"/>
        <w:spacing w:after="160" w:line="360" w:lineRule="auto"/>
        <w:rPr>
          <w:rFonts w:hint="eastAsia" w:ascii="宋体" w:hAnsi="宋体" w:cs="宋体"/>
          <w:b/>
          <w:sz w:val="24"/>
        </w:rPr>
      </w:pPr>
      <w:r>
        <w:rPr>
          <w:rFonts w:hint="eastAsia" w:ascii="宋体" w:hAnsi="宋体" w:cs="宋体"/>
          <w:b/>
          <w:sz w:val="24"/>
        </w:rPr>
        <w:t xml:space="preserve">验收责任主体</w:t>
      </w:r>
      <w:r/>
    </w:p>
    <w:p>
      <w:pPr>
        <w:jc w:val="left"/>
        <w:spacing w:after="160" w:line="360" w:lineRule="auto"/>
        <w:rPr>
          <w:rFonts w:hint="eastAsia" w:ascii="宋体" w:hAnsi="宋体" w:cs="宋体"/>
          <w:szCs w:val="22"/>
        </w:rPr>
      </w:pPr>
      <w:r>
        <w:rPr>
          <w:rFonts w:hint="eastAsia" w:ascii="宋体" w:hAnsi="宋体" w:cs="宋体"/>
          <w:szCs w:val="22"/>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numPr>
          <w:ilvl w:val="0"/>
          <w:numId w:val="3"/>
        </w:numPr>
        <w:jc w:val="left"/>
        <w:spacing w:after="160" w:line="360" w:lineRule="auto"/>
        <w:rPr>
          <w:rFonts w:hint="eastAsia" w:ascii="宋体" w:hAnsi="宋体" w:cs="宋体"/>
          <w:b/>
          <w:sz w:val="24"/>
        </w:rPr>
      </w:pPr>
      <w:r>
        <w:rPr>
          <w:rFonts w:hint="eastAsia" w:ascii="宋体" w:hAnsi="宋体" w:cs="宋体"/>
          <w:b/>
          <w:sz w:val="24"/>
        </w:rPr>
        <w:t xml:space="preserve">验收方式（形式）</w:t>
      </w:r>
      <w:r/>
    </w:p>
    <w:p>
      <w:pPr>
        <w:jc w:val="left"/>
        <w:spacing w:after="160" w:line="360" w:lineRule="auto"/>
        <w:rPr>
          <w:rFonts w:hint="eastAsia" w:ascii="宋体" w:hAnsi="宋体" w:cs="宋体"/>
          <w:b/>
          <w:szCs w:val="22"/>
        </w:rPr>
      </w:pPr>
      <w:r>
        <w:rPr>
          <w:rFonts w:hint="eastAsia" w:ascii="宋体" w:hAnsi="宋体" w:cs="宋体"/>
          <w:b/>
          <w:szCs w:val="22"/>
        </w:rPr>
        <w:t xml:space="preserve">5.1日常考核、分段验收</w:t>
      </w:r>
      <w:r/>
    </w:p>
    <w:p>
      <w:pPr>
        <w:jc w:val="left"/>
        <w:spacing w:after="160" w:line="360" w:lineRule="auto"/>
        <w:rPr>
          <w:rFonts w:hint="eastAsia" w:ascii="宋体" w:hAnsi="宋体" w:cs="宋体"/>
          <w:szCs w:val="22"/>
        </w:rPr>
      </w:pPr>
      <w:r>
        <w:rPr>
          <w:rFonts w:hint="eastAsia" w:ascii="宋体" w:hAnsi="宋体" w:cs="宋体"/>
          <w:szCs w:val="22"/>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spacing w:after="120" w:line="278" w:lineRule="auto"/>
        <w:rPr>
          <w:rFonts w:hint="eastAsia" w:ascii="宋体" w:hAnsi="宋体" w:cs="宋体"/>
          <w:b/>
          <w:szCs w:val="22"/>
        </w:rPr>
      </w:pPr>
      <w:r>
        <w:rPr>
          <w:rFonts w:hint="eastAsia" w:ascii="宋体" w:hAnsi="宋体" w:cs="宋体"/>
          <w:szCs w:val="22"/>
        </w:rPr>
        <w:t xml:space="preserve">5.2</w:t>
      </w:r>
      <w:r>
        <w:rPr>
          <w:rFonts w:hint="eastAsia" w:ascii="宋体" w:hAnsi="宋体" w:cs="宋体"/>
          <w:b/>
          <w:szCs w:val="22"/>
        </w:rPr>
        <w:t xml:space="preserve">最终验收</w:t>
      </w:r>
      <w:r/>
    </w:p>
    <w:p>
      <w:pPr>
        <w:numPr>
          <w:ilvl w:val="0"/>
          <w:numId w:val="3"/>
        </w:numPr>
        <w:jc w:val="left"/>
        <w:spacing w:after="160" w:line="360" w:lineRule="auto"/>
        <w:rPr>
          <w:rFonts w:hint="eastAsia" w:ascii="宋体" w:hAnsi="宋体" w:cs="宋体"/>
          <w:b/>
          <w:sz w:val="24"/>
        </w:rPr>
      </w:pPr>
      <w:r>
        <w:rPr>
          <w:rFonts w:hint="eastAsia" w:ascii="宋体" w:hAnsi="宋体" w:cs="宋体"/>
          <w:b/>
          <w:sz w:val="24"/>
        </w:rPr>
        <w:t xml:space="preserve">验收内容</w:t>
      </w:r>
      <w:r/>
    </w:p>
    <w:p>
      <w:pPr>
        <w:jc w:val="left"/>
        <w:spacing w:after="160" w:line="360" w:lineRule="auto"/>
        <w:rPr>
          <w:rFonts w:hint="eastAsia" w:ascii="宋体" w:hAnsi="宋体" w:cs="宋体"/>
          <w:szCs w:val="22"/>
        </w:rPr>
      </w:pPr>
      <w:r>
        <w:rPr>
          <w:rFonts w:hint="eastAsia" w:ascii="宋体" w:hAnsi="宋体" w:cs="宋体"/>
          <w:szCs w:val="22"/>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numPr>
          <w:ilvl w:val="0"/>
          <w:numId w:val="3"/>
        </w:numPr>
        <w:jc w:val="left"/>
        <w:spacing w:after="160" w:line="360" w:lineRule="auto"/>
        <w:rPr>
          <w:rFonts w:hint="eastAsia" w:ascii="宋体" w:hAnsi="宋体" w:cs="宋体"/>
          <w:b/>
          <w:sz w:val="24"/>
        </w:rPr>
      </w:pPr>
      <w:r>
        <w:rPr>
          <w:rFonts w:hint="eastAsia" w:ascii="宋体" w:hAnsi="宋体" w:cs="宋体"/>
          <w:b/>
          <w:sz w:val="24"/>
        </w:rPr>
        <w:t xml:space="preserve">验收程序</w:t>
      </w:r>
      <w:r/>
    </w:p>
    <w:p>
      <w:pPr>
        <w:jc w:val="left"/>
        <w:spacing w:after="160" w:line="360" w:lineRule="auto"/>
        <w:rPr>
          <w:rFonts w:hint="eastAsia" w:ascii="宋体" w:hAnsi="宋体" w:cs="宋体"/>
          <w:b/>
          <w:bCs/>
          <w:szCs w:val="22"/>
        </w:rPr>
      </w:pPr>
      <w:r>
        <w:rPr>
          <w:rFonts w:hint="eastAsia" w:ascii="宋体" w:hAnsi="宋体" w:cs="宋体"/>
          <w:b/>
          <w:bCs/>
          <w:szCs w:val="22"/>
        </w:rPr>
        <w:t xml:space="preserve">7.1验收准备</w:t>
      </w:r>
      <w:r/>
    </w:p>
    <w:p>
      <w:pPr>
        <w:spacing w:after="160" w:line="360" w:lineRule="auto"/>
        <w:rPr>
          <w:rFonts w:hint="eastAsia" w:ascii="宋体" w:hAnsi="宋体" w:cs="宋体"/>
          <w:szCs w:val="22"/>
        </w:rPr>
      </w:pPr>
      <w:r>
        <w:rPr>
          <w:rFonts w:hint="eastAsia" w:ascii="宋体" w:hAnsi="宋体" w:cs="宋体"/>
          <w:szCs w:val="22"/>
        </w:rPr>
        <w:t xml:space="preserve">7.1.1合同履行达到招标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cs="宋体"/>
          <w:b/>
          <w:bCs/>
          <w:szCs w:val="22"/>
        </w:rPr>
        <w:t xml:space="preserve">供应商在收到催告后五个工作日内拒不配合的，采购人应依照合同约定追究其责任。</w:t>
      </w:r>
      <w:r/>
    </w:p>
    <w:p>
      <w:pPr>
        <w:jc w:val="left"/>
        <w:spacing w:after="160" w:line="360" w:lineRule="auto"/>
        <w:rPr>
          <w:rFonts w:hint="eastAsia" w:ascii="宋体" w:hAnsi="宋体" w:cs="宋体"/>
          <w:szCs w:val="22"/>
        </w:rPr>
      </w:pPr>
      <w:r>
        <w:rPr>
          <w:rFonts w:hint="eastAsia" w:ascii="宋体" w:hAnsi="宋体" w:cs="宋体"/>
          <w:szCs w:val="22"/>
        </w:rPr>
        <w:t xml:space="preserve">7.1.2供应商应当配合采购人、采购代理机构做好项目验收工作，及时提供与项目验收相关的生产、技术、服务、数量、质量、安全、合格证明及验收所必须具备的其他材料。</w:t>
      </w:r>
      <w:r/>
    </w:p>
    <w:p>
      <w:pPr>
        <w:jc w:val="left"/>
        <w:spacing w:after="160" w:line="360" w:lineRule="auto"/>
        <w:rPr>
          <w:rFonts w:hint="eastAsia" w:ascii="宋体" w:hAnsi="宋体" w:cs="宋体"/>
          <w:szCs w:val="22"/>
          <w:shd w:val="pct10" w:color="auto" w:fill="ffffff"/>
        </w:rPr>
      </w:pPr>
      <w:r>
        <w:rPr>
          <w:rFonts w:hint="eastAsia" w:ascii="宋体" w:hAnsi="宋体" w:cs="宋体"/>
          <w:szCs w:val="22"/>
        </w:rPr>
        <w:t xml:space="preserve">7.1.3采购人应及时全面准备验收，自收到验收申请之日起</w:t>
      </w:r>
      <w:r>
        <w:rPr>
          <w:rFonts w:hint="eastAsia" w:ascii="宋体" w:hAnsi="宋体" w:cs="宋体"/>
          <w:b/>
          <w:szCs w:val="22"/>
        </w:rPr>
        <w:t xml:space="preserve">五个工作日</w:t>
      </w:r>
      <w:r>
        <w:rPr>
          <w:rFonts w:hint="eastAsia" w:ascii="宋体" w:hAnsi="宋体" w:cs="宋体"/>
          <w:szCs w:val="22"/>
        </w:rPr>
        <w:t xml:space="preserve">内做好通水、通电、准备验收工具等必要的验收准备工作、启动项目验收、通知供应商。</w:t>
      </w:r>
      <w:r/>
    </w:p>
    <w:p>
      <w:pPr>
        <w:jc w:val="left"/>
        <w:spacing w:after="160" w:line="360" w:lineRule="auto"/>
        <w:rPr>
          <w:rFonts w:hint="eastAsia" w:ascii="宋体" w:hAnsi="宋体" w:cs="宋体"/>
          <w:b/>
          <w:bCs/>
          <w:szCs w:val="22"/>
        </w:rPr>
      </w:pPr>
      <w:r>
        <w:rPr>
          <w:rFonts w:hint="eastAsia" w:ascii="宋体" w:hAnsi="宋体" w:cs="宋体"/>
          <w:b/>
          <w:bCs/>
          <w:szCs w:val="22"/>
        </w:rPr>
        <w:t xml:space="preserve">7.2成立验收小组</w:t>
      </w:r>
      <w:r/>
    </w:p>
    <w:p>
      <w:pPr>
        <w:jc w:val="left"/>
        <w:spacing w:after="160" w:line="360" w:lineRule="auto"/>
        <w:rPr>
          <w:rFonts w:hint="eastAsia" w:ascii="宋体" w:hAnsi="宋体" w:cs="宋体"/>
          <w:szCs w:val="22"/>
        </w:rPr>
      </w:pPr>
      <w:r>
        <w:rPr>
          <w:rFonts w:hint="eastAsia" w:ascii="宋体" w:hAnsi="宋体" w:cs="宋体"/>
          <w:bCs/>
          <w:szCs w:val="22"/>
        </w:rPr>
        <w:t xml:space="preserve">7.2.1采购人应当组织成立验收小组</w:t>
      </w:r>
      <w:r>
        <w:rPr>
          <w:rFonts w:hint="eastAsia" w:ascii="宋体" w:hAnsi="宋体" w:cs="宋体"/>
          <w:szCs w:val="22"/>
        </w:rPr>
        <w:t xml:space="preserve">，验收小组负责实施项目验收工作，其成员构成、人员数量以及负责人由采购人确定，</w:t>
      </w:r>
      <w:r>
        <w:rPr>
          <w:rFonts w:hint="eastAsia" w:ascii="宋体" w:hAnsi="宋体" w:cs="宋体"/>
          <w:b/>
          <w:bCs/>
          <w:szCs w:val="22"/>
        </w:rPr>
        <w:t xml:space="preserve">劳务报酬等费用由中标单位承担</w:t>
      </w:r>
      <w:r>
        <w:rPr>
          <w:rFonts w:hint="eastAsia" w:ascii="宋体" w:hAnsi="宋体" w:cs="宋体"/>
          <w:szCs w:val="22"/>
        </w:rPr>
        <w:t xml:space="preserve">。</w:t>
      </w:r>
      <w:r/>
    </w:p>
    <w:p>
      <w:pPr>
        <w:jc w:val="left"/>
        <w:spacing w:after="160" w:line="360" w:lineRule="auto"/>
        <w:rPr>
          <w:rFonts w:hint="eastAsia" w:ascii="宋体" w:hAnsi="宋体" w:cs="宋体"/>
          <w:szCs w:val="22"/>
        </w:rPr>
      </w:pPr>
      <w:r>
        <w:rPr>
          <w:rFonts w:hint="eastAsia" w:ascii="宋体" w:hAnsi="宋体" w:cs="宋体"/>
          <w:szCs w:val="22"/>
        </w:rPr>
        <w:t xml:space="preserve">7.2.2 验收小组应由采购人指定的具有相关专业能力或从事相关领域工作的 3 人以上单数人员组成，其中至少包含 1 名采购人的工作人员，若经办采购的人员与采购需求人员分属不同部门，二者应当同时参与验收。采购人可以委托同领域其他单位或者第三方专业机构人员，该人员不得同时作为7.3.2规定的参与验收人员。</w:t>
      </w:r>
      <w:r>
        <w:rPr>
          <w:rFonts w:hint="eastAsia" w:ascii="宋体" w:hAnsi="宋体" w:cs="宋体"/>
          <w:b/>
          <w:szCs w:val="22"/>
        </w:rPr>
        <w:t xml:space="preserve">采取代建方式进行采购</w:t>
      </w:r>
      <w:r>
        <w:rPr>
          <w:rFonts w:hint="eastAsia" w:ascii="宋体" w:hAnsi="宋体" w:cs="宋体"/>
          <w:szCs w:val="22"/>
        </w:rPr>
        <w:t xml:space="preserve">的，结合代建协议内容按照本条规定成立验收小组。</w:t>
      </w:r>
      <w:r>
        <w:rPr>
          <w:rFonts w:hint="eastAsia" w:ascii="宋体" w:hAnsi="宋体" w:cs="宋体"/>
          <w:b/>
          <w:szCs w:val="22"/>
        </w:rPr>
        <w:t xml:space="preserve">日常考核、分段验收小组成员的组成不受本条规定约束</w:t>
      </w:r>
      <w:r>
        <w:rPr>
          <w:rFonts w:hint="eastAsia" w:ascii="宋体" w:hAnsi="宋体" w:cs="宋体"/>
          <w:szCs w:val="22"/>
        </w:rPr>
        <w:t xml:space="preserve">，但采购人的工作人员必须参与最终验收。</w:t>
      </w:r>
      <w:r/>
    </w:p>
    <w:p>
      <w:pPr>
        <w:jc w:val="left"/>
        <w:spacing w:after="160" w:line="360" w:lineRule="auto"/>
        <w:rPr>
          <w:rFonts w:hint="eastAsia" w:ascii="宋体" w:hAnsi="宋体" w:cs="宋体"/>
          <w:b/>
          <w:bCs/>
          <w:szCs w:val="22"/>
        </w:rPr>
      </w:pPr>
      <w:r>
        <w:rPr>
          <w:rFonts w:hint="eastAsia" w:ascii="宋体" w:hAnsi="宋体" w:cs="宋体"/>
          <w:b/>
          <w:bCs/>
          <w:szCs w:val="22"/>
        </w:rPr>
        <w:t xml:space="preserve">7.3参与验收人员</w:t>
      </w:r>
      <w:r/>
    </w:p>
    <w:p>
      <w:pPr>
        <w:jc w:val="left"/>
        <w:spacing w:after="160" w:line="360" w:lineRule="auto"/>
        <w:rPr>
          <w:rFonts w:hint="eastAsia" w:ascii="宋体" w:hAnsi="宋体" w:cs="宋体"/>
          <w:szCs w:val="22"/>
        </w:rPr>
      </w:pPr>
      <w:r>
        <w:rPr>
          <w:rFonts w:hint="eastAsia" w:ascii="宋体" w:hAnsi="宋体" w:cs="宋体"/>
          <w:szCs w:val="22"/>
        </w:rPr>
        <w:t xml:space="preserve">7.3.1对于采购人和使用人分离的采购项目，采购人应当邀请实际使用人参与验收。政府向社会公众提供的公共服务项目，验收时应当邀请服务对象参与，且验收结果应当向社会公布。</w:t>
      </w:r>
      <w:r/>
    </w:p>
    <w:p>
      <w:pPr>
        <w:jc w:val="left"/>
        <w:spacing w:after="160" w:line="360" w:lineRule="auto"/>
        <w:rPr>
          <w:rFonts w:hint="eastAsia" w:ascii="宋体" w:hAnsi="宋体" w:cs="宋体"/>
          <w:szCs w:val="22"/>
        </w:rPr>
      </w:pPr>
      <w:r>
        <w:rPr>
          <w:rFonts w:hint="eastAsia" w:ascii="宋体" w:hAnsi="宋体" w:cs="宋体"/>
          <w:szCs w:val="22"/>
        </w:rPr>
        <w:t xml:space="preserve">7.3.2采购人可以邀请参加本项目的其他供应商、专家、第三方专业机构参与验收。若采购项目受到参与该项目投标（响应）的其他供应商的投诉，且投诉事项是针对中标结果中的型号、参数等与履约验收相关问题的，可以重点邀请前述供应商参与验收。</w:t>
      </w:r>
      <w:r/>
    </w:p>
    <w:p>
      <w:pPr>
        <w:jc w:val="left"/>
        <w:spacing w:after="160" w:line="360" w:lineRule="auto"/>
        <w:rPr>
          <w:rFonts w:hint="eastAsia" w:ascii="宋体" w:hAnsi="宋体" w:cs="宋体"/>
          <w:b/>
          <w:bCs/>
          <w:szCs w:val="22"/>
        </w:rPr>
      </w:pPr>
      <w:r>
        <w:rPr>
          <w:rFonts w:hint="eastAsia" w:ascii="宋体" w:hAnsi="宋体" w:cs="宋体"/>
          <w:b/>
          <w:bCs/>
          <w:szCs w:val="22"/>
        </w:rPr>
        <w:t xml:space="preserve">7.4验收原则</w:t>
      </w:r>
      <w:r/>
    </w:p>
    <w:p>
      <w:pPr>
        <w:spacing w:after="120" w:line="360" w:lineRule="auto"/>
        <w:rPr>
          <w:rFonts w:hint="eastAsia" w:ascii="宋体" w:hAnsi="宋体" w:cs="宋体"/>
          <w:szCs w:val="22"/>
        </w:rPr>
      </w:pPr>
      <w:r>
        <w:rPr>
          <w:rFonts w:hint="eastAsia" w:ascii="宋体" w:hAnsi="宋体" w:cs="宋体"/>
          <w:szCs w:val="22"/>
        </w:rPr>
        <w:t xml:space="preserve">政府采购履约验收应当遵循全面完整、客观真实、诚实信用的原则，坚持公开透明、应验必验、验收必严、违约必究。</w:t>
      </w:r>
      <w:r/>
    </w:p>
    <w:p>
      <w:pPr>
        <w:jc w:val="left"/>
        <w:spacing w:after="160" w:line="360" w:lineRule="auto"/>
        <w:rPr>
          <w:rFonts w:hint="eastAsia" w:ascii="宋体" w:hAnsi="宋体" w:cs="宋体"/>
          <w:szCs w:val="22"/>
        </w:rPr>
      </w:pPr>
      <w:r>
        <w:rPr>
          <w:rFonts w:hint="eastAsia" w:ascii="宋体" w:hAnsi="宋体" w:cs="宋体"/>
          <w:szCs w:val="22"/>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jc w:val="left"/>
        <w:spacing w:after="160" w:line="360" w:lineRule="auto"/>
        <w:rPr>
          <w:rFonts w:hint="eastAsia" w:ascii="宋体" w:hAnsi="宋体" w:cs="宋体"/>
          <w:szCs w:val="22"/>
        </w:rPr>
      </w:pPr>
      <w:r>
        <w:rPr>
          <w:rFonts w:hint="eastAsia" w:ascii="宋体" w:hAnsi="宋体" w:cs="宋体"/>
          <w:szCs w:val="22"/>
        </w:rPr>
        <w:t xml:space="preserve">7.4.2项目验收范围应当完整，与采购合同一致，不得省略、遗漏和缺失，也不得擅自扩大范围。</w:t>
      </w:r>
      <w:r/>
    </w:p>
    <w:p>
      <w:pPr>
        <w:jc w:val="left"/>
        <w:spacing w:after="160" w:line="360" w:lineRule="auto"/>
        <w:rPr>
          <w:rFonts w:hint="eastAsia" w:ascii="宋体" w:hAnsi="宋体" w:cs="宋体"/>
          <w:szCs w:val="22"/>
        </w:rPr>
      </w:pPr>
      <w:r>
        <w:rPr>
          <w:rFonts w:hint="eastAsia" w:ascii="宋体" w:hAnsi="宋体" w:cs="宋体"/>
          <w:szCs w:val="22"/>
        </w:rPr>
        <w:t xml:space="preserve">7.4.3项目验收方式应当符合项目特点，不能明确客观标准、涉及主观判断的，可以通过在采购人、使用人中开展问卷调查等方式予以客观、量化。</w:t>
      </w:r>
      <w:r/>
    </w:p>
    <w:p>
      <w:pPr>
        <w:jc w:val="left"/>
        <w:spacing w:after="160" w:line="360" w:lineRule="auto"/>
        <w:rPr>
          <w:rFonts w:hint="eastAsia" w:ascii="宋体" w:hAnsi="宋体" w:cs="宋体"/>
          <w:szCs w:val="22"/>
        </w:rPr>
      </w:pPr>
      <w:r>
        <w:rPr>
          <w:rFonts w:hint="eastAsia" w:ascii="宋体" w:hAnsi="宋体" w:cs="宋体"/>
          <w:szCs w:val="22"/>
        </w:rPr>
        <w:t xml:space="preserve">7.4.4项目验收标准应包括所有客观、量化指标，符合采购合同约定，未进行相应约定的，应当符合法律法规、政策要求、国家标准、行业标准，地方标准或企业标准等有关标准。</w:t>
      </w:r>
      <w:r/>
    </w:p>
    <w:p>
      <w:pPr>
        <w:jc w:val="left"/>
        <w:spacing w:after="160" w:line="360" w:lineRule="auto"/>
        <w:rPr>
          <w:rFonts w:hint="eastAsia" w:ascii="宋体" w:hAnsi="宋体" w:cs="宋体"/>
          <w:szCs w:val="22"/>
        </w:rPr>
      </w:pPr>
      <w:r>
        <w:rPr>
          <w:rFonts w:hint="eastAsia" w:ascii="宋体" w:hAnsi="宋体" w:cs="宋体"/>
          <w:szCs w:val="22"/>
        </w:rPr>
        <w:t xml:space="preserve">7.4.5项目验收意见应当客观真实。验收小组成员意见不一致时，按照少数服从多数的原则作出验收意见。</w:t>
      </w:r>
      <w:r/>
    </w:p>
    <w:p>
      <w:pPr>
        <w:spacing w:after="120" w:line="278" w:lineRule="auto"/>
        <w:rPr>
          <w:rFonts w:hint="eastAsia" w:ascii="宋体" w:hAnsi="宋体" w:cs="宋体"/>
          <w:szCs w:val="22"/>
        </w:rPr>
      </w:pPr>
      <w:r>
        <w:rPr>
          <w:rFonts w:hint="eastAsia" w:ascii="宋体" w:hAnsi="宋体" w:cs="宋体"/>
          <w:szCs w:val="22"/>
        </w:rPr>
        <w:t xml:space="preserve">7.4.6验收方法主要包括全部查验核对和抽查核对。</w:t>
      </w:r>
      <w:r/>
    </w:p>
    <w:p>
      <w:pPr>
        <w:jc w:val="left"/>
        <w:spacing w:after="160" w:line="360" w:lineRule="auto"/>
        <w:rPr>
          <w:rFonts w:hint="eastAsia" w:ascii="宋体" w:hAnsi="宋体" w:cs="宋体"/>
          <w:szCs w:val="22"/>
        </w:rPr>
      </w:pPr>
      <w:r>
        <w:rPr>
          <w:rFonts w:hint="eastAsia" w:ascii="宋体" w:hAnsi="宋体" w:cs="宋体"/>
          <w:b/>
          <w:bCs/>
          <w:szCs w:val="22"/>
        </w:rPr>
        <w:t xml:space="preserve">7.5验收记录</w:t>
      </w:r>
      <w:r/>
    </w:p>
    <w:p>
      <w:pPr>
        <w:jc w:val="left"/>
        <w:spacing w:after="160" w:line="360" w:lineRule="auto"/>
        <w:rPr>
          <w:rFonts w:hint="eastAsia" w:ascii="宋体" w:hAnsi="宋体" w:cs="宋体"/>
          <w:szCs w:val="22"/>
        </w:rPr>
      </w:pPr>
      <w:r>
        <w:rPr>
          <w:rFonts w:hint="eastAsia" w:ascii="宋体" w:hAnsi="宋体" w:cs="宋体"/>
          <w:szCs w:val="22"/>
        </w:rPr>
        <w:t xml:space="preserve">7.5.1验收小组应当要求参与验收的供应商、专业机构、专家和服务对象等出具书面意见，作为验收书的重要组成部分。</w:t>
      </w:r>
      <w:r/>
    </w:p>
    <w:p>
      <w:pPr>
        <w:jc w:val="left"/>
        <w:spacing w:after="160" w:line="360" w:lineRule="auto"/>
        <w:rPr>
          <w:rFonts w:hint="eastAsia" w:ascii="宋体" w:hAnsi="宋体" w:cs="宋体"/>
          <w:szCs w:val="22"/>
        </w:rPr>
      </w:pPr>
      <w:r>
        <w:rPr>
          <w:rFonts w:hint="eastAsia" w:ascii="宋体" w:hAnsi="宋体" w:cs="宋体"/>
          <w:szCs w:val="22"/>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招标文件、投标（响应）文件、政府采购合同等逐一进行检验、核实、评估等工作，使用音视频、对现场情况描述且签字等方式留存证明材料，由供应商确认，作为履约验收的重要凭据。</w:t>
      </w:r>
      <w:r/>
    </w:p>
    <w:p>
      <w:pPr>
        <w:jc w:val="left"/>
        <w:spacing w:after="160" w:line="360" w:lineRule="auto"/>
        <w:rPr>
          <w:rFonts w:hint="eastAsia" w:ascii="宋体" w:hAnsi="宋体" w:cs="宋体"/>
          <w:szCs w:val="22"/>
        </w:rPr>
      </w:pPr>
      <w:r>
        <w:rPr>
          <w:rFonts w:hint="eastAsia" w:ascii="宋体" w:hAnsi="宋体" w:cs="宋体"/>
          <w:szCs w:val="22"/>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numPr>
          <w:ilvl w:val="0"/>
          <w:numId w:val="3"/>
        </w:numPr>
        <w:jc w:val="left"/>
        <w:spacing w:after="160" w:line="360" w:lineRule="auto"/>
        <w:rPr>
          <w:rFonts w:hint="eastAsia" w:ascii="宋体" w:hAnsi="宋体" w:cs="宋体"/>
          <w:b/>
          <w:sz w:val="24"/>
        </w:rPr>
      </w:pPr>
      <w:r>
        <w:rPr>
          <w:rFonts w:hint="eastAsia" w:ascii="宋体" w:hAnsi="宋体" w:cs="宋体"/>
          <w:b/>
          <w:sz w:val="24"/>
        </w:rPr>
        <w:t xml:space="preserve">验收结果</w:t>
      </w:r>
      <w:r/>
    </w:p>
    <w:p>
      <w:pPr>
        <w:jc w:val="left"/>
        <w:spacing w:after="160" w:line="360" w:lineRule="auto"/>
        <w:rPr>
          <w:rFonts w:hint="eastAsia" w:ascii="宋体" w:hAnsi="宋体" w:cs="宋体"/>
          <w:szCs w:val="22"/>
        </w:rPr>
      </w:pPr>
      <w:r>
        <w:rPr>
          <w:rFonts w:hint="eastAsia" w:ascii="宋体" w:hAnsi="宋体" w:cs="宋体"/>
          <w:szCs w:val="22"/>
        </w:rPr>
        <w:t xml:space="preserve">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jc w:val="left"/>
        <w:spacing w:after="160" w:line="360" w:lineRule="auto"/>
        <w:rPr>
          <w:rFonts w:hint="eastAsia" w:ascii="宋体" w:hAnsi="宋体" w:cs="宋体"/>
          <w:szCs w:val="22"/>
        </w:rPr>
      </w:pPr>
      <w:r>
        <w:rPr>
          <w:rFonts w:hint="eastAsia" w:ascii="宋体" w:hAnsi="宋体" w:cs="宋体"/>
          <w:szCs w:val="22"/>
        </w:rPr>
        <w:t xml:space="preserve">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jc w:val="left"/>
        <w:spacing w:after="160" w:line="360" w:lineRule="auto"/>
        <w:rPr>
          <w:rFonts w:hint="eastAsia" w:ascii="宋体" w:hAnsi="宋体" w:cs="宋体"/>
          <w:szCs w:val="22"/>
        </w:rPr>
      </w:pPr>
      <w:r>
        <w:rPr>
          <w:rFonts w:hint="eastAsia" w:ascii="宋体" w:hAnsi="宋体" w:cs="宋体"/>
          <w:szCs w:val="22"/>
        </w:rPr>
        <w:t xml:space="preserve">3、</w:t>
      </w:r>
      <w:r>
        <w:rPr>
          <w:rFonts w:hint="eastAsia" w:ascii="宋体" w:hAnsi="宋体" w:cs="宋体"/>
          <w:b/>
          <w:bCs/>
          <w:szCs w:val="22"/>
        </w:rPr>
        <w:t xml:space="preserve">《政府采购履约验收书》（见下表1）、合同是申请支付政府采购合同价款的必备资料。</w:t>
      </w:r>
      <w:r>
        <w:rPr>
          <w:rFonts w:hint="eastAsia" w:ascii="宋体" w:hAnsi="宋体" w:cs="宋体"/>
          <w:szCs w:val="22"/>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招标文件予以相应扣减。</w:t>
      </w:r>
      <w:r/>
    </w:p>
    <w:p>
      <w:pPr>
        <w:numPr>
          <w:ilvl w:val="0"/>
          <w:numId w:val="3"/>
        </w:numPr>
        <w:jc w:val="left"/>
        <w:spacing w:after="160" w:line="360" w:lineRule="auto"/>
        <w:rPr>
          <w:rFonts w:hint="eastAsia" w:ascii="宋体" w:hAnsi="宋体" w:cs="宋体"/>
          <w:b/>
          <w:sz w:val="24"/>
        </w:rPr>
      </w:pPr>
      <w:r>
        <w:rPr>
          <w:rFonts w:hint="eastAsia" w:ascii="宋体" w:hAnsi="宋体" w:cs="宋体"/>
          <w:b/>
          <w:sz w:val="24"/>
        </w:rPr>
        <w:t xml:space="preserve">验收资料归档</w:t>
      </w:r>
      <w:r/>
    </w:p>
    <w:p>
      <w:pPr>
        <w:jc w:val="left"/>
        <w:spacing w:after="160" w:line="360" w:lineRule="auto"/>
        <w:rPr>
          <w:rFonts w:hint="eastAsia" w:ascii="宋体" w:hAnsi="宋体" w:cs="宋体"/>
          <w:szCs w:val="22"/>
        </w:rPr>
      </w:pPr>
      <w:r>
        <w:rPr>
          <w:rFonts w:hint="eastAsia" w:ascii="宋体" w:hAnsi="宋体" w:cs="宋体"/>
          <w:szCs w:val="22"/>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szCs w:val="22"/>
        </w:rPr>
        <w:t xml:space="preserve">至少保存十五年</w:t>
      </w:r>
      <w:r>
        <w:rPr>
          <w:rFonts w:hint="eastAsia" w:ascii="宋体" w:hAnsi="宋体" w:cs="宋体"/>
          <w:szCs w:val="22"/>
        </w:rPr>
        <w:t xml:space="preserve">。</w:t>
      </w:r>
      <w:r/>
    </w:p>
    <w:p>
      <w:pPr>
        <w:spacing w:line="360" w:lineRule="auto"/>
        <w:tabs>
          <w:tab w:val="left" w:pos="0" w:leader="none"/>
        </w:tabs>
        <w:rPr>
          <w:rFonts w:hint="eastAsia" w:ascii="宋体" w:hAnsi="宋体" w:cs="宋体"/>
        </w:rPr>
      </w:pPr>
      <w:r>
        <w:rPr>
          <w:rFonts w:hint="eastAsia" w:ascii="宋体" w:hAnsi="宋体" w:cs="宋体"/>
        </w:rPr>
      </w:r>
      <w:r/>
    </w:p>
    <w:p>
      <w:pPr>
        <w:pStyle w:val="885"/>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18" w:right="1021" w:bottom="1418" w:left="1021" w:header="567" w:footer="567" w:gutter="0"/>
          <w:cols w:num="1" w:sep="0" w:space="720" w:equalWidth="1"/>
          <w:docGrid w:linePitch="360"/>
          <w:titlePg/>
        </w:sectPr>
      </w:pPr>
      <w:r/>
      <w:r/>
    </w:p>
    <w:p>
      <w:pPr>
        <w:spacing w:after="120" w:line="360" w:lineRule="auto"/>
        <w:rPr>
          <w:rFonts w:hint="eastAsia" w:hAnsi="宋体" w:cs="宋体"/>
          <w:b/>
          <w:bCs/>
          <w:sz w:val="28"/>
          <w:szCs w:val="28"/>
        </w:rPr>
      </w:pPr>
      <w:r>
        <w:rPr>
          <w:rFonts w:hint="eastAsia" w:hAnsi="宋体" w:cs="宋体"/>
          <w:b/>
          <w:bCs/>
          <w:sz w:val="28"/>
          <w:szCs w:val="28"/>
        </w:rPr>
        <w:t xml:space="preserve">附件3、</w:t>
      </w:r>
      <w:r>
        <w:rPr>
          <w:rFonts w:hAnsi="宋体" w:cs="宋体"/>
          <w:b/>
          <w:bCs/>
          <w:sz w:val="28"/>
          <w:szCs w:val="28"/>
        </w:rPr>
        <w:t xml:space="preserve">政府采购履约验收书</w:t>
      </w:r>
      <w:r/>
    </w:p>
    <w:p>
      <w:pPr>
        <w:spacing w:before="72" w:line="185" w:lineRule="auto"/>
        <w:rPr>
          <w:rFonts w:hint="eastAsia" w:ascii="微软雅黑" w:hAnsi="微软雅黑" w:eastAsia="微软雅黑" w:cs="微软雅黑"/>
          <w:sz w:val="36"/>
          <w:szCs w:val="36"/>
        </w:rPr>
        <w:outlineLvl w:val="1"/>
      </w:pPr>
      <w:r>
        <w:rPr>
          <w:rFonts w:ascii="微软雅黑" w:hAnsi="微软雅黑" w:eastAsia="微软雅黑" w:cs="微软雅黑"/>
          <w:spacing w:val="19"/>
          <w:sz w:val="36"/>
          <w:szCs w:val="36"/>
        </w:rPr>
        <w:t xml:space="preserve">政府采购履约验收书参考样本(服务类)</w:t>
      </w:r>
      <w:r/>
    </w:p>
    <w:tbl>
      <w:tblPr>
        <w:tblStyle w:val="1300"/>
        <w:tblW w:w="831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462"/>
        <w:gridCol w:w="626"/>
        <w:gridCol w:w="1067"/>
        <w:gridCol w:w="686"/>
        <w:gridCol w:w="686"/>
        <w:gridCol w:w="1024"/>
        <w:gridCol w:w="967"/>
        <w:gridCol w:w="1797"/>
      </w:tblGrid>
      <w:tr>
        <w:trPr>
          <w:trHeight w:val="562"/>
        </w:trPr>
        <w:tc>
          <w:tcPr>
            <w:tcW w:w="0" w:type="auto"/>
            <w:textDirection w:val="lrTb"/>
            <w:noWrap w:val="false"/>
          </w:tcPr>
          <w:p>
            <w:pPr>
              <w:jc w:val="left"/>
              <w:spacing w:before="298" w:line="207" w:lineRule="auto"/>
              <w:rPr>
                <w:rFonts w:hint="eastAsia" w:ascii="宋体" w:hAnsi="宋体" w:cs="宋体"/>
                <w:sz w:val="18"/>
                <w:szCs w:val="18"/>
              </w:rPr>
            </w:pPr>
            <w:r>
              <w:rPr>
                <w:rFonts w:ascii="宋体" w:hAnsi="宋体" w:cs="宋体"/>
                <w:spacing w:val="-3"/>
                <w:sz w:val="18"/>
                <w:szCs w:val="18"/>
              </w:rPr>
              <w:t xml:space="preserve">采购人</w:t>
            </w:r>
            <w:r/>
          </w:p>
        </w:tc>
        <w:tc>
          <w:tcPr>
            <w:tcW w:w="0" w:type="auto"/>
            <w:textDirection w:val="lrTb"/>
            <w:noWrap w:val="false"/>
          </w:tcPr>
          <w:p>
            <w:pPr>
              <w:pStyle w:val="1276"/>
              <w:jc w:val="left"/>
              <w:rPr>
                <w:rFonts w:hint="eastAsia"/>
              </w:rPr>
            </w:pPr>
            <w:r>
              <w:rPr>
                <w:rFonts w:hint="eastAsia"/>
              </w:rPr>
            </w:r>
            <w:r/>
          </w:p>
        </w:tc>
        <w:tc>
          <w:tcPr>
            <w:tcW w:w="0" w:type="auto"/>
            <w:textDirection w:val="lrTb"/>
            <w:noWrap w:val="false"/>
          </w:tcPr>
          <w:p>
            <w:pPr>
              <w:jc w:val="left"/>
              <w:spacing w:before="298" w:line="208" w:lineRule="auto"/>
              <w:rPr>
                <w:rFonts w:hint="eastAsia" w:ascii="宋体" w:hAnsi="宋体" w:cs="宋体"/>
                <w:sz w:val="18"/>
                <w:szCs w:val="18"/>
              </w:rPr>
            </w:pPr>
            <w:r>
              <w:rPr>
                <w:rFonts w:ascii="宋体" w:hAnsi="宋体" w:cs="宋体"/>
                <w:spacing w:val="-3"/>
                <w:sz w:val="18"/>
                <w:szCs w:val="18"/>
              </w:rPr>
              <w:t xml:space="preserve">项目名称</w:t>
            </w:r>
            <w:r/>
          </w:p>
        </w:tc>
        <w:tc>
          <w:tcPr>
            <w:gridSpan w:val="2"/>
            <w:tcW w:w="0" w:type="auto"/>
            <w:textDirection w:val="lrTb"/>
            <w:noWrap w:val="false"/>
          </w:tcPr>
          <w:p>
            <w:pPr>
              <w:pStyle w:val="1276"/>
              <w:jc w:val="left"/>
              <w:rPr>
                <w:rFonts w:hint="eastAsia"/>
              </w:rPr>
            </w:pPr>
            <w:r>
              <w:rPr>
                <w:rFonts w:hint="eastAsia"/>
              </w:rPr>
            </w:r>
            <w:r/>
          </w:p>
        </w:tc>
        <w:tc>
          <w:tcPr>
            <w:gridSpan w:val="2"/>
            <w:tcW w:w="1999" w:type="dxa"/>
            <w:textDirection w:val="lrTb"/>
            <w:noWrap w:val="false"/>
          </w:tcPr>
          <w:p>
            <w:pPr>
              <w:jc w:val="left"/>
              <w:spacing w:before="298" w:line="207" w:lineRule="auto"/>
              <w:rPr>
                <w:rFonts w:hint="eastAsia" w:ascii="宋体" w:hAnsi="宋体" w:cs="宋体"/>
                <w:sz w:val="18"/>
                <w:szCs w:val="18"/>
              </w:rPr>
            </w:pPr>
            <w:r>
              <w:rPr>
                <w:rFonts w:ascii="宋体" w:hAnsi="宋体" w:cs="宋体"/>
                <w:spacing w:val="-2"/>
                <w:sz w:val="18"/>
                <w:szCs w:val="18"/>
              </w:rPr>
              <w:t xml:space="preserve">合同名称</w:t>
            </w:r>
            <w:r/>
          </w:p>
        </w:tc>
        <w:tc>
          <w:tcPr>
            <w:tcW w:w="1797" w:type="dxa"/>
            <w:textDirection w:val="lrTb"/>
            <w:noWrap w:val="false"/>
          </w:tcPr>
          <w:p>
            <w:pPr>
              <w:pStyle w:val="1276"/>
              <w:jc w:val="left"/>
              <w:rPr>
                <w:rFonts w:hint="eastAsia"/>
              </w:rPr>
            </w:pPr>
            <w:r>
              <w:rPr>
                <w:rFonts w:hint="eastAsia"/>
              </w:rPr>
            </w:r>
            <w:r/>
          </w:p>
        </w:tc>
      </w:tr>
      <w:tr>
        <w:trPr>
          <w:trHeight w:val="564"/>
        </w:trPr>
        <w:tc>
          <w:tcPr>
            <w:tcW w:w="0" w:type="auto"/>
            <w:textDirection w:val="lrTb"/>
            <w:noWrap w:val="false"/>
          </w:tcPr>
          <w:p>
            <w:pPr>
              <w:jc w:val="left"/>
              <w:spacing w:before="298" w:line="207" w:lineRule="auto"/>
              <w:rPr>
                <w:rFonts w:hint="eastAsia" w:ascii="宋体" w:hAnsi="宋体" w:cs="宋体"/>
                <w:sz w:val="18"/>
                <w:szCs w:val="18"/>
              </w:rPr>
            </w:pPr>
            <w:r>
              <w:rPr>
                <w:rFonts w:ascii="宋体" w:hAnsi="宋体" w:cs="宋体"/>
                <w:spacing w:val="-3"/>
                <w:sz w:val="18"/>
                <w:szCs w:val="18"/>
              </w:rPr>
              <w:t xml:space="preserve">供应商</w:t>
            </w:r>
            <w:r/>
          </w:p>
        </w:tc>
        <w:tc>
          <w:tcPr>
            <w:tcW w:w="0" w:type="auto"/>
            <w:textDirection w:val="lrTb"/>
            <w:noWrap w:val="false"/>
          </w:tcPr>
          <w:p>
            <w:pPr>
              <w:pStyle w:val="1276"/>
              <w:jc w:val="left"/>
              <w:rPr>
                <w:rFonts w:hint="eastAsia"/>
              </w:rPr>
            </w:pPr>
            <w:r>
              <w:rPr>
                <w:rFonts w:hint="eastAsia"/>
              </w:rPr>
            </w:r>
            <w:r/>
          </w:p>
        </w:tc>
        <w:tc>
          <w:tcPr>
            <w:tcW w:w="0" w:type="auto"/>
            <w:textDirection w:val="lrTb"/>
            <w:noWrap w:val="false"/>
          </w:tcPr>
          <w:p>
            <w:pPr>
              <w:jc w:val="left"/>
              <w:spacing w:before="298" w:line="207" w:lineRule="auto"/>
              <w:rPr>
                <w:rFonts w:hint="eastAsia" w:ascii="宋体" w:hAnsi="宋体" w:cs="宋体"/>
                <w:sz w:val="18"/>
                <w:szCs w:val="18"/>
              </w:rPr>
            </w:pPr>
            <w:r>
              <w:rPr>
                <w:rFonts w:ascii="宋体" w:hAnsi="宋体" w:cs="宋体"/>
                <w:spacing w:val="-2"/>
                <w:sz w:val="18"/>
                <w:szCs w:val="18"/>
              </w:rPr>
              <w:t xml:space="preserve">项目及合同编号</w:t>
            </w:r>
            <w:r/>
          </w:p>
        </w:tc>
        <w:tc>
          <w:tcPr>
            <w:gridSpan w:val="2"/>
            <w:tcW w:w="0" w:type="auto"/>
            <w:textDirection w:val="lrTb"/>
            <w:noWrap w:val="false"/>
          </w:tcPr>
          <w:p>
            <w:pPr>
              <w:pStyle w:val="1276"/>
              <w:jc w:val="left"/>
              <w:rPr>
                <w:rFonts w:hint="eastAsia"/>
              </w:rPr>
            </w:pPr>
            <w:r>
              <w:rPr>
                <w:rFonts w:hint="eastAsia"/>
              </w:rPr>
            </w:r>
            <w:r/>
          </w:p>
        </w:tc>
        <w:tc>
          <w:tcPr>
            <w:gridSpan w:val="2"/>
            <w:tcW w:w="1999" w:type="dxa"/>
            <w:textDirection w:val="lrTb"/>
            <w:noWrap w:val="false"/>
          </w:tcPr>
          <w:p>
            <w:pPr>
              <w:jc w:val="left"/>
              <w:spacing w:before="298" w:line="208" w:lineRule="auto"/>
              <w:rPr>
                <w:rFonts w:hint="eastAsia" w:ascii="宋体" w:hAnsi="宋体" w:cs="宋体"/>
                <w:sz w:val="18"/>
                <w:szCs w:val="18"/>
              </w:rPr>
            </w:pPr>
            <w:r>
              <w:rPr>
                <w:rFonts w:ascii="宋体" w:hAnsi="宋体" w:cs="宋体"/>
                <w:spacing w:val="-2"/>
                <w:sz w:val="18"/>
                <w:szCs w:val="18"/>
              </w:rPr>
              <w:t xml:space="preserve">合同金额</w:t>
            </w:r>
            <w:r/>
          </w:p>
        </w:tc>
        <w:tc>
          <w:tcPr>
            <w:tcW w:w="1797" w:type="dxa"/>
            <w:textDirection w:val="lrTb"/>
            <w:noWrap w:val="false"/>
          </w:tcPr>
          <w:p>
            <w:pPr>
              <w:pStyle w:val="1276"/>
              <w:jc w:val="left"/>
              <w:rPr>
                <w:rFonts w:hint="eastAsia"/>
              </w:rPr>
            </w:pPr>
            <w:r>
              <w:rPr>
                <w:rFonts w:hint="eastAsia"/>
              </w:rPr>
            </w:r>
            <w:r/>
          </w:p>
        </w:tc>
      </w:tr>
      <w:tr>
        <w:trPr>
          <w:trHeight w:val="559"/>
        </w:trPr>
        <w:tc>
          <w:tcPr>
            <w:tcW w:w="0" w:type="auto"/>
            <w:textDirection w:val="lrTb"/>
            <w:noWrap w:val="false"/>
          </w:tcPr>
          <w:p>
            <w:pPr>
              <w:jc w:val="left"/>
              <w:spacing w:before="267" w:line="240" w:lineRule="exact"/>
              <w:rPr>
                <w:rFonts w:hint="eastAsia" w:ascii="宋体" w:hAnsi="宋体" w:cs="宋体"/>
                <w:sz w:val="18"/>
                <w:szCs w:val="18"/>
              </w:rPr>
            </w:pPr>
            <w:r>
              <w:rPr>
                <w:rFonts w:ascii="宋体" w:hAnsi="宋体" w:cs="宋体"/>
                <w:spacing w:val="-2"/>
                <w:position w:val="1"/>
                <w:sz w:val="18"/>
                <w:szCs w:val="18"/>
              </w:rPr>
              <w:t xml:space="preserve">分期（段）验收</w:t>
            </w:r>
            <w:r/>
          </w:p>
        </w:tc>
        <w:tc>
          <w:tcPr>
            <w:tcW w:w="0" w:type="auto"/>
            <w:textDirection w:val="lrTb"/>
            <w:noWrap w:val="false"/>
          </w:tcPr>
          <w:p>
            <w:pPr>
              <w:jc w:val="left"/>
              <w:spacing w:before="267" w:line="240" w:lineRule="exact"/>
              <w:rPr>
                <w:rFonts w:hint="eastAsia" w:ascii="宋体" w:hAnsi="宋体" w:cs="宋体"/>
                <w:sz w:val="18"/>
                <w:szCs w:val="18"/>
              </w:rPr>
            </w:pPr>
            <w:r>
              <w:rPr>
                <w:rFonts w:ascii="宋体" w:hAnsi="宋体" w:cs="宋体"/>
                <w:spacing w:val="-6"/>
                <w:position w:val="1"/>
                <w:sz w:val="18"/>
                <w:szCs w:val="18"/>
              </w:rPr>
              <w:t xml:space="preserve">是□否□</w:t>
            </w:r>
            <w:r/>
          </w:p>
        </w:tc>
        <w:tc>
          <w:tcPr>
            <w:tcW w:w="0" w:type="auto"/>
            <w:textDirection w:val="lrTb"/>
            <w:noWrap w:val="false"/>
          </w:tcPr>
          <w:p>
            <w:pPr>
              <w:jc w:val="left"/>
              <w:spacing w:before="267" w:line="240" w:lineRule="exact"/>
              <w:rPr>
                <w:rFonts w:hint="eastAsia" w:ascii="宋体" w:hAnsi="宋体" w:cs="宋体"/>
                <w:sz w:val="18"/>
                <w:szCs w:val="18"/>
              </w:rPr>
            </w:pPr>
            <w:r>
              <w:rPr>
                <w:rFonts w:ascii="宋体" w:hAnsi="宋体" w:cs="宋体"/>
                <w:spacing w:val="-2"/>
                <w:position w:val="1"/>
                <w:sz w:val="18"/>
                <w:szCs w:val="18"/>
              </w:rPr>
              <w:t xml:space="preserve">分期（段）情况</w:t>
            </w:r>
            <w:r/>
          </w:p>
        </w:tc>
        <w:tc>
          <w:tcPr>
            <w:gridSpan w:val="5"/>
            <w:tcW w:w="0" w:type="auto"/>
            <w:textDirection w:val="lrTb"/>
            <w:noWrap w:val="false"/>
          </w:tcPr>
          <w:p>
            <w:pPr>
              <w:jc w:val="left"/>
              <w:spacing w:before="267" w:line="240" w:lineRule="exact"/>
              <w:rPr>
                <w:rFonts w:hint="eastAsia" w:ascii="宋体" w:hAnsi="宋体" w:cs="宋体"/>
                <w:sz w:val="18"/>
                <w:szCs w:val="18"/>
              </w:rPr>
            </w:pPr>
            <w:r>
              <w:rPr>
                <w:rFonts w:ascii="宋体" w:hAnsi="宋体" w:cs="宋体"/>
                <w:spacing w:val="-1"/>
                <w:position w:val="1"/>
                <w:sz w:val="18"/>
                <w:szCs w:val="18"/>
              </w:rPr>
              <w:t xml:space="preserve">共分   期（段</w:t>
            </w:r>
            <w:r>
              <w:rPr>
                <w:rFonts w:ascii="宋体" w:hAnsi="宋体" w:cs="宋体"/>
                <w:spacing w:val="6"/>
                <w:position w:val="1"/>
                <w:sz w:val="18"/>
                <w:szCs w:val="18"/>
              </w:rPr>
              <w:t xml:space="preserve">），</w:t>
            </w:r>
            <w:r>
              <w:rPr>
                <w:rFonts w:ascii="宋体" w:hAnsi="宋体" w:cs="宋体"/>
                <w:spacing w:val="-1"/>
                <w:position w:val="1"/>
                <w:sz w:val="18"/>
                <w:szCs w:val="18"/>
              </w:rPr>
              <w:t xml:space="preserve">此为第   期（段）验收</w:t>
            </w:r>
            <w:r/>
          </w:p>
        </w:tc>
      </w:tr>
      <w:tr>
        <w:trPr>
          <w:trHeight w:val="1089"/>
        </w:trPr>
        <w:tc>
          <w:tcPr>
            <w:tcW w:w="0" w:type="auto"/>
            <w:textDirection w:val="lrTb"/>
            <w:noWrap w:val="false"/>
          </w:tcPr>
          <w:p>
            <w:pPr>
              <w:jc w:val="left"/>
              <w:spacing w:before="58" w:line="208" w:lineRule="auto"/>
              <w:rPr>
                <w:rFonts w:hint="eastAsia" w:ascii="宋体" w:hAnsi="宋体" w:cs="宋体"/>
                <w:sz w:val="18"/>
                <w:szCs w:val="18"/>
              </w:rPr>
            </w:pPr>
            <w:r>
              <w:rPr>
                <w:rFonts w:ascii="宋体" w:hAnsi="宋体" w:cs="宋体"/>
                <w:spacing w:val="-2"/>
                <w:sz w:val="18"/>
                <w:szCs w:val="18"/>
              </w:rPr>
              <w:t xml:space="preserve">验收时间</w:t>
            </w:r>
            <w:r/>
          </w:p>
        </w:tc>
        <w:tc>
          <w:tcPr>
            <w:tcW w:w="0" w:type="auto"/>
            <w:textDirection w:val="lrTb"/>
            <w:noWrap w:val="false"/>
          </w:tcPr>
          <w:p>
            <w:pPr>
              <w:pStyle w:val="1276"/>
              <w:jc w:val="left"/>
              <w:rPr>
                <w:rFonts w:hint="eastAsia"/>
              </w:rPr>
            </w:pPr>
            <w:r>
              <w:rPr>
                <w:rFonts w:hint="eastAsia"/>
              </w:rPr>
            </w:r>
            <w:r/>
          </w:p>
        </w:tc>
        <w:tc>
          <w:tcPr>
            <w:tcW w:w="0" w:type="auto"/>
            <w:textDirection w:val="lrTb"/>
            <w:noWrap w:val="false"/>
          </w:tcPr>
          <w:p>
            <w:pPr>
              <w:jc w:val="left"/>
              <w:spacing w:before="58" w:line="208" w:lineRule="auto"/>
              <w:rPr>
                <w:rFonts w:hint="eastAsia" w:ascii="宋体" w:hAnsi="宋体" w:cs="宋体"/>
                <w:sz w:val="18"/>
                <w:szCs w:val="18"/>
              </w:rPr>
            </w:pPr>
            <w:r>
              <w:rPr>
                <w:rFonts w:ascii="宋体" w:hAnsi="宋体" w:cs="宋体"/>
                <w:spacing w:val="-2"/>
                <w:sz w:val="18"/>
                <w:szCs w:val="18"/>
              </w:rPr>
              <w:t xml:space="preserve">验收地点</w:t>
            </w:r>
            <w:r/>
          </w:p>
        </w:tc>
        <w:tc>
          <w:tcPr>
            <w:gridSpan w:val="2"/>
            <w:tcW w:w="0" w:type="auto"/>
            <w:textDirection w:val="lrTb"/>
            <w:noWrap w:val="false"/>
          </w:tcPr>
          <w:p>
            <w:pPr>
              <w:pStyle w:val="1276"/>
              <w:jc w:val="left"/>
              <w:rPr>
                <w:rFonts w:hint="eastAsia"/>
              </w:rPr>
            </w:pPr>
            <w:r>
              <w:rPr>
                <w:rFonts w:hint="eastAsia"/>
              </w:rPr>
            </w:r>
            <w:r/>
          </w:p>
        </w:tc>
        <w:tc>
          <w:tcPr>
            <w:gridSpan w:val="2"/>
            <w:tcW w:w="1999" w:type="dxa"/>
            <w:textDirection w:val="lrTb"/>
            <w:noWrap w:val="false"/>
          </w:tcPr>
          <w:p>
            <w:pPr>
              <w:jc w:val="left"/>
              <w:spacing w:before="59" w:line="208" w:lineRule="auto"/>
              <w:rPr>
                <w:rFonts w:hint="eastAsia" w:ascii="宋体" w:hAnsi="宋体" w:cs="宋体"/>
                <w:sz w:val="18"/>
                <w:szCs w:val="18"/>
              </w:rPr>
            </w:pPr>
            <w:r>
              <w:rPr>
                <w:rFonts w:ascii="宋体" w:hAnsi="宋体" w:cs="宋体"/>
                <w:spacing w:val="-2"/>
                <w:sz w:val="18"/>
                <w:szCs w:val="18"/>
              </w:rPr>
              <w:t xml:space="preserve">验收组织形式</w:t>
            </w:r>
            <w:r/>
          </w:p>
        </w:tc>
        <w:tc>
          <w:tcPr>
            <w:tcW w:w="1797" w:type="dxa"/>
            <w:textDirection w:val="lrTb"/>
            <w:noWrap w:val="false"/>
          </w:tcPr>
          <w:p>
            <w:pPr>
              <w:jc w:val="left"/>
              <w:spacing w:before="267" w:line="239" w:lineRule="exact"/>
              <w:rPr>
                <w:rFonts w:hint="eastAsia" w:ascii="宋体" w:hAnsi="宋体" w:cs="宋体"/>
                <w:sz w:val="18"/>
                <w:szCs w:val="18"/>
              </w:rPr>
            </w:pPr>
            <w:r>
              <w:rPr>
                <w:rFonts w:hint="eastAsia" w:ascii="宋体" w:hAnsi="宋体" w:cs="宋体"/>
                <w:spacing w:val="-4"/>
                <w:position w:val="1"/>
                <w:sz w:val="18"/>
                <w:szCs w:val="18"/>
              </w:rPr>
              <w:t xml:space="preserve">□</w:t>
            </w:r>
            <w:r>
              <w:rPr>
                <w:rFonts w:ascii="宋体" w:hAnsi="宋体" w:cs="宋体"/>
                <w:spacing w:val="-4"/>
                <w:position w:val="1"/>
                <w:sz w:val="18"/>
                <w:szCs w:val="18"/>
              </w:rPr>
              <w:t xml:space="preserve">自行简易验收</w:t>
            </w:r>
            <w:r/>
          </w:p>
          <w:p>
            <w:pPr>
              <w:jc w:val="left"/>
              <w:spacing w:before="58" w:line="240" w:lineRule="exact"/>
              <w:rPr>
                <w:rFonts w:hint="eastAsia" w:ascii="宋体" w:hAnsi="宋体" w:cs="宋体"/>
                <w:sz w:val="18"/>
                <w:szCs w:val="18"/>
              </w:rPr>
            </w:pPr>
            <w:r>
              <w:rPr>
                <w:rFonts w:ascii="宋体" w:hAnsi="宋体" w:cs="宋体"/>
                <w:spacing w:val="-4"/>
                <w:position w:val="1"/>
                <w:sz w:val="18"/>
                <w:szCs w:val="18"/>
              </w:rPr>
              <w:t xml:space="preserve">□验收小组验收</w:t>
            </w:r>
            <w:r/>
          </w:p>
          <w:p>
            <w:pPr>
              <w:jc w:val="left"/>
              <w:spacing w:before="58" w:line="239" w:lineRule="exact"/>
              <w:rPr>
                <w:rFonts w:hint="eastAsia" w:ascii="宋体" w:hAnsi="宋体" w:cs="宋体"/>
                <w:sz w:val="18"/>
                <w:szCs w:val="18"/>
              </w:rPr>
            </w:pPr>
            <w:r>
              <w:rPr>
                <w:rFonts w:ascii="宋体" w:hAnsi="宋体" w:cs="宋体"/>
                <w:spacing w:val="-3"/>
                <w:position w:val="1"/>
                <w:sz w:val="18"/>
                <w:szCs w:val="18"/>
              </w:rPr>
              <w:t xml:space="preserve">□采购代理机构验收</w:t>
            </w:r>
            <w:r/>
          </w:p>
        </w:tc>
      </w:tr>
      <w:tr>
        <w:trPr>
          <w:trHeight w:val="560"/>
        </w:trPr>
        <w:tc>
          <w:tcPr>
            <w:tcBorders>
              <w:bottom w:val="none" w:color="000000" w:sz="4" w:space="0"/>
            </w:tcBorders>
            <w:tcW w:w="0" w:type="auto"/>
            <w:vMerge w:val="restart"/>
            <w:textDirection w:val="lrTb"/>
            <w:noWrap w:val="false"/>
          </w:tcPr>
          <w:p>
            <w:pPr>
              <w:pStyle w:val="1276"/>
              <w:jc w:val="left"/>
              <w:spacing w:line="265" w:lineRule="auto"/>
              <w:rPr>
                <w:rFonts w:hint="eastAsia"/>
              </w:rPr>
            </w:pPr>
            <w:r>
              <w:rPr>
                <w:rFonts w:hint="eastAsia"/>
              </w:rPr>
            </w:r>
            <w:r/>
          </w:p>
          <w:p>
            <w:pPr>
              <w:pStyle w:val="1276"/>
              <w:jc w:val="left"/>
              <w:spacing w:line="265" w:lineRule="auto"/>
              <w:rPr>
                <w:rFonts w:hint="eastAsia"/>
              </w:rPr>
            </w:pPr>
            <w:r>
              <w:rPr>
                <w:rFonts w:hint="eastAsia"/>
              </w:rPr>
            </w:r>
            <w:r/>
          </w:p>
          <w:p>
            <w:pPr>
              <w:pStyle w:val="1276"/>
              <w:jc w:val="left"/>
              <w:spacing w:line="266" w:lineRule="auto"/>
              <w:rPr>
                <w:rFonts w:hint="eastAsia"/>
              </w:rPr>
            </w:pPr>
            <w:r>
              <w:rPr>
                <w:rFonts w:hint="eastAsia"/>
              </w:rPr>
            </w:r>
            <w:r/>
          </w:p>
          <w:p>
            <w:pPr>
              <w:jc w:val="left"/>
              <w:spacing w:before="58" w:line="208" w:lineRule="auto"/>
              <w:rPr>
                <w:rFonts w:hint="eastAsia" w:ascii="宋体" w:hAnsi="宋体" w:cs="宋体"/>
                <w:sz w:val="18"/>
                <w:szCs w:val="18"/>
              </w:rPr>
            </w:pPr>
            <w:r>
              <w:rPr>
                <w:rFonts w:ascii="宋体" w:hAnsi="宋体" w:cs="宋体"/>
                <w:spacing w:val="-2"/>
                <w:sz w:val="18"/>
                <w:szCs w:val="18"/>
              </w:rPr>
              <w:t xml:space="preserve">验收内容</w:t>
            </w:r>
            <w:r/>
          </w:p>
        </w:tc>
        <w:tc>
          <w:tcPr>
            <w:tcW w:w="0" w:type="auto"/>
            <w:textDirection w:val="lrTb"/>
            <w:noWrap w:val="false"/>
          </w:tcPr>
          <w:p>
            <w:pPr>
              <w:jc w:val="left"/>
              <w:spacing w:before="298" w:line="208" w:lineRule="auto"/>
              <w:rPr>
                <w:rFonts w:hint="eastAsia" w:ascii="宋体" w:hAnsi="宋体" w:cs="宋体"/>
                <w:sz w:val="18"/>
                <w:szCs w:val="18"/>
              </w:rPr>
            </w:pPr>
            <w:r>
              <w:rPr>
                <w:rFonts w:ascii="宋体" w:hAnsi="宋体" w:cs="宋体"/>
                <w:spacing w:val="-2"/>
                <w:sz w:val="18"/>
                <w:szCs w:val="18"/>
              </w:rPr>
              <w:t xml:space="preserve">服务质量</w:t>
            </w:r>
            <w:r/>
          </w:p>
        </w:tc>
        <w:tc>
          <w:tcPr>
            <w:tcW w:w="0" w:type="auto"/>
            <w:textDirection w:val="lrTb"/>
            <w:noWrap w:val="false"/>
          </w:tcPr>
          <w:p>
            <w:pPr>
              <w:jc w:val="left"/>
              <w:spacing w:before="298" w:line="208" w:lineRule="auto"/>
              <w:rPr>
                <w:rFonts w:hint="eastAsia" w:ascii="宋体" w:hAnsi="宋体" w:cs="宋体"/>
                <w:sz w:val="18"/>
                <w:szCs w:val="18"/>
              </w:rPr>
            </w:pPr>
            <w:r>
              <w:rPr>
                <w:rFonts w:ascii="宋体" w:hAnsi="宋体" w:cs="宋体"/>
                <w:spacing w:val="-2"/>
                <w:sz w:val="18"/>
                <w:szCs w:val="18"/>
              </w:rPr>
              <w:t xml:space="preserve">服务进度</w:t>
            </w:r>
            <w:r/>
          </w:p>
        </w:tc>
        <w:tc>
          <w:tcPr>
            <w:gridSpan w:val="2"/>
            <w:tcW w:w="0" w:type="auto"/>
            <w:textDirection w:val="lrTb"/>
            <w:noWrap w:val="false"/>
          </w:tcPr>
          <w:p>
            <w:pPr>
              <w:jc w:val="left"/>
              <w:spacing w:before="298" w:line="207" w:lineRule="auto"/>
              <w:rPr>
                <w:rFonts w:hint="eastAsia" w:ascii="宋体" w:hAnsi="宋体" w:cs="宋体"/>
                <w:sz w:val="18"/>
                <w:szCs w:val="18"/>
              </w:rPr>
            </w:pPr>
            <w:r>
              <w:rPr>
                <w:rFonts w:ascii="宋体" w:hAnsi="宋体" w:cs="宋体"/>
                <w:spacing w:val="-1"/>
                <w:sz w:val="18"/>
                <w:szCs w:val="18"/>
              </w:rPr>
              <w:t xml:space="preserve">人员、设备 配备情况</w:t>
            </w:r>
            <w:r/>
          </w:p>
        </w:tc>
        <w:tc>
          <w:tcPr>
            <w:tcW w:w="0" w:type="auto"/>
            <w:textDirection w:val="lrTb"/>
            <w:noWrap w:val="false"/>
          </w:tcPr>
          <w:p>
            <w:pPr>
              <w:jc w:val="left"/>
              <w:spacing w:before="297" w:line="209" w:lineRule="auto"/>
              <w:rPr>
                <w:rFonts w:hint="eastAsia" w:ascii="宋体" w:hAnsi="宋体" w:cs="宋体"/>
                <w:sz w:val="18"/>
                <w:szCs w:val="18"/>
              </w:rPr>
            </w:pPr>
            <w:r>
              <w:rPr>
                <w:rFonts w:ascii="宋体" w:hAnsi="宋体" w:cs="宋体"/>
                <w:spacing w:val="-2"/>
                <w:sz w:val="18"/>
                <w:szCs w:val="18"/>
              </w:rPr>
              <w:t xml:space="preserve">行业、安全标准</w:t>
            </w:r>
            <w:r/>
          </w:p>
        </w:tc>
        <w:tc>
          <w:tcPr>
            <w:tcW w:w="967" w:type="dxa"/>
            <w:textDirection w:val="lrTb"/>
            <w:noWrap w:val="false"/>
          </w:tcPr>
          <w:p>
            <w:pPr>
              <w:jc w:val="left"/>
              <w:spacing w:before="298" w:line="208" w:lineRule="auto"/>
              <w:rPr>
                <w:rFonts w:hint="eastAsia" w:ascii="宋体" w:hAnsi="宋体" w:cs="宋体"/>
                <w:sz w:val="18"/>
                <w:szCs w:val="18"/>
              </w:rPr>
            </w:pPr>
            <w:r>
              <w:rPr>
                <w:rFonts w:ascii="宋体" w:hAnsi="宋体" w:cs="宋体"/>
                <w:spacing w:val="-2"/>
                <w:sz w:val="18"/>
                <w:szCs w:val="18"/>
              </w:rPr>
              <w:t xml:space="preserve">项目需求、服务承诺</w:t>
            </w:r>
            <w:r/>
          </w:p>
        </w:tc>
        <w:tc>
          <w:tcPr>
            <w:tcW w:w="1797" w:type="dxa"/>
            <w:textDirection w:val="lrTb"/>
            <w:noWrap w:val="false"/>
          </w:tcPr>
          <w:p>
            <w:pPr>
              <w:jc w:val="left"/>
              <w:spacing w:before="299" w:line="208" w:lineRule="auto"/>
              <w:rPr>
                <w:rFonts w:hint="eastAsia" w:ascii="宋体" w:hAnsi="宋体" w:cs="宋体"/>
                <w:sz w:val="18"/>
                <w:szCs w:val="18"/>
              </w:rPr>
            </w:pPr>
            <w:r>
              <w:rPr>
                <w:rFonts w:ascii="宋体" w:hAnsi="宋体" w:cs="宋体"/>
                <w:spacing w:val="-1"/>
                <w:sz w:val="18"/>
                <w:szCs w:val="18"/>
              </w:rPr>
              <w:t xml:space="preserve">合同履约时间、 地点、方式</w:t>
            </w:r>
            <w:r/>
          </w:p>
        </w:tc>
      </w:tr>
      <w:tr>
        <w:trPr>
          <w:trHeight w:val="1119"/>
        </w:trPr>
        <w:tc>
          <w:tcPr>
            <w:tcBorders>
              <w:top w:val="none" w:color="000000" w:sz="4" w:space="0"/>
            </w:tcBorders>
            <w:tcW w:w="0" w:type="auto"/>
            <w:vMerge w:val="continue"/>
            <w:textDirection w:val="lrTb"/>
            <w:noWrap w:val="false"/>
          </w:tcPr>
          <w:p>
            <w:pPr>
              <w:pStyle w:val="1276"/>
              <w:jc w:val="left"/>
              <w:rPr>
                <w:rFonts w:hint="eastAsia"/>
                <w:lang w:eastAsia="zh-CN"/>
              </w:rPr>
            </w:pPr>
            <w:r>
              <w:rPr>
                <w:rFonts w:hint="eastAsia"/>
                <w:lang w:eastAsia="zh-CN"/>
              </w:rPr>
            </w:r>
            <w:r/>
          </w:p>
        </w:tc>
        <w:tc>
          <w:tcPr>
            <w:tcW w:w="0" w:type="auto"/>
            <w:textDirection w:val="lrTb"/>
            <w:noWrap w:val="false"/>
          </w:tcPr>
          <w:p>
            <w:pPr>
              <w:jc w:val="left"/>
              <w:spacing w:before="270" w:line="239" w:lineRule="exact"/>
              <w:rPr>
                <w:rFonts w:hint="eastAsia" w:ascii="宋体" w:hAnsi="宋体" w:cs="宋体"/>
                <w:sz w:val="18"/>
                <w:szCs w:val="18"/>
              </w:rPr>
            </w:pPr>
            <w:r>
              <w:rPr>
                <w:rFonts w:ascii="宋体" w:hAnsi="宋体" w:cs="宋体"/>
                <w:spacing w:val="-5"/>
                <w:position w:val="1"/>
                <w:sz w:val="18"/>
                <w:szCs w:val="18"/>
              </w:rPr>
              <w:t xml:space="preserve">合</w:t>
            </w:r>
            <w:r>
              <w:rPr>
                <w:rFonts w:ascii="宋体" w:hAnsi="宋体" w:cs="宋体"/>
                <w:spacing w:val="3"/>
                <w:position w:val="1"/>
                <w:sz w:val="18"/>
                <w:szCs w:val="18"/>
              </w:rPr>
              <w:t xml:space="preserve">  </w:t>
            </w:r>
            <w:r>
              <w:rPr>
                <w:rFonts w:ascii="宋体" w:hAnsi="宋体" w:cs="宋体"/>
                <w:spacing w:val="-5"/>
                <w:position w:val="1"/>
                <w:sz w:val="18"/>
                <w:szCs w:val="18"/>
              </w:rPr>
              <w:t xml:space="preserve">格□</w:t>
            </w:r>
            <w:r/>
          </w:p>
          <w:p>
            <w:pPr>
              <w:pStyle w:val="1276"/>
              <w:jc w:val="left"/>
              <w:spacing w:line="259" w:lineRule="auto"/>
              <w:rPr>
                <w:rFonts w:hint="eastAsia"/>
              </w:rPr>
            </w:pPr>
            <w:r>
              <w:rPr>
                <w:rFonts w:hint="eastAsia"/>
              </w:rPr>
            </w:r>
            <w:r/>
          </w:p>
          <w:p>
            <w:pPr>
              <w:jc w:val="left"/>
              <w:spacing w:before="59" w:line="239" w:lineRule="exact"/>
              <w:rPr>
                <w:rFonts w:hint="eastAsia" w:ascii="宋体" w:hAnsi="宋体" w:cs="宋体"/>
                <w:sz w:val="18"/>
                <w:szCs w:val="18"/>
              </w:rPr>
            </w:pPr>
            <w:r>
              <w:rPr>
                <w:rFonts w:ascii="宋体" w:hAnsi="宋体" w:cs="宋体"/>
                <w:spacing w:val="-3"/>
                <w:position w:val="1"/>
                <w:sz w:val="18"/>
                <w:szCs w:val="18"/>
              </w:rPr>
              <w:t xml:space="preserve">不合格□</w:t>
            </w:r>
            <w:r/>
          </w:p>
        </w:tc>
        <w:tc>
          <w:tcPr>
            <w:tcW w:w="0" w:type="auto"/>
            <w:textDirection w:val="lrTb"/>
            <w:noWrap w:val="false"/>
          </w:tcPr>
          <w:p>
            <w:pPr>
              <w:jc w:val="left"/>
              <w:spacing w:before="270" w:line="239" w:lineRule="exact"/>
              <w:rPr>
                <w:rFonts w:hint="eastAsia" w:ascii="宋体" w:hAnsi="宋体" w:cs="宋体"/>
                <w:sz w:val="18"/>
                <w:szCs w:val="18"/>
              </w:rPr>
            </w:pPr>
            <w:r>
              <w:rPr>
                <w:rFonts w:ascii="宋体" w:hAnsi="宋体" w:cs="宋体"/>
                <w:spacing w:val="-8"/>
                <w:position w:val="1"/>
                <w:sz w:val="18"/>
                <w:szCs w:val="18"/>
              </w:rPr>
              <w:t xml:space="preserve">按</w:t>
            </w:r>
            <w:r>
              <w:rPr>
                <w:rFonts w:ascii="宋体" w:hAnsi="宋体" w:cs="宋体"/>
                <w:spacing w:val="7"/>
                <w:position w:val="1"/>
                <w:sz w:val="18"/>
                <w:szCs w:val="18"/>
              </w:rPr>
              <w:t xml:space="preserve">  </w:t>
            </w:r>
            <w:r>
              <w:rPr>
                <w:rFonts w:ascii="宋体" w:hAnsi="宋体" w:cs="宋体"/>
                <w:spacing w:val="-8"/>
                <w:position w:val="1"/>
                <w:sz w:val="18"/>
                <w:szCs w:val="18"/>
              </w:rPr>
              <w:t xml:space="preserve">时□</w:t>
            </w:r>
            <w:r/>
          </w:p>
          <w:p>
            <w:pPr>
              <w:pStyle w:val="1276"/>
              <w:jc w:val="left"/>
              <w:spacing w:line="259" w:lineRule="auto"/>
              <w:rPr>
                <w:rFonts w:hint="eastAsia"/>
              </w:rPr>
            </w:pPr>
            <w:r>
              <w:rPr>
                <w:rFonts w:hint="eastAsia"/>
              </w:rPr>
            </w:r>
            <w:r/>
          </w:p>
          <w:p>
            <w:pPr>
              <w:jc w:val="left"/>
              <w:spacing w:before="59" w:line="239" w:lineRule="exact"/>
              <w:rPr>
                <w:rFonts w:hint="eastAsia" w:ascii="宋体" w:hAnsi="宋体" w:cs="宋体"/>
                <w:sz w:val="18"/>
                <w:szCs w:val="18"/>
              </w:rPr>
            </w:pPr>
            <w:r>
              <w:rPr>
                <w:rFonts w:ascii="宋体" w:hAnsi="宋体" w:cs="宋体"/>
                <w:spacing w:val="-3"/>
                <w:position w:val="1"/>
                <w:sz w:val="18"/>
                <w:szCs w:val="18"/>
              </w:rPr>
              <w:t xml:space="preserve">不按时□</w:t>
            </w:r>
            <w:r/>
          </w:p>
        </w:tc>
        <w:tc>
          <w:tcPr>
            <w:gridSpan w:val="2"/>
            <w:tcW w:w="0" w:type="auto"/>
            <w:textDirection w:val="lrTb"/>
            <w:noWrap w:val="false"/>
          </w:tcPr>
          <w:p>
            <w:pPr>
              <w:jc w:val="left"/>
              <w:spacing w:before="270" w:line="239" w:lineRule="exact"/>
              <w:rPr>
                <w:rFonts w:hint="eastAsia" w:ascii="宋体" w:hAnsi="宋体" w:cs="宋体"/>
                <w:sz w:val="18"/>
                <w:szCs w:val="18"/>
              </w:rPr>
            </w:pPr>
            <w:r>
              <w:rPr>
                <w:rFonts w:ascii="宋体" w:hAnsi="宋体" w:cs="宋体"/>
                <w:spacing w:val="-5"/>
                <w:position w:val="1"/>
                <w:sz w:val="18"/>
                <w:szCs w:val="18"/>
              </w:rPr>
              <w:t xml:space="preserve">合</w:t>
            </w:r>
            <w:r>
              <w:rPr>
                <w:rFonts w:ascii="宋体" w:hAnsi="宋体" w:cs="宋体"/>
                <w:spacing w:val="3"/>
                <w:position w:val="1"/>
                <w:sz w:val="18"/>
                <w:szCs w:val="18"/>
              </w:rPr>
              <w:t xml:space="preserve">  </w:t>
            </w:r>
            <w:r>
              <w:rPr>
                <w:rFonts w:ascii="宋体" w:hAnsi="宋体" w:cs="宋体"/>
                <w:spacing w:val="-5"/>
                <w:position w:val="1"/>
                <w:sz w:val="18"/>
                <w:szCs w:val="18"/>
              </w:rPr>
              <w:t xml:space="preserve">格□</w:t>
            </w:r>
            <w:r/>
          </w:p>
          <w:p>
            <w:pPr>
              <w:pStyle w:val="1276"/>
              <w:jc w:val="left"/>
              <w:spacing w:line="259" w:lineRule="auto"/>
              <w:rPr>
                <w:rFonts w:hint="eastAsia"/>
              </w:rPr>
            </w:pPr>
            <w:r>
              <w:rPr>
                <w:rFonts w:hint="eastAsia"/>
              </w:rPr>
            </w:r>
            <w:r/>
          </w:p>
          <w:p>
            <w:pPr>
              <w:jc w:val="left"/>
              <w:spacing w:before="59" w:line="239" w:lineRule="exact"/>
              <w:rPr>
                <w:rFonts w:hint="eastAsia" w:ascii="宋体" w:hAnsi="宋体" w:cs="宋体"/>
                <w:sz w:val="18"/>
                <w:szCs w:val="18"/>
              </w:rPr>
            </w:pPr>
            <w:r>
              <w:rPr>
                <w:rFonts w:ascii="宋体" w:hAnsi="宋体" w:cs="宋体"/>
                <w:spacing w:val="-3"/>
                <w:position w:val="1"/>
                <w:sz w:val="18"/>
                <w:szCs w:val="18"/>
              </w:rPr>
              <w:t xml:space="preserve">不合格□</w:t>
            </w:r>
            <w:r/>
          </w:p>
        </w:tc>
        <w:tc>
          <w:tcPr>
            <w:tcW w:w="0" w:type="auto"/>
            <w:textDirection w:val="lrTb"/>
            <w:noWrap w:val="false"/>
          </w:tcPr>
          <w:p>
            <w:pPr>
              <w:jc w:val="left"/>
              <w:spacing w:before="270" w:line="239" w:lineRule="exact"/>
              <w:rPr>
                <w:rFonts w:hint="eastAsia" w:ascii="宋体" w:hAnsi="宋体" w:cs="宋体"/>
                <w:sz w:val="18"/>
                <w:szCs w:val="18"/>
              </w:rPr>
            </w:pPr>
            <w:r>
              <w:rPr>
                <w:rFonts w:ascii="宋体" w:hAnsi="宋体" w:cs="宋体"/>
                <w:spacing w:val="-5"/>
                <w:position w:val="1"/>
                <w:sz w:val="18"/>
                <w:szCs w:val="18"/>
              </w:rPr>
              <w:t xml:space="preserve">合</w:t>
            </w:r>
            <w:r>
              <w:rPr>
                <w:rFonts w:ascii="宋体" w:hAnsi="宋体" w:cs="宋体"/>
                <w:spacing w:val="3"/>
                <w:position w:val="1"/>
                <w:sz w:val="18"/>
                <w:szCs w:val="18"/>
              </w:rPr>
              <w:t xml:space="preserve">  </w:t>
            </w:r>
            <w:r>
              <w:rPr>
                <w:rFonts w:ascii="宋体" w:hAnsi="宋体" w:cs="宋体"/>
                <w:spacing w:val="-5"/>
                <w:position w:val="1"/>
                <w:sz w:val="18"/>
                <w:szCs w:val="18"/>
              </w:rPr>
              <w:t xml:space="preserve">格□</w:t>
            </w:r>
            <w:r/>
          </w:p>
          <w:p>
            <w:pPr>
              <w:pStyle w:val="1276"/>
              <w:jc w:val="left"/>
              <w:spacing w:line="259" w:lineRule="auto"/>
              <w:rPr>
                <w:rFonts w:hint="eastAsia"/>
              </w:rPr>
            </w:pPr>
            <w:r>
              <w:rPr>
                <w:rFonts w:hint="eastAsia"/>
              </w:rPr>
            </w:r>
            <w:r/>
          </w:p>
          <w:p>
            <w:pPr>
              <w:jc w:val="left"/>
              <w:spacing w:before="59" w:line="239" w:lineRule="exact"/>
              <w:rPr>
                <w:rFonts w:hint="eastAsia" w:ascii="宋体" w:hAnsi="宋体" w:cs="宋体"/>
                <w:sz w:val="18"/>
                <w:szCs w:val="18"/>
              </w:rPr>
            </w:pPr>
            <w:r>
              <w:rPr>
                <w:rFonts w:ascii="宋体" w:hAnsi="宋体" w:cs="宋体"/>
                <w:spacing w:val="-3"/>
                <w:position w:val="1"/>
                <w:sz w:val="18"/>
                <w:szCs w:val="18"/>
              </w:rPr>
              <w:t xml:space="preserve">不合格□</w:t>
            </w:r>
            <w:r/>
          </w:p>
        </w:tc>
        <w:tc>
          <w:tcPr>
            <w:tcW w:w="967" w:type="dxa"/>
            <w:textDirection w:val="lrTb"/>
            <w:noWrap w:val="false"/>
          </w:tcPr>
          <w:p>
            <w:pPr>
              <w:jc w:val="left"/>
              <w:spacing w:before="270" w:line="239" w:lineRule="exact"/>
              <w:rPr>
                <w:rFonts w:hint="eastAsia" w:ascii="宋体" w:hAnsi="宋体" w:cs="宋体"/>
                <w:sz w:val="18"/>
                <w:szCs w:val="18"/>
              </w:rPr>
            </w:pPr>
            <w:r>
              <w:rPr>
                <w:rFonts w:ascii="宋体" w:hAnsi="宋体" w:cs="宋体"/>
                <w:spacing w:val="-5"/>
                <w:position w:val="1"/>
                <w:sz w:val="18"/>
                <w:szCs w:val="18"/>
              </w:rPr>
              <w:t xml:space="preserve">合</w:t>
            </w:r>
            <w:r>
              <w:rPr>
                <w:rFonts w:ascii="宋体" w:hAnsi="宋体" w:cs="宋体"/>
                <w:spacing w:val="3"/>
                <w:position w:val="1"/>
                <w:sz w:val="18"/>
                <w:szCs w:val="18"/>
              </w:rPr>
              <w:t xml:space="preserve">  </w:t>
            </w:r>
            <w:r>
              <w:rPr>
                <w:rFonts w:ascii="宋体" w:hAnsi="宋体" w:cs="宋体"/>
                <w:spacing w:val="-5"/>
                <w:position w:val="1"/>
                <w:sz w:val="18"/>
                <w:szCs w:val="18"/>
              </w:rPr>
              <w:t xml:space="preserve">格□</w:t>
            </w:r>
            <w:r/>
          </w:p>
          <w:p>
            <w:pPr>
              <w:pStyle w:val="1276"/>
              <w:jc w:val="left"/>
              <w:spacing w:line="259" w:lineRule="auto"/>
              <w:rPr>
                <w:rFonts w:hint="eastAsia"/>
              </w:rPr>
            </w:pPr>
            <w:r>
              <w:rPr>
                <w:rFonts w:hint="eastAsia"/>
              </w:rPr>
            </w:r>
            <w:r/>
          </w:p>
          <w:p>
            <w:pPr>
              <w:jc w:val="left"/>
              <w:spacing w:before="59" w:line="239" w:lineRule="exact"/>
              <w:rPr>
                <w:rFonts w:hint="eastAsia" w:ascii="宋体" w:hAnsi="宋体" w:cs="宋体"/>
                <w:sz w:val="18"/>
                <w:szCs w:val="18"/>
              </w:rPr>
            </w:pPr>
            <w:r>
              <w:rPr>
                <w:rFonts w:ascii="宋体" w:hAnsi="宋体" w:cs="宋体"/>
                <w:spacing w:val="-3"/>
                <w:position w:val="1"/>
                <w:sz w:val="18"/>
                <w:szCs w:val="18"/>
              </w:rPr>
              <w:t xml:space="preserve">不合格□</w:t>
            </w:r>
            <w:r/>
          </w:p>
        </w:tc>
        <w:tc>
          <w:tcPr>
            <w:tcW w:w="1797" w:type="dxa"/>
            <w:textDirection w:val="lrTb"/>
            <w:noWrap w:val="false"/>
          </w:tcPr>
          <w:p>
            <w:pPr>
              <w:jc w:val="left"/>
              <w:spacing w:before="270" w:line="239" w:lineRule="exact"/>
              <w:rPr>
                <w:rFonts w:hint="eastAsia" w:ascii="宋体" w:hAnsi="宋体" w:cs="宋体"/>
                <w:sz w:val="18"/>
                <w:szCs w:val="18"/>
              </w:rPr>
            </w:pPr>
            <w:r>
              <w:rPr>
                <w:rFonts w:ascii="宋体" w:hAnsi="宋体" w:cs="宋体"/>
                <w:spacing w:val="-5"/>
                <w:position w:val="1"/>
                <w:sz w:val="18"/>
                <w:szCs w:val="18"/>
              </w:rPr>
              <w:t xml:space="preserve">合</w:t>
            </w:r>
            <w:r>
              <w:rPr>
                <w:rFonts w:ascii="宋体" w:hAnsi="宋体" w:cs="宋体"/>
                <w:spacing w:val="3"/>
                <w:position w:val="1"/>
                <w:sz w:val="18"/>
                <w:szCs w:val="18"/>
              </w:rPr>
              <w:t xml:space="preserve">  </w:t>
            </w:r>
            <w:r>
              <w:rPr>
                <w:rFonts w:ascii="宋体" w:hAnsi="宋体" w:cs="宋体"/>
                <w:spacing w:val="-5"/>
                <w:position w:val="1"/>
                <w:sz w:val="18"/>
                <w:szCs w:val="18"/>
              </w:rPr>
              <w:t xml:space="preserve">格□</w:t>
            </w:r>
            <w:r/>
          </w:p>
          <w:p>
            <w:pPr>
              <w:pStyle w:val="1276"/>
              <w:jc w:val="left"/>
              <w:spacing w:line="259" w:lineRule="auto"/>
              <w:rPr>
                <w:rFonts w:hint="eastAsia"/>
              </w:rPr>
            </w:pPr>
            <w:r>
              <w:rPr>
                <w:rFonts w:hint="eastAsia"/>
              </w:rPr>
            </w:r>
            <w:r/>
          </w:p>
          <w:p>
            <w:pPr>
              <w:jc w:val="left"/>
              <w:spacing w:before="59" w:line="239" w:lineRule="exact"/>
              <w:rPr>
                <w:rFonts w:hint="eastAsia" w:ascii="宋体" w:hAnsi="宋体" w:cs="宋体"/>
                <w:sz w:val="18"/>
                <w:szCs w:val="18"/>
              </w:rPr>
            </w:pPr>
            <w:r>
              <w:rPr>
                <w:rFonts w:ascii="宋体" w:hAnsi="宋体" w:cs="宋体"/>
                <w:spacing w:val="-3"/>
                <w:position w:val="1"/>
                <w:sz w:val="18"/>
                <w:szCs w:val="18"/>
              </w:rPr>
              <w:t xml:space="preserve">不合格□</w:t>
            </w:r>
            <w:r/>
          </w:p>
        </w:tc>
      </w:tr>
      <w:tr>
        <w:trPr>
          <w:trHeight w:val="753"/>
        </w:trPr>
        <w:tc>
          <w:tcPr>
            <w:tcW w:w="0" w:type="auto"/>
            <w:textDirection w:val="lrTb"/>
            <w:noWrap w:val="false"/>
          </w:tcPr>
          <w:p>
            <w:pPr>
              <w:jc w:val="left"/>
              <w:spacing w:before="299" w:line="208" w:lineRule="auto"/>
              <w:rPr>
                <w:rFonts w:hint="eastAsia" w:ascii="宋体" w:hAnsi="宋体" w:cs="宋体"/>
                <w:sz w:val="18"/>
                <w:szCs w:val="18"/>
              </w:rPr>
            </w:pPr>
            <w:r>
              <w:rPr>
                <w:rFonts w:ascii="宋体" w:hAnsi="宋体" w:cs="宋体"/>
                <w:spacing w:val="-2"/>
                <w:sz w:val="18"/>
                <w:szCs w:val="18"/>
              </w:rPr>
              <w:t xml:space="preserve">专业检测机构情</w:t>
            </w:r>
            <w:r>
              <w:rPr>
                <w:rFonts w:ascii="宋体" w:hAnsi="宋体" w:cs="宋体"/>
                <w:spacing w:val="-3"/>
                <w:sz w:val="18"/>
                <w:szCs w:val="18"/>
              </w:rPr>
              <w:t xml:space="preserve">况说明</w:t>
            </w:r>
            <w:r/>
          </w:p>
        </w:tc>
        <w:tc>
          <w:tcPr>
            <w:gridSpan w:val="7"/>
            <w:tcW w:w="0" w:type="auto"/>
            <w:textDirection w:val="lrTb"/>
            <w:noWrap w:val="false"/>
          </w:tcPr>
          <w:p>
            <w:pPr>
              <w:pStyle w:val="1276"/>
              <w:jc w:val="left"/>
              <w:rPr>
                <w:rFonts w:hint="eastAsia"/>
                <w:lang w:eastAsia="zh-CN"/>
              </w:rPr>
            </w:pPr>
            <w:r>
              <w:rPr>
                <w:rFonts w:hint="eastAsia"/>
                <w:lang w:eastAsia="zh-CN"/>
              </w:rPr>
            </w:r>
            <w:r/>
          </w:p>
        </w:tc>
      </w:tr>
      <w:tr>
        <w:trPr>
          <w:trHeight w:val="708"/>
        </w:trPr>
        <w:tc>
          <w:tcPr>
            <w:tcW w:w="0" w:type="auto"/>
            <w:textDirection w:val="lrTb"/>
            <w:noWrap w:val="false"/>
          </w:tcPr>
          <w:p>
            <w:pPr>
              <w:jc w:val="left"/>
              <w:spacing w:before="58" w:line="207" w:lineRule="auto"/>
              <w:rPr>
                <w:rFonts w:hint="eastAsia" w:ascii="宋体" w:hAnsi="宋体" w:cs="宋体"/>
                <w:sz w:val="18"/>
                <w:szCs w:val="18"/>
              </w:rPr>
            </w:pPr>
            <w:r>
              <w:rPr>
                <w:rFonts w:ascii="宋体" w:hAnsi="宋体" w:cs="宋体"/>
                <w:spacing w:val="-2"/>
                <w:sz w:val="18"/>
                <w:szCs w:val="18"/>
              </w:rPr>
              <w:t xml:space="preserve">存在问题和改进意见</w:t>
            </w:r>
            <w:r/>
          </w:p>
        </w:tc>
        <w:tc>
          <w:tcPr>
            <w:gridSpan w:val="7"/>
            <w:tcW w:w="0" w:type="auto"/>
            <w:textDirection w:val="lrTb"/>
            <w:noWrap w:val="false"/>
          </w:tcPr>
          <w:p>
            <w:pPr>
              <w:pStyle w:val="1276"/>
              <w:jc w:val="left"/>
              <w:rPr>
                <w:rFonts w:hint="eastAsia"/>
              </w:rPr>
            </w:pPr>
            <w:r>
              <w:rPr>
                <w:rFonts w:hint="eastAsia"/>
              </w:rPr>
            </w:r>
            <w:r/>
          </w:p>
        </w:tc>
      </w:tr>
      <w:tr>
        <w:trPr>
          <w:trHeight w:val="687"/>
        </w:trPr>
        <w:tc>
          <w:tcPr>
            <w:tcW w:w="0" w:type="auto"/>
            <w:textDirection w:val="lrTb"/>
            <w:noWrap w:val="false"/>
          </w:tcPr>
          <w:p>
            <w:pPr>
              <w:jc w:val="left"/>
              <w:spacing w:before="58" w:line="207" w:lineRule="auto"/>
              <w:rPr>
                <w:rFonts w:hint="eastAsia" w:ascii="宋体" w:hAnsi="宋体" w:cs="宋体"/>
                <w:sz w:val="18"/>
                <w:szCs w:val="18"/>
              </w:rPr>
            </w:pPr>
            <w:r>
              <w:rPr>
                <w:rFonts w:ascii="宋体" w:hAnsi="宋体" w:cs="宋体"/>
                <w:spacing w:val="-3"/>
                <w:sz w:val="18"/>
                <w:szCs w:val="18"/>
              </w:rPr>
              <w:t xml:space="preserve">最终结论</w:t>
            </w:r>
            <w:r/>
          </w:p>
        </w:tc>
        <w:tc>
          <w:tcPr>
            <w:gridSpan w:val="7"/>
            <w:tcW w:w="0" w:type="auto"/>
            <w:textDirection w:val="lrTb"/>
            <w:noWrap w:val="false"/>
          </w:tcPr>
          <w:p>
            <w:pPr>
              <w:pStyle w:val="1276"/>
              <w:jc w:val="left"/>
              <w:spacing w:line="271" w:lineRule="auto"/>
              <w:rPr>
                <w:rFonts w:hint="eastAsia"/>
              </w:rPr>
            </w:pPr>
            <w:r>
              <w:rPr>
                <w:rFonts w:hint="eastAsia"/>
              </w:rPr>
            </w:r>
            <w:r/>
          </w:p>
          <w:p>
            <w:pPr>
              <w:jc w:val="left"/>
              <w:spacing w:before="58" w:line="240" w:lineRule="exact"/>
              <w:rPr>
                <w:rFonts w:hint="eastAsia" w:ascii="宋体" w:hAnsi="宋体" w:cs="宋体"/>
                <w:sz w:val="18"/>
                <w:szCs w:val="18"/>
              </w:rPr>
            </w:pPr>
            <w:r>
              <w:rPr>
                <w:rFonts w:ascii="宋体" w:hAnsi="宋体" w:cs="宋体"/>
                <w:spacing w:val="-2"/>
                <w:position w:val="1"/>
                <w:sz w:val="18"/>
                <w:szCs w:val="18"/>
              </w:rPr>
              <w:t xml:space="preserve">合  格□</w:t>
            </w:r>
            <w:r>
              <w:rPr>
                <w:rFonts w:ascii="宋体" w:hAnsi="宋体" w:cs="宋体"/>
                <w:position w:val="1"/>
                <w:sz w:val="18"/>
                <w:szCs w:val="18"/>
              </w:rPr>
              <w:t xml:space="preserve">                              </w:t>
            </w:r>
            <w:r>
              <w:rPr>
                <w:rFonts w:ascii="宋体" w:hAnsi="宋体" w:cs="宋体"/>
                <w:spacing w:val="-2"/>
                <w:position w:val="1"/>
                <w:sz w:val="18"/>
                <w:szCs w:val="18"/>
              </w:rPr>
              <w:t xml:space="preserve">不合格□</w:t>
            </w:r>
            <w:r/>
          </w:p>
        </w:tc>
      </w:tr>
      <w:tr>
        <w:trPr>
          <w:trHeight w:val="727"/>
        </w:trPr>
        <w:tc>
          <w:tcPr>
            <w:tcW w:w="0" w:type="auto"/>
            <w:textDirection w:val="lrTb"/>
            <w:noWrap w:val="false"/>
          </w:tcPr>
          <w:p>
            <w:pPr>
              <w:jc w:val="left"/>
              <w:spacing w:before="295" w:line="208" w:lineRule="auto"/>
              <w:rPr>
                <w:rFonts w:hint="eastAsia" w:ascii="宋体" w:hAnsi="宋体" w:cs="宋体"/>
                <w:sz w:val="18"/>
                <w:szCs w:val="18"/>
              </w:rPr>
            </w:pPr>
            <w:r>
              <w:rPr>
                <w:rFonts w:ascii="宋体" w:hAnsi="宋体" w:cs="宋体"/>
                <w:spacing w:val="-2"/>
                <w:sz w:val="18"/>
                <w:szCs w:val="18"/>
              </w:rPr>
              <w:t xml:space="preserve">验收小组成员</w:t>
            </w:r>
            <w:r>
              <w:rPr>
                <w:rFonts w:ascii="宋体" w:hAnsi="宋体" w:cs="宋体"/>
                <w:spacing w:val="-4"/>
                <w:sz w:val="18"/>
                <w:szCs w:val="18"/>
              </w:rPr>
              <w:t xml:space="preserve">签字</w:t>
            </w:r>
            <w:r/>
          </w:p>
        </w:tc>
        <w:tc>
          <w:tcPr>
            <w:gridSpan w:val="7"/>
            <w:tcW w:w="0" w:type="auto"/>
            <w:textDirection w:val="lrTb"/>
            <w:noWrap w:val="false"/>
          </w:tcPr>
          <w:p>
            <w:pPr>
              <w:pStyle w:val="1276"/>
              <w:jc w:val="left"/>
              <w:rPr>
                <w:rFonts w:hint="eastAsia"/>
              </w:rPr>
            </w:pPr>
            <w:r>
              <w:rPr>
                <w:rFonts w:hint="eastAsia"/>
              </w:rPr>
            </w:r>
            <w:r/>
          </w:p>
        </w:tc>
      </w:tr>
      <w:tr>
        <w:trPr>
          <w:trHeight w:val="559"/>
        </w:trPr>
        <w:tc>
          <w:tcPr>
            <w:gridSpan w:val="4"/>
            <w:tcW w:w="0" w:type="auto"/>
            <w:textDirection w:val="lrTb"/>
            <w:noWrap w:val="false"/>
          </w:tcPr>
          <w:p>
            <w:pPr>
              <w:jc w:val="left"/>
              <w:spacing w:before="297" w:line="208" w:lineRule="auto"/>
              <w:rPr>
                <w:rFonts w:hint="eastAsia" w:ascii="宋体" w:hAnsi="宋体" w:cs="宋体"/>
                <w:sz w:val="18"/>
                <w:szCs w:val="18"/>
              </w:rPr>
            </w:pPr>
            <w:r>
              <w:rPr>
                <w:rFonts w:ascii="宋体" w:hAnsi="宋体" w:cs="宋体"/>
                <w:spacing w:val="-1"/>
                <w:sz w:val="18"/>
                <w:szCs w:val="18"/>
              </w:rPr>
              <w:t xml:space="preserve">采购代理机构意见</w:t>
            </w:r>
            <w:r/>
          </w:p>
        </w:tc>
        <w:tc>
          <w:tcPr>
            <w:gridSpan w:val="4"/>
            <w:tcW w:w="0" w:type="auto"/>
            <w:textDirection w:val="lrTb"/>
            <w:noWrap w:val="false"/>
          </w:tcPr>
          <w:p>
            <w:pPr>
              <w:jc w:val="left"/>
              <w:spacing w:before="297" w:line="207" w:lineRule="auto"/>
              <w:rPr>
                <w:rFonts w:hint="eastAsia" w:ascii="宋体" w:hAnsi="宋体" w:cs="宋体"/>
                <w:sz w:val="18"/>
                <w:szCs w:val="18"/>
              </w:rPr>
            </w:pPr>
            <w:r>
              <w:rPr>
                <w:rFonts w:ascii="宋体" w:hAnsi="宋体" w:cs="宋体"/>
                <w:spacing w:val="-2"/>
                <w:sz w:val="18"/>
                <w:szCs w:val="18"/>
              </w:rPr>
              <w:t xml:space="preserve">采购人意见</w:t>
            </w:r>
            <w:r/>
          </w:p>
        </w:tc>
      </w:tr>
      <w:tr>
        <w:trPr>
          <w:trHeight w:val="1119"/>
        </w:trPr>
        <w:tc>
          <w:tcPr>
            <w:gridSpan w:val="4"/>
            <w:tcW w:w="0" w:type="auto"/>
            <w:textDirection w:val="lrTb"/>
            <w:noWrap w:val="false"/>
          </w:tcPr>
          <w:p>
            <w:pPr>
              <w:jc w:val="left"/>
              <w:spacing w:before="59" w:line="238" w:lineRule="exact"/>
              <w:rPr>
                <w:rFonts w:hint="eastAsia" w:ascii="宋体" w:hAnsi="宋体" w:cs="宋体"/>
                <w:sz w:val="18"/>
                <w:szCs w:val="18"/>
              </w:rPr>
            </w:pPr>
            <w:r>
              <w:rPr>
                <w:rFonts w:ascii="宋体" w:hAnsi="宋体" w:cs="宋体"/>
                <w:spacing w:val="1"/>
                <w:position w:val="1"/>
                <w:sz w:val="18"/>
                <w:szCs w:val="18"/>
              </w:rPr>
              <w:t xml:space="preserve">经办人：         负责人</w:t>
            </w:r>
            <w:r>
              <w:rPr>
                <w:rFonts w:ascii="宋体" w:hAnsi="宋体" w:cs="宋体"/>
                <w:spacing w:val="-18"/>
                <w:position w:val="1"/>
                <w:sz w:val="18"/>
                <w:szCs w:val="18"/>
              </w:rPr>
              <w:t xml:space="preserve">：</w:t>
            </w:r>
            <w:r>
              <w:rPr>
                <w:rFonts w:ascii="宋体" w:hAnsi="宋体" w:cs="宋体"/>
                <w:position w:val="1"/>
                <w:sz w:val="18"/>
                <w:szCs w:val="18"/>
              </w:rPr>
              <w:t xml:space="preserve">   </w:t>
            </w:r>
            <w:r>
              <w:rPr>
                <w:rFonts w:ascii="宋体" w:hAnsi="宋体" w:cs="宋体"/>
                <w:spacing w:val="-18"/>
                <w:position w:val="1"/>
                <w:sz w:val="18"/>
                <w:szCs w:val="18"/>
              </w:rPr>
              <w:t xml:space="preserve">（</w:t>
            </w:r>
            <w:r>
              <w:rPr>
                <w:rFonts w:ascii="宋体" w:hAnsi="宋体" w:cs="宋体"/>
                <w:spacing w:val="1"/>
                <w:position w:val="1"/>
                <w:sz w:val="18"/>
                <w:szCs w:val="18"/>
              </w:rPr>
              <w:t xml:space="preserve">采购代理机构公章）</w:t>
            </w:r>
            <w:r/>
          </w:p>
        </w:tc>
        <w:tc>
          <w:tcPr>
            <w:gridSpan w:val="4"/>
            <w:tcW w:w="0" w:type="auto"/>
            <w:textDirection w:val="lrTb"/>
            <w:noWrap w:val="false"/>
          </w:tcPr>
          <w:p>
            <w:pPr>
              <w:jc w:val="left"/>
              <w:spacing w:before="59" w:line="238" w:lineRule="exact"/>
              <w:rPr>
                <w:rFonts w:hint="eastAsia" w:ascii="宋体" w:hAnsi="宋体" w:cs="宋体"/>
                <w:sz w:val="18"/>
                <w:szCs w:val="18"/>
              </w:rPr>
            </w:pPr>
            <w:r>
              <w:rPr>
                <w:rFonts w:ascii="宋体" w:hAnsi="宋体" w:cs="宋体"/>
                <w:spacing w:val="1"/>
                <w:position w:val="1"/>
                <w:sz w:val="18"/>
                <w:szCs w:val="18"/>
              </w:rPr>
              <w:t xml:space="preserve">经办人：         负责人</w:t>
            </w:r>
            <w:r>
              <w:rPr>
                <w:rFonts w:ascii="宋体" w:hAnsi="宋体" w:cs="宋体"/>
                <w:spacing w:val="-17"/>
                <w:position w:val="1"/>
                <w:sz w:val="18"/>
                <w:szCs w:val="18"/>
              </w:rPr>
              <w:t xml:space="preserve">：</w:t>
            </w:r>
            <w:r>
              <w:rPr>
                <w:rFonts w:ascii="宋体" w:hAnsi="宋体" w:cs="宋体"/>
                <w:position w:val="1"/>
                <w:sz w:val="18"/>
                <w:szCs w:val="18"/>
              </w:rPr>
              <w:t xml:space="preserve">        </w:t>
            </w:r>
            <w:r>
              <w:rPr>
                <w:rFonts w:ascii="宋体" w:hAnsi="宋体" w:cs="宋体"/>
                <w:spacing w:val="-17"/>
                <w:position w:val="1"/>
                <w:sz w:val="18"/>
                <w:szCs w:val="18"/>
              </w:rPr>
              <w:t xml:space="preserve">（</w:t>
            </w:r>
            <w:r>
              <w:rPr>
                <w:rFonts w:ascii="宋体" w:hAnsi="宋体" w:cs="宋体"/>
                <w:spacing w:val="1"/>
                <w:position w:val="1"/>
                <w:sz w:val="18"/>
                <w:szCs w:val="18"/>
              </w:rPr>
              <w:t xml:space="preserve">采购人公章）</w:t>
            </w:r>
            <w:r/>
          </w:p>
        </w:tc>
      </w:tr>
      <w:tr>
        <w:trPr>
          <w:trHeight w:val="1681"/>
        </w:trPr>
        <w:tc>
          <w:tcPr>
            <w:gridSpan w:val="8"/>
            <w:tcW w:w="0" w:type="auto"/>
            <w:textDirection w:val="lrTb"/>
            <w:noWrap w:val="false"/>
          </w:tcPr>
          <w:p>
            <w:pPr>
              <w:jc w:val="left"/>
              <w:spacing w:before="299" w:line="207" w:lineRule="auto"/>
              <w:rPr>
                <w:rFonts w:hint="eastAsia" w:ascii="宋体" w:hAnsi="宋体" w:cs="宋体"/>
                <w:sz w:val="18"/>
                <w:szCs w:val="18"/>
              </w:rPr>
            </w:pPr>
            <w:r>
              <w:rPr>
                <w:rFonts w:ascii="宋体" w:hAnsi="宋体" w:cs="宋体"/>
                <w:spacing w:val="-2"/>
                <w:sz w:val="18"/>
                <w:szCs w:val="18"/>
              </w:rPr>
              <w:t xml:space="preserve">供应商确认：</w:t>
            </w:r>
            <w:r/>
          </w:p>
          <w:p>
            <w:pPr>
              <w:pStyle w:val="1276"/>
              <w:jc w:val="left"/>
              <w:spacing w:line="275" w:lineRule="auto"/>
              <w:rPr>
                <w:rFonts w:hint="eastAsia"/>
                <w:lang w:eastAsia="zh-CN"/>
              </w:rPr>
            </w:pPr>
            <w:r>
              <w:rPr>
                <w:rFonts w:hint="eastAsia"/>
                <w:lang w:eastAsia="zh-CN"/>
              </w:rPr>
            </w:r>
            <w:r/>
          </w:p>
          <w:p>
            <w:pPr>
              <w:pStyle w:val="1276"/>
              <w:jc w:val="left"/>
              <w:spacing w:line="275" w:lineRule="auto"/>
              <w:rPr>
                <w:rFonts w:hint="eastAsia"/>
                <w:lang w:eastAsia="zh-CN"/>
              </w:rPr>
            </w:pPr>
            <w:r>
              <w:rPr>
                <w:rFonts w:hint="eastAsia"/>
                <w:lang w:eastAsia="zh-CN"/>
              </w:rPr>
            </w:r>
            <w:r/>
          </w:p>
          <w:p>
            <w:pPr>
              <w:jc w:val="left"/>
              <w:spacing w:before="58" w:line="239" w:lineRule="exact"/>
              <w:rPr>
                <w:rFonts w:hint="eastAsia" w:ascii="宋体" w:hAnsi="宋体" w:cs="宋体"/>
                <w:sz w:val="18"/>
                <w:szCs w:val="18"/>
              </w:rPr>
            </w:pPr>
            <w:r>
              <w:rPr>
                <w:rFonts w:ascii="宋体" w:hAnsi="宋体" w:cs="宋体"/>
                <w:spacing w:val="-1"/>
                <w:position w:val="1"/>
                <w:sz w:val="18"/>
                <w:szCs w:val="18"/>
              </w:rPr>
              <w:t xml:space="preserve">（单位公章或授权代表签字）</w:t>
            </w:r>
            <w:r/>
          </w:p>
        </w:tc>
      </w:tr>
    </w:tbl>
    <w:p>
      <w:pPr>
        <w:ind w:left="85"/>
        <w:jc w:val="left"/>
        <w:spacing w:before="266" w:line="239" w:lineRule="exact"/>
        <w:rPr>
          <w:rFonts w:hint="eastAsia" w:ascii="宋体" w:hAnsi="宋体" w:cs="宋体"/>
          <w:sz w:val="18"/>
          <w:szCs w:val="18"/>
        </w:rPr>
      </w:pPr>
      <w:r>
        <w:rPr>
          <w:rFonts w:ascii="宋体" w:hAnsi="宋体" w:cs="宋体"/>
          <w:position w:val="1"/>
          <w:sz w:val="18"/>
          <w:szCs w:val="18"/>
        </w:rPr>
        <w:t xml:space="preserve">说明：1.该表为服务类项目履约验收的参考样表，采购人或采购代理机构可以</w:t>
      </w:r>
      <w:r>
        <w:rPr>
          <w:rFonts w:ascii="宋体" w:hAnsi="宋体" w:cs="宋体"/>
          <w:spacing w:val="-1"/>
          <w:position w:val="1"/>
          <w:sz w:val="18"/>
          <w:szCs w:val="18"/>
        </w:rPr>
        <w:t xml:space="preserve">根据工作实际进行调整。</w:t>
      </w:r>
      <w:r/>
    </w:p>
    <w:p>
      <w:pPr>
        <w:pStyle w:val="885"/>
        <w:spacing w:line="262" w:lineRule="auto"/>
      </w:pPr>
      <w:r/>
      <w:r/>
    </w:p>
    <w:p>
      <w:pPr>
        <w:ind w:left="625"/>
        <w:spacing w:before="59" w:line="238" w:lineRule="exact"/>
        <w:rPr>
          <w:rFonts w:hint="eastAsia" w:ascii="宋体" w:hAnsi="宋体" w:cs="宋体"/>
          <w:spacing w:val="-1"/>
          <w:position w:val="1"/>
          <w:sz w:val="18"/>
          <w:szCs w:val="18"/>
        </w:rPr>
        <w:outlineLvl w:val="0"/>
      </w:pPr>
      <w:r>
        <w:rPr>
          <w:rFonts w:ascii="宋体" w:hAnsi="宋体" w:cs="宋体"/>
          <w:position w:val="1"/>
          <w:sz w:val="18"/>
          <w:szCs w:val="18"/>
        </w:rPr>
        <w:t xml:space="preserve">2.未委托采购代理机构开展履约验收工作的，无需填写“</w:t>
      </w:r>
      <w:r>
        <w:rPr>
          <w:rFonts w:ascii="宋体" w:hAnsi="宋体" w:cs="宋体"/>
          <w:spacing w:val="-1"/>
          <w:position w:val="1"/>
          <w:sz w:val="18"/>
          <w:szCs w:val="18"/>
        </w:rPr>
        <w:t xml:space="preserve">采购代理机构意见</w:t>
      </w:r>
      <w:r>
        <w:rPr>
          <w:rFonts w:ascii="宋体" w:hAnsi="宋体" w:cs="宋体"/>
          <w:spacing w:val="-66"/>
          <w:position w:val="1"/>
          <w:sz w:val="18"/>
          <w:szCs w:val="18"/>
        </w:rPr>
        <w:t xml:space="preserve"> </w:t>
      </w:r>
      <w:r>
        <w:rPr>
          <w:rFonts w:ascii="宋体" w:hAnsi="宋体" w:cs="宋体"/>
          <w:spacing w:val="-1"/>
          <w:position w:val="1"/>
          <w:sz w:val="18"/>
          <w:szCs w:val="18"/>
        </w:rPr>
        <w:t xml:space="preserve">”。</w:t>
      </w:r>
      <w:r/>
    </w:p>
    <w:p>
      <w:pPr>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797" w:bottom="1440" w:left="1797" w:header="851" w:footer="992" w:gutter="0"/>
          <w:cols w:num="1" w:sep="0" w:space="1701" w:equalWidth="1"/>
          <w:docGrid w:linePitch="360"/>
          <w:titlePg/>
        </w:sectPr>
      </w:pPr>
      <w:r/>
      <w:r/>
    </w:p>
    <w:p>
      <w:pPr>
        <w:pStyle w:val="1196"/>
        <w:jc w:val="center"/>
        <w:rPr>
          <w:rFonts w:hint="eastAsia" w:ascii="黑体" w:hAnsi="宋体" w:eastAsia="黑体"/>
          <w:color w:val="000000" w:themeColor="text1"/>
          <w:szCs w:val="16"/>
          <w14:textFill>
            <w14:solidFill>
              <w14:schemeClr w14:val="tx1"/>
            </w14:solidFill>
          </w14:textFill>
        </w:rPr>
      </w:pPr>
      <w:r/>
      <w:bookmarkStart w:id="27" w:name="_Toc25383"/>
      <w:r>
        <w:rPr>
          <w:rFonts w:hint="eastAsia" w:ascii="黑体" w:hAnsi="宋体" w:eastAsia="黑体"/>
          <w:color w:val="000000" w:themeColor="text1"/>
          <w:szCs w:val="16"/>
          <w14:textFill>
            <w14:solidFill>
              <w14:schemeClr w14:val="tx1"/>
            </w14:solidFill>
          </w14:textFill>
        </w:rPr>
        <w:t xml:space="preserve">第五章  评审办法</w:t>
      </w:r>
      <w:bookmarkEnd w:id="26"/>
      <w:r/>
      <w:bookmarkEnd w:id="27"/>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一、评审方法</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2、综合评分的主要因素为：综合实力、业绩、技术、信誉、服务、对磋商采购文件的响应程度，以及相应的比重或者数值等。</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针对小型、微型企业的价格评审办法：</w:t>
      </w:r>
      <w:r/>
    </w:p>
    <w:p>
      <w:pPr>
        <w:ind w:firstLine="480"/>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根据财政部、工业和信息化部《政府采购促进中小企业发展管理办法》的相关要求，结合省财政厅《关于做好政府采购支持企业发展有关事项的通知》（苏财购</w:t>
      </w:r>
      <w:r>
        <w:rPr>
          <w:rFonts w:hint="eastAsia" w:ascii="宋体" w:hAnsi="宋体"/>
          <w:color w:val="000000" w:themeColor="text1"/>
          <w:sz w:val="24"/>
          <w14:textFill>
            <w14:solidFill>
              <w14:schemeClr w14:val="tx1"/>
            </w14:solidFill>
          </w14:textFill>
        </w:rPr>
        <w:t xml:space="preserve">【2020】52号）</w:t>
      </w:r>
      <w:r>
        <w:rPr>
          <w:rFonts w:ascii="宋体" w:hAnsi="宋体"/>
          <w:color w:val="000000" w:themeColor="text1"/>
          <w:sz w:val="24"/>
          <w14:textFill>
            <w14:solidFill>
              <w14:schemeClr w14:val="tx1"/>
            </w14:solidFill>
          </w14:textFill>
        </w:rPr>
        <w:t xml:space="preserve">的文件精神，现将对小微企业报价扣除比例相关事项明确如下：</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如中小微企业在投标（响应）文件中，签署《中小企业声明函》，并根据工信部联企业〔</w:t>
      </w:r>
      <w:r>
        <w:rPr>
          <w:rFonts w:ascii="宋体" w:hAnsi="宋体"/>
          <w:color w:val="000000" w:themeColor="text1"/>
          <w:sz w:val="24"/>
          <w14:textFill>
            <w14:solidFill>
              <w14:schemeClr w14:val="tx1"/>
            </w14:solidFill>
          </w14:textFill>
        </w:rPr>
        <w:t xml:space="preserve">2011</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300</w:t>
      </w:r>
      <w:r>
        <w:rPr>
          <w:rFonts w:hint="eastAsia" w:ascii="宋体" w:hAnsi="宋体"/>
          <w:color w:val="000000" w:themeColor="text1"/>
          <w:sz w:val="24"/>
          <w14:textFill>
            <w14:solidFill>
              <w14:schemeClr w14:val="tx1"/>
            </w14:solidFill>
          </w14:textFill>
        </w:rPr>
        <w:t xml:space="preserve">号通知，未在投标（响应）文件中提供《中小企业声明函》的，不享受促进中小微企业发展的相关政府采购政策。</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本次采购中，响应单位如为监狱企业，则视同小型、微型企业，享受评审中价格扣除等政府采购促进中小企业发展的政府采购政策。向监狱企业采购的金额，计入面向中小企业采购的统计数据。</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中小企业声明函”、“残疾人福利性单位声明函”及监狱企业证明确定企业性质，对符合《政府采购促进中小企业发展管理办法》规定的小型、微型企业报价给予相应比例的扣除，其中货物和服务项目为20%，工程项目为5%，用扣除后的价格参加评审。</w:t>
      </w:r>
      <w:r/>
    </w:p>
    <w:p>
      <w:pPr>
        <w:ind w:firstLine="480"/>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注：</w:t>
      </w:r>
      <w:r/>
    </w:p>
    <w:p>
      <w:pPr>
        <w:ind w:firstLine="480"/>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①填报“中小企业声明函”需严格按“工信部联企业〔2011〕300号通知中的《中小企业划型标准规定》进行。</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②若</w:t>
      </w:r>
      <w:r>
        <w:rPr>
          <w:rFonts w:hint="eastAsia" w:ascii="宋体" w:hAnsi="宋体"/>
          <w:color w:val="000000" w:themeColor="text1"/>
          <w:sz w:val="24"/>
          <w14:textFill>
            <w14:solidFill>
              <w14:schemeClr w14:val="tx1"/>
            </w14:solidFill>
          </w14:textFill>
        </w:rPr>
        <w:t xml:space="preserve">供应商</w:t>
      </w:r>
      <w:r>
        <w:rPr>
          <w:rFonts w:ascii="宋体" w:hAnsi="宋体"/>
          <w:color w:val="000000" w:themeColor="text1"/>
          <w:sz w:val="24"/>
          <w14:textFill>
            <w14:solidFill>
              <w14:schemeClr w14:val="tx1"/>
            </w14:solidFill>
          </w14:textFill>
        </w:rPr>
        <w:t xml:space="preserve">提供的“中小企业声明函”或认定证明为虚假声明则视同提供虚假材</w:t>
      </w:r>
      <w:r>
        <w:rPr>
          <w:rFonts w:hint="eastAsia" w:ascii="宋体" w:hAnsi="宋体" w:cs="宋体"/>
          <w:color w:val="000000" w:themeColor="text1"/>
          <w:sz w:val="24"/>
          <w14:textFill>
            <w14:solidFill>
              <w14:schemeClr w14:val="tx1"/>
            </w14:solidFill>
          </w14:textFill>
        </w:rPr>
        <w:t xml:space="preserve">料，按“政府采购法”相关规定处理并报请政府监管部门给予行政处罚。</w:t>
      </w:r>
      <w:r/>
    </w:p>
    <w:p>
      <w:pPr>
        <w:ind w:firstLine="482"/>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③根据《关于印发&lt;苏州市政府采购促进中小企业发展实施意见&gt;的通知》（苏财购〔2022〕16号）相关要求，本项目为专门面向中小企业采购的项目，不再执行价格评审优惠的扶持政策。</w:t>
      </w:r>
      <w:r/>
    </w:p>
    <w:p>
      <w:pPr>
        <w:ind w:firstLine="420"/>
        <w:spacing w:line="420" w:lineRule="exact"/>
        <w:tabs>
          <w:tab w:val="left" w:pos="2870" w:leader="none"/>
        </w:tabs>
        <w:rPr>
          <w:rFonts w:hint="eastAsia" w:hAnsi="宋体"/>
          <w:b/>
          <w:bCs/>
          <w:color w:val="000000" w:themeColor="text1"/>
          <w:sz w:val="24"/>
          <w14:textFill>
            <w14:solidFill>
              <w14:schemeClr w14:val="tx1"/>
            </w14:solidFill>
          </w14:textFill>
        </w:rPr>
        <w:outlineLvl w:val="1"/>
      </w:pPr>
      <w:r>
        <w:rPr>
          <w:rFonts w:hint="eastAsia" w:hAnsi="宋体"/>
          <w:b/>
          <w:bCs/>
          <w:color w:val="000000" w:themeColor="text1"/>
          <w:sz w:val="24"/>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二、评分标准：</w:t>
      </w:r>
      <w:r/>
    </w:p>
    <w:p>
      <w:pPr>
        <w:ind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（一）</w:t>
      </w:r>
      <w:r>
        <w:rPr>
          <w:rFonts w:ascii="宋体" w:hAnsi="宋体"/>
          <w:b/>
          <w:bCs/>
          <w:color w:val="000000" w:themeColor="text1"/>
          <w:sz w:val="24"/>
          <w14:textFill>
            <w14:solidFill>
              <w14:schemeClr w14:val="tx1"/>
            </w14:solidFill>
          </w14:textFill>
        </w:rPr>
        <w:t xml:space="preserve">价格（最终报价）：</w:t>
      </w:r>
      <w:r>
        <w:rPr>
          <w:rFonts w:hint="eastAsia" w:ascii="宋体" w:hAnsi="宋体"/>
          <w:b/>
          <w:bCs/>
          <w:color w:val="000000" w:themeColor="text1"/>
          <w:sz w:val="24"/>
          <w14:textFill>
            <w14:solidFill>
              <w14:schemeClr w14:val="tx1"/>
            </w14:solidFill>
          </w14:textFill>
        </w:rPr>
        <w:t xml:space="preserve">（10分）</w:t>
      </w:r>
      <w:r/>
    </w:p>
    <w:p>
      <w:pPr>
        <w:ind w:firstLine="480"/>
        <w:spacing w:line="360" w:lineRule="auto"/>
        <w:rPr>
          <w:rFonts w:hint="eastAsia" w:ascii="宋体" w:hAnsi="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1、第一步：响应报价低于或等于预算价格的，为有效响应报价。超出此范围的响应报价为无效响应报价。无效响应报价的响应文件不进行评审，也不得标。</w:t>
      </w:r>
      <w:r/>
    </w:p>
    <w:p>
      <w:pPr>
        <w:ind w:firstLine="480"/>
        <w:spacing w:line="360" w:lineRule="auto"/>
        <w:rPr>
          <w:rFonts w:hint="eastAsia" w:ascii="宋体" w:hAnsi="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第二步：在所有有效响应报价中选择报价最低的确定为基准报价。</w:t>
      </w:r>
      <w:r/>
    </w:p>
    <w:p>
      <w:pPr>
        <w:ind w:firstLine="480"/>
        <w:spacing w:line="360" w:lineRule="auto"/>
        <w:rPr>
          <w:rFonts w:hint="eastAsia" w:ascii="宋体" w:hAnsi="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第三步：将所有有效报价与基准报价相比较：等于基准报价的得10分，其他响应单位的价格分按照下列公式计算（计算结果四舍五入保留两位小数）：</w:t>
      </w:r>
      <w:r/>
    </w:p>
    <w:p>
      <w:pPr>
        <w:ind w:firstLine="482"/>
        <w:spacing w:line="360" w:lineRule="auto"/>
        <w:rPr>
          <w:rFonts w:hint="eastAsia" w:ascii="宋体" w:hAnsi="宋体"/>
          <w:b/>
          <w:color w:val="000000" w:themeColor="text1"/>
          <w:sz w:val="24"/>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磋商报价得分=（磋商基准价/最后磋商报价）×价格权值（本项目为10%）×100</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磋商供应商自行消化，如漏项构成未实质性响应磋商文件要求的，将不得成交。</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3、评标委员会认为响应单位的报价明显低于其他通过符合性审查响应单位的报价，有可能影响产品质量或者不能诚信履约的，应当按照第二章16.5的要求启动异常低价审查程序。</w:t>
      </w:r>
      <w:r/>
    </w:p>
    <w:p>
      <w:pPr>
        <w:ind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（二）服务方案及人员配置比较 （74分）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1.服务总体模式与项目管理运作设计方案（10分）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服务总体模式清晰，配套措施周全，运作设计合理</w:t>
      </w:r>
      <w:r>
        <w:rPr>
          <w:rFonts w:hint="eastAsia" w:ascii="宋体" w:hAnsi="宋体"/>
          <w:color w:val="000000" w:themeColor="text1"/>
          <w:sz w:val="24"/>
          <w:lang w:val="zh-TW"/>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技术方案的合理性、完善性、规范性、清晰性、可操作性好的得10分，合理性、完善性、规范性、清晰性、可操作性一般的得7分，合理性、完善性、规范性、清晰性、可操作性较差的得4分；与本项目无关或未提供的不得分；最高10分 。</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2.服务管理工作具体实施方案（20分）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2.1日常服务标准及措施</w:t>
      </w:r>
      <w:r>
        <w:rPr>
          <w:rFonts w:hint="eastAsia" w:ascii="宋体" w:hAnsi="宋体"/>
          <w:color w:val="000000" w:themeColor="text1"/>
          <w:sz w:val="24"/>
          <w:lang w:val="zh-TW"/>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技术方案的合理性、完善性、规范性、清晰性、可操作性较好的得5分，合理性、完善性、规范性、清晰性、可操作性一般的得3分，合理性、完善性、规范性、清晰性、可操作性较差的得1分；与本项目无关或未提供的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安全管理制度与预案的科学与完整性：由评标委员会根据技术方案的合理性、完善性、规范性、清晰性、可操作性较好的得5分，合理性、完善性、规范性、清晰性、可操作性一般的得3分，合理性、完善性、规范性、清晰性、可操作性较差的得1分；与本项目无关的或未提供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2.3进退场方案</w:t>
      </w:r>
      <w:r>
        <w:rPr>
          <w:rFonts w:hint="eastAsia" w:ascii="宋体" w:hAnsi="宋体"/>
          <w:color w:val="000000" w:themeColor="text1"/>
          <w:sz w:val="24"/>
          <w:lang w:val="zh-TW"/>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技术方案的合理性、完善性、规范性、清晰性、可操作性较好的得5分，合理性、完善性、规范性、清晰性、可操作性一般的得3分，合理性、完善性、规范性、清晰性、可操作性较差的得1分；与本项目无关或未提供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2.4工作人员所用设备、器材的配备情况</w:t>
      </w:r>
      <w:r>
        <w:rPr>
          <w:rFonts w:hint="eastAsia" w:ascii="宋体" w:hAnsi="宋体"/>
          <w:color w:val="000000" w:themeColor="text1"/>
          <w:sz w:val="24"/>
          <w:lang w:val="zh-TW"/>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技术方案的合理性、完善性、规范性、清晰性、可操作性较好的得5分，合理性、完善性、规范性、清晰性、可操作性一般的得3分，合理性、完善性、规范性、清晰性、可操作性较差的得1分；与本项目无关或未提供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针对本项目配备的人员情况比较（10分）：由评标委员会根据人员配备情况的齐全、有效、完备的的合理性、完善性、规范性、清晰性、可操作性较好的得10分，合理性、完善性、规范性、清晰性、可操作性一般的得7分，合理性、完善性、规范性、清晰性、可操作性较差的得4分；与本项目无关或未提供的不得分；最高10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.内部管理规章制度及考核管理办法</w:t>
      </w:r>
      <w:r>
        <w:rPr>
          <w:rFonts w:hint="eastAsia" w:ascii="宋体" w:hAnsi="宋体"/>
          <w:color w:val="000000" w:themeColor="text1"/>
          <w:sz w:val="24"/>
          <w14:textFill>
            <w14:solidFill>
              <w14:schemeClr w14:val="tx1"/>
            </w14:solidFill>
          </w14:textFill>
        </w:rPr>
        <w:t xml:space="preserve">（25分）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 管理规章制度</w:t>
      </w:r>
      <w:r>
        <w:rPr>
          <w:rFonts w:hint="eastAsia" w:ascii="宋体" w:hAnsi="宋体"/>
          <w:color w:val="000000" w:themeColor="text1"/>
          <w:sz w:val="24"/>
          <w:lang w:val="zh-CN"/>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由评标委员会根据管理规章制度的完整性、合理性、可行性较好的得5分，完整性、合理性、可行性一般的得3分，完整性、合理性、可行性较差的得1分；与本项目无关或未提供的不得分；最高5分。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 服务人员安全文明规范</w:t>
      </w:r>
      <w:r>
        <w:rPr>
          <w:rFonts w:hint="eastAsia" w:ascii="宋体" w:hAnsi="宋体"/>
          <w:color w:val="000000" w:themeColor="text1"/>
          <w:sz w:val="24"/>
          <w:lang w:val="zh-CN"/>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由评标委员会根据服务人员安全文明规范的完整性、合理性、可行性较好的得5分，完整性、合理性、可行性一般的得3分，完整性、合理性、可行性较差的得1分；与本项目无关或未提供的不得分；最高5分。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4.3 人员安全保卫管理和反恐方案的保障措施制度</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由评标委员会根据保障措施制度的完整性、合理性、可行性较好的得5分，完整性、合理性、可行性一般的得3分，完整性、合理性、可行性较差的得1分；与本项目无关或未提供的不得分；最高5分。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4.4 服务档案管理制度</w:t>
      </w:r>
      <w:r>
        <w:rPr>
          <w:rFonts w:hint="eastAsia" w:ascii="宋体" w:hAnsi="宋体"/>
          <w:color w:val="000000" w:themeColor="text1"/>
          <w:sz w:val="24"/>
          <w:lang w:val="zh-CN"/>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由评标委员会根据制度的完整性、合理性、可行性较好的得5分，完整性、合理性、可行性一般的得3分，完整性、合理性、可行性较差的得1分；与本项目无关或未提供的不得分；最高5分。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4.5 服务人员考核制度及标准</w:t>
      </w:r>
      <w:r>
        <w:rPr>
          <w:rFonts w:hint="eastAsia" w:ascii="宋体" w:hAnsi="宋体"/>
          <w:color w:val="000000" w:themeColor="text1"/>
          <w:sz w:val="24"/>
          <w:lang w:val="zh-CN"/>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由评标委员会根据制度及标准的完整性、合理性、可行性较好的得5分，完整性、合理性、可行性一般的得3分，完整性、合理性、可行性较差的得1分；与本项目无关或未提供的不得分；最高5分。</w:t>
      </w:r>
      <w:r/>
    </w:p>
    <w:p>
      <w:pPr>
        <w:ind w:firstLine="480"/>
        <w:spacing w:line="360" w:lineRule="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5、详细的年度培训计划、培训及支持方案</w:t>
      </w:r>
      <w:r>
        <w:rPr>
          <w:rFonts w:hint="eastAsia" w:ascii="宋体" w:hAnsi="宋体"/>
          <w:color w:val="000000" w:themeColor="text1"/>
          <w:sz w:val="24"/>
          <w:lang w:val="zh-CN"/>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由评标委员会根据方案的完整性、合理性、可行性、稳定性较好的得5分，完整性、合理性、可行性、稳定性一般的得3分，完整性、合理性、可行性、稳定性较差的得1分；与本项目无关或未提供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6、应急方案及其它（4分）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有详细的突发事件应急措施，包括：特殊事故（情况）措施、治安应急措施、消防应急措施等。根据内容详细具有可行性比较，由评标委员会根据方案的完整性、合理性、可行性较好的得4分，完整性、合理性、可行性一般的得2分，完整性、合理性、可行性较差的得1分；与本项目无关或未提供的不得分；最高4分。</w:t>
      </w:r>
      <w:r/>
    </w:p>
    <w:p>
      <w:pPr>
        <w:numPr>
          <w:ilvl w:val="0"/>
          <w:numId w:val="4"/>
        </w:numPr>
        <w:ind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响应单位履约能力（16分）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w:t>
      </w:r>
      <w:r>
        <w:rPr>
          <w:rFonts w:hint="eastAsia" w:ascii="宋体" w:hAnsi="宋体"/>
          <w:color w:val="000000" w:themeColor="text1"/>
          <w:sz w:val="24"/>
          <w:lang w:val="zh-TW"/>
          <w14:textFill>
            <w14:solidFill>
              <w14:schemeClr w14:val="tx1"/>
            </w14:solidFill>
          </w14:textFill>
        </w:rPr>
        <w:t xml:space="preserve">单位</w:t>
      </w:r>
      <w:r>
        <w:rPr>
          <w:rFonts w:hint="eastAsia" w:ascii="宋体" w:hAnsi="宋体"/>
          <w:color w:val="000000" w:themeColor="text1"/>
          <w:sz w:val="24"/>
          <w14:textFill>
            <w14:solidFill>
              <w14:schemeClr w14:val="tx1"/>
            </w14:solidFill>
          </w14:textFill>
        </w:rPr>
        <w:t xml:space="preserve">具有有效期内质量管理体系认证、环境管理体系认证、职业健康安全管理体系认证；每提供一份得2分，最高为6分。投标文件中需提供有效证书复印件加盖投标单位公章。</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2.投标单位类似项目业绩情况，最高为10分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zh-TW" w:eastAsia="zh-TW"/>
          <w14:textFill>
            <w14:solidFill>
              <w14:schemeClr w14:val="tx1"/>
            </w14:solidFill>
          </w14:textFill>
        </w:rPr>
        <w:t xml:space="preserve">投标单位</w:t>
      </w:r>
      <w:r>
        <w:rPr>
          <w:rFonts w:hint="eastAsia" w:ascii="宋体" w:hAnsi="宋体"/>
          <w:color w:val="000000" w:themeColor="text1"/>
          <w:sz w:val="24"/>
          <w:lang w:val="zh-TW"/>
          <w14:textFill>
            <w14:solidFill>
              <w14:schemeClr w14:val="tx1"/>
            </w14:solidFill>
          </w14:textFill>
        </w:rPr>
        <w:t xml:space="preserve">自20</w:t>
      </w:r>
      <w:r>
        <w:rPr>
          <w:rFonts w:hint="eastAsia" w:ascii="宋体" w:hAnsi="宋体"/>
          <w:color w:val="000000" w:themeColor="text1"/>
          <w:sz w:val="24"/>
          <w14:textFill>
            <w14:solidFill>
              <w14:schemeClr w14:val="tx1"/>
            </w14:solidFill>
          </w14:textFill>
        </w:rPr>
        <w:t xml:space="preserve">22</w:t>
      </w:r>
      <w:r>
        <w:rPr>
          <w:rFonts w:hint="eastAsia" w:ascii="宋体" w:hAnsi="宋体"/>
          <w:color w:val="000000" w:themeColor="text1"/>
          <w:sz w:val="24"/>
          <w:lang w:val="zh-TW" w:eastAsia="zh-TW"/>
          <w14:textFill>
            <w14:solidFill>
              <w14:schemeClr w14:val="tx1"/>
            </w14:solidFill>
          </w14:textFill>
        </w:rPr>
        <w:t xml:space="preserve">年</w:t>
      </w:r>
      <w:r>
        <w:rPr>
          <w:rFonts w:hint="eastAsia" w:ascii="宋体" w:hAnsi="宋体"/>
          <w:color w:val="000000" w:themeColor="text1"/>
          <w:sz w:val="24"/>
          <w14:textFill>
            <w14:solidFill>
              <w14:schemeClr w14:val="tx1"/>
            </w14:solidFill>
          </w14:textFill>
        </w:rPr>
        <w:t xml:space="preserve">1月1日起</w:t>
      </w:r>
      <w:r>
        <w:rPr>
          <w:rFonts w:hint="eastAsia" w:ascii="宋体" w:hAnsi="宋体"/>
          <w:color w:val="000000" w:themeColor="text1"/>
          <w:sz w:val="24"/>
          <w:lang w:val="zh-TW"/>
          <w14:textFill>
            <w14:solidFill>
              <w14:schemeClr w14:val="tx1"/>
            </w14:solidFill>
          </w14:textFill>
        </w:rPr>
        <w:t xml:space="preserve">至今</w:t>
      </w:r>
      <w:r>
        <w:rPr>
          <w:rFonts w:hint="eastAsia" w:ascii="宋体" w:hAnsi="宋体"/>
          <w:color w:val="000000" w:themeColor="text1"/>
          <w:sz w:val="24"/>
          <w:lang w:val="zh-TW" w:eastAsia="zh-TW"/>
          <w14:textFill>
            <w14:solidFill>
              <w14:schemeClr w14:val="tx1"/>
            </w14:solidFill>
          </w14:textFill>
        </w:rPr>
        <w:t xml:space="preserve">履行的</w:t>
      </w:r>
      <w:r>
        <w:rPr>
          <w:rFonts w:hint="eastAsia" w:ascii="宋体" w:hAnsi="宋体"/>
          <w:color w:val="000000" w:themeColor="text1"/>
          <w:sz w:val="24"/>
          <w:lang w:val="zh-TW"/>
          <w14:textFill>
            <w14:solidFill>
              <w14:schemeClr w14:val="tx1"/>
            </w14:solidFill>
          </w14:textFill>
        </w:rPr>
        <w:t xml:space="preserve">类似</w:t>
      </w:r>
      <w:r>
        <w:rPr>
          <w:rFonts w:hint="eastAsia" w:ascii="宋体" w:hAnsi="宋体"/>
          <w:color w:val="000000" w:themeColor="text1"/>
          <w:sz w:val="24"/>
          <w:lang w:val="zh-TW" w:eastAsia="zh-TW"/>
          <w14:textFill>
            <w14:solidFill>
              <w14:schemeClr w14:val="tx1"/>
            </w14:solidFill>
          </w14:textFill>
        </w:rPr>
        <w:t xml:space="preserve">项目</w:t>
      </w:r>
      <w:r>
        <w:rPr>
          <w:rFonts w:hint="eastAsia" w:ascii="宋体" w:hAnsi="宋体"/>
          <w:color w:val="000000" w:themeColor="text1"/>
          <w:sz w:val="24"/>
          <w:lang w:val="zh-TW"/>
          <w14:textFill>
            <w14:solidFill>
              <w14:schemeClr w14:val="tx1"/>
            </w14:solidFill>
          </w14:textFill>
        </w:rPr>
        <w:t xml:space="preserve">业绩</w:t>
      </w:r>
      <w:r>
        <w:rPr>
          <w:rFonts w:hint="eastAsia" w:ascii="宋体" w:hAnsi="宋体"/>
          <w:color w:val="000000" w:themeColor="text1"/>
          <w:sz w:val="24"/>
          <w:lang w:val="zh-TW" w:eastAsia="zh-TW"/>
          <w14:textFill>
            <w14:solidFill>
              <w14:schemeClr w14:val="tx1"/>
            </w14:solidFill>
          </w14:textFill>
        </w:rPr>
        <w:t xml:space="preserve">，</w:t>
      </w:r>
      <w:r>
        <w:rPr>
          <w:rFonts w:hint="eastAsia" w:ascii="宋体" w:hAnsi="宋体"/>
          <w:color w:val="000000" w:themeColor="text1"/>
          <w:sz w:val="24"/>
          <w:lang w:val="zh-TW"/>
          <w14:textFill>
            <w14:solidFill>
              <w14:schemeClr w14:val="tx1"/>
            </w14:solidFill>
          </w14:textFill>
        </w:rPr>
        <w:t xml:space="preserve">每提供</w:t>
      </w:r>
      <w:r>
        <w:rPr>
          <w:rFonts w:hint="eastAsia" w:ascii="宋体" w:hAnsi="宋体"/>
          <w:color w:val="000000" w:themeColor="text1"/>
          <w:sz w:val="24"/>
          <w:lang w:val="zh-TW" w:eastAsia="zh-TW"/>
          <w14:textFill>
            <w14:solidFill>
              <w14:schemeClr w14:val="tx1"/>
            </w14:solidFill>
          </w14:textFill>
        </w:rPr>
        <w:t xml:space="preserve">一</w:t>
      </w:r>
      <w:r>
        <w:rPr>
          <w:rFonts w:hint="eastAsia" w:ascii="宋体" w:hAnsi="宋体"/>
          <w:color w:val="000000" w:themeColor="text1"/>
          <w:sz w:val="24"/>
          <w:lang w:val="zh-TW"/>
          <w14:textFill>
            <w14:solidFill>
              <w14:schemeClr w14:val="tx1"/>
            </w14:solidFill>
          </w14:textFill>
        </w:rPr>
        <w:t xml:space="preserve">份</w:t>
      </w:r>
      <w:r>
        <w:rPr>
          <w:rFonts w:hint="eastAsia" w:ascii="宋体" w:hAnsi="宋体"/>
          <w:color w:val="000000" w:themeColor="text1"/>
          <w:sz w:val="24"/>
          <w14:textFill>
            <w14:solidFill>
              <w14:schemeClr w14:val="tx1"/>
            </w14:solidFill>
          </w14:textFill>
        </w:rPr>
        <w:t xml:space="preserve">得2分，最高10分</w:t>
      </w:r>
      <w:r>
        <w:rPr>
          <w:rFonts w:hint="eastAsia" w:ascii="宋体" w:hAnsi="宋体"/>
          <w:color w:val="000000" w:themeColor="text1"/>
          <w:sz w:val="24"/>
          <w:lang w:val="zh-TW"/>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投标文件中提供类似业绩合同复印件，提供的资料不全不得分。类似业绩日期计算：以</w:t>
      </w:r>
      <w:r>
        <w:rPr>
          <w:rFonts w:hint="eastAsia" w:ascii="宋体" w:hAnsi="宋体"/>
          <w:color w:val="000000" w:themeColor="text1"/>
          <w:sz w:val="24"/>
          <w:lang w:val="zh-TW"/>
          <w14:textFill>
            <w14:solidFill>
              <w14:schemeClr w14:val="tx1"/>
            </w14:solidFill>
          </w14:textFill>
        </w:rPr>
        <w:t xml:space="preserve">合同签订日期为准。</w:t>
      </w:r>
      <w:r>
        <w:rPr>
          <w:rFonts w:hint="eastAsia" w:ascii="宋体" w:hAnsi="宋体"/>
          <w:color w:val="000000" w:themeColor="text1"/>
          <w:sz w:val="24"/>
          <w14:textFill>
            <w14:solidFill>
              <w14:schemeClr w14:val="tx1"/>
            </w14:solidFill>
          </w14:textFill>
        </w:rPr>
        <w:t xml:space="preserve">   </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注：（1）供应商在制作磋商响应文件时请按磋商文件规定的顺序编制，要求简洁、明了，并添加响应文件目录、页码、书签，便于磋商小组评审查阅。</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付款步骤及服务</w:t>
      </w:r>
      <w:r>
        <w:rPr>
          <w:rFonts w:hint="eastAsia" w:ascii="宋体" w:hAnsi="宋体"/>
          <w:color w:val="000000" w:themeColor="text1"/>
          <w:sz w:val="24"/>
          <w14:textFill>
            <w14:solidFill>
              <w14:schemeClr w14:val="tx1"/>
            </w14:solidFill>
          </w14:textFill>
        </w:rPr>
        <w:t xml:space="preserve">内容</w:t>
      </w:r>
      <w:r>
        <w:rPr>
          <w:rFonts w:ascii="宋体" w:hAnsi="宋体"/>
          <w:color w:val="000000" w:themeColor="text1"/>
          <w:sz w:val="24"/>
          <w14:textFill>
            <w14:solidFill>
              <w14:schemeClr w14:val="tx1"/>
            </w14:solidFill>
          </w14:textFill>
        </w:rPr>
        <w:t xml:space="preserve">未响应采购要求的为无效</w:t>
      </w:r>
      <w:r>
        <w:rPr>
          <w:rFonts w:hint="eastAsia" w:ascii="宋体" w:hAnsi="宋体"/>
          <w:color w:val="000000" w:themeColor="text1"/>
          <w:sz w:val="24"/>
          <w14:textFill>
            <w14:solidFill>
              <w14:schemeClr w14:val="tx1"/>
            </w14:solidFill>
          </w14:textFill>
        </w:rPr>
        <w:t xml:space="preserve">响应</w:t>
      </w:r>
      <w:r>
        <w:rPr>
          <w:rFonts w:ascii="宋体" w:hAnsi="宋体"/>
          <w:color w:val="000000" w:themeColor="text1"/>
          <w:sz w:val="24"/>
          <w14:textFill>
            <w14:solidFill>
              <w14:schemeClr w14:val="tx1"/>
            </w14:solidFill>
          </w14:textFill>
        </w:rPr>
        <w:t xml:space="preserve">。</w:t>
      </w:r>
      <w:r/>
    </w:p>
    <w:p>
      <w:pPr>
        <w:ind w:firstLine="480"/>
        <w:spacing w:line="360" w:lineRule="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ascii="宋体" w:hAnsi="宋体"/>
          <w:color w:val="000000" w:themeColor="text1"/>
          <w:sz w:val="24"/>
          <w14:textFill>
            <w14:solidFill>
              <w14:schemeClr w14:val="tx1"/>
            </w14:solidFill>
          </w14:textFill>
        </w:rPr>
        <w:t xml:space="preserve">磋商响应单位必须保证全部资料的真实性，如有虚假或对采购文件所要求说明的情况故意隐瞒或虚报，视为不实质性响应采购文件，为无效</w:t>
      </w:r>
      <w:r>
        <w:rPr>
          <w:rFonts w:hint="eastAsia" w:ascii="宋体" w:hAnsi="宋体"/>
          <w:color w:val="000000" w:themeColor="text1"/>
          <w:sz w:val="24"/>
          <w14:textFill>
            <w14:solidFill>
              <w14:schemeClr w14:val="tx1"/>
            </w14:solidFill>
          </w14:textFill>
        </w:rPr>
        <w:t xml:space="preserve">响应</w:t>
      </w:r>
      <w:r>
        <w:rPr>
          <w:rFonts w:ascii="宋体" w:hAnsi="宋体"/>
          <w:color w:val="000000" w:themeColor="text1"/>
          <w:sz w:val="24"/>
          <w14:textFill>
            <w14:solidFill>
              <w14:schemeClr w14:val="tx1"/>
            </w14:solidFill>
          </w14:textFill>
        </w:rPr>
        <w:t xml:space="preserve">。已</w:t>
      </w:r>
      <w:r>
        <w:rPr>
          <w:rFonts w:hint="eastAsia" w:ascii="宋体" w:hAnsi="宋体"/>
          <w:color w:val="000000" w:themeColor="text1"/>
          <w:sz w:val="24"/>
          <w14:textFill>
            <w14:solidFill>
              <w14:schemeClr w14:val="tx1"/>
            </w14:solidFill>
          </w14:textFill>
        </w:rPr>
        <w:t xml:space="preserve">成交</w:t>
      </w:r>
      <w:r>
        <w:rPr>
          <w:rFonts w:ascii="宋体" w:hAnsi="宋体"/>
          <w:color w:val="000000" w:themeColor="text1"/>
          <w:sz w:val="24"/>
          <w14:textFill>
            <w14:solidFill>
              <w14:schemeClr w14:val="tx1"/>
            </w14:solidFill>
          </w14:textFill>
        </w:rPr>
        <w:t xml:space="preserve">的将取消</w:t>
      </w:r>
      <w:r>
        <w:rPr>
          <w:rFonts w:hint="eastAsia" w:ascii="宋体" w:hAnsi="宋体"/>
          <w:color w:val="000000" w:themeColor="text1"/>
          <w:sz w:val="24"/>
          <w14:textFill>
            <w14:solidFill>
              <w14:schemeClr w14:val="tx1"/>
            </w14:solidFill>
          </w14:textFill>
        </w:rPr>
        <w:t xml:space="preserve">成交</w:t>
      </w:r>
      <w:r>
        <w:rPr>
          <w:rFonts w:ascii="宋体" w:hAnsi="宋体"/>
          <w:color w:val="000000" w:themeColor="text1"/>
          <w:sz w:val="24"/>
          <w14:textFill>
            <w14:solidFill>
              <w14:schemeClr w14:val="tx1"/>
            </w14:solidFill>
          </w14:textFill>
        </w:rPr>
        <w:t xml:space="preserve">资格，并按《中华人民共和国政府采购法》第七十七条“提供虚假材料谋取中标、成交”相关处理办法处理。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r>
      <w:r/>
    </w:p>
    <w:p>
      <w:pPr>
        <w:spacing w:line="360" w:lineRule="auto"/>
        <w:rPr>
          <w:rFonts w:hint="eastAsia" w:ascii="宋体" w:hAnsi="宋体"/>
          <w:color w:val="000000" w:themeColor="text1"/>
          <w:sz w:val="24"/>
          <w14:textFill>
            <w14:solidFill>
              <w14:schemeClr w14:val="tx1"/>
            </w14:solidFill>
          </w14:textFill>
        </w:rPr>
      </w:pPr>
      <w:r>
        <w:rPr>
          <w:b/>
          <w:color w:val="000000" w:themeColor="text1"/>
          <w14:textFill>
            <w14:solidFill>
              <w14:schemeClr w14:val="tx1"/>
            </w14:solidFill>
          </w14:textFill>
        </w:rPr>
        <w:br w:type="page" w:clear="all"/>
      </w:r>
      <w:r/>
    </w:p>
    <w:p>
      <w:pPr>
        <w:pStyle w:val="1196"/>
        <w:jc w:val="center"/>
        <w:rPr>
          <w:rFonts w:hint="eastAsia" w:ascii="黑体" w:hAnsi="宋体" w:eastAsia="黑体"/>
          <w:color w:val="000000" w:themeColor="text1"/>
          <w:szCs w:val="16"/>
          <w14:textFill>
            <w14:solidFill>
              <w14:schemeClr w14:val="tx1"/>
            </w14:solidFill>
          </w14:textFill>
        </w:rPr>
      </w:pPr>
      <w:r/>
      <w:bookmarkStart w:id="28" w:name="_Toc26351"/>
      <w:r/>
      <w:bookmarkStart w:id="29" w:name="_Toc14752"/>
      <w:r>
        <w:rPr>
          <w:rFonts w:hint="eastAsia" w:ascii="黑体" w:hAnsi="宋体" w:eastAsia="黑体"/>
          <w:color w:val="000000" w:themeColor="text1"/>
          <w:szCs w:val="16"/>
          <w14:textFill>
            <w14:solidFill>
              <w14:schemeClr w14:val="tx1"/>
            </w14:solidFill>
          </w14:textFill>
        </w:rPr>
        <w:t xml:space="preserve">第六章  磋商响应文件格式</w:t>
      </w:r>
      <w:bookmarkEnd w:id="28"/>
      <w:r/>
      <w:bookmarkEnd w:id="29"/>
      <w:r/>
      <w:r/>
    </w:p>
    <w:p>
      <w:pPr>
        <w:pStyle w:val="1292"/>
        <w:ind w:firstLine="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说明：</w:t>
      </w:r>
      <w:r/>
    </w:p>
    <w:p>
      <w:pPr>
        <w:pStyle w:val="1292"/>
        <w:ind w:firstLine="48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对本章所有的格式，磋商供应商可根据自身情况进行补充和修改，但补充和修改不得造成与本格式内容有实质性的违背。</w:t>
      </w:r>
      <w:r/>
    </w:p>
    <w:p>
      <w:pPr>
        <w:pStyle w:val="1292"/>
        <w:ind w:firstLine="0"/>
        <w:spacing w:line="360" w:lineRule="auto"/>
        <w:rPr>
          <w:rFonts w:hint="eastAsia" w:ascii="宋体" w:hAnsi="宋体"/>
          <w:color w:val="000000" w:themeColor="text1"/>
          <w14:textFill>
            <w14:solidFill>
              <w14:schemeClr w14:val="tx1"/>
            </w14:solidFill>
          </w14:textFill>
        </w:rPr>
        <w:outlineLvl w:val="1"/>
      </w:pPr>
      <w:r>
        <w:rPr>
          <w:rFonts w:ascii="宋体" w:hAnsi="宋体"/>
          <w:color w:val="000000" w:themeColor="text1"/>
          <w14:textFill>
            <w14:solidFill>
              <w14:schemeClr w14:val="tx1"/>
            </w14:solidFill>
          </w14:textFill>
        </w:rPr>
        <w:t xml:space="preserve">1</w:t>
      </w:r>
      <w:r>
        <w:rPr>
          <w:rFonts w:hint="eastAsia" w:ascii="宋体" w:hAnsi="宋体"/>
          <w:color w:val="000000" w:themeColor="text1"/>
          <w14:textFill>
            <w14:solidFill>
              <w14:schemeClr w14:val="tx1"/>
            </w14:solidFill>
          </w14:textFill>
        </w:rPr>
        <w:t xml:space="preserve">、（供应商）法定代表人授权委托书</w:t>
      </w:r>
      <w:r/>
    </w:p>
    <w:p>
      <w:pPr>
        <w:ind w:firstLine="422"/>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zh-CN"/>
          <w14:textFill>
            <w14:solidFill>
              <w14:schemeClr w14:val="tx1"/>
            </w14:solidFill>
          </w14:textFill>
        </w:rPr>
        <w:t xml:space="preserve">法人授权委托书</w:t>
      </w:r>
      <w:r/>
    </w:p>
    <w:p>
      <w:pPr>
        <w:pStyle w:val="1292"/>
        <w:ind w:firstLine="0"/>
        <w:jc w:val="cente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本授权书声明： </w:t>
      </w:r>
      <w:r>
        <w:rPr>
          <w:rFonts w:hint="eastAsia" w:ascii="宋体" w:hAnsi="宋体" w:cs="宋体"/>
          <w:color w:val="000000" w:themeColor="text1"/>
          <w:sz w:val="24"/>
          <w:u w:val="single"/>
          <w14:textFill>
            <w14:solidFill>
              <w14:schemeClr w14:val="tx1"/>
            </w14:solidFill>
          </w14:textFill>
        </w:rPr>
        <w:t xml:space="preserve">  （供应商名称）   </w:t>
      </w:r>
      <w:r>
        <w:rPr>
          <w:rFonts w:hint="eastAsia" w:ascii="宋体" w:hAnsi="宋体" w:cs="宋体"/>
          <w:color w:val="000000" w:themeColor="text1"/>
          <w:sz w:val="24"/>
          <w14:textFill>
            <w14:solidFill>
              <w14:schemeClr w14:val="tx1"/>
            </w14:solidFill>
          </w14:textFill>
        </w:rPr>
        <w:t xml:space="preserve">授权 </w:t>
      </w:r>
      <w:r>
        <w:rPr>
          <w:rFonts w:hint="eastAsia" w:ascii="宋体" w:hAnsi="宋体" w:cs="宋体"/>
          <w:color w:val="000000" w:themeColor="text1"/>
          <w:sz w:val="24"/>
          <w:u w:val="single"/>
          <w14:textFill>
            <w14:solidFill>
              <w14:schemeClr w14:val="tx1"/>
            </w14:solidFill>
          </w14:textFill>
        </w:rPr>
        <w:t xml:space="preserve"> （被授权人的姓名）</w:t>
      </w:r>
      <w:r>
        <w:rPr>
          <w:rFonts w:hint="eastAsia" w:ascii="宋体" w:hAnsi="宋体" w:cs="宋体"/>
          <w:color w:val="000000" w:themeColor="text1"/>
          <w:sz w:val="24"/>
          <w14:textFill>
            <w14:solidFill>
              <w14:schemeClr w14:val="tx1"/>
            </w14:solidFill>
          </w14:textFill>
        </w:rPr>
        <w:t xml:space="preserve">为我方授权代表（即代理人），参加</w:t>
      </w:r>
      <w:r>
        <w:rPr>
          <w:rFonts w:hint="eastAsia" w:ascii="宋体" w:hAnsi="宋体" w:cs="宋体"/>
          <w:color w:val="000000" w:themeColor="text1"/>
          <w:sz w:val="24"/>
          <w:u w:val="single"/>
          <w14:textFill>
            <w14:solidFill>
              <w14:schemeClr w14:val="tx1"/>
            </w14:solidFill>
          </w14:textFill>
        </w:rPr>
        <w:t xml:space="preserve">江苏至衡诚达工程咨询有限公司</w:t>
      </w:r>
      <w:r>
        <w:rPr>
          <w:rFonts w:hint="eastAsia" w:ascii="宋体" w:hAnsi="宋体" w:cs="宋体"/>
          <w:color w:val="000000" w:themeColor="text1"/>
          <w:sz w:val="24"/>
          <w14:textFill>
            <w14:solidFill>
              <w14:schemeClr w14:val="tx1"/>
            </w14:solidFill>
          </w14:textFill>
        </w:rPr>
        <w:t xml:space="preserve">组织实施的编号为</w:t>
      </w:r>
      <w:r>
        <w:rPr>
          <w:rFonts w:hint="eastAsia" w:ascii="宋体" w:hAnsi="宋体" w:cs="宋体"/>
          <w:color w:val="000000" w:themeColor="text1"/>
          <w:sz w:val="24"/>
          <w:u w:val="single"/>
          <w14:textFill>
            <w14:solidFill>
              <w14:schemeClr w14:val="tx1"/>
            </w14:solidFill>
          </w14:textFill>
        </w:rPr>
        <w:t xml:space="preserve">   （采购编号）   </w:t>
      </w:r>
      <w:r>
        <w:rPr>
          <w:rFonts w:hint="eastAsia" w:ascii="宋体" w:hAnsi="宋体" w:cs="宋体"/>
          <w:color w:val="000000" w:themeColor="text1"/>
          <w:sz w:val="24"/>
          <w14:textFill>
            <w14:solidFill>
              <w14:schemeClr w14:val="tx1"/>
            </w14:solidFill>
          </w14:textFill>
        </w:rPr>
        <w:t xml:space="preserve">的竞争性磋商采购。代理人在本次磋商活动过程、合同签订及处理有关事宜所作出的全部意思表示（包括签署的全部文件），我司均予以承认并由我司承担相应法律后果。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本授权委托书有效期自委托书作出之日起至本项目合同履行完毕之日止。</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代理人无转委托权。</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被授权人身份证号码：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被授权人联系电话：</w:t>
      </w:r>
      <w:r>
        <w:rPr>
          <w:rFonts w:hint="eastAsia" w:ascii="宋体" w:hAnsi="宋体" w:cs="宋体"/>
          <w:color w:val="000000" w:themeColor="text1"/>
          <w:sz w:val="24"/>
          <w:u w:val="single"/>
          <w14:textFill>
            <w14:solidFill>
              <w14:schemeClr w14:val="tx1"/>
            </w14:solidFill>
          </w14:textFill>
        </w:rPr>
        <w:t xml:space="preserve">（手机）                </w:t>
      </w:r>
      <w:r>
        <w:rPr>
          <w:rFonts w:hint="eastAsia" w:ascii="宋体" w:hAnsi="宋体" w:cs="宋体"/>
          <w:color w:val="000000" w:themeColor="text1"/>
          <w:sz w:val="24"/>
          <w14:textFill>
            <w14:solidFill>
              <w14:schemeClr w14:val="tx1"/>
            </w14:solidFill>
          </w14:textFill>
        </w:rPr>
        <w:t xml:space="preserve">。          </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right="630"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供应商名称：（加盖CA电子公章）                                    </w:t>
      </w:r>
      <w:r/>
    </w:p>
    <w:p>
      <w:pPr>
        <w:ind w:right="630"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jc w:val="lef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备注：供应商如有授权委托，必须提供该法人授权委托书及法人和代理人的身份证，否则响应无效；</w:t>
      </w:r>
      <w:r/>
    </w:p>
    <w:p>
      <w:pPr>
        <w:pStyle w:val="1293"/>
        <w:ind w:firstLine="482"/>
        <w:jc w:val="both"/>
        <w:spacing w:before="0" w:beforeAutospacing="0" w:after="0" w:afterAutospacing="0" w:line="360" w:lineRule="auto"/>
        <w:rPr>
          <w:rFonts w:hint="eastAsia" w:cs="宋体"/>
          <w:color w:val="000000" w:themeColor="text1"/>
          <w14:textFill>
            <w14:solidFill>
              <w14:schemeClr w14:val="tx1"/>
            </w14:solidFill>
          </w14:textFill>
        </w:rPr>
      </w:pPr>
      <w:r>
        <w:rPr>
          <w:rFonts w:hint="eastAsia" w:cs="宋体"/>
          <w:b/>
          <w:color w:val="000000" w:themeColor="text1"/>
          <w14:textFill>
            <w14:solidFill>
              <w14:schemeClr w14:val="tx1"/>
            </w14:solidFill>
          </w14:textFill>
        </w:rPr>
        <w:t xml:space="preserve">供应商无授权委托的情况下，必须提供法定代表人身份证，否则响应无效。</w:t>
      </w:r>
      <w:r/>
    </w:p>
    <w:p>
      <w:pPr>
        <w:pStyle w:val="1292"/>
        <w:ind w:firstLine="0"/>
        <w:jc w:val="left"/>
        <w:spacing w:line="360" w:lineRule="auto"/>
        <w:rPr>
          <w:rFonts w:hint="eastAsia" w:ascii="宋体" w:hAnsi="宋体"/>
          <w:color w:val="000000" w:themeColor="text1"/>
          <w14:textFill>
            <w14:solidFill>
              <w14:schemeClr w14:val="tx1"/>
            </w14:solidFill>
          </w14:textFill>
        </w:rPr>
        <w:outlineLvl w:val="1"/>
      </w:pPr>
      <w:r>
        <w:rPr>
          <w:rFonts w:ascii="宋体" w:hAnsi="宋体"/>
          <w:color w:val="000000" w:themeColor="text1"/>
          <w14:textFill>
            <w14:solidFill>
              <w14:schemeClr w14:val="tx1"/>
            </w14:solidFill>
          </w14:textFill>
        </w:rPr>
        <w:br w:type="page" w:clear="all"/>
      </w:r>
      <w:r>
        <w:rPr>
          <w:rFonts w:ascii="宋体" w:hAnsi="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w:t>
      </w:r>
      <w:r>
        <w:rPr>
          <w:rStyle w:val="1000"/>
          <w:rFonts w:hint="eastAsia" w:ascii="宋体" w:hAnsi="宋体"/>
          <w:color w:val="000000" w:themeColor="text1"/>
          <w:sz w:val="24"/>
          <w14:textFill>
            <w14:solidFill>
              <w14:schemeClr w14:val="tx1"/>
            </w14:solidFill>
          </w14:textFill>
        </w:rPr>
        <w:t xml:space="preserve">磋商响应函</w:t>
      </w:r>
      <w:r/>
    </w:p>
    <w:p>
      <w:pPr>
        <w:pStyle w:val="1292"/>
        <w:jc w:val="center"/>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14:textFill>
            <w14:solidFill>
              <w14:schemeClr w14:val="tx1"/>
            </w14:solidFill>
          </w14:textFill>
        </w:rPr>
        <w:t xml:space="preserve">磋商响应函</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u w:val="single"/>
          <w14:textFill>
            <w14:solidFill>
              <w14:schemeClr w14:val="tx1"/>
            </w14:solidFill>
          </w14:textFill>
        </w:rPr>
        <w:t xml:space="preserve">江苏至衡诚达工程咨询有限公司</w:t>
      </w:r>
      <w:r>
        <w:rPr>
          <w:rFonts w:hint="eastAsia" w:ascii="宋体" w:hAnsi="宋体"/>
          <w:color w:val="000000" w:themeColor="text1"/>
          <w14:textFill>
            <w14:solidFill>
              <w14:schemeClr w14:val="tx1"/>
            </w14:solidFill>
          </w14:textFill>
        </w:rPr>
        <w:t xml:space="preserve">：</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14:textFill>
            <w14:solidFill>
              <w14:schemeClr w14:val="tx1"/>
            </w14:solidFill>
          </w14:textFill>
        </w:rPr>
        <w:t xml:space="preserve">我们收到贵公司</w:t>
      </w:r>
      <w:r>
        <w:rPr>
          <w:rFonts w:ascii="宋体" w:hAnsi="宋体"/>
          <w:color w:val="000000" w:themeColor="text1"/>
          <w:u w:val="single"/>
          <w14:textFill>
            <w14:solidFill>
              <w14:schemeClr w14:val="tx1"/>
            </w14:solidFill>
          </w14:textFill>
        </w:rPr>
        <w:t xml:space="preserve">        </w:t>
      </w:r>
      <w:r>
        <w:rPr>
          <w:rFonts w:hint="eastAsia" w:ascii="宋体" w:hAnsi="宋体"/>
          <w:color w:val="000000" w:themeColor="text1"/>
          <w:u w:val="single"/>
          <w14:textFill>
            <w14:solidFill>
              <w14:schemeClr w14:val="tx1"/>
            </w14:solidFill>
          </w14:textFill>
        </w:rPr>
        <w:t xml:space="preserve">        </w:t>
      </w:r>
      <w:r>
        <w:rPr>
          <w:rFonts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号磋商邀请函，经仔细阅读和研究，我们决定参加该次磋商活动。</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14:textFill>
            <w14:solidFill>
              <w14:schemeClr w14:val="tx1"/>
            </w14:solidFill>
          </w14:textFill>
        </w:rPr>
        <w:t xml:space="preserve">1、我们愿意按照磋商采购邀请函的一切要求，提供包括但不限于全部所需布置设备、劳务、管理、材料、安装、调试、垃圾清扫和搬运、成品保护、建筑物修复、整改、验收、利润、税金、政策性文件规定及本项目包含的所有风险、责任、代理服务费等各项应有费用。</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14:textFill>
            <w14:solidFill>
              <w14:schemeClr w14:val="tx1"/>
            </w14:solidFill>
          </w14:textFill>
        </w:rPr>
        <w:t xml:space="preserve">2、如果我们磋商商务被接受，我们将严格履行磋商邀请函中规定的每一项要求，按期、按质、按量履行合同的义务。</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14:textFill>
            <w14:solidFill>
              <w14:schemeClr w14:val="tx1"/>
            </w14:solidFill>
          </w14:textFill>
        </w:rPr>
        <w:t xml:space="preserve">3、我们愿意提供邀请方在磋商采购文件中要求的所有资料。</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14:textFill>
            <w14:solidFill>
              <w14:schemeClr w14:val="tx1"/>
            </w14:solidFill>
          </w14:textFill>
        </w:rPr>
        <w:t xml:space="preserve">4、我们认为你们有权决定成交人者，还认为你们有权接受或拒绝所有的磋商供应商。</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14:textFill>
            <w14:solidFill>
              <w14:schemeClr w14:val="tx1"/>
            </w14:solidFill>
          </w14:textFill>
        </w:rPr>
        <w:t xml:space="preserve">5、我们愿意遵守磋商采购文件中所列的收费标准。</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14:textFill>
            <w14:solidFill>
              <w14:schemeClr w14:val="tx1"/>
            </w14:solidFill>
          </w14:textFill>
        </w:rPr>
        <w:t xml:space="preserve">6、如果我们成交，我们愿意在签订合同时按前附表规定的支付成交服务费。</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14:textFill>
            <w14:solidFill>
              <w14:schemeClr w14:val="tx1"/>
            </w14:solidFill>
          </w14:textFill>
        </w:rPr>
        <w:t xml:space="preserve">7、综合说明：</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14:textFill>
            <w14:solidFill>
              <w14:schemeClr w14:val="tx1"/>
            </w14:solidFill>
          </w14:textFill>
        </w:rPr>
        <w:t xml:space="preserve">（1）供应商应提供详细的伴随服务及配合措施清单，并明确双方的职责和责任，以确保工程的顺利实施；</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14:textFill>
            <w14:solidFill>
              <w14:schemeClr w14:val="tx1"/>
            </w14:solidFill>
          </w14:textFill>
        </w:rPr>
        <w:t xml:space="preserve">（2）要求采购单位提供的配合；</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ascii="宋体" w:hAnsi="宋体"/>
          <w:color w:val="000000" w:themeColor="text1"/>
          <w14:textFill>
            <w14:solidFill>
              <w14:schemeClr w14:val="tx1"/>
            </w14:solidFill>
          </w14:textFill>
        </w:rPr>
        <w:t xml:space="preserve">（3）其</w:t>
      </w:r>
      <w:r>
        <w:rPr>
          <w:rFonts w:ascii="宋体" w:hAnsi="宋体" w:cs="宋体"/>
          <w:color w:val="000000" w:themeColor="text1"/>
          <w14:textFill>
            <w14:solidFill>
              <w14:schemeClr w14:val="tx1"/>
            </w14:solidFill>
          </w14:textFill>
        </w:rPr>
        <w:t xml:space="preserve">他</w:t>
      </w:r>
      <w:r>
        <w:rPr>
          <w:rFonts w:ascii="宋体" w:hAnsi="宋体"/>
          <w:color w:val="000000" w:themeColor="text1"/>
          <w14:textFill>
            <w14:solidFill>
              <w14:schemeClr w14:val="tx1"/>
            </w14:solidFill>
          </w14:textFill>
        </w:rPr>
        <w:t xml:space="preserve">说明。</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14:textFill>
            <w14:solidFill>
              <w14:schemeClr w14:val="tx1"/>
            </w14:solidFill>
          </w14:textFill>
        </w:rPr>
        <w:t xml:space="preserve">单位：                 联系人：</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14:textFill>
            <w14:solidFill>
              <w14:schemeClr w14:val="tx1"/>
            </w14:solidFill>
          </w14:textFill>
        </w:rPr>
        <w:t xml:space="preserve">地址：                 邮政编码：</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14:textFill>
            <w14:solidFill>
              <w14:schemeClr w14:val="tx1"/>
            </w14:solidFill>
          </w14:textFill>
        </w:rPr>
        <w:t xml:space="preserve">联系电话：             传真：</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olor w:val="000000" w:themeColor="text1"/>
          <w14:textFill>
            <w14:solidFill>
              <w14:schemeClr w14:val="tx1"/>
            </w14:solidFill>
          </w14:textFill>
        </w:rPr>
        <w:t xml:space="preserve">法定代表人或授权委托人：（签字或盖章）</w:t>
      </w:r>
      <w:r/>
    </w:p>
    <w:p>
      <w:pPr>
        <w:ind w:right="630"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供应商名称：（加盖CA电子公章）</w:t>
      </w:r>
      <w:r/>
    </w:p>
    <w:p>
      <w:pPr>
        <w:pStyle w:val="1292"/>
        <w:ind w:firstLine="480"/>
        <w:jc w:val="left"/>
        <w:spacing w:line="360" w:lineRule="auto"/>
        <w:rPr>
          <w:rFonts w:hint="eastAsia" w:ascii="宋体" w:hAnsi="宋体"/>
          <w:color w:val="000000" w:themeColor="text1"/>
          <w14:textFill>
            <w14:solidFill>
              <w14:schemeClr w14:val="tx1"/>
            </w14:solidFill>
          </w14:textFill>
        </w:rPr>
        <w:outlineLvl w:val="1"/>
      </w:pPr>
      <w:r>
        <w:rPr>
          <w:rFonts w:hint="eastAsia" w:ascii="宋体" w:hAnsi="宋体" w:cs="宋体"/>
          <w:color w:val="000000" w:themeColor="text1"/>
          <w14:textFill>
            <w14:solidFill>
              <w14:schemeClr w14:val="tx1"/>
            </w14:solidFill>
          </w14:textFill>
        </w:rPr>
        <w:t xml:space="preserve">日期：　　　　年　　月　　日</w:t>
      </w:r>
      <w:r/>
    </w:p>
    <w:p>
      <w:pPr>
        <w:pStyle w:val="1291"/>
        <w:ind w:firstLine="0"/>
        <w:jc w:val="both"/>
        <w:spacing w:line="360" w:lineRule="auto"/>
        <w:rPr>
          <w:rFonts w:hint="eastAsia" w:ascii="宋体" w:hAnsi="宋体" w:eastAsia="宋体" w:cs="宋体"/>
          <w:color w:val="000000" w:themeColor="text1"/>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br w:type="page" w:clear="all"/>
      </w:r>
      <w:r>
        <w:rPr>
          <w:rFonts w:hint="eastAsia" w:ascii="宋体" w:hAnsi="宋体" w:eastAsia="宋体" w:cs="宋体"/>
          <w:color w:val="000000" w:themeColor="text1"/>
          <w:szCs w:val="24"/>
          <w14:textFill>
            <w14:solidFill>
              <w14:schemeClr w14:val="tx1"/>
            </w14:solidFill>
          </w14:textFill>
        </w:rPr>
        <w:t xml:space="preserve">3、磋商报价表</w:t>
      </w:r>
      <w:r/>
    </w:p>
    <w:p>
      <w:pPr>
        <w:pStyle w:val="1282"/>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采购编号：                                                </w:t>
      </w:r>
      <w:r/>
    </w:p>
    <w:tbl>
      <w:tblPr>
        <w:tblStyle w:val="879"/>
        <w:tblW w:w="922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388"/>
        <w:gridCol w:w="1875"/>
        <w:gridCol w:w="1600"/>
        <w:gridCol w:w="2600"/>
      </w:tblGrid>
      <w:tr>
        <w:trPr>
          <w:trHeight w:val="535"/>
        </w:trPr>
        <w:tc>
          <w:tcPr>
            <w:tcW w:w="765" w:type="dxa"/>
            <w:textDirection w:val="lrTb"/>
            <w:noWrap w:val="false"/>
          </w:tcPr>
          <w:p>
            <w:pPr>
              <w:pStyle w:val="1282"/>
              <w:jc w:val="center"/>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序号</w:t>
            </w:r>
            <w:r/>
          </w:p>
        </w:tc>
        <w:tc>
          <w:tcPr>
            <w:tcW w:w="2388" w:type="dxa"/>
            <w:textDirection w:val="lrTb"/>
            <w:noWrap w:val="false"/>
          </w:tcPr>
          <w:p>
            <w:pPr>
              <w:pStyle w:val="1282"/>
              <w:jc w:val="center"/>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项   目</w:t>
            </w:r>
            <w:r/>
          </w:p>
        </w:tc>
        <w:tc>
          <w:tcPr>
            <w:tcW w:w="1875" w:type="dxa"/>
            <w:textDirection w:val="lrTb"/>
            <w:noWrap w:val="false"/>
          </w:tcPr>
          <w:p>
            <w:pPr>
              <w:pStyle w:val="1282"/>
              <w:jc w:val="center"/>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响应报价（元）</w:t>
            </w:r>
            <w:r/>
          </w:p>
        </w:tc>
        <w:tc>
          <w:tcPr>
            <w:tcW w:w="1600" w:type="dxa"/>
            <w:textDirection w:val="lrTb"/>
            <w:noWrap w:val="false"/>
          </w:tcPr>
          <w:p>
            <w:pPr>
              <w:pStyle w:val="1282"/>
              <w:jc w:val="center"/>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服务期限（月）</w:t>
            </w:r>
            <w:r/>
          </w:p>
        </w:tc>
        <w:tc>
          <w:tcPr>
            <w:tcW w:w="2600" w:type="dxa"/>
            <w:textDirection w:val="lrTb"/>
            <w:noWrap w:val="false"/>
          </w:tcPr>
          <w:p>
            <w:pPr>
              <w:pStyle w:val="1282"/>
              <w:jc w:val="center"/>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备注</w:t>
            </w:r>
            <w:r/>
          </w:p>
        </w:tc>
      </w:tr>
      <w:tr>
        <w:trPr>
          <w:trHeight w:val="1287"/>
        </w:trPr>
        <w:tc>
          <w:tcPr>
            <w:tcW w:w="765" w:type="dxa"/>
            <w:textDirection w:val="lrTb"/>
            <w:noWrap w:val="false"/>
          </w:tcPr>
          <w:p>
            <w:pPr>
              <w:pStyle w:val="1282"/>
              <w:jc w:val="center"/>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r>
            <w:r/>
          </w:p>
          <w:p>
            <w:pPr>
              <w:pStyle w:val="1282"/>
              <w:jc w:val="center"/>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1</w:t>
            </w:r>
            <w:r/>
          </w:p>
        </w:tc>
        <w:tc>
          <w:tcPr>
            <w:tcW w:w="2388" w:type="dxa"/>
            <w:textDirection w:val="lrTb"/>
            <w:noWrap w:val="false"/>
          </w:tcPr>
          <w:p>
            <w:pPr>
              <w:pStyle w:val="1282"/>
              <w:jc w:val="center"/>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r>
            <w:r/>
          </w:p>
          <w:p>
            <w:pPr>
              <w:pStyle w:val="1282"/>
              <w:jc w:val="center"/>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 </w:t>
            </w:r>
            <w:r/>
          </w:p>
        </w:tc>
        <w:tc>
          <w:tcPr>
            <w:tcW w:w="1875" w:type="dxa"/>
            <w:textDirection w:val="lrTb"/>
            <w:noWrap w:val="false"/>
          </w:tcPr>
          <w:p>
            <w:pPr>
              <w:pStyle w:val="1282"/>
              <w:jc w:val="center"/>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r>
            <w:r/>
          </w:p>
        </w:tc>
        <w:tc>
          <w:tcPr>
            <w:tcW w:w="1600" w:type="dxa"/>
            <w:textDirection w:val="lrTb"/>
            <w:noWrap w:val="false"/>
          </w:tcPr>
          <w:p>
            <w:pPr>
              <w:pStyle w:val="1282"/>
              <w:jc w:val="center"/>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r>
            <w:r/>
          </w:p>
          <w:p>
            <w:pPr>
              <w:pStyle w:val="1282"/>
              <w:jc w:val="center"/>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 </w:t>
            </w:r>
            <w:r/>
          </w:p>
        </w:tc>
        <w:tc>
          <w:tcPr>
            <w:tcW w:w="2600" w:type="dxa"/>
            <w:textDirection w:val="lrTb"/>
            <w:noWrap w:val="false"/>
          </w:tcPr>
          <w:p>
            <w:pPr>
              <w:pStyle w:val="1282"/>
              <w:jc w:val="left"/>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r>
            <w:r/>
          </w:p>
        </w:tc>
      </w:tr>
      <w:tr>
        <w:trPr>
          <w:trHeight w:val="580"/>
        </w:trPr>
        <w:tc>
          <w:tcPr>
            <w:gridSpan w:val="5"/>
            <w:tcW w:w="9228" w:type="dxa"/>
            <w:textDirection w:val="lrTb"/>
            <w:noWrap w:val="false"/>
          </w:tcPr>
          <w:p>
            <w:pPr>
              <w:pStyle w:val="1282"/>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合计（人民币）大写金额：                       小写金额：（</w:t>
            </w:r>
            <w:r>
              <w:rPr>
                <w:rFonts w:hint="eastAsia" w:hAnsi="宋体" w:eastAsia="宋体"/>
                <w:color w:val="000000" w:themeColor="text1"/>
                <w:spacing w:val="20"/>
                <w:sz w:val="21"/>
                <w:szCs w:val="21"/>
                <w14:textFill>
                  <w14:solidFill>
                    <w14:schemeClr w14:val="tx1"/>
                  </w14:solidFill>
                </w14:textFill>
              </w:rPr>
              <w:t xml:space="preserve">￥：    ）</w:t>
            </w:r>
            <w:r/>
          </w:p>
        </w:tc>
      </w:tr>
    </w:tbl>
    <w:p>
      <w:pPr>
        <w:pStyle w:val="1282"/>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r>
      <w:r/>
    </w:p>
    <w:p>
      <w:pPr>
        <w:ind w:firstLine="420"/>
        <w:spacing w:line="360" w:lineRule="auto"/>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1.报价金额全部采取人民币表示，否则为无效响应。</w:t>
      </w:r>
      <w:r/>
    </w:p>
    <w:p>
      <w:pPr>
        <w:pStyle w:val="1028"/>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2.本表中的报价为综合报价，磋商响应报价包括</w:t>
      </w:r>
      <w:r>
        <w:rPr>
          <w:rFonts w:hint="eastAsia" w:ascii="宋体" w:hAnsi="宋体" w:eastAsia="宋体" w:cs="宋体"/>
          <w:color w:val="000000" w:themeColor="text1"/>
          <w:sz w:val="21"/>
          <w:szCs w:val="21"/>
          <w:lang w:val="zh-CN"/>
          <w14:textFill>
            <w14:solidFill>
              <w14:schemeClr w14:val="tx1"/>
            </w14:solidFill>
          </w14:textFill>
        </w:rPr>
        <w:t xml:space="preserve">服务承包期间</w:t>
      </w:r>
      <w:r>
        <w:rPr>
          <w:rFonts w:hint="eastAsia" w:ascii="宋体" w:hAnsi="宋体" w:eastAsia="宋体" w:cs="宋体"/>
          <w:color w:val="000000" w:themeColor="text1"/>
          <w:sz w:val="21"/>
          <w:szCs w:val="21"/>
          <w14:textFill>
            <w14:solidFill>
              <w14:schemeClr w14:val="tx1"/>
            </w14:solidFill>
          </w14:textFill>
        </w:rPr>
        <w:t xml:space="preserve">所有人员的工资、社保、高温费、餐费、加班费、交通费、通讯费、服装费、耗材费、管理费、各种税费、保险、利润、成交服务费、政策性文件规定及合同包含的所有风险、责任等各项应有费用，采购人不再支付其他任何费用。</w:t>
      </w:r>
      <w:r/>
    </w:p>
    <w:p>
      <w:pPr>
        <w:pStyle w:val="1282"/>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r>
      <w:r/>
    </w:p>
    <w:p>
      <w:pPr>
        <w:pStyle w:val="1282"/>
        <w:ind w:firstLine="21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供应商：（公章）</w:t>
      </w:r>
      <w:r/>
    </w:p>
    <w:p>
      <w:pPr>
        <w:pStyle w:val="1282"/>
        <w:ind w:firstLine="21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法定代表人/负责人：（签字或盖章）</w:t>
      </w:r>
      <w:r/>
    </w:p>
    <w:p>
      <w:pPr>
        <w:pStyle w:val="1282"/>
        <w:ind w:firstLine="21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代理人：（签字或盖章）</w:t>
      </w:r>
      <w:r/>
    </w:p>
    <w:p>
      <w:pPr>
        <w:pStyle w:val="1282"/>
        <w:ind w:firstLine="21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日期：</w:t>
      </w:r>
      <w:r>
        <w:rPr>
          <w:rFonts w:hAnsi="宋体" w:eastAsia="宋体"/>
          <w:color w:val="000000" w:themeColor="text1"/>
          <w:sz w:val="21"/>
          <w:szCs w:val="21"/>
          <w14:textFill>
            <w14:solidFill>
              <w14:schemeClr w14:val="tx1"/>
            </w14:solidFill>
          </w14:textFill>
        </w:rPr>
        <w:t xml:space="preserve">         </w:t>
      </w:r>
      <w:r>
        <w:rPr>
          <w:rFonts w:hint="eastAsia" w:hAnsi="宋体" w:eastAsia="宋体"/>
          <w:color w:val="000000" w:themeColor="text1"/>
          <w:sz w:val="21"/>
          <w:szCs w:val="21"/>
          <w14:textFill>
            <w14:solidFill>
              <w14:schemeClr w14:val="tx1"/>
            </w14:solidFill>
          </w14:textFill>
        </w:rPr>
        <w:t xml:space="preserve">年</w:t>
      </w:r>
      <w:r>
        <w:rPr>
          <w:rFonts w:hAnsi="宋体" w:eastAsia="宋体"/>
          <w:color w:val="000000" w:themeColor="text1"/>
          <w:sz w:val="21"/>
          <w:szCs w:val="21"/>
          <w14:textFill>
            <w14:solidFill>
              <w14:schemeClr w14:val="tx1"/>
            </w14:solidFill>
          </w14:textFill>
        </w:rPr>
        <w:t xml:space="preserve">     </w:t>
      </w:r>
      <w:r>
        <w:rPr>
          <w:rFonts w:hint="eastAsia" w:hAnsi="宋体" w:eastAsia="宋体"/>
          <w:color w:val="000000" w:themeColor="text1"/>
          <w:sz w:val="21"/>
          <w:szCs w:val="21"/>
          <w14:textFill>
            <w14:solidFill>
              <w14:schemeClr w14:val="tx1"/>
            </w14:solidFill>
          </w14:textFill>
        </w:rPr>
        <w:t xml:space="preserve">月</w:t>
      </w:r>
      <w:r>
        <w:rPr>
          <w:rFonts w:hAnsi="宋体" w:eastAsia="宋体"/>
          <w:color w:val="000000" w:themeColor="text1"/>
          <w:sz w:val="21"/>
          <w:szCs w:val="21"/>
          <w14:textFill>
            <w14:solidFill>
              <w14:schemeClr w14:val="tx1"/>
            </w14:solidFill>
          </w14:textFill>
        </w:rPr>
        <w:t xml:space="preserve">   </w:t>
      </w:r>
      <w:r>
        <w:rPr>
          <w:rFonts w:hint="eastAsia" w:hAnsi="宋体" w:eastAsia="宋体"/>
          <w:color w:val="000000" w:themeColor="text1"/>
          <w:sz w:val="21"/>
          <w:szCs w:val="21"/>
          <w14:textFill>
            <w14:solidFill>
              <w14:schemeClr w14:val="tx1"/>
            </w14:solidFill>
          </w14:textFill>
        </w:rPr>
        <w:t xml:space="preserve">日</w:t>
      </w:r>
      <w:r/>
    </w:p>
    <w:p>
      <w:pPr>
        <w:pStyle w:val="1028"/>
        <w:ind w:firstLine="0"/>
        <w:jc w:val="both"/>
        <w:spacing w:line="360" w:lineRule="auto"/>
        <w:rPr>
          <w:rFonts w:hint="eastAsia" w:ascii="宋体" w:hAnsi="宋体" w:eastAsia="宋体" w:cs="宋体"/>
          <w:b/>
          <w:color w:val="000000" w:themeColor="text1"/>
          <w:sz w:val="21"/>
          <w:szCs w:val="21"/>
          <w14:textFill>
            <w14:solidFill>
              <w14:schemeClr w14:val="tx1"/>
            </w14:solidFill>
          </w14:textFill>
        </w:rPr>
        <w:outlineLvl w:val="1"/>
      </w:pPr>
      <w:r>
        <w:rPr>
          <w:rFonts w:hint="eastAsia" w:ascii="宋体" w:hAnsi="宋体" w:eastAsia="宋体" w:cs="宋体"/>
          <w:b/>
          <w:color w:val="000000" w:themeColor="text1"/>
          <w:sz w:val="21"/>
          <w:szCs w:val="21"/>
          <w14:textFill>
            <w14:solidFill>
              <w14:schemeClr w14:val="tx1"/>
            </w14:solidFill>
          </w14:textFill>
        </w:rPr>
      </w:r>
      <w:r/>
    </w:p>
    <w:p>
      <w:pPr>
        <w:pStyle w:val="1294"/>
        <w:ind w:right="-290"/>
        <w:spacing w:line="400" w:lineRule="exact"/>
        <w:tabs>
          <w:tab w:val="left" w:pos="9000" w:leader="none"/>
        </w:tabs>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br w:type="page" w:clear="all"/>
      </w:r>
      <w:r/>
    </w:p>
    <w:p>
      <w:pPr>
        <w:rPr>
          <w:rFonts w:hint="eastAsia" w:ascii="宋体" w:hAnsi="宋体"/>
          <w:b/>
          <w:color w:val="000000" w:themeColor="text1"/>
          <w:sz w:val="24"/>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rPr>
          <w:rFonts w:hint="eastAsia" w:ascii="宋体" w:hAnsi="宋体"/>
          <w:b/>
          <w:color w:val="000000" w:themeColor="text1"/>
          <w:sz w:val="24"/>
          <w14:textFill>
            <w14:solidFill>
              <w14:schemeClr w14:val="tx1"/>
            </w14:solidFill>
          </w14:textFill>
        </w:rPr>
        <w:t xml:space="preserve">分项报价明细表</w:t>
      </w:r>
      <w:r/>
    </w:p>
    <w:p>
      <w:pPr>
        <w:pStyle w:val="95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分项报价明细表</w:t>
      </w:r>
      <w:r/>
    </w:p>
    <w:p>
      <w:pP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项目名称：项目编号：</w:t>
      </w:r>
      <w:r/>
    </w:p>
    <w:tbl>
      <w:tblPr>
        <w:tblStyle w:val="879"/>
        <w:tblW w:w="821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7"/>
        <w:gridCol w:w="2759"/>
        <w:gridCol w:w="2156"/>
        <w:gridCol w:w="1755"/>
      </w:tblGrid>
      <w:tr>
        <w:trPr>
          <w:jc w:val="center"/>
          <w:trHeight w:val="534"/>
        </w:trPr>
        <w:tc>
          <w:tcPr>
            <w:tcBorders>
              <w:top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条目</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单价（元）</w:t>
            </w:r>
            <w:r/>
          </w:p>
        </w:tc>
        <w:tc>
          <w:tcPr>
            <w:tcBorders>
              <w:top w:val="single" w:color="auto" w:sz="4" w:space="0"/>
              <w:left w:val="single" w:color="auto" w:sz="4" w:space="0"/>
              <w:bottom w:val="single" w:color="auto" w:sz="4" w:space="0"/>
            </w:tcBorders>
            <w:tcW w:w="1755"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总价（元）</w:t>
            </w:r>
            <w:r/>
          </w:p>
        </w:tc>
      </w:tr>
      <w:tr>
        <w:trPr>
          <w:jc w:val="center"/>
          <w:trHeight w:val="463"/>
        </w:trPr>
        <w:tc>
          <w:tcPr>
            <w:tcBorders>
              <w:top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widowControl/>
              <w:rPr>
                <w:rFonts w:hint="eastAsia" w:ascii="宋体" w:hAnsi="宋体" w:cs="宋体"/>
                <w:b/>
                <w:bCs/>
                <w:color w:val="000000" w:themeColor="text1"/>
                <w:szCs w:val="21"/>
                <w14:textFill>
                  <w14:solidFill>
                    <w14:schemeClr w14:val="tx1"/>
                  </w14:solidFill>
                </w14:textFill>
              </w:rPr>
            </w:pPr>
            <w:r>
              <w:rPr>
                <w:rStyle w:val="1286"/>
                <w:color w:val="000000" w:themeColor="text1"/>
                <w:lang w:bidi="ar"/>
                <w14:textFill>
                  <w14:solidFill>
                    <w14:schemeClr w14:val="tx1"/>
                  </w14:solidFill>
                </w14:textFill>
              </w:rPr>
              <w:t xml:space="preserve">隐患排查</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755"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r>
      <w:tr>
        <w:trPr>
          <w:jc w:val="center"/>
          <w:trHeight w:val="360"/>
        </w:trPr>
        <w:tc>
          <w:tcPr>
            <w:tcBorders>
              <w:top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widowControl/>
              <w:rPr>
                <w:rFonts w:hint="eastAsia" w:ascii="宋体" w:hAnsi="宋体" w:cs="宋体"/>
                <w:b/>
                <w:bCs/>
                <w:color w:val="000000" w:themeColor="text1"/>
                <w:szCs w:val="21"/>
                <w14:textFill>
                  <w14:solidFill>
                    <w14:schemeClr w14:val="tx1"/>
                  </w14:solidFill>
                </w14:textFill>
              </w:rPr>
            </w:pPr>
            <w:r>
              <w:rPr>
                <w:rStyle w:val="1286"/>
                <w:color w:val="000000" w:themeColor="text1"/>
                <w:lang w:bidi="ar"/>
                <w14:textFill>
                  <w14:solidFill>
                    <w14:schemeClr w14:val="tx1"/>
                  </w14:solidFill>
                </w14:textFill>
              </w:rPr>
              <w:t xml:space="preserve">道路巡逻</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755"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r>
      <w:tr>
        <w:trPr>
          <w:jc w:val="center"/>
          <w:trHeight w:val="360"/>
        </w:trPr>
        <w:tc>
          <w:tcPr>
            <w:tcBorders>
              <w:top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widowControl/>
              <w:rPr>
                <w:rFonts w:hint="eastAsia" w:ascii="宋体" w:hAnsi="宋体" w:cs="宋体"/>
                <w:b/>
                <w:bCs/>
                <w:color w:val="000000" w:themeColor="text1"/>
                <w:szCs w:val="21"/>
                <w14:textFill>
                  <w14:solidFill>
                    <w14:schemeClr w14:val="tx1"/>
                  </w14:solidFill>
                </w14:textFill>
              </w:rPr>
            </w:pPr>
            <w:r>
              <w:rPr>
                <w:rStyle w:val="1286"/>
                <w:color w:val="000000" w:themeColor="text1"/>
                <w:lang w:bidi="ar"/>
                <w14:textFill>
                  <w14:solidFill>
                    <w14:schemeClr w14:val="tx1"/>
                  </w14:solidFill>
                </w14:textFill>
              </w:rPr>
              <w:t xml:space="preserve">交通指挥</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755"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r>
      <w:tr>
        <w:trPr>
          <w:jc w:val="center"/>
          <w:trHeight w:val="360"/>
        </w:trPr>
        <w:tc>
          <w:tcPr>
            <w:tcBorders>
              <w:top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widowControl/>
              <w:rPr>
                <w:rFonts w:hint="eastAsia" w:ascii="宋体" w:hAnsi="宋体" w:cs="宋体"/>
                <w:b/>
                <w:bCs/>
                <w:color w:val="000000" w:themeColor="text1"/>
                <w:szCs w:val="21"/>
                <w14:textFill>
                  <w14:solidFill>
                    <w14:schemeClr w14:val="tx1"/>
                  </w14:solidFill>
                </w14:textFill>
              </w:rPr>
            </w:pPr>
            <w:r>
              <w:rPr>
                <w:rStyle w:val="1286"/>
                <w:color w:val="000000" w:themeColor="text1"/>
                <w:lang w:bidi="ar"/>
                <w14:textFill>
                  <w14:solidFill>
                    <w14:schemeClr w14:val="tx1"/>
                  </w14:solidFill>
                </w14:textFill>
              </w:rPr>
              <w:t xml:space="preserve">车辆引导</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755"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r>
      <w:tr>
        <w:trPr>
          <w:jc w:val="center"/>
          <w:trHeight w:val="360"/>
        </w:trPr>
        <w:tc>
          <w:tcPr>
            <w:tcBorders>
              <w:top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widowControl/>
              <w:rPr>
                <w:rFonts w:hint="eastAsia" w:ascii="宋体" w:hAnsi="宋体" w:cs="宋体"/>
                <w:b/>
                <w:bCs/>
                <w:color w:val="000000" w:themeColor="text1"/>
                <w:szCs w:val="21"/>
                <w14:textFill>
                  <w14:solidFill>
                    <w14:schemeClr w14:val="tx1"/>
                  </w14:solidFill>
                </w14:textFill>
              </w:rPr>
            </w:pPr>
            <w:r>
              <w:rPr>
                <w:rStyle w:val="1286"/>
                <w:color w:val="000000" w:themeColor="text1"/>
                <w:lang w:bidi="ar"/>
                <w14:textFill>
                  <w14:solidFill>
                    <w14:schemeClr w14:val="tx1"/>
                  </w14:solidFill>
                </w14:textFill>
              </w:rPr>
              <w:t xml:space="preserve">节假日巡逻</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755"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r>
      <w:tr>
        <w:trPr>
          <w:jc w:val="center"/>
          <w:trHeight w:val="360"/>
        </w:trPr>
        <w:tc>
          <w:tcPr>
            <w:tcBorders>
              <w:top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widowControl/>
              <w:rPr>
                <w:rFonts w:hint="eastAsia" w:ascii="宋体" w:hAnsi="宋体" w:cs="宋体"/>
                <w:b/>
                <w:bCs/>
                <w:color w:val="000000" w:themeColor="text1"/>
                <w:szCs w:val="21"/>
                <w14:textFill>
                  <w14:solidFill>
                    <w14:schemeClr w14:val="tx1"/>
                  </w14:solidFill>
                </w14:textFill>
              </w:rPr>
            </w:pPr>
            <w:r>
              <w:rPr>
                <w:rStyle w:val="1286"/>
                <w:color w:val="000000" w:themeColor="text1"/>
                <w:lang w:bidi="ar"/>
                <w14:textFill>
                  <w14:solidFill>
                    <w14:schemeClr w14:val="tx1"/>
                  </w14:solidFill>
                </w14:textFill>
              </w:rPr>
              <w:t xml:space="preserve">道路应急</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755"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r>
      <w:tr>
        <w:trPr>
          <w:jc w:val="center"/>
          <w:trHeight w:val="360"/>
        </w:trPr>
        <w:tc>
          <w:tcPr>
            <w:tcBorders>
              <w:top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widowControl/>
              <w:rPr>
                <w:rFonts w:hint="eastAsia" w:ascii="宋体" w:hAnsi="宋体" w:cs="宋体"/>
                <w:b/>
                <w:bCs/>
                <w:color w:val="000000" w:themeColor="text1"/>
                <w:szCs w:val="21"/>
                <w14:textFill>
                  <w14:solidFill>
                    <w14:schemeClr w14:val="tx1"/>
                  </w14:solidFill>
                </w14:textFill>
              </w:rPr>
            </w:pPr>
            <w:r>
              <w:rPr>
                <w:rStyle w:val="1286"/>
                <w:color w:val="000000" w:themeColor="text1"/>
                <w:lang w:bidi="ar"/>
                <w14:textFill>
                  <w14:solidFill>
                    <w14:schemeClr w14:val="tx1"/>
                  </w14:solidFill>
                </w14:textFill>
              </w:rPr>
              <w:t xml:space="preserve">税金</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755"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r>
      <w:tr>
        <w:trPr>
          <w:jc w:val="center"/>
          <w:trHeight w:val="360"/>
        </w:trPr>
        <w:tc>
          <w:tcPr>
            <w:tcBorders>
              <w:top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widowControl/>
              <w:rPr>
                <w:rFonts w:hint="eastAsia" w:ascii="宋体" w:hAnsi="宋体" w:cs="宋体"/>
                <w:b/>
                <w:bCs/>
                <w:color w:val="000000" w:themeColor="text1"/>
                <w:szCs w:val="21"/>
                <w14:textFill>
                  <w14:solidFill>
                    <w14:schemeClr w14:val="tx1"/>
                  </w14:solidFill>
                </w14:textFill>
              </w:rPr>
            </w:pPr>
            <w:r>
              <w:rPr>
                <w:rStyle w:val="1286"/>
                <w:color w:val="000000" w:themeColor="text1"/>
                <w:lang w:bidi="ar"/>
                <w14:textFill>
                  <w14:solidFill>
                    <w14:schemeClr w14:val="tx1"/>
                  </w14:solidFill>
                </w14:textFill>
              </w:rPr>
              <w:t xml:space="preserve">管理费</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755"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r>
      <w:tr>
        <w:trPr>
          <w:jc w:val="center"/>
          <w:trHeight w:val="360"/>
        </w:trPr>
        <w:tc>
          <w:tcPr>
            <w:tcBorders>
              <w:top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widowControl/>
              <w:rPr>
                <w:rFonts w:hint="eastAsia" w:ascii="宋体" w:hAnsi="宋体" w:cs="宋体"/>
                <w:b/>
                <w:bCs/>
                <w:color w:val="000000" w:themeColor="text1"/>
                <w:szCs w:val="21"/>
                <w14:textFill>
                  <w14:solidFill>
                    <w14:schemeClr w14:val="tx1"/>
                  </w14:solidFill>
                </w14:textFill>
              </w:rPr>
            </w:pPr>
            <w:r>
              <w:rPr>
                <w:rStyle w:val="1286"/>
                <w:rFonts w:hint="eastAsia"/>
                <w:color w:val="000000" w:themeColor="text1"/>
                <w:lang w:bidi="ar"/>
                <w14:textFill>
                  <w14:solidFill>
                    <w14:schemeClr w14:val="tx1"/>
                  </w14:solidFill>
                </w14:textFill>
              </w:rPr>
              <w:t xml:space="preserve">餐费</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755"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r>
      <w:tr>
        <w:trPr>
          <w:jc w:val="center"/>
          <w:trHeight w:val="360"/>
        </w:trPr>
        <w:tc>
          <w:tcPr>
            <w:tcBorders>
              <w:top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2759" w:type="dxa"/>
            <w:textDirection w:val="lrTb"/>
            <w:noWrap w:val="false"/>
          </w:tcPr>
          <w:p>
            <w:pPr>
              <w:jc w:val="center"/>
              <w:spacing w:line="400" w:lineRule="exact"/>
              <w:rPr>
                <w:rStyle w:val="1286"/>
                <w:color w:val="000000" w:themeColor="text1"/>
                <w:lang w:bidi="ar"/>
                <w14:textFill>
                  <w14:solidFill>
                    <w14:schemeClr w14:val="tx1"/>
                  </w14:solidFill>
                </w14:textFill>
              </w:rPr>
            </w:pPr>
            <w:r>
              <w:rPr>
                <w:rStyle w:val="1286"/>
                <w:rFonts w:hint="eastAsia"/>
                <w:color w:val="000000" w:themeColor="text1"/>
                <w:lang w:bidi="ar"/>
                <w14:textFill>
                  <w14:solidFill>
                    <w14:schemeClr w14:val="tx1"/>
                  </w14:solidFill>
                </w14:textFill>
              </w:rPr>
              <w:t xml:space="preserve">成交服务费</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38210.00</w:t>
            </w:r>
            <w:r/>
          </w:p>
        </w:tc>
        <w:tc>
          <w:tcPr>
            <w:tcBorders>
              <w:top w:val="single" w:color="auto" w:sz="4" w:space="0"/>
              <w:left w:val="single" w:color="auto" w:sz="4" w:space="0"/>
              <w:bottom w:val="single" w:color="auto" w:sz="4" w:space="0"/>
            </w:tcBorders>
            <w:tcW w:w="1755"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38210.00</w:t>
            </w:r>
            <w:r/>
          </w:p>
        </w:tc>
      </w:tr>
      <w:tr>
        <w:trPr>
          <w:jc w:val="center"/>
          <w:trHeight w:val="360"/>
        </w:trPr>
        <w:tc>
          <w:tcPr>
            <w:tcBorders>
              <w:top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2759" w:type="dxa"/>
            <w:textDirection w:val="lrTb"/>
            <w:noWrap w:val="false"/>
          </w:tcPr>
          <w:p>
            <w:pPr>
              <w:jc w:val="center"/>
              <w:spacing w:line="400" w:lineRule="exact"/>
              <w:rPr>
                <w:rFonts w:hint="eastAsia" w:ascii="宋体" w:hAnsi="宋体" w:cs="宋体"/>
                <w:b/>
                <w:bCs/>
                <w:color w:val="000000" w:themeColor="text1"/>
                <w:szCs w:val="21"/>
                <w14:textFill>
                  <w14:solidFill>
                    <w14:schemeClr w14:val="tx1"/>
                  </w14:solidFill>
                </w14:textFill>
              </w:rPr>
            </w:pPr>
            <w:r>
              <w:rPr>
                <w:rStyle w:val="1286"/>
                <w:color w:val="000000" w:themeColor="text1"/>
                <w:lang w:bidi="ar"/>
                <w14:textFill>
                  <w14:solidFill>
                    <w14:schemeClr w14:val="tx1"/>
                  </w14:solidFill>
                </w14:textFill>
              </w:rPr>
              <w:t xml:space="preserve">其他杂项</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755"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r>
      <w:tr>
        <w:trPr>
          <w:jc w:val="center"/>
          <w:trHeight w:val="727"/>
        </w:trPr>
        <w:tc>
          <w:tcPr>
            <w:tcBorders>
              <w:top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合计</w:t>
            </w:r>
            <w:r/>
          </w:p>
        </w:tc>
        <w:tc>
          <w:tcPr>
            <w:gridSpan w:val="3"/>
            <w:tcBorders>
              <w:top w:val="single" w:color="auto" w:sz="4" w:space="0"/>
              <w:left w:val="single" w:color="auto" w:sz="4" w:space="0"/>
              <w:bottom w:val="single" w:color="auto" w:sz="4" w:space="0"/>
            </w:tcBorders>
            <w:tcW w:w="6670" w:type="dxa"/>
            <w:vAlign w:val="center"/>
            <w:textDirection w:val="lrTb"/>
            <w:noWrap w:val="false"/>
          </w:tcPr>
          <w:p>
            <w:pPr>
              <w:spacing w:line="440" w:lineRule="exact"/>
              <w:rPr>
                <w:rFonts w:hint="eastAsia" w:ascii="宋体" w:hAnsi="宋体" w:cs="宋体"/>
                <w:b/>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大写：     人民币</w:t>
            </w:r>
            <w:r/>
          </w:p>
        </w:tc>
      </w:tr>
    </w:tbl>
    <w:p>
      <w:pP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ind w:firstLine="105"/>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说明：</w:t>
      </w:r>
      <w:r/>
    </w:p>
    <w:p>
      <w:pPr>
        <w:pStyle w:val="1028"/>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1.本表中的报价为综合报价，磋商响应报价包括</w:t>
      </w:r>
      <w:r>
        <w:rPr>
          <w:rFonts w:hint="eastAsia" w:ascii="宋体" w:hAnsi="宋体" w:eastAsia="宋体" w:cs="宋体"/>
          <w:color w:val="000000" w:themeColor="text1"/>
          <w:sz w:val="21"/>
          <w:szCs w:val="21"/>
          <w:lang w:val="zh-CN"/>
          <w14:textFill>
            <w14:solidFill>
              <w14:schemeClr w14:val="tx1"/>
            </w14:solidFill>
          </w14:textFill>
        </w:rPr>
        <w:t xml:space="preserve">服务承包期间</w:t>
      </w:r>
      <w:r>
        <w:rPr>
          <w:rFonts w:hint="eastAsia" w:ascii="宋体" w:hAnsi="宋体" w:eastAsia="宋体" w:cs="宋体"/>
          <w:color w:val="000000" w:themeColor="text1"/>
          <w:sz w:val="21"/>
          <w:szCs w:val="21"/>
          <w14:textFill>
            <w14:solidFill>
              <w14:schemeClr w14:val="tx1"/>
            </w14:solidFill>
          </w14:textFill>
        </w:rPr>
        <w:t xml:space="preserve">所有人员的工资、社保、高温费、餐费、加班费、交通费、通讯费、服装费、耗材费、管理费、各种税费、保险、利润、成交服务费、政策性文件规定及合同包含的所有风险、责任等各项应有费用，采购人不再支付其他任何费用。</w:t>
      </w:r>
      <w:r/>
    </w:p>
    <w:p>
      <w:pPr>
        <w:pStyle w:val="1028"/>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2.报价表包含投标单位各项成本核算和投入的成本明细，分项报价明细表中的合计应与磋商报价表金额一致；否则，以磋商报价表为准。</w:t>
      </w:r>
      <w:r/>
    </w:p>
    <w:p>
      <w:pPr>
        <w:pStyle w:val="1028"/>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1282"/>
        <w:ind w:firstLine="21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供应商：（公章）</w:t>
      </w:r>
      <w:r/>
    </w:p>
    <w:p>
      <w:pPr>
        <w:pStyle w:val="1282"/>
        <w:ind w:firstLine="21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法定代表人/负责人：（签字或盖章）</w:t>
      </w:r>
      <w:r/>
    </w:p>
    <w:p>
      <w:pPr>
        <w:pStyle w:val="1282"/>
        <w:ind w:firstLine="21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代理人：（签字或盖章）</w:t>
      </w:r>
      <w:r/>
    </w:p>
    <w:p>
      <w:pPr>
        <w:pStyle w:val="1282"/>
        <w:ind w:firstLine="210"/>
        <w:spacing w:line="360" w:lineRule="exact"/>
        <w:rPr>
          <w:rFonts w:hint="eastAsia" w:hAnsi="宋体" w:eastAsia="宋体"/>
          <w:b/>
          <w:bCs/>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日期：</w:t>
      </w:r>
      <w:r>
        <w:rPr>
          <w:rFonts w:hAnsi="宋体" w:eastAsia="宋体"/>
          <w:color w:val="000000" w:themeColor="text1"/>
          <w:sz w:val="21"/>
          <w:szCs w:val="21"/>
          <w14:textFill>
            <w14:solidFill>
              <w14:schemeClr w14:val="tx1"/>
            </w14:solidFill>
          </w14:textFill>
        </w:rPr>
        <w:t xml:space="preserve">         </w:t>
      </w:r>
      <w:r>
        <w:rPr>
          <w:rFonts w:hint="eastAsia" w:hAnsi="宋体" w:eastAsia="宋体"/>
          <w:color w:val="000000" w:themeColor="text1"/>
          <w:sz w:val="21"/>
          <w:szCs w:val="21"/>
          <w14:textFill>
            <w14:solidFill>
              <w14:schemeClr w14:val="tx1"/>
            </w14:solidFill>
          </w14:textFill>
        </w:rPr>
        <w:t xml:space="preserve">年</w:t>
      </w:r>
      <w:r>
        <w:rPr>
          <w:rFonts w:hAnsi="宋体" w:eastAsia="宋体"/>
          <w:color w:val="000000" w:themeColor="text1"/>
          <w:sz w:val="21"/>
          <w:szCs w:val="21"/>
          <w14:textFill>
            <w14:solidFill>
              <w14:schemeClr w14:val="tx1"/>
            </w14:solidFill>
          </w14:textFill>
        </w:rPr>
        <w:t xml:space="preserve">     </w:t>
      </w:r>
      <w:r>
        <w:rPr>
          <w:rFonts w:hint="eastAsia" w:hAnsi="宋体" w:eastAsia="宋体"/>
          <w:color w:val="000000" w:themeColor="text1"/>
          <w:sz w:val="21"/>
          <w:szCs w:val="21"/>
          <w14:textFill>
            <w14:solidFill>
              <w14:schemeClr w14:val="tx1"/>
            </w14:solidFill>
          </w14:textFill>
        </w:rPr>
        <w:t xml:space="preserve">月</w:t>
      </w:r>
      <w:r>
        <w:rPr>
          <w:rFonts w:hAnsi="宋体" w:eastAsia="宋体"/>
          <w:color w:val="000000" w:themeColor="text1"/>
          <w:sz w:val="21"/>
          <w:szCs w:val="21"/>
          <w14:textFill>
            <w14:solidFill>
              <w14:schemeClr w14:val="tx1"/>
            </w14:solidFill>
          </w14:textFill>
        </w:rPr>
        <w:t xml:space="preserve">   </w:t>
      </w:r>
      <w:r>
        <w:rPr>
          <w:rFonts w:hint="eastAsia" w:hAnsi="宋体" w:eastAsia="宋体"/>
          <w:color w:val="000000" w:themeColor="text1"/>
          <w:sz w:val="21"/>
          <w:szCs w:val="21"/>
          <w14:textFill>
            <w14:solidFill>
              <w14:schemeClr w14:val="tx1"/>
            </w14:solidFill>
          </w14:textFill>
        </w:rPr>
        <w:t xml:space="preserve">日</w:t>
      </w:r>
      <w:r/>
    </w:p>
    <w:p>
      <w:pPr>
        <w:pStyle w:val="1058"/>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b/>
          <w:color w:val="000000" w:themeColor="text1"/>
          <w:sz w:val="24"/>
          <w14:textFill>
            <w14:solidFill>
              <w14:schemeClr w14:val="tx1"/>
            </w14:solidFill>
          </w14:textFill>
        </w:rPr>
        <w:br w:type="page" w:clear="all"/>
      </w:r>
      <w:r/>
    </w:p>
    <w:p>
      <w:pPr>
        <w:pStyle w:val="1202"/>
        <w:ind w:firstLine="0"/>
        <w:jc w:val="both"/>
        <w:spacing w:line="360" w:lineRule="auto"/>
        <w:tabs>
          <w:tab w:val="left" w:pos="8930" w:leader="none"/>
          <w:tab w:val="left" w:pos="9306"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5、项目组织机构人员名单</w:t>
      </w:r>
      <w:r/>
    </w:p>
    <w:p>
      <w:pPr>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pStyle w:val="103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bl>
      <w:tblPr>
        <w:tblStyle w:val="879"/>
        <w:tblW w:w="9374" w:type="dxa"/>
        <w:tblInd w:w="-9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172"/>
        <w:gridCol w:w="1052"/>
        <w:gridCol w:w="749"/>
        <w:gridCol w:w="795"/>
        <w:gridCol w:w="752"/>
        <w:gridCol w:w="1379"/>
        <w:gridCol w:w="1242"/>
        <w:gridCol w:w="1488"/>
      </w:tblGrid>
      <w:tr>
        <w:trPr>
          <w:trHeight w:val="851"/>
        </w:trPr>
        <w:tc>
          <w:tcPr>
            <w:tcW w:w="745" w:type="dxa"/>
            <w:vAlign w:val="center"/>
            <w:textDirection w:val="lrTb"/>
            <w:noWrap w:val="false"/>
          </w:tcPr>
          <w:p>
            <w:pPr>
              <w:pStyle w:val="1040"/>
              <w:jc w:val="center"/>
              <w:rPr>
                <w:rFonts w:ascii="宋体" w:hAnsi="宋体" w:eastAsia="Times New Roman"/>
                <w:color w:val="000000" w:themeColor="text1"/>
                <w:sz w:val="21"/>
                <w:szCs w:val="21"/>
                <w14:textFill>
                  <w14:solidFill>
                    <w14:schemeClr w14:val="tx1"/>
                  </w14:solidFill>
                </w14:textFill>
              </w:rPr>
            </w:pPr>
            <w:r>
              <w:rPr>
                <w:rFonts w:hint="eastAsia" w:ascii="宋体" w:hAnsi="宋体" w:eastAsia="Times New Roman"/>
                <w:color w:val="000000" w:themeColor="text1"/>
                <w:sz w:val="21"/>
                <w:szCs w:val="21"/>
                <w14:textFill>
                  <w14:solidFill>
                    <w14:schemeClr w14:val="tx1"/>
                  </w14:solidFill>
                </w14:textFill>
              </w:rPr>
              <w:t xml:space="preserve">序号</w:t>
            </w:r>
            <w:r/>
          </w:p>
        </w:tc>
        <w:tc>
          <w:tcPr>
            <w:tcW w:w="1172" w:type="dxa"/>
            <w:vAlign w:val="center"/>
            <w:textDirection w:val="lrTb"/>
            <w:noWrap w:val="false"/>
          </w:tcPr>
          <w:p>
            <w:pPr>
              <w:pStyle w:val="1040"/>
              <w:jc w:val="center"/>
              <w:rPr>
                <w:rFonts w:ascii="宋体" w:hAnsi="宋体" w:eastAsia="Times New Roman"/>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拟</w:t>
            </w:r>
            <w:r>
              <w:rPr>
                <w:rFonts w:hint="eastAsia" w:ascii="宋体" w:hAnsi="宋体" w:eastAsia="Times New Roman"/>
                <w:color w:val="000000" w:themeColor="text1"/>
                <w:sz w:val="21"/>
                <w:szCs w:val="21"/>
                <w14:textFill>
                  <w14:solidFill>
                    <w14:schemeClr w14:val="tx1"/>
                  </w14:solidFill>
                </w14:textFill>
              </w:rPr>
              <w:t xml:space="preserve">任职务</w:t>
            </w:r>
            <w:r/>
          </w:p>
        </w:tc>
        <w:tc>
          <w:tcPr>
            <w:tcW w:w="1052" w:type="dxa"/>
            <w:vAlign w:val="center"/>
            <w:textDirection w:val="lrTb"/>
            <w:noWrap w:val="false"/>
          </w:tcPr>
          <w:p>
            <w:pPr>
              <w:pStyle w:val="1040"/>
              <w:jc w:val="center"/>
              <w:rPr>
                <w:rFonts w:ascii="宋体" w:hAnsi="宋体" w:eastAsia="Times New Roman"/>
                <w:color w:val="000000" w:themeColor="text1"/>
                <w:sz w:val="21"/>
                <w:szCs w:val="21"/>
                <w14:textFill>
                  <w14:solidFill>
                    <w14:schemeClr w14:val="tx1"/>
                  </w14:solidFill>
                </w14:textFill>
              </w:rPr>
            </w:pPr>
            <w:r>
              <w:rPr>
                <w:rFonts w:hint="eastAsia" w:ascii="宋体" w:hAnsi="宋体" w:eastAsia="Times New Roman"/>
                <w:color w:val="000000" w:themeColor="text1"/>
                <w:sz w:val="21"/>
                <w:szCs w:val="21"/>
                <w14:textFill>
                  <w14:solidFill>
                    <w14:schemeClr w14:val="tx1"/>
                  </w14:solidFill>
                </w14:textFill>
              </w:rPr>
              <w:t xml:space="preserve">姓名</w:t>
            </w:r>
            <w:r/>
          </w:p>
        </w:tc>
        <w:tc>
          <w:tcPr>
            <w:tcW w:w="749" w:type="dxa"/>
            <w:vAlign w:val="center"/>
            <w:textDirection w:val="lrTb"/>
            <w:noWrap w:val="false"/>
          </w:tcPr>
          <w:p>
            <w:pPr>
              <w:pStyle w:val="1040"/>
              <w:jc w:val="center"/>
              <w:rPr>
                <w:rFonts w:ascii="宋体" w:hAnsi="宋体" w:eastAsia="Times New Roman"/>
                <w:color w:val="000000" w:themeColor="text1"/>
                <w:sz w:val="21"/>
                <w:szCs w:val="21"/>
                <w14:textFill>
                  <w14:solidFill>
                    <w14:schemeClr w14:val="tx1"/>
                  </w14:solidFill>
                </w14:textFill>
              </w:rPr>
            </w:pPr>
            <w:r>
              <w:rPr>
                <w:rFonts w:hint="eastAsia" w:ascii="宋体" w:hAnsi="宋体" w:eastAsia="Times New Roman"/>
                <w:color w:val="000000" w:themeColor="text1"/>
                <w:sz w:val="21"/>
                <w:szCs w:val="21"/>
                <w14:textFill>
                  <w14:solidFill>
                    <w14:schemeClr w14:val="tx1"/>
                  </w14:solidFill>
                </w14:textFill>
              </w:rPr>
              <w:t xml:space="preserve">性别</w:t>
            </w:r>
            <w:r/>
          </w:p>
        </w:tc>
        <w:tc>
          <w:tcPr>
            <w:tcW w:w="795" w:type="dxa"/>
            <w:vAlign w:val="center"/>
            <w:textDirection w:val="lrTb"/>
            <w:noWrap w:val="false"/>
          </w:tcPr>
          <w:p>
            <w:pPr>
              <w:pStyle w:val="1040"/>
              <w:jc w:val="center"/>
              <w:rPr>
                <w:rFonts w:ascii="宋体" w:hAnsi="宋体" w:eastAsia="Times New Roman"/>
                <w:color w:val="000000" w:themeColor="text1"/>
                <w:sz w:val="21"/>
                <w:szCs w:val="21"/>
                <w14:textFill>
                  <w14:solidFill>
                    <w14:schemeClr w14:val="tx1"/>
                  </w14:solidFill>
                </w14:textFill>
              </w:rPr>
            </w:pPr>
            <w:r>
              <w:rPr>
                <w:rFonts w:hint="eastAsia" w:ascii="宋体" w:hAnsi="宋体" w:eastAsia="Times New Roman"/>
                <w:color w:val="000000" w:themeColor="text1"/>
                <w:sz w:val="21"/>
                <w:szCs w:val="21"/>
                <w14:textFill>
                  <w14:solidFill>
                    <w14:schemeClr w14:val="tx1"/>
                  </w14:solidFill>
                </w14:textFill>
              </w:rPr>
              <w:t xml:space="preserve">年龄</w:t>
            </w:r>
            <w:r/>
          </w:p>
        </w:tc>
        <w:tc>
          <w:tcPr>
            <w:tcW w:w="752" w:type="dxa"/>
            <w:vAlign w:val="center"/>
            <w:textDirection w:val="lrTb"/>
            <w:noWrap w:val="false"/>
          </w:tcPr>
          <w:p>
            <w:pPr>
              <w:pStyle w:val="1040"/>
              <w:jc w:val="center"/>
              <w:rPr>
                <w:rFonts w:ascii="宋体" w:hAnsi="宋体" w:eastAsia="Times New Roman"/>
                <w:color w:val="000000" w:themeColor="text1"/>
                <w:sz w:val="21"/>
                <w:szCs w:val="21"/>
                <w14:textFill>
                  <w14:solidFill>
                    <w14:schemeClr w14:val="tx1"/>
                  </w14:solidFill>
                </w14:textFill>
              </w:rPr>
            </w:pPr>
            <w:r>
              <w:rPr>
                <w:rFonts w:hint="eastAsia" w:ascii="宋体" w:hAnsi="宋体" w:eastAsia="Times New Roman"/>
                <w:color w:val="000000" w:themeColor="text1"/>
                <w:sz w:val="21"/>
                <w:szCs w:val="21"/>
                <w14:textFill>
                  <w14:solidFill>
                    <w14:schemeClr w14:val="tx1"/>
                  </w14:solidFill>
                </w14:textFill>
              </w:rPr>
              <w:t xml:space="preserve">职称</w:t>
            </w:r>
            <w:r/>
          </w:p>
        </w:tc>
        <w:tc>
          <w:tcPr>
            <w:tcW w:w="1379" w:type="dxa"/>
            <w:vAlign w:val="center"/>
            <w:textDirection w:val="lrTb"/>
            <w:noWrap w:val="false"/>
          </w:tcPr>
          <w:p>
            <w:pPr>
              <w:pStyle w:val="1040"/>
              <w:jc w:val="center"/>
              <w:rPr>
                <w:rFonts w:ascii="宋体" w:hAnsi="宋体" w:eastAsia="Times New Roman"/>
                <w:color w:val="000000" w:themeColor="text1"/>
                <w:sz w:val="21"/>
                <w:szCs w:val="21"/>
                <w14:textFill>
                  <w14:solidFill>
                    <w14:schemeClr w14:val="tx1"/>
                  </w14:solidFill>
                </w14:textFill>
              </w:rPr>
            </w:pPr>
            <w:r>
              <w:rPr>
                <w:rFonts w:hint="eastAsia" w:ascii="宋体" w:hAnsi="宋体" w:eastAsia="Times New Roman"/>
                <w:color w:val="000000" w:themeColor="text1"/>
                <w:sz w:val="21"/>
                <w:szCs w:val="21"/>
                <w14:textFill>
                  <w14:solidFill>
                    <w14:schemeClr w14:val="tx1"/>
                  </w14:solidFill>
                </w14:textFill>
              </w:rPr>
              <w:t xml:space="preserve">专业/资格</w:t>
            </w:r>
            <w:r/>
          </w:p>
        </w:tc>
        <w:tc>
          <w:tcPr>
            <w:tcW w:w="1242" w:type="dxa"/>
            <w:vAlign w:val="center"/>
            <w:textDirection w:val="lrTb"/>
            <w:noWrap w:val="false"/>
          </w:tcPr>
          <w:p>
            <w:pPr>
              <w:pStyle w:val="1040"/>
              <w:jc w:val="center"/>
              <w:rPr>
                <w:rFonts w:ascii="宋体" w:hAnsi="宋体" w:eastAsia="Times New Roman"/>
                <w:color w:val="000000" w:themeColor="text1"/>
                <w:sz w:val="21"/>
                <w:szCs w:val="21"/>
                <w14:textFill>
                  <w14:solidFill>
                    <w14:schemeClr w14:val="tx1"/>
                  </w14:solidFill>
                </w14:textFill>
              </w:rPr>
            </w:pPr>
            <w:r>
              <w:rPr>
                <w:rFonts w:hint="eastAsia" w:ascii="宋体" w:hAnsi="宋体" w:eastAsia="Times New Roman"/>
                <w:color w:val="000000" w:themeColor="text1"/>
                <w:sz w:val="21"/>
                <w:szCs w:val="21"/>
                <w14:textFill>
                  <w14:solidFill>
                    <w14:schemeClr w14:val="tx1"/>
                  </w14:solidFill>
                </w14:textFill>
              </w:rPr>
              <w:t xml:space="preserve">从事本工作时间</w:t>
            </w:r>
            <w:r/>
          </w:p>
        </w:tc>
        <w:tc>
          <w:tcPr>
            <w:tcW w:w="1488" w:type="dxa"/>
            <w:vAlign w:val="center"/>
            <w:textDirection w:val="lrTb"/>
            <w:noWrap w:val="false"/>
          </w:tcPr>
          <w:p>
            <w:pPr>
              <w:pStyle w:val="1040"/>
              <w:jc w:val="center"/>
              <w:rPr>
                <w:rFonts w:ascii="宋体" w:hAnsi="宋体" w:eastAsia="Times New Roman"/>
                <w:color w:val="000000" w:themeColor="text1"/>
                <w:sz w:val="21"/>
                <w:szCs w:val="21"/>
                <w14:textFill>
                  <w14:solidFill>
                    <w14:schemeClr w14:val="tx1"/>
                  </w14:solidFill>
                </w14:textFill>
              </w:rPr>
            </w:pPr>
            <w:r>
              <w:rPr>
                <w:rFonts w:hint="eastAsia" w:ascii="宋体" w:hAnsi="宋体" w:eastAsia="Times New Roman"/>
                <w:color w:val="000000" w:themeColor="text1"/>
                <w:sz w:val="21"/>
                <w:szCs w:val="21"/>
                <w14:textFill>
                  <w14:solidFill>
                    <w14:schemeClr w14:val="tx1"/>
                  </w14:solidFill>
                </w14:textFill>
              </w:rPr>
              <w:t xml:space="preserve">典型业务</w:t>
            </w:r>
            <w:r/>
          </w:p>
          <w:p>
            <w:pPr>
              <w:pStyle w:val="1040"/>
              <w:jc w:val="center"/>
              <w:rPr>
                <w:rFonts w:ascii="宋体" w:hAnsi="宋体" w:eastAsia="Times New Roman"/>
                <w:color w:val="000000" w:themeColor="text1"/>
                <w:sz w:val="21"/>
                <w:szCs w:val="21"/>
                <w14:textFill>
                  <w14:solidFill>
                    <w14:schemeClr w14:val="tx1"/>
                  </w14:solidFill>
                </w14:textFill>
              </w:rPr>
            </w:pPr>
            <w:r>
              <w:rPr>
                <w:rFonts w:hint="eastAsia" w:ascii="宋体" w:hAnsi="宋体" w:eastAsia="Times New Roman"/>
                <w:color w:val="000000" w:themeColor="text1"/>
                <w:sz w:val="21"/>
                <w:szCs w:val="21"/>
                <w14:textFill>
                  <w14:solidFill>
                    <w14:schemeClr w14:val="tx1"/>
                  </w14:solidFill>
                </w14:textFill>
              </w:rPr>
              <w:t xml:space="preserve">与技术专长</w:t>
            </w:r>
            <w:r/>
          </w:p>
        </w:tc>
      </w:tr>
      <w:tr>
        <w:trPr>
          <w:trHeight w:val="567"/>
        </w:trPr>
        <w:tc>
          <w:tcPr>
            <w:tcW w:w="74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hint="eastAsia" w:ascii="宋体" w:hAnsi="宋体" w:eastAsia="Times New Roman"/>
                <w:color w:val="000000" w:themeColor="text1"/>
                <w:sz w:val="21"/>
                <w:szCs w:val="21"/>
                <w14:textFill>
                  <w14:solidFill>
                    <w14:schemeClr w14:val="tx1"/>
                  </w14:solidFill>
                </w14:textFill>
              </w:rPr>
              <w:t xml:space="preserve">1</w:t>
            </w:r>
            <w:r/>
          </w:p>
        </w:tc>
        <w:tc>
          <w:tcPr>
            <w:tcW w:w="117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0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4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9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37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24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488"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r>
      <w:tr>
        <w:trPr>
          <w:trHeight w:val="567"/>
        </w:trPr>
        <w:tc>
          <w:tcPr>
            <w:tcW w:w="74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hint="eastAsia" w:ascii="宋体" w:hAnsi="宋体" w:eastAsia="Times New Roman"/>
                <w:color w:val="000000" w:themeColor="text1"/>
                <w:sz w:val="21"/>
                <w:szCs w:val="21"/>
                <w14:textFill>
                  <w14:solidFill>
                    <w14:schemeClr w14:val="tx1"/>
                  </w14:solidFill>
                </w14:textFill>
              </w:rPr>
              <w:t xml:space="preserve">2</w:t>
            </w:r>
            <w:r/>
          </w:p>
        </w:tc>
        <w:tc>
          <w:tcPr>
            <w:tcW w:w="117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0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4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9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37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24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488"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r>
      <w:tr>
        <w:trPr>
          <w:trHeight w:val="567"/>
        </w:trPr>
        <w:tc>
          <w:tcPr>
            <w:tcW w:w="74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hint="eastAsia" w:ascii="宋体" w:hAnsi="宋体" w:eastAsia="Times New Roman"/>
                <w:color w:val="000000" w:themeColor="text1"/>
                <w:sz w:val="21"/>
                <w:szCs w:val="21"/>
                <w14:textFill>
                  <w14:solidFill>
                    <w14:schemeClr w14:val="tx1"/>
                  </w14:solidFill>
                </w14:textFill>
              </w:rPr>
              <w:t xml:space="preserve">3</w:t>
            </w:r>
            <w:r/>
          </w:p>
        </w:tc>
        <w:tc>
          <w:tcPr>
            <w:tcW w:w="117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0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4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9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37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24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488"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r>
      <w:tr>
        <w:trPr>
          <w:trHeight w:val="567"/>
        </w:trPr>
        <w:tc>
          <w:tcPr>
            <w:tcW w:w="74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hint="eastAsia" w:ascii="宋体" w:hAnsi="宋体" w:eastAsia="Times New Roman"/>
                <w:color w:val="000000" w:themeColor="text1"/>
                <w:sz w:val="21"/>
                <w:szCs w:val="21"/>
                <w14:textFill>
                  <w14:solidFill>
                    <w14:schemeClr w14:val="tx1"/>
                  </w14:solidFill>
                </w14:textFill>
              </w:rPr>
              <w:t xml:space="preserve">4</w:t>
            </w:r>
            <w:r/>
          </w:p>
        </w:tc>
        <w:tc>
          <w:tcPr>
            <w:tcW w:w="117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0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4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9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37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24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488"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r>
      <w:tr>
        <w:trPr>
          <w:trHeight w:val="567"/>
        </w:trPr>
        <w:tc>
          <w:tcPr>
            <w:tcW w:w="74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hint="eastAsia" w:ascii="宋体" w:hAnsi="宋体" w:eastAsia="Times New Roman"/>
                <w:color w:val="000000" w:themeColor="text1"/>
                <w:sz w:val="21"/>
                <w:szCs w:val="21"/>
                <w14:textFill>
                  <w14:solidFill>
                    <w14:schemeClr w14:val="tx1"/>
                  </w14:solidFill>
                </w14:textFill>
              </w:rPr>
              <w:t xml:space="preserve">5</w:t>
            </w:r>
            <w:r/>
          </w:p>
        </w:tc>
        <w:tc>
          <w:tcPr>
            <w:tcW w:w="117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0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4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9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37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24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488"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r>
      <w:tr>
        <w:trPr>
          <w:trHeight w:val="567"/>
        </w:trPr>
        <w:tc>
          <w:tcPr>
            <w:tcW w:w="74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hint="eastAsia" w:ascii="宋体" w:hAnsi="宋体" w:eastAsia="Times New Roman"/>
                <w:color w:val="000000" w:themeColor="text1"/>
                <w:sz w:val="21"/>
                <w:szCs w:val="21"/>
                <w14:textFill>
                  <w14:solidFill>
                    <w14:schemeClr w14:val="tx1"/>
                  </w14:solidFill>
                </w14:textFill>
              </w:rPr>
              <w:t xml:space="preserve">6</w:t>
            </w:r>
            <w:r/>
          </w:p>
        </w:tc>
        <w:tc>
          <w:tcPr>
            <w:tcW w:w="117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0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4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9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37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24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488"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r>
      <w:tr>
        <w:trPr>
          <w:trHeight w:val="567"/>
        </w:trPr>
        <w:tc>
          <w:tcPr>
            <w:tcW w:w="745" w:type="dxa"/>
            <w:vAlign w:val="center"/>
            <w:textDirection w:val="lrTb"/>
            <w:noWrap w:val="false"/>
          </w:tcPr>
          <w:p>
            <w:pPr>
              <w:pStyle w:val="1040"/>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7</w:t>
            </w:r>
            <w:r/>
          </w:p>
        </w:tc>
        <w:tc>
          <w:tcPr>
            <w:tcW w:w="117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0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4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9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37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24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488"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r>
      <w:tr>
        <w:trPr>
          <w:trHeight w:val="567"/>
        </w:trPr>
        <w:tc>
          <w:tcPr>
            <w:tcW w:w="745" w:type="dxa"/>
            <w:vAlign w:val="center"/>
            <w:textDirection w:val="lrTb"/>
            <w:noWrap w:val="false"/>
          </w:tcPr>
          <w:p>
            <w:pPr>
              <w:pStyle w:val="1040"/>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8</w:t>
            </w:r>
            <w:r/>
          </w:p>
        </w:tc>
        <w:tc>
          <w:tcPr>
            <w:tcW w:w="117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0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4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9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37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24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488"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r>
      <w:tr>
        <w:trPr>
          <w:trHeight w:val="567"/>
        </w:trPr>
        <w:tc>
          <w:tcPr>
            <w:tcW w:w="745" w:type="dxa"/>
            <w:vAlign w:val="center"/>
            <w:textDirection w:val="lrTb"/>
            <w:noWrap w:val="false"/>
          </w:tcPr>
          <w:p>
            <w:pPr>
              <w:pStyle w:val="1040"/>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9</w:t>
            </w:r>
            <w:r/>
          </w:p>
        </w:tc>
        <w:tc>
          <w:tcPr>
            <w:tcW w:w="117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0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4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9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37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24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488"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r>
      <w:tr>
        <w:trPr>
          <w:trHeight w:val="567"/>
        </w:trPr>
        <w:tc>
          <w:tcPr>
            <w:tcW w:w="745" w:type="dxa"/>
            <w:vAlign w:val="center"/>
            <w:textDirection w:val="lrTb"/>
            <w:noWrap w:val="false"/>
          </w:tcPr>
          <w:p>
            <w:pPr>
              <w:pStyle w:val="1040"/>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w:t>
            </w:r>
            <w:r/>
          </w:p>
        </w:tc>
        <w:tc>
          <w:tcPr>
            <w:tcW w:w="1172" w:type="dxa"/>
            <w:vAlign w:val="center"/>
            <w:textDirection w:val="lrTb"/>
            <w:noWrap w:val="false"/>
          </w:tcPr>
          <w:p>
            <w:pPr>
              <w:pStyle w:val="1040"/>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w:t>
            </w:r>
            <w:r/>
          </w:p>
        </w:tc>
        <w:tc>
          <w:tcPr>
            <w:tcW w:w="10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4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95"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75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379"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242"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c>
          <w:tcPr>
            <w:tcW w:w="1488" w:type="dxa"/>
            <w:vAlign w:val="center"/>
            <w:textDirection w:val="lrTb"/>
            <w:noWrap w:val="false"/>
          </w:tcPr>
          <w:p>
            <w:pPr>
              <w:pStyle w:val="1040"/>
              <w:jc w:val="left"/>
              <w:rPr>
                <w:rFonts w:ascii="宋体" w:hAnsi="宋体" w:eastAsia="Times New Roman"/>
                <w:color w:val="000000" w:themeColor="text1"/>
                <w:sz w:val="21"/>
                <w:szCs w:val="21"/>
                <w14:textFill>
                  <w14:solidFill>
                    <w14:schemeClr w14:val="tx1"/>
                  </w14:solidFill>
                </w14:textFill>
              </w:rPr>
            </w:pPr>
            <w:r>
              <w:rPr>
                <w:rFonts w:ascii="宋体" w:hAnsi="宋体" w:eastAsia="Times New Roman"/>
                <w:color w:val="000000" w:themeColor="text1"/>
                <w:sz w:val="21"/>
                <w:szCs w:val="21"/>
                <w14:textFill>
                  <w14:solidFill>
                    <w14:schemeClr w14:val="tx1"/>
                  </w14:solidFill>
                </w14:textFill>
              </w:rPr>
            </w:r>
            <w:r/>
          </w:p>
        </w:tc>
      </w:tr>
    </w:tbl>
    <w:p>
      <w:pP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         （盖章）</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法定代表人/负责人或代理人（签字或盖章）：</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p>
    <w:p>
      <w:pPr>
        <w:pStyle w:val="1268"/>
        <w:rPr>
          <w:rFonts w:hint="eastAsia" w:hAnsi="宋体" w:eastAsia="宋体" w:cs="宋体"/>
          <w:b/>
          <w:color w:val="000000" w:themeColor="text1"/>
          <w:sz w:val="21"/>
          <w:szCs w:val="21"/>
          <w14:textFill>
            <w14:solidFill>
              <w14:schemeClr w14:val="tx1"/>
            </w14:solidFill>
          </w14:textFill>
        </w:rPr>
      </w:pPr>
      <w:r>
        <w:rPr>
          <w:rFonts w:hint="eastAsia" w:hAnsi="宋体" w:eastAsia="宋体" w:cs="宋体"/>
          <w:b/>
          <w:color w:val="000000" w:themeColor="text1"/>
          <w:sz w:val="21"/>
          <w:szCs w:val="21"/>
          <w14:textFill>
            <w14:solidFill>
              <w14:schemeClr w14:val="tx1"/>
            </w14:solidFill>
          </w14:textFill>
        </w:rPr>
      </w:r>
      <w:r/>
    </w:p>
    <w:p>
      <w:pPr>
        <w:pStyle w:val="1268"/>
        <w:rPr>
          <w:rFonts w:hint="eastAsia" w:hAnsi="宋体" w:eastAsia="宋体" w:cs="宋体"/>
          <w:b/>
          <w:color w:val="000000" w:themeColor="text1"/>
          <w:sz w:val="21"/>
          <w:szCs w:val="21"/>
          <w14:textFill>
            <w14:solidFill>
              <w14:schemeClr w14:val="tx1"/>
            </w14:solidFill>
          </w14:textFill>
        </w:rPr>
      </w:pPr>
      <w:r>
        <w:rPr>
          <w:rFonts w:hint="eastAsia" w:hAnsi="宋体" w:eastAsia="宋体" w:cs="宋体"/>
          <w:b/>
          <w:color w:val="000000" w:themeColor="text1"/>
          <w:sz w:val="21"/>
          <w:szCs w:val="21"/>
          <w14:textFill>
            <w14:solidFill>
              <w14:schemeClr w14:val="tx1"/>
            </w14:solidFill>
          </w14:textFill>
        </w:rPr>
      </w:r>
      <w:r/>
    </w:p>
    <w:p>
      <w:pP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br w:type="page" w:clear="all"/>
      </w:r>
      <w:r/>
    </w:p>
    <w:p>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6、项目业绩一览表</w:t>
      </w:r>
      <w:r/>
    </w:p>
    <w:p>
      <w:pPr>
        <w:pStyle w:val="1268"/>
        <w:jc w:val="center"/>
        <w:spacing w:line="360" w:lineRule="auto"/>
        <w:rPr>
          <w:rFonts w:hint="eastAsia"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类似项目一览表</w:t>
      </w:r>
      <w:r/>
    </w:p>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bl>
      <w:tblPr>
        <w:tblStyle w:val="879"/>
        <w:tblW w:w="932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742"/>
        <w:gridCol w:w="1663"/>
        <w:gridCol w:w="1985"/>
        <w:gridCol w:w="1824"/>
        <w:gridCol w:w="1323"/>
      </w:tblGrid>
      <w:tr>
        <w:trPr/>
        <w:tc>
          <w:tcPr>
            <w:tcW w:w="78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项目时间</w:t>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合同金额</w:t>
            </w:r>
            <w:r/>
          </w:p>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（人民币）</w:t>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业主单位</w:t>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67" w:hRule="exact"/>
        </w:trPr>
        <w:tc>
          <w:tcPr>
            <w:tcW w:w="783"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42"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63"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98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824"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23"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注：附合同复印件。</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spacing w:before="25" w:after="25"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响应单位：（单位盖章）</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法定代表人或代理人：（签字或盖章）</w:t>
      </w:r>
      <w:r/>
    </w:p>
    <w:p>
      <w:pPr>
        <w:pStyle w:val="1028"/>
        <w:ind w:firstLine="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日期：     年    月    日</w:t>
      </w:r>
      <w:r/>
    </w:p>
    <w:p>
      <w:pPr>
        <w:pStyle w:val="1028"/>
        <w:ind w:firstLine="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1028"/>
        <w:ind w:firstLine="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spacing w:line="360" w:lineRule="auto"/>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br w:type="page" w:clear="all"/>
      </w:r>
      <w:r/>
    </w:p>
    <w:p>
      <w:pPr>
        <w:spacing w:line="360" w:lineRule="auto"/>
        <w:widowControl/>
        <w:rPr>
          <w:rFonts w:hint="eastAsia" w:ascii="宋体" w:hAnsi="宋体"/>
          <w:bCs/>
          <w:color w:val="000000" w:themeColor="text1"/>
          <w:sz w:val="24"/>
          <w14:textFill>
            <w14:solidFill>
              <w14:schemeClr w14:val="tx1"/>
            </w14:solidFill>
          </w14:textFill>
        </w:rPr>
        <w:outlineLvl w:val="1"/>
      </w:pPr>
      <w:r>
        <w:rPr>
          <w:rFonts w:hint="eastAsia" w:ascii="宋体" w:hAnsi="宋体"/>
          <w:bCs/>
          <w:color w:val="000000" w:themeColor="text1"/>
          <w:sz w:val="24"/>
          <w14:textFill>
            <w14:solidFill>
              <w14:schemeClr w14:val="tx1"/>
            </w14:solidFill>
          </w14:textFill>
        </w:rPr>
        <w:t xml:space="preserve">7、设备配备情况表（如有）</w:t>
      </w:r>
      <w:r/>
    </w:p>
    <w:p>
      <w:pPr>
        <w:spacing w:line="360" w:lineRule="auto"/>
        <w:widowControl/>
        <w:rPr>
          <w:rFonts w:hint="eastAsia" w:ascii="宋体" w:hAnsi="宋体"/>
          <w:b/>
          <w:color w:val="000000" w:themeColor="text1"/>
          <w:sz w:val="24"/>
          <w14:textFill>
            <w14:solidFill>
              <w14:schemeClr w14:val="tx1"/>
            </w14:solidFill>
          </w14:textFill>
        </w:rPr>
        <w:outlineLvl w:val="1"/>
      </w:pPr>
      <w:r>
        <w:rPr>
          <w:rFonts w:hint="eastAsia" w:ascii="宋体" w:hAnsi="宋体"/>
          <w:b/>
          <w:color w:val="000000" w:themeColor="text1"/>
          <w:sz w:val="24"/>
          <w14:textFill>
            <w14:solidFill>
              <w14:schemeClr w14:val="tx1"/>
            </w14:solidFill>
          </w14:textFill>
        </w:rPr>
      </w:r>
      <w:r/>
    </w:p>
    <w:p>
      <w:pPr>
        <w:pStyle w:val="1234"/>
        <w:ind w:left="0" w:firstLine="0"/>
        <w:jc w:val="center"/>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设备配备情况表</w:t>
      </w:r>
      <w:r/>
    </w:p>
    <w:tbl>
      <w:tblPr>
        <w:tblStyle w:val="879"/>
        <w:tblpPr w:horzAnchor="page" w:tblpX="1968" w:vertAnchor="text" w:tblpY="287"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16"/>
        <w:gridCol w:w="2418"/>
        <w:gridCol w:w="1930"/>
        <w:gridCol w:w="836"/>
        <w:gridCol w:w="836"/>
        <w:gridCol w:w="1294"/>
      </w:tblGrid>
      <w:tr>
        <w:trPr>
          <w:cantSplit/>
          <w:trHeight w:val="567"/>
        </w:trPr>
        <w:tc>
          <w:tcPr>
            <w:tcW w:w="91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序号</w:t>
            </w:r>
            <w:r/>
          </w:p>
        </w:tc>
        <w:tc>
          <w:tcPr>
            <w:tcW w:w="2418"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设备名称</w:t>
            </w:r>
            <w:r/>
          </w:p>
        </w:tc>
        <w:tc>
          <w:tcPr>
            <w:tcW w:w="1930" w:type="dxa"/>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品牌及型号</w:t>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单位</w:t>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数量</w:t>
            </w:r>
            <w:r/>
          </w:p>
        </w:tc>
        <w:tc>
          <w:tcPr>
            <w:tcW w:w="1294"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备注</w:t>
            </w:r>
            <w:r/>
          </w:p>
        </w:tc>
      </w:tr>
      <w:tr>
        <w:trPr>
          <w:cantSplit/>
          <w:trHeight w:val="567"/>
        </w:trPr>
        <w:tc>
          <w:tcPr>
            <w:tcW w:w="91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1</w:t>
            </w:r>
            <w:r/>
          </w:p>
        </w:tc>
        <w:tc>
          <w:tcPr>
            <w:tcW w:w="2418" w:type="dxa"/>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30"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1294"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r>
      <w:tr>
        <w:trPr>
          <w:cantSplit/>
          <w:trHeight w:val="567"/>
        </w:trPr>
        <w:tc>
          <w:tcPr>
            <w:tcW w:w="91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2</w:t>
            </w:r>
            <w:r/>
          </w:p>
        </w:tc>
        <w:tc>
          <w:tcPr>
            <w:tcW w:w="2418" w:type="dxa"/>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30"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1294"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r>
      <w:tr>
        <w:trPr>
          <w:cantSplit/>
          <w:trHeight w:val="567"/>
        </w:trPr>
        <w:tc>
          <w:tcPr>
            <w:tcW w:w="91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3</w:t>
            </w:r>
            <w:r/>
          </w:p>
        </w:tc>
        <w:tc>
          <w:tcPr>
            <w:tcW w:w="2418"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1930"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1294"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r>
      <w:tr>
        <w:trPr>
          <w:cantSplit/>
          <w:trHeight w:val="567"/>
        </w:trPr>
        <w:tc>
          <w:tcPr>
            <w:tcW w:w="91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w:t>
            </w:r>
            <w:r/>
          </w:p>
        </w:tc>
        <w:tc>
          <w:tcPr>
            <w:tcW w:w="2418"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1930"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1294"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r>
      <w:tr>
        <w:trPr>
          <w:cantSplit/>
          <w:trHeight w:val="567"/>
        </w:trPr>
        <w:tc>
          <w:tcPr>
            <w:tcW w:w="91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2418"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1930"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1294"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r>
      <w:tr>
        <w:trPr>
          <w:cantSplit/>
          <w:trHeight w:val="567"/>
        </w:trPr>
        <w:tc>
          <w:tcPr>
            <w:tcW w:w="91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2418"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1930"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1294"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r>
      <w:tr>
        <w:trPr>
          <w:cantSplit/>
          <w:trHeight w:val="567"/>
        </w:trPr>
        <w:tc>
          <w:tcPr>
            <w:tcW w:w="91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2418"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1930"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836"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c>
          <w:tcPr>
            <w:tcW w:w="1294" w:type="dxa"/>
            <w:vAlign w:val="center"/>
            <w:textDirection w:val="lrTb"/>
            <w:noWrap w:val="false"/>
          </w:tcPr>
          <w:p>
            <w:pPr>
              <w:pStyle w:val="1282"/>
              <w:jc w:val="center"/>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r>
            <w:r/>
          </w:p>
        </w:tc>
      </w:tr>
    </w:tbl>
    <w:p>
      <w:pPr>
        <w:spacing w:line="360" w:lineRule="auto"/>
        <w:widowControl/>
        <w:rPr>
          <w:rFonts w:hint="eastAsia" w:ascii="宋体" w:hAnsi="宋体"/>
          <w:bCs/>
          <w:color w:val="000000" w:themeColor="text1"/>
          <w:sz w:val="24"/>
          <w14:textFill>
            <w14:solidFill>
              <w14:schemeClr w14:val="tx1"/>
            </w14:solidFill>
          </w14:textFill>
        </w:rPr>
        <w:outlineLvl w:val="1"/>
      </w:pPr>
      <w:r>
        <w:rPr>
          <w:rFonts w:hint="eastAsia" w:ascii="宋体" w:hAnsi="宋体"/>
          <w:bCs/>
          <w:color w:val="000000" w:themeColor="text1"/>
          <w:sz w:val="24"/>
          <w14:textFill>
            <w14:solidFill>
              <w14:schemeClr w14:val="tx1"/>
            </w14:solidFill>
          </w14:textFill>
        </w:rPr>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w:t>
      </w:r>
      <w:r>
        <w:rPr>
          <w:rFonts w:ascii="宋体" w:hAnsi="宋体"/>
          <w:color w:val="000000" w:themeColor="text1"/>
          <w:sz w:val="24"/>
          <w14:textFill>
            <w14:solidFill>
              <w14:schemeClr w14:val="tx1"/>
            </w14:solidFill>
          </w14:textFill>
        </w:rPr>
        <w:t xml:space="preserve">单位：（单位盖章）</w:t>
      </w:r>
      <w:r/>
    </w:p>
    <w:p>
      <w:pPr>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年    月    日</w:t>
      </w:r>
      <w:r/>
    </w:p>
    <w:p>
      <w:pPr>
        <w:rPr>
          <w:rFonts w:hint="eastAsia" w:hAnsi="宋体"/>
          <w:b/>
          <w:bCs/>
          <w:color w:val="000000" w:themeColor="text1"/>
          <w:szCs w:val="21"/>
          <w14:textFill>
            <w14:solidFill>
              <w14:schemeClr w14:val="tx1"/>
            </w14:solidFill>
          </w14:textFill>
        </w:rPr>
      </w:pPr>
      <w:r>
        <w:rPr>
          <w:rFonts w:hint="eastAsia" w:hAnsi="宋体"/>
          <w:b/>
          <w:bCs/>
          <w:color w:val="000000" w:themeColor="text1"/>
          <w:szCs w:val="21"/>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291"/>
        <w:ind w:firstLine="0"/>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p>
      <w:pPr>
        <w:pStyle w:val="1291"/>
        <w:ind w:firstLine="0"/>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p>
      <w:pPr>
        <w:pStyle w:val="1291"/>
        <w:ind w:firstLine="0"/>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p>
      <w:pPr>
        <w:pStyle w:val="1291"/>
        <w:ind w:firstLine="0"/>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p>
      <w:pPr>
        <w:pStyle w:val="1291"/>
        <w:ind w:firstLine="0"/>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p>
      <w:pPr>
        <w:pStyle w:val="880"/>
        <w:rPr>
          <w:rFonts w:hint="eastAsia"/>
        </w:rPr>
      </w:pPr>
      <w:r>
        <w:rPr>
          <w:rFonts w:hint="eastAsia"/>
        </w:rPr>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w:t>
      </w:r>
      <w:r>
        <w:rPr>
          <w:rFonts w:hint="eastAsia" w:ascii="宋体" w:hAnsi="宋体" w:cs="宋体"/>
          <w:bCs/>
          <w:color w:val="000000" w:themeColor="text1"/>
          <w:sz w:val="24"/>
          <w14:textFill>
            <w14:solidFill>
              <w14:schemeClr w14:val="tx1"/>
            </w14:solidFill>
          </w14:textFill>
        </w:rPr>
        <w:t xml:space="preserve">服务方案</w:t>
      </w:r>
      <w:r/>
    </w:p>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8、服务方案</w:t>
      </w:r>
      <w:r/>
    </w:p>
    <w:tbl>
      <w:tblPr>
        <w:tblStyle w:val="879"/>
        <w:tblW w:w="5000"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8"/>
      </w:tblGrid>
      <w:tr>
        <w:trPr>
          <w:trHeight w:val="1797"/>
        </w:trPr>
        <w:tc>
          <w:tcPr>
            <w:tcW w:w="5000"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提示：</w:t>
            </w:r>
            <w:r/>
          </w:p>
          <w:p>
            <w:pPr>
              <w:numPr>
                <w:ilvl w:val="0"/>
                <w:numId w:val="5"/>
              </w:num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供应商应针对本次采购项目特点及区域的具体情况编写拟采取的服务方案。</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2、供应商可根据自身情况编写，本页不够可另加页附后。</w:t>
            </w:r>
            <w:r/>
          </w:p>
        </w:tc>
      </w:tr>
      <w:tr>
        <w:trPr>
          <w:trHeight w:val="9707"/>
        </w:trPr>
        <w:tc>
          <w:tcPr>
            <w:tcW w:w="5000"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单位名称（盖章）：</w:t>
            </w:r>
            <w:r>
              <w:rPr>
                <w:rFonts w:hint="eastAsia" w:ascii="宋体" w:hAnsi="宋体" w:cs="宋体"/>
                <w:color w:val="000000" w:themeColor="text1"/>
                <w:sz w:val="24"/>
                <w:u w:val="single"/>
                <w14:textFill>
                  <w14:solidFill>
                    <w14:schemeClr w14:val="tx1"/>
                  </w14:solidFill>
                </w14:textFill>
              </w:rPr>
              <w:t xml:space="preserve">                              </w:t>
            </w:r>
            <w:r/>
          </w:p>
        </w:tc>
      </w:tr>
    </w:tbl>
    <w:p>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9、有关资格证明文件</w:t>
      </w:r>
      <w:r/>
    </w:p>
    <w:p>
      <w:pPr>
        <w:ind w:firstLine="43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spacing w:line="360" w:lineRule="auto"/>
        <w:rPr>
          <w:rFonts w:hint="eastAsia" w:ascii="宋体" w:hAnsi="宋体" w:cs="宋体"/>
          <w:bCs/>
          <w:color w:val="000000" w:themeColor="text1"/>
          <w:sz w:val="24"/>
          <w14:textFill>
            <w14:solidFill>
              <w14:schemeClr w14:val="tx1"/>
            </w14:solidFill>
          </w14:textFill>
        </w:rPr>
        <w:outlineLvl w:val="2"/>
      </w:pPr>
      <w:r>
        <w:rPr>
          <w:rFonts w:hint="eastAsia" w:ascii="宋体" w:hAnsi="宋体" w:cs="宋体"/>
          <w:bCs/>
          <w:color w:val="000000" w:themeColor="text1"/>
          <w:sz w:val="24"/>
          <w14:textFill>
            <w14:solidFill>
              <w14:schemeClr w14:val="tx1"/>
            </w14:solidFill>
          </w14:textFill>
        </w:rPr>
        <w:t xml:space="preserve">（1）关于资格文件的声明函</w:t>
      </w:r>
      <w:r/>
    </w:p>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关于资格文件的声明函</w:t>
      </w:r>
      <w:r/>
    </w:p>
    <w:p>
      <w:pPr>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本公司愿就由贵公司组织实施的编号为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号的磋商采购活动进行商务磋商。本公司所提交的商务、技术及报价文件中所有关于磋商资格的文件、证明和陈述均是真实的、准确的。若与真实情况不符，本公司愿意承担由此而产生的一切后果。</w:t>
      </w:r>
      <w:r/>
    </w:p>
    <w:p>
      <w:pPr>
        <w:ind w:firstLine="43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ab/>
      </w:r>
      <w:r/>
    </w:p>
    <w:p>
      <w:pPr>
        <w:ind w:right="-290"/>
        <w:spacing w:line="360" w:lineRule="auto"/>
        <w:tabs>
          <w:tab w:val="left" w:pos="900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供应商：（单位盖章）</w:t>
      </w:r>
      <w:r/>
    </w:p>
    <w:p>
      <w:pPr>
        <w:ind w:right="-290"/>
        <w:jc w:val="left"/>
        <w:spacing w:line="360" w:lineRule="auto"/>
        <w:tabs>
          <w:tab w:val="left" w:pos="900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法定代表人或被授权人：（签字或盖章）</w:t>
      </w:r>
      <w:r/>
    </w:p>
    <w:p>
      <w:pPr>
        <w:ind w:right="-290"/>
        <w:jc w:val="left"/>
        <w:spacing w:line="360" w:lineRule="auto"/>
        <w:tabs>
          <w:tab w:val="left" w:pos="900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1291"/>
        <w:ind w:firstLine="0"/>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p>
      <w:pPr>
        <w:pStyle w:val="1291"/>
        <w:ind w:firstLine="0"/>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br w:type="page" w:clear="all"/>
      </w:r>
      <w:r>
        <w:rPr>
          <w:rFonts w:hint="eastAsia" w:ascii="宋体" w:hAnsi="宋体" w:eastAsia="宋体" w:cs="宋体"/>
          <w:color w:val="000000" w:themeColor="text1"/>
          <w:szCs w:val="24"/>
          <w14:textFill>
            <w14:solidFill>
              <w14:schemeClr w14:val="tx1"/>
            </w14:solidFill>
          </w14:textFill>
        </w:rPr>
        <w:t xml:space="preserve">（2）响应单位情况表</w:t>
      </w:r>
      <w:r/>
    </w:p>
    <w:p>
      <w:pPr>
        <w:pStyle w:val="1291"/>
        <w:ind w:firstLine="0"/>
        <w:jc w:val="center"/>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响应单位情况表</w:t>
      </w:r>
      <w:r/>
    </w:p>
    <w:p>
      <w:pPr>
        <w:pStyle w:val="1291"/>
        <w:ind w:firstLine="0"/>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单位名称（盖章）</w:t>
      </w:r>
      <w:r/>
    </w:p>
    <w:tbl>
      <w:tblPr>
        <w:tblStyle w:val="879"/>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法定代表人</w:t>
            </w:r>
            <w:r/>
          </w:p>
        </w:tc>
        <w:tc>
          <w:tcPr>
            <w:tcW w:w="1800" w:type="dxa"/>
            <w:textDirection w:val="lrTb"/>
            <w:noWrap w:val="false"/>
          </w:tcPr>
          <w:p>
            <w:pPr>
              <w:pStyle w:val="1291"/>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tc>
        <w:tc>
          <w:tcPr>
            <w:tcW w:w="2160"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成立日期</w:t>
            </w:r>
            <w:r/>
          </w:p>
        </w:tc>
        <w:tc>
          <w:tcPr>
            <w:gridSpan w:val="2"/>
            <w:tcW w:w="2560" w:type="dxa"/>
            <w:textDirection w:val="lrTb"/>
            <w:noWrap w:val="false"/>
          </w:tcPr>
          <w:p>
            <w:pPr>
              <w:pStyle w:val="1291"/>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tc>
      </w:tr>
      <w:tr>
        <w:trPr>
          <w:cantSplit/>
          <w:jc w:val="center"/>
        </w:trPr>
        <w:tc>
          <w:tcPr>
            <w:tcW w:w="2953"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企业地址</w:t>
            </w:r>
            <w:r/>
          </w:p>
        </w:tc>
        <w:tc>
          <w:tcPr>
            <w:tcW w:w="1800" w:type="dxa"/>
            <w:textDirection w:val="lrTb"/>
            <w:noWrap w:val="false"/>
          </w:tcPr>
          <w:p>
            <w:pPr>
              <w:pStyle w:val="1291"/>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tc>
        <w:tc>
          <w:tcPr>
            <w:tcW w:w="2160"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注册资本</w:t>
            </w:r>
            <w:r/>
          </w:p>
        </w:tc>
        <w:tc>
          <w:tcPr>
            <w:gridSpan w:val="2"/>
            <w:tcW w:w="2560" w:type="dxa"/>
            <w:textDirection w:val="lrTb"/>
            <w:noWrap w:val="false"/>
          </w:tcPr>
          <w:p>
            <w:pPr>
              <w:pStyle w:val="1291"/>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万元</w:t>
            </w:r>
            <w:r/>
          </w:p>
        </w:tc>
      </w:tr>
      <w:tr>
        <w:trPr>
          <w:cantSplit/>
          <w:jc w:val="center"/>
        </w:trPr>
        <w:tc>
          <w:tcPr>
            <w:tcW w:w="2953"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经营范围</w:t>
            </w:r>
            <w:r/>
          </w:p>
        </w:tc>
        <w:tc>
          <w:tcPr>
            <w:gridSpan w:val="4"/>
            <w:tcW w:w="6520" w:type="dxa"/>
            <w:textDirection w:val="lrTb"/>
            <w:noWrap w:val="false"/>
          </w:tcPr>
          <w:p>
            <w:pPr>
              <w:pStyle w:val="1291"/>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tc>
      </w:tr>
      <w:tr>
        <w:trPr>
          <w:cantSplit/>
          <w:jc w:val="center"/>
        </w:trPr>
        <w:tc>
          <w:tcPr>
            <w:tcW w:w="2953"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职工人数</w:t>
            </w:r>
            <w:r/>
          </w:p>
        </w:tc>
        <w:tc>
          <w:tcPr>
            <w:tcW w:w="1800" w:type="dxa"/>
            <w:textDirection w:val="lrTb"/>
            <w:noWrap w:val="false"/>
          </w:tcPr>
          <w:p>
            <w:pPr>
              <w:pStyle w:val="1291"/>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tc>
        <w:tc>
          <w:tcPr>
            <w:gridSpan w:val="2"/>
            <w:tcW w:w="3600"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其中：有中高级以上职称的人数</w:t>
            </w:r>
            <w:r/>
          </w:p>
        </w:tc>
        <w:tc>
          <w:tcPr>
            <w:tcW w:w="1120" w:type="dxa"/>
            <w:textDirection w:val="lrTb"/>
            <w:noWrap w:val="false"/>
          </w:tcPr>
          <w:p>
            <w:pPr>
              <w:pStyle w:val="1291"/>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tc>
      </w:tr>
      <w:tr>
        <w:trPr>
          <w:cantSplit/>
          <w:jc w:val="center"/>
        </w:trPr>
        <w:tc>
          <w:tcPr>
            <w:tcW w:w="2953"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资产总计</w:t>
            </w:r>
            <w:r/>
          </w:p>
        </w:tc>
        <w:tc>
          <w:tcPr>
            <w:tcW w:w="1800" w:type="dxa"/>
            <w:textDirection w:val="lrTb"/>
            <w:noWrap w:val="false"/>
          </w:tcPr>
          <w:p>
            <w:pPr>
              <w:pStyle w:val="1291"/>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万元</w:t>
            </w:r>
            <w:r/>
          </w:p>
        </w:tc>
        <w:tc>
          <w:tcPr>
            <w:tcW w:w="2160"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净资产</w:t>
            </w:r>
            <w:r/>
          </w:p>
        </w:tc>
        <w:tc>
          <w:tcPr>
            <w:gridSpan w:val="2"/>
            <w:tcW w:w="2560" w:type="dxa"/>
            <w:textDirection w:val="lrTb"/>
            <w:noWrap w:val="false"/>
          </w:tcPr>
          <w:p>
            <w:pPr>
              <w:pStyle w:val="1291"/>
              <w:ind w:firstLine="174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万元</w:t>
            </w:r>
            <w:r/>
          </w:p>
        </w:tc>
      </w:tr>
      <w:tr>
        <w:trPr>
          <w:cantSplit/>
          <w:jc w:val="center"/>
        </w:trPr>
        <w:tc>
          <w:tcPr>
            <w:tcW w:w="2953" w:type="dxa"/>
            <w:vAlign w:val="center"/>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股东权益</w:t>
            </w:r>
            <w:r/>
          </w:p>
        </w:tc>
        <w:tc>
          <w:tcPr>
            <w:tcW w:w="1800" w:type="dxa"/>
            <w:vAlign w:val="center"/>
            <w:textDirection w:val="lrTb"/>
            <w:noWrap w:val="false"/>
          </w:tcPr>
          <w:p>
            <w:pPr>
              <w:pStyle w:val="1291"/>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万元</w:t>
            </w:r>
            <w:r/>
          </w:p>
        </w:tc>
        <w:tc>
          <w:tcPr>
            <w:tcW w:w="2160" w:type="dxa"/>
            <w:vAlign w:val="center"/>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销售收入</w:t>
            </w:r>
            <w:r/>
          </w:p>
        </w:tc>
        <w:tc>
          <w:tcPr>
            <w:gridSpan w:val="2"/>
            <w:tcW w:w="2560" w:type="dxa"/>
            <w:textDirection w:val="lrTb"/>
            <w:noWrap w:val="false"/>
          </w:tcPr>
          <w:p>
            <w:pPr>
              <w:pStyle w:val="1291"/>
              <w:ind w:firstLine="0"/>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 2024年       万元</w:t>
            </w:r>
            <w:r/>
          </w:p>
        </w:tc>
      </w:tr>
      <w:tr>
        <w:trPr>
          <w:cantSplit/>
          <w:jc w:val="center"/>
        </w:trPr>
        <w:tc>
          <w:tcPr>
            <w:tcW w:w="2953"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实现利润</w:t>
            </w:r>
            <w:r/>
          </w:p>
        </w:tc>
        <w:tc>
          <w:tcPr>
            <w:gridSpan w:val="4"/>
            <w:tcW w:w="6520" w:type="dxa"/>
            <w:textDirection w:val="lrTb"/>
            <w:noWrap w:val="false"/>
          </w:tcPr>
          <w:p>
            <w:pPr>
              <w:pStyle w:val="1291"/>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2024年    万元</w:t>
            </w:r>
            <w:r/>
          </w:p>
        </w:tc>
      </w:tr>
      <w:tr>
        <w:trPr>
          <w:cantSplit/>
          <w:jc w:val="center"/>
        </w:trPr>
        <w:tc>
          <w:tcPr>
            <w:tcW w:w="2953" w:type="dxa"/>
            <w:vAlign w:val="center"/>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经营面积</w:t>
            </w:r>
            <w:r/>
          </w:p>
        </w:tc>
        <w:tc>
          <w:tcPr>
            <w:tcW w:w="1800" w:type="dxa"/>
            <w:vAlign w:val="center"/>
            <w:textDirection w:val="lrTb"/>
            <w:noWrap w:val="false"/>
          </w:tcPr>
          <w:p>
            <w:pPr>
              <w:pStyle w:val="1291"/>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平方米</w:t>
            </w:r>
            <w:r/>
          </w:p>
        </w:tc>
        <w:tc>
          <w:tcPr>
            <w:tcW w:w="2160" w:type="dxa"/>
            <w:vAlign w:val="center"/>
            <w:textDirection w:val="lrTb"/>
            <w:noWrap w:val="false"/>
          </w:tcPr>
          <w:p>
            <w:pPr>
              <w:pStyle w:val="1291"/>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其中：</w:t>
            </w:r>
            <w:r/>
          </w:p>
        </w:tc>
        <w:tc>
          <w:tcPr>
            <w:gridSpan w:val="2"/>
            <w:tcW w:w="2560"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自有面积     平方米</w:t>
            </w:r>
            <w:r/>
          </w:p>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承租面积     平方米</w:t>
            </w:r>
            <w:r/>
          </w:p>
        </w:tc>
      </w:tr>
      <w:tr>
        <w:trPr>
          <w:cantSplit/>
          <w:jc w:val="center"/>
          <w:trHeight w:val="389"/>
        </w:trPr>
        <w:tc>
          <w:tcPr>
            <w:tcW w:w="2953" w:type="dxa"/>
            <w:vAlign w:val="center"/>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单位简历及内设机构情况</w:t>
            </w:r>
            <w:r/>
          </w:p>
        </w:tc>
        <w:tc>
          <w:tcPr>
            <w:gridSpan w:val="4"/>
            <w:tcW w:w="6520" w:type="dxa"/>
            <w:textDirection w:val="lrTb"/>
            <w:noWrap w:val="false"/>
          </w:tcPr>
          <w:p>
            <w:pPr>
              <w:pStyle w:val="1291"/>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tc>
      </w:tr>
      <w:tr>
        <w:trPr>
          <w:cantSplit/>
          <w:jc w:val="center"/>
          <w:trHeight w:val="255"/>
        </w:trPr>
        <w:tc>
          <w:tcPr>
            <w:tcW w:w="2953" w:type="dxa"/>
            <w:vAlign w:val="center"/>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单位优势及特长</w:t>
            </w:r>
            <w:r/>
          </w:p>
        </w:tc>
        <w:tc>
          <w:tcPr>
            <w:gridSpan w:val="4"/>
            <w:tcW w:w="6520" w:type="dxa"/>
            <w:textDirection w:val="lrTb"/>
            <w:noWrap w:val="false"/>
          </w:tcPr>
          <w:p>
            <w:pPr>
              <w:pStyle w:val="1291"/>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tc>
      </w:tr>
      <w:tr>
        <w:trPr>
          <w:cantSplit/>
          <w:jc w:val="center"/>
        </w:trPr>
        <w:tc>
          <w:tcPr>
            <w:tcW w:w="2953"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近三年来完成或正在履行的重大合同情况</w:t>
            </w:r>
            <w:r/>
          </w:p>
        </w:tc>
        <w:tc>
          <w:tcPr>
            <w:gridSpan w:val="4"/>
            <w:tcW w:w="6520" w:type="dxa"/>
            <w:textDirection w:val="lrTb"/>
            <w:noWrap w:val="false"/>
          </w:tcPr>
          <w:p>
            <w:pPr>
              <w:pStyle w:val="1291"/>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tc>
      </w:tr>
      <w:tr>
        <w:trPr>
          <w:cantSplit/>
          <w:jc w:val="center"/>
        </w:trPr>
        <w:tc>
          <w:tcPr>
            <w:tcW w:w="2953"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最近2年内在经营过程中受到何种奖励或处分</w:t>
            </w:r>
            <w:r/>
          </w:p>
        </w:tc>
        <w:tc>
          <w:tcPr>
            <w:gridSpan w:val="4"/>
            <w:tcW w:w="6520" w:type="dxa"/>
            <w:textDirection w:val="lrTb"/>
            <w:noWrap w:val="false"/>
          </w:tcPr>
          <w:p>
            <w:pPr>
              <w:pStyle w:val="1291"/>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（包括财政、工商、税务、物价、技监部门稽查情况和结果）</w:t>
            </w:r>
            <w:r/>
          </w:p>
        </w:tc>
      </w:tr>
      <w:tr>
        <w:trPr>
          <w:cantSplit/>
          <w:jc w:val="center"/>
        </w:trPr>
        <w:tc>
          <w:tcPr>
            <w:tcW w:w="2953"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最近3年内有无因售假、售劣或是其他原因被消费者投诉或起诉的情况及说明</w:t>
            </w:r>
            <w:r/>
          </w:p>
        </w:tc>
        <w:tc>
          <w:tcPr>
            <w:gridSpan w:val="4"/>
            <w:tcW w:w="6520" w:type="dxa"/>
            <w:textDirection w:val="lrTb"/>
            <w:noWrap w:val="false"/>
          </w:tcPr>
          <w:p>
            <w:pPr>
              <w:pStyle w:val="1291"/>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（包括解决方式和结果）</w:t>
            </w:r>
            <w:r/>
          </w:p>
        </w:tc>
      </w:tr>
      <w:tr>
        <w:trPr>
          <w:cantSplit/>
          <w:jc w:val="center"/>
        </w:trPr>
        <w:tc>
          <w:tcPr>
            <w:tcW w:w="2953"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最近3年内主要负责人有无经济犯罪被司法机关追究的情意及说明</w:t>
            </w:r>
            <w:r/>
          </w:p>
        </w:tc>
        <w:tc>
          <w:tcPr>
            <w:gridSpan w:val="4"/>
            <w:tcW w:w="6520" w:type="dxa"/>
            <w:textDirection w:val="lrTb"/>
            <w:noWrap w:val="false"/>
          </w:tcPr>
          <w:p>
            <w:pPr>
              <w:pStyle w:val="1291"/>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tc>
      </w:tr>
      <w:tr>
        <w:trPr>
          <w:cantSplit/>
          <w:jc w:val="center"/>
        </w:trPr>
        <w:tc>
          <w:tcPr>
            <w:tcW w:w="2953"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获得技术认证的工程师及简介</w:t>
            </w:r>
            <w:r/>
          </w:p>
        </w:tc>
        <w:tc>
          <w:tcPr>
            <w:gridSpan w:val="4"/>
            <w:tcW w:w="6520" w:type="dxa"/>
            <w:textDirection w:val="lrTb"/>
            <w:noWrap w:val="false"/>
          </w:tcPr>
          <w:p>
            <w:pPr>
              <w:pStyle w:val="1291"/>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tc>
      </w:tr>
      <w:tr>
        <w:trPr>
          <w:cantSplit/>
          <w:jc w:val="center"/>
        </w:trPr>
        <w:tc>
          <w:tcPr>
            <w:tcW w:w="2953" w:type="dxa"/>
            <w:textDirection w:val="lrTb"/>
            <w:noWrap w:val="false"/>
          </w:tcPr>
          <w:p>
            <w:pPr>
              <w:pStyle w:val="1291"/>
              <w:ind w:firstLine="0"/>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t xml:space="preserve">其他需要说明的情况</w:t>
            </w:r>
            <w:r/>
          </w:p>
        </w:tc>
        <w:tc>
          <w:tcPr>
            <w:gridSpan w:val="4"/>
            <w:tcW w:w="6520" w:type="dxa"/>
            <w:textDirection w:val="lrTb"/>
            <w:noWrap w:val="false"/>
          </w:tcPr>
          <w:p>
            <w:pPr>
              <w:pStyle w:val="1291"/>
              <w:jc w:val="both"/>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tc>
      </w:tr>
    </w:tbl>
    <w:p>
      <w:pPr>
        <w:pStyle w:val="1291"/>
        <w:ind w:firstLine="0"/>
        <w:spacing w:line="360" w:lineRule="auto"/>
        <w:rPr>
          <w:rFonts w:hint="eastAsia" w:ascii="宋体" w:hAnsi="宋体" w:eastAsia="宋体" w:cs="宋体"/>
          <w:color w:val="000000" w:themeColor="text1"/>
          <w:szCs w:val="24"/>
          <w14:textFill>
            <w14:solidFill>
              <w14:schemeClr w14:val="tx1"/>
            </w14:solidFill>
          </w14:textFill>
        </w:rPr>
        <w:outlineLvl w:val="1"/>
      </w:pPr>
      <w:r>
        <w:rPr>
          <w:rFonts w:hint="eastAsia" w:ascii="宋体" w:hAnsi="宋体" w:eastAsia="宋体" w:cs="宋体"/>
          <w:color w:val="000000" w:themeColor="text1"/>
          <w:szCs w:val="24"/>
          <w14:textFill>
            <w14:solidFill>
              <w14:schemeClr w14:val="tx1"/>
            </w14:solidFill>
          </w14:textFill>
        </w:rPr>
      </w:r>
      <w:r/>
    </w:p>
    <w:p>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10、中小企业声明函（格式）</w:t>
      </w:r>
      <w:r/>
    </w:p>
    <w:p>
      <w:pPr>
        <w:jc w:val="cente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中小企业声明函（货物）</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本公司（联合体）郑重声明，根据《政府采购促进中小 企业发展管理办法》（财库﹝2020﹞46 号）的规定，本公司 （联合体）参加</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（单位名称）的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（项目名称）采购活动，提供的货物全部由符合政策要求的中小企业制造。相关企业（含联合体中的中小企业、签订分包意向协议的中小企业） 的具体情况如下：</w:t>
      </w:r>
      <w:r/>
    </w:p>
    <w:p>
      <w:pPr>
        <w:numPr>
          <w:ilvl w:val="0"/>
          <w:numId w:val="6"/>
        </w:num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（标</w:t>
      </w:r>
      <w:r>
        <w:rPr>
          <w:rFonts w:hint="eastAsia" w:ascii="宋体" w:hAnsi="宋体" w:cs="宋体"/>
          <w:color w:val="000000" w:themeColor="text1"/>
          <w:sz w:val="24"/>
          <w14:textFill>
            <w14:solidFill>
              <w14:schemeClr w14:val="tx1"/>
            </w14:solidFill>
          </w14:textFill>
        </w:rPr>
        <w:t xml:space="preserve">的</w:t>
      </w:r>
      <w:r>
        <w:rPr>
          <w:rFonts w:ascii="宋体" w:hAnsi="宋体" w:cs="宋体"/>
          <w:color w:val="000000" w:themeColor="text1"/>
          <w:sz w:val="24"/>
          <w14:textFill>
            <w14:solidFill>
              <w14:schemeClr w14:val="tx1"/>
            </w14:solidFill>
          </w14:textFill>
        </w:rPr>
        <w:t xml:space="preserve">名称），属于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（采购文件中明确的所属行业） 行业；制造商为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（企业名称），从业人员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人，营业收入为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万元，属于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（中型企业、小型企业、微型企业）； </w:t>
      </w:r>
      <w:r/>
    </w:p>
    <w:p>
      <w:pPr>
        <w:numPr>
          <w:ilvl w:val="0"/>
          <w:numId w:val="6"/>
        </w:num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（标的名称），属于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（采购文件中明确的所属行业）行业；制造商为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（企业名称），从业人员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人，营业收入为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万元，属于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（中型企业、小型企业、微型企业）；</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 法承担相应责任。</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firstLine="480"/>
        <w:jc w:val="cente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                                    企业名称（盖章）</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 </w:t>
      </w:r>
      <w:r/>
    </w:p>
    <w:p>
      <w:pPr>
        <w:ind w:firstLine="480"/>
        <w:jc w:val="cente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 期： </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14:textFill>
            <w14:solidFill>
              <w14:schemeClr w14:val="tx1"/>
            </w14:solidFill>
          </w14:textFill>
        </w:rPr>
        <w:br w:type="page" w:clear="all"/>
      </w:r>
      <w:r/>
    </w:p>
    <w:p>
      <w:pPr>
        <w:jc w:val="cente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中小企业声明函（工程、服务）</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（单位名称）的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名称）采购活动，工程（服务）的施工（服务）单位全部为符合政策要求的中小企业（或者：服务全部由符合政策要求的中小企业承接）。相关企业（含联合体中的中小企业、签订分包意向协议的中小企业）的具体情况如下： </w:t>
      </w:r>
      <w:r/>
    </w:p>
    <w:p>
      <w:pPr>
        <w:numPr>
          <w:ilvl w:val="0"/>
          <w:numId w:val="7"/>
        </w:num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（标的名称），属于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（采购文件中明确的所属行业）；承建（承接）企业为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（企业名称），从业人员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人，营业收入为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万元，属于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（中型企业、小型企业、微型企业）； </w:t>
      </w:r>
      <w:r/>
    </w:p>
    <w:p>
      <w:pPr>
        <w:numPr>
          <w:ilvl w:val="0"/>
          <w:numId w:val="7"/>
        </w:num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（标的名称），属于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（采购文件中明确的所属行业）；承建（承接）企业为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（企业名称），从业人员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人，营业收入为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万元，属于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（中型企业、 小型企业、微型企业）；</w:t>
      </w:r>
      <w:r/>
    </w:p>
    <w:p>
      <w:pPr>
        <w:ind w:left="42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企业名称（盖章）： </w:t>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 期： </w:t>
      </w:r>
      <w:r/>
    </w:p>
    <w:p>
      <w:pPr>
        <w:pStyle w:val="121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备注：1.从业人员、营业收入、资产总额填报上一年度数据，无上一年度数据的新成立企业可不填报。</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2.在货物采购项目中，货物由中小企业制造，即货物由中小企业生产且使用该中小企业商号或者注册商标。供应商提供的货物既有中小企业制造货物，也有大型企业制造货物的，不享受相应扶持政策。</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4.如未对（中型企业、小型企业、微型企业）进行勾选，视同非中小微企业，不可享受相应扶持政策。</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5.中标单位享受中小企业扶持政策的，《中小企业声明函》将随中标结果同时公告。</w:t>
      </w:r>
      <w:r/>
    </w:p>
    <w:p>
      <w:pPr>
        <w:spacing w:line="280" w:lineRule="exact"/>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附：中小企业划型标准规定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（一）农、林、牧、渔业。</w:t>
      </w:r>
      <w:r>
        <w:rPr>
          <w:rFonts w:hint="eastAsia" w:ascii="宋体" w:hAnsi="宋体"/>
          <w:color w:val="000000" w:themeColor="text1"/>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（二）工业。</w:t>
      </w:r>
      <w:r>
        <w:rPr>
          <w:rFonts w:hint="eastAsia" w:ascii="宋体" w:hAnsi="宋体"/>
          <w:color w:val="000000" w:themeColor="text1"/>
          <w14:textFill>
            <w14:solidFill>
              <w14:schemeClr w14:val="tx1"/>
            </w14:solidFill>
          </w14:textFill>
        </w:rPr>
        <w:t xml:space="preserve">从业人员1000人以下或营业收入40000万元以下的为中小微型企业。其中，从业人员300人及以上，且营业收入2000万元及以上的为中型企业；从业人员15人及以上，且营业收入300万元及以上的为小型企业；从业人员15人以下或营业收入300万元以下的为微型企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（三）建筑业。</w:t>
      </w:r>
      <w:r>
        <w:rPr>
          <w:rFonts w:hint="eastAsia" w:ascii="宋体" w:hAnsi="宋体"/>
          <w:color w:val="000000" w:themeColor="text1"/>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（四）批发业。</w:t>
      </w:r>
      <w:r>
        <w:rPr>
          <w:rFonts w:hint="eastAsia" w:ascii="宋体" w:hAnsi="宋体"/>
          <w:color w:val="000000" w:themeColor="text1"/>
          <w14:textFill>
            <w14:solidFill>
              <w14:schemeClr w14:val="tx1"/>
            </w14:solidFill>
          </w14:textFill>
        </w:rPr>
        <w:t xml:space="preserve">从业人员200人以下或营业收入40000万元以下的为中小微型企业。其中，从业人员15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（五）零售业。</w:t>
      </w:r>
      <w:r>
        <w:rPr>
          <w:rFonts w:hint="eastAsia" w:ascii="宋体" w:hAnsi="宋体"/>
          <w:color w:val="000000" w:themeColor="text1"/>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（六）交通运输业。</w:t>
      </w:r>
      <w:r>
        <w:rPr>
          <w:rFonts w:hint="eastAsia" w:ascii="宋体" w:hAnsi="宋体"/>
          <w:color w:val="000000" w:themeColor="text1"/>
          <w14:textFill>
            <w14:solidFill>
              <w14:schemeClr w14:val="tx1"/>
            </w14:solidFill>
          </w14:textFill>
        </w:rPr>
        <w:t xml:space="preserve">从业人员1000人以下或营业收入30000万元以下的为中小微型企业。其中，从业人员300人及以上，且营业收入3000万元及以上的为中型企业；从业人员15人及以上，且营业收入200万元及以上的为小型企业；从业人员15人以下或营业收入200万元以下的为微型企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（七）仓储业。</w:t>
      </w:r>
      <w:r>
        <w:rPr>
          <w:rFonts w:hint="eastAsia" w:ascii="宋体" w:hAnsi="宋体"/>
          <w:color w:val="000000" w:themeColor="text1"/>
          <w14:textFill>
            <w14:solidFill>
              <w14:schemeClr w14:val="tx1"/>
            </w14:solidFill>
          </w14:textFill>
        </w:rPr>
        <w:t xml:space="preserve">从业人员200人以下或营业收入30000万元以下的为中小微型企业。其中，从业人员100人及以上，且营业收入1000万元及以上的为中型企业；从业人员15人及以上，且营业收入100万元及以上的为小型企业；从业人员15人以下或营业收入100万元以下的为微型企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（八）邮政业。</w:t>
      </w:r>
      <w:r>
        <w:rPr>
          <w:rFonts w:hint="eastAsia" w:ascii="宋体" w:hAnsi="宋体"/>
          <w:color w:val="000000" w:themeColor="text1"/>
          <w14:textFill>
            <w14:solidFill>
              <w14:schemeClr w14:val="tx1"/>
            </w14:solidFill>
          </w14:textFill>
        </w:rPr>
        <w:t xml:space="preserve">从业人员1000人以下或营业收入30000万元以下的为中小微型企业。其中，从业人员300人及以上，且营业收入2000万元及以上的为中型企业；从业人员15人及以上，且营业收入100万元及以上的为小型企业；从业人员15人以下或营业收入100万元以下的为微型企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（九）住宿业。</w:t>
      </w:r>
      <w:r>
        <w:rPr>
          <w:rFonts w:hint="eastAsia" w:ascii="宋体" w:hAnsi="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（十）餐饮业。</w:t>
      </w:r>
      <w:r>
        <w:rPr>
          <w:rFonts w:hint="eastAsia" w:ascii="宋体" w:hAnsi="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（十一）信息传输业。</w:t>
      </w:r>
      <w:r>
        <w:rPr>
          <w:rFonts w:hint="eastAsia" w:ascii="宋体" w:hAnsi="宋体"/>
          <w:color w:val="000000" w:themeColor="text1"/>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（十二）软件和信息技术服务业。</w:t>
      </w:r>
      <w:r>
        <w:rPr>
          <w:rFonts w:hint="eastAsia" w:ascii="宋体" w:hAnsi="宋体"/>
          <w:color w:val="000000" w:themeColor="text1"/>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（十三）房地产开发经营。</w:t>
      </w:r>
      <w:r>
        <w:rPr>
          <w:rFonts w:hint="eastAsia" w:ascii="宋体" w:hAnsi="宋体"/>
          <w:color w:val="000000" w:themeColor="text1"/>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（十四）物业管理。</w:t>
      </w:r>
      <w:r>
        <w:rPr>
          <w:rFonts w:hint="eastAsia" w:ascii="宋体" w:hAnsi="宋体"/>
          <w:color w:val="000000" w:themeColor="text1"/>
          <w14:textFill>
            <w14:solidFill>
              <w14:schemeClr w14:val="tx1"/>
            </w14:solidFill>
          </w14:textFill>
        </w:rPr>
        <w:t xml:space="preserve">从业人员1000人以下或营业收入5000万元以下的为中小微型企业。其中，从业人员</w:t>
      </w:r>
      <w:r/>
    </w:p>
    <w:p>
      <w:pPr>
        <w:spacing w:line="280" w:lineRule="exac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（十五）租赁和商务服务业。</w:t>
      </w:r>
      <w:r>
        <w:rPr>
          <w:rFonts w:hint="eastAsia" w:ascii="宋体" w:hAnsi="宋体"/>
          <w:color w:val="000000" w:themeColor="text1"/>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（十六）其他未列明行业。</w:t>
      </w:r>
      <w:r>
        <w:rPr>
          <w:rFonts w:hint="eastAsia" w:ascii="宋体" w:hAnsi="宋体"/>
          <w:color w:val="000000" w:themeColor="text1"/>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1208"/>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br w:type="page" w:clear="all"/>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11、投标（响应）保证承诺书（参考格式）</w:t>
      </w:r>
      <w:r/>
    </w:p>
    <w:p>
      <w:pPr>
        <w:jc w:val="cente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cs/>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（采购代理机构名称）</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我（单位/本人，以下统称我单位）自愿参加</w:t>
      </w:r>
      <w:r>
        <w:rPr>
          <w:rFonts w:hint="eastAsia" w:ascii="宋体" w:hAnsi="宋体" w:cs="宋体"/>
          <w:color w:val="000000" w:themeColor="text1"/>
          <w:sz w:val="24"/>
          <w:u w:val="single"/>
          <w:cs/>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（项目名称和项目编号）的投标（响应）,并</w:t>
      </w:r>
      <w:r>
        <w:rPr>
          <w:rFonts w:hint="eastAsia" w:ascii="宋体" w:hAnsi="宋体" w:cs="宋体"/>
          <w:color w:val="000000" w:themeColor="text1"/>
          <w:sz w:val="24"/>
          <w14:textFill>
            <w14:solidFill>
              <w14:schemeClr w14:val="tx1"/>
            </w14:solidFill>
          </w14:textFill>
        </w:rPr>
        <w:t xml:space="preserve">做</w:t>
      </w:r>
      <w:r>
        <w:rPr>
          <w:rFonts w:ascii="宋体" w:hAnsi="宋体" w:cs="宋体"/>
          <w:color w:val="000000" w:themeColor="text1"/>
          <w:sz w:val="24"/>
          <w14:textFill>
            <w14:solidFill>
              <w14:schemeClr w14:val="tx1"/>
            </w14:solidFill>
          </w14:textFill>
        </w:rPr>
        <w:t xml:space="preserve">出如下承诺：</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 w:val="24"/>
          <w:u w:val="single"/>
          <w14:textFill>
            <w14:solidFill>
              <w14:schemeClr w14:val="tx1"/>
            </w14:solidFill>
          </w14:textFill>
        </w:rPr>
        <w:t xml:space="preserve">（或采购人）</w:t>
      </w:r>
      <w:r>
        <w:rPr>
          <w:rFonts w:hint="eastAsia" w:ascii="宋体" w:hAnsi="宋体" w:cs="宋体"/>
          <w:color w:val="000000" w:themeColor="text1"/>
          <w:sz w:val="24"/>
          <w14:textFill>
            <w14:solidFill>
              <w14:schemeClr w14:val="tx1"/>
            </w14:solidFill>
          </w14:textFill>
        </w:rPr>
        <w:t xml:space="preserve">支付本采购文件公布的预算金额（或最高限价）的2%作为违约赔偿金（数量不确定的单价采购须约定具体金额）。</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1、自投标（响应）截止时间至本项目发布中标（成交）公告为止，撤销投标（响应）；</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2、中标（成交）后不依法与采购人签订合同；</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3、中标（成交）后不按本采购文件规定向采购人提交履约保证金；</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4、中标（成交）后不按本采购文件规定向贵方缴纳采购代理费。</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 w:val="24"/>
          <w:u w:val="single"/>
          <w14:textFill>
            <w14:solidFill>
              <w14:schemeClr w14:val="tx1"/>
            </w14:solidFill>
          </w14:textFill>
        </w:rPr>
        <w:t xml:space="preserve">（或采购人）</w:t>
      </w:r>
      <w:r>
        <w:rPr>
          <w:rFonts w:hint="eastAsia" w:ascii="宋体" w:hAnsi="宋体" w:cs="宋体"/>
          <w:color w:val="000000" w:themeColor="text1"/>
          <w:sz w:val="24"/>
          <w14:textFill>
            <w14:solidFill>
              <w14:schemeClr w14:val="tx1"/>
            </w14:solidFill>
          </w14:textFill>
        </w:rPr>
        <w:t xml:space="preserve">要求我单位履行违约赔偿义务的依据作用。</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投标（响应）人：（盖公章）</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w:t>
      </w:r>
      <w:r>
        <w:rPr>
          <w:rFonts w:hint="eastAsia" w:ascii="宋体" w:hAnsi="宋体" w:cs="宋体"/>
          <w:color w:val="000000" w:themeColor="text1"/>
          <w:sz w:val="24"/>
          <w:cs/>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w:t>
      </w:r>
      <w:r>
        <w:rPr>
          <w:rFonts w:hint="eastAsia" w:ascii="宋体" w:hAnsi="宋体" w:cs="宋体"/>
          <w:color w:val="000000" w:themeColor="text1"/>
          <w:sz w:val="24"/>
          <w:c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传真：</w:t>
      </w:r>
      <w:r>
        <w:rPr>
          <w:rFonts w:hint="eastAsia" w:ascii="宋体" w:hAnsi="宋体" w:cs="宋体"/>
          <w:color w:val="000000" w:themeColor="text1"/>
          <w:sz w:val="24"/>
          <w:cs/>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电子邮件：</w:t>
      </w:r>
      <w:r>
        <w:rPr>
          <w:rFonts w:hint="eastAsia" w:ascii="宋体" w:hAnsi="宋体" w:cs="宋体"/>
          <w:color w:val="000000" w:themeColor="text1"/>
          <w:sz w:val="24"/>
          <w:c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邮编：</w:t>
      </w:r>
      <w:r>
        <w:rPr>
          <w:rFonts w:hint="eastAsia" w:ascii="宋体" w:hAnsi="宋体" w:cs="宋体"/>
          <w:color w:val="000000" w:themeColor="text1"/>
          <w:sz w:val="24"/>
          <w:cs/>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法定代表人或委托代理人(签字或签章)</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cs/>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w:t>
      </w:r>
      <w:r>
        <w:rPr>
          <w:rFonts w:hint="eastAsia" w:ascii="宋体" w:hAnsi="宋体" w:cs="宋体"/>
          <w:color w:val="000000" w:themeColor="text1"/>
          <w:sz w:val="24"/>
          <w:cs/>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129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880"/>
        <w:rPr>
          <w:rFonts w:hint="eastAsia"/>
        </w:rPr>
      </w:pPr>
      <w:r>
        <w:rPr>
          <w:rFonts w:hint="eastAsia"/>
        </w:rPr>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12、残疾人福利性单位声明函（格式）</w:t>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u w:val="single"/>
          <w:c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单位的</w:t>
      </w:r>
      <w:r>
        <w:rPr>
          <w:rFonts w:hint="eastAsia" w:ascii="宋体" w:hAnsi="宋体" w:cs="宋体"/>
          <w:color w:val="000000" w:themeColor="text1"/>
          <w:sz w:val="24"/>
          <w:u w:val="single"/>
          <w:c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本单位对上述声明的真实性负责。如有虚假，将依法承担相应责任。</w:t>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单位名称（盖章）：</w:t>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  期：</w:t>
      </w:r>
      <w:r/>
    </w:p>
    <w:p>
      <w:pPr>
        <w:pStyle w:val="1291"/>
        <w:ind w:firstLine="0"/>
        <w:jc w:val="both"/>
        <w:spacing w:before="156" w:after="156" w:line="360" w:lineRule="auto"/>
        <w:rPr>
          <w:rFonts w:hint="eastAsia" w:ascii="宋体" w:hAnsi="宋体" w:eastAsia="宋体" w:cs="宋体"/>
          <w:color w:val="000000" w:themeColor="text1"/>
          <w:szCs w:val="24"/>
          <w14:textFill>
            <w14:solidFill>
              <w14:schemeClr w14:val="tx1"/>
            </w14:solidFill>
          </w14:textFill>
        </w:rPr>
        <w:outlineLvl w:val="2"/>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color w:val="000000" w:themeColor="text1"/>
          <w14:textFill>
            <w14:solidFill>
              <w14:schemeClr w14:val="tx1"/>
            </w14:solidFill>
          </w14:textFill>
        </w:rPr>
        <w:t xml:space="preserve">13、</w:t>
      </w:r>
      <w:r>
        <w:rPr>
          <w:rFonts w:hint="eastAsia" w:ascii="宋体" w:hAnsi="宋体" w:eastAsia="宋体" w:cs="宋体"/>
          <w:color w:val="000000" w:themeColor="text1"/>
          <w:szCs w:val="24"/>
          <w14:textFill>
            <w14:solidFill>
              <w14:schemeClr w14:val="tx1"/>
            </w14:solidFill>
          </w14:textFill>
        </w:rPr>
        <w:t xml:space="preserve">开票信息</w:t>
      </w:r>
      <w:r/>
    </w:p>
    <w:p>
      <w:pPr>
        <w:ind w:left="420"/>
        <w:spacing w:after="120"/>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开票信息</w:t>
      </w:r>
      <w:r/>
    </w:p>
    <w:tbl>
      <w:tblPr>
        <w:tblStyle w:val="879"/>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供应商名称</w:t>
            </w:r>
            <w:r/>
          </w:p>
        </w:tc>
        <w:tc>
          <w:tcPr>
            <w:tcW w:w="6636"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567"/>
        </w:trPr>
        <w:tc>
          <w:tcPr>
            <w:tcW w:w="2992"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w:t>
            </w:r>
            <w:r/>
          </w:p>
        </w:tc>
        <w:tc>
          <w:tcPr>
            <w:tcW w:w="6636"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567"/>
        </w:trPr>
        <w:tc>
          <w:tcPr>
            <w:tcW w:w="2992"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w:t>
            </w:r>
            <w:r/>
          </w:p>
        </w:tc>
        <w:tc>
          <w:tcPr>
            <w:tcW w:w="6636"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567"/>
        </w:trPr>
        <w:tc>
          <w:tcPr>
            <w:tcW w:w="2992"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税号</w:t>
            </w:r>
            <w:r/>
          </w:p>
        </w:tc>
        <w:tc>
          <w:tcPr>
            <w:tcW w:w="6636"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567"/>
        </w:trPr>
        <w:tc>
          <w:tcPr>
            <w:tcW w:w="2992"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开户行</w:t>
            </w:r>
            <w:r/>
          </w:p>
        </w:tc>
        <w:tc>
          <w:tcPr>
            <w:tcW w:w="6636"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567"/>
        </w:trPr>
        <w:tc>
          <w:tcPr>
            <w:tcW w:w="2992"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银行账号</w:t>
            </w:r>
            <w:r/>
          </w:p>
        </w:tc>
        <w:tc>
          <w:tcPr>
            <w:tcW w:w="6636"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50"/>
        <w:ind w:firstLine="480"/>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r>
      <w:r/>
    </w:p>
    <w:p>
      <w:pPr>
        <w:pStyle w:val="1266"/>
        <w:rPr>
          <w:rFonts w:hint="eastAsia" w:ascii="宋体" w:hAnsi="宋体" w:cs="宋体"/>
          <w:color w:val="000000" w:themeColor="text1"/>
          <w14:textFill>
            <w14:solidFill>
              <w14:schemeClr w14:val="tx1"/>
            </w14:solidFill>
          </w14:textFill>
        </w:rPr>
        <w:framePr w:wrap="around"/>
      </w:pPr>
      <w:r>
        <w:rPr>
          <w:rFonts w:hint="eastAsia" w:ascii="宋体" w:hAnsi="宋体" w:cs="宋体"/>
          <w:color w:val="000000" w:themeColor="text1"/>
          <w14:textFill>
            <w14:solidFill>
              <w14:schemeClr w14:val="tx1"/>
            </w14:solidFill>
          </w14:textFill>
        </w:rPr>
      </w:r>
      <w:r/>
    </w:p>
    <w:p>
      <w:pPr>
        <w:ind w:firstLine="576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单位名称（盖章）：</w:t>
      </w:r>
      <w:r/>
    </w:p>
    <w:p>
      <w:pPr>
        <w:ind w:firstLine="576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  期：</w:t>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14、供应商与其他单位存在控股、管理关系情况表</w:t>
      </w:r>
      <w:r/>
    </w:p>
    <w:p>
      <w:pPr>
        <w:ind w:firstLine="1446"/>
        <w:spacing w:line="85" w:lineRule="atLeast"/>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供应商与其他单位存在控股、管理关系情况表</w:t>
      </w:r>
      <w:r/>
    </w:p>
    <w:tbl>
      <w:tblPr>
        <w:tblStyle w:val="879"/>
        <w:tblW w:w="9284" w:type="dxa"/>
        <w:tblInd w:w="0" w:type="dxa"/>
        <w:tblLayout w:type="fixed"/>
        <w:tblCellMar>
          <w:left w:w="0" w:type="dxa"/>
          <w:top w:w="0" w:type="dxa"/>
          <w:right w:w="0" w:type="dxa"/>
          <w:bottom w:w="0" w:type="dxa"/>
        </w:tblCellMar>
        <w:tblLook w:val="04A0" w:firstRow="1" w:lastRow="0" w:firstColumn="1" w:lastColumn="0" w:noHBand="0" w:noVBand="1"/>
      </w:tblPr>
      <w:tblGrid>
        <w:gridCol w:w="4885"/>
        <w:gridCol w:w="4399"/>
      </w:tblGrid>
      <w:tr>
        <w:trPr>
          <w:trHeight w:val="624"/>
        </w:trPr>
        <w:tc>
          <w:tcPr>
            <w:tcMar>
              <w:left w:w="0" w:type="dxa"/>
              <w:top w:w="0" w:type="dxa"/>
              <w:right w:w="0" w:type="dxa"/>
              <w:bottom w:w="0" w:type="dxa"/>
            </w:tcMar>
            <w:tcW w:w="4885" w:type="dxa"/>
            <w:textDirection w:val="lrTb"/>
            <w:noWrap w:val="false"/>
          </w:tcPr>
          <w:p>
            <w:pPr>
              <w:ind w:firstLine="470"/>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b/>
                <w:color w:val="000000" w:themeColor="text1"/>
                <w:spacing w:val="-3"/>
                <w:sz w:val="24"/>
                <w14:textFill>
                  <w14:solidFill>
                    <w14:schemeClr w14:val="tx1"/>
                  </w14:solidFill>
                </w14:textFill>
              </w:rPr>
              <w:t xml:space="preserve">与供应商存在控股、管理关系的单位名称</w:t>
            </w:r>
            <w:r/>
          </w:p>
        </w:tc>
        <w:tc>
          <w:tcPr>
            <w:tcMar>
              <w:left w:w="0" w:type="dxa"/>
              <w:top w:w="0" w:type="dxa"/>
              <w:right w:w="0" w:type="dxa"/>
              <w:bottom w:w="0" w:type="dxa"/>
            </w:tcMar>
            <w:tcW w:w="4399" w:type="dxa"/>
            <w:textDirection w:val="lrTb"/>
            <w:noWrap w:val="false"/>
          </w:tcPr>
          <w:p>
            <w:pPr>
              <w:ind w:firstLine="478"/>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b/>
                <w:color w:val="000000" w:themeColor="text1"/>
                <w:spacing w:val="-1"/>
                <w:sz w:val="24"/>
                <w14:textFill>
                  <w14:solidFill>
                    <w14:schemeClr w14:val="tx1"/>
                  </w14:solidFill>
                </w14:textFill>
              </w:rPr>
              <w:t xml:space="preserve">控股、管理关系情况说明</w:t>
            </w:r>
            <w:r/>
          </w:p>
        </w:tc>
      </w:tr>
      <w:tr>
        <w:trPr>
          <w:trHeight w:val="848"/>
        </w:trPr>
        <w:tc>
          <w:tcPr>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r>
      <w:tr>
        <w:trPr>
          <w:trHeight w:val="849"/>
        </w:trPr>
        <w:tc>
          <w:tcPr>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r>
      <w:tr>
        <w:trPr>
          <w:trHeight w:val="848"/>
        </w:trPr>
        <w:tc>
          <w:tcPr>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r>
      <w:tr>
        <w:trPr>
          <w:trHeight w:val="849"/>
        </w:trPr>
        <w:tc>
          <w:tcPr>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r>
      <w:tr>
        <w:trPr>
          <w:trHeight w:val="838"/>
        </w:trPr>
        <w:tc>
          <w:tcPr>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r>
      <w:tr>
        <w:trPr>
          <w:trHeight w:val="864"/>
        </w:trPr>
        <w:tc>
          <w:tcPr>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r>
    </w:tbl>
    <w:p>
      <w:pPr>
        <w:spacing w:line="85" w:lineRule="atLeas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注：供应商应当按实填写所有与之有控股、管理关系的情况</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 </w:t>
      </w:r>
      <w:r/>
    </w:p>
    <w:p>
      <w:pPr>
        <w:ind w:firstLine="5760"/>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单位名称（盖章）：</w:t>
      </w:r>
      <w:r/>
    </w:p>
    <w:p>
      <w:pPr>
        <w:ind w:firstLine="5760"/>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  期：</w:t>
      </w:r>
      <w:r/>
    </w:p>
    <w:p>
      <w:pPr>
        <w:jc w:val="left"/>
        <w:spacing w:line="85" w:lineRule="atLeas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85" w:lineRule="atLeas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4"/>
        <w:spacing w:line="360" w:lineRule="auto"/>
        <w:tabs>
          <w:tab w:val="left" w:pos="360" w:leader="none"/>
        </w:tabs>
        <w:rPr>
          <w:rFonts w:hint="eastAsia" w:ascii="宋体" w:hAnsi="宋体" w:cs="宋体"/>
          <w:b/>
          <w:bCs/>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br w:type="page" w:clear="all"/>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15、响应单位资格承诺书</w:t>
      </w:r>
      <w:r/>
    </w:p>
    <w:p>
      <w:pPr>
        <w:jc w:val="center"/>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jc w:val="center"/>
        <w:spacing w:line="360" w:lineRule="auto"/>
        <w:widowControl/>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响应单位资格承诺书</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响应单位</w:t>
      </w:r>
      <w:r>
        <w:rPr>
          <w:rFonts w:hint="eastAsia" w:ascii="宋体" w:hAnsi="宋体" w:cs="宋体"/>
          <w:color w:val="000000" w:themeColor="text1"/>
          <w:sz w:val="24"/>
          <w14:textFill>
            <w14:solidFill>
              <w14:schemeClr w14:val="tx1"/>
            </w14:solidFill>
          </w14:textFill>
        </w:rPr>
        <w:t xml:space="preserve">：（公章）                          采购编号：             号</w:t>
      </w:r>
      <w:r/>
    </w:p>
    <w:tbl>
      <w:tblPr>
        <w:tblStyle w:val="879"/>
        <w:tblW w:w="8849"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558"/>
        <w:gridCol w:w="1322"/>
        <w:gridCol w:w="3141"/>
      </w:tblGrid>
      <w:tr>
        <w:trPr>
          <w:trHeight w:val="696"/>
        </w:trPr>
        <w:tc>
          <w:tcPr>
            <w:tcW w:w="828"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序号</w:t>
            </w:r>
            <w:r/>
          </w:p>
        </w:tc>
        <w:tc>
          <w:tcPr>
            <w:tcW w:w="3558"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磋商响应单位部分资格要求</w:t>
            </w:r>
            <w:r/>
          </w:p>
        </w:tc>
        <w:tc>
          <w:tcPr>
            <w:tcW w:w="1322"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是否完全满足</w:t>
            </w:r>
            <w:r/>
          </w:p>
        </w:tc>
        <w:tc>
          <w:tcPr>
            <w:tcW w:w="3141"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备注</w:t>
            </w:r>
            <w:r/>
          </w:p>
        </w:tc>
      </w:tr>
      <w:tr>
        <w:trPr>
          <w:trHeight w:val="660"/>
        </w:trPr>
        <w:tc>
          <w:tcPr>
            <w:tcW w:w="828"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355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具有独立承担民事责任的能力；</w:t>
            </w:r>
            <w:r/>
          </w:p>
        </w:tc>
        <w:tc>
          <w:tcPr>
            <w:tcW w:w="1322"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314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提供包括法人或者其他组织的营业执照等证明文件，自然人的身份证明</w:t>
            </w:r>
            <w:r/>
          </w:p>
        </w:tc>
      </w:tr>
      <w:tr>
        <w:trPr>
          <w:trHeight w:val="660"/>
        </w:trPr>
        <w:tc>
          <w:tcPr>
            <w:tcW w:w="828"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355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具有良好的商业信誉和健全的财务会计制度；</w:t>
            </w:r>
            <w:r/>
          </w:p>
        </w:tc>
        <w:tc>
          <w:tcPr>
            <w:tcW w:w="1322"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314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提供包括但不限于最近一期（2024年或2025年度）财务审计报告或最近一期财务报表，其他组织、自然人及成立未满一年的法人应提供银行出具的资信证明</w:t>
            </w:r>
            <w:r/>
          </w:p>
        </w:tc>
      </w:tr>
      <w:tr>
        <w:trPr>
          <w:trHeight w:val="660"/>
        </w:trPr>
        <w:tc>
          <w:tcPr>
            <w:tcW w:w="828"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355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具有履行合同所必需的设备和专业技术能力；</w:t>
            </w:r>
            <w:r/>
          </w:p>
        </w:tc>
        <w:tc>
          <w:tcPr>
            <w:tcW w:w="1322"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314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提供书面声明</w:t>
            </w:r>
            <w:r/>
          </w:p>
        </w:tc>
      </w:tr>
      <w:tr>
        <w:trPr>
          <w:trHeight w:val="660"/>
        </w:trPr>
        <w:tc>
          <w:tcPr>
            <w:tcW w:w="828"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355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有依法缴纳税收和社会保障资金的良好记录；</w:t>
            </w:r>
            <w:r/>
          </w:p>
        </w:tc>
        <w:tc>
          <w:tcPr>
            <w:tcW w:w="1322"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314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trHeight w:val="660"/>
        </w:trPr>
        <w:tc>
          <w:tcPr>
            <w:tcW w:w="828"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355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参加政府采购活动前三年内，在经营活动中没有重大违法记录。</w:t>
            </w:r>
            <w:r/>
          </w:p>
        </w:tc>
        <w:tc>
          <w:tcPr>
            <w:tcW w:w="1322"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314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提供书面声明</w:t>
            </w:r>
            <w:r/>
          </w:p>
        </w:tc>
      </w:tr>
      <w:tr>
        <w:trPr>
          <w:trHeight w:val="660"/>
        </w:trPr>
        <w:tc>
          <w:tcPr>
            <w:tcW w:w="828"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3558" w:type="dxa"/>
            <w:vAlign w:val="center"/>
            <w:textDirection w:val="lrTb"/>
            <w:noWrap w:val="false"/>
          </w:tcPr>
          <w:p>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法律、行政法规规定的其他条件；</w:t>
            </w:r>
            <w:r/>
          </w:p>
        </w:tc>
        <w:tc>
          <w:tcPr>
            <w:tcW w:w="1322"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314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提供书面声明</w:t>
            </w:r>
            <w:r/>
          </w:p>
        </w:tc>
      </w:tr>
      <w:tr>
        <w:trPr>
          <w:trHeight w:val="694"/>
        </w:trPr>
        <w:tc>
          <w:tcPr>
            <w:tcW w:w="828"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W w:w="3558" w:type="dxa"/>
            <w:vAlign w:val="center"/>
            <w:textDirection w:val="lrTb"/>
            <w:noWrap w:val="false"/>
          </w:tcPr>
          <w:p>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合格磋商响应单位的特定条件（如有，按磋商公告要求）</w:t>
            </w:r>
            <w:r/>
          </w:p>
        </w:tc>
        <w:tc>
          <w:tcPr>
            <w:tcW w:w="1322"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314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提供相关证明材料</w:t>
            </w:r>
            <w:r/>
          </w:p>
        </w:tc>
      </w:tr>
    </w:tbl>
    <w:p>
      <w:pPr>
        <w:spacing w:line="360" w:lineRule="auto"/>
        <w:widowControl/>
        <w:rPr>
          <w:rFonts w:hint="eastAsia" w:ascii="宋体" w:hAnsi="宋体"/>
          <w:b/>
          <w:color w:val="000000" w:themeColor="text1"/>
          <w:sz w:val="24"/>
          <w14:textFill>
            <w14:solidFill>
              <w14:schemeClr w14:val="tx1"/>
            </w14:solidFill>
          </w14:textFill>
        </w:rPr>
        <w:outlineLvl w:val="1"/>
      </w:pPr>
      <w:r>
        <w:rPr>
          <w:rFonts w:hint="eastAsia" w:ascii="宋体" w:hAnsi="宋体"/>
          <w:b/>
          <w:color w:val="000000" w:themeColor="text1"/>
          <w:sz w:val="24"/>
          <w14:textFill>
            <w14:solidFill>
              <w14:schemeClr w14:val="tx1"/>
            </w14:solidFill>
          </w14:textFill>
        </w:rPr>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w:t>
      </w:r>
      <w:r>
        <w:rPr>
          <w:rFonts w:ascii="宋体" w:hAnsi="宋体"/>
          <w:color w:val="000000" w:themeColor="text1"/>
          <w:sz w:val="24"/>
          <w14:textFill>
            <w14:solidFill>
              <w14:schemeClr w14:val="tx1"/>
            </w14:solidFill>
          </w14:textFill>
        </w:rPr>
        <w:t xml:space="preserve">单位：（单位盖章）</w:t>
      </w:r>
      <w:r/>
    </w:p>
    <w:p>
      <w:pPr>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法定代表人或代理人：（签字或盖章）</w:t>
      </w:r>
      <w:r/>
    </w:p>
    <w:p>
      <w:pPr>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年    月    日</w:t>
      </w:r>
      <w:r/>
    </w:p>
    <w:p>
      <w:pPr>
        <w:spacing w:line="360" w:lineRule="auto"/>
        <w:widowControl/>
        <w:rPr>
          <w:rFonts w:hint="eastAsia" w:ascii="宋体" w:hAnsi="宋体"/>
          <w:bCs/>
          <w:color w:val="000000" w:themeColor="text1"/>
          <w:sz w:val="24"/>
          <w14:textFill>
            <w14:solidFill>
              <w14:schemeClr w14:val="tx1"/>
            </w14:solidFill>
          </w14:textFill>
        </w:rPr>
        <w:outlineLvl w:val="1"/>
      </w:pPr>
      <w:r>
        <w:rPr>
          <w:rFonts w:hint="eastAsia" w:ascii="宋体" w:hAnsi="宋体"/>
          <w:b/>
          <w:color w:val="000000" w:themeColor="text1"/>
          <w:sz w:val="24"/>
          <w14:textFill>
            <w14:solidFill>
              <w14:schemeClr w14:val="tx1"/>
            </w14:solidFill>
          </w14:textFill>
        </w:rPr>
        <w:br w:type="page" w:clear="all"/>
      </w:r>
      <w:r>
        <w:rPr>
          <w:rFonts w:hint="eastAsia" w:ascii="宋体" w:hAnsi="宋体"/>
          <w:bCs/>
          <w:color w:val="000000" w:themeColor="text1"/>
          <w:sz w:val="24"/>
          <w14:textFill>
            <w14:solidFill>
              <w14:schemeClr w14:val="tx1"/>
            </w14:solidFill>
          </w14:textFill>
        </w:rPr>
        <w:t xml:space="preserve">16、偏离表</w:t>
      </w:r>
      <w:r/>
    </w:p>
    <w:p>
      <w:pPr>
        <w:pStyle w:val="123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spacing w:line="380" w:lineRule="exact"/>
        <w:rPr>
          <w:rFonts w:hint="eastAsia"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偏离表</w:t>
      </w:r>
      <w:r>
        <w:rPr>
          <w:rFonts w:hint="eastAsia" w:ascii="宋体" w:hAnsi="宋体"/>
          <w:b/>
          <w:color w:val="000000" w:themeColor="text1"/>
          <w:sz w:val="24"/>
          <w14:textFill>
            <w14:solidFill>
              <w14:schemeClr w14:val="tx1"/>
            </w14:solidFill>
          </w14:textFill>
        </w:rPr>
        <w:t xml:space="preserve">（技术、商务）</w:t>
      </w:r>
      <w:r/>
    </w:p>
    <w:p>
      <w:pPr>
        <w:ind w:left="420" w:firstLine="420"/>
        <w:spacing w:after="1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79"/>
        <w:tblW w:w="8466" w:type="dxa"/>
        <w:tblInd w:w="-216" w:type="dxa"/>
        <w:tblLayout w:type="fixed"/>
        <w:tblCellMar>
          <w:left w:w="108" w:type="dxa"/>
          <w:top w:w="0" w:type="dxa"/>
          <w:right w:w="108" w:type="dxa"/>
          <w:bottom w:w="0" w:type="dxa"/>
        </w:tblCellMar>
        <w:tblLook w:val="04A0" w:firstRow="1" w:lastRow="0" w:firstColumn="1" w:lastColumn="0" w:noHBand="0" w:noVBand="1"/>
      </w:tblPr>
      <w:tblGrid>
        <w:gridCol w:w="804"/>
        <w:gridCol w:w="1950"/>
        <w:gridCol w:w="3405"/>
        <w:gridCol w:w="2307"/>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tcPr>
          <w:p>
            <w:pPr>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响应</w:t>
            </w:r>
            <w:r/>
          </w:p>
          <w:p>
            <w:pPr>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tcPr>
          <w:p>
            <w:pPr>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r>
    </w:tbl>
    <w:p>
      <w:pPr>
        <w:jc w:val="left"/>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注：供应商</w:t>
      </w:r>
      <w:r>
        <w:rPr>
          <w:rFonts w:hint="eastAsia" w:ascii="宋体" w:hAnsi="宋体"/>
          <w:color w:val="000000" w:themeColor="text1"/>
          <w:sz w:val="24"/>
          <w14:textFill>
            <w14:solidFill>
              <w14:schemeClr w14:val="tx1"/>
            </w14:solidFill>
          </w14:textFill>
        </w:rPr>
        <w:t xml:space="preserve">应在本表中对照磋商采购文件要求逐项对应列出响应内容，并在“偏离说明”项下填写以下内容：优于的，填写“正偏离”；符合的，填写“无偏离”；低于的，填写“负偏离”。</w:t>
      </w:r>
      <w:r/>
    </w:p>
    <w:p>
      <w:pPr>
        <w:ind w:firstLine="21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123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w:t>
      </w:r>
      <w:r>
        <w:rPr>
          <w:rFonts w:ascii="宋体" w:hAnsi="宋体"/>
          <w:color w:val="000000" w:themeColor="text1"/>
          <w:sz w:val="24"/>
          <w14:textFill>
            <w14:solidFill>
              <w14:schemeClr w14:val="tx1"/>
            </w14:solidFill>
          </w14:textFill>
        </w:rPr>
        <w:t xml:space="preserve">单位：（单位盖章）</w:t>
      </w:r>
      <w:r/>
    </w:p>
    <w:p>
      <w:pPr>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法定代表人或代理人：（签字或盖章）</w:t>
      </w:r>
      <w:r/>
    </w:p>
    <w:p>
      <w:pPr>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年    月    日</w:t>
      </w:r>
      <w:r/>
    </w:p>
    <w:p>
      <w:pPr>
        <w:jc w:val="left"/>
        <w:spacing w:line="85" w:lineRule="atLeas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85" w:lineRule="atLeas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85" w:lineRule="atLeas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p>
    <w:p>
      <w:pPr>
        <w:jc w:val="left"/>
        <w:spacing w:line="85" w:lineRule="atLeas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附件：政府采购合同信用融资政策告知函</w:t>
      </w:r>
      <w:r/>
    </w:p>
    <w:p>
      <w:pPr>
        <w:jc w:val="left"/>
        <w:spacing w:line="85" w:lineRule="atLeas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85" w:lineRule="atLeas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政府采购合同信用融资政策告知函</w:t>
      </w:r>
      <w:r/>
    </w:p>
    <w:p>
      <w:pPr>
        <w:jc w:val="left"/>
        <w:spacing w:line="85" w:lineRule="atLeas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85" w:lineRule="atLeas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各政府采购供应商:</w:t>
      </w:r>
      <w:r/>
    </w:p>
    <w:p>
      <w:pPr>
        <w:ind w:firstLine="480"/>
        <w:jc w:val="left"/>
        <w:spacing w:line="85" w:lineRule="atLeas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欢迎贵公司参加苏州市政府采购活动!</w:t>
      </w:r>
      <w:r/>
    </w:p>
    <w:p>
      <w:pPr>
        <w:ind w:firstLine="480"/>
        <w:jc w:val="left"/>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 </w:t>
      </w:r>
      <w:r/>
    </w:p>
    <w:p>
      <w:pPr>
        <w:jc w:val="center"/>
        <w:spacing w:line="85" w:lineRule="atLeas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（全文完）</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 </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w:t>
      </w:r>
      <w:r>
        <w:rPr>
          <w:rFonts w:ascii="宋体" w:hAnsi="宋体"/>
          <w:color w:val="000000" w:themeColor="text1"/>
          <w:sz w:val="24"/>
          <w14:textFill>
            <w14:solidFill>
              <w14:schemeClr w14:val="tx1"/>
            </w14:solidFill>
          </w14:textFill>
        </w:rPr>
        <w:t xml:space="preserve">单位：（单位盖章）</w:t>
      </w:r>
      <w:r/>
    </w:p>
    <w:p>
      <w:pPr>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年    月    日</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sectPr>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黑体">
    <w:panose1 w:val="02010609060101010101"/>
  </w:font>
  <w:font w:name="MS Gothic">
    <w:panose1 w:val="020B0609070205080204"/>
  </w:font>
  <w:font w:name="Symbol">
    <w:panose1 w:val="05050102010706020507"/>
  </w:font>
  <w:font w:name="Wingdings">
    <w:panose1 w:val="05000000000000000000"/>
  </w:font>
  <w:font w:name="Verdana">
    <w:panose1 w:val="020B0604030504040204"/>
  </w:font>
  <w:font w:name="印品仿宋简 Medium">
    <w:panose1 w:val="020B0503020202020204"/>
  </w:font>
  <w:font w:name="方正仿宋简体">
    <w:panose1 w:val="020B0503020202020204"/>
  </w:font>
  <w:font w:name="Tahoma">
    <w:panose1 w:val="020B0604030504040204"/>
  </w:font>
  <w:font w:name="Cambria">
    <w:panose1 w:val="02040503050406030204"/>
  </w:font>
  <w:font w:name="微软雅黑">
    <w:panose1 w:val="020B0503020204020204"/>
  </w:font>
  <w:font w:name="Calibri">
    <w:panose1 w:val="020F0502020204030204"/>
  </w:font>
  <w:font w:name="方正楷体_GB2312">
    <w:panose1 w:val="020B0503020202020204"/>
  </w:font>
  <w:font w:name="Courier New">
    <w:panose1 w:val="02070309020205020404"/>
  </w:font>
  <w:font w:name="方正仿宋_GB2312">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2599690</wp:posOffset>
              </wp:positionH>
              <wp:positionV relativeFrom="paragraph">
                <wp:posOffset>3175</wp:posOffset>
              </wp:positionV>
              <wp:extent cx="1476375" cy="1828800"/>
              <wp:effectExtent l="0" t="0" r="9525" b="1143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476375" cy="1828800"/>
                      </a:xfrm>
                      <a:prstGeom prst="rect">
                        <a:avLst/>
                      </a:prstGeom>
                      <a:noFill/>
                      <a:ln w="6350">
                        <a:noFill/>
                      </a:ln>
                      <a:effectLst/>
                    </wps:spPr>
                    <wps:txbx>
                      <w:txbxContent>
                        <w:p>
                          <w:pPr>
                            <w:pStyle w:val="890"/>
                          </w:pPr>
                          <w:r>
                            <w:t xml:space="preserve">第 </w:t>
                          </w:r>
                          <w:r>
                            <w:fldChar w:fldCharType="begin"/>
                          </w:r>
                          <w:r>
                            <w:instrText xml:space="preserve"> PAGE  \* MERGEFORMAT </w:instrText>
                          </w:r>
                          <w:r>
                            <w:fldChar w:fldCharType="separate"/>
                          </w:r>
                          <w:r>
                            <w:t xml:space="preserve">157</w:t>
                          </w:r>
                          <w:r>
                            <w:fldChar w:fldCharType="end"/>
                          </w:r>
                          <w:r>
                            <w:t xml:space="preserve"> 页 共 </w:t>
                          </w:r>
                          <w:r>
                            <w:fldChar w:fldCharType="begin"/>
                          </w:r>
                          <w:r>
                            <w:instrText xml:space="preserve"> NUMPAGES  \* MERGEFORMAT </w:instrText>
                          </w:r>
                          <w:r>
                            <w:fldChar w:fldCharType="separate"/>
                          </w:r>
                          <w:r>
                            <w:t xml:space="preserve">159</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argin-left:204.7pt;mso-position-horizontal:absolute;mso-position-vertical-relative:text;margin-top:0.2pt;mso-position-vertical:absolute;width:116.2pt;height:144.0pt;mso-wrap-distance-left:9.0pt;mso-wrap-distance-top:0.0pt;mso-wrap-distance-right:9.0pt;mso-wrap-distance-bottom:0.0pt;v-text-anchor:top;visibility:visible;" filled="f" stroked="f" strokeweight="0.50pt">
              <v:textbox inset="0,0,0,0">
                <w:txbxContent>
                  <w:p>
                    <w:pPr>
                      <w:pStyle w:val="890"/>
                    </w:pPr>
                    <w:r>
                      <w:t xml:space="preserve">第 </w:t>
                    </w:r>
                    <w:r>
                      <w:fldChar w:fldCharType="begin"/>
                    </w:r>
                    <w:r>
                      <w:instrText xml:space="preserve"> PAGE  \* MERGEFORMAT </w:instrText>
                    </w:r>
                    <w:r>
                      <w:fldChar w:fldCharType="separate"/>
                    </w:r>
                    <w:r>
                      <w:t xml:space="preserve">157</w:t>
                    </w:r>
                    <w:r>
                      <w:fldChar w:fldCharType="end"/>
                    </w:r>
                    <w:r>
                      <w:t xml:space="preserve"> 页 共 </w:t>
                    </w:r>
                    <w:r>
                      <w:fldChar w:fldCharType="begin"/>
                    </w:r>
                    <w:r>
                      <w:instrText xml:space="preserve"> NUMPAGES  \* MERGEFORMAT </w:instrText>
                    </w:r>
                    <w:r>
                      <w:fldChar w:fldCharType="separate"/>
                    </w:r>
                    <w:r>
                      <w:t xml:space="preserve">159</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2599690</wp:posOffset>
              </wp:positionH>
              <wp:positionV relativeFrom="paragraph">
                <wp:posOffset>3175</wp:posOffset>
              </wp:positionV>
              <wp:extent cx="1304925" cy="161925"/>
              <wp:effectExtent l="0" t="0" r="9525" b="9525"/>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304925" cy="161925"/>
                      </a:xfrm>
                      <a:prstGeom prst="rect">
                        <a:avLst/>
                      </a:prstGeom>
                      <a:noFill/>
                      <a:ln w="6350">
                        <a:noFill/>
                      </a:ln>
                      <a:effectLst/>
                    </wps:spPr>
                    <wps:txbx>
                      <w:txbxContent>
                        <w:p>
                          <w:pPr>
                            <w:pStyle w:val="890"/>
                          </w:pPr>
                          <w:r>
                            <w:t xml:space="preserve">第 </w:t>
                          </w:r>
                          <w:r>
                            <w:fldChar w:fldCharType="begin"/>
                          </w:r>
                          <w:r>
                            <w:instrText xml:space="preserve"> PAGE  \* MERGEFORMAT </w:instrText>
                          </w:r>
                          <w:r>
                            <w:fldChar w:fldCharType="separate"/>
                          </w:r>
                          <w:r>
                            <w:t xml:space="preserve">156</w:t>
                          </w:r>
                          <w:r>
                            <w:fldChar w:fldCharType="end"/>
                          </w:r>
                          <w:r>
                            <w:t xml:space="preserve"> 页 共 </w:t>
                          </w:r>
                          <w:r>
                            <w:fldChar w:fldCharType="begin"/>
                          </w:r>
                          <w:r>
                            <w:instrText xml:space="preserve"> NUMPAGES  \* MERGEFORMAT </w:instrText>
                          </w:r>
                          <w:r>
                            <w:fldChar w:fldCharType="separate"/>
                          </w:r>
                          <w:r>
                            <w:t xml:space="preserve">159</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2336;o:allowoverlap:true;o:allowincell:true;mso-position-horizontal-relative:margin;margin-left:204.7pt;mso-position-horizontal:absolute;mso-position-vertical-relative:text;margin-top:0.2pt;mso-position-vertical:absolute;width:102.8pt;height:12.8pt;mso-wrap-distance-left:9.0pt;mso-wrap-distance-top:0.0pt;mso-wrap-distance-right:9.0pt;mso-wrap-distance-bottom:0.0pt;v-text-anchor:top;visibility:visible;" filled="f" stroked="f" strokeweight="0.50pt">
              <v:textbox inset="0,0,0,0">
                <w:txbxContent>
                  <w:p>
                    <w:pPr>
                      <w:pStyle w:val="890"/>
                    </w:pPr>
                    <w:r>
                      <w:t xml:space="preserve">第 </w:t>
                    </w:r>
                    <w:r>
                      <w:fldChar w:fldCharType="begin"/>
                    </w:r>
                    <w:r>
                      <w:instrText xml:space="preserve"> PAGE  \* MERGEFORMAT </w:instrText>
                    </w:r>
                    <w:r>
                      <w:fldChar w:fldCharType="separate"/>
                    </w:r>
                    <w:r>
                      <w:t xml:space="preserve">156</w:t>
                    </w:r>
                    <w:r>
                      <w:fldChar w:fldCharType="end"/>
                    </w:r>
                    <w:r>
                      <w:t xml:space="preserve"> 页 共 </w:t>
                    </w:r>
                    <w:r>
                      <w:fldChar w:fldCharType="begin"/>
                    </w:r>
                    <w:r>
                      <w:instrText xml:space="preserve"> NUMPAGES  \* MERGEFORMAT </w:instrText>
                    </w:r>
                    <w:r>
                      <w:fldChar w:fldCharType="separate"/>
                    </w:r>
                    <w:r>
                      <w:t xml:space="preserve">159</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2106930</wp:posOffset>
              </wp:positionH>
              <wp:positionV relativeFrom="paragraph">
                <wp:posOffset>2540</wp:posOffset>
              </wp:positionV>
              <wp:extent cx="1666875" cy="1828800"/>
              <wp:effectExtent l="0" t="0" r="9525" b="1651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666875" cy="1828800"/>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r/>
                          <w:r/>
                        </w:p>
                      </w:txbxContent>
                    </wps:txbx>
                    <wps:bodyPr wrap="squar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argin-left:165.9pt;mso-position-horizontal:absolute;mso-position-vertical-relative:text;margin-top:0.2pt;mso-position-vertical:absolute;width:131.2pt;height:144.0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right"/>
    </w:pPr>
    <w:r>
      <w:rPr>
        <w:rFonts w:hint="eastAsia"/>
      </w:rPr>
      <w:t xml:space="preserve">江苏至衡诚达工程咨询有限公司采购文件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6"/>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1003"/>
    <w:uiPriority w:val="29"/>
    <w:rPr>
      <w:i/>
    </w:rPr>
  </w:style>
  <w:style w:type="character" w:styleId="40">
    <w:name w:val="Intense Quote Char"/>
    <w:link w:val="1005"/>
    <w:uiPriority w:val="30"/>
    <w:rPr>
      <w:i/>
    </w:rPr>
  </w:style>
  <w:style w:type="table" w:styleId="49">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68" w:default="1">
    <w:name w:val="Normal"/>
    <w:next w:val="880"/>
    <w:uiPriority w:val="0"/>
    <w:qFormat/>
    <w:pPr>
      <w:jc w:val="both"/>
      <w:widowControl w:val="off"/>
    </w:pPr>
    <w:rPr>
      <w:rFonts w:ascii="Times New Roman" w:hAnsi="Times New Roman" w:eastAsia="宋体" w:cs="Times New Roman"/>
      <w:sz w:val="21"/>
      <w:szCs w:val="24"/>
      <w:lang w:val="en-US" w:eastAsia="zh-CN" w:bidi="ar-SA"/>
    </w:rPr>
  </w:style>
  <w:style w:type="paragraph" w:styleId="869">
    <w:name w:val="Heading 1"/>
    <w:basedOn w:val="868"/>
    <w:next w:val="868"/>
    <w:uiPriority w:val="9"/>
    <w:qFormat/>
    <w:pPr>
      <w:keepLines/>
      <w:keepNext/>
      <w:spacing w:before="480" w:after="200"/>
      <w:outlineLvl w:val="0"/>
    </w:pPr>
    <w:rPr>
      <w:rFonts w:ascii="Arial" w:hAnsi="Arial" w:eastAsia="Arial" w:cs="Arial"/>
      <w:sz w:val="40"/>
      <w:szCs w:val="40"/>
    </w:rPr>
  </w:style>
  <w:style w:type="paragraph" w:styleId="870">
    <w:name w:val="Heading 2"/>
    <w:basedOn w:val="868"/>
    <w:next w:val="868"/>
    <w:uiPriority w:val="9"/>
    <w:unhideWhenUsed/>
    <w:qFormat/>
    <w:pPr>
      <w:keepLines/>
      <w:keepNext/>
      <w:spacing w:before="360" w:after="200"/>
      <w:outlineLvl w:val="1"/>
    </w:pPr>
    <w:rPr>
      <w:rFonts w:ascii="Arial" w:hAnsi="Arial" w:eastAsia="Arial" w:cs="Arial"/>
      <w:sz w:val="34"/>
    </w:rPr>
  </w:style>
  <w:style w:type="paragraph" w:styleId="871">
    <w:name w:val="Heading 3"/>
    <w:basedOn w:val="868"/>
    <w:next w:val="868"/>
    <w:uiPriority w:val="9"/>
    <w:unhideWhenUsed/>
    <w:qFormat/>
    <w:pPr>
      <w:keepLines/>
      <w:keepNext/>
      <w:spacing w:before="320" w:after="200"/>
      <w:outlineLvl w:val="2"/>
    </w:pPr>
    <w:rPr>
      <w:rFonts w:ascii="Arial" w:hAnsi="Arial" w:eastAsia="Arial" w:cs="Arial"/>
      <w:sz w:val="30"/>
      <w:szCs w:val="30"/>
    </w:rPr>
  </w:style>
  <w:style w:type="paragraph" w:styleId="872">
    <w:name w:val="Heading 4"/>
    <w:basedOn w:val="868"/>
    <w:next w:val="868"/>
    <w:uiPriority w:val="9"/>
    <w:unhideWhenUsed/>
    <w:qFormat/>
    <w:pPr>
      <w:keepLines/>
      <w:keepNext/>
      <w:spacing w:before="320" w:after="200"/>
      <w:outlineLvl w:val="3"/>
    </w:pPr>
    <w:rPr>
      <w:rFonts w:ascii="Arial" w:hAnsi="Arial" w:eastAsia="Arial" w:cs="Arial"/>
      <w:b/>
      <w:bCs/>
      <w:sz w:val="26"/>
      <w:szCs w:val="26"/>
    </w:rPr>
  </w:style>
  <w:style w:type="paragraph" w:styleId="873">
    <w:name w:val="Heading 5"/>
    <w:basedOn w:val="868"/>
    <w:next w:val="868"/>
    <w:uiPriority w:val="9"/>
    <w:unhideWhenUsed/>
    <w:qFormat/>
    <w:pPr>
      <w:keepLines/>
      <w:keepNext/>
      <w:spacing w:before="320" w:after="200"/>
      <w:outlineLvl w:val="4"/>
    </w:pPr>
    <w:rPr>
      <w:rFonts w:ascii="Arial" w:hAnsi="Arial" w:eastAsia="Arial" w:cs="Arial"/>
      <w:b/>
      <w:bCs/>
      <w:sz w:val="24"/>
    </w:rPr>
  </w:style>
  <w:style w:type="paragraph" w:styleId="874">
    <w:name w:val="Heading 6"/>
    <w:basedOn w:val="868"/>
    <w:next w:val="868"/>
    <w:uiPriority w:val="9"/>
    <w:unhideWhenUsed/>
    <w:qFormat/>
    <w:pPr>
      <w:keepLines/>
      <w:keepNext/>
      <w:spacing w:before="320" w:after="200"/>
      <w:outlineLvl w:val="5"/>
    </w:pPr>
    <w:rPr>
      <w:rFonts w:ascii="Arial" w:hAnsi="Arial" w:eastAsia="Arial" w:cs="Arial"/>
      <w:b/>
      <w:bCs/>
      <w:sz w:val="22"/>
      <w:szCs w:val="22"/>
    </w:rPr>
  </w:style>
  <w:style w:type="paragraph" w:styleId="875">
    <w:name w:val="Heading 7"/>
    <w:basedOn w:val="868"/>
    <w:next w:val="868"/>
    <w:uiPriority w:val="9"/>
    <w:unhideWhenUsed/>
    <w:qFormat/>
    <w:pPr>
      <w:keepLines/>
      <w:keepNext/>
      <w:spacing w:before="320" w:after="200"/>
      <w:outlineLvl w:val="6"/>
    </w:pPr>
    <w:rPr>
      <w:rFonts w:ascii="Arial" w:hAnsi="Arial" w:eastAsia="Arial" w:cs="Arial"/>
      <w:b/>
      <w:bCs/>
      <w:i/>
      <w:iCs/>
      <w:sz w:val="22"/>
      <w:szCs w:val="22"/>
    </w:rPr>
  </w:style>
  <w:style w:type="paragraph" w:styleId="876">
    <w:name w:val="Heading 8"/>
    <w:basedOn w:val="868"/>
    <w:next w:val="868"/>
    <w:uiPriority w:val="9"/>
    <w:unhideWhenUsed/>
    <w:qFormat/>
    <w:pPr>
      <w:keepLines/>
      <w:keepNext/>
      <w:spacing w:before="320" w:after="200"/>
      <w:outlineLvl w:val="7"/>
    </w:pPr>
    <w:rPr>
      <w:rFonts w:ascii="Arial" w:hAnsi="Arial" w:eastAsia="Arial" w:cs="Arial"/>
      <w:i/>
      <w:iCs/>
      <w:sz w:val="22"/>
      <w:szCs w:val="22"/>
    </w:rPr>
  </w:style>
  <w:style w:type="paragraph" w:styleId="877">
    <w:name w:val="Heading 9"/>
    <w:basedOn w:val="868"/>
    <w:next w:val="868"/>
    <w:uiPriority w:val="9"/>
    <w:unhideWhenUsed/>
    <w:qFormat/>
    <w:pPr>
      <w:keepLines/>
      <w:keepNext/>
      <w:spacing w:before="320" w:after="200"/>
      <w:outlineLvl w:val="8"/>
    </w:pPr>
    <w:rPr>
      <w:rFonts w:ascii="Arial" w:hAnsi="Arial" w:eastAsia="Arial" w:cs="Arial"/>
      <w:i/>
      <w:iCs/>
      <w:szCs w:val="21"/>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customStyle="1">
    <w:name w:val="正文1"/>
    <w:basedOn w:val="868"/>
    <w:next w:val="868"/>
    <w:uiPriority w:val="0"/>
    <w:qFormat/>
    <w:pPr>
      <w:ind w:left="420" w:firstLine="527"/>
      <w:spacing w:before="120" w:line="360" w:lineRule="auto"/>
    </w:pPr>
    <w:rPr>
      <w:rFonts w:ascii="宋体" w:hAnsi="宋体"/>
    </w:rPr>
  </w:style>
  <w:style w:type="paragraph" w:styleId="881">
    <w:name w:val="toc 7"/>
    <w:basedOn w:val="868"/>
    <w:next w:val="868"/>
    <w:uiPriority w:val="39"/>
    <w:unhideWhenUsed/>
    <w:qFormat/>
    <w:pPr>
      <w:ind w:left="1701"/>
      <w:spacing w:after="57"/>
    </w:pPr>
  </w:style>
  <w:style w:type="paragraph" w:styleId="882">
    <w:name w:val="Normal Indent"/>
    <w:basedOn w:val="868"/>
    <w:next w:val="868"/>
    <w:uiPriority w:val="0"/>
    <w:qFormat/>
    <w:pPr>
      <w:ind w:left="420" w:firstLine="4772"/>
    </w:pPr>
  </w:style>
  <w:style w:type="paragraph" w:styleId="883">
    <w:name w:val="Caption"/>
    <w:basedOn w:val="868"/>
    <w:next w:val="8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4">
    <w:name w:val="annotation text"/>
    <w:basedOn w:val="868"/>
    <w:link w:val="1299"/>
    <w:uiPriority w:val="99"/>
    <w:semiHidden/>
    <w:unhideWhenUsed/>
    <w:qFormat/>
    <w:pPr>
      <w:jc w:val="left"/>
    </w:pPr>
  </w:style>
  <w:style w:type="paragraph" w:styleId="885">
    <w:name w:val="Body Text"/>
    <w:basedOn w:val="868"/>
    <w:next w:val="882"/>
    <w:uiPriority w:val="0"/>
    <w:qFormat/>
    <w:pPr>
      <w:ind w:firstLine="2560"/>
    </w:pPr>
  </w:style>
  <w:style w:type="paragraph" w:styleId="886">
    <w:name w:val="toc 5"/>
    <w:basedOn w:val="868"/>
    <w:next w:val="868"/>
    <w:uiPriority w:val="39"/>
    <w:unhideWhenUsed/>
    <w:qFormat/>
    <w:pPr>
      <w:ind w:left="1134"/>
      <w:spacing w:after="57"/>
    </w:pPr>
  </w:style>
  <w:style w:type="paragraph" w:styleId="887">
    <w:name w:val="toc 3"/>
    <w:basedOn w:val="868"/>
    <w:next w:val="868"/>
    <w:uiPriority w:val="39"/>
    <w:unhideWhenUsed/>
    <w:qFormat/>
    <w:pPr>
      <w:ind w:left="567"/>
      <w:spacing w:after="57"/>
    </w:pPr>
  </w:style>
  <w:style w:type="paragraph" w:styleId="888">
    <w:name w:val="toc 8"/>
    <w:basedOn w:val="868"/>
    <w:next w:val="868"/>
    <w:uiPriority w:val="39"/>
    <w:unhideWhenUsed/>
    <w:qFormat/>
    <w:pPr>
      <w:ind w:left="1984"/>
      <w:spacing w:after="57"/>
    </w:pPr>
  </w:style>
  <w:style w:type="paragraph" w:styleId="889">
    <w:name w:val="endnote text"/>
    <w:basedOn w:val="868"/>
    <w:uiPriority w:val="99"/>
    <w:semiHidden/>
    <w:unhideWhenUsed/>
    <w:qFormat/>
    <w:rPr>
      <w:sz w:val="20"/>
    </w:rPr>
  </w:style>
  <w:style w:type="paragraph" w:styleId="890">
    <w:name w:val="Footer"/>
    <w:basedOn w:val="868"/>
    <w:uiPriority w:val="99"/>
    <w:unhideWhenUsed/>
    <w:qFormat/>
    <w:pPr>
      <w:tabs>
        <w:tab w:val="center" w:pos="7143" w:leader="none"/>
        <w:tab w:val="right" w:pos="14287" w:leader="none"/>
      </w:tabs>
    </w:pPr>
  </w:style>
  <w:style w:type="paragraph" w:styleId="891">
    <w:name w:val="Header"/>
    <w:basedOn w:val="868"/>
    <w:uiPriority w:val="99"/>
    <w:unhideWhenUsed/>
    <w:qFormat/>
    <w:pPr>
      <w:tabs>
        <w:tab w:val="center" w:pos="7143" w:leader="none"/>
        <w:tab w:val="right" w:pos="14287" w:leader="none"/>
      </w:tabs>
    </w:pPr>
  </w:style>
  <w:style w:type="paragraph" w:styleId="892">
    <w:name w:val="toc 1"/>
    <w:basedOn w:val="868"/>
    <w:next w:val="868"/>
    <w:uiPriority w:val="39"/>
    <w:unhideWhenUsed/>
    <w:qFormat/>
    <w:pPr>
      <w:spacing w:after="57"/>
    </w:pPr>
  </w:style>
  <w:style w:type="paragraph" w:styleId="893">
    <w:name w:val="toc 4"/>
    <w:basedOn w:val="868"/>
    <w:next w:val="868"/>
    <w:uiPriority w:val="39"/>
    <w:unhideWhenUsed/>
    <w:qFormat/>
    <w:pPr>
      <w:ind w:left="850"/>
      <w:spacing w:after="57"/>
    </w:pPr>
  </w:style>
  <w:style w:type="paragraph" w:styleId="894">
    <w:name w:val="Subtitle"/>
    <w:basedOn w:val="868"/>
    <w:next w:val="868"/>
    <w:uiPriority w:val="11"/>
    <w:qFormat/>
    <w:pPr>
      <w:spacing w:before="200" w:after="200"/>
    </w:pPr>
    <w:rPr>
      <w:sz w:val="24"/>
    </w:rPr>
  </w:style>
  <w:style w:type="paragraph" w:styleId="895">
    <w:name w:val="footnote text"/>
    <w:basedOn w:val="868"/>
    <w:uiPriority w:val="99"/>
    <w:semiHidden/>
    <w:unhideWhenUsed/>
    <w:qFormat/>
    <w:pPr>
      <w:spacing w:after="40"/>
    </w:pPr>
    <w:rPr>
      <w:sz w:val="18"/>
    </w:rPr>
  </w:style>
  <w:style w:type="paragraph" w:styleId="896">
    <w:name w:val="toc 6"/>
    <w:basedOn w:val="868"/>
    <w:next w:val="868"/>
    <w:uiPriority w:val="39"/>
    <w:unhideWhenUsed/>
    <w:qFormat/>
    <w:pPr>
      <w:ind w:left="1417"/>
      <w:spacing w:after="57"/>
    </w:pPr>
  </w:style>
  <w:style w:type="paragraph" w:styleId="897">
    <w:name w:val="table of figures"/>
    <w:basedOn w:val="868"/>
    <w:next w:val="868"/>
    <w:uiPriority w:val="99"/>
    <w:unhideWhenUsed/>
    <w:qFormat/>
  </w:style>
  <w:style w:type="paragraph" w:styleId="898">
    <w:name w:val="toc 2"/>
    <w:basedOn w:val="868"/>
    <w:next w:val="868"/>
    <w:uiPriority w:val="39"/>
    <w:unhideWhenUsed/>
    <w:qFormat/>
    <w:pPr>
      <w:ind w:left="283"/>
      <w:spacing w:after="57"/>
    </w:pPr>
  </w:style>
  <w:style w:type="paragraph" w:styleId="899">
    <w:name w:val="toc 9"/>
    <w:basedOn w:val="868"/>
    <w:next w:val="868"/>
    <w:uiPriority w:val="39"/>
    <w:unhideWhenUsed/>
    <w:qFormat/>
    <w:pPr>
      <w:ind w:left="2268"/>
      <w:spacing w:after="57"/>
    </w:pPr>
  </w:style>
  <w:style w:type="paragraph" w:styleId="900">
    <w:name w:val="Title"/>
    <w:basedOn w:val="868"/>
    <w:next w:val="868"/>
    <w:uiPriority w:val="10"/>
    <w:qFormat/>
    <w:pPr>
      <w:contextualSpacing/>
      <w:spacing w:before="300" w:after="200"/>
    </w:pPr>
    <w:rPr>
      <w:sz w:val="48"/>
      <w:szCs w:val="48"/>
    </w:rPr>
  </w:style>
  <w:style w:type="table" w:styleId="9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name w:val="endnote reference"/>
    <w:uiPriority w:val="99"/>
    <w:semiHidden/>
    <w:unhideWhenUsed/>
    <w:qFormat/>
    <w:rPr>
      <w:vertAlign w:val="superscript"/>
    </w:rPr>
  </w:style>
  <w:style w:type="character" w:styleId="903">
    <w:name w:val="Hyperlink"/>
    <w:uiPriority w:val="99"/>
    <w:unhideWhenUsed/>
    <w:qFormat/>
    <w:rPr>
      <w:color w:val="0000ff" w:themeColor="hyperlink"/>
      <w:u w:val="single"/>
      <w14:textFill>
        <w14:solidFill>
          <w14:schemeClr w14:val="hlink"/>
        </w14:solidFill>
      </w14:textFill>
    </w:rPr>
  </w:style>
  <w:style w:type="character" w:styleId="904">
    <w:name w:val="annotation reference"/>
    <w:basedOn w:val="878"/>
    <w:uiPriority w:val="99"/>
    <w:qFormat/>
    <w:rPr>
      <w:sz w:val="16"/>
      <w:szCs w:val="16"/>
    </w:rPr>
  </w:style>
  <w:style w:type="character" w:styleId="905">
    <w:name w:val="footnote reference"/>
    <w:uiPriority w:val="99"/>
    <w:unhideWhenUsed/>
    <w:qFormat/>
    <w:rPr>
      <w:vertAlign w:val="superscript"/>
    </w:rPr>
  </w:style>
  <w:style w:type="paragraph" w:styleId="906" w:customStyle="1">
    <w:name w:val="标题 113"/>
    <w:basedOn w:val="868"/>
    <w:next w:val="868"/>
    <w:uiPriority w:val="9"/>
    <w:qFormat/>
    <w:pPr>
      <w:keepLines/>
      <w:keepNext/>
      <w:spacing w:before="480" w:after="200"/>
      <w:outlineLvl w:val="0"/>
    </w:pPr>
    <w:rPr>
      <w:rFonts w:ascii="Arial" w:hAnsi="Arial" w:eastAsia="Arial" w:cs="Arial"/>
      <w:sz w:val="40"/>
      <w:szCs w:val="40"/>
    </w:rPr>
  </w:style>
  <w:style w:type="paragraph" w:styleId="907" w:customStyle="1">
    <w:name w:val="标题 212"/>
    <w:basedOn w:val="868"/>
    <w:next w:val="868"/>
    <w:uiPriority w:val="9"/>
    <w:unhideWhenUsed/>
    <w:qFormat/>
    <w:pPr>
      <w:keepLines/>
      <w:keepNext/>
      <w:spacing w:before="360" w:after="200"/>
      <w:outlineLvl w:val="1"/>
    </w:pPr>
    <w:rPr>
      <w:rFonts w:ascii="Arial" w:hAnsi="Arial" w:eastAsia="Arial" w:cs="Arial"/>
      <w:sz w:val="34"/>
    </w:rPr>
  </w:style>
  <w:style w:type="paragraph" w:styleId="908" w:customStyle="1">
    <w:name w:val="标题 312"/>
    <w:basedOn w:val="868"/>
    <w:next w:val="868"/>
    <w:uiPriority w:val="9"/>
    <w:unhideWhenUsed/>
    <w:qFormat/>
    <w:pPr>
      <w:keepLines/>
      <w:keepNext/>
      <w:spacing w:before="320" w:after="200"/>
      <w:outlineLvl w:val="2"/>
    </w:pPr>
    <w:rPr>
      <w:rFonts w:ascii="Arial" w:hAnsi="Arial" w:eastAsia="Arial" w:cs="Arial"/>
      <w:sz w:val="30"/>
      <w:szCs w:val="30"/>
    </w:rPr>
  </w:style>
  <w:style w:type="paragraph" w:styleId="909" w:customStyle="1">
    <w:name w:val="标题 413"/>
    <w:basedOn w:val="868"/>
    <w:next w:val="868"/>
    <w:uiPriority w:val="9"/>
    <w:unhideWhenUsed/>
    <w:qFormat/>
    <w:pPr>
      <w:keepLines/>
      <w:keepNext/>
      <w:spacing w:before="320" w:after="200"/>
      <w:outlineLvl w:val="3"/>
    </w:pPr>
    <w:rPr>
      <w:rFonts w:ascii="Arial" w:hAnsi="Arial" w:eastAsia="Arial" w:cs="Arial"/>
      <w:b/>
      <w:bCs/>
      <w:sz w:val="26"/>
      <w:szCs w:val="26"/>
    </w:rPr>
  </w:style>
  <w:style w:type="paragraph" w:styleId="910" w:customStyle="1">
    <w:name w:val="标题 512"/>
    <w:basedOn w:val="868"/>
    <w:next w:val="868"/>
    <w:uiPriority w:val="9"/>
    <w:unhideWhenUsed/>
    <w:qFormat/>
    <w:pPr>
      <w:keepLines/>
      <w:keepNext/>
      <w:spacing w:before="320" w:after="200"/>
      <w:outlineLvl w:val="4"/>
    </w:pPr>
    <w:rPr>
      <w:rFonts w:ascii="Arial" w:hAnsi="Arial" w:eastAsia="Arial" w:cs="Arial"/>
      <w:b/>
      <w:bCs/>
      <w:sz w:val="24"/>
    </w:rPr>
  </w:style>
  <w:style w:type="paragraph" w:styleId="911" w:customStyle="1">
    <w:name w:val="标题 612"/>
    <w:basedOn w:val="868"/>
    <w:next w:val="868"/>
    <w:uiPriority w:val="9"/>
    <w:unhideWhenUsed/>
    <w:qFormat/>
    <w:pPr>
      <w:keepLines/>
      <w:keepNext/>
      <w:spacing w:before="320" w:after="200"/>
      <w:outlineLvl w:val="5"/>
    </w:pPr>
    <w:rPr>
      <w:rFonts w:ascii="Arial" w:hAnsi="Arial" w:eastAsia="Arial" w:cs="Arial"/>
      <w:b/>
      <w:bCs/>
      <w:sz w:val="22"/>
      <w:szCs w:val="22"/>
    </w:rPr>
  </w:style>
  <w:style w:type="paragraph" w:styleId="912" w:customStyle="1">
    <w:name w:val="标题 712"/>
    <w:basedOn w:val="868"/>
    <w:next w:val="868"/>
    <w:uiPriority w:val="9"/>
    <w:unhideWhenUsed/>
    <w:qFormat/>
    <w:pPr>
      <w:keepLines/>
      <w:keepNext/>
      <w:spacing w:before="320" w:after="200"/>
      <w:outlineLvl w:val="6"/>
    </w:pPr>
    <w:rPr>
      <w:rFonts w:ascii="Arial" w:hAnsi="Arial" w:eastAsia="Arial" w:cs="Arial"/>
      <w:b/>
      <w:bCs/>
      <w:i/>
      <w:iCs/>
      <w:sz w:val="22"/>
      <w:szCs w:val="22"/>
    </w:rPr>
  </w:style>
  <w:style w:type="paragraph" w:styleId="913" w:customStyle="1">
    <w:name w:val="标题 812"/>
    <w:basedOn w:val="868"/>
    <w:next w:val="868"/>
    <w:uiPriority w:val="9"/>
    <w:unhideWhenUsed/>
    <w:qFormat/>
    <w:pPr>
      <w:keepLines/>
      <w:keepNext/>
      <w:spacing w:before="320" w:after="200"/>
      <w:outlineLvl w:val="7"/>
    </w:pPr>
    <w:rPr>
      <w:rFonts w:ascii="Arial" w:hAnsi="Arial" w:eastAsia="Arial" w:cs="Arial"/>
      <w:i/>
      <w:iCs/>
      <w:sz w:val="22"/>
      <w:szCs w:val="22"/>
    </w:rPr>
  </w:style>
  <w:style w:type="paragraph" w:styleId="914" w:customStyle="1">
    <w:name w:val="标题 912"/>
    <w:basedOn w:val="868"/>
    <w:next w:val="868"/>
    <w:uiPriority w:val="9"/>
    <w:unhideWhenUsed/>
    <w:qFormat/>
    <w:pPr>
      <w:keepLines/>
      <w:keepNext/>
      <w:spacing w:before="320" w:after="200"/>
      <w:outlineLvl w:val="8"/>
    </w:pPr>
    <w:rPr>
      <w:rFonts w:ascii="Arial" w:hAnsi="Arial" w:eastAsia="Arial" w:cs="Arial"/>
      <w:i/>
      <w:iCs/>
      <w:szCs w:val="21"/>
    </w:rPr>
  </w:style>
  <w:style w:type="character" w:styleId="915" w:customStyle="1">
    <w:name w:val="默认段落字体113"/>
    <w:uiPriority w:val="1"/>
    <w:unhideWhenUsed/>
    <w:qFormat/>
  </w:style>
  <w:style w:type="table" w:styleId="916" w:customStyle="1">
    <w:name w:val="普通表格13"/>
    <w:uiPriority w:val="99"/>
    <w:unhideWhenUsed/>
    <w:qFormat/>
    <w:tblPr>
      <w:tblCellMar>
        <w:left w:w="0" w:type="dxa"/>
        <w:top w:w="0" w:type="dxa"/>
        <w:right w:w="0" w:type="dxa"/>
        <w:bottom w:w="0" w:type="dxa"/>
      </w:tblCellMar>
    </w:tblPr>
  </w:style>
  <w:style w:type="paragraph" w:styleId="917" w:customStyle="1">
    <w:name w:val="目录 712"/>
    <w:basedOn w:val="868"/>
    <w:next w:val="868"/>
    <w:uiPriority w:val="39"/>
    <w:unhideWhenUsed/>
    <w:qFormat/>
    <w:pPr>
      <w:ind w:left="1701"/>
      <w:spacing w:after="57"/>
    </w:pPr>
  </w:style>
  <w:style w:type="paragraph" w:styleId="918" w:customStyle="1">
    <w:name w:val="正文缩进14"/>
    <w:basedOn w:val="868"/>
    <w:uiPriority w:val="0"/>
    <w:qFormat/>
    <w:pPr>
      <w:ind w:left="420" w:firstLine="4772"/>
    </w:pPr>
  </w:style>
  <w:style w:type="paragraph" w:styleId="919" w:customStyle="1">
    <w:name w:val="题注12"/>
    <w:basedOn w:val="868"/>
    <w:next w:val="868"/>
    <w:uiPriority w:val="35"/>
    <w:unhideWhenUsed/>
    <w:qFormat/>
    <w:pPr>
      <w:spacing w:line="276" w:lineRule="auto"/>
    </w:pPr>
    <w:rPr>
      <w:b/>
      <w:bCs/>
      <w:color w:val="4f81bd"/>
      <w:sz w:val="18"/>
      <w:szCs w:val="18"/>
    </w:rPr>
  </w:style>
  <w:style w:type="paragraph" w:styleId="920" w:customStyle="1">
    <w:name w:val="正文文本12"/>
    <w:basedOn w:val="868"/>
    <w:next w:val="868"/>
    <w:uiPriority w:val="0"/>
    <w:qFormat/>
    <w:pPr>
      <w:ind w:firstLine="2560"/>
    </w:pPr>
  </w:style>
  <w:style w:type="paragraph" w:styleId="921" w:customStyle="1">
    <w:name w:val="正文文本缩进112"/>
    <w:basedOn w:val="868"/>
    <w:next w:val="868"/>
    <w:uiPriority w:val="0"/>
    <w:qFormat/>
    <w:pPr>
      <w:ind w:firstLine="570"/>
    </w:pPr>
    <w:rPr>
      <w:rFonts w:ascii="宋体"/>
      <w:sz w:val="28"/>
      <w:szCs w:val="20"/>
    </w:rPr>
  </w:style>
  <w:style w:type="paragraph" w:styleId="922" w:customStyle="1">
    <w:name w:val="文本块11"/>
    <w:basedOn w:val="868"/>
    <w:uiPriority w:val="0"/>
    <w:qFormat/>
    <w:pPr>
      <w:ind w:left="630" w:right="-609" w:firstLine="420"/>
      <w:spacing w:line="360" w:lineRule="auto"/>
    </w:pPr>
    <w:rPr>
      <w:rFonts w:hint="eastAsia" w:ascii="方正仿宋_GB2312" w:eastAsia="方正仿宋_GB2312"/>
      <w:szCs w:val="20"/>
    </w:rPr>
  </w:style>
  <w:style w:type="paragraph" w:styleId="923" w:customStyle="1">
    <w:name w:val="目录 513"/>
    <w:basedOn w:val="868"/>
    <w:next w:val="868"/>
    <w:uiPriority w:val="39"/>
    <w:unhideWhenUsed/>
    <w:qFormat/>
    <w:pPr>
      <w:ind w:left="1134"/>
      <w:spacing w:after="57"/>
    </w:pPr>
  </w:style>
  <w:style w:type="paragraph" w:styleId="924" w:customStyle="1">
    <w:name w:val="目录 313"/>
    <w:basedOn w:val="868"/>
    <w:next w:val="868"/>
    <w:uiPriority w:val="39"/>
    <w:unhideWhenUsed/>
    <w:qFormat/>
    <w:pPr>
      <w:ind w:left="567"/>
      <w:spacing w:after="57"/>
    </w:pPr>
  </w:style>
  <w:style w:type="paragraph" w:styleId="925" w:customStyle="1">
    <w:name w:val="纯文本13"/>
    <w:basedOn w:val="868"/>
    <w:uiPriority w:val="0"/>
    <w:qFormat/>
    <w:rPr>
      <w:rFonts w:ascii="宋体" w:hAnsi="Courier New" w:eastAsia="方正楷体_GB2312"/>
      <w:sz w:val="28"/>
      <w:szCs w:val="20"/>
    </w:rPr>
  </w:style>
  <w:style w:type="paragraph" w:styleId="926" w:customStyle="1">
    <w:name w:val="目录 812"/>
    <w:basedOn w:val="868"/>
    <w:next w:val="868"/>
    <w:uiPriority w:val="39"/>
    <w:unhideWhenUsed/>
    <w:qFormat/>
    <w:pPr>
      <w:ind w:left="1984"/>
      <w:spacing w:after="57"/>
    </w:pPr>
  </w:style>
  <w:style w:type="paragraph" w:styleId="927" w:customStyle="1">
    <w:name w:val="正文文本缩进 212"/>
    <w:basedOn w:val="868"/>
    <w:next w:val="928"/>
    <w:uiPriority w:val="0"/>
    <w:qFormat/>
    <w:pPr>
      <w:ind w:left="420"/>
      <w:spacing w:after="120" w:line="480" w:lineRule="auto"/>
    </w:pPr>
  </w:style>
  <w:style w:type="paragraph" w:styleId="928" w:customStyle="1">
    <w:name w:val="索引 91"/>
    <w:basedOn w:val="868"/>
    <w:next w:val="868"/>
    <w:uiPriority w:val="0"/>
    <w:semiHidden/>
    <w:qFormat/>
    <w:pPr>
      <w:ind w:left="1600"/>
    </w:pPr>
  </w:style>
  <w:style w:type="paragraph" w:styleId="929" w:customStyle="1">
    <w:name w:val="尾注文本12"/>
    <w:basedOn w:val="868"/>
    <w:uiPriority w:val="99"/>
    <w:unhideWhenUsed/>
    <w:qFormat/>
    <w:rPr>
      <w:sz w:val="20"/>
    </w:rPr>
  </w:style>
  <w:style w:type="paragraph" w:styleId="930" w:customStyle="1">
    <w:name w:val="页脚14"/>
    <w:basedOn w:val="868"/>
    <w:uiPriority w:val="99"/>
    <w:unhideWhenUsed/>
    <w:qFormat/>
    <w:pPr>
      <w:tabs>
        <w:tab w:val="center" w:pos="7143" w:leader="none"/>
        <w:tab w:val="right" w:pos="14287" w:leader="none"/>
      </w:tabs>
    </w:pPr>
  </w:style>
  <w:style w:type="paragraph" w:styleId="931" w:customStyle="1">
    <w:name w:val="页眉14"/>
    <w:basedOn w:val="868"/>
    <w:uiPriority w:val="99"/>
    <w:unhideWhenUsed/>
    <w:qFormat/>
    <w:pPr>
      <w:tabs>
        <w:tab w:val="center" w:pos="7143" w:leader="none"/>
        <w:tab w:val="right" w:pos="14287" w:leader="none"/>
      </w:tabs>
    </w:pPr>
  </w:style>
  <w:style w:type="paragraph" w:styleId="932" w:customStyle="1">
    <w:name w:val="目录 113"/>
    <w:basedOn w:val="868"/>
    <w:next w:val="868"/>
    <w:uiPriority w:val="39"/>
    <w:unhideWhenUsed/>
    <w:qFormat/>
    <w:pPr>
      <w:spacing w:after="57"/>
    </w:pPr>
  </w:style>
  <w:style w:type="paragraph" w:styleId="933" w:customStyle="1">
    <w:name w:val="目录 412"/>
    <w:basedOn w:val="868"/>
    <w:next w:val="868"/>
    <w:uiPriority w:val="39"/>
    <w:unhideWhenUsed/>
    <w:qFormat/>
    <w:pPr>
      <w:ind w:left="850"/>
      <w:spacing w:after="57"/>
    </w:pPr>
  </w:style>
  <w:style w:type="paragraph" w:styleId="934" w:customStyle="1">
    <w:name w:val="副标题12"/>
    <w:basedOn w:val="868"/>
    <w:next w:val="868"/>
    <w:uiPriority w:val="11"/>
    <w:qFormat/>
    <w:pPr>
      <w:spacing w:before="200" w:after="200"/>
    </w:pPr>
    <w:rPr>
      <w:sz w:val="24"/>
    </w:rPr>
  </w:style>
  <w:style w:type="paragraph" w:styleId="935" w:customStyle="1">
    <w:name w:val="脚注文本13"/>
    <w:basedOn w:val="868"/>
    <w:uiPriority w:val="99"/>
    <w:unhideWhenUsed/>
    <w:qFormat/>
    <w:pPr>
      <w:spacing w:after="40"/>
    </w:pPr>
    <w:rPr>
      <w:sz w:val="18"/>
    </w:rPr>
  </w:style>
  <w:style w:type="paragraph" w:styleId="936" w:customStyle="1">
    <w:name w:val="目录 612"/>
    <w:basedOn w:val="868"/>
    <w:next w:val="868"/>
    <w:uiPriority w:val="39"/>
    <w:unhideWhenUsed/>
    <w:qFormat/>
    <w:pPr>
      <w:ind w:left="1417"/>
      <w:spacing w:after="57"/>
    </w:pPr>
  </w:style>
  <w:style w:type="paragraph" w:styleId="937" w:customStyle="1">
    <w:name w:val="图表目录12"/>
    <w:basedOn w:val="868"/>
    <w:next w:val="868"/>
    <w:uiPriority w:val="99"/>
    <w:unhideWhenUsed/>
    <w:qFormat/>
  </w:style>
  <w:style w:type="paragraph" w:styleId="938" w:customStyle="1">
    <w:name w:val="目录 213"/>
    <w:basedOn w:val="868"/>
    <w:next w:val="868"/>
    <w:uiPriority w:val="39"/>
    <w:unhideWhenUsed/>
    <w:qFormat/>
    <w:pPr>
      <w:ind w:left="283"/>
      <w:spacing w:after="57"/>
    </w:pPr>
  </w:style>
  <w:style w:type="paragraph" w:styleId="939" w:customStyle="1">
    <w:name w:val="目录 912"/>
    <w:basedOn w:val="868"/>
    <w:next w:val="868"/>
    <w:uiPriority w:val="39"/>
    <w:unhideWhenUsed/>
    <w:qFormat/>
    <w:pPr>
      <w:ind w:left="2268"/>
      <w:spacing w:after="57"/>
    </w:pPr>
  </w:style>
  <w:style w:type="paragraph" w:styleId="940" w:customStyle="1">
    <w:name w:val="普通(网站)12"/>
    <w:basedOn w:val="868"/>
    <w:uiPriority w:val="99"/>
    <w:unhideWhenUsed/>
    <w:qFormat/>
    <w:pPr>
      <w:jc w:val="left"/>
      <w:spacing w:before="100" w:beforeAutospacing="1" w:after="100" w:afterAutospacing="1"/>
    </w:pPr>
    <w:rPr>
      <w:sz w:val="24"/>
    </w:rPr>
  </w:style>
  <w:style w:type="paragraph" w:styleId="941" w:customStyle="1">
    <w:name w:val="标题12"/>
    <w:basedOn w:val="868"/>
    <w:next w:val="868"/>
    <w:uiPriority w:val="10"/>
    <w:qFormat/>
    <w:pPr>
      <w:contextualSpacing/>
      <w:spacing w:before="300" w:after="200"/>
    </w:pPr>
    <w:rPr>
      <w:sz w:val="48"/>
      <w:szCs w:val="48"/>
    </w:rPr>
  </w:style>
  <w:style w:type="paragraph" w:styleId="942" w:customStyle="1">
    <w:name w:val="正文首行缩进 212"/>
    <w:basedOn w:val="921"/>
    <w:next w:val="927"/>
    <w:uiPriority w:val="0"/>
    <w:qFormat/>
    <w:pPr>
      <w:ind w:firstLine="420"/>
    </w:pPr>
  </w:style>
  <w:style w:type="table" w:styleId="943" w:customStyle="1">
    <w:name w:val="网格型13"/>
    <w:uiPriority w:val="59"/>
    <w:qFormat/>
    <w:tblPr>
      <w:tblCellMar>
        <w:left w:w="0" w:type="dxa"/>
        <w:top w:w="0" w:type="dxa"/>
        <w:right w:w="0" w:type="dxa"/>
        <w:bottom w:w="0" w:type="dxa"/>
      </w:tblCellMar>
    </w:tblPr>
  </w:style>
  <w:style w:type="character" w:styleId="944" w:customStyle="1">
    <w:name w:val="要点11"/>
    <w:basedOn w:val="915"/>
    <w:uiPriority w:val="22"/>
    <w:qFormat/>
    <w:rPr>
      <w:b/>
    </w:rPr>
  </w:style>
  <w:style w:type="character" w:styleId="945" w:customStyle="1">
    <w:name w:val="尾注引用12"/>
    <w:uiPriority w:val="99"/>
    <w:unhideWhenUsed/>
    <w:qFormat/>
    <w:rPr>
      <w:vertAlign w:val="superscript"/>
    </w:rPr>
  </w:style>
  <w:style w:type="character" w:styleId="946" w:customStyle="1">
    <w:name w:val="页码111"/>
    <w:uiPriority w:val="0"/>
    <w:qFormat/>
  </w:style>
  <w:style w:type="character" w:styleId="947" w:customStyle="1">
    <w:name w:val="强调1"/>
    <w:basedOn w:val="915"/>
    <w:uiPriority w:val="20"/>
    <w:qFormat/>
    <w:rPr>
      <w:i/>
    </w:rPr>
  </w:style>
  <w:style w:type="character" w:styleId="948" w:customStyle="1">
    <w:name w:val="超链接13"/>
    <w:uiPriority w:val="99"/>
    <w:unhideWhenUsed/>
    <w:qFormat/>
    <w:rPr>
      <w:color w:val="0000ff"/>
      <w:u w:val="single"/>
    </w:rPr>
  </w:style>
  <w:style w:type="character" w:styleId="949" w:customStyle="1">
    <w:name w:val="脚注引用13"/>
    <w:uiPriority w:val="99"/>
    <w:unhideWhenUsed/>
    <w:qFormat/>
    <w:rPr>
      <w:vertAlign w:val="superscript"/>
    </w:rPr>
  </w:style>
  <w:style w:type="paragraph" w:styleId="950" w:customStyle="1">
    <w:name w:val="段"/>
    <w:next w:val="868"/>
    <w:uiPriority w:val="0"/>
    <w:qFormat/>
    <w:pPr>
      <w:ind w:firstLine="200"/>
      <w:jc w:val="both"/>
    </w:pPr>
    <w:rPr>
      <w:rFonts w:ascii="宋体" w:hAnsi="Times New Roman" w:eastAsia="宋体" w:cs="Times New Roman"/>
      <w:sz w:val="21"/>
      <w:lang w:val="en-US" w:eastAsia="zh-CN" w:bidi="ar-SA"/>
    </w:rPr>
  </w:style>
  <w:style w:type="character" w:styleId="951" w:customStyle="1">
    <w:name w:val="要点1"/>
    <w:uiPriority w:val="0"/>
    <w:qFormat/>
    <w:rPr>
      <w:rFonts w:ascii="Times New Roman" w:hAnsi="Times New Roman" w:eastAsia="宋体" w:cs="Times New Roman"/>
      <w:b/>
    </w:rPr>
  </w:style>
  <w:style w:type="paragraph" w:styleId="952" w:customStyle="1">
    <w:name w:val="标题 112"/>
    <w:basedOn w:val="868"/>
    <w:next w:val="868"/>
    <w:link w:val="953"/>
    <w:uiPriority w:val="9"/>
    <w:qFormat/>
    <w:pPr>
      <w:keepLines/>
      <w:keepNext/>
      <w:spacing w:before="480" w:after="200"/>
      <w:outlineLvl w:val="0"/>
    </w:pPr>
    <w:rPr>
      <w:rFonts w:ascii="Arial" w:hAnsi="Arial" w:eastAsia="Arial" w:cs="Arial"/>
      <w:sz w:val="40"/>
      <w:szCs w:val="40"/>
    </w:rPr>
  </w:style>
  <w:style w:type="character" w:styleId="953" w:customStyle="1">
    <w:name w:val="Heading 1 Char"/>
    <w:link w:val="952"/>
    <w:uiPriority w:val="9"/>
    <w:qFormat/>
    <w:rPr>
      <w:rFonts w:ascii="Arial" w:hAnsi="Arial" w:eastAsia="Arial" w:cs="Arial"/>
      <w:sz w:val="40"/>
      <w:szCs w:val="40"/>
    </w:rPr>
  </w:style>
  <w:style w:type="paragraph" w:styleId="954" w:customStyle="1">
    <w:name w:val="标题 211"/>
    <w:basedOn w:val="868"/>
    <w:next w:val="868"/>
    <w:link w:val="955"/>
    <w:uiPriority w:val="9"/>
    <w:unhideWhenUsed/>
    <w:qFormat/>
    <w:pPr>
      <w:keepLines/>
      <w:keepNext/>
      <w:spacing w:before="360" w:after="200"/>
      <w:outlineLvl w:val="1"/>
    </w:pPr>
    <w:rPr>
      <w:rFonts w:ascii="Arial" w:hAnsi="Arial" w:eastAsia="Arial" w:cs="Arial"/>
      <w:sz w:val="34"/>
    </w:rPr>
  </w:style>
  <w:style w:type="character" w:styleId="955" w:customStyle="1">
    <w:name w:val="Heading 2 Char"/>
    <w:link w:val="954"/>
    <w:uiPriority w:val="9"/>
    <w:qFormat/>
    <w:rPr>
      <w:rFonts w:ascii="Arial" w:hAnsi="Arial" w:eastAsia="Arial" w:cs="Arial"/>
      <w:sz w:val="34"/>
    </w:rPr>
  </w:style>
  <w:style w:type="paragraph" w:styleId="956" w:customStyle="1">
    <w:name w:val="标题 311"/>
    <w:basedOn w:val="868"/>
    <w:next w:val="868"/>
    <w:link w:val="957"/>
    <w:uiPriority w:val="9"/>
    <w:unhideWhenUsed/>
    <w:qFormat/>
    <w:pPr>
      <w:keepLines/>
      <w:keepNext/>
      <w:spacing w:before="320" w:after="200"/>
      <w:outlineLvl w:val="2"/>
    </w:pPr>
    <w:rPr>
      <w:rFonts w:ascii="Arial" w:hAnsi="Arial" w:eastAsia="Arial" w:cs="Arial"/>
      <w:sz w:val="30"/>
      <w:szCs w:val="30"/>
    </w:rPr>
  </w:style>
  <w:style w:type="character" w:styleId="957" w:customStyle="1">
    <w:name w:val="Heading 3 Char"/>
    <w:link w:val="956"/>
    <w:uiPriority w:val="9"/>
    <w:qFormat/>
    <w:rPr>
      <w:rFonts w:ascii="Arial" w:hAnsi="Arial" w:eastAsia="Arial" w:cs="Arial"/>
      <w:sz w:val="30"/>
      <w:szCs w:val="30"/>
    </w:rPr>
  </w:style>
  <w:style w:type="paragraph" w:styleId="958" w:customStyle="1">
    <w:name w:val="标题 412"/>
    <w:basedOn w:val="868"/>
    <w:next w:val="868"/>
    <w:link w:val="959"/>
    <w:uiPriority w:val="9"/>
    <w:unhideWhenUsed/>
    <w:qFormat/>
    <w:pPr>
      <w:keepLines/>
      <w:keepNext/>
      <w:spacing w:before="320" w:after="200"/>
      <w:outlineLvl w:val="3"/>
    </w:pPr>
    <w:rPr>
      <w:rFonts w:ascii="Arial" w:hAnsi="Arial" w:eastAsia="Arial" w:cs="Arial"/>
      <w:b/>
      <w:bCs/>
      <w:sz w:val="26"/>
      <w:szCs w:val="26"/>
    </w:rPr>
  </w:style>
  <w:style w:type="character" w:styleId="959" w:customStyle="1">
    <w:name w:val="Heading 4 Char"/>
    <w:link w:val="958"/>
    <w:uiPriority w:val="9"/>
    <w:qFormat/>
    <w:rPr>
      <w:rFonts w:ascii="Arial" w:hAnsi="Arial" w:eastAsia="Arial" w:cs="Arial"/>
      <w:b/>
      <w:bCs/>
      <w:sz w:val="26"/>
      <w:szCs w:val="26"/>
    </w:rPr>
  </w:style>
  <w:style w:type="paragraph" w:styleId="960" w:customStyle="1">
    <w:name w:val="标题 511"/>
    <w:basedOn w:val="868"/>
    <w:next w:val="868"/>
    <w:link w:val="961"/>
    <w:uiPriority w:val="9"/>
    <w:unhideWhenUsed/>
    <w:qFormat/>
    <w:pPr>
      <w:keepLines/>
      <w:keepNext/>
      <w:spacing w:before="320" w:after="200"/>
      <w:outlineLvl w:val="4"/>
    </w:pPr>
    <w:rPr>
      <w:rFonts w:ascii="Arial" w:hAnsi="Arial" w:eastAsia="Arial" w:cs="Arial"/>
      <w:b/>
      <w:bCs/>
      <w:sz w:val="24"/>
    </w:rPr>
  </w:style>
  <w:style w:type="character" w:styleId="961" w:customStyle="1">
    <w:name w:val="Heading 5 Char"/>
    <w:link w:val="960"/>
    <w:uiPriority w:val="9"/>
    <w:qFormat/>
    <w:rPr>
      <w:rFonts w:ascii="Arial" w:hAnsi="Arial" w:eastAsia="Arial" w:cs="Arial"/>
      <w:b/>
      <w:bCs/>
      <w:sz w:val="24"/>
      <w:szCs w:val="24"/>
    </w:rPr>
  </w:style>
  <w:style w:type="paragraph" w:styleId="962" w:customStyle="1">
    <w:name w:val="标题 611"/>
    <w:basedOn w:val="868"/>
    <w:next w:val="868"/>
    <w:link w:val="963"/>
    <w:uiPriority w:val="9"/>
    <w:unhideWhenUsed/>
    <w:qFormat/>
    <w:pPr>
      <w:keepLines/>
      <w:keepNext/>
      <w:spacing w:before="320" w:after="200"/>
      <w:outlineLvl w:val="5"/>
    </w:pPr>
    <w:rPr>
      <w:rFonts w:ascii="Arial" w:hAnsi="Arial" w:eastAsia="Arial" w:cs="Arial"/>
      <w:b/>
      <w:bCs/>
      <w:sz w:val="22"/>
      <w:szCs w:val="22"/>
    </w:rPr>
  </w:style>
  <w:style w:type="character" w:styleId="963" w:customStyle="1">
    <w:name w:val="Heading 6 Char"/>
    <w:link w:val="962"/>
    <w:uiPriority w:val="9"/>
    <w:qFormat/>
    <w:rPr>
      <w:rFonts w:ascii="Arial" w:hAnsi="Arial" w:eastAsia="Arial" w:cs="Arial"/>
      <w:b/>
      <w:bCs/>
      <w:sz w:val="22"/>
      <w:szCs w:val="22"/>
    </w:rPr>
  </w:style>
  <w:style w:type="paragraph" w:styleId="964" w:customStyle="1">
    <w:name w:val="标题 711"/>
    <w:basedOn w:val="868"/>
    <w:next w:val="868"/>
    <w:link w:val="965"/>
    <w:uiPriority w:val="9"/>
    <w:unhideWhenUsed/>
    <w:qFormat/>
    <w:pPr>
      <w:keepLines/>
      <w:keepNext/>
      <w:spacing w:before="320" w:after="200"/>
      <w:outlineLvl w:val="6"/>
    </w:pPr>
    <w:rPr>
      <w:rFonts w:ascii="Arial" w:hAnsi="Arial" w:eastAsia="Arial" w:cs="Arial"/>
      <w:b/>
      <w:bCs/>
      <w:i/>
      <w:iCs/>
      <w:sz w:val="22"/>
      <w:szCs w:val="22"/>
    </w:rPr>
  </w:style>
  <w:style w:type="character" w:styleId="965" w:customStyle="1">
    <w:name w:val="Heading 7 Char"/>
    <w:link w:val="964"/>
    <w:uiPriority w:val="9"/>
    <w:qFormat/>
    <w:rPr>
      <w:rFonts w:ascii="Arial" w:hAnsi="Arial" w:eastAsia="Arial" w:cs="Arial"/>
      <w:b/>
      <w:bCs/>
      <w:i/>
      <w:iCs/>
      <w:sz w:val="22"/>
      <w:szCs w:val="22"/>
    </w:rPr>
  </w:style>
  <w:style w:type="paragraph" w:styleId="966" w:customStyle="1">
    <w:name w:val="标题 811"/>
    <w:basedOn w:val="868"/>
    <w:next w:val="868"/>
    <w:link w:val="967"/>
    <w:uiPriority w:val="9"/>
    <w:unhideWhenUsed/>
    <w:qFormat/>
    <w:pPr>
      <w:keepLines/>
      <w:keepNext/>
      <w:spacing w:before="320" w:after="200"/>
      <w:outlineLvl w:val="7"/>
    </w:pPr>
    <w:rPr>
      <w:rFonts w:ascii="Arial" w:hAnsi="Arial" w:eastAsia="Arial" w:cs="Arial"/>
      <w:i/>
      <w:iCs/>
      <w:sz w:val="22"/>
      <w:szCs w:val="22"/>
    </w:rPr>
  </w:style>
  <w:style w:type="character" w:styleId="967" w:customStyle="1">
    <w:name w:val="Heading 8 Char"/>
    <w:link w:val="966"/>
    <w:uiPriority w:val="9"/>
    <w:qFormat/>
    <w:rPr>
      <w:rFonts w:ascii="Arial" w:hAnsi="Arial" w:eastAsia="Arial" w:cs="Arial"/>
      <w:i/>
      <w:iCs/>
      <w:sz w:val="22"/>
      <w:szCs w:val="22"/>
    </w:rPr>
  </w:style>
  <w:style w:type="paragraph" w:styleId="968" w:customStyle="1">
    <w:name w:val="标题 911"/>
    <w:basedOn w:val="868"/>
    <w:next w:val="868"/>
    <w:link w:val="969"/>
    <w:uiPriority w:val="9"/>
    <w:unhideWhenUsed/>
    <w:qFormat/>
    <w:pPr>
      <w:keepLines/>
      <w:keepNext/>
      <w:spacing w:before="320" w:after="200"/>
      <w:outlineLvl w:val="8"/>
    </w:pPr>
    <w:rPr>
      <w:rFonts w:ascii="Arial" w:hAnsi="Arial" w:eastAsia="Arial" w:cs="Arial"/>
      <w:i/>
      <w:iCs/>
      <w:szCs w:val="21"/>
    </w:rPr>
  </w:style>
  <w:style w:type="character" w:styleId="969" w:customStyle="1">
    <w:name w:val="Heading 9 Char"/>
    <w:link w:val="968"/>
    <w:uiPriority w:val="9"/>
    <w:qFormat/>
    <w:rPr>
      <w:rFonts w:ascii="Arial" w:hAnsi="Arial" w:eastAsia="Arial" w:cs="Arial"/>
      <w:i/>
      <w:iCs/>
      <w:sz w:val="21"/>
      <w:szCs w:val="21"/>
    </w:rPr>
  </w:style>
  <w:style w:type="character" w:styleId="970" w:customStyle="1">
    <w:name w:val="默认段落字体112"/>
    <w:uiPriority w:val="1"/>
    <w:unhideWhenUsed/>
    <w:qFormat/>
  </w:style>
  <w:style w:type="table" w:styleId="971" w:customStyle="1">
    <w:name w:val="普通表格12"/>
    <w:uiPriority w:val="99"/>
    <w:unhideWhenUsed/>
    <w:qFormat/>
    <w:tblPr>
      <w:tblCellMar>
        <w:left w:w="0" w:type="dxa"/>
        <w:top w:w="0" w:type="dxa"/>
        <w:right w:w="0" w:type="dxa"/>
        <w:bottom w:w="0" w:type="dxa"/>
      </w:tblCellMar>
    </w:tblPr>
  </w:style>
  <w:style w:type="paragraph" w:styleId="972" w:customStyle="1">
    <w:name w:val="目录 711"/>
    <w:basedOn w:val="868"/>
    <w:next w:val="868"/>
    <w:uiPriority w:val="39"/>
    <w:unhideWhenUsed/>
    <w:qFormat/>
    <w:pPr>
      <w:ind w:left="1701"/>
      <w:spacing w:after="57"/>
    </w:pPr>
  </w:style>
  <w:style w:type="paragraph" w:styleId="973" w:customStyle="1">
    <w:name w:val="题注11"/>
    <w:basedOn w:val="868"/>
    <w:next w:val="868"/>
    <w:uiPriority w:val="35"/>
    <w:unhideWhenUsed/>
    <w:qFormat/>
    <w:pPr>
      <w:spacing w:line="276" w:lineRule="auto"/>
    </w:pPr>
    <w:rPr>
      <w:b/>
      <w:bCs/>
      <w:color w:val="4f81bd"/>
      <w:sz w:val="18"/>
      <w:szCs w:val="18"/>
    </w:rPr>
  </w:style>
  <w:style w:type="paragraph" w:styleId="974" w:customStyle="1">
    <w:name w:val="目录 512"/>
    <w:basedOn w:val="868"/>
    <w:next w:val="868"/>
    <w:uiPriority w:val="39"/>
    <w:unhideWhenUsed/>
    <w:qFormat/>
    <w:pPr>
      <w:ind w:left="1134"/>
      <w:spacing w:after="57"/>
    </w:pPr>
  </w:style>
  <w:style w:type="paragraph" w:styleId="975" w:customStyle="1">
    <w:name w:val="目录 312"/>
    <w:basedOn w:val="868"/>
    <w:next w:val="868"/>
    <w:uiPriority w:val="39"/>
    <w:unhideWhenUsed/>
    <w:qFormat/>
    <w:pPr>
      <w:ind w:left="567"/>
      <w:spacing w:after="57"/>
    </w:pPr>
  </w:style>
  <w:style w:type="paragraph" w:styleId="976" w:customStyle="1">
    <w:name w:val="目录 811"/>
    <w:basedOn w:val="868"/>
    <w:next w:val="868"/>
    <w:uiPriority w:val="39"/>
    <w:unhideWhenUsed/>
    <w:qFormat/>
    <w:pPr>
      <w:ind w:left="1984"/>
      <w:spacing w:after="57"/>
    </w:pPr>
  </w:style>
  <w:style w:type="paragraph" w:styleId="977" w:customStyle="1">
    <w:name w:val="尾注文本11"/>
    <w:basedOn w:val="868"/>
    <w:link w:val="978"/>
    <w:uiPriority w:val="99"/>
    <w:unhideWhenUsed/>
    <w:qFormat/>
    <w:rPr>
      <w:sz w:val="20"/>
    </w:rPr>
  </w:style>
  <w:style w:type="character" w:styleId="978" w:customStyle="1">
    <w:name w:val="Endnote Text Char"/>
    <w:link w:val="977"/>
    <w:uiPriority w:val="99"/>
    <w:qFormat/>
    <w:rPr>
      <w:sz w:val="20"/>
    </w:rPr>
  </w:style>
  <w:style w:type="paragraph" w:styleId="979" w:customStyle="1">
    <w:name w:val="页脚13"/>
    <w:basedOn w:val="868"/>
    <w:link w:val="980"/>
    <w:uiPriority w:val="99"/>
    <w:unhideWhenUsed/>
    <w:qFormat/>
    <w:pPr>
      <w:tabs>
        <w:tab w:val="center" w:pos="7143" w:leader="none"/>
        <w:tab w:val="right" w:pos="14287" w:leader="none"/>
      </w:tabs>
    </w:pPr>
  </w:style>
  <w:style w:type="character" w:styleId="980" w:customStyle="1">
    <w:name w:val="Footer Char"/>
    <w:link w:val="979"/>
    <w:uiPriority w:val="99"/>
    <w:qFormat/>
  </w:style>
  <w:style w:type="paragraph" w:styleId="981" w:customStyle="1">
    <w:name w:val="页眉13"/>
    <w:basedOn w:val="868"/>
    <w:link w:val="982"/>
    <w:uiPriority w:val="99"/>
    <w:unhideWhenUsed/>
    <w:qFormat/>
    <w:pPr>
      <w:tabs>
        <w:tab w:val="center" w:pos="7143" w:leader="none"/>
        <w:tab w:val="right" w:pos="14287" w:leader="none"/>
      </w:tabs>
    </w:pPr>
  </w:style>
  <w:style w:type="character" w:styleId="982" w:customStyle="1">
    <w:name w:val="Header Char"/>
    <w:link w:val="981"/>
    <w:uiPriority w:val="99"/>
    <w:qFormat/>
  </w:style>
  <w:style w:type="paragraph" w:styleId="983" w:customStyle="1">
    <w:name w:val="目录 112"/>
    <w:basedOn w:val="868"/>
    <w:next w:val="868"/>
    <w:uiPriority w:val="39"/>
    <w:unhideWhenUsed/>
    <w:qFormat/>
    <w:pPr>
      <w:spacing w:after="57"/>
    </w:pPr>
  </w:style>
  <w:style w:type="paragraph" w:styleId="984" w:customStyle="1">
    <w:name w:val="目录 411"/>
    <w:basedOn w:val="868"/>
    <w:next w:val="868"/>
    <w:uiPriority w:val="39"/>
    <w:unhideWhenUsed/>
    <w:qFormat/>
    <w:pPr>
      <w:ind w:left="850"/>
      <w:spacing w:after="57"/>
    </w:pPr>
  </w:style>
  <w:style w:type="paragraph" w:styleId="985" w:customStyle="1">
    <w:name w:val="副标题11"/>
    <w:basedOn w:val="868"/>
    <w:next w:val="868"/>
    <w:link w:val="986"/>
    <w:uiPriority w:val="11"/>
    <w:qFormat/>
    <w:pPr>
      <w:spacing w:before="200" w:after="200"/>
    </w:pPr>
    <w:rPr>
      <w:sz w:val="24"/>
    </w:rPr>
  </w:style>
  <w:style w:type="character" w:styleId="986" w:customStyle="1">
    <w:name w:val="Subtitle Char"/>
    <w:link w:val="985"/>
    <w:uiPriority w:val="11"/>
    <w:qFormat/>
    <w:rPr>
      <w:sz w:val="24"/>
      <w:szCs w:val="24"/>
    </w:rPr>
  </w:style>
  <w:style w:type="paragraph" w:styleId="987" w:customStyle="1">
    <w:name w:val="脚注文本12"/>
    <w:basedOn w:val="868"/>
    <w:link w:val="988"/>
    <w:uiPriority w:val="99"/>
    <w:unhideWhenUsed/>
    <w:qFormat/>
    <w:pPr>
      <w:spacing w:after="40"/>
    </w:pPr>
    <w:rPr>
      <w:sz w:val="18"/>
    </w:rPr>
  </w:style>
  <w:style w:type="character" w:styleId="988" w:customStyle="1">
    <w:name w:val="Footnote Text Char"/>
    <w:link w:val="987"/>
    <w:uiPriority w:val="99"/>
    <w:qFormat/>
    <w:rPr>
      <w:sz w:val="18"/>
    </w:rPr>
  </w:style>
  <w:style w:type="paragraph" w:styleId="989" w:customStyle="1">
    <w:name w:val="目录 611"/>
    <w:basedOn w:val="868"/>
    <w:next w:val="868"/>
    <w:uiPriority w:val="39"/>
    <w:unhideWhenUsed/>
    <w:qFormat/>
    <w:pPr>
      <w:ind w:left="1417"/>
      <w:spacing w:after="57"/>
    </w:pPr>
  </w:style>
  <w:style w:type="paragraph" w:styleId="990" w:customStyle="1">
    <w:name w:val="图表目录11"/>
    <w:basedOn w:val="868"/>
    <w:next w:val="868"/>
    <w:uiPriority w:val="99"/>
    <w:unhideWhenUsed/>
    <w:qFormat/>
  </w:style>
  <w:style w:type="paragraph" w:styleId="991" w:customStyle="1">
    <w:name w:val="目录 212"/>
    <w:basedOn w:val="868"/>
    <w:next w:val="868"/>
    <w:uiPriority w:val="39"/>
    <w:unhideWhenUsed/>
    <w:qFormat/>
    <w:pPr>
      <w:ind w:left="283"/>
      <w:spacing w:after="57"/>
    </w:pPr>
  </w:style>
  <w:style w:type="paragraph" w:styleId="992" w:customStyle="1">
    <w:name w:val="目录 911"/>
    <w:basedOn w:val="868"/>
    <w:next w:val="868"/>
    <w:uiPriority w:val="39"/>
    <w:unhideWhenUsed/>
    <w:qFormat/>
    <w:pPr>
      <w:ind w:left="2268"/>
      <w:spacing w:after="57"/>
    </w:pPr>
  </w:style>
  <w:style w:type="paragraph" w:styleId="993" w:customStyle="1">
    <w:name w:val="标题11"/>
    <w:basedOn w:val="868"/>
    <w:next w:val="868"/>
    <w:link w:val="994"/>
    <w:uiPriority w:val="10"/>
    <w:qFormat/>
    <w:pPr>
      <w:contextualSpacing/>
      <w:spacing w:before="300" w:after="200"/>
    </w:pPr>
    <w:rPr>
      <w:sz w:val="48"/>
      <w:szCs w:val="48"/>
    </w:rPr>
  </w:style>
  <w:style w:type="character" w:styleId="994" w:customStyle="1">
    <w:name w:val="Title Char"/>
    <w:link w:val="993"/>
    <w:uiPriority w:val="10"/>
    <w:qFormat/>
    <w:rPr>
      <w:sz w:val="48"/>
      <w:szCs w:val="48"/>
    </w:rPr>
  </w:style>
  <w:style w:type="table" w:styleId="995" w:customStyle="1">
    <w:name w:val="网格型12"/>
    <w:uiPriority w:val="59"/>
    <w:qFormat/>
    <w:tblPr>
      <w:tblCellMar>
        <w:left w:w="0" w:type="dxa"/>
        <w:top w:w="0" w:type="dxa"/>
        <w:right w:w="0" w:type="dxa"/>
        <w:bottom w:w="0" w:type="dxa"/>
      </w:tblCellMar>
    </w:tblPr>
  </w:style>
  <w:style w:type="character" w:styleId="996" w:customStyle="1">
    <w:name w:val="尾注引用11"/>
    <w:uiPriority w:val="99"/>
    <w:unhideWhenUsed/>
    <w:qFormat/>
    <w:rPr>
      <w:vertAlign w:val="superscript"/>
    </w:rPr>
  </w:style>
  <w:style w:type="character" w:styleId="997" w:customStyle="1">
    <w:name w:val="超链接12"/>
    <w:uiPriority w:val="99"/>
    <w:unhideWhenUsed/>
    <w:qFormat/>
    <w:rPr>
      <w:color w:val="0000ff"/>
      <w:u w:val="single"/>
    </w:rPr>
  </w:style>
  <w:style w:type="character" w:styleId="998" w:customStyle="1">
    <w:name w:val="脚注引用12"/>
    <w:uiPriority w:val="99"/>
    <w:unhideWhenUsed/>
    <w:qFormat/>
    <w:rPr>
      <w:vertAlign w:val="superscript"/>
    </w:rPr>
  </w:style>
  <w:style w:type="paragraph" w:styleId="999" w:customStyle="1">
    <w:name w:val="首行缩进"/>
    <w:basedOn w:val="868"/>
    <w:uiPriority w:val="0"/>
    <w:qFormat/>
    <w:pPr>
      <w:ind w:firstLine="480"/>
    </w:pPr>
    <w:rPr>
      <w:rFonts w:ascii="Calibri" w:hAnsi="Calibri"/>
      <w:lang w:val="zh-CN"/>
    </w:rPr>
  </w:style>
  <w:style w:type="character" w:styleId="1000" w:customStyle="1">
    <w:name w:val="NormalCharacter1"/>
    <w:uiPriority w:val="0"/>
    <w:qFormat/>
    <w:rPr>
      <w:sz w:val="21"/>
      <w:szCs w:val="24"/>
      <w:lang w:val="en-US" w:eastAsia="zh-CN" w:bidi="ar-SA"/>
    </w:rPr>
  </w:style>
  <w:style w:type="paragraph" w:styleId="1001">
    <w:name w:val="List Paragraph"/>
    <w:basedOn w:val="868"/>
    <w:uiPriority w:val="34"/>
    <w:qFormat/>
    <w:pPr>
      <w:contextualSpacing/>
      <w:ind w:left="720"/>
    </w:pPr>
  </w:style>
  <w:style w:type="paragraph" w:styleId="1002">
    <w:name w:val="No Spacing"/>
    <w:uiPriority w:val="1"/>
    <w:qFormat/>
    <w:rPr>
      <w:rFonts w:ascii="Times New Roman" w:hAnsi="Times New Roman" w:eastAsia="宋体" w:cs="Times New Roman"/>
      <w:lang w:val="en-US" w:eastAsia="zh-CN" w:bidi="ar-SA"/>
    </w:rPr>
  </w:style>
  <w:style w:type="paragraph" w:styleId="1003">
    <w:name w:val="Quote"/>
    <w:basedOn w:val="868"/>
    <w:next w:val="868"/>
    <w:link w:val="1004"/>
    <w:uiPriority w:val="29"/>
    <w:qFormat/>
    <w:pPr>
      <w:ind w:left="720" w:right="720"/>
    </w:pPr>
    <w:rPr>
      <w:i/>
    </w:rPr>
  </w:style>
  <w:style w:type="character" w:styleId="1004" w:customStyle="1">
    <w:name w:val="引用 字符1"/>
    <w:link w:val="1003"/>
    <w:uiPriority w:val="29"/>
    <w:qFormat/>
    <w:rPr>
      <w:i/>
    </w:rPr>
  </w:style>
  <w:style w:type="paragraph" w:styleId="1005">
    <w:name w:val="Intense Quote"/>
    <w:basedOn w:val="868"/>
    <w:next w:val="868"/>
    <w:link w:val="10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6" w:customStyle="1">
    <w:name w:val="明显引用 字符1"/>
    <w:link w:val="1005"/>
    <w:uiPriority w:val="30"/>
    <w:qFormat/>
    <w:rPr>
      <w:i/>
    </w:rPr>
  </w:style>
  <w:style w:type="paragraph" w:styleId="1007" w:customStyle="1">
    <w:name w:val="标题 111"/>
    <w:basedOn w:val="868"/>
    <w:next w:val="868"/>
    <w:link w:val="1008"/>
    <w:uiPriority w:val="9"/>
    <w:qFormat/>
    <w:pPr>
      <w:keepLines/>
      <w:keepNext/>
      <w:spacing w:before="480" w:after="200"/>
      <w:outlineLvl w:val="0"/>
    </w:pPr>
    <w:rPr>
      <w:rFonts w:ascii="Arial" w:hAnsi="Arial" w:eastAsia="Arial" w:cs="Arial"/>
      <w:sz w:val="40"/>
      <w:szCs w:val="40"/>
    </w:rPr>
  </w:style>
  <w:style w:type="character" w:styleId="1008" w:customStyle="1">
    <w:name w:val="标题 1 字符1"/>
    <w:link w:val="1007"/>
    <w:uiPriority w:val="9"/>
    <w:qFormat/>
    <w:rPr>
      <w:rFonts w:ascii="Arial" w:hAnsi="Arial" w:eastAsia="Arial" w:cs="Arial"/>
      <w:sz w:val="40"/>
      <w:szCs w:val="40"/>
    </w:rPr>
  </w:style>
  <w:style w:type="paragraph" w:styleId="1009" w:customStyle="1">
    <w:name w:val="标题 21"/>
    <w:basedOn w:val="868"/>
    <w:next w:val="868"/>
    <w:link w:val="1010"/>
    <w:uiPriority w:val="9"/>
    <w:qFormat/>
    <w:pPr>
      <w:keepLines/>
      <w:keepNext/>
      <w:spacing w:before="360" w:after="200"/>
      <w:outlineLvl w:val="1"/>
    </w:pPr>
    <w:rPr>
      <w:rFonts w:ascii="Arial" w:hAnsi="Arial" w:eastAsia="Arial" w:cs="Arial"/>
      <w:sz w:val="34"/>
    </w:rPr>
  </w:style>
  <w:style w:type="character" w:styleId="1010" w:customStyle="1">
    <w:name w:val="标题 2 字符"/>
    <w:link w:val="1009"/>
    <w:uiPriority w:val="9"/>
    <w:qFormat/>
    <w:rPr>
      <w:rFonts w:ascii="Arial" w:hAnsi="Arial" w:eastAsia="Arial" w:cs="Arial"/>
      <w:sz w:val="34"/>
    </w:rPr>
  </w:style>
  <w:style w:type="paragraph" w:styleId="1011" w:customStyle="1">
    <w:name w:val="标题 31"/>
    <w:basedOn w:val="868"/>
    <w:next w:val="868"/>
    <w:link w:val="1012"/>
    <w:uiPriority w:val="9"/>
    <w:qFormat/>
    <w:pPr>
      <w:keepLines/>
      <w:keepNext/>
      <w:spacing w:before="320" w:after="200"/>
      <w:outlineLvl w:val="2"/>
    </w:pPr>
    <w:rPr>
      <w:rFonts w:ascii="Arial" w:hAnsi="Arial" w:eastAsia="Arial" w:cs="Arial"/>
      <w:sz w:val="30"/>
      <w:szCs w:val="30"/>
    </w:rPr>
  </w:style>
  <w:style w:type="character" w:styleId="1012" w:customStyle="1">
    <w:name w:val="标题 3 字符"/>
    <w:link w:val="1011"/>
    <w:uiPriority w:val="9"/>
    <w:qFormat/>
    <w:rPr>
      <w:rFonts w:ascii="Arial" w:hAnsi="Arial" w:eastAsia="Arial" w:cs="Arial"/>
      <w:sz w:val="30"/>
      <w:szCs w:val="30"/>
    </w:rPr>
  </w:style>
  <w:style w:type="paragraph" w:styleId="1013" w:customStyle="1">
    <w:name w:val="标题 411"/>
    <w:basedOn w:val="868"/>
    <w:next w:val="868"/>
    <w:link w:val="1014"/>
    <w:uiPriority w:val="9"/>
    <w:qFormat/>
    <w:pPr>
      <w:keepLines/>
      <w:keepNext/>
      <w:spacing w:before="320" w:after="200"/>
      <w:outlineLvl w:val="3"/>
    </w:pPr>
    <w:rPr>
      <w:rFonts w:ascii="Arial" w:hAnsi="Arial" w:eastAsia="Arial" w:cs="Arial"/>
      <w:b/>
      <w:bCs/>
      <w:sz w:val="26"/>
      <w:szCs w:val="26"/>
    </w:rPr>
  </w:style>
  <w:style w:type="character" w:styleId="1014" w:customStyle="1">
    <w:name w:val="标题 4 字符1"/>
    <w:link w:val="1013"/>
    <w:uiPriority w:val="9"/>
    <w:qFormat/>
    <w:rPr>
      <w:rFonts w:ascii="Arial" w:hAnsi="Arial" w:eastAsia="Arial" w:cs="Arial"/>
      <w:b/>
      <w:bCs/>
      <w:sz w:val="26"/>
      <w:szCs w:val="26"/>
    </w:rPr>
  </w:style>
  <w:style w:type="paragraph" w:styleId="1015" w:customStyle="1">
    <w:name w:val="标题 51"/>
    <w:basedOn w:val="868"/>
    <w:next w:val="868"/>
    <w:link w:val="1016"/>
    <w:uiPriority w:val="9"/>
    <w:qFormat/>
    <w:pPr>
      <w:keepLines/>
      <w:keepNext/>
      <w:spacing w:before="320" w:after="200"/>
      <w:outlineLvl w:val="4"/>
    </w:pPr>
    <w:rPr>
      <w:rFonts w:ascii="Arial" w:hAnsi="Arial" w:eastAsia="Arial" w:cs="Arial"/>
      <w:b/>
      <w:bCs/>
      <w:sz w:val="24"/>
    </w:rPr>
  </w:style>
  <w:style w:type="character" w:styleId="1016" w:customStyle="1">
    <w:name w:val="标题 5 字符"/>
    <w:link w:val="1015"/>
    <w:uiPriority w:val="9"/>
    <w:qFormat/>
    <w:rPr>
      <w:rFonts w:ascii="Arial" w:hAnsi="Arial" w:eastAsia="Arial" w:cs="Arial"/>
      <w:b/>
      <w:bCs/>
      <w:sz w:val="24"/>
      <w:szCs w:val="24"/>
    </w:rPr>
  </w:style>
  <w:style w:type="paragraph" w:styleId="1017" w:customStyle="1">
    <w:name w:val="标题 61"/>
    <w:basedOn w:val="868"/>
    <w:next w:val="868"/>
    <w:link w:val="1018"/>
    <w:uiPriority w:val="9"/>
    <w:qFormat/>
    <w:pPr>
      <w:keepLines/>
      <w:keepNext/>
      <w:spacing w:before="320" w:after="200"/>
      <w:outlineLvl w:val="5"/>
    </w:pPr>
    <w:rPr>
      <w:rFonts w:ascii="Arial" w:hAnsi="Arial" w:eastAsia="Arial" w:cs="Arial"/>
      <w:b/>
      <w:bCs/>
      <w:sz w:val="22"/>
      <w:szCs w:val="22"/>
    </w:rPr>
  </w:style>
  <w:style w:type="character" w:styleId="1018" w:customStyle="1">
    <w:name w:val="标题 6 字符"/>
    <w:link w:val="1017"/>
    <w:uiPriority w:val="9"/>
    <w:qFormat/>
    <w:rPr>
      <w:rFonts w:ascii="Arial" w:hAnsi="Arial" w:eastAsia="Arial" w:cs="Arial"/>
      <w:b/>
      <w:bCs/>
      <w:sz w:val="22"/>
      <w:szCs w:val="22"/>
    </w:rPr>
  </w:style>
  <w:style w:type="paragraph" w:styleId="1019" w:customStyle="1">
    <w:name w:val="标题 71"/>
    <w:basedOn w:val="868"/>
    <w:next w:val="868"/>
    <w:link w:val="1020"/>
    <w:uiPriority w:val="9"/>
    <w:qFormat/>
    <w:pPr>
      <w:keepLines/>
      <w:keepNext/>
      <w:spacing w:before="320" w:after="200"/>
      <w:outlineLvl w:val="6"/>
    </w:pPr>
    <w:rPr>
      <w:rFonts w:ascii="Arial" w:hAnsi="Arial" w:eastAsia="Arial" w:cs="Arial"/>
      <w:b/>
      <w:bCs/>
      <w:i/>
      <w:iCs/>
      <w:sz w:val="22"/>
      <w:szCs w:val="22"/>
    </w:rPr>
  </w:style>
  <w:style w:type="character" w:styleId="1020" w:customStyle="1">
    <w:name w:val="标题 7 字符"/>
    <w:link w:val="1019"/>
    <w:uiPriority w:val="9"/>
    <w:qFormat/>
    <w:rPr>
      <w:rFonts w:ascii="Arial" w:hAnsi="Arial" w:eastAsia="Arial" w:cs="Arial"/>
      <w:b/>
      <w:bCs/>
      <w:i/>
      <w:iCs/>
      <w:sz w:val="22"/>
      <w:szCs w:val="22"/>
    </w:rPr>
  </w:style>
  <w:style w:type="paragraph" w:styleId="1021" w:customStyle="1">
    <w:name w:val="标题 81"/>
    <w:basedOn w:val="868"/>
    <w:next w:val="868"/>
    <w:link w:val="1022"/>
    <w:uiPriority w:val="9"/>
    <w:qFormat/>
    <w:pPr>
      <w:keepLines/>
      <w:keepNext/>
      <w:spacing w:before="320" w:after="200"/>
      <w:outlineLvl w:val="7"/>
    </w:pPr>
    <w:rPr>
      <w:rFonts w:ascii="Arial" w:hAnsi="Arial" w:eastAsia="Arial" w:cs="Arial"/>
      <w:i/>
      <w:iCs/>
      <w:sz w:val="22"/>
      <w:szCs w:val="22"/>
    </w:rPr>
  </w:style>
  <w:style w:type="character" w:styleId="1022" w:customStyle="1">
    <w:name w:val="标题 8 字符"/>
    <w:link w:val="1021"/>
    <w:uiPriority w:val="9"/>
    <w:qFormat/>
    <w:rPr>
      <w:rFonts w:ascii="Arial" w:hAnsi="Arial" w:eastAsia="Arial" w:cs="Arial"/>
      <w:i/>
      <w:iCs/>
      <w:sz w:val="22"/>
      <w:szCs w:val="22"/>
    </w:rPr>
  </w:style>
  <w:style w:type="paragraph" w:styleId="1023" w:customStyle="1">
    <w:name w:val="标题 91"/>
    <w:basedOn w:val="868"/>
    <w:next w:val="868"/>
    <w:link w:val="1024"/>
    <w:uiPriority w:val="9"/>
    <w:qFormat/>
    <w:pPr>
      <w:keepLines/>
      <w:keepNext/>
      <w:spacing w:before="320" w:after="200"/>
      <w:outlineLvl w:val="8"/>
    </w:pPr>
    <w:rPr>
      <w:rFonts w:ascii="Arial" w:hAnsi="Arial" w:eastAsia="Arial" w:cs="Arial"/>
      <w:i/>
      <w:iCs/>
      <w:szCs w:val="21"/>
    </w:rPr>
  </w:style>
  <w:style w:type="character" w:styleId="1024" w:customStyle="1">
    <w:name w:val="标题 9 字符"/>
    <w:link w:val="1023"/>
    <w:uiPriority w:val="9"/>
    <w:qFormat/>
    <w:rPr>
      <w:rFonts w:ascii="Arial" w:hAnsi="Arial" w:eastAsia="Arial" w:cs="Arial"/>
      <w:i/>
      <w:iCs/>
      <w:sz w:val="21"/>
      <w:szCs w:val="21"/>
    </w:rPr>
  </w:style>
  <w:style w:type="character" w:styleId="1025" w:customStyle="1">
    <w:name w:val="默认段落字体111"/>
    <w:uiPriority w:val="1"/>
    <w:unhideWhenUsed/>
    <w:qFormat/>
  </w:style>
  <w:style w:type="table" w:styleId="1026" w:customStyle="1">
    <w:name w:val="普通表格11"/>
    <w:uiPriority w:val="99"/>
    <w:unhideWhenUsed/>
    <w:qFormat/>
    <w:tblPr>
      <w:tblCellMar>
        <w:left w:w="0" w:type="dxa"/>
        <w:top w:w="0" w:type="dxa"/>
        <w:right w:w="0" w:type="dxa"/>
        <w:bottom w:w="0" w:type="dxa"/>
      </w:tblCellMar>
    </w:tblPr>
  </w:style>
  <w:style w:type="paragraph" w:styleId="1027" w:customStyle="1">
    <w:name w:val="目录 71"/>
    <w:basedOn w:val="868"/>
    <w:next w:val="868"/>
    <w:uiPriority w:val="39"/>
    <w:unhideWhenUsed/>
    <w:qFormat/>
    <w:pPr>
      <w:ind w:left="1701"/>
      <w:spacing w:after="57"/>
    </w:pPr>
  </w:style>
  <w:style w:type="paragraph" w:styleId="1028" w:customStyle="1">
    <w:name w:val="正文缩进13"/>
    <w:basedOn w:val="868"/>
    <w:uiPriority w:val="0"/>
    <w:qFormat/>
    <w:pPr>
      <w:ind w:firstLine="420"/>
      <w:jc w:val="left"/>
      <w:widowControl/>
    </w:pPr>
    <w:rPr>
      <w:rFonts w:eastAsia="方正楷体_GB2312"/>
      <w:sz w:val="24"/>
      <w:szCs w:val="20"/>
    </w:rPr>
  </w:style>
  <w:style w:type="paragraph" w:styleId="1029" w:customStyle="1">
    <w:name w:val="题注1"/>
    <w:basedOn w:val="868"/>
    <w:next w:val="868"/>
    <w:uiPriority w:val="35"/>
    <w:qFormat/>
    <w:pPr>
      <w:spacing w:line="276" w:lineRule="auto"/>
    </w:pPr>
    <w:rPr>
      <w:b/>
      <w:bCs/>
      <w:color w:val="4f81bd"/>
      <w:sz w:val="18"/>
      <w:szCs w:val="18"/>
    </w:rPr>
  </w:style>
  <w:style w:type="paragraph" w:styleId="1030" w:customStyle="1">
    <w:name w:val="正文文本11"/>
    <w:basedOn w:val="868"/>
    <w:uiPriority w:val="0"/>
    <w:qFormat/>
    <w:pPr>
      <w:spacing w:after="120"/>
    </w:pPr>
  </w:style>
  <w:style w:type="paragraph" w:styleId="1031" w:customStyle="1">
    <w:name w:val="正文文本缩进111"/>
    <w:basedOn w:val="868"/>
    <w:next w:val="1032"/>
    <w:uiPriority w:val="0"/>
    <w:qFormat/>
    <w:pPr>
      <w:ind w:left="420"/>
      <w:spacing w:after="120"/>
    </w:pPr>
  </w:style>
  <w:style w:type="paragraph" w:styleId="1032" w:customStyle="1">
    <w:name w:val="寄信人地址12"/>
    <w:basedOn w:val="868"/>
    <w:uiPriority w:val="99"/>
    <w:unhideWhenUsed/>
    <w:qFormat/>
    <w:rPr>
      <w:rFonts w:ascii="Cambria" w:hAnsi="Cambria"/>
    </w:rPr>
  </w:style>
  <w:style w:type="paragraph" w:styleId="1033" w:customStyle="1">
    <w:name w:val="目录 511"/>
    <w:basedOn w:val="868"/>
    <w:next w:val="868"/>
    <w:uiPriority w:val="39"/>
    <w:unhideWhenUsed/>
    <w:qFormat/>
    <w:pPr>
      <w:ind w:left="1134"/>
      <w:spacing w:after="57"/>
    </w:pPr>
  </w:style>
  <w:style w:type="paragraph" w:styleId="1034" w:customStyle="1">
    <w:name w:val="目录 311"/>
    <w:basedOn w:val="868"/>
    <w:next w:val="868"/>
    <w:uiPriority w:val="39"/>
    <w:unhideWhenUsed/>
    <w:qFormat/>
    <w:pPr>
      <w:ind w:left="567"/>
      <w:spacing w:after="57"/>
    </w:pPr>
  </w:style>
  <w:style w:type="paragraph" w:styleId="1035" w:customStyle="1">
    <w:name w:val="纯文本12"/>
    <w:basedOn w:val="868"/>
    <w:uiPriority w:val="0"/>
    <w:qFormat/>
    <w:rPr>
      <w:rFonts w:ascii="宋体" w:hAnsi="Courier New" w:eastAsia="方正楷体_GB2312"/>
      <w:sz w:val="26"/>
    </w:rPr>
  </w:style>
  <w:style w:type="paragraph" w:styleId="1036" w:customStyle="1">
    <w:name w:val="目录 81"/>
    <w:basedOn w:val="868"/>
    <w:next w:val="868"/>
    <w:uiPriority w:val="39"/>
    <w:unhideWhenUsed/>
    <w:qFormat/>
    <w:pPr>
      <w:ind w:left="1984"/>
      <w:spacing w:after="57"/>
    </w:pPr>
  </w:style>
  <w:style w:type="paragraph" w:styleId="1037" w:customStyle="1">
    <w:name w:val="正文文本缩进 211"/>
    <w:basedOn w:val="868"/>
    <w:uiPriority w:val="0"/>
    <w:qFormat/>
    <w:pPr>
      <w:ind w:left="1" w:firstLine="480"/>
      <w:spacing w:line="400" w:lineRule="exact"/>
      <w:tabs>
        <w:tab w:val="left" w:pos="360" w:leader="none"/>
      </w:tabs>
    </w:pPr>
    <w:rPr>
      <w:sz w:val="24"/>
    </w:rPr>
  </w:style>
  <w:style w:type="paragraph" w:styleId="1038" w:customStyle="1">
    <w:name w:val="尾注文本1"/>
    <w:basedOn w:val="868"/>
    <w:link w:val="1039"/>
    <w:uiPriority w:val="99"/>
    <w:unhideWhenUsed/>
    <w:qFormat/>
    <w:rPr>
      <w:sz w:val="20"/>
    </w:rPr>
  </w:style>
  <w:style w:type="character" w:styleId="1039" w:customStyle="1">
    <w:name w:val="尾注文本 字符"/>
    <w:link w:val="1038"/>
    <w:uiPriority w:val="99"/>
    <w:qFormat/>
    <w:rPr>
      <w:sz w:val="20"/>
    </w:rPr>
  </w:style>
  <w:style w:type="paragraph" w:styleId="1040" w:customStyle="1">
    <w:name w:val="批注框文本11"/>
    <w:basedOn w:val="868"/>
    <w:uiPriority w:val="0"/>
    <w:qFormat/>
    <w:rPr>
      <w:sz w:val="16"/>
      <w:szCs w:val="16"/>
    </w:rPr>
  </w:style>
  <w:style w:type="paragraph" w:styleId="1041" w:customStyle="1">
    <w:name w:val="页脚12"/>
    <w:basedOn w:val="868"/>
    <w:link w:val="1043"/>
    <w:uiPriority w:val="99"/>
    <w:unhideWhenUsed/>
    <w:qFormat/>
    <w:pPr>
      <w:tabs>
        <w:tab w:val="center" w:pos="7143" w:leader="none"/>
        <w:tab w:val="right" w:pos="14287" w:leader="none"/>
      </w:tabs>
    </w:pPr>
  </w:style>
  <w:style w:type="character" w:styleId="1042" w:customStyle="1">
    <w:name w:val="页脚 字符1"/>
    <w:uiPriority w:val="99"/>
    <w:qFormat/>
  </w:style>
  <w:style w:type="character" w:styleId="1043" w:customStyle="1">
    <w:name w:val="Caption Char"/>
    <w:link w:val="1041"/>
    <w:uiPriority w:val="99"/>
    <w:qFormat/>
  </w:style>
  <w:style w:type="paragraph" w:styleId="1044" w:customStyle="1">
    <w:name w:val="页眉12"/>
    <w:basedOn w:val="868"/>
    <w:link w:val="1045"/>
    <w:uiPriority w:val="99"/>
    <w:unhideWhenUsed/>
    <w:qFormat/>
    <w:pPr>
      <w:tabs>
        <w:tab w:val="center" w:pos="7143" w:leader="none"/>
        <w:tab w:val="right" w:pos="14287" w:leader="none"/>
      </w:tabs>
    </w:pPr>
  </w:style>
  <w:style w:type="character" w:styleId="1045" w:customStyle="1">
    <w:name w:val="页眉 字符1"/>
    <w:link w:val="1044"/>
    <w:uiPriority w:val="99"/>
    <w:qFormat/>
  </w:style>
  <w:style w:type="paragraph" w:styleId="1046" w:customStyle="1">
    <w:name w:val="目录 111"/>
    <w:basedOn w:val="868"/>
    <w:next w:val="868"/>
    <w:uiPriority w:val="39"/>
    <w:unhideWhenUsed/>
    <w:qFormat/>
    <w:pPr>
      <w:spacing w:after="57"/>
    </w:pPr>
  </w:style>
  <w:style w:type="paragraph" w:styleId="1047" w:customStyle="1">
    <w:name w:val="目录 41"/>
    <w:basedOn w:val="868"/>
    <w:next w:val="868"/>
    <w:uiPriority w:val="39"/>
    <w:unhideWhenUsed/>
    <w:qFormat/>
    <w:pPr>
      <w:ind w:left="850"/>
      <w:spacing w:after="57"/>
    </w:pPr>
  </w:style>
  <w:style w:type="paragraph" w:styleId="1048" w:customStyle="1">
    <w:name w:val="副标题1"/>
    <w:basedOn w:val="868"/>
    <w:next w:val="868"/>
    <w:link w:val="1049"/>
    <w:uiPriority w:val="11"/>
    <w:qFormat/>
    <w:pPr>
      <w:spacing w:before="200" w:after="200"/>
    </w:pPr>
    <w:rPr>
      <w:sz w:val="24"/>
    </w:rPr>
  </w:style>
  <w:style w:type="character" w:styleId="1049" w:customStyle="1">
    <w:name w:val="副标题 字符"/>
    <w:link w:val="1048"/>
    <w:uiPriority w:val="11"/>
    <w:qFormat/>
    <w:rPr>
      <w:sz w:val="24"/>
      <w:szCs w:val="24"/>
    </w:rPr>
  </w:style>
  <w:style w:type="paragraph" w:styleId="1050" w:customStyle="1">
    <w:name w:val="脚注文本11"/>
    <w:basedOn w:val="868"/>
    <w:link w:val="1051"/>
    <w:uiPriority w:val="99"/>
    <w:unhideWhenUsed/>
    <w:qFormat/>
    <w:pPr>
      <w:spacing w:after="40"/>
    </w:pPr>
    <w:rPr>
      <w:sz w:val="18"/>
    </w:rPr>
  </w:style>
  <w:style w:type="character" w:styleId="1051" w:customStyle="1">
    <w:name w:val="脚注文本 字符"/>
    <w:link w:val="1050"/>
    <w:uiPriority w:val="99"/>
    <w:qFormat/>
    <w:rPr>
      <w:sz w:val="18"/>
    </w:rPr>
  </w:style>
  <w:style w:type="paragraph" w:styleId="1052" w:customStyle="1">
    <w:name w:val="目录 61"/>
    <w:basedOn w:val="868"/>
    <w:next w:val="868"/>
    <w:uiPriority w:val="39"/>
    <w:unhideWhenUsed/>
    <w:qFormat/>
    <w:pPr>
      <w:ind w:left="1417"/>
      <w:spacing w:after="57"/>
    </w:pPr>
  </w:style>
  <w:style w:type="paragraph" w:styleId="1053" w:customStyle="1">
    <w:name w:val="图表目录1"/>
    <w:basedOn w:val="868"/>
    <w:next w:val="868"/>
    <w:uiPriority w:val="99"/>
    <w:unhideWhenUsed/>
    <w:qFormat/>
  </w:style>
  <w:style w:type="paragraph" w:styleId="1054" w:customStyle="1">
    <w:name w:val="目录 211"/>
    <w:basedOn w:val="868"/>
    <w:next w:val="868"/>
    <w:uiPriority w:val="39"/>
    <w:unhideWhenUsed/>
    <w:qFormat/>
    <w:pPr>
      <w:ind w:left="283"/>
      <w:spacing w:after="57"/>
    </w:pPr>
  </w:style>
  <w:style w:type="paragraph" w:styleId="1055" w:customStyle="1">
    <w:name w:val="目录 91"/>
    <w:basedOn w:val="868"/>
    <w:next w:val="868"/>
    <w:uiPriority w:val="39"/>
    <w:unhideWhenUsed/>
    <w:qFormat/>
    <w:pPr>
      <w:ind w:left="2268"/>
      <w:spacing w:after="57"/>
    </w:pPr>
  </w:style>
  <w:style w:type="paragraph" w:styleId="1056" w:customStyle="1">
    <w:name w:val="标题1"/>
    <w:basedOn w:val="868"/>
    <w:next w:val="868"/>
    <w:link w:val="1057"/>
    <w:uiPriority w:val="10"/>
    <w:qFormat/>
    <w:pPr>
      <w:contextualSpacing/>
      <w:spacing w:before="300" w:after="200"/>
    </w:pPr>
    <w:rPr>
      <w:sz w:val="48"/>
      <w:szCs w:val="48"/>
    </w:rPr>
  </w:style>
  <w:style w:type="character" w:styleId="1057" w:customStyle="1">
    <w:name w:val="标题 字符"/>
    <w:link w:val="1056"/>
    <w:uiPriority w:val="10"/>
    <w:qFormat/>
    <w:rPr>
      <w:sz w:val="48"/>
      <w:szCs w:val="48"/>
    </w:rPr>
  </w:style>
  <w:style w:type="paragraph" w:styleId="1058" w:customStyle="1">
    <w:name w:val="正文首行缩进 211"/>
    <w:basedOn w:val="1031"/>
    <w:uiPriority w:val="99"/>
    <w:unhideWhenUsed/>
    <w:qFormat/>
    <w:pPr>
      <w:ind w:firstLine="420"/>
    </w:pPr>
  </w:style>
  <w:style w:type="table" w:styleId="1059" w:customStyle="1">
    <w:name w:val="网格型11"/>
    <w:uiPriority w:val="59"/>
    <w:qFormat/>
    <w:tblPr>
      <w:tblCellMar>
        <w:left w:w="0" w:type="dxa"/>
        <w:top w:w="0" w:type="dxa"/>
        <w:right w:w="0" w:type="dxa"/>
        <w:bottom w:w="0" w:type="dxa"/>
      </w:tblCellMar>
    </w:tblPr>
  </w:style>
  <w:style w:type="character" w:styleId="1060" w:customStyle="1">
    <w:name w:val="尾注引用1"/>
    <w:uiPriority w:val="99"/>
    <w:unhideWhenUsed/>
    <w:qFormat/>
    <w:rPr>
      <w:vertAlign w:val="superscript"/>
    </w:rPr>
  </w:style>
  <w:style w:type="character" w:styleId="1061" w:customStyle="1">
    <w:name w:val="超链接11"/>
    <w:uiPriority w:val="99"/>
    <w:unhideWhenUsed/>
    <w:qFormat/>
    <w:rPr>
      <w:color w:val="0000ff"/>
      <w:u w:val="single"/>
    </w:rPr>
  </w:style>
  <w:style w:type="character" w:styleId="1062" w:customStyle="1">
    <w:name w:val="脚注引用11"/>
    <w:uiPriority w:val="99"/>
    <w:unhideWhenUsed/>
    <w:qFormat/>
    <w:rPr>
      <w:vertAlign w:val="superscript"/>
    </w:rPr>
  </w:style>
  <w:style w:type="character" w:styleId="1063" w:customStyle="1">
    <w:name w:val="页码1"/>
    <w:uiPriority w:val="99"/>
    <w:unhideWhenUsed/>
    <w:qFormat/>
  </w:style>
  <w:style w:type="character" w:styleId="1064" w:customStyle="1">
    <w:name w:val="默认段落字体1"/>
    <w:uiPriority w:val="1"/>
    <w:unhideWhenUsed/>
    <w:qFormat/>
  </w:style>
  <w:style w:type="paragraph" w:styleId="1065" w:customStyle="1">
    <w:name w:val="无间隔1"/>
    <w:uiPriority w:val="1"/>
    <w:qFormat/>
    <w:rPr>
      <w:rFonts w:ascii="Times New Roman" w:hAnsi="Times New Roman" w:eastAsia="宋体" w:cs="Times New Roman"/>
      <w:lang w:val="en-US" w:eastAsia="zh-CN" w:bidi="ar-SA"/>
    </w:rPr>
  </w:style>
  <w:style w:type="paragraph" w:styleId="1066" w:customStyle="1">
    <w:name w:val="引用1"/>
    <w:basedOn w:val="868"/>
    <w:next w:val="868"/>
    <w:link w:val="1067"/>
    <w:uiPriority w:val="29"/>
    <w:qFormat/>
    <w:pPr>
      <w:ind w:left="720" w:right="720"/>
    </w:pPr>
    <w:rPr>
      <w:i/>
    </w:rPr>
  </w:style>
  <w:style w:type="character" w:styleId="1067" w:customStyle="1">
    <w:name w:val="引用 字符"/>
    <w:link w:val="1066"/>
    <w:uiPriority w:val="29"/>
    <w:qFormat/>
    <w:rPr>
      <w:i/>
    </w:rPr>
  </w:style>
  <w:style w:type="paragraph" w:styleId="1068" w:customStyle="1">
    <w:name w:val="明显引用1"/>
    <w:basedOn w:val="868"/>
    <w:next w:val="868"/>
    <w:link w:val="10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9" w:customStyle="1">
    <w:name w:val="明显引用 字符"/>
    <w:link w:val="1068"/>
    <w:uiPriority w:val="30"/>
    <w:qFormat/>
    <w:rPr>
      <w:i/>
    </w:rPr>
  </w:style>
  <w:style w:type="table" w:styleId="1070" w:customStyle="1">
    <w:name w:val="Table Grid Light"/>
    <w:uiPriority w:val="59"/>
    <w:qFormat/>
    <w:tblPr>
      <w:tblCellMar>
        <w:left w:w="0" w:type="dxa"/>
        <w:top w:w="0" w:type="dxa"/>
        <w:right w:w="0" w:type="dxa"/>
        <w:bottom w:w="0" w:type="dxa"/>
      </w:tblCellMar>
    </w:tblPr>
  </w:style>
  <w:style w:type="table" w:styleId="1071" w:customStyle="1">
    <w:name w:val="无格式表格 11"/>
    <w:uiPriority w:val="59"/>
    <w:qFormat/>
    <w:tblPr>
      <w:tblCellMar>
        <w:left w:w="0" w:type="dxa"/>
        <w:top w:w="0" w:type="dxa"/>
        <w:right w:w="0" w:type="dxa"/>
        <w:bottom w:w="0" w:type="dxa"/>
      </w:tblCellMar>
    </w:tblPr>
  </w:style>
  <w:style w:type="table" w:styleId="1072" w:customStyle="1">
    <w:name w:val="无格式表格 21"/>
    <w:uiPriority w:val="59"/>
    <w:qFormat/>
    <w:tblPr>
      <w:tblCellMar>
        <w:left w:w="0" w:type="dxa"/>
        <w:top w:w="0" w:type="dxa"/>
        <w:right w:w="0" w:type="dxa"/>
        <w:bottom w:w="0" w:type="dxa"/>
      </w:tblCellMar>
    </w:tblPr>
  </w:style>
  <w:style w:type="table" w:styleId="1073" w:customStyle="1">
    <w:name w:val="无格式表格 31"/>
    <w:uiPriority w:val="99"/>
    <w:qFormat/>
    <w:tblPr>
      <w:tblCellMar>
        <w:left w:w="0" w:type="dxa"/>
        <w:top w:w="0" w:type="dxa"/>
        <w:right w:w="0" w:type="dxa"/>
        <w:bottom w:w="0" w:type="dxa"/>
      </w:tblCellMar>
    </w:tblPr>
  </w:style>
  <w:style w:type="table" w:styleId="1074" w:customStyle="1">
    <w:name w:val="无格式表格 41"/>
    <w:uiPriority w:val="99"/>
    <w:qFormat/>
    <w:tblPr>
      <w:tblCellMar>
        <w:left w:w="0" w:type="dxa"/>
        <w:top w:w="0" w:type="dxa"/>
        <w:right w:w="0" w:type="dxa"/>
        <w:bottom w:w="0" w:type="dxa"/>
      </w:tblCellMar>
    </w:tblPr>
  </w:style>
  <w:style w:type="table" w:styleId="1075" w:customStyle="1">
    <w:name w:val="无格式表格 51"/>
    <w:uiPriority w:val="99"/>
    <w:qFormat/>
    <w:tblPr>
      <w:tblCellMar>
        <w:left w:w="0" w:type="dxa"/>
        <w:top w:w="0" w:type="dxa"/>
        <w:right w:w="0" w:type="dxa"/>
        <w:bottom w:w="0" w:type="dxa"/>
      </w:tblCellMar>
    </w:tblPr>
  </w:style>
  <w:style w:type="table" w:styleId="1076" w:customStyle="1">
    <w:name w:val="网格表 1 浅色1"/>
    <w:uiPriority w:val="99"/>
    <w:qFormat/>
    <w:tblPr>
      <w:tblCellMar>
        <w:left w:w="0" w:type="dxa"/>
        <w:top w:w="0" w:type="dxa"/>
        <w:right w:w="0" w:type="dxa"/>
        <w:bottom w:w="0" w:type="dxa"/>
      </w:tblCellMar>
    </w:tblPr>
  </w:style>
  <w:style w:type="table" w:styleId="1077" w:customStyle="1">
    <w:name w:val="Grid Table 1 Light - Accent 1"/>
    <w:uiPriority w:val="99"/>
    <w:qFormat/>
    <w:tblPr>
      <w:tblCellMar>
        <w:left w:w="0" w:type="dxa"/>
        <w:top w:w="0" w:type="dxa"/>
        <w:right w:w="0" w:type="dxa"/>
        <w:bottom w:w="0" w:type="dxa"/>
      </w:tblCellMar>
    </w:tblPr>
  </w:style>
  <w:style w:type="table" w:styleId="1078" w:customStyle="1">
    <w:name w:val="Grid Table 1 Light - Accent 2"/>
    <w:uiPriority w:val="99"/>
    <w:qFormat/>
    <w:tblPr>
      <w:tblCellMar>
        <w:left w:w="0" w:type="dxa"/>
        <w:top w:w="0" w:type="dxa"/>
        <w:right w:w="0" w:type="dxa"/>
        <w:bottom w:w="0" w:type="dxa"/>
      </w:tblCellMar>
    </w:tblPr>
  </w:style>
  <w:style w:type="table" w:styleId="1079" w:customStyle="1">
    <w:name w:val="Grid Table 1 Light - Accent 3"/>
    <w:uiPriority w:val="99"/>
    <w:qFormat/>
    <w:tblPr>
      <w:tblCellMar>
        <w:left w:w="0" w:type="dxa"/>
        <w:top w:w="0" w:type="dxa"/>
        <w:right w:w="0" w:type="dxa"/>
        <w:bottom w:w="0" w:type="dxa"/>
      </w:tblCellMar>
    </w:tblPr>
  </w:style>
  <w:style w:type="table" w:styleId="1080" w:customStyle="1">
    <w:name w:val="Grid Table 1 Light - Accent 4"/>
    <w:uiPriority w:val="99"/>
    <w:qFormat/>
    <w:tblPr>
      <w:tblCellMar>
        <w:left w:w="0" w:type="dxa"/>
        <w:top w:w="0" w:type="dxa"/>
        <w:right w:w="0" w:type="dxa"/>
        <w:bottom w:w="0" w:type="dxa"/>
      </w:tblCellMar>
    </w:tblPr>
  </w:style>
  <w:style w:type="table" w:styleId="1081" w:customStyle="1">
    <w:name w:val="Grid Table 1 Light - Accent 5"/>
    <w:uiPriority w:val="99"/>
    <w:qFormat/>
    <w:tblPr>
      <w:tblCellMar>
        <w:left w:w="0" w:type="dxa"/>
        <w:top w:w="0" w:type="dxa"/>
        <w:right w:w="0" w:type="dxa"/>
        <w:bottom w:w="0" w:type="dxa"/>
      </w:tblCellMar>
    </w:tblPr>
  </w:style>
  <w:style w:type="table" w:styleId="1082" w:customStyle="1">
    <w:name w:val="Grid Table 1 Light - Accent 6"/>
    <w:uiPriority w:val="99"/>
    <w:qFormat/>
    <w:tblPr>
      <w:tblCellMar>
        <w:left w:w="0" w:type="dxa"/>
        <w:top w:w="0" w:type="dxa"/>
        <w:right w:w="0" w:type="dxa"/>
        <w:bottom w:w="0" w:type="dxa"/>
      </w:tblCellMar>
    </w:tblPr>
  </w:style>
  <w:style w:type="table" w:styleId="1083" w:customStyle="1">
    <w:name w:val="网格表 21"/>
    <w:uiPriority w:val="99"/>
    <w:qFormat/>
    <w:tblPr>
      <w:tblCellMar>
        <w:left w:w="0" w:type="dxa"/>
        <w:top w:w="0" w:type="dxa"/>
        <w:right w:w="0" w:type="dxa"/>
        <w:bottom w:w="0" w:type="dxa"/>
      </w:tblCellMar>
    </w:tblPr>
  </w:style>
  <w:style w:type="table" w:styleId="1084" w:customStyle="1">
    <w:name w:val="Grid Table 2 - Accent 1"/>
    <w:uiPriority w:val="99"/>
    <w:qFormat/>
    <w:tblPr>
      <w:tblCellMar>
        <w:left w:w="0" w:type="dxa"/>
        <w:top w:w="0" w:type="dxa"/>
        <w:right w:w="0" w:type="dxa"/>
        <w:bottom w:w="0" w:type="dxa"/>
      </w:tblCellMar>
    </w:tblPr>
  </w:style>
  <w:style w:type="table" w:styleId="1085" w:customStyle="1">
    <w:name w:val="Grid Table 2 - Accent 2"/>
    <w:uiPriority w:val="99"/>
    <w:qFormat/>
    <w:tblPr>
      <w:tblCellMar>
        <w:left w:w="0" w:type="dxa"/>
        <w:top w:w="0" w:type="dxa"/>
        <w:right w:w="0" w:type="dxa"/>
        <w:bottom w:w="0" w:type="dxa"/>
      </w:tblCellMar>
    </w:tblPr>
  </w:style>
  <w:style w:type="table" w:styleId="1086" w:customStyle="1">
    <w:name w:val="Grid Table 2 - Accent 3"/>
    <w:uiPriority w:val="99"/>
    <w:qFormat/>
    <w:tblPr>
      <w:tblCellMar>
        <w:left w:w="0" w:type="dxa"/>
        <w:top w:w="0" w:type="dxa"/>
        <w:right w:w="0" w:type="dxa"/>
        <w:bottom w:w="0" w:type="dxa"/>
      </w:tblCellMar>
    </w:tblPr>
  </w:style>
  <w:style w:type="table" w:styleId="1087" w:customStyle="1">
    <w:name w:val="Grid Table 2 - Accent 4"/>
    <w:uiPriority w:val="99"/>
    <w:qFormat/>
    <w:tblPr>
      <w:tblCellMar>
        <w:left w:w="0" w:type="dxa"/>
        <w:top w:w="0" w:type="dxa"/>
        <w:right w:w="0" w:type="dxa"/>
        <w:bottom w:w="0" w:type="dxa"/>
      </w:tblCellMar>
    </w:tblPr>
  </w:style>
  <w:style w:type="table" w:styleId="1088" w:customStyle="1">
    <w:name w:val="Grid Table 2 - Accent 5"/>
    <w:uiPriority w:val="99"/>
    <w:qFormat/>
    <w:tblPr>
      <w:tblCellMar>
        <w:left w:w="0" w:type="dxa"/>
        <w:top w:w="0" w:type="dxa"/>
        <w:right w:w="0" w:type="dxa"/>
        <w:bottom w:w="0" w:type="dxa"/>
      </w:tblCellMar>
    </w:tblPr>
  </w:style>
  <w:style w:type="table" w:styleId="1089" w:customStyle="1">
    <w:name w:val="Grid Table 2 - Accent 6"/>
    <w:uiPriority w:val="99"/>
    <w:qFormat/>
    <w:tblPr>
      <w:tblCellMar>
        <w:left w:w="0" w:type="dxa"/>
        <w:top w:w="0" w:type="dxa"/>
        <w:right w:w="0" w:type="dxa"/>
        <w:bottom w:w="0" w:type="dxa"/>
      </w:tblCellMar>
    </w:tblPr>
  </w:style>
  <w:style w:type="table" w:styleId="1090" w:customStyle="1">
    <w:name w:val="网格表 31"/>
    <w:uiPriority w:val="99"/>
    <w:qFormat/>
    <w:tblPr>
      <w:tblCellMar>
        <w:left w:w="0" w:type="dxa"/>
        <w:top w:w="0" w:type="dxa"/>
        <w:right w:w="0" w:type="dxa"/>
        <w:bottom w:w="0" w:type="dxa"/>
      </w:tblCellMar>
    </w:tblPr>
  </w:style>
  <w:style w:type="table" w:styleId="1091" w:customStyle="1">
    <w:name w:val="Grid Table 3 - Accent 1"/>
    <w:uiPriority w:val="99"/>
    <w:qFormat/>
    <w:tblPr>
      <w:tblCellMar>
        <w:left w:w="0" w:type="dxa"/>
        <w:top w:w="0" w:type="dxa"/>
        <w:right w:w="0" w:type="dxa"/>
        <w:bottom w:w="0" w:type="dxa"/>
      </w:tblCellMar>
    </w:tblPr>
  </w:style>
  <w:style w:type="table" w:styleId="1092" w:customStyle="1">
    <w:name w:val="Grid Table 3 - Accent 2"/>
    <w:uiPriority w:val="99"/>
    <w:qFormat/>
    <w:tblPr>
      <w:tblCellMar>
        <w:left w:w="0" w:type="dxa"/>
        <w:top w:w="0" w:type="dxa"/>
        <w:right w:w="0" w:type="dxa"/>
        <w:bottom w:w="0" w:type="dxa"/>
      </w:tblCellMar>
    </w:tblPr>
  </w:style>
  <w:style w:type="table" w:styleId="1093" w:customStyle="1">
    <w:name w:val="Grid Table 3 - Accent 3"/>
    <w:uiPriority w:val="99"/>
    <w:qFormat/>
    <w:tblPr>
      <w:tblCellMar>
        <w:left w:w="0" w:type="dxa"/>
        <w:top w:w="0" w:type="dxa"/>
        <w:right w:w="0" w:type="dxa"/>
        <w:bottom w:w="0" w:type="dxa"/>
      </w:tblCellMar>
    </w:tblPr>
  </w:style>
  <w:style w:type="table" w:styleId="1094" w:customStyle="1">
    <w:name w:val="Grid Table 3 - Accent 4"/>
    <w:uiPriority w:val="99"/>
    <w:qFormat/>
    <w:tblPr>
      <w:tblCellMar>
        <w:left w:w="0" w:type="dxa"/>
        <w:top w:w="0" w:type="dxa"/>
        <w:right w:w="0" w:type="dxa"/>
        <w:bottom w:w="0" w:type="dxa"/>
      </w:tblCellMar>
    </w:tblPr>
  </w:style>
  <w:style w:type="table" w:styleId="1095" w:customStyle="1">
    <w:name w:val="Grid Table 3 - Accent 5"/>
    <w:uiPriority w:val="99"/>
    <w:qFormat/>
    <w:tblPr>
      <w:tblCellMar>
        <w:left w:w="0" w:type="dxa"/>
        <w:top w:w="0" w:type="dxa"/>
        <w:right w:w="0" w:type="dxa"/>
        <w:bottom w:w="0" w:type="dxa"/>
      </w:tblCellMar>
    </w:tblPr>
  </w:style>
  <w:style w:type="table" w:styleId="1096" w:customStyle="1">
    <w:name w:val="Grid Table 3 - Accent 6"/>
    <w:uiPriority w:val="99"/>
    <w:qFormat/>
    <w:tblPr>
      <w:tblCellMar>
        <w:left w:w="0" w:type="dxa"/>
        <w:top w:w="0" w:type="dxa"/>
        <w:right w:w="0" w:type="dxa"/>
        <w:bottom w:w="0" w:type="dxa"/>
      </w:tblCellMar>
    </w:tblPr>
  </w:style>
  <w:style w:type="table" w:styleId="1097" w:customStyle="1">
    <w:name w:val="网格表 41"/>
    <w:uiPriority w:val="59"/>
    <w:qFormat/>
    <w:tblPr>
      <w:tblCellMar>
        <w:left w:w="0" w:type="dxa"/>
        <w:top w:w="0" w:type="dxa"/>
        <w:right w:w="0" w:type="dxa"/>
        <w:bottom w:w="0" w:type="dxa"/>
      </w:tblCellMar>
    </w:tblPr>
  </w:style>
  <w:style w:type="table" w:styleId="1098" w:customStyle="1">
    <w:name w:val="Grid Table 4 - Accent 1"/>
    <w:uiPriority w:val="59"/>
    <w:qFormat/>
    <w:tblPr>
      <w:tblCellMar>
        <w:left w:w="0" w:type="dxa"/>
        <w:top w:w="0" w:type="dxa"/>
        <w:right w:w="0" w:type="dxa"/>
        <w:bottom w:w="0" w:type="dxa"/>
      </w:tblCellMar>
    </w:tblPr>
  </w:style>
  <w:style w:type="table" w:styleId="1099" w:customStyle="1">
    <w:name w:val="Grid Table 4 - Accent 2"/>
    <w:uiPriority w:val="59"/>
    <w:qFormat/>
    <w:tblPr>
      <w:tblCellMar>
        <w:left w:w="0" w:type="dxa"/>
        <w:top w:w="0" w:type="dxa"/>
        <w:right w:w="0" w:type="dxa"/>
        <w:bottom w:w="0" w:type="dxa"/>
      </w:tblCellMar>
    </w:tblPr>
  </w:style>
  <w:style w:type="table" w:styleId="1100" w:customStyle="1">
    <w:name w:val="Grid Table 4 - Accent 3"/>
    <w:uiPriority w:val="59"/>
    <w:qFormat/>
    <w:tblPr>
      <w:tblCellMar>
        <w:left w:w="0" w:type="dxa"/>
        <w:top w:w="0" w:type="dxa"/>
        <w:right w:w="0" w:type="dxa"/>
        <w:bottom w:w="0" w:type="dxa"/>
      </w:tblCellMar>
    </w:tblPr>
  </w:style>
  <w:style w:type="table" w:styleId="1101" w:customStyle="1">
    <w:name w:val="Grid Table 4 - Accent 4"/>
    <w:uiPriority w:val="59"/>
    <w:qFormat/>
    <w:tblPr>
      <w:tblCellMar>
        <w:left w:w="0" w:type="dxa"/>
        <w:top w:w="0" w:type="dxa"/>
        <w:right w:w="0" w:type="dxa"/>
        <w:bottom w:w="0" w:type="dxa"/>
      </w:tblCellMar>
    </w:tblPr>
  </w:style>
  <w:style w:type="table" w:styleId="1102" w:customStyle="1">
    <w:name w:val="Grid Table 4 - Accent 5"/>
    <w:uiPriority w:val="59"/>
    <w:qFormat/>
    <w:tblPr>
      <w:tblCellMar>
        <w:left w:w="0" w:type="dxa"/>
        <w:top w:w="0" w:type="dxa"/>
        <w:right w:w="0" w:type="dxa"/>
        <w:bottom w:w="0" w:type="dxa"/>
      </w:tblCellMar>
    </w:tblPr>
  </w:style>
  <w:style w:type="table" w:styleId="1103" w:customStyle="1">
    <w:name w:val="Grid Table 4 - Accent 6"/>
    <w:uiPriority w:val="59"/>
    <w:qFormat/>
    <w:tblPr>
      <w:tblCellMar>
        <w:left w:w="0" w:type="dxa"/>
        <w:top w:w="0" w:type="dxa"/>
        <w:right w:w="0" w:type="dxa"/>
        <w:bottom w:w="0" w:type="dxa"/>
      </w:tblCellMar>
    </w:tblPr>
  </w:style>
  <w:style w:type="table" w:styleId="1104" w:customStyle="1">
    <w:name w:val="网格表 5 深色1"/>
    <w:uiPriority w:val="99"/>
    <w:qFormat/>
    <w:tblPr>
      <w:tblCellMar>
        <w:left w:w="0" w:type="dxa"/>
        <w:top w:w="0" w:type="dxa"/>
        <w:right w:w="0" w:type="dxa"/>
        <w:bottom w:w="0" w:type="dxa"/>
      </w:tblCellMar>
    </w:tblPr>
  </w:style>
  <w:style w:type="table" w:styleId="1105" w:customStyle="1">
    <w:name w:val="Grid Table 5 Dark- Accent 1"/>
    <w:uiPriority w:val="99"/>
    <w:qFormat/>
    <w:tblPr>
      <w:tblCellMar>
        <w:left w:w="0" w:type="dxa"/>
        <w:top w:w="0" w:type="dxa"/>
        <w:right w:w="0" w:type="dxa"/>
        <w:bottom w:w="0" w:type="dxa"/>
      </w:tblCellMar>
    </w:tblPr>
  </w:style>
  <w:style w:type="table" w:styleId="1106" w:customStyle="1">
    <w:name w:val="Grid Table 5 Dark - Accent 2"/>
    <w:uiPriority w:val="99"/>
    <w:qFormat/>
    <w:tblPr>
      <w:tblCellMar>
        <w:left w:w="0" w:type="dxa"/>
        <w:top w:w="0" w:type="dxa"/>
        <w:right w:w="0" w:type="dxa"/>
        <w:bottom w:w="0" w:type="dxa"/>
      </w:tblCellMar>
    </w:tblPr>
  </w:style>
  <w:style w:type="table" w:styleId="1107" w:customStyle="1">
    <w:name w:val="Grid Table 5 Dark - Accent 3"/>
    <w:uiPriority w:val="99"/>
    <w:qFormat/>
    <w:tblPr>
      <w:tblCellMar>
        <w:left w:w="0" w:type="dxa"/>
        <w:top w:w="0" w:type="dxa"/>
        <w:right w:w="0" w:type="dxa"/>
        <w:bottom w:w="0" w:type="dxa"/>
      </w:tblCellMar>
    </w:tblPr>
  </w:style>
  <w:style w:type="table" w:styleId="1108" w:customStyle="1">
    <w:name w:val="Grid Table 5 Dark- Accent 4"/>
    <w:uiPriority w:val="99"/>
    <w:qFormat/>
    <w:tblPr>
      <w:tblCellMar>
        <w:left w:w="0" w:type="dxa"/>
        <w:top w:w="0" w:type="dxa"/>
        <w:right w:w="0" w:type="dxa"/>
        <w:bottom w:w="0" w:type="dxa"/>
      </w:tblCellMar>
    </w:tblPr>
  </w:style>
  <w:style w:type="table" w:styleId="1109" w:customStyle="1">
    <w:name w:val="Grid Table 5 Dark - Accent 5"/>
    <w:uiPriority w:val="99"/>
    <w:qFormat/>
    <w:tblPr>
      <w:tblCellMar>
        <w:left w:w="0" w:type="dxa"/>
        <w:top w:w="0" w:type="dxa"/>
        <w:right w:w="0" w:type="dxa"/>
        <w:bottom w:w="0" w:type="dxa"/>
      </w:tblCellMar>
    </w:tblPr>
  </w:style>
  <w:style w:type="table" w:styleId="1110" w:customStyle="1">
    <w:name w:val="Grid Table 5 Dark - Accent 6"/>
    <w:uiPriority w:val="99"/>
    <w:qFormat/>
    <w:tblPr>
      <w:tblCellMar>
        <w:left w:w="0" w:type="dxa"/>
        <w:top w:w="0" w:type="dxa"/>
        <w:right w:w="0" w:type="dxa"/>
        <w:bottom w:w="0" w:type="dxa"/>
      </w:tblCellMar>
    </w:tblPr>
  </w:style>
  <w:style w:type="table" w:styleId="1111" w:customStyle="1">
    <w:name w:val="网格表 6 彩色1"/>
    <w:uiPriority w:val="99"/>
    <w:qFormat/>
    <w:tblPr>
      <w:tblCellMar>
        <w:left w:w="0" w:type="dxa"/>
        <w:top w:w="0" w:type="dxa"/>
        <w:right w:w="0" w:type="dxa"/>
        <w:bottom w:w="0" w:type="dxa"/>
      </w:tblCellMar>
    </w:tblPr>
  </w:style>
  <w:style w:type="table" w:styleId="1112" w:customStyle="1">
    <w:name w:val="Grid Table 6 Colorful - Accent 1"/>
    <w:uiPriority w:val="99"/>
    <w:qFormat/>
    <w:tblPr>
      <w:tblCellMar>
        <w:left w:w="0" w:type="dxa"/>
        <w:top w:w="0" w:type="dxa"/>
        <w:right w:w="0" w:type="dxa"/>
        <w:bottom w:w="0" w:type="dxa"/>
      </w:tblCellMar>
    </w:tblPr>
  </w:style>
  <w:style w:type="table" w:styleId="1113" w:customStyle="1">
    <w:name w:val="Grid Table 6 Colorful - Accent 2"/>
    <w:uiPriority w:val="99"/>
    <w:qFormat/>
    <w:tblPr>
      <w:tblCellMar>
        <w:left w:w="0" w:type="dxa"/>
        <w:top w:w="0" w:type="dxa"/>
        <w:right w:w="0" w:type="dxa"/>
        <w:bottom w:w="0" w:type="dxa"/>
      </w:tblCellMar>
    </w:tblPr>
  </w:style>
  <w:style w:type="table" w:styleId="1114" w:customStyle="1">
    <w:name w:val="Grid Table 6 Colorful - Accent 3"/>
    <w:uiPriority w:val="99"/>
    <w:qFormat/>
    <w:tblPr>
      <w:tblCellMar>
        <w:left w:w="0" w:type="dxa"/>
        <w:top w:w="0" w:type="dxa"/>
        <w:right w:w="0" w:type="dxa"/>
        <w:bottom w:w="0" w:type="dxa"/>
      </w:tblCellMar>
    </w:tblPr>
  </w:style>
  <w:style w:type="table" w:styleId="1115" w:customStyle="1">
    <w:name w:val="Grid Table 6 Colorful - Accent 4"/>
    <w:uiPriority w:val="99"/>
    <w:qFormat/>
    <w:tblPr>
      <w:tblCellMar>
        <w:left w:w="0" w:type="dxa"/>
        <w:top w:w="0" w:type="dxa"/>
        <w:right w:w="0" w:type="dxa"/>
        <w:bottom w:w="0" w:type="dxa"/>
      </w:tblCellMar>
    </w:tblPr>
  </w:style>
  <w:style w:type="table" w:styleId="1116" w:customStyle="1">
    <w:name w:val="Grid Table 6 Colorful - Accent 5"/>
    <w:uiPriority w:val="99"/>
    <w:qFormat/>
    <w:tblPr>
      <w:tblCellMar>
        <w:left w:w="0" w:type="dxa"/>
        <w:top w:w="0" w:type="dxa"/>
        <w:right w:w="0" w:type="dxa"/>
        <w:bottom w:w="0" w:type="dxa"/>
      </w:tblCellMar>
    </w:tblPr>
  </w:style>
  <w:style w:type="table" w:styleId="1117" w:customStyle="1">
    <w:name w:val="Grid Table 6 Colorful - Accent 6"/>
    <w:uiPriority w:val="99"/>
    <w:qFormat/>
    <w:tblPr>
      <w:tblCellMar>
        <w:left w:w="0" w:type="dxa"/>
        <w:top w:w="0" w:type="dxa"/>
        <w:right w:w="0" w:type="dxa"/>
        <w:bottom w:w="0" w:type="dxa"/>
      </w:tblCellMar>
    </w:tblPr>
  </w:style>
  <w:style w:type="table" w:styleId="1118" w:customStyle="1">
    <w:name w:val="网格表 7 彩色1"/>
    <w:uiPriority w:val="99"/>
    <w:qFormat/>
    <w:tblPr>
      <w:tblCellMar>
        <w:left w:w="0" w:type="dxa"/>
        <w:top w:w="0" w:type="dxa"/>
        <w:right w:w="0" w:type="dxa"/>
        <w:bottom w:w="0" w:type="dxa"/>
      </w:tblCellMar>
    </w:tblPr>
  </w:style>
  <w:style w:type="table" w:styleId="1119" w:customStyle="1">
    <w:name w:val="Grid Table 7 Colorful - Accent 1"/>
    <w:uiPriority w:val="99"/>
    <w:qFormat/>
    <w:tblPr>
      <w:tblCellMar>
        <w:left w:w="0" w:type="dxa"/>
        <w:top w:w="0" w:type="dxa"/>
        <w:right w:w="0" w:type="dxa"/>
        <w:bottom w:w="0" w:type="dxa"/>
      </w:tblCellMar>
    </w:tblPr>
  </w:style>
  <w:style w:type="table" w:styleId="1120" w:customStyle="1">
    <w:name w:val="Grid Table 7 Colorful - Accent 2"/>
    <w:uiPriority w:val="99"/>
    <w:qFormat/>
    <w:tblPr>
      <w:tblCellMar>
        <w:left w:w="0" w:type="dxa"/>
        <w:top w:w="0" w:type="dxa"/>
        <w:right w:w="0" w:type="dxa"/>
        <w:bottom w:w="0" w:type="dxa"/>
      </w:tblCellMar>
    </w:tblPr>
  </w:style>
  <w:style w:type="table" w:styleId="1121" w:customStyle="1">
    <w:name w:val="Grid Table 7 Colorful - Accent 3"/>
    <w:uiPriority w:val="99"/>
    <w:qFormat/>
    <w:tblPr>
      <w:tblCellMar>
        <w:left w:w="0" w:type="dxa"/>
        <w:top w:w="0" w:type="dxa"/>
        <w:right w:w="0" w:type="dxa"/>
        <w:bottom w:w="0" w:type="dxa"/>
      </w:tblCellMar>
    </w:tblPr>
  </w:style>
  <w:style w:type="table" w:styleId="1122" w:customStyle="1">
    <w:name w:val="Grid Table 7 Colorful - Accent 4"/>
    <w:uiPriority w:val="99"/>
    <w:qFormat/>
    <w:tblPr>
      <w:tblCellMar>
        <w:left w:w="0" w:type="dxa"/>
        <w:top w:w="0" w:type="dxa"/>
        <w:right w:w="0" w:type="dxa"/>
        <w:bottom w:w="0" w:type="dxa"/>
      </w:tblCellMar>
    </w:tblPr>
  </w:style>
  <w:style w:type="table" w:styleId="1123" w:customStyle="1">
    <w:name w:val="Grid Table 7 Colorful - Accent 5"/>
    <w:uiPriority w:val="99"/>
    <w:qFormat/>
    <w:tblPr>
      <w:tblCellMar>
        <w:left w:w="0" w:type="dxa"/>
        <w:top w:w="0" w:type="dxa"/>
        <w:right w:w="0" w:type="dxa"/>
        <w:bottom w:w="0" w:type="dxa"/>
      </w:tblCellMar>
    </w:tblPr>
  </w:style>
  <w:style w:type="table" w:styleId="1124" w:customStyle="1">
    <w:name w:val="Grid Table 7 Colorful - Accent 6"/>
    <w:uiPriority w:val="99"/>
    <w:qFormat/>
    <w:tblPr>
      <w:tblCellMar>
        <w:left w:w="0" w:type="dxa"/>
        <w:top w:w="0" w:type="dxa"/>
        <w:right w:w="0" w:type="dxa"/>
        <w:bottom w:w="0" w:type="dxa"/>
      </w:tblCellMar>
    </w:tblPr>
  </w:style>
  <w:style w:type="table" w:styleId="1125" w:customStyle="1">
    <w:name w:val="清单表 1 浅色1"/>
    <w:uiPriority w:val="99"/>
    <w:qFormat/>
    <w:tblPr>
      <w:tblCellMar>
        <w:left w:w="0" w:type="dxa"/>
        <w:top w:w="0" w:type="dxa"/>
        <w:right w:w="0" w:type="dxa"/>
        <w:bottom w:w="0" w:type="dxa"/>
      </w:tblCellMar>
    </w:tblPr>
  </w:style>
  <w:style w:type="table" w:styleId="1126" w:customStyle="1">
    <w:name w:val="List Table 1 Light - Accent 1"/>
    <w:uiPriority w:val="99"/>
    <w:qFormat/>
    <w:tblPr>
      <w:tblCellMar>
        <w:left w:w="0" w:type="dxa"/>
        <w:top w:w="0" w:type="dxa"/>
        <w:right w:w="0" w:type="dxa"/>
        <w:bottom w:w="0" w:type="dxa"/>
      </w:tblCellMar>
    </w:tblPr>
  </w:style>
  <w:style w:type="table" w:styleId="1127" w:customStyle="1">
    <w:name w:val="List Table 1 Light - Accent 2"/>
    <w:uiPriority w:val="99"/>
    <w:qFormat/>
    <w:tblPr>
      <w:tblCellMar>
        <w:left w:w="0" w:type="dxa"/>
        <w:top w:w="0" w:type="dxa"/>
        <w:right w:w="0" w:type="dxa"/>
        <w:bottom w:w="0" w:type="dxa"/>
      </w:tblCellMar>
    </w:tblPr>
  </w:style>
  <w:style w:type="table" w:styleId="1128" w:customStyle="1">
    <w:name w:val="List Table 1 Light - Accent 3"/>
    <w:uiPriority w:val="99"/>
    <w:qFormat/>
    <w:tblPr>
      <w:tblCellMar>
        <w:left w:w="0" w:type="dxa"/>
        <w:top w:w="0" w:type="dxa"/>
        <w:right w:w="0" w:type="dxa"/>
        <w:bottom w:w="0" w:type="dxa"/>
      </w:tblCellMar>
    </w:tblPr>
  </w:style>
  <w:style w:type="table" w:styleId="1129" w:customStyle="1">
    <w:name w:val="List Table 1 Light - Accent 4"/>
    <w:uiPriority w:val="99"/>
    <w:qFormat/>
    <w:tblPr>
      <w:tblCellMar>
        <w:left w:w="0" w:type="dxa"/>
        <w:top w:w="0" w:type="dxa"/>
        <w:right w:w="0" w:type="dxa"/>
        <w:bottom w:w="0" w:type="dxa"/>
      </w:tblCellMar>
    </w:tblPr>
  </w:style>
  <w:style w:type="table" w:styleId="1130" w:customStyle="1">
    <w:name w:val="List Table 1 Light - Accent 5"/>
    <w:uiPriority w:val="99"/>
    <w:qFormat/>
    <w:tblPr>
      <w:tblCellMar>
        <w:left w:w="0" w:type="dxa"/>
        <w:top w:w="0" w:type="dxa"/>
        <w:right w:w="0" w:type="dxa"/>
        <w:bottom w:w="0" w:type="dxa"/>
      </w:tblCellMar>
    </w:tblPr>
  </w:style>
  <w:style w:type="table" w:styleId="1131" w:customStyle="1">
    <w:name w:val="List Table 1 Light - Accent 6"/>
    <w:uiPriority w:val="99"/>
    <w:qFormat/>
    <w:tblPr>
      <w:tblCellMar>
        <w:left w:w="0" w:type="dxa"/>
        <w:top w:w="0" w:type="dxa"/>
        <w:right w:w="0" w:type="dxa"/>
        <w:bottom w:w="0" w:type="dxa"/>
      </w:tblCellMar>
    </w:tblPr>
  </w:style>
  <w:style w:type="table" w:styleId="1132" w:customStyle="1">
    <w:name w:val="清单表 21"/>
    <w:uiPriority w:val="99"/>
    <w:qFormat/>
    <w:tblPr>
      <w:tblCellMar>
        <w:left w:w="0" w:type="dxa"/>
        <w:top w:w="0" w:type="dxa"/>
        <w:right w:w="0" w:type="dxa"/>
        <w:bottom w:w="0" w:type="dxa"/>
      </w:tblCellMar>
    </w:tblPr>
  </w:style>
  <w:style w:type="table" w:styleId="1133" w:customStyle="1">
    <w:name w:val="List Table 2 - Accent 1"/>
    <w:uiPriority w:val="99"/>
    <w:qFormat/>
    <w:tblPr>
      <w:tblCellMar>
        <w:left w:w="0" w:type="dxa"/>
        <w:top w:w="0" w:type="dxa"/>
        <w:right w:w="0" w:type="dxa"/>
        <w:bottom w:w="0" w:type="dxa"/>
      </w:tblCellMar>
    </w:tblPr>
  </w:style>
  <w:style w:type="table" w:styleId="1134" w:customStyle="1">
    <w:name w:val="List Table 2 - Accent 2"/>
    <w:uiPriority w:val="99"/>
    <w:qFormat/>
    <w:tblPr>
      <w:tblCellMar>
        <w:left w:w="0" w:type="dxa"/>
        <w:top w:w="0" w:type="dxa"/>
        <w:right w:w="0" w:type="dxa"/>
        <w:bottom w:w="0" w:type="dxa"/>
      </w:tblCellMar>
    </w:tblPr>
  </w:style>
  <w:style w:type="table" w:styleId="1135" w:customStyle="1">
    <w:name w:val="List Table 2 - Accent 3"/>
    <w:uiPriority w:val="99"/>
    <w:qFormat/>
    <w:tblPr>
      <w:tblCellMar>
        <w:left w:w="0" w:type="dxa"/>
        <w:top w:w="0" w:type="dxa"/>
        <w:right w:w="0" w:type="dxa"/>
        <w:bottom w:w="0" w:type="dxa"/>
      </w:tblCellMar>
    </w:tblPr>
  </w:style>
  <w:style w:type="table" w:styleId="1136" w:customStyle="1">
    <w:name w:val="List Table 2 - Accent 4"/>
    <w:uiPriority w:val="99"/>
    <w:qFormat/>
    <w:tblPr>
      <w:tblCellMar>
        <w:left w:w="0" w:type="dxa"/>
        <w:top w:w="0" w:type="dxa"/>
        <w:right w:w="0" w:type="dxa"/>
        <w:bottom w:w="0" w:type="dxa"/>
      </w:tblCellMar>
    </w:tblPr>
  </w:style>
  <w:style w:type="table" w:styleId="1137" w:customStyle="1">
    <w:name w:val="List Table 2 - Accent 5"/>
    <w:uiPriority w:val="99"/>
    <w:qFormat/>
    <w:tblPr>
      <w:tblCellMar>
        <w:left w:w="0" w:type="dxa"/>
        <w:top w:w="0" w:type="dxa"/>
        <w:right w:w="0" w:type="dxa"/>
        <w:bottom w:w="0" w:type="dxa"/>
      </w:tblCellMar>
    </w:tblPr>
  </w:style>
  <w:style w:type="table" w:styleId="1138" w:customStyle="1">
    <w:name w:val="List Table 2 - Accent 6"/>
    <w:uiPriority w:val="99"/>
    <w:qFormat/>
    <w:tblPr>
      <w:tblCellMar>
        <w:left w:w="0" w:type="dxa"/>
        <w:top w:w="0" w:type="dxa"/>
        <w:right w:w="0" w:type="dxa"/>
        <w:bottom w:w="0" w:type="dxa"/>
      </w:tblCellMar>
    </w:tblPr>
  </w:style>
  <w:style w:type="table" w:styleId="1139" w:customStyle="1">
    <w:name w:val="清单表 31"/>
    <w:uiPriority w:val="99"/>
    <w:qFormat/>
    <w:tblPr>
      <w:tblCellMar>
        <w:left w:w="0" w:type="dxa"/>
        <w:top w:w="0" w:type="dxa"/>
        <w:right w:w="0" w:type="dxa"/>
        <w:bottom w:w="0" w:type="dxa"/>
      </w:tblCellMar>
    </w:tblPr>
  </w:style>
  <w:style w:type="table" w:styleId="1140" w:customStyle="1">
    <w:name w:val="List Table 3 - Accent 1"/>
    <w:uiPriority w:val="99"/>
    <w:qFormat/>
    <w:tblPr>
      <w:tblCellMar>
        <w:left w:w="0" w:type="dxa"/>
        <w:top w:w="0" w:type="dxa"/>
        <w:right w:w="0" w:type="dxa"/>
        <w:bottom w:w="0" w:type="dxa"/>
      </w:tblCellMar>
    </w:tblPr>
  </w:style>
  <w:style w:type="table" w:styleId="1141" w:customStyle="1">
    <w:name w:val="List Table 3 - Accent 2"/>
    <w:uiPriority w:val="99"/>
    <w:qFormat/>
    <w:tblPr>
      <w:tblCellMar>
        <w:left w:w="0" w:type="dxa"/>
        <w:top w:w="0" w:type="dxa"/>
        <w:right w:w="0" w:type="dxa"/>
        <w:bottom w:w="0" w:type="dxa"/>
      </w:tblCellMar>
    </w:tblPr>
  </w:style>
  <w:style w:type="table" w:styleId="1142" w:customStyle="1">
    <w:name w:val="List Table 3 - Accent 3"/>
    <w:uiPriority w:val="99"/>
    <w:qFormat/>
    <w:tblPr>
      <w:tblCellMar>
        <w:left w:w="0" w:type="dxa"/>
        <w:top w:w="0" w:type="dxa"/>
        <w:right w:w="0" w:type="dxa"/>
        <w:bottom w:w="0" w:type="dxa"/>
      </w:tblCellMar>
    </w:tblPr>
  </w:style>
  <w:style w:type="table" w:styleId="1143" w:customStyle="1">
    <w:name w:val="List Table 3 - Accent 4"/>
    <w:uiPriority w:val="99"/>
    <w:qFormat/>
    <w:tblPr>
      <w:tblCellMar>
        <w:left w:w="0" w:type="dxa"/>
        <w:top w:w="0" w:type="dxa"/>
        <w:right w:w="0" w:type="dxa"/>
        <w:bottom w:w="0" w:type="dxa"/>
      </w:tblCellMar>
    </w:tblPr>
  </w:style>
  <w:style w:type="table" w:styleId="1144" w:customStyle="1">
    <w:name w:val="List Table 3 - Accent 5"/>
    <w:uiPriority w:val="99"/>
    <w:qFormat/>
    <w:tblPr>
      <w:tblCellMar>
        <w:left w:w="0" w:type="dxa"/>
        <w:top w:w="0" w:type="dxa"/>
        <w:right w:w="0" w:type="dxa"/>
        <w:bottom w:w="0" w:type="dxa"/>
      </w:tblCellMar>
    </w:tblPr>
  </w:style>
  <w:style w:type="table" w:styleId="1145" w:customStyle="1">
    <w:name w:val="List Table 3 - Accent 6"/>
    <w:uiPriority w:val="99"/>
    <w:qFormat/>
    <w:tblPr>
      <w:tblCellMar>
        <w:left w:w="0" w:type="dxa"/>
        <w:top w:w="0" w:type="dxa"/>
        <w:right w:w="0" w:type="dxa"/>
        <w:bottom w:w="0" w:type="dxa"/>
      </w:tblCellMar>
    </w:tblPr>
  </w:style>
  <w:style w:type="table" w:styleId="1146" w:customStyle="1">
    <w:name w:val="清单表 41"/>
    <w:uiPriority w:val="99"/>
    <w:qFormat/>
    <w:tblPr>
      <w:tblCellMar>
        <w:left w:w="0" w:type="dxa"/>
        <w:top w:w="0" w:type="dxa"/>
        <w:right w:w="0" w:type="dxa"/>
        <w:bottom w:w="0" w:type="dxa"/>
      </w:tblCellMar>
    </w:tblPr>
  </w:style>
  <w:style w:type="table" w:styleId="1147" w:customStyle="1">
    <w:name w:val="List Table 4 - Accent 1"/>
    <w:uiPriority w:val="99"/>
    <w:qFormat/>
    <w:tblPr>
      <w:tblCellMar>
        <w:left w:w="0" w:type="dxa"/>
        <w:top w:w="0" w:type="dxa"/>
        <w:right w:w="0" w:type="dxa"/>
        <w:bottom w:w="0" w:type="dxa"/>
      </w:tblCellMar>
    </w:tblPr>
  </w:style>
  <w:style w:type="table" w:styleId="1148" w:customStyle="1">
    <w:name w:val="List Table 4 - Accent 2"/>
    <w:uiPriority w:val="99"/>
    <w:qFormat/>
    <w:tblPr>
      <w:tblCellMar>
        <w:left w:w="0" w:type="dxa"/>
        <w:top w:w="0" w:type="dxa"/>
        <w:right w:w="0" w:type="dxa"/>
        <w:bottom w:w="0" w:type="dxa"/>
      </w:tblCellMar>
    </w:tblPr>
  </w:style>
  <w:style w:type="table" w:styleId="1149" w:customStyle="1">
    <w:name w:val="List Table 4 - Accent 3"/>
    <w:uiPriority w:val="99"/>
    <w:qFormat/>
    <w:tblPr>
      <w:tblCellMar>
        <w:left w:w="0" w:type="dxa"/>
        <w:top w:w="0" w:type="dxa"/>
        <w:right w:w="0" w:type="dxa"/>
        <w:bottom w:w="0" w:type="dxa"/>
      </w:tblCellMar>
    </w:tblPr>
  </w:style>
  <w:style w:type="table" w:styleId="1150" w:customStyle="1">
    <w:name w:val="List Table 4 - Accent 4"/>
    <w:uiPriority w:val="99"/>
    <w:qFormat/>
    <w:tblPr>
      <w:tblCellMar>
        <w:left w:w="0" w:type="dxa"/>
        <w:top w:w="0" w:type="dxa"/>
        <w:right w:w="0" w:type="dxa"/>
        <w:bottom w:w="0" w:type="dxa"/>
      </w:tblCellMar>
    </w:tblPr>
  </w:style>
  <w:style w:type="table" w:styleId="1151" w:customStyle="1">
    <w:name w:val="List Table 4 - Accent 5"/>
    <w:uiPriority w:val="99"/>
    <w:qFormat/>
    <w:tblPr>
      <w:tblCellMar>
        <w:left w:w="0" w:type="dxa"/>
        <w:top w:w="0" w:type="dxa"/>
        <w:right w:w="0" w:type="dxa"/>
        <w:bottom w:w="0" w:type="dxa"/>
      </w:tblCellMar>
    </w:tblPr>
  </w:style>
  <w:style w:type="table" w:styleId="1152" w:customStyle="1">
    <w:name w:val="List Table 4 - Accent 6"/>
    <w:uiPriority w:val="99"/>
    <w:qFormat/>
    <w:tblPr>
      <w:tblCellMar>
        <w:left w:w="0" w:type="dxa"/>
        <w:top w:w="0" w:type="dxa"/>
        <w:right w:w="0" w:type="dxa"/>
        <w:bottom w:w="0" w:type="dxa"/>
      </w:tblCellMar>
    </w:tblPr>
  </w:style>
  <w:style w:type="table" w:styleId="1153" w:customStyle="1">
    <w:name w:val="清单表 5 深色1"/>
    <w:uiPriority w:val="99"/>
    <w:qFormat/>
    <w:tblPr>
      <w:tblCellMar>
        <w:left w:w="0" w:type="dxa"/>
        <w:top w:w="0" w:type="dxa"/>
        <w:right w:w="0" w:type="dxa"/>
        <w:bottom w:w="0" w:type="dxa"/>
      </w:tblCellMar>
    </w:tblPr>
  </w:style>
  <w:style w:type="table" w:styleId="1154" w:customStyle="1">
    <w:name w:val="List Table 5 Dark - Accent 1"/>
    <w:uiPriority w:val="99"/>
    <w:qFormat/>
    <w:tblPr>
      <w:tblCellMar>
        <w:left w:w="0" w:type="dxa"/>
        <w:top w:w="0" w:type="dxa"/>
        <w:right w:w="0" w:type="dxa"/>
        <w:bottom w:w="0" w:type="dxa"/>
      </w:tblCellMar>
    </w:tblPr>
  </w:style>
  <w:style w:type="table" w:styleId="1155" w:customStyle="1">
    <w:name w:val="List Table 5 Dark - Accent 2"/>
    <w:uiPriority w:val="99"/>
    <w:qFormat/>
    <w:tblPr>
      <w:tblCellMar>
        <w:left w:w="0" w:type="dxa"/>
        <w:top w:w="0" w:type="dxa"/>
        <w:right w:w="0" w:type="dxa"/>
        <w:bottom w:w="0" w:type="dxa"/>
      </w:tblCellMar>
    </w:tblPr>
  </w:style>
  <w:style w:type="table" w:styleId="1156" w:customStyle="1">
    <w:name w:val="List Table 5 Dark - Accent 3"/>
    <w:uiPriority w:val="99"/>
    <w:qFormat/>
    <w:tblPr>
      <w:tblCellMar>
        <w:left w:w="0" w:type="dxa"/>
        <w:top w:w="0" w:type="dxa"/>
        <w:right w:w="0" w:type="dxa"/>
        <w:bottom w:w="0" w:type="dxa"/>
      </w:tblCellMar>
    </w:tblPr>
  </w:style>
  <w:style w:type="table" w:styleId="1157" w:customStyle="1">
    <w:name w:val="List Table 5 Dark - Accent 4"/>
    <w:uiPriority w:val="99"/>
    <w:qFormat/>
    <w:tblPr>
      <w:tblCellMar>
        <w:left w:w="0" w:type="dxa"/>
        <w:top w:w="0" w:type="dxa"/>
        <w:right w:w="0" w:type="dxa"/>
        <w:bottom w:w="0" w:type="dxa"/>
      </w:tblCellMar>
    </w:tblPr>
  </w:style>
  <w:style w:type="table" w:styleId="1158" w:customStyle="1">
    <w:name w:val="List Table 5 Dark - Accent 5"/>
    <w:uiPriority w:val="99"/>
    <w:qFormat/>
    <w:tblPr>
      <w:tblCellMar>
        <w:left w:w="0" w:type="dxa"/>
        <w:top w:w="0" w:type="dxa"/>
        <w:right w:w="0" w:type="dxa"/>
        <w:bottom w:w="0" w:type="dxa"/>
      </w:tblCellMar>
    </w:tblPr>
  </w:style>
  <w:style w:type="table" w:styleId="1159" w:customStyle="1">
    <w:name w:val="List Table 5 Dark - Accent 6"/>
    <w:uiPriority w:val="99"/>
    <w:qFormat/>
    <w:tblPr>
      <w:tblCellMar>
        <w:left w:w="0" w:type="dxa"/>
        <w:top w:w="0" w:type="dxa"/>
        <w:right w:w="0" w:type="dxa"/>
        <w:bottom w:w="0" w:type="dxa"/>
      </w:tblCellMar>
    </w:tblPr>
  </w:style>
  <w:style w:type="table" w:styleId="1160" w:customStyle="1">
    <w:name w:val="清单表 6 彩色1"/>
    <w:uiPriority w:val="99"/>
    <w:qFormat/>
    <w:tblPr>
      <w:tblCellMar>
        <w:left w:w="0" w:type="dxa"/>
        <w:top w:w="0" w:type="dxa"/>
        <w:right w:w="0" w:type="dxa"/>
        <w:bottom w:w="0" w:type="dxa"/>
      </w:tblCellMar>
    </w:tblPr>
  </w:style>
  <w:style w:type="table" w:styleId="1161" w:customStyle="1">
    <w:name w:val="List Table 6 Colorful - Accent 1"/>
    <w:uiPriority w:val="99"/>
    <w:qFormat/>
    <w:tblPr>
      <w:tblCellMar>
        <w:left w:w="0" w:type="dxa"/>
        <w:top w:w="0" w:type="dxa"/>
        <w:right w:w="0" w:type="dxa"/>
        <w:bottom w:w="0" w:type="dxa"/>
      </w:tblCellMar>
    </w:tblPr>
  </w:style>
  <w:style w:type="table" w:styleId="1162" w:customStyle="1">
    <w:name w:val="List Table 6 Colorful - Accent 2"/>
    <w:uiPriority w:val="99"/>
    <w:qFormat/>
    <w:tblPr>
      <w:tblCellMar>
        <w:left w:w="0" w:type="dxa"/>
        <w:top w:w="0" w:type="dxa"/>
        <w:right w:w="0" w:type="dxa"/>
        <w:bottom w:w="0" w:type="dxa"/>
      </w:tblCellMar>
    </w:tblPr>
  </w:style>
  <w:style w:type="table" w:styleId="1163" w:customStyle="1">
    <w:name w:val="List Table 6 Colorful - Accent 3"/>
    <w:uiPriority w:val="99"/>
    <w:qFormat/>
    <w:tblPr>
      <w:tblCellMar>
        <w:left w:w="0" w:type="dxa"/>
        <w:top w:w="0" w:type="dxa"/>
        <w:right w:w="0" w:type="dxa"/>
        <w:bottom w:w="0" w:type="dxa"/>
      </w:tblCellMar>
    </w:tblPr>
  </w:style>
  <w:style w:type="table" w:styleId="1164" w:customStyle="1">
    <w:name w:val="List Table 6 Colorful - Accent 4"/>
    <w:uiPriority w:val="99"/>
    <w:qFormat/>
    <w:tblPr>
      <w:tblCellMar>
        <w:left w:w="0" w:type="dxa"/>
        <w:top w:w="0" w:type="dxa"/>
        <w:right w:w="0" w:type="dxa"/>
        <w:bottom w:w="0" w:type="dxa"/>
      </w:tblCellMar>
    </w:tblPr>
  </w:style>
  <w:style w:type="table" w:styleId="1165" w:customStyle="1">
    <w:name w:val="List Table 6 Colorful - Accent 5"/>
    <w:uiPriority w:val="99"/>
    <w:qFormat/>
    <w:tblPr>
      <w:tblCellMar>
        <w:left w:w="0" w:type="dxa"/>
        <w:top w:w="0" w:type="dxa"/>
        <w:right w:w="0" w:type="dxa"/>
        <w:bottom w:w="0" w:type="dxa"/>
      </w:tblCellMar>
    </w:tblPr>
  </w:style>
  <w:style w:type="table" w:styleId="1166" w:customStyle="1">
    <w:name w:val="List Table 6 Colorful - Accent 6"/>
    <w:uiPriority w:val="99"/>
    <w:qFormat/>
    <w:tblPr>
      <w:tblCellMar>
        <w:left w:w="0" w:type="dxa"/>
        <w:top w:w="0" w:type="dxa"/>
        <w:right w:w="0" w:type="dxa"/>
        <w:bottom w:w="0" w:type="dxa"/>
      </w:tblCellMar>
    </w:tblPr>
  </w:style>
  <w:style w:type="table" w:styleId="1167" w:customStyle="1">
    <w:name w:val="清单表 7 彩色1"/>
    <w:uiPriority w:val="99"/>
    <w:qFormat/>
    <w:tblPr>
      <w:tblCellMar>
        <w:left w:w="0" w:type="dxa"/>
        <w:top w:w="0" w:type="dxa"/>
        <w:right w:w="0" w:type="dxa"/>
        <w:bottom w:w="0" w:type="dxa"/>
      </w:tblCellMar>
    </w:tblPr>
  </w:style>
  <w:style w:type="table" w:styleId="1168" w:customStyle="1">
    <w:name w:val="List Table 7 Colorful - Accent 1"/>
    <w:uiPriority w:val="99"/>
    <w:qFormat/>
    <w:tblPr>
      <w:tblCellMar>
        <w:left w:w="0" w:type="dxa"/>
        <w:top w:w="0" w:type="dxa"/>
        <w:right w:w="0" w:type="dxa"/>
        <w:bottom w:w="0" w:type="dxa"/>
      </w:tblCellMar>
    </w:tblPr>
  </w:style>
  <w:style w:type="table" w:styleId="1169" w:customStyle="1">
    <w:name w:val="List Table 7 Colorful - Accent 2"/>
    <w:uiPriority w:val="99"/>
    <w:qFormat/>
    <w:tblPr>
      <w:tblCellMar>
        <w:left w:w="0" w:type="dxa"/>
        <w:top w:w="0" w:type="dxa"/>
        <w:right w:w="0" w:type="dxa"/>
        <w:bottom w:w="0" w:type="dxa"/>
      </w:tblCellMar>
    </w:tblPr>
  </w:style>
  <w:style w:type="table" w:styleId="1170" w:customStyle="1">
    <w:name w:val="List Table 7 Colorful - Accent 3"/>
    <w:uiPriority w:val="99"/>
    <w:qFormat/>
    <w:tblPr>
      <w:tblCellMar>
        <w:left w:w="0" w:type="dxa"/>
        <w:top w:w="0" w:type="dxa"/>
        <w:right w:w="0" w:type="dxa"/>
        <w:bottom w:w="0" w:type="dxa"/>
      </w:tblCellMar>
    </w:tblPr>
  </w:style>
  <w:style w:type="table" w:styleId="1171" w:customStyle="1">
    <w:name w:val="List Table 7 Colorful - Accent 4"/>
    <w:uiPriority w:val="99"/>
    <w:qFormat/>
    <w:tblPr>
      <w:tblCellMar>
        <w:left w:w="0" w:type="dxa"/>
        <w:top w:w="0" w:type="dxa"/>
        <w:right w:w="0" w:type="dxa"/>
        <w:bottom w:w="0" w:type="dxa"/>
      </w:tblCellMar>
    </w:tblPr>
  </w:style>
  <w:style w:type="table" w:styleId="1172" w:customStyle="1">
    <w:name w:val="List Table 7 Colorful - Accent 5"/>
    <w:uiPriority w:val="99"/>
    <w:qFormat/>
    <w:tblPr>
      <w:tblCellMar>
        <w:left w:w="0" w:type="dxa"/>
        <w:top w:w="0" w:type="dxa"/>
        <w:right w:w="0" w:type="dxa"/>
        <w:bottom w:w="0" w:type="dxa"/>
      </w:tblCellMar>
    </w:tblPr>
  </w:style>
  <w:style w:type="table" w:styleId="1173" w:customStyle="1">
    <w:name w:val="List Table 7 Colorful - Accent 6"/>
    <w:uiPriority w:val="99"/>
    <w:qFormat/>
    <w:tblPr>
      <w:tblCellMar>
        <w:left w:w="0" w:type="dxa"/>
        <w:top w:w="0" w:type="dxa"/>
        <w:right w:w="0" w:type="dxa"/>
        <w:bottom w:w="0" w:type="dxa"/>
      </w:tblCellMar>
    </w:tblPr>
  </w:style>
  <w:style w:type="table" w:styleId="1174" w:customStyle="1">
    <w:name w:val="Lined - Accent"/>
    <w:uiPriority w:val="99"/>
    <w:qFormat/>
    <w:rPr>
      <w:color w:val="404040"/>
    </w:rPr>
    <w:tblPr>
      <w:tblCellMar>
        <w:left w:w="0" w:type="dxa"/>
        <w:top w:w="0" w:type="dxa"/>
        <w:right w:w="0" w:type="dxa"/>
        <w:bottom w:w="0" w:type="dxa"/>
      </w:tblCellMar>
    </w:tblPr>
  </w:style>
  <w:style w:type="table" w:styleId="1175" w:customStyle="1">
    <w:name w:val="Lined - Accent 1"/>
    <w:uiPriority w:val="99"/>
    <w:qFormat/>
    <w:rPr>
      <w:color w:val="404040"/>
    </w:rPr>
    <w:tblPr>
      <w:tblCellMar>
        <w:left w:w="0" w:type="dxa"/>
        <w:top w:w="0" w:type="dxa"/>
        <w:right w:w="0" w:type="dxa"/>
        <w:bottom w:w="0" w:type="dxa"/>
      </w:tblCellMar>
    </w:tblPr>
  </w:style>
  <w:style w:type="table" w:styleId="1176" w:customStyle="1">
    <w:name w:val="Lined - Accent 2"/>
    <w:uiPriority w:val="99"/>
    <w:qFormat/>
    <w:rPr>
      <w:color w:val="404040"/>
    </w:rPr>
    <w:tblPr>
      <w:tblCellMar>
        <w:left w:w="0" w:type="dxa"/>
        <w:top w:w="0" w:type="dxa"/>
        <w:right w:w="0" w:type="dxa"/>
        <w:bottom w:w="0" w:type="dxa"/>
      </w:tblCellMar>
    </w:tblPr>
  </w:style>
  <w:style w:type="table" w:styleId="1177" w:customStyle="1">
    <w:name w:val="Lined - Accent 3"/>
    <w:uiPriority w:val="99"/>
    <w:qFormat/>
    <w:rPr>
      <w:color w:val="404040"/>
    </w:rPr>
    <w:tblPr>
      <w:tblCellMar>
        <w:left w:w="0" w:type="dxa"/>
        <w:top w:w="0" w:type="dxa"/>
        <w:right w:w="0" w:type="dxa"/>
        <w:bottom w:w="0" w:type="dxa"/>
      </w:tblCellMar>
    </w:tblPr>
  </w:style>
  <w:style w:type="table" w:styleId="1178" w:customStyle="1">
    <w:name w:val="Lined - Accent 4"/>
    <w:uiPriority w:val="99"/>
    <w:qFormat/>
    <w:rPr>
      <w:color w:val="404040"/>
    </w:rPr>
    <w:tblPr>
      <w:tblCellMar>
        <w:left w:w="0" w:type="dxa"/>
        <w:top w:w="0" w:type="dxa"/>
        <w:right w:w="0" w:type="dxa"/>
        <w:bottom w:w="0" w:type="dxa"/>
      </w:tblCellMar>
    </w:tblPr>
  </w:style>
  <w:style w:type="table" w:styleId="1179" w:customStyle="1">
    <w:name w:val="Lined - Accent 5"/>
    <w:uiPriority w:val="99"/>
    <w:qFormat/>
    <w:rPr>
      <w:color w:val="404040"/>
    </w:rPr>
    <w:tblPr>
      <w:tblCellMar>
        <w:left w:w="0" w:type="dxa"/>
        <w:top w:w="0" w:type="dxa"/>
        <w:right w:w="0" w:type="dxa"/>
        <w:bottom w:w="0" w:type="dxa"/>
      </w:tblCellMar>
    </w:tblPr>
  </w:style>
  <w:style w:type="table" w:styleId="1180" w:customStyle="1">
    <w:name w:val="Lined - Accent 6"/>
    <w:uiPriority w:val="99"/>
    <w:qFormat/>
    <w:rPr>
      <w:color w:val="404040"/>
    </w:rPr>
    <w:tblPr>
      <w:tblCellMar>
        <w:left w:w="0" w:type="dxa"/>
        <w:top w:w="0" w:type="dxa"/>
        <w:right w:w="0" w:type="dxa"/>
        <w:bottom w:w="0" w:type="dxa"/>
      </w:tblCellMar>
    </w:tblPr>
  </w:style>
  <w:style w:type="table" w:styleId="1181" w:customStyle="1">
    <w:name w:val="Bordered &amp; Lined - Accent"/>
    <w:uiPriority w:val="99"/>
    <w:qFormat/>
    <w:rPr>
      <w:color w:val="404040"/>
    </w:rPr>
    <w:tblPr>
      <w:tblCellMar>
        <w:left w:w="0" w:type="dxa"/>
        <w:top w:w="0" w:type="dxa"/>
        <w:right w:w="0" w:type="dxa"/>
        <w:bottom w:w="0" w:type="dxa"/>
      </w:tblCellMar>
    </w:tblPr>
  </w:style>
  <w:style w:type="table" w:styleId="1182" w:customStyle="1">
    <w:name w:val="Bordered &amp; Lined - Accent 1"/>
    <w:uiPriority w:val="99"/>
    <w:qFormat/>
    <w:rPr>
      <w:color w:val="404040"/>
    </w:rPr>
    <w:tblPr>
      <w:tblCellMar>
        <w:left w:w="0" w:type="dxa"/>
        <w:top w:w="0" w:type="dxa"/>
        <w:right w:w="0" w:type="dxa"/>
        <w:bottom w:w="0" w:type="dxa"/>
      </w:tblCellMar>
    </w:tblPr>
  </w:style>
  <w:style w:type="table" w:styleId="1183" w:customStyle="1">
    <w:name w:val="Bordered &amp; Lined - Accent 2"/>
    <w:uiPriority w:val="99"/>
    <w:qFormat/>
    <w:rPr>
      <w:color w:val="404040"/>
    </w:rPr>
    <w:tblPr>
      <w:tblCellMar>
        <w:left w:w="0" w:type="dxa"/>
        <w:top w:w="0" w:type="dxa"/>
        <w:right w:w="0" w:type="dxa"/>
        <w:bottom w:w="0" w:type="dxa"/>
      </w:tblCellMar>
    </w:tblPr>
  </w:style>
  <w:style w:type="table" w:styleId="1184" w:customStyle="1">
    <w:name w:val="Bordered &amp; Lined - Accent 3"/>
    <w:uiPriority w:val="99"/>
    <w:qFormat/>
    <w:rPr>
      <w:color w:val="404040"/>
    </w:rPr>
    <w:tblPr>
      <w:tblCellMar>
        <w:left w:w="0" w:type="dxa"/>
        <w:top w:w="0" w:type="dxa"/>
        <w:right w:w="0" w:type="dxa"/>
        <w:bottom w:w="0" w:type="dxa"/>
      </w:tblCellMar>
    </w:tblPr>
  </w:style>
  <w:style w:type="table" w:styleId="1185" w:customStyle="1">
    <w:name w:val="Bordered &amp; Lined - Accent 4"/>
    <w:uiPriority w:val="99"/>
    <w:qFormat/>
    <w:rPr>
      <w:color w:val="404040"/>
    </w:rPr>
    <w:tblPr>
      <w:tblCellMar>
        <w:left w:w="0" w:type="dxa"/>
        <w:top w:w="0" w:type="dxa"/>
        <w:right w:w="0" w:type="dxa"/>
        <w:bottom w:w="0" w:type="dxa"/>
      </w:tblCellMar>
    </w:tblPr>
  </w:style>
  <w:style w:type="table" w:styleId="1186" w:customStyle="1">
    <w:name w:val="Bordered &amp; Lined - Accent 5"/>
    <w:uiPriority w:val="99"/>
    <w:qFormat/>
    <w:rPr>
      <w:color w:val="404040"/>
    </w:rPr>
    <w:tblPr>
      <w:tblCellMar>
        <w:left w:w="0" w:type="dxa"/>
        <w:top w:w="0" w:type="dxa"/>
        <w:right w:w="0" w:type="dxa"/>
        <w:bottom w:w="0" w:type="dxa"/>
      </w:tblCellMar>
    </w:tblPr>
  </w:style>
  <w:style w:type="table" w:styleId="1187" w:customStyle="1">
    <w:name w:val="Bordered &amp; Lined - Accent 6"/>
    <w:uiPriority w:val="99"/>
    <w:qFormat/>
    <w:rPr>
      <w:color w:val="404040"/>
    </w:rPr>
    <w:tblPr>
      <w:tblCellMar>
        <w:left w:w="0" w:type="dxa"/>
        <w:top w:w="0" w:type="dxa"/>
        <w:right w:w="0" w:type="dxa"/>
        <w:bottom w:w="0" w:type="dxa"/>
      </w:tblCellMar>
    </w:tblPr>
  </w:style>
  <w:style w:type="table" w:styleId="1188" w:customStyle="1">
    <w:name w:val="Bordered"/>
    <w:uiPriority w:val="99"/>
    <w:qFormat/>
    <w:tblPr>
      <w:tblCellMar>
        <w:left w:w="0" w:type="dxa"/>
        <w:top w:w="0" w:type="dxa"/>
        <w:right w:w="0" w:type="dxa"/>
        <w:bottom w:w="0" w:type="dxa"/>
      </w:tblCellMar>
    </w:tblPr>
  </w:style>
  <w:style w:type="table" w:styleId="1189" w:customStyle="1">
    <w:name w:val="Bordered - Accent 1"/>
    <w:uiPriority w:val="99"/>
    <w:qFormat/>
    <w:tblPr>
      <w:tblCellMar>
        <w:left w:w="0" w:type="dxa"/>
        <w:top w:w="0" w:type="dxa"/>
        <w:right w:w="0" w:type="dxa"/>
        <w:bottom w:w="0" w:type="dxa"/>
      </w:tblCellMar>
    </w:tblPr>
  </w:style>
  <w:style w:type="table" w:styleId="1190" w:customStyle="1">
    <w:name w:val="Bordered - Accent 2"/>
    <w:uiPriority w:val="99"/>
    <w:qFormat/>
    <w:tblPr>
      <w:tblCellMar>
        <w:left w:w="0" w:type="dxa"/>
        <w:top w:w="0" w:type="dxa"/>
        <w:right w:w="0" w:type="dxa"/>
        <w:bottom w:w="0" w:type="dxa"/>
      </w:tblCellMar>
    </w:tblPr>
  </w:style>
  <w:style w:type="table" w:styleId="1191" w:customStyle="1">
    <w:name w:val="Bordered - Accent 3"/>
    <w:uiPriority w:val="99"/>
    <w:qFormat/>
    <w:tblPr>
      <w:tblCellMar>
        <w:left w:w="0" w:type="dxa"/>
        <w:top w:w="0" w:type="dxa"/>
        <w:right w:w="0" w:type="dxa"/>
        <w:bottom w:w="0" w:type="dxa"/>
      </w:tblCellMar>
    </w:tblPr>
  </w:style>
  <w:style w:type="table" w:styleId="1192" w:customStyle="1">
    <w:name w:val="Bordered - Accent 4"/>
    <w:uiPriority w:val="99"/>
    <w:qFormat/>
    <w:tblPr>
      <w:tblCellMar>
        <w:left w:w="0" w:type="dxa"/>
        <w:top w:w="0" w:type="dxa"/>
        <w:right w:w="0" w:type="dxa"/>
        <w:bottom w:w="0" w:type="dxa"/>
      </w:tblCellMar>
    </w:tblPr>
  </w:style>
  <w:style w:type="table" w:styleId="1193" w:customStyle="1">
    <w:name w:val="Bordered - Accent 5"/>
    <w:uiPriority w:val="99"/>
    <w:qFormat/>
    <w:tblPr>
      <w:tblCellMar>
        <w:left w:w="0" w:type="dxa"/>
        <w:top w:w="0" w:type="dxa"/>
        <w:right w:w="0" w:type="dxa"/>
        <w:bottom w:w="0" w:type="dxa"/>
      </w:tblCellMar>
    </w:tblPr>
  </w:style>
  <w:style w:type="table" w:styleId="1194" w:customStyle="1">
    <w:name w:val="Bordered - Accent 6"/>
    <w:uiPriority w:val="99"/>
    <w:qFormat/>
    <w:tblPr>
      <w:tblCellMar>
        <w:left w:w="0" w:type="dxa"/>
        <w:top w:w="0" w:type="dxa"/>
        <w:right w:w="0" w:type="dxa"/>
        <w:bottom w:w="0" w:type="dxa"/>
      </w:tblCellMar>
    </w:tblPr>
  </w:style>
  <w:style w:type="paragraph" w:styleId="1195" w:customStyle="1">
    <w:name w:val="TOC 标题1"/>
    <w:uiPriority w:val="39"/>
    <w:unhideWhenUsed/>
    <w:qFormat/>
    <w:rPr>
      <w:rFonts w:ascii="Times New Roman" w:hAnsi="Times New Roman" w:eastAsia="宋体" w:cs="Times New Roman"/>
      <w:lang w:val="en-US" w:eastAsia="zh-CN" w:bidi="ar-SA"/>
    </w:rPr>
  </w:style>
  <w:style w:type="paragraph" w:styleId="1196" w:customStyle="1">
    <w:name w:val="标题 11"/>
    <w:basedOn w:val="868"/>
    <w:next w:val="868"/>
    <w:link w:val="1197"/>
    <w:uiPriority w:val="0"/>
    <w:qFormat/>
    <w:pPr>
      <w:keepLines/>
      <w:keepNext/>
      <w:spacing w:before="340" w:after="330" w:line="578" w:lineRule="auto"/>
      <w:outlineLvl w:val="0"/>
    </w:pPr>
    <w:rPr>
      <w:rFonts w:ascii="Calibri" w:hAnsi="Calibri" w:eastAsia="方正楷体_GB2312"/>
      <w:b/>
      <w:sz w:val="44"/>
      <w:szCs w:val="20"/>
    </w:rPr>
  </w:style>
  <w:style w:type="character" w:styleId="1197" w:customStyle="1">
    <w:name w:val="标题 1 字符"/>
    <w:link w:val="1196"/>
    <w:uiPriority w:val="0"/>
    <w:qFormat/>
    <w:rPr>
      <w:rFonts w:ascii="Calibri" w:hAnsi="Calibri" w:eastAsia="方正楷体_GB2312" w:cs="Times New Roman"/>
      <w:b/>
      <w:sz w:val="44"/>
    </w:rPr>
  </w:style>
  <w:style w:type="paragraph" w:styleId="1198" w:customStyle="1">
    <w:name w:val="标题 41"/>
    <w:basedOn w:val="868"/>
    <w:next w:val="868"/>
    <w:link w:val="1199"/>
    <w:uiPriority w:val="9"/>
    <w:qFormat/>
    <w:pPr>
      <w:keepLines/>
      <w:keepNext/>
      <w:spacing w:before="280" w:after="290" w:line="376" w:lineRule="auto"/>
      <w:outlineLvl w:val="3"/>
    </w:pPr>
    <w:rPr>
      <w:rFonts w:ascii="Cambria" w:hAnsi="Cambria"/>
      <w:b/>
      <w:bCs/>
      <w:sz w:val="28"/>
      <w:szCs w:val="28"/>
    </w:rPr>
  </w:style>
  <w:style w:type="character" w:styleId="1199" w:customStyle="1">
    <w:name w:val="标题 4 字符"/>
    <w:link w:val="1198"/>
    <w:uiPriority w:val="9"/>
    <w:semiHidden/>
    <w:qFormat/>
    <w:rPr>
      <w:rFonts w:ascii="Cambria" w:hAnsi="Cambria" w:eastAsia="宋体" w:cs="Times New Roman"/>
      <w:b/>
      <w:bCs/>
      <w:sz w:val="28"/>
      <w:szCs w:val="28"/>
    </w:rPr>
  </w:style>
  <w:style w:type="character" w:styleId="1200" w:customStyle="1">
    <w:name w:val="默认段落字体11"/>
    <w:uiPriority w:val="0"/>
    <w:qFormat/>
    <w:rPr>
      <w:rFonts w:ascii="Calibri" w:hAnsi="Calibri" w:eastAsia="宋体" w:cs="Times New Roman"/>
    </w:rPr>
  </w:style>
  <w:style w:type="table" w:styleId="1201" w:customStyle="1">
    <w:name w:val="普通表格1"/>
    <w:uiPriority w:val="0"/>
    <w:qFormat/>
    <w:rPr>
      <w:rFonts w:ascii="Calibri" w:hAnsi="Calibri"/>
    </w:rPr>
    <w:tblPr>
      <w:tblCellMar>
        <w:left w:w="0" w:type="dxa"/>
        <w:top w:w="0" w:type="dxa"/>
        <w:right w:w="0" w:type="dxa"/>
        <w:bottom w:w="0" w:type="dxa"/>
      </w:tblCellMar>
    </w:tblPr>
  </w:style>
  <w:style w:type="paragraph" w:styleId="1202" w:customStyle="1">
    <w:name w:val="正文缩进12"/>
    <w:basedOn w:val="868"/>
    <w:next w:val="868"/>
    <w:link w:val="1203"/>
    <w:uiPriority w:val="0"/>
    <w:qFormat/>
    <w:pPr>
      <w:ind w:firstLine="420"/>
      <w:jc w:val="left"/>
      <w:widowControl/>
    </w:pPr>
    <w:rPr>
      <w:rFonts w:ascii="Calibri" w:hAnsi="Calibri" w:eastAsia="方正楷体_GB2312"/>
      <w:sz w:val="24"/>
      <w:szCs w:val="20"/>
    </w:rPr>
  </w:style>
  <w:style w:type="character" w:styleId="1203" w:customStyle="1">
    <w:name w:val="正文缩进 字符"/>
    <w:link w:val="1202"/>
    <w:uiPriority w:val="0"/>
    <w:qFormat/>
    <w:rPr>
      <w:rFonts w:ascii="Calibri" w:hAnsi="Calibri" w:eastAsia="方正楷体_GB2312" w:cs="Times New Roman"/>
      <w:sz w:val="24"/>
    </w:rPr>
  </w:style>
  <w:style w:type="paragraph" w:styleId="1204" w:customStyle="1">
    <w:name w:val="文档结构图1"/>
    <w:basedOn w:val="868"/>
    <w:link w:val="1205"/>
    <w:uiPriority w:val="99"/>
    <w:unhideWhenUsed/>
    <w:qFormat/>
    <w:rPr>
      <w:rFonts w:ascii="宋体"/>
      <w:sz w:val="18"/>
      <w:szCs w:val="18"/>
    </w:rPr>
  </w:style>
  <w:style w:type="character" w:styleId="1205" w:customStyle="1">
    <w:name w:val="文档结构图 字符"/>
    <w:link w:val="1204"/>
    <w:uiPriority w:val="99"/>
    <w:semiHidden/>
    <w:qFormat/>
    <w:rPr>
      <w:rFonts w:ascii="宋体" w:hAnsi="Times New Roman" w:eastAsia="宋体" w:cs="Times New Roman"/>
      <w:sz w:val="18"/>
      <w:szCs w:val="18"/>
    </w:rPr>
  </w:style>
  <w:style w:type="paragraph" w:styleId="1206" w:customStyle="1">
    <w:name w:val="批注文字1"/>
    <w:basedOn w:val="868"/>
    <w:link w:val="1207"/>
    <w:uiPriority w:val="0"/>
    <w:qFormat/>
    <w:pPr>
      <w:jc w:val="left"/>
    </w:pPr>
  </w:style>
  <w:style w:type="character" w:styleId="1207" w:customStyle="1">
    <w:name w:val="批注文字 字符"/>
    <w:link w:val="1206"/>
    <w:uiPriority w:val="0"/>
    <w:qFormat/>
    <w:rPr>
      <w:rFonts w:ascii="Times New Roman" w:hAnsi="Times New Roman" w:eastAsia="宋体" w:cs="Times New Roman"/>
      <w:sz w:val="21"/>
      <w:szCs w:val="24"/>
    </w:rPr>
  </w:style>
  <w:style w:type="paragraph" w:styleId="1208" w:customStyle="1">
    <w:name w:val="正文文本1"/>
    <w:basedOn w:val="868"/>
    <w:link w:val="1209"/>
    <w:uiPriority w:val="99"/>
    <w:unhideWhenUsed/>
    <w:qFormat/>
    <w:pPr>
      <w:spacing w:after="120"/>
    </w:pPr>
    <w:rPr>
      <w:rFonts w:ascii="Calibri" w:hAnsi="Calibri"/>
    </w:rPr>
  </w:style>
  <w:style w:type="character" w:styleId="1209" w:customStyle="1">
    <w:name w:val="正文文本 字符"/>
    <w:link w:val="1208"/>
    <w:uiPriority w:val="99"/>
    <w:semiHidden/>
    <w:qFormat/>
    <w:rPr>
      <w:rFonts w:ascii="Calibri" w:hAnsi="Calibri" w:eastAsia="宋体" w:cs="Times New Roman"/>
      <w:sz w:val="21"/>
      <w:szCs w:val="24"/>
    </w:rPr>
  </w:style>
  <w:style w:type="paragraph" w:styleId="1210" w:customStyle="1">
    <w:name w:val="正文文本缩进1"/>
    <w:basedOn w:val="868"/>
    <w:next w:val="868"/>
    <w:uiPriority w:val="99"/>
    <w:unhideWhenUsed/>
    <w:qFormat/>
    <w:pPr>
      <w:ind w:left="420"/>
      <w:spacing w:after="120"/>
    </w:pPr>
  </w:style>
  <w:style w:type="paragraph" w:styleId="1211" w:customStyle="1">
    <w:name w:val="文本块1"/>
    <w:basedOn w:val="1196"/>
    <w:next w:val="868"/>
    <w:uiPriority w:val="0"/>
    <w:qFormat/>
    <w:pPr>
      <w:ind w:left="630" w:right="-609" w:firstLine="420"/>
      <w:spacing w:line="360" w:lineRule="auto"/>
    </w:pPr>
    <w:rPr>
      <w:rFonts w:hint="eastAsia" w:ascii="方正仿宋_GB2312" w:eastAsia="方正仿宋_GB2312"/>
    </w:rPr>
  </w:style>
  <w:style w:type="paragraph" w:styleId="1212" w:customStyle="1">
    <w:name w:val="目录 31"/>
    <w:basedOn w:val="868"/>
    <w:next w:val="868"/>
    <w:uiPriority w:val="39"/>
    <w:unhideWhenUsed/>
    <w:qFormat/>
    <w:pPr>
      <w:ind w:left="840"/>
    </w:pPr>
  </w:style>
  <w:style w:type="paragraph" w:styleId="1213" w:customStyle="1">
    <w:name w:val="纯文本11"/>
    <w:basedOn w:val="868"/>
    <w:link w:val="1214"/>
    <w:uiPriority w:val="0"/>
    <w:qFormat/>
    <w:rPr>
      <w:rFonts w:ascii="宋体" w:hAnsi="Courier New" w:eastAsia="方正楷体_GB2312"/>
      <w:sz w:val="26"/>
      <w:szCs w:val="20"/>
    </w:rPr>
  </w:style>
  <w:style w:type="character" w:styleId="1214" w:customStyle="1">
    <w:name w:val="纯文本 字符"/>
    <w:link w:val="1213"/>
    <w:uiPriority w:val="0"/>
    <w:qFormat/>
    <w:rPr>
      <w:rFonts w:ascii="宋体" w:hAnsi="Courier New" w:eastAsia="方正楷体_GB2312"/>
      <w:sz w:val="26"/>
    </w:rPr>
  </w:style>
  <w:style w:type="paragraph" w:styleId="1215" w:customStyle="1">
    <w:name w:val="日期1"/>
    <w:basedOn w:val="868"/>
    <w:next w:val="868"/>
    <w:link w:val="1216"/>
    <w:uiPriority w:val="0"/>
    <w:qFormat/>
    <w:rPr>
      <w:rFonts w:ascii="宋体" w:hAnsi="宋体" w:eastAsia="方正楷体_GB2312"/>
      <w:sz w:val="24"/>
      <w:szCs w:val="20"/>
    </w:rPr>
  </w:style>
  <w:style w:type="character" w:styleId="1216" w:customStyle="1">
    <w:name w:val="日期 字符"/>
    <w:link w:val="1215"/>
    <w:uiPriority w:val="0"/>
    <w:qFormat/>
    <w:rPr>
      <w:rFonts w:ascii="宋体" w:hAnsi="宋体" w:eastAsia="方正楷体_GB2312" w:cs="Times New Roman"/>
      <w:sz w:val="24"/>
    </w:rPr>
  </w:style>
  <w:style w:type="paragraph" w:styleId="1217" w:customStyle="1">
    <w:name w:val="正文文本缩进 21"/>
    <w:basedOn w:val="868"/>
    <w:uiPriority w:val="0"/>
    <w:qFormat/>
    <w:pPr>
      <w:ind w:left="420"/>
      <w:spacing w:after="120" w:line="480" w:lineRule="auto"/>
    </w:pPr>
    <w:rPr>
      <w:rFonts w:ascii="Calibri" w:hAnsi="Calibri"/>
    </w:rPr>
  </w:style>
  <w:style w:type="paragraph" w:styleId="1218" w:customStyle="1">
    <w:name w:val="批注框文本1"/>
    <w:basedOn w:val="868"/>
    <w:link w:val="1219"/>
    <w:uiPriority w:val="0"/>
    <w:qFormat/>
    <w:rPr>
      <w:sz w:val="18"/>
      <w:szCs w:val="18"/>
    </w:rPr>
  </w:style>
  <w:style w:type="character" w:styleId="1219" w:customStyle="1">
    <w:name w:val="批注框文本 字符"/>
    <w:link w:val="1218"/>
    <w:uiPriority w:val="0"/>
    <w:qFormat/>
    <w:rPr>
      <w:rFonts w:ascii="Times New Roman" w:hAnsi="Times New Roman" w:eastAsia="宋体" w:cs="Times New Roman"/>
      <w:sz w:val="18"/>
      <w:szCs w:val="18"/>
    </w:rPr>
  </w:style>
  <w:style w:type="paragraph" w:styleId="1220" w:customStyle="1">
    <w:name w:val="页脚11"/>
    <w:basedOn w:val="868"/>
    <w:link w:val="1221"/>
    <w:uiPriority w:val="99"/>
    <w:qFormat/>
    <w:pPr>
      <w:jc w:val="left"/>
      <w:tabs>
        <w:tab w:val="center" w:pos="4153" w:leader="none"/>
        <w:tab w:val="right" w:pos="8306" w:leader="none"/>
      </w:tabs>
    </w:pPr>
    <w:rPr>
      <w:rFonts w:ascii="Calibri" w:hAnsi="Calibri"/>
      <w:sz w:val="18"/>
      <w:szCs w:val="18"/>
    </w:rPr>
  </w:style>
  <w:style w:type="character" w:styleId="1221" w:customStyle="1">
    <w:name w:val="页脚 字符"/>
    <w:link w:val="1220"/>
    <w:uiPriority w:val="99"/>
    <w:qFormat/>
    <w:rPr>
      <w:rFonts w:ascii="Calibri" w:hAnsi="Calibri" w:eastAsia="宋体" w:cs="Times New Roman"/>
      <w:sz w:val="18"/>
      <w:szCs w:val="18"/>
    </w:rPr>
  </w:style>
  <w:style w:type="paragraph" w:styleId="1222" w:customStyle="1">
    <w:name w:val="寄信人地址11"/>
    <w:basedOn w:val="868"/>
    <w:uiPriority w:val="99"/>
    <w:unhideWhenUsed/>
    <w:qFormat/>
    <w:rPr>
      <w:rFonts w:ascii="Cambria" w:hAnsi="Cambria"/>
    </w:rPr>
  </w:style>
  <w:style w:type="paragraph" w:styleId="1223" w:customStyle="1">
    <w:name w:val="页眉11"/>
    <w:basedOn w:val="868"/>
    <w:link w:val="1224"/>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224" w:customStyle="1">
    <w:name w:val="页眉 字符"/>
    <w:link w:val="1223"/>
    <w:uiPriority w:val="0"/>
    <w:qFormat/>
    <w:rPr>
      <w:rFonts w:ascii="Calibri" w:hAnsi="Calibri" w:eastAsia="宋体" w:cs="Times New Roman"/>
      <w:sz w:val="18"/>
      <w:szCs w:val="18"/>
    </w:rPr>
  </w:style>
  <w:style w:type="paragraph" w:styleId="1225" w:customStyle="1">
    <w:name w:val="目录 11"/>
    <w:basedOn w:val="868"/>
    <w:next w:val="868"/>
    <w:uiPriority w:val="39"/>
    <w:qFormat/>
    <w:pPr>
      <w:jc w:val="left"/>
    </w:pPr>
    <w:rPr>
      <w:rFonts w:ascii="Calibri" w:hAnsi="Calibri" w:eastAsia="方正楷体_GB2312"/>
      <w:sz w:val="24"/>
      <w:szCs w:val="20"/>
    </w:rPr>
  </w:style>
  <w:style w:type="paragraph" w:styleId="1226" w:customStyle="1">
    <w:name w:val="脚注文本1"/>
    <w:basedOn w:val="1196"/>
    <w:next w:val="1211"/>
    <w:uiPriority w:val="0"/>
    <w:qFormat/>
    <w:pPr>
      <w:ind w:firstLine="3584"/>
      <w:spacing w:before="0" w:after="0" w:line="360" w:lineRule="auto"/>
    </w:pPr>
    <w:rPr>
      <w:rFonts w:ascii="Times New Roman" w:hAnsi="Times New Roman"/>
    </w:rPr>
  </w:style>
  <w:style w:type="paragraph" w:styleId="1227" w:customStyle="1">
    <w:name w:val="正文文本缩进 311"/>
    <w:basedOn w:val="868"/>
    <w:link w:val="1228"/>
    <w:uiPriority w:val="0"/>
    <w:qFormat/>
    <w:pPr>
      <w:ind w:firstLine="480"/>
      <w:jc w:val="left"/>
      <w:spacing w:line="440" w:lineRule="atLeast"/>
    </w:pPr>
    <w:rPr>
      <w:sz w:val="24"/>
    </w:rPr>
  </w:style>
  <w:style w:type="character" w:styleId="1228" w:customStyle="1">
    <w:name w:val="正文文本缩进 3 字符"/>
    <w:link w:val="1227"/>
    <w:uiPriority w:val="0"/>
    <w:qFormat/>
    <w:rPr>
      <w:rFonts w:ascii="Times New Roman" w:hAnsi="Times New Roman" w:eastAsia="宋体" w:cs="Times New Roman"/>
      <w:sz w:val="24"/>
      <w:szCs w:val="24"/>
    </w:rPr>
  </w:style>
  <w:style w:type="paragraph" w:styleId="1229" w:customStyle="1">
    <w:name w:val="目录 21"/>
    <w:basedOn w:val="868"/>
    <w:next w:val="868"/>
    <w:uiPriority w:val="39"/>
    <w:unhideWhenUsed/>
    <w:qFormat/>
    <w:pPr>
      <w:ind w:left="420"/>
    </w:pPr>
  </w:style>
  <w:style w:type="paragraph" w:styleId="1230" w:customStyle="1">
    <w:name w:val="普通(网站)11"/>
    <w:basedOn w:val="868"/>
    <w:uiPriority w:val="0"/>
    <w:qFormat/>
    <w:pPr>
      <w:jc w:val="left"/>
      <w:spacing w:beforeAutospacing="1" w:afterAutospacing="1"/>
    </w:pPr>
    <w:rPr>
      <w:sz w:val="24"/>
    </w:rPr>
  </w:style>
  <w:style w:type="paragraph" w:styleId="1231" w:customStyle="1">
    <w:name w:val="批注主题1"/>
    <w:basedOn w:val="1206"/>
    <w:next w:val="1206"/>
    <w:link w:val="1232"/>
    <w:uiPriority w:val="0"/>
    <w:qFormat/>
    <w:rPr>
      <w:b/>
      <w:bCs/>
    </w:rPr>
  </w:style>
  <w:style w:type="character" w:styleId="1232" w:customStyle="1">
    <w:name w:val="批注主题 字符"/>
    <w:link w:val="1231"/>
    <w:uiPriority w:val="0"/>
    <w:qFormat/>
    <w:rPr>
      <w:rFonts w:ascii="Times New Roman" w:hAnsi="Times New Roman" w:eastAsia="宋体" w:cs="Times New Roman"/>
      <w:b/>
      <w:bCs/>
      <w:sz w:val="21"/>
      <w:szCs w:val="24"/>
    </w:rPr>
  </w:style>
  <w:style w:type="paragraph" w:styleId="1233" w:customStyle="1">
    <w:name w:val="正文首行缩进1"/>
    <w:basedOn w:val="1208"/>
    <w:uiPriority w:val="0"/>
    <w:qFormat/>
    <w:pPr>
      <w:ind w:firstLine="420"/>
      <w:spacing w:line="360" w:lineRule="auto"/>
      <w:tabs>
        <w:tab w:val="left" w:pos="5250" w:leader="none"/>
      </w:tabs>
    </w:pPr>
    <w:rPr>
      <w:rFonts w:ascii="宋体" w:hAnsi="宋体"/>
      <w:sz w:val="24"/>
    </w:rPr>
  </w:style>
  <w:style w:type="paragraph" w:styleId="1234" w:customStyle="1">
    <w:name w:val="正文首行缩进 21"/>
    <w:basedOn w:val="1210"/>
    <w:uiPriority w:val="0"/>
    <w:qFormat/>
    <w:pPr>
      <w:ind w:left="570" w:firstLine="420"/>
      <w:spacing w:after="0" w:line="520" w:lineRule="exact"/>
    </w:pPr>
    <w:rPr>
      <w:rFonts w:ascii="方正仿宋简体" w:hAnsi="印品仿宋简 Medium" w:eastAsia="方正仿宋简体"/>
      <w:sz w:val="24"/>
      <w:szCs w:val="20"/>
    </w:rPr>
  </w:style>
  <w:style w:type="table" w:styleId="1235" w:customStyle="1">
    <w:name w:val="网格型1"/>
    <w:basedOn w:val="1201"/>
    <w:uiPriority w:val="0"/>
    <w:qFormat/>
    <w:tblPr/>
  </w:style>
  <w:style w:type="character" w:styleId="1236" w:customStyle="1">
    <w:name w:val="页码11"/>
    <w:uiPriority w:val="0"/>
    <w:qFormat/>
    <w:rPr>
      <w:rFonts w:ascii="Calibri" w:hAnsi="Calibri" w:eastAsia="宋体" w:cs="Times New Roman"/>
    </w:rPr>
  </w:style>
  <w:style w:type="character" w:styleId="1237" w:customStyle="1">
    <w:name w:val="超链接1"/>
    <w:uiPriority w:val="99"/>
    <w:qFormat/>
    <w:rPr>
      <w:rFonts w:ascii="Calibri" w:hAnsi="Calibri" w:eastAsia="宋体" w:cs="Times New Roman"/>
      <w:color w:val="0000ff"/>
      <w:u w:val="single"/>
    </w:rPr>
  </w:style>
  <w:style w:type="character" w:styleId="1238" w:customStyle="1">
    <w:name w:val="批注引用1"/>
    <w:uiPriority w:val="0"/>
    <w:qFormat/>
    <w:rPr>
      <w:rFonts w:ascii="Calibri" w:hAnsi="Calibri" w:eastAsia="宋体" w:cs="Times New Roman"/>
      <w:sz w:val="21"/>
      <w:szCs w:val="21"/>
    </w:rPr>
  </w:style>
  <w:style w:type="character" w:styleId="1239" w:customStyle="1">
    <w:name w:val="脚注引用1"/>
    <w:uiPriority w:val="0"/>
    <w:qFormat/>
    <w:rPr>
      <w:rFonts w:ascii="Times New Roman" w:hAnsi="Times New Roman" w:eastAsia="宋体" w:cs="Times New Roman"/>
      <w:vertAlign w:val="superscript"/>
    </w:rPr>
  </w:style>
  <w:style w:type="character" w:styleId="1240" w:customStyle="1">
    <w:name w:val="s4"/>
    <w:uiPriority w:val="0"/>
    <w:qFormat/>
    <w:rPr>
      <w:rFonts w:ascii="Calibri" w:hAnsi="Calibri" w:eastAsia="宋体" w:cs="Times New Roman"/>
    </w:rPr>
  </w:style>
  <w:style w:type="character" w:styleId="1241" w:customStyle="1">
    <w:name w:val="s1"/>
    <w:uiPriority w:val="0"/>
    <w:qFormat/>
    <w:rPr>
      <w:rFonts w:ascii="Calibri" w:hAnsi="Calibri" w:eastAsia="宋体" w:cs="Times New Roman"/>
    </w:rPr>
  </w:style>
  <w:style w:type="character" w:styleId="1242" w:customStyle="1">
    <w:name w:val="s5"/>
    <w:uiPriority w:val="0"/>
    <w:qFormat/>
    <w:rPr>
      <w:rFonts w:ascii="Calibri" w:hAnsi="Calibri" w:eastAsia="宋体" w:cs="Times New Roman"/>
    </w:rPr>
  </w:style>
  <w:style w:type="character" w:styleId="1243" w:customStyle="1">
    <w:name w:val="纯文本 Char1"/>
    <w:uiPriority w:val="99"/>
    <w:semiHidden/>
    <w:qFormat/>
    <w:rPr>
      <w:rFonts w:ascii="宋体" w:hAnsi="Courier New" w:eastAsia="宋体" w:cs="Courier New"/>
      <w:sz w:val="21"/>
      <w:szCs w:val="21"/>
    </w:rPr>
  </w:style>
  <w:style w:type="character" w:styleId="1244" w:customStyle="1">
    <w:name w:val="页脚 Char1"/>
    <w:uiPriority w:val="0"/>
    <w:qFormat/>
    <w:rPr>
      <w:rFonts w:ascii="Times New Roman" w:hAnsi="Times New Roman" w:eastAsia="宋体" w:cs="Times New Roman"/>
      <w:sz w:val="18"/>
      <w:szCs w:val="18"/>
    </w:rPr>
  </w:style>
  <w:style w:type="character" w:styleId="1245" w:customStyle="1">
    <w:name w:val="页眉 Char1"/>
    <w:uiPriority w:val="0"/>
    <w:qFormat/>
    <w:rPr>
      <w:rFonts w:ascii="Times New Roman" w:hAnsi="Times New Roman" w:eastAsia="宋体" w:cs="Times New Roman"/>
      <w:sz w:val="18"/>
      <w:szCs w:val="18"/>
    </w:rPr>
  </w:style>
  <w:style w:type="character" w:styleId="1246" w:customStyle="1">
    <w:name w:val="s2"/>
    <w:uiPriority w:val="0"/>
    <w:qFormat/>
    <w:rPr>
      <w:rFonts w:ascii="Calibri" w:hAnsi="Calibri" w:eastAsia="宋体" w:cs="Times New Roman"/>
    </w:rPr>
  </w:style>
  <w:style w:type="character" w:styleId="1247" w:customStyle="1">
    <w:name w:val="s3"/>
    <w:uiPriority w:val="0"/>
    <w:qFormat/>
    <w:rPr>
      <w:rFonts w:ascii="Calibri" w:hAnsi="Calibri" w:eastAsia="宋体" w:cs="Times New Roman"/>
    </w:rPr>
  </w:style>
  <w:style w:type="paragraph" w:styleId="1248" w:customStyle="1">
    <w:name w:val="Char Char Char Char Char Char1 Char Char Char Char"/>
    <w:basedOn w:val="868"/>
    <w:next w:val="1035"/>
    <w:uiPriority w:val="0"/>
    <w:qFormat/>
    <w:pPr>
      <w:jc w:val="left"/>
      <w:spacing w:line="360" w:lineRule="auto"/>
      <w:shd w:val="clear" w:color="auto" w:fill="000080"/>
      <w:widowControl/>
    </w:pPr>
    <w:rPr>
      <w:sz w:val="24"/>
    </w:rPr>
  </w:style>
  <w:style w:type="paragraph" w:styleId="1249" w:customStyle="1">
    <w:name w:val="p0"/>
    <w:basedOn w:val="868"/>
    <w:uiPriority w:val="0"/>
    <w:qFormat/>
    <w:rPr>
      <w:rFonts w:ascii="Calibri" w:hAnsi="Calibri"/>
    </w:rPr>
  </w:style>
  <w:style w:type="paragraph" w:styleId="1250" w:customStyle="1">
    <w:name w:val="p2"/>
    <w:basedOn w:val="868"/>
    <w:uiPriority w:val="0"/>
    <w:qFormat/>
    <w:pPr>
      <w:jc w:val="left"/>
      <w:spacing w:before="100" w:beforeAutospacing="1" w:after="100" w:afterAutospacing="1"/>
      <w:widowControl/>
    </w:pPr>
    <w:rPr>
      <w:rFonts w:ascii="宋体" w:hAnsi="宋体" w:cs="宋体"/>
      <w:sz w:val="24"/>
    </w:rPr>
  </w:style>
  <w:style w:type="paragraph" w:styleId="1251" w:customStyle="1">
    <w:name w:val="列表段落1"/>
    <w:basedOn w:val="868"/>
    <w:uiPriority w:val="0"/>
    <w:qFormat/>
    <w:pPr>
      <w:ind w:firstLine="420"/>
    </w:pPr>
    <w:rPr>
      <w:rFonts w:ascii="Calibri" w:hAnsi="Calibri"/>
      <w:szCs w:val="22"/>
    </w:rPr>
  </w:style>
  <w:style w:type="paragraph" w:styleId="1252" w:customStyle="1">
    <w:name w:val="正文_0"/>
    <w:uiPriority w:val="0"/>
    <w:qFormat/>
    <w:rPr>
      <w:rFonts w:ascii="Times New Roman" w:hAnsi="Times New Roman" w:eastAsia="宋体" w:cs="Times New Roman"/>
      <w:sz w:val="21"/>
      <w:lang w:val="en-US" w:eastAsia="zh-CN" w:bidi="ar-SA"/>
    </w:rPr>
  </w:style>
  <w:style w:type="paragraph" w:styleId="1253" w:customStyle="1">
    <w:name w:val="p4"/>
    <w:basedOn w:val="868"/>
    <w:uiPriority w:val="0"/>
    <w:qFormat/>
    <w:pPr>
      <w:jc w:val="left"/>
      <w:spacing w:before="100" w:beforeAutospacing="1" w:after="100" w:afterAutospacing="1"/>
      <w:widowControl/>
    </w:pPr>
    <w:rPr>
      <w:rFonts w:ascii="宋体" w:hAnsi="宋体" w:cs="宋体"/>
      <w:sz w:val="24"/>
    </w:rPr>
  </w:style>
  <w:style w:type="paragraph" w:styleId="1254" w:customStyle="1">
    <w:name w:val="Char Char1 Char Char Char Char Char Char"/>
    <w:basedOn w:val="868"/>
    <w:uiPriority w:val="0"/>
    <w:qFormat/>
    <w:pPr>
      <w:jc w:val="left"/>
      <w:spacing w:after="160" w:line="240" w:lineRule="exact"/>
      <w:widowControl/>
    </w:pPr>
    <w:rPr>
      <w:rFonts w:ascii="Verdana" w:hAnsi="Verdana" w:eastAsia="方正仿宋_GB2312"/>
      <w:sz w:val="24"/>
      <w:szCs w:val="20"/>
      <w:lang w:eastAsia="en-US"/>
    </w:rPr>
  </w:style>
  <w:style w:type="paragraph" w:styleId="1255" w:customStyle="1">
    <w:name w:val="纯文本3"/>
    <w:basedOn w:val="868"/>
    <w:uiPriority w:val="0"/>
    <w:qFormat/>
    <w:pPr>
      <w:jc w:val="left"/>
      <w:widowControl/>
    </w:pPr>
    <w:rPr>
      <w:rFonts w:ascii="宋体" w:hAnsi="Courier New" w:eastAsia="方正楷体_GB2312"/>
      <w:sz w:val="26"/>
      <w:szCs w:val="20"/>
    </w:rPr>
  </w:style>
  <w:style w:type="paragraph" w:styleId="1256" w:customStyle="1">
    <w:name w:val="列出段落1"/>
    <w:basedOn w:val="1252"/>
    <w:uiPriority w:val="0"/>
    <w:qFormat/>
    <w:pPr>
      <w:ind w:firstLine="420"/>
      <w:jc w:val="both"/>
      <w:widowControl w:val="off"/>
    </w:pPr>
    <w:rPr>
      <w:rFonts w:ascii="Calibri" w:hAnsi="Calibri"/>
      <w:szCs w:val="24"/>
    </w:rPr>
  </w:style>
  <w:style w:type="paragraph" w:styleId="1257" w:customStyle="1">
    <w:name w:val="p3"/>
    <w:basedOn w:val="868"/>
    <w:uiPriority w:val="0"/>
    <w:qFormat/>
    <w:pPr>
      <w:jc w:val="left"/>
      <w:spacing w:before="100" w:beforeAutospacing="1" w:after="100" w:afterAutospacing="1"/>
      <w:widowControl/>
    </w:pPr>
    <w:rPr>
      <w:rFonts w:ascii="宋体" w:hAnsi="宋体" w:cs="宋体"/>
      <w:sz w:val="24"/>
    </w:rPr>
  </w:style>
  <w:style w:type="paragraph" w:styleId="1258" w:customStyle="1">
    <w:name w:val="p6"/>
    <w:basedOn w:val="868"/>
    <w:uiPriority w:val="0"/>
    <w:qFormat/>
    <w:pPr>
      <w:jc w:val="left"/>
      <w:spacing w:before="100" w:beforeAutospacing="1" w:after="100" w:afterAutospacing="1"/>
      <w:widowControl/>
    </w:pPr>
    <w:rPr>
      <w:rFonts w:ascii="宋体" w:hAnsi="宋体" w:cs="宋体"/>
      <w:sz w:val="24"/>
    </w:rPr>
  </w:style>
  <w:style w:type="paragraph" w:styleId="1259" w:customStyle="1">
    <w:name w:val="首行缩进:  0.74 厘米 行距: 多倍行距 1.3 字行"/>
    <w:basedOn w:val="868"/>
    <w:uiPriority w:val="0"/>
    <w:qFormat/>
    <w:pPr>
      <w:ind w:firstLine="420"/>
      <w:spacing w:line="312" w:lineRule="auto"/>
    </w:pPr>
    <w:rPr>
      <w:rFonts w:ascii="Calibri" w:hAnsi="Calibri" w:cs="宋体"/>
      <w:sz w:val="24"/>
      <w:szCs w:val="20"/>
    </w:rPr>
  </w:style>
  <w:style w:type="paragraph" w:styleId="1260" w:customStyle="1">
    <w:name w:val="p7"/>
    <w:basedOn w:val="868"/>
    <w:uiPriority w:val="0"/>
    <w:qFormat/>
    <w:pPr>
      <w:jc w:val="left"/>
      <w:spacing w:before="100" w:beforeAutospacing="1" w:after="100" w:afterAutospacing="1"/>
      <w:widowControl/>
    </w:pPr>
    <w:rPr>
      <w:rFonts w:ascii="宋体" w:hAnsi="宋体" w:cs="宋体"/>
      <w:sz w:val="24"/>
    </w:rPr>
  </w:style>
  <w:style w:type="paragraph" w:styleId="1261" w:customStyle="1">
    <w:name w:val="+正文"/>
    <w:basedOn w:val="868"/>
    <w:uiPriority w:val="0"/>
    <w:qFormat/>
    <w:pPr>
      <w:ind w:firstLine="200"/>
      <w:spacing w:line="360" w:lineRule="auto"/>
    </w:pPr>
    <w:rPr>
      <w:sz w:val="24"/>
      <w:szCs w:val="20"/>
    </w:rPr>
  </w:style>
  <w:style w:type="paragraph" w:styleId="1262" w:customStyle="1">
    <w:name w:val="Char"/>
    <w:basedOn w:val="868"/>
    <w:uiPriority w:val="0"/>
    <w:qFormat/>
    <w:rPr>
      <w:rFonts w:ascii="Tahoma" w:hAnsi="Tahoma"/>
      <w:sz w:val="24"/>
      <w:szCs w:val="20"/>
    </w:rPr>
  </w:style>
  <w:style w:type="paragraph" w:styleId="1263" w:customStyle="1">
    <w:name w:val="p1"/>
    <w:basedOn w:val="868"/>
    <w:uiPriority w:val="0"/>
    <w:qFormat/>
    <w:pPr>
      <w:jc w:val="left"/>
      <w:spacing w:before="100" w:beforeAutospacing="1" w:after="100" w:afterAutospacing="1"/>
      <w:widowControl/>
    </w:pPr>
    <w:rPr>
      <w:rFonts w:ascii="宋体" w:hAnsi="宋体" w:cs="宋体"/>
      <w:sz w:val="24"/>
    </w:rPr>
  </w:style>
  <w:style w:type="paragraph" w:styleId="1264" w:customStyle="1">
    <w:name w:val="正文 A A"/>
    <w:uiPriority w:val="0"/>
    <w:qFormat/>
    <w:pPr>
      <w:jc w:val="both"/>
      <w:widowControl w:val="off"/>
      <w:framePr w:wrap="around" w:vAnchor="margin" w:hAnchor="text" w:yAlign="top"/>
    </w:pPr>
    <w:rPr>
      <w:rFonts w:hint="eastAsia" w:ascii="Arial Unicode MS" w:hAnsi="Arial Unicode MS" w:eastAsia="Times New Roman" w:cs="Arial Unicode MS"/>
      <w:color w:val="000000"/>
      <w:sz w:val="21"/>
      <w:szCs w:val="21"/>
      <w:lang w:val="en-US" w:eastAsia="zh-CN" w:bidi="ar-SA"/>
    </w:rPr>
  </w:style>
  <w:style w:type="paragraph" w:styleId="1265" w:customStyle="1">
    <w:name w:val="Plain Text1"/>
    <w:basedOn w:val="868"/>
    <w:uiPriority w:val="0"/>
    <w:qFormat/>
    <w:rPr>
      <w:rFonts w:ascii="宋体" w:hAnsi="Courier New" w:eastAsia="方正楷体_GB2312"/>
      <w:sz w:val="26"/>
      <w:szCs w:val="20"/>
    </w:rPr>
  </w:style>
  <w:style w:type="paragraph" w:styleId="1266" w:customStyle="1">
    <w:name w:val="正文 A"/>
    <w:next w:val="950"/>
    <w:uiPriority w:val="99"/>
    <w:qFormat/>
    <w:pPr>
      <w:jc w:val="both"/>
      <w:widowControl w:val="off"/>
      <w:framePr w:wrap="around" w:vAnchor="margin" w:hAnchor="text" w:y="1"/>
    </w:pPr>
    <w:rPr>
      <w:rFonts w:ascii="Times New Roman" w:hAnsi="Times New Roman" w:eastAsia="宋体" w:cs="Times New Roman"/>
      <w:color w:val="000000"/>
      <w:sz w:val="30"/>
      <w:szCs w:val="30"/>
      <w:lang w:val="en-US" w:eastAsia="zh-CN" w:bidi="ar-SA"/>
    </w:rPr>
  </w:style>
  <w:style w:type="paragraph" w:styleId="1267" w:customStyle="1">
    <w:name w:val="List Paragraph11"/>
    <w:basedOn w:val="868"/>
    <w:uiPriority w:val="0"/>
    <w:qFormat/>
    <w:pPr>
      <w:ind w:firstLine="420"/>
    </w:pPr>
    <w:rPr>
      <w:rFonts w:ascii="Calibri" w:hAnsi="Calibri"/>
    </w:rPr>
  </w:style>
  <w:style w:type="paragraph" w:styleId="1268" w:customStyle="1">
    <w:name w:val="纯文本1"/>
    <w:basedOn w:val="868"/>
    <w:uiPriority w:val="0"/>
    <w:qFormat/>
    <w:rPr>
      <w:rFonts w:ascii="宋体" w:hAnsi="Courier New" w:eastAsia="方正楷体_GB2312"/>
      <w:sz w:val="28"/>
      <w:szCs w:val="20"/>
    </w:rPr>
  </w:style>
  <w:style w:type="paragraph" w:styleId="1269" w:customStyle="1">
    <w:name w:val="xl47"/>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70" w:customStyle="1">
    <w:name w:val="TOC 标题2"/>
    <w:basedOn w:val="1196"/>
    <w:next w:val="868"/>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271" w:customStyle="1">
    <w:name w:val="纯文本2"/>
    <w:basedOn w:val="868"/>
    <w:uiPriority w:val="0"/>
    <w:qFormat/>
    <w:rPr>
      <w:rFonts w:ascii="宋体" w:hAnsi="Courier New" w:eastAsia="方正楷体_GB2312"/>
      <w:sz w:val="26"/>
      <w:szCs w:val="20"/>
    </w:rPr>
  </w:style>
  <w:style w:type="character" w:styleId="1272" w:customStyle="1">
    <w:name w:val="font11"/>
    <w:uiPriority w:val="0"/>
    <w:qFormat/>
    <w:rPr>
      <w:rFonts w:hint="eastAsia" w:ascii="宋体" w:hAnsi="宋体" w:eastAsia="宋体" w:cs="宋体"/>
      <w:color w:val="000000"/>
      <w:sz w:val="22"/>
      <w:szCs w:val="22"/>
      <w:u w:val="none"/>
    </w:rPr>
  </w:style>
  <w:style w:type="character" w:styleId="1273" w:customStyle="1">
    <w:name w:val="font01"/>
    <w:uiPriority w:val="0"/>
    <w:qFormat/>
    <w:rPr>
      <w:rFonts w:hint="eastAsia" w:ascii="宋体" w:hAnsi="宋体" w:eastAsia="宋体" w:cs="宋体"/>
      <w:color w:val="000000"/>
      <w:sz w:val="21"/>
      <w:szCs w:val="21"/>
      <w:u w:val="none"/>
    </w:rPr>
  </w:style>
  <w:style w:type="character" w:styleId="1274" w:customStyle="1">
    <w:name w:val="font31"/>
    <w:uiPriority w:val="0"/>
    <w:qFormat/>
    <w:rPr>
      <w:rFonts w:hint="eastAsia" w:ascii="宋体" w:hAnsi="宋体" w:eastAsia="宋体" w:cs="宋体"/>
      <w:color w:val="000000"/>
      <w:sz w:val="22"/>
      <w:szCs w:val="22"/>
      <w:u w:val="none"/>
    </w:rPr>
  </w:style>
  <w:style w:type="character" w:styleId="1275" w:customStyle="1">
    <w:name w:val="font51"/>
    <w:uiPriority w:val="0"/>
    <w:qFormat/>
    <w:rPr>
      <w:rFonts w:hint="eastAsia" w:ascii="宋体" w:hAnsi="宋体" w:eastAsia="宋体" w:cs="宋体"/>
      <w:color w:val="000000"/>
      <w:sz w:val="21"/>
      <w:szCs w:val="21"/>
      <w:u w:val="none"/>
    </w:rPr>
  </w:style>
  <w:style w:type="paragraph" w:styleId="1276" w:customStyle="1">
    <w:name w:val="Table Text"/>
    <w:basedOn w:val="868"/>
    <w:uiPriority w:val="0"/>
    <w:semiHidden/>
    <w:qFormat/>
    <w:rPr>
      <w:rFonts w:ascii="宋体" w:hAnsi="宋体" w:cs="宋体"/>
      <w:sz w:val="14"/>
      <w:szCs w:val="14"/>
      <w:lang w:eastAsia="en-US"/>
    </w:rPr>
  </w:style>
  <w:style w:type="table" w:styleId="1277" w:customStyle="1">
    <w:name w:val="Table Normal_0"/>
    <w:uiPriority w:val="0"/>
    <w:unhideWhenUsed/>
    <w:qFormat/>
    <w:tblPr>
      <w:tblCellMar>
        <w:left w:w="0" w:type="dxa"/>
        <w:top w:w="0" w:type="dxa"/>
        <w:right w:w="0" w:type="dxa"/>
        <w:bottom w:w="0" w:type="dxa"/>
      </w:tblCellMar>
    </w:tblPr>
  </w:style>
  <w:style w:type="character" w:styleId="1278" w:customStyle="1">
    <w:name w:val="未处理的提及1"/>
    <w:uiPriority w:val="99"/>
    <w:unhideWhenUsed/>
    <w:qFormat/>
    <w:rPr>
      <w:rFonts w:ascii="Calibri" w:hAnsi="Calibri" w:eastAsia="宋体" w:cs="Times New Roman"/>
      <w:color w:val="605e5c"/>
      <w:shd w:val="clear" w:color="auto" w:fill="e1dfdd"/>
    </w:rPr>
  </w:style>
  <w:style w:type="paragraph" w:styleId="1279" w:customStyle="1">
    <w:name w:val="页眉1"/>
    <w:basedOn w:val="868"/>
    <w:uiPriority w:val="0"/>
    <w:qFormat/>
    <w:pPr>
      <w:jc w:val="center"/>
      <w:tabs>
        <w:tab w:val="center" w:pos="4153" w:leader="none"/>
        <w:tab w:val="right" w:pos="8306" w:leader="none"/>
      </w:tabs>
    </w:pPr>
    <w:rPr>
      <w:sz w:val="18"/>
      <w:szCs w:val="18"/>
    </w:rPr>
  </w:style>
  <w:style w:type="paragraph" w:styleId="1280" w:customStyle="1">
    <w:name w:val="页脚1"/>
    <w:basedOn w:val="1196"/>
    <w:next w:val="1281"/>
    <w:uiPriority w:val="99"/>
    <w:qFormat/>
    <w:pPr>
      <w:jc w:val="left"/>
      <w:tabs>
        <w:tab w:val="center" w:pos="4153" w:leader="none"/>
        <w:tab w:val="right" w:pos="8306" w:leader="none"/>
      </w:tabs>
    </w:pPr>
    <w:rPr>
      <w:sz w:val="18"/>
      <w:szCs w:val="18"/>
    </w:rPr>
  </w:style>
  <w:style w:type="paragraph" w:styleId="1281" w:customStyle="1">
    <w:name w:val="Char Char Char Char Char Char Char Char Char Char Char Char Char"/>
    <w:basedOn w:val="1196"/>
    <w:next w:val="868"/>
    <w:uiPriority w:val="0"/>
    <w:qFormat/>
    <w:pPr>
      <w:ind w:firstLine="3584"/>
      <w:spacing w:before="0" w:after="160" w:line="240" w:lineRule="exact"/>
    </w:pPr>
  </w:style>
  <w:style w:type="paragraph" w:styleId="1282" w:customStyle="1">
    <w:name w:val="纯文本4"/>
    <w:basedOn w:val="868"/>
    <w:uiPriority w:val="0"/>
    <w:qFormat/>
    <w:rPr>
      <w:rFonts w:ascii="宋体" w:hAnsi="Courier New" w:eastAsia="方正楷体_GB2312"/>
      <w:sz w:val="26"/>
      <w:szCs w:val="20"/>
    </w:rPr>
  </w:style>
  <w:style w:type="character" w:styleId="1283" w:customStyle="1">
    <w:name w:val="font131"/>
    <w:uiPriority w:val="0"/>
    <w:qFormat/>
    <w:rPr>
      <w:rFonts w:hint="eastAsia" w:ascii="宋体" w:hAnsi="宋体" w:eastAsia="宋体" w:cs="宋体"/>
      <w:color w:val="000000"/>
      <w:sz w:val="21"/>
      <w:szCs w:val="21"/>
      <w:u w:val="single"/>
    </w:rPr>
  </w:style>
  <w:style w:type="character" w:styleId="1284" w:customStyle="1">
    <w:name w:val="font81"/>
    <w:uiPriority w:val="0"/>
    <w:qFormat/>
    <w:rPr>
      <w:rFonts w:hint="eastAsia" w:ascii="宋体" w:hAnsi="宋体" w:eastAsia="宋体" w:cs="宋体"/>
      <w:color w:val="000000"/>
      <w:sz w:val="21"/>
      <w:szCs w:val="21"/>
      <w:u w:val="none"/>
    </w:rPr>
  </w:style>
  <w:style w:type="character" w:styleId="1285" w:customStyle="1">
    <w:name w:val="font141"/>
    <w:uiPriority w:val="0"/>
    <w:qFormat/>
    <w:rPr>
      <w:rFonts w:ascii="Arial" w:hAnsi="Arial" w:cs="Arial"/>
      <w:color w:val="000000"/>
      <w:sz w:val="21"/>
      <w:szCs w:val="21"/>
      <w:u w:val="none"/>
    </w:rPr>
  </w:style>
  <w:style w:type="character" w:styleId="1286" w:customStyle="1">
    <w:name w:val="font151"/>
    <w:uiPriority w:val="0"/>
    <w:qFormat/>
    <w:rPr>
      <w:rFonts w:ascii="Calibri" w:hAnsi="Calibri" w:cs="Calibri"/>
      <w:color w:val="ff0000"/>
      <w:sz w:val="21"/>
      <w:szCs w:val="21"/>
      <w:u w:val="none"/>
    </w:rPr>
  </w:style>
  <w:style w:type="character" w:styleId="1287" w:customStyle="1">
    <w:name w:val="font122"/>
    <w:uiPriority w:val="0"/>
    <w:qFormat/>
    <w:rPr>
      <w:rFonts w:hint="eastAsia" w:ascii="宋体" w:hAnsi="宋体" w:eastAsia="宋体" w:cs="宋体"/>
      <w:color w:val="ff0000"/>
      <w:sz w:val="21"/>
      <w:szCs w:val="21"/>
      <w:u w:val="none"/>
    </w:rPr>
  </w:style>
  <w:style w:type="character" w:styleId="1288" w:customStyle="1">
    <w:name w:val="font12"/>
    <w:uiPriority w:val="0"/>
    <w:qFormat/>
    <w:rPr>
      <w:rFonts w:ascii="Arial" w:hAnsi="Arial" w:cs="Arial"/>
      <w:color w:val="000000"/>
      <w:sz w:val="18"/>
      <w:szCs w:val="18"/>
      <w:u w:val="none"/>
    </w:rPr>
  </w:style>
  <w:style w:type="character" w:styleId="1289" w:customStyle="1">
    <w:name w:val="font161"/>
    <w:uiPriority w:val="0"/>
    <w:qFormat/>
    <w:rPr>
      <w:rFonts w:hint="eastAsia" w:ascii="宋体" w:hAnsi="宋体" w:eastAsia="宋体" w:cs="宋体"/>
      <w:color w:val="000000"/>
      <w:sz w:val="18"/>
      <w:szCs w:val="18"/>
      <w:u w:val="none"/>
    </w:rPr>
  </w:style>
  <w:style w:type="paragraph" w:styleId="1290" w:customStyle="1">
    <w:name w:val="正文文本缩进 31"/>
    <w:basedOn w:val="868"/>
    <w:uiPriority w:val="0"/>
    <w:qFormat/>
    <w:pPr>
      <w:ind w:firstLine="617"/>
      <w:spacing w:line="360" w:lineRule="auto"/>
    </w:pPr>
    <w:rPr>
      <w:sz w:val="24"/>
    </w:rPr>
  </w:style>
  <w:style w:type="paragraph" w:styleId="1291" w:customStyle="1">
    <w:name w:val="正文缩进11"/>
    <w:basedOn w:val="868"/>
    <w:next w:val="868"/>
    <w:uiPriority w:val="0"/>
    <w:qFormat/>
    <w:pPr>
      <w:ind w:firstLine="420"/>
      <w:jc w:val="left"/>
    </w:pPr>
    <w:rPr>
      <w:rFonts w:eastAsia="方正楷体_GB2312"/>
      <w:sz w:val="24"/>
      <w:szCs w:val="20"/>
    </w:rPr>
  </w:style>
  <w:style w:type="paragraph" w:styleId="1292" w:customStyle="1">
    <w:name w:val="正文缩进1"/>
    <w:basedOn w:val="868"/>
    <w:next w:val="868"/>
    <w:uiPriority w:val="0"/>
    <w:qFormat/>
    <w:pPr>
      <w:ind w:firstLine="200"/>
    </w:pPr>
    <w:rPr>
      <w:sz w:val="24"/>
    </w:rPr>
  </w:style>
  <w:style w:type="paragraph" w:styleId="1293" w:customStyle="1">
    <w:name w:val="普通(网站)1"/>
    <w:basedOn w:val="868"/>
    <w:uiPriority w:val="0"/>
    <w:qFormat/>
    <w:pPr>
      <w:jc w:val="left"/>
      <w:spacing w:before="100" w:beforeAutospacing="1" w:after="100" w:afterAutospacing="1"/>
      <w:widowControl/>
    </w:pPr>
    <w:rPr>
      <w:rFonts w:ascii="宋体" w:hAnsi="宋体"/>
      <w:sz w:val="24"/>
    </w:rPr>
  </w:style>
  <w:style w:type="paragraph" w:styleId="1294" w:customStyle="1">
    <w:name w:val="纯文本111"/>
    <w:basedOn w:val="868"/>
    <w:uiPriority w:val="0"/>
    <w:qFormat/>
    <w:rPr>
      <w:rFonts w:ascii="宋体" w:hAnsi="Courier New" w:eastAsia="方正楷体_GB2312"/>
      <w:sz w:val="28"/>
      <w:szCs w:val="20"/>
    </w:rPr>
  </w:style>
  <w:style w:type="paragraph" w:styleId="1295" w:customStyle="1">
    <w:name w:val="正文文本缩进11"/>
    <w:basedOn w:val="868"/>
    <w:next w:val="1296"/>
    <w:uiPriority w:val="0"/>
    <w:qFormat/>
    <w:pPr>
      <w:ind w:left="570"/>
      <w:spacing w:line="520" w:lineRule="exact"/>
    </w:pPr>
    <w:rPr>
      <w:rFonts w:ascii="方正仿宋简体" w:hAnsi="印品仿宋简 Medium" w:eastAsia="方正仿宋简体"/>
      <w:sz w:val="24"/>
      <w:szCs w:val="20"/>
    </w:rPr>
  </w:style>
  <w:style w:type="paragraph" w:styleId="1296" w:customStyle="1">
    <w:name w:val="目录 51"/>
    <w:next w:val="868"/>
    <w:uiPriority w:val="0"/>
    <w:qFormat/>
    <w:pPr>
      <w:ind w:left="1275"/>
      <w:jc w:val="both"/>
    </w:pPr>
    <w:rPr>
      <w:rFonts w:ascii="Times New Roman" w:hAnsi="Times New Roman" w:eastAsia="宋体" w:cs="Times New Roman"/>
      <w:sz w:val="21"/>
      <w:lang w:val="en-US" w:eastAsia="zh-CN" w:bidi="ar-SA"/>
    </w:rPr>
  </w:style>
  <w:style w:type="paragraph" w:styleId="1297" w:customStyle="1">
    <w:name w:val="寄信人地址1"/>
    <w:basedOn w:val="868"/>
    <w:uiPriority w:val="0"/>
    <w:qFormat/>
    <w:rPr>
      <w:rFonts w:ascii="Arial" w:hAnsi="Arial" w:eastAsia="方正楷体_GB2312"/>
      <w:sz w:val="26"/>
      <w:szCs w:val="20"/>
    </w:rPr>
  </w:style>
  <w:style w:type="paragraph" w:styleId="1298" w:customStyle="1">
    <w:name w:val="纯文本5"/>
    <w:basedOn w:val="868"/>
    <w:uiPriority w:val="0"/>
    <w:qFormat/>
    <w:rPr>
      <w:rFonts w:hint="eastAsia" w:ascii="宋体" w:hAnsi="Courier New" w:eastAsia="方正楷体_GB2312"/>
      <w:sz w:val="28"/>
    </w:rPr>
  </w:style>
  <w:style w:type="character" w:styleId="1299" w:customStyle="1">
    <w:name w:val="批注文字 字符1"/>
    <w:basedOn w:val="878"/>
    <w:link w:val="884"/>
    <w:uiPriority w:val="99"/>
    <w:semiHidden/>
    <w:qFormat/>
    <w:rPr>
      <w:sz w:val="21"/>
      <w:szCs w:val="24"/>
    </w:rPr>
  </w:style>
  <w:style w:type="table" w:styleId="1300" w:customStyle="1">
    <w:name w:val="Table Normal"/>
    <w:uiPriority w:val="0"/>
    <w:unhideWhenUsed/>
    <w:qFormat/>
    <w:tblPr>
      <w:tblCellMar>
        <w:left w:w="0" w:type="dxa"/>
        <w:top w:w="0" w:type="dxa"/>
        <w:right w:w="0" w:type="dxa"/>
        <w:bottom w:w="0" w:type="dxa"/>
      </w:tblCellMar>
    </w:tblPr>
  </w:style>
  <w:style w:type="numbering" w:styleId="128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孙继伟</cp:lastModifiedBy>
  <cp:revision>4</cp:revision>
  <dcterms:created xsi:type="dcterms:W3CDTF">2026-06-24T02:31:00Z</dcterms:created>
  <dcterms:modified xsi:type="dcterms:W3CDTF">2026-06-30T05:19:43Z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4A8CD5F66FA44B2FB5DFA52CACEAB4FD_13</vt:lpwstr>
  </property>
  <property fmtid="{D5CDD505-2E9C-101B-9397-08002B2CF9AE}" pid="3" name="KSOProductBuildVer">
    <vt:lpwstr>2052-12.1.0.26895</vt:lpwstr>
  </property>
  <property fmtid="{D5CDD505-2E9C-101B-9397-08002B2CF9AE}" pid="4" name="KSOTemplateDocerSaveRecord">
    <vt:lpwstr>eyJoZGlkIjoiMmI0NWM4MGU0ZDBmMDk3MTdhNTY5OTE4ZWQ1Y2NkYzciLCJ1c2VySWQiOiI2MTIwNzA1MTgifQ==</vt:lpwstr>
  </property>
</Properties>
</file>