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1"/>
        <w:jc w:val="center"/>
        <w:spacing w:line="30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681"/>
        <w:jc w:val="center"/>
        <w:spacing w:line="300" w:lineRule="auto"/>
        <w:rPr>
          <w:rFonts w:hint="eastAsia" w:ascii="黑体" w:hAnsi="华文中宋" w:eastAsia="黑体"/>
          <w:bCs/>
          <w:color w:val="000000"/>
          <w:spacing w:val="20"/>
          <w:sz w:val="72"/>
          <w:szCs w:val="72"/>
          <w:highlight w:val="none"/>
          <w:lang w:eastAsia="zh-CN"/>
        </w:rPr>
      </w:pPr>
      <w:r>
        <w:rPr>
          <w:rFonts w:hint="eastAsia" w:ascii="黑体" w:hAnsi="华文中宋" w:eastAsia="黑体"/>
          <w:bCs/>
          <w:color w:val="000000"/>
          <w:spacing w:val="20"/>
          <w:sz w:val="72"/>
          <w:szCs w:val="72"/>
          <w:highlight w:val="none"/>
          <w:lang w:eastAsia="zh-CN"/>
        </w:rPr>
        <w:t xml:space="preserve">无 锡 市 政 府 采 购</w:t>
      </w:r>
      <w:r>
        <w:rPr>
          <w:rFonts w:hint="eastAsia" w:ascii="黑体" w:hAnsi="华文中宋" w:eastAsia="黑体"/>
          <w:bCs/>
          <w:color w:val="000000"/>
          <w:spacing w:val="20"/>
          <w:sz w:val="72"/>
          <w:szCs w:val="72"/>
          <w:highlight w:val="none"/>
          <w:lang w:eastAsia="zh-CN"/>
        </w:rPr>
      </w:r>
      <w:r/>
    </w:p>
    <w:p>
      <w:pPr>
        <w:pStyle w:val="681"/>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rPr>
          <w:rFonts w:ascii="华文中宋" w:hAnsi="华文中宋" w:eastAsia="华文中宋"/>
          <w:bCs/>
          <w:color w:val="000000"/>
          <w:sz w:val="30"/>
          <w:highlight w:val="none"/>
        </w:rPr>
      </w:r>
      <w:r/>
    </w:p>
    <w:p>
      <w:pPr>
        <w:pStyle w:val="681"/>
        <w:spacing w:line="300" w:lineRule="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681"/>
        <w:spacing w:line="300" w:lineRule="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681"/>
        <w:spacing w:line="300" w:lineRule="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681"/>
        <w:jc w:val="center"/>
        <w:spacing w:line="300" w:lineRule="auto"/>
        <w:rPr>
          <w:rFonts w:ascii="黑体" w:hAnsi="华文中宋" w:eastAsia="黑体"/>
          <w:b/>
          <w:color w:val="000000"/>
          <w:spacing w:val="20"/>
          <w:sz w:val="72"/>
          <w:szCs w:val="72"/>
          <w:highlight w:val="none"/>
        </w:rPr>
      </w:pPr>
      <w:r>
        <w:rPr>
          <w:rFonts w:hint="eastAsia" w:ascii="黑体" w:hAnsi="华文中宋" w:eastAsia="黑体"/>
          <w:b/>
          <w:color w:val="000000"/>
          <w:spacing w:val="20"/>
          <w:sz w:val="72"/>
          <w:szCs w:val="72"/>
          <w:highlight w:val="none"/>
        </w:rPr>
        <w:t xml:space="preserve">公</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开</w:t>
      </w:r>
      <w:r>
        <w:rPr>
          <w:rFonts w:ascii="黑体" w:hAnsi="华文中宋" w:eastAsia="黑体"/>
          <w:b/>
          <w:color w:val="000000"/>
          <w:spacing w:val="20"/>
          <w:sz w:val="72"/>
          <w:szCs w:val="72"/>
          <w:highlight w:val="none"/>
        </w:rPr>
      </w:r>
      <w:r/>
    </w:p>
    <w:p>
      <w:pPr>
        <w:pStyle w:val="681"/>
        <w:jc w:val="center"/>
        <w:spacing w:line="300" w:lineRule="auto"/>
        <w:rPr>
          <w:rFonts w:ascii="黑体" w:hAnsi="华文中宋" w:eastAsia="黑体"/>
          <w:b/>
          <w:color w:val="000000"/>
          <w:spacing w:val="20"/>
          <w:sz w:val="72"/>
          <w:szCs w:val="72"/>
          <w:highlight w:val="none"/>
        </w:rPr>
      </w:pPr>
      <w:r>
        <w:rPr>
          <w:rFonts w:ascii="黑体" w:hAnsi="华文中宋" w:eastAsia="黑体"/>
          <w:b/>
          <w:color w:val="000000"/>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-113029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8.9pt,15.6pt" to="-8.8pt,15.6pt" fillcolor="#FFFFFF" strokecolor="#000000" strokeweight="0.14pt"/>
            </w:pict>
          </mc:Fallback>
        </mc:AlternateContent>
      </w:r>
      <w:r>
        <w:rPr>
          <w:rFonts w:hint="eastAsia" w:ascii="黑体" w:hAnsi="华文中宋" w:eastAsia="黑体"/>
          <w:b/>
          <w:color w:val="000000"/>
          <w:spacing w:val="20"/>
          <w:sz w:val="72"/>
          <w:szCs w:val="72"/>
          <w:highlight w:val="none"/>
        </w:rPr>
        <w:t xml:space="preserve">招</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标</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文</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件</w:t>
      </w:r>
      <w:r>
        <w:rPr>
          <w:rFonts w:ascii="黑体" w:hAnsi="华文中宋" w:eastAsia="黑体"/>
          <w:b/>
          <w:color w:val="000000"/>
          <w:spacing w:val="20"/>
          <w:sz w:val="72"/>
          <w:szCs w:val="72"/>
          <w:highlight w:val="none"/>
        </w:rPr>
      </w:r>
      <w:r/>
    </w:p>
    <w:p>
      <w:pPr>
        <w:pStyle w:val="681"/>
        <w:jc w:val="center"/>
        <w:tabs>
          <w:tab w:val="left" w:pos="9921" w:leader="none"/>
        </w:tabs>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681"/>
        <w:jc w:val="center"/>
        <w:spacing w:line="360" w:lineRule="auto"/>
        <w:rPr>
          <w:rFonts w:eastAsia="仿宋_GB2312"/>
          <w:b/>
          <w:color w:val="000000"/>
          <w:sz w:val="24"/>
          <w:highlight w:val="none"/>
        </w:rPr>
      </w:pPr>
      <w:r>
        <w:rPr>
          <w:rFonts w:eastAsia="仿宋_GB2312"/>
          <w:b/>
          <w:color w:val="000000"/>
          <w:sz w:val="24"/>
          <w:highlight w:val="none"/>
        </w:rPr>
      </w:r>
      <w:r/>
    </w:p>
    <w:p>
      <w:pPr>
        <w:pStyle w:val="681"/>
        <w:jc w:val="center"/>
        <w:spacing w:line="360" w:lineRule="auto"/>
        <w:rPr>
          <w:rFonts w:eastAsia="仿宋_GB2312"/>
          <w:b/>
          <w:color w:val="000000"/>
          <w:sz w:val="24"/>
          <w:highlight w:val="none"/>
        </w:rPr>
      </w:pPr>
      <w:r>
        <w:rPr>
          <w:rFonts w:eastAsia="仿宋_GB2312"/>
          <w:b/>
          <w:color w:val="000000"/>
          <w:sz w:val="24"/>
          <w:highlight w:val="none"/>
        </w:rPr>
      </w:r>
      <w:r/>
    </w:p>
    <w:p>
      <w:pPr>
        <w:pStyle w:val="681"/>
        <w:spacing w:line="360" w:lineRule="auto"/>
        <w:rPr>
          <w:rFonts w:eastAsia="仿宋_GB2312"/>
          <w:b/>
          <w:color w:val="000000"/>
          <w:sz w:val="24"/>
          <w:highlight w:val="none"/>
        </w:rPr>
      </w:pPr>
      <w:r>
        <w:rPr>
          <w:rFonts w:eastAsia="仿宋_GB2312"/>
          <w:b/>
          <w:color w:val="000000"/>
          <w:sz w:val="24"/>
          <w:highlight w:val="none"/>
        </w:rPr>
      </w:r>
      <w:r/>
    </w:p>
    <w:p>
      <w:pPr>
        <w:pStyle w:val="681"/>
        <w:spacing w:line="360" w:lineRule="auto"/>
        <w:rPr>
          <w:rFonts w:eastAsia="仿宋_GB2312"/>
          <w:b/>
          <w:color w:val="000000"/>
          <w:sz w:val="24"/>
          <w:highlight w:val="none"/>
        </w:rPr>
      </w:pPr>
      <w:r>
        <w:rPr>
          <w:rFonts w:eastAsia="仿宋_GB2312"/>
          <w:b/>
          <w:color w:val="000000"/>
          <w:sz w:val="24"/>
          <w:highlight w:val="none"/>
        </w:rPr>
      </w:r>
      <w:r/>
    </w:p>
    <w:p>
      <w:pPr>
        <w:pStyle w:val="681"/>
        <w:spacing w:line="360" w:lineRule="auto"/>
        <w:rPr>
          <w:rFonts w:eastAsia="仿宋_GB2312"/>
          <w:b/>
          <w:color w:val="000000"/>
          <w:sz w:val="24"/>
          <w:highlight w:val="none"/>
        </w:rPr>
      </w:pPr>
      <w:r>
        <w:rPr>
          <w:rFonts w:eastAsia="仿宋_GB2312"/>
          <w:b/>
          <w:color w:val="000000"/>
          <w:sz w:val="24"/>
          <w:highlight w:val="none"/>
        </w:rPr>
      </w:r>
      <w:r/>
    </w:p>
    <w:p>
      <w:pPr>
        <w:pStyle w:val="681"/>
        <w:spacing w:line="360" w:lineRule="auto"/>
        <w:rPr>
          <w:rFonts w:eastAsia="仿宋_GB2312"/>
          <w:b/>
          <w:color w:val="000000"/>
          <w:sz w:val="24"/>
          <w:highlight w:val="none"/>
        </w:rPr>
      </w:pPr>
      <w:r>
        <w:rPr>
          <w:rFonts w:eastAsia="仿宋_GB2312"/>
          <w:b/>
          <w:color w:val="000000"/>
          <w:sz w:val="24"/>
          <w:highlight w:val="none"/>
        </w:rPr>
      </w:r>
      <w:r/>
    </w:p>
    <w:p>
      <w:pPr>
        <w:pStyle w:val="681"/>
        <w:spacing w:before="95" w:after="95" w:line="360" w:lineRule="auto"/>
        <w:rPr>
          <w:rFonts w:hint="eastAsia" w:eastAsia="黑体"/>
          <w:b/>
          <w:color w:val="000000"/>
          <w:sz w:val="32"/>
          <w:szCs w:val="32"/>
          <w:highlight w:val="none"/>
          <w:lang w:eastAsia="zh-CN"/>
        </w:rPr>
      </w:pPr>
      <w:r>
        <w:rPr>
          <w:rFonts w:hint="eastAsia"/>
          <w:b/>
          <w:color w:val="000000"/>
          <w:sz w:val="32"/>
          <w:szCs w:val="32"/>
          <w:highlight w:val="none"/>
        </w:rPr>
        <w:t xml:space="preserve">政府采购编号：</w:t>
      </w:r>
      <w:r>
        <w:rPr>
          <w:rFonts w:hint="eastAsia" w:ascii="黑体" w:hAnsi="黑体" w:eastAsia="黑体" w:cs="宋体"/>
          <w:bCs/>
          <w:color w:val="000000"/>
          <w:sz w:val="30"/>
          <w:szCs w:val="30"/>
          <w:highlight w:val="none"/>
          <w:lang w:eastAsia="zh-CN"/>
        </w:rPr>
        <w:t xml:space="preserve">JSZC-320200-ZHCD-G2026-0011</w:t>
      </w:r>
      <w:r>
        <w:rPr>
          <w:rFonts w:hint="eastAsia" w:eastAsia="黑体"/>
          <w:b/>
          <w:color w:val="000000"/>
          <w:sz w:val="32"/>
          <w:szCs w:val="32"/>
          <w:highlight w:val="none"/>
          <w:lang w:eastAsia="zh-CN"/>
        </w:rPr>
      </w:r>
      <w:r/>
    </w:p>
    <w:p>
      <w:pPr>
        <w:pStyle w:val="681"/>
        <w:spacing w:before="95" w:after="95" w:line="360" w:lineRule="auto"/>
        <w:rPr>
          <w:rFonts w:hint="eastAsia" w:eastAsia="宋体"/>
          <w:b/>
          <w:color w:val="000000"/>
          <w:sz w:val="32"/>
          <w:szCs w:val="32"/>
          <w:highlight w:val="none"/>
          <w:lang w:eastAsia="zh-CN"/>
        </w:rPr>
      </w:pPr>
      <w:r>
        <w:rPr>
          <w:rFonts w:hint="eastAsia"/>
          <w:b/>
          <w:color w:val="000000"/>
          <w:sz w:val="32"/>
          <w:szCs w:val="32"/>
          <w:highlight w:val="none"/>
        </w:rPr>
        <w:t xml:space="preserve">采购项目名称：</w:t>
      </w:r>
      <w:r>
        <w:rPr>
          <w:rFonts w:hint="eastAsia"/>
          <w:b/>
          <w:color w:val="000000"/>
          <w:sz w:val="32"/>
          <w:szCs w:val="32"/>
          <w:highlight w:val="none"/>
          <w:lang w:eastAsia="zh-CN"/>
        </w:rPr>
        <w:t xml:space="preserve">江苏省梅村高级中学2026年图书馆设施设备更换项目</w:t>
      </w:r>
      <w:r>
        <w:rPr>
          <w:rFonts w:hint="eastAsia" w:eastAsia="宋体"/>
          <w:b/>
          <w:color w:val="000000"/>
          <w:sz w:val="32"/>
          <w:szCs w:val="32"/>
          <w:highlight w:val="none"/>
          <w:lang w:eastAsia="zh-CN"/>
        </w:rPr>
      </w:r>
      <w:r/>
    </w:p>
    <w:p>
      <w:pPr>
        <w:pStyle w:val="681"/>
        <w:spacing w:before="95" w:after="95" w:line="360" w:lineRule="auto"/>
        <w:rPr>
          <w:rFonts w:hint="eastAsia" w:eastAsia="宋体"/>
          <w:b/>
          <w:color w:val="000000"/>
          <w:sz w:val="24"/>
          <w:highlight w:val="none"/>
          <w:lang w:eastAsia="zh-CN"/>
        </w:rPr>
      </w:pPr>
      <w:r>
        <w:rPr>
          <w:rFonts w:hint="eastAsia"/>
          <w:b/>
          <w:color w:val="000000"/>
          <w:sz w:val="32"/>
          <w:szCs w:val="32"/>
          <w:highlight w:val="none"/>
        </w:rPr>
        <w:t xml:space="preserve">采购人：</w:t>
      </w:r>
      <w:r>
        <w:rPr>
          <w:rFonts w:hint="eastAsia"/>
          <w:b/>
          <w:color w:val="000000"/>
          <w:sz w:val="32"/>
          <w:szCs w:val="32"/>
          <w:highlight w:val="none"/>
          <w:lang w:eastAsia="zh-CN"/>
        </w:rPr>
        <w:t xml:space="preserve">江苏省梅村高级中学</w:t>
      </w:r>
      <w:r>
        <w:rPr>
          <w:rFonts w:hint="eastAsia" w:eastAsia="宋体"/>
          <w:b/>
          <w:color w:val="000000"/>
          <w:sz w:val="24"/>
          <w:highlight w:val="none"/>
          <w:lang w:eastAsia="zh-CN"/>
        </w:rPr>
      </w:r>
      <w:r/>
    </w:p>
    <w:p>
      <w:pPr>
        <w:pStyle w:val="681"/>
        <w:spacing w:before="95" w:after="95" w:line="360" w:lineRule="auto"/>
        <w:rPr>
          <w:rFonts w:hint="eastAsia" w:eastAsia="宋体"/>
          <w:b/>
          <w:color w:val="000000"/>
          <w:sz w:val="32"/>
          <w:szCs w:val="32"/>
          <w:highlight w:val="none"/>
          <w:lang w:eastAsia="zh-CN"/>
        </w:rPr>
      </w:pPr>
      <w:r>
        <w:rPr>
          <w:rFonts w:hint="eastAsia"/>
          <w:b/>
          <w:color w:val="000000"/>
          <w:sz w:val="32"/>
          <w:szCs w:val="32"/>
          <w:highlight w:val="none"/>
        </w:rPr>
        <w:t xml:space="preserve">采购代理机构：</w:t>
      </w:r>
      <w:r>
        <w:rPr>
          <w:rFonts w:hint="eastAsia"/>
          <w:b/>
          <w:color w:val="000000"/>
          <w:sz w:val="32"/>
          <w:szCs w:val="32"/>
          <w:highlight w:val="none"/>
          <w:lang w:eastAsia="zh-CN"/>
        </w:rPr>
        <w:t xml:space="preserve">江苏至衡诚达工程咨询有限公司</w:t>
      </w:r>
      <w:r>
        <w:rPr>
          <w:rFonts w:hint="eastAsia" w:eastAsia="宋体"/>
          <w:b/>
          <w:color w:val="000000"/>
          <w:sz w:val="32"/>
          <w:szCs w:val="32"/>
          <w:highlight w:val="none"/>
          <w:lang w:eastAsia="zh-CN"/>
        </w:rPr>
      </w:r>
      <w:r/>
    </w:p>
    <w:p>
      <w:pPr>
        <w:pStyle w:val="1006"/>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lang w:eastAsia="zh-CN"/>
        </w:rPr>
        <w:t xml:space="preserve">二〇二六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1006"/>
        <w:ind w:firstLine="0"/>
        <w:jc w:val="center"/>
        <w:rPr>
          <w:rFonts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ascii="黑体" w:hAnsi="黑体" w:eastAsia="黑体"/>
          <w:color w:val="000000"/>
          <w:sz w:val="36"/>
          <w:szCs w:val="36"/>
          <w:highlight w:val="none"/>
        </w:rPr>
        <w:t xml:space="preserve">总  目  录</w:t>
      </w:r>
      <w:r>
        <w:rPr>
          <w:rFonts w:ascii="黑体" w:hAnsi="黑体" w:eastAsia="黑体"/>
          <w:color w:val="000000"/>
          <w:sz w:val="36"/>
          <w:szCs w:val="36"/>
          <w:highlight w:val="none"/>
        </w:rPr>
      </w:r>
      <w:r/>
    </w:p>
    <w:p>
      <w:pPr>
        <w:pStyle w:val="681"/>
        <w:jc w:val="center"/>
        <w:spacing w:line="480" w:lineRule="auto"/>
        <w:rPr>
          <w:rFonts w:ascii="黑体" w:hAnsi="Arial" w:eastAsia="黑体"/>
          <w:color w:val="000000"/>
          <w:sz w:val="44"/>
          <w:highlight w:val="none"/>
        </w:rPr>
        <w:outlineLvl w:val="0"/>
      </w:pPr>
      <w:r>
        <w:rPr>
          <w:rFonts w:ascii="黑体" w:hAnsi="Arial" w:eastAsia="黑体"/>
          <w:color w:val="000000"/>
          <w:sz w:val="44"/>
          <w:highlight w:val="none"/>
        </w:rPr>
      </w:r>
      <w:r/>
    </w:p>
    <w:p>
      <w:pPr>
        <w:pStyle w:val="681"/>
        <w:numPr>
          <w:ilvl w:val="0"/>
          <w:numId w:val="5"/>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ascii="宋体" w:hAnsi="宋体"/>
          <w:color w:val="000000"/>
          <w:sz w:val="30"/>
          <w:szCs w:val="30"/>
          <w:highlight w:val="none"/>
        </w:rPr>
      </w:r>
      <w:r/>
    </w:p>
    <w:p>
      <w:pPr>
        <w:pStyle w:val="681"/>
        <w:numPr>
          <w:ilvl w:val="0"/>
          <w:numId w:val="5"/>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ascii="宋体" w:hAnsi="宋体"/>
          <w:color w:val="000000"/>
          <w:sz w:val="30"/>
          <w:szCs w:val="30"/>
          <w:highlight w:val="none"/>
        </w:rPr>
      </w:r>
      <w:r/>
    </w:p>
    <w:p>
      <w:pPr>
        <w:pStyle w:val="681"/>
        <w:numPr>
          <w:ilvl w:val="0"/>
          <w:numId w:val="5"/>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ascii="宋体" w:hAnsi="宋体"/>
          <w:color w:val="000000"/>
          <w:sz w:val="30"/>
          <w:szCs w:val="30"/>
          <w:highlight w:val="none"/>
        </w:rPr>
      </w:r>
      <w:r/>
    </w:p>
    <w:p>
      <w:pPr>
        <w:pStyle w:val="681"/>
        <w:numPr>
          <w:ilvl w:val="0"/>
          <w:numId w:val="5"/>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ascii="宋体" w:hAnsi="宋体"/>
          <w:color w:val="000000"/>
          <w:sz w:val="30"/>
          <w:szCs w:val="30"/>
          <w:highlight w:val="none"/>
        </w:rPr>
      </w:r>
      <w:r/>
    </w:p>
    <w:p>
      <w:pPr>
        <w:pStyle w:val="681"/>
        <w:numPr>
          <w:ilvl w:val="0"/>
          <w:numId w:val="5"/>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ascii="宋体" w:hAnsi="宋体"/>
          <w:color w:val="000000"/>
          <w:sz w:val="30"/>
          <w:szCs w:val="30"/>
          <w:highlight w:val="none"/>
        </w:rPr>
      </w:r>
      <w:r/>
    </w:p>
    <w:p>
      <w:pPr>
        <w:pStyle w:val="681"/>
        <w:numPr>
          <w:ilvl w:val="0"/>
          <w:numId w:val="5"/>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ascii="宋体" w:hAnsi="宋体"/>
          <w:color w:val="000000"/>
          <w:sz w:val="30"/>
          <w:szCs w:val="30"/>
          <w:highlight w:val="none"/>
        </w:rPr>
      </w:r>
      <w:r/>
    </w:p>
    <w:p>
      <w:pPr>
        <w:pStyle w:val="681"/>
        <w:jc w:val="center"/>
        <w:spacing w:line="500" w:lineRule="exact"/>
        <w:tabs>
          <w:tab w:val="left" w:pos="1440" w:leader="none"/>
        </w:tabs>
        <w:rPr>
          <w:rFonts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Pr>
          <w:rFonts w:ascii="黑体" w:hAnsi="黑体" w:eastAsia="黑体"/>
          <w:color w:val="000000"/>
          <w:sz w:val="36"/>
          <w:szCs w:val="36"/>
          <w:highlight w:val="none"/>
        </w:rPr>
      </w:r>
      <w:r/>
    </w:p>
    <w:p>
      <w:pPr>
        <w:pStyle w:val="681"/>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江苏省梅村高级中学</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江苏至衡诚达工程咨询有限公司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江苏省梅村高级中学2026年图书馆设施设备更换项目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JSZC-320200-ZHCD-G2026-0011</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681"/>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681"/>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江苏省梅村高级中学2026年图书馆设施设备更换项目</w:t>
      </w:r>
      <w:r>
        <w:rPr>
          <w:rFonts w:hint="eastAsia" w:ascii="宋体" w:hAnsi="宋体"/>
          <w:color w:val="000000"/>
          <w:sz w:val="24"/>
          <w:szCs w:val="24"/>
          <w:highlight w:val="none"/>
        </w:rPr>
        <w:t xml:space="preserve">的潜在投标人应在江苏政府采购网苏采云平台（</w:t>
      </w:r>
      <w:r>
        <w:rPr>
          <w:rFonts w:hint="eastAsia" w:ascii="宋体" w:hAnsi="宋体"/>
          <w:color w:val="000000"/>
          <w:sz w:val="24"/>
          <w:szCs w:val="24"/>
          <w:highlight w:val="none"/>
          <w:lang w:eastAsia="zh-CN"/>
        </w:rPr>
        <w:t xml:space="preserve">http://jszfcg.jsczt.cn/jszc/login</w:t>
      </w:r>
      <w:r>
        <w:rPr>
          <w:rFonts w:hint="eastAsia" w:ascii="宋体" w:hAnsi="宋体"/>
          <w:color w:val="000000"/>
          <w:sz w:val="24"/>
          <w:szCs w:val="24"/>
          <w:highlight w:val="none"/>
        </w:rPr>
        <w:t xml:space="preserve">）获取招标文件，并于2026</w:t>
      </w:r>
      <w:r>
        <w:rPr>
          <w:rFonts w:hint="eastAsia" w:ascii="宋体" w:hAnsi="宋体"/>
          <w:color w:val="000000"/>
          <w:sz w:val="24"/>
          <w:szCs w:val="24"/>
          <w:highlight w:val="none"/>
          <w:lang w:val="en-US" w:eastAsia="zh-CN"/>
        </w:rPr>
        <w:t xml:space="preserve">年7月13日13</w:t>
      </w:r>
      <w:r>
        <w:rPr>
          <w:rFonts w:hint="eastAsia" w:ascii="宋体" w:hAnsi="宋体"/>
          <w:color w:val="000000"/>
          <w:sz w:val="24"/>
          <w:szCs w:val="24"/>
          <w:highlight w:val="none"/>
        </w:rPr>
        <w:t xml:space="preserve">:30 （北京时间）前递交投标文件。</w:t>
      </w:r>
      <w:r>
        <w:rPr>
          <w:rFonts w:ascii="宋体" w:hAnsi="宋体"/>
          <w:color w:val="000000"/>
          <w:sz w:val="24"/>
          <w:szCs w:val="24"/>
          <w:highlight w:val="none"/>
          <w:shd w:val="clear" w:color="ffffff" w:fill="d9d9d9"/>
        </w:rPr>
      </w:r>
      <w:r/>
    </w:p>
    <w:p>
      <w:pPr>
        <w:pStyle w:val="782"/>
        <w:ind w:firstLine="452"/>
        <w:keepLines w:val="0"/>
        <w:keepNext w:val="0"/>
        <w:spacing w:before="0" w:after="0" w:line="500" w:lineRule="exact"/>
        <w:rPr>
          <w:color w:val="000000"/>
          <w:sz w:val="30"/>
          <w:szCs w:val="30"/>
          <w:highlight w:val="none"/>
        </w:rPr>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681"/>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JSZC-320200-ZHCD-G2026-0011</w:t>
      </w:r>
      <w:r>
        <w:rPr>
          <w:rFonts w:hint="eastAsia" w:ascii="宋体" w:hAnsi="宋体" w:eastAsia="宋体"/>
          <w:color w:val="000000"/>
          <w:sz w:val="24"/>
          <w:szCs w:val="24"/>
          <w:highlight w:val="none"/>
          <w:lang w:eastAsia="zh-CN"/>
        </w:rPr>
      </w:r>
      <w:r/>
    </w:p>
    <w:p>
      <w:pPr>
        <w:pStyle w:val="681"/>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bookmarkEnd w:id="11"/>
      <w:r>
        <w:rPr>
          <w:rFonts w:hint="eastAsia" w:ascii="宋体" w:hAnsi="宋体"/>
          <w:color w:val="000000"/>
          <w:sz w:val="24"/>
          <w:szCs w:val="24"/>
          <w:highlight w:val="none"/>
          <w:lang w:eastAsia="zh-CN"/>
        </w:rPr>
        <w:t xml:space="preserve">江苏省梅村高级中学2026年图书馆设施设备更换项目</w:t>
      </w:r>
      <w:r>
        <w:rPr>
          <w:rFonts w:hint="eastAsia" w:ascii="宋体" w:hAnsi="宋体" w:eastAsia="宋体"/>
          <w:color w:val="000000"/>
          <w:sz w:val="24"/>
          <w:szCs w:val="24"/>
          <w:highlight w:val="none"/>
          <w:lang w:eastAsia="zh-CN"/>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val="en-US" w:eastAsia="zh-CN"/>
        </w:rPr>
        <w:t xml:space="preserve">110万元</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4.最高限价（如有）：</w:t>
      </w:r>
      <w:r>
        <w:rPr>
          <w:rFonts w:hint="eastAsia" w:ascii="宋体" w:hAnsi="宋体"/>
          <w:color w:val="000000"/>
          <w:sz w:val="24"/>
          <w:szCs w:val="24"/>
          <w:highlight w:val="none"/>
          <w:lang w:val="en-US" w:eastAsia="zh-CN"/>
        </w:rPr>
        <w:t xml:space="preserve">110万元</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ascii="宋体" w:hAnsi="宋体"/>
          <w:color w:val="000000"/>
          <w:sz w:val="24"/>
          <w:szCs w:val="24"/>
          <w:highlight w:val="none"/>
        </w:rPr>
      </w:r>
      <w:r/>
    </w:p>
    <w:p>
      <w:pPr>
        <w:pStyle w:val="681"/>
        <w:ind w:firstLine="482"/>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olor w:val="000000"/>
          <w:sz w:val="24"/>
          <w:szCs w:val="24"/>
          <w:highlight w:val="none"/>
          <w:lang w:eastAsia="zh-CN"/>
        </w:rPr>
        <w:t xml:space="preserve">江苏省梅村高级中学2026年图书馆设施设备更换项目</w:t>
      </w:r>
      <w:r>
        <w:rPr>
          <w:rFonts w:hint="eastAsia" w:ascii="宋体" w:hAnsi="宋体"/>
          <w:color w:val="000000"/>
          <w:sz w:val="24"/>
          <w:szCs w:val="24"/>
          <w:highlight w:val="none"/>
        </w:rPr>
        <w:t xml:space="preserve">，具体详见采购文件第四章“采购需求”。</w:t>
      </w:r>
      <w:r>
        <w:rPr>
          <w:rFonts w:ascii="宋体" w:hAnsi="宋体"/>
          <w:color w:val="000000"/>
          <w:sz w:val="24"/>
          <w:szCs w:val="24"/>
          <w:highlight w:val="none"/>
        </w:rPr>
      </w:r>
      <w:r/>
    </w:p>
    <w:p>
      <w:pPr>
        <w:pStyle w:val="681"/>
        <w:ind w:firstLine="482"/>
        <w:spacing w:line="500" w:lineRule="exact"/>
        <w:rPr>
          <w:rFonts w:hint="eastAsia" w:ascii="宋体" w:hAnsi="宋体"/>
          <w:color w:val="000000"/>
          <w:sz w:val="24"/>
          <w:highlight w:val="none"/>
        </w:rPr>
      </w:pPr>
      <w:r>
        <w:rPr>
          <w:rFonts w:hint="eastAsia" w:ascii="宋体" w:hAnsi="宋体"/>
          <w:color w:val="000000"/>
          <w:sz w:val="24"/>
          <w:szCs w:val="24"/>
          <w:highlight w:val="none"/>
        </w:rPr>
        <w:t xml:space="preserve">7.合同履行期限：</w:t>
      </w:r>
      <w:r>
        <w:rPr>
          <w:rFonts w:hint="eastAsia" w:ascii="宋体" w:hAnsi="宋体"/>
          <w:color w:val="000000"/>
          <w:sz w:val="24"/>
          <w:highlight w:val="none"/>
        </w:rPr>
        <w:t xml:space="preserve">自合同签订生效起且接到采购人通知后</w:t>
      </w:r>
      <w:r>
        <w:rPr>
          <w:rFonts w:hint="eastAsia" w:ascii="宋体" w:hAnsi="宋体"/>
          <w:color w:val="000000"/>
          <w:sz w:val="24"/>
          <w:highlight w:val="none"/>
          <w:lang w:val="en-US" w:eastAsia="zh-CN"/>
        </w:rPr>
        <w:t xml:space="preserve">30日内送货</w:t>
      </w:r>
      <w:r>
        <w:rPr>
          <w:rFonts w:hint="eastAsia" w:ascii="宋体" w:hAnsi="宋体"/>
          <w:color w:val="000000"/>
          <w:sz w:val="24"/>
          <w:highlight w:val="none"/>
        </w:rPr>
        <w:t xml:space="preserve">到指定地点并安装完毕交付使用。</w:t>
      </w:r>
      <w:r>
        <w:rPr>
          <w:rFonts w:hint="eastAsia" w:ascii="宋体" w:hAnsi="宋体"/>
          <w:color w:val="000000"/>
          <w:sz w:val="24"/>
          <w:highlight w:val="none"/>
        </w:rPr>
      </w:r>
      <w:r/>
    </w:p>
    <w:p>
      <w:pPr>
        <w:pStyle w:val="681"/>
        <w:ind w:firstLine="480"/>
        <w:spacing w:line="500" w:lineRule="exact"/>
        <w:rPr>
          <w:rFonts w:ascii="宋体" w:hAnsi="宋体" w:cs="宋体"/>
          <w:color w:val="000000"/>
          <w:sz w:val="24"/>
          <w:szCs w:val="24"/>
          <w:highlight w:val="none"/>
        </w:rPr>
      </w:pPr>
      <w:r>
        <w:rPr>
          <w:rFonts w:hint="eastAsia" w:ascii="宋体" w:hAnsi="宋体"/>
          <w:color w:val="000000"/>
          <w:sz w:val="24"/>
          <w:highlight w:val="none"/>
        </w:rPr>
        <w:t xml:space="preserve">8</w:t>
      </w:r>
      <w:r>
        <w:rPr>
          <w:rFonts w:hint="eastAsia" w:ascii="宋体" w:hAnsi="宋体" w:cs="宋体"/>
          <w:color w:val="000000"/>
          <w:sz w:val="24"/>
          <w:szCs w:val="24"/>
          <w:highlight w:val="none"/>
        </w:rPr>
        <w:t xml:space="preserve">.本项目（是/否）接受联合体投标：否。</w:t>
      </w:r>
      <w:r>
        <w:rPr>
          <w:rFonts w:ascii="宋体" w:hAnsi="宋体" w:cs="宋体"/>
          <w:color w:val="000000"/>
          <w:sz w:val="24"/>
          <w:szCs w:val="24"/>
          <w:highlight w:val="none"/>
        </w:rPr>
      </w:r>
      <w:r/>
    </w:p>
    <w:p>
      <w:pPr>
        <w:pStyle w:val="782"/>
        <w:ind w:firstLine="452"/>
        <w:keepLines w:val="0"/>
        <w:keepNext w:val="0"/>
        <w:spacing w:before="0" w:after="0" w:line="500" w:lineRule="exact"/>
        <w:rPr>
          <w:color w:val="000000"/>
          <w:sz w:val="30"/>
          <w:szCs w:val="30"/>
          <w:highlight w:val="none"/>
        </w:rPr>
      </w:pPr>
      <w:r/>
      <w:bookmarkStart w:id="12" w:name="_Toc28359003"/>
      <w:r/>
      <w:bookmarkStart w:id="13" w:name="_Toc38985264"/>
      <w:r/>
      <w:bookmarkStart w:id="14" w:name="_Toc35393791"/>
      <w:r/>
      <w:bookmarkStart w:id="15" w:name="_Toc28359080"/>
      <w:r/>
      <w:bookmarkStart w:id="16" w:name="_Toc35393622"/>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681"/>
        <w:ind w:firstLine="480"/>
        <w:spacing w:line="500" w:lineRule="exact"/>
        <w:rPr>
          <w:rFonts w:ascii="宋体" w:hAnsi="宋体"/>
          <w:color w:val="000000"/>
          <w:sz w:val="24"/>
          <w:szCs w:val="24"/>
          <w:highlight w:val="none"/>
        </w:rPr>
      </w:pPr>
      <w:r/>
      <w:bookmarkStart w:id="17" w:name="_Toc35393792"/>
      <w:r/>
      <w:bookmarkStart w:id="18" w:name="_Toc28359081"/>
      <w:r/>
      <w:bookmarkStart w:id="19" w:name="_Toc28359004"/>
      <w:r/>
      <w:bookmarkStart w:id="20" w:name="_Toc38985265"/>
      <w:r/>
      <w:bookmarkStart w:id="21" w:name="_Toc35393623"/>
      <w:r>
        <w:rPr>
          <w:rFonts w:hint="eastAsia" w:ascii="宋体" w:hAnsi="宋体"/>
          <w:color w:val="000000"/>
          <w:sz w:val="24"/>
          <w:szCs w:val="24"/>
          <w:highlight w:val="none"/>
        </w:rPr>
        <w:t xml:space="preserve">（一）满足《中华人民共和国政府采购法》第二十二条规定：</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2.《授权委托书》（给定格式；投标人如是自然人情形的，可不提供）。</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4.投标人近一年中任意一个月份（不含投标当月）的依法缴纳税收的相关材料（提供相关主管部门证明或银行代扣证明）。</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5.投标人近一年中任意一个月份（不含投标当月）的依法缴纳社会保障资金的相关材料（提供相关主管部门证明或银行代扣证明）。</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6.《资格声明函》（给定格式）。</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（二）落实政府采购政策需满足的资格要求：</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1.中小企业政策：本项目</w:t>
      </w:r>
      <w:r>
        <w:rPr>
          <w:rFonts w:hint="eastAsia" w:ascii="宋体" w:hAnsi="宋体"/>
          <w:color w:val="000000"/>
          <w:sz w:val="24"/>
          <w:szCs w:val="24"/>
          <w:highlight w:val="none"/>
          <w:lang w:val="en-US" w:eastAsia="zh-CN"/>
        </w:rPr>
        <w:t xml:space="preserve">不</w:t>
      </w:r>
      <w:r>
        <w:rPr>
          <w:rFonts w:hint="eastAsia" w:ascii="宋体" w:hAnsi="宋体"/>
          <w:color w:val="000000"/>
          <w:sz w:val="24"/>
          <w:szCs w:val="24"/>
          <w:highlight w:val="none"/>
        </w:rPr>
        <w:t xml:space="preserve">专门面向中小企业采购（残疾人福利性单位、监狱企业视同小型、微型企业）。本项目标的所属行业：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（三）本项目的特定资格要求： </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无。</w:t>
      </w:r>
      <w:r>
        <w:rPr>
          <w:rFonts w:ascii="宋体" w:hAnsi="宋体"/>
          <w:color w:val="000000"/>
          <w:sz w:val="24"/>
          <w:szCs w:val="24"/>
          <w:highlight w:val="none"/>
        </w:rPr>
      </w:r>
      <w:r/>
    </w:p>
    <w:p>
      <w:pPr>
        <w:pStyle w:val="78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681"/>
        <w:ind w:firstLine="540"/>
        <w:spacing w:line="500" w:lineRule="exact"/>
        <w:rPr>
          <w:rFonts w:ascii="宋体" w:hAnsi="宋体"/>
          <w:color w:val="000000"/>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 </w:t>
      </w:r>
      <w:r>
        <w:rPr>
          <w:rFonts w:ascii="宋体" w:hAnsi="宋体"/>
          <w:color w:val="000000"/>
          <w:sz w:val="24"/>
          <w:szCs w:val="24"/>
          <w:highlight w:val="none"/>
        </w:rPr>
      </w:r>
      <w:r/>
    </w:p>
    <w:p>
      <w:pPr>
        <w:pStyle w:val="681"/>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w:t>
      </w:r>
      <w:r>
        <w:rPr>
          <w:rFonts w:ascii="宋体" w:hAnsi="宋体"/>
          <w:bCs/>
          <w:color w:val="000000"/>
          <w:sz w:val="24"/>
          <w:szCs w:val="24"/>
          <w:highlight w:val="none"/>
        </w:rPr>
      </w:r>
      <w:r/>
    </w:p>
    <w:p>
      <w:pPr>
        <w:pStyle w:val="681"/>
        <w:ind w:firstLine="540"/>
        <w:spacing w:line="500" w:lineRule="exact"/>
        <w:rPr>
          <w:rStyle w:val="856"/>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w:t>
      </w:r>
      <w:r>
        <w:rPr>
          <w:rFonts w:hint="eastAsia" w:ascii="宋体" w:hAnsi="宋体"/>
          <w:color w:val="000000"/>
          <w:sz w:val="24"/>
          <w:szCs w:val="24"/>
          <w:highlight w:val="none"/>
          <w:lang w:eastAsia="zh-CN"/>
        </w:rPr>
        <w:t xml:space="preserve">http://jszfcg.jsczt.cn/jszc/login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（苏采云）平台”获取的</w:t>
      </w:r>
      <w:r>
        <w:rPr>
          <w:rFonts w:hint="eastAsia" w:ascii="宋体" w:hAnsi="宋体"/>
          <w:bCs/>
          <w:color w:val="000000"/>
          <w:sz w:val="24"/>
          <w:szCs w:val="24"/>
          <w:highlight w:val="none"/>
        </w:rPr>
        <w:t xml:space="preserve">招标文件，视为依法获取的招标文件。</w:t>
      </w:r>
      <w:r>
        <w:rPr>
          <w:rStyle w:val="856"/>
          <w:color w:val="000000"/>
          <w:highlight w:val="none"/>
        </w:rPr>
      </w:r>
      <w:r/>
    </w:p>
    <w:p>
      <w:pPr>
        <w:pStyle w:val="681"/>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4.售价：0.00元</w:t>
      </w:r>
      <w:r>
        <w:rPr>
          <w:rFonts w:ascii="宋体" w:hAnsi="宋体"/>
          <w:bCs/>
          <w:color w:val="000000"/>
          <w:sz w:val="24"/>
          <w:szCs w:val="24"/>
          <w:highlight w:val="none"/>
        </w:rPr>
      </w:r>
      <w:r/>
    </w:p>
    <w:p>
      <w:pPr>
        <w:pStyle w:val="78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ascii="宋体" w:hAnsi="宋体"/>
          <w:color w:val="000000"/>
          <w:sz w:val="24"/>
          <w:szCs w:val="24"/>
          <w:highlight w:val="none"/>
        </w:rPr>
        <w:t xml:space="preserve">：202</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7</w:t>
      </w:r>
      <w:r>
        <w:rPr>
          <w:rFonts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13</w:t>
      </w:r>
      <w:r>
        <w:rPr>
          <w:rFonts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13</w:t>
      </w:r>
      <w:r>
        <w:rPr>
          <w:rFonts w:ascii="宋体" w:hAnsi="宋体"/>
          <w:color w:val="000000"/>
          <w:sz w:val="24"/>
          <w:szCs w:val="24"/>
          <w:highlight w:val="none"/>
        </w:rPr>
        <w:t xml:space="preserve">点</w:t>
      </w:r>
      <w:r>
        <w:rPr>
          <w:rFonts w:hint="eastAsia" w:ascii="宋体" w:hAnsi="宋体"/>
          <w:color w:val="000000"/>
          <w:sz w:val="24"/>
          <w:szCs w:val="24"/>
          <w:highlight w:val="none"/>
        </w:rPr>
        <w:t xml:space="preserve">30</w:t>
      </w:r>
      <w:r>
        <w:rPr>
          <w:rFonts w:ascii="宋体" w:hAnsi="宋体"/>
          <w:color w:val="000000"/>
          <w:sz w:val="24"/>
          <w:szCs w:val="24"/>
          <w:highlight w:val="none"/>
        </w:rPr>
        <w:t xml:space="preserve">分（北京时</w:t>
      </w:r>
      <w:r>
        <w:rPr>
          <w:rFonts w:hint="eastAsia" w:ascii="宋体" w:hAnsi="宋体"/>
          <w:bCs/>
          <w:color w:val="000000"/>
          <w:sz w:val="24"/>
          <w:szCs w:val="24"/>
          <w:highlight w:val="none"/>
        </w:rPr>
        <w:t xml:space="preserve">间）</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w:t>
      </w:r>
      <w:r>
        <w:rPr>
          <w:rFonts w:hint="eastAsia" w:ascii="宋体" w:hAnsi="宋体"/>
          <w:color w:val="000000"/>
          <w:sz w:val="24"/>
          <w:szCs w:val="24"/>
          <w:highlight w:val="none"/>
        </w:rPr>
        <w:t xml:space="preserve">网上开标大厅。</w:t>
      </w:r>
      <w:r>
        <w:rPr>
          <w:rFonts w:ascii="宋体" w:hAnsi="宋体"/>
          <w:bCs/>
          <w:color w:val="000000"/>
          <w:sz w:val="24"/>
          <w:szCs w:val="24"/>
          <w:highlight w:val="none"/>
          <w:u w:val="single"/>
        </w:rPr>
      </w:r>
      <w:r/>
    </w:p>
    <w:p>
      <w:pPr>
        <w:pStyle w:val="782"/>
        <w:ind w:firstLine="452"/>
        <w:keepLines w:val="0"/>
        <w:keepNext w:val="0"/>
        <w:spacing w:before="0" w:after="0" w:line="500" w:lineRule="exact"/>
        <w:rPr>
          <w:color w:val="000000"/>
          <w:sz w:val="30"/>
          <w:szCs w:val="30"/>
          <w:highlight w:val="none"/>
        </w:rPr>
      </w:pPr>
      <w:r/>
      <w:bookmarkStart w:id="27" w:name="_Toc35393794"/>
      <w:r/>
      <w:bookmarkStart w:id="28" w:name="_Toc28359084"/>
      <w:r/>
      <w:bookmarkStart w:id="29" w:name="_Toc28359007"/>
      <w:r/>
      <w:bookmarkStart w:id="30" w:name="_Toc38985267"/>
      <w:r/>
      <w:bookmarkStart w:id="31" w:name="_Toc35393625"/>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681"/>
        <w:ind w:firstLine="480"/>
        <w:spacing w:line="500" w:lineRule="exact"/>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78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681"/>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782"/>
        <w:ind w:firstLine="452"/>
        <w:keepLines w:val="0"/>
        <w:keepNext w:val="0"/>
        <w:spacing w:before="0" w:after="0" w:line="500" w:lineRule="exact"/>
        <w:rPr>
          <w:color w:val="000000"/>
          <w:sz w:val="30"/>
          <w:szCs w:val="30"/>
          <w:highlight w:val="none"/>
        </w:rPr>
      </w:pPr>
      <w:r/>
      <w:bookmarkStart w:id="35" w:name="_Toc35393796"/>
      <w:r/>
      <w:bookmarkStart w:id="36" w:name="_Toc35393627"/>
      <w:r/>
      <w:bookmarkStart w:id="37" w:name="_Toc38985269"/>
      <w:r/>
      <w:bookmarkStart w:id="38" w:name="_Toc28359085"/>
      <w:r/>
      <w:bookmarkStart w:id="39" w:name="_Toc28359008"/>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782"/>
        <w:ind w:firstLine="452"/>
        <w:keepLines w:val="0"/>
        <w:keepNext w:val="0"/>
        <w:spacing w:before="0" w:after="0"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江苏省梅村高级中学</w:t>
      </w:r>
      <w:r>
        <w:rPr>
          <w:rFonts w:hint="eastAsia" w:ascii="宋体" w:hAnsi="宋体" w:eastAsia="宋体" w:cs="宋体"/>
          <w:color w:val="000000"/>
          <w:sz w:val="24"/>
          <w:szCs w:val="24"/>
          <w:highlight w:val="none"/>
          <w:lang w:eastAsia="zh-CN"/>
        </w:rPr>
      </w:r>
      <w:r/>
    </w:p>
    <w:p>
      <w:pPr>
        <w:pStyle w:val="782"/>
        <w:ind w:firstLine="452"/>
        <w:keepLines w:val="0"/>
        <w:keepNext w:val="0"/>
        <w:spacing w:before="0" w:after="0"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无锡市新吴区梅村街道梅育路63号</w:t>
      </w:r>
      <w:r>
        <w:rPr>
          <w:rFonts w:hint="eastAsia" w:ascii="宋体" w:hAnsi="宋体" w:eastAsia="宋体" w:cs="宋体"/>
          <w:color w:val="000000"/>
          <w:sz w:val="24"/>
          <w:szCs w:val="24"/>
          <w:highlight w:val="none"/>
          <w:lang w:eastAsia="zh-CN"/>
        </w:rPr>
      </w:r>
      <w:r/>
    </w:p>
    <w:p>
      <w:pPr>
        <w:pStyle w:val="782"/>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ascii="宋体" w:hAnsi="宋体" w:cs="宋体"/>
          <w:color w:val="000000"/>
          <w:sz w:val="24"/>
          <w:szCs w:val="24"/>
          <w:highlight w:val="none"/>
        </w:rPr>
      </w:r>
      <w:r/>
    </w:p>
    <w:p>
      <w:pPr>
        <w:pStyle w:val="782"/>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782"/>
        <w:ind w:firstLine="452"/>
        <w:keepLines w:val="0"/>
        <w:keepNext w:val="0"/>
        <w:spacing w:before="0" w:after="0"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江苏至衡诚达工程咨询有限公司</w:t>
      </w:r>
      <w:r>
        <w:rPr>
          <w:rFonts w:hint="eastAsia" w:ascii="宋体" w:hAnsi="宋体" w:eastAsia="宋体" w:cs="宋体"/>
          <w:color w:val="000000"/>
          <w:sz w:val="24"/>
          <w:szCs w:val="24"/>
          <w:highlight w:val="none"/>
          <w:lang w:eastAsia="zh-CN"/>
        </w:rPr>
      </w:r>
      <w:r/>
    </w:p>
    <w:p>
      <w:pPr>
        <w:pStyle w:val="782"/>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无锡市滨湖区隐秀路813号A2111</w:t>
      </w:r>
      <w:r>
        <w:rPr>
          <w:rFonts w:ascii="宋体" w:hAnsi="宋体" w:cs="宋体"/>
          <w:color w:val="000000"/>
          <w:sz w:val="24"/>
          <w:szCs w:val="24"/>
          <w:highlight w:val="none"/>
        </w:rPr>
      </w:r>
      <w:r/>
    </w:p>
    <w:p>
      <w:pPr>
        <w:pStyle w:val="782"/>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ascii="宋体" w:hAnsi="宋体" w:cs="宋体"/>
          <w:color w:val="000000"/>
          <w:sz w:val="24"/>
          <w:szCs w:val="24"/>
          <w:highlight w:val="none"/>
        </w:rPr>
      </w:r>
      <w:r/>
    </w:p>
    <w:p>
      <w:pPr>
        <w:pStyle w:val="782"/>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782"/>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w:t>
      </w:r>
      <w:r>
        <w:rPr>
          <w:rFonts w:hint="eastAsia" w:ascii="宋体" w:hAnsi="宋体" w:cs="宋体"/>
          <w:color w:val="000000"/>
          <w:sz w:val="24"/>
          <w:szCs w:val="24"/>
          <w:highlight w:val="none"/>
          <w:lang w:val="en-US" w:eastAsia="zh-CN"/>
        </w:rPr>
        <w:t xml:space="preserve">任昊</w:t>
      </w:r>
      <w:r>
        <w:rPr>
          <w:rFonts w:hint="eastAsia" w:ascii="宋体" w:hAnsi="宋体" w:cs="宋体"/>
          <w:color w:val="000000"/>
          <w:sz w:val="24"/>
          <w:szCs w:val="24"/>
          <w:highlight w:val="none"/>
        </w:rPr>
        <w:t xml:space="preserve">；电话：</w:t>
      </w:r>
      <w:r>
        <w:rPr>
          <w:rFonts w:hint="eastAsia" w:ascii="宋体" w:hAnsi="宋体" w:cs="宋体"/>
          <w:color w:val="000000"/>
          <w:sz w:val="24"/>
          <w:szCs w:val="24"/>
          <w:highlight w:val="none"/>
          <w:lang w:eastAsia="zh-CN"/>
        </w:rPr>
        <w:t xml:space="preserve">18014922106</w:t>
      </w:r>
      <w:r>
        <w:rPr>
          <w:rFonts w:ascii="宋体" w:hAnsi="宋体" w:cs="宋体"/>
          <w:color w:val="000000"/>
          <w:sz w:val="24"/>
          <w:szCs w:val="24"/>
          <w:highlight w:val="none"/>
        </w:rPr>
      </w:r>
      <w:r/>
    </w:p>
    <w:p>
      <w:pPr>
        <w:pStyle w:val="782"/>
        <w:ind w:firstLine="452"/>
        <w:keepLines w:val="0"/>
        <w:keepNext w:val="0"/>
        <w:spacing w:before="0" w:after="0" w:line="500" w:lineRule="exact"/>
        <w:rPr>
          <w:rFonts w:hint="eastAsia" w:eastAsia="宋体"/>
          <w:color w:val="000000"/>
          <w:sz w:val="30"/>
          <w:szCs w:val="30"/>
          <w:highlight w:val="none"/>
          <w:lang w:eastAsia="zh-CN"/>
        </w:rPr>
      </w:pPr>
      <w:r>
        <w:rPr>
          <w:rFonts w:hint="eastAsia" w:ascii="宋体" w:hAnsi="宋体" w:cs="宋体"/>
          <w:color w:val="000000"/>
          <w:sz w:val="24"/>
          <w:szCs w:val="24"/>
          <w:highlight w:val="none"/>
        </w:rPr>
        <w:t xml:space="preserve">代理机构项目联系人：</w:t>
      </w:r>
      <w:r>
        <w:rPr>
          <w:rFonts w:hint="eastAsia" w:ascii="宋体" w:hAnsi="宋体" w:cs="宋体"/>
          <w:color w:val="000000"/>
          <w:sz w:val="24"/>
          <w:szCs w:val="24"/>
          <w:highlight w:val="none"/>
          <w:lang w:val="en-US" w:eastAsia="zh-CN"/>
        </w:rPr>
        <w:t xml:space="preserve">任昊</w:t>
      </w:r>
      <w:r>
        <w:rPr>
          <w:rFonts w:hint="eastAsia" w:ascii="宋体" w:hAnsi="宋体" w:cs="宋体"/>
          <w:color w:val="000000"/>
          <w:sz w:val="24"/>
          <w:szCs w:val="24"/>
          <w:highlight w:val="none"/>
        </w:rPr>
        <w:t xml:space="preserve">；电话：</w:t>
      </w:r>
      <w:r>
        <w:rPr>
          <w:rFonts w:hint="eastAsia" w:ascii="宋体" w:hAnsi="宋体" w:cs="宋体"/>
          <w:color w:val="000000"/>
          <w:sz w:val="24"/>
          <w:szCs w:val="24"/>
          <w:highlight w:val="none"/>
          <w:lang w:eastAsia="zh-CN"/>
        </w:rPr>
        <w:t xml:space="preserve">18014922106</w:t>
      </w:r>
      <w:r>
        <w:rPr>
          <w:rFonts w:hint="eastAsia" w:eastAsia="宋体"/>
          <w:color w:val="000000"/>
          <w:sz w:val="30"/>
          <w:szCs w:val="30"/>
          <w:highlight w:val="none"/>
          <w:lang w:eastAsia="zh-CN"/>
        </w:rPr>
      </w:r>
      <w:r/>
    </w:p>
    <w:p>
      <w:pPr>
        <w:pStyle w:val="78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681"/>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681"/>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6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”点击“</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6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6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681"/>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681"/>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681"/>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\t "_blank" \o "“苏采云”系统供应商操作手册"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81"/>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6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681"/>
        <w:ind w:firstLine="480"/>
        <w:spacing w:line="5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江苏至衡诚达工程咨询有限公司</w:t>
      </w:r>
      <w:r>
        <w:rPr>
          <w:rFonts w:hint="eastAsia" w:ascii="宋体" w:hAnsi="宋体"/>
          <w:bCs/>
          <w:color w:val="000000"/>
          <w:sz w:val="24"/>
          <w:szCs w:val="24"/>
          <w:highlight w:val="none"/>
        </w:rPr>
        <w:t xml:space="preserve">在“江苏政府采购网”发布的更正公告。</w:t>
      </w:r>
      <w:r>
        <w:rPr>
          <w:rFonts w:ascii="宋体" w:hAnsi="宋体"/>
          <w:bCs/>
          <w:color w:val="000000"/>
          <w:sz w:val="24"/>
          <w:szCs w:val="24"/>
          <w:highlight w:val="none"/>
        </w:rPr>
      </w:r>
      <w:r/>
    </w:p>
    <w:p>
      <w:pPr>
        <w:pStyle w:val="681"/>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rPr>
      </w:r>
      <w:r/>
    </w:p>
    <w:p>
      <w:pPr>
        <w:pStyle w:val="681"/>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rPr>
      </w:r>
      <w:r/>
    </w:p>
    <w:p>
      <w:pPr>
        <w:pStyle w:val="681"/>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81"/>
        <w:jc w:val="center"/>
        <w:spacing w:line="500" w:lineRule="exact"/>
        <w:tabs>
          <w:tab w:val="left" w:pos="1440" w:leader="none"/>
        </w:tabs>
        <w:rPr>
          <w:rFonts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0"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0"/>
      <w:r/>
      <w:bookmarkStart w:id="41" w:name="_Toc513029202"/>
      <w:r/>
      <w:bookmarkStart w:id="42" w:name="_Toc120614213"/>
      <w:r/>
      <w:bookmarkStart w:id="43" w:name="_Toc20823274"/>
      <w:r/>
      <w:bookmarkStart w:id="44" w:name="_Toc16938518"/>
      <w:r>
        <w:rPr>
          <w:rFonts w:hint="eastAsia" w:ascii="黑体" w:hAnsi="黑体" w:eastAsia="黑体"/>
          <w:color w:val="000000"/>
          <w:sz w:val="36"/>
          <w:szCs w:val="36"/>
          <w:highlight w:val="none"/>
        </w:rPr>
        <w:t xml:space="preserve">投标人须知</w:t>
      </w:r>
      <w:bookmarkEnd w:id="41"/>
      <w:r/>
      <w:bookmarkEnd w:id="42"/>
      <w:r/>
      <w:bookmarkEnd w:id="43"/>
      <w:r/>
      <w:bookmarkEnd w:id="44"/>
      <w:r>
        <w:rPr>
          <w:rFonts w:ascii="黑体" w:hAnsi="黑体" w:eastAsia="黑体"/>
          <w:color w:val="000000"/>
          <w:sz w:val="36"/>
          <w:szCs w:val="36"/>
          <w:highlight w:val="none"/>
        </w:rPr>
      </w:r>
      <w:r/>
    </w:p>
    <w:p>
      <w:pPr>
        <w:pStyle w:val="782"/>
        <w:ind w:firstLine="452"/>
        <w:keepLines w:val="0"/>
        <w:keepNext w:val="0"/>
        <w:spacing w:before="0" w:after="0" w:line="500" w:lineRule="exact"/>
        <w:rPr>
          <w:color w:val="000000"/>
          <w:sz w:val="30"/>
          <w:szCs w:val="30"/>
          <w:highlight w:val="none"/>
        </w:rPr>
      </w:pPr>
      <w:r/>
      <w:bookmarkStart w:id="45" w:name="_Toc16938519"/>
      <w:r/>
      <w:bookmarkStart w:id="46" w:name="_Toc20823275"/>
      <w:r/>
      <w:bookmarkStart w:id="47" w:name="_Toc513029203"/>
      <w:r/>
      <w:bookmarkStart w:id="48" w:name="_Toc120614214"/>
      <w:r>
        <w:rPr>
          <w:rFonts w:hint="eastAsia"/>
          <w:color w:val="000000"/>
          <w:sz w:val="30"/>
          <w:szCs w:val="30"/>
          <w:highlight w:val="none"/>
        </w:rPr>
        <w:t xml:space="preserve">一、总则</w:t>
      </w:r>
      <w:bookmarkEnd w:id="45"/>
      <w:r/>
      <w:bookmarkEnd w:id="46"/>
      <w:r/>
      <w:bookmarkEnd w:id="47"/>
      <w:r/>
      <w:bookmarkEnd w:id="48"/>
      <w:r>
        <w:rPr>
          <w:color w:val="000000"/>
          <w:sz w:val="30"/>
          <w:szCs w:val="30"/>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49" w:name="_Hlt16619475"/>
      <w:r/>
      <w:bookmarkEnd w:id="49"/>
      <w:r/>
      <w:bookmarkStart w:id="50" w:name="_Toc513029204"/>
      <w:r/>
      <w:bookmarkStart w:id="51" w:name="_Toc16938520"/>
      <w:r/>
      <w:bookmarkStart w:id="52" w:name="_Toc20823276"/>
      <w:r>
        <w:rPr>
          <w:rFonts w:hint="eastAsia" w:ascii="宋体" w:hAnsi="宋体" w:eastAsia="宋体"/>
          <w:bCs w:val="0"/>
          <w:color w:val="000000"/>
          <w:highlight w:val="none"/>
        </w:rPr>
        <w:t xml:space="preserve">1.招标方式</w:t>
      </w:r>
      <w:bookmarkEnd w:id="50"/>
      <w:r/>
      <w:bookmarkEnd w:id="51"/>
      <w:r/>
      <w:bookmarkEnd w:id="52"/>
      <w:r>
        <w:rPr>
          <w:rFonts w:ascii="宋体" w:hAnsi="宋体" w:eastAsia="宋体"/>
          <w:bCs w:val="0"/>
          <w:color w:val="000000"/>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ascii="宋体" w:hAnsi="宋体"/>
          <w:color w:val="000000"/>
          <w:sz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53" w:name="_Toc16938521"/>
      <w:r/>
      <w:bookmarkStart w:id="54" w:name="_Toc20823277"/>
      <w:r/>
      <w:bookmarkStart w:id="55" w:name="_Toc513029205"/>
      <w:r>
        <w:rPr>
          <w:rFonts w:hint="eastAsia" w:ascii="宋体" w:hAnsi="宋体" w:eastAsia="宋体"/>
          <w:bCs w:val="0"/>
          <w:color w:val="000000"/>
          <w:highlight w:val="none"/>
        </w:rPr>
        <w:t xml:space="preserve">2.</w:t>
      </w:r>
      <w:bookmarkEnd w:id="53"/>
      <w:r/>
      <w:bookmarkEnd w:id="54"/>
      <w:r/>
      <w:bookmarkEnd w:id="55"/>
      <w:r>
        <w:rPr>
          <w:rFonts w:hint="eastAsia" w:ascii="宋体" w:hAnsi="宋体" w:eastAsia="宋体"/>
          <w:bCs w:val="0"/>
          <w:color w:val="000000"/>
          <w:highlight w:val="none"/>
        </w:rPr>
        <w:t xml:space="preserve">采购人、采购代理机构、投标人、联合体</w:t>
      </w:r>
      <w:r>
        <w:rPr>
          <w:rFonts w:ascii="宋体" w:hAnsi="宋体" w:eastAsia="宋体"/>
          <w:bCs w:val="0"/>
          <w:color w:val="000000"/>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color w:val="000000"/>
          <w:sz w:val="24"/>
          <w:szCs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56" w:name="_Toc20823278"/>
      <w:r/>
      <w:bookmarkStart w:id="57" w:name="_Toc16938522"/>
      <w:r/>
      <w:bookmarkStart w:id="58" w:name="_Toc513029206"/>
      <w:r>
        <w:rPr>
          <w:rFonts w:hint="eastAsia" w:ascii="宋体" w:hAnsi="宋体" w:eastAsia="宋体"/>
          <w:bCs w:val="0"/>
          <w:color w:val="000000"/>
          <w:highlight w:val="none"/>
        </w:rPr>
        <w:t xml:space="preserve">3.适用法律</w:t>
      </w:r>
      <w:bookmarkEnd w:id="56"/>
      <w:r/>
      <w:bookmarkEnd w:id="57"/>
      <w:r/>
      <w:bookmarkEnd w:id="58"/>
      <w:r>
        <w:rPr>
          <w:rFonts w:ascii="宋体" w:hAnsi="宋体" w:eastAsia="宋体"/>
          <w:bCs w:val="0"/>
          <w:color w:val="000000"/>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ascii="宋体" w:hAnsi="宋体"/>
          <w:color w:val="000000"/>
          <w:sz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59" w:name="_Toc16938523"/>
      <w:r/>
      <w:bookmarkStart w:id="60" w:name="_Toc462564067"/>
      <w:r/>
      <w:bookmarkStart w:id="61" w:name="_Toc20823279"/>
      <w:r/>
      <w:bookmarkStart w:id="62" w:name="_Toc513029207"/>
      <w:r>
        <w:rPr>
          <w:rFonts w:hint="eastAsia" w:ascii="宋体" w:hAnsi="宋体" w:eastAsia="宋体"/>
          <w:bCs w:val="0"/>
          <w:color w:val="000000"/>
          <w:highlight w:val="none"/>
        </w:rPr>
        <w:t xml:space="preserve">4.投标费用</w:t>
      </w:r>
      <w:bookmarkEnd w:id="59"/>
      <w:r/>
      <w:bookmarkEnd w:id="60"/>
      <w:r/>
      <w:bookmarkEnd w:id="61"/>
      <w:r/>
      <w:bookmarkEnd w:id="62"/>
      <w:r>
        <w:rPr>
          <w:rFonts w:ascii="宋体" w:hAnsi="宋体" w:eastAsia="宋体"/>
          <w:bCs w:val="0"/>
          <w:color w:val="000000"/>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4.1采购代理服务费由中标人支付。</w:t>
      </w:r>
      <w:r>
        <w:rPr>
          <w:rFonts w:ascii="宋体" w:hAnsi="宋体"/>
          <w:bCs/>
          <w:color w:val="000000"/>
          <w:sz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4.2投标人应自行承担所有与参加投标有关的费用，无论投标过程中的做法和结果如何，</w:t>
      </w:r>
      <w:r>
        <w:rPr>
          <w:rFonts w:hint="eastAsia" w:ascii="宋体" w:hAnsi="宋体"/>
          <w:color w:val="000000"/>
          <w:sz w:val="24"/>
          <w:highlight w:val="none"/>
          <w:lang w:eastAsia="zh-CN"/>
        </w:rPr>
        <w:t xml:space="preserve">江苏至衡诚达工程咨询有限公司</w:t>
      </w:r>
      <w:r>
        <w:rPr>
          <w:rFonts w:hint="eastAsia" w:ascii="宋体" w:hAnsi="宋体"/>
          <w:color w:val="000000"/>
          <w:sz w:val="24"/>
          <w:highlight w:val="none"/>
        </w:rPr>
        <w:t xml:space="preserve">（以下简称代理机构）在任何情况下均无义务和责任承担这些费用。</w:t>
      </w:r>
      <w:r>
        <w:rPr>
          <w:rFonts w:ascii="宋体" w:hAnsi="宋体"/>
          <w:color w:val="000000"/>
          <w:sz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ascii="宋体" w:hAnsi="宋体" w:eastAsia="宋体"/>
          <w:bCs w:val="0"/>
          <w:color w:val="000000"/>
          <w:highlight w:val="none"/>
        </w:rPr>
      </w:r>
      <w:r/>
    </w:p>
    <w:p>
      <w:pPr>
        <w:pStyle w:val="681"/>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ascii="宋体" w:hAnsi="宋体"/>
          <w:color w:val="000000"/>
          <w:sz w:val="24"/>
          <w:szCs w:val="24"/>
          <w:highlight w:val="none"/>
        </w:rPr>
      </w:r>
      <w:r/>
    </w:p>
    <w:p>
      <w:pPr>
        <w:pStyle w:val="782"/>
        <w:ind w:firstLine="452"/>
        <w:keepLines w:val="0"/>
        <w:keepNext w:val="0"/>
        <w:spacing w:before="0" w:after="0" w:line="500" w:lineRule="exact"/>
        <w:rPr>
          <w:color w:val="000000"/>
          <w:sz w:val="30"/>
          <w:szCs w:val="30"/>
          <w:highlight w:val="none"/>
        </w:rPr>
      </w:pPr>
      <w:r/>
      <w:bookmarkStart w:id="63" w:name="_Toc120614215"/>
      <w:r/>
      <w:bookmarkStart w:id="64" w:name="_Toc16938525"/>
      <w:r/>
      <w:bookmarkStart w:id="65" w:name="_Toc513029209"/>
      <w:r/>
      <w:bookmarkStart w:id="66" w:name="_Toc20823281"/>
      <w:r>
        <w:rPr>
          <w:rFonts w:hint="eastAsia"/>
          <w:color w:val="000000"/>
          <w:sz w:val="30"/>
          <w:szCs w:val="30"/>
          <w:highlight w:val="none"/>
        </w:rPr>
        <w:t xml:space="preserve">二、招标文件</w:t>
      </w:r>
      <w:bookmarkEnd w:id="63"/>
      <w:r/>
      <w:bookmarkEnd w:id="64"/>
      <w:r/>
      <w:bookmarkEnd w:id="65"/>
      <w:r/>
      <w:bookmarkEnd w:id="66"/>
      <w:r>
        <w:rPr>
          <w:color w:val="000000"/>
          <w:sz w:val="30"/>
          <w:szCs w:val="30"/>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67" w:name="_Toc16938526"/>
      <w:r/>
      <w:bookmarkStart w:id="68" w:name="_Toc513029210"/>
      <w:r/>
      <w:bookmarkStart w:id="69" w:name="_Toc20823282"/>
      <w:r>
        <w:rPr>
          <w:rFonts w:hint="eastAsia" w:ascii="宋体" w:hAnsi="宋体" w:eastAsia="宋体"/>
          <w:bCs w:val="0"/>
          <w:color w:val="000000"/>
          <w:highlight w:val="none"/>
        </w:rPr>
        <w:t xml:space="preserve">6.招标文件构成</w:t>
      </w:r>
      <w:bookmarkEnd w:id="67"/>
      <w:r/>
      <w:bookmarkEnd w:id="68"/>
      <w:r/>
      <w:bookmarkEnd w:id="69"/>
      <w:r>
        <w:rPr>
          <w:rFonts w:ascii="宋体" w:hAnsi="宋体" w:eastAsia="宋体"/>
          <w:bCs w:val="0"/>
          <w:color w:val="000000"/>
          <w:highlight w:val="none"/>
        </w:rPr>
      </w:r>
      <w:r/>
    </w:p>
    <w:p>
      <w:pPr>
        <w:pStyle w:val="681"/>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ascii="宋体" w:hAnsi="宋体"/>
          <w:color w:val="000000"/>
          <w:sz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rPr>
          <w:rFonts w:ascii="宋体" w:hAnsi="宋体"/>
          <w:color w:val="000000"/>
          <w:sz w:val="24"/>
          <w:szCs w:val="24"/>
          <w:highlight w:val="none"/>
        </w:rPr>
      </w:r>
      <w:r/>
    </w:p>
    <w:p>
      <w:pPr>
        <w:pStyle w:val="681"/>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ascii="宋体" w:hAnsi="宋体"/>
          <w:color w:val="000000"/>
          <w:sz w:val="24"/>
          <w:szCs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请仔细检查招标文件是否齐全，如有缺漏请立即与代理机构联系解决。</w:t>
      </w:r>
      <w:r>
        <w:rPr>
          <w:rFonts w:ascii="宋体" w:hAnsi="宋体"/>
          <w:color w:val="000000"/>
          <w:sz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70" w:name="_Toc462564070"/>
      <w:r/>
      <w:bookmarkStart w:id="71" w:name="_Toc513029211"/>
      <w:r/>
      <w:bookmarkStart w:id="72" w:name="_Toc16938527"/>
      <w:r/>
      <w:bookmarkStart w:id="73" w:name="_Toc20823283"/>
      <w:r>
        <w:rPr>
          <w:rFonts w:hint="eastAsia" w:ascii="宋体" w:hAnsi="宋体" w:eastAsia="宋体"/>
          <w:bCs w:val="0"/>
          <w:color w:val="000000"/>
          <w:highlight w:val="none"/>
        </w:rPr>
        <w:t xml:space="preserve">7.招标文件的澄清</w:t>
      </w:r>
      <w:bookmarkEnd w:id="70"/>
      <w:r/>
      <w:bookmarkEnd w:id="71"/>
      <w:r/>
      <w:bookmarkEnd w:id="72"/>
      <w:r/>
      <w:bookmarkEnd w:id="73"/>
      <w:r>
        <w:rPr>
          <w:rFonts w:ascii="宋体" w:hAnsi="宋体" w:eastAsia="宋体"/>
          <w:bCs w:val="0"/>
          <w:color w:val="000000"/>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代理机构以书面形式提出。</w:t>
      </w:r>
      <w:r>
        <w:rPr>
          <w:rFonts w:ascii="宋体" w:hAnsi="宋体"/>
          <w:bCs/>
          <w:color w:val="000000"/>
          <w:sz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74" w:name="_Toc462564071"/>
      <w:r/>
      <w:bookmarkStart w:id="75" w:name="_Toc16938528"/>
      <w:r/>
      <w:bookmarkStart w:id="76" w:name="_Toc20823284"/>
      <w:r/>
      <w:bookmarkStart w:id="77" w:name="_Toc513029212"/>
      <w:r>
        <w:rPr>
          <w:rFonts w:hint="eastAsia" w:ascii="宋体" w:hAnsi="宋体" w:eastAsia="宋体"/>
          <w:bCs w:val="0"/>
          <w:color w:val="000000"/>
          <w:highlight w:val="none"/>
        </w:rPr>
        <w:t xml:space="preserve">8.招标文件的修改</w:t>
      </w:r>
      <w:bookmarkEnd w:id="74"/>
      <w:r/>
      <w:bookmarkEnd w:id="75"/>
      <w:r/>
      <w:bookmarkEnd w:id="76"/>
      <w:r/>
      <w:bookmarkEnd w:id="77"/>
      <w:r>
        <w:rPr>
          <w:rFonts w:ascii="宋体" w:hAnsi="宋体" w:eastAsia="宋体"/>
          <w:bCs w:val="0"/>
          <w:color w:val="000000"/>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8.1代理机构可在投标截止时间十五日前对招标文件进行必要的澄清或者修改，不足十五日的，将顺延提交投标文件的截止时间和开标日期。</w:t>
      </w:r>
      <w:r>
        <w:rPr>
          <w:rFonts w:ascii="宋体" w:hAnsi="宋体"/>
          <w:bCs/>
          <w:color w:val="000000"/>
          <w:sz w:val="24"/>
          <w:szCs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宋体" w:hAnsi="宋体"/>
          <w:color w:val="000000"/>
          <w:sz w:val="24"/>
          <w:highlight w:val="none"/>
        </w:rPr>
      </w:r>
      <w:r/>
    </w:p>
    <w:p>
      <w:pPr>
        <w:pStyle w:val="782"/>
        <w:ind w:firstLine="452"/>
        <w:keepLines w:val="0"/>
        <w:keepNext w:val="0"/>
        <w:spacing w:before="0" w:after="0" w:line="500" w:lineRule="exact"/>
        <w:rPr>
          <w:color w:val="000000"/>
          <w:sz w:val="30"/>
          <w:szCs w:val="30"/>
          <w:highlight w:val="none"/>
        </w:rPr>
      </w:pPr>
      <w:r/>
      <w:bookmarkStart w:id="78" w:name="_Toc16938529"/>
      <w:r/>
      <w:bookmarkStart w:id="79" w:name="_Toc462564072"/>
      <w:r/>
      <w:bookmarkStart w:id="80" w:name="_Toc120614216"/>
      <w:r/>
      <w:bookmarkStart w:id="81" w:name="_Toc20823285"/>
      <w:r/>
      <w:bookmarkStart w:id="82" w:name="_Toc513029213"/>
      <w:r>
        <w:rPr>
          <w:rFonts w:hint="eastAsia"/>
          <w:color w:val="000000"/>
          <w:sz w:val="30"/>
          <w:szCs w:val="30"/>
          <w:highlight w:val="none"/>
        </w:rPr>
        <w:t xml:space="preserve">三、投标文件的编制</w:t>
      </w:r>
      <w:bookmarkEnd w:id="78"/>
      <w:r/>
      <w:bookmarkEnd w:id="79"/>
      <w:r/>
      <w:bookmarkEnd w:id="80"/>
      <w:r/>
      <w:bookmarkEnd w:id="81"/>
      <w:r/>
      <w:bookmarkEnd w:id="82"/>
      <w:r>
        <w:rPr>
          <w:color w:val="000000"/>
          <w:sz w:val="30"/>
          <w:szCs w:val="30"/>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83" w:name="_Toc462564073"/>
      <w:r/>
      <w:bookmarkStart w:id="84" w:name="_Toc20823286"/>
      <w:r/>
      <w:bookmarkStart w:id="85" w:name="_Toc16938530"/>
      <w:r/>
      <w:bookmarkStart w:id="86" w:name="_Toc513029214"/>
      <w:r>
        <w:rPr>
          <w:rFonts w:hint="eastAsia" w:ascii="宋体" w:hAnsi="宋体" w:eastAsia="宋体"/>
          <w:bCs w:val="0"/>
          <w:color w:val="000000"/>
          <w:highlight w:val="none"/>
        </w:rPr>
        <w:t xml:space="preserve">9.投标文件的语言及度量衡单位</w:t>
      </w:r>
      <w:bookmarkEnd w:id="83"/>
      <w:r/>
      <w:bookmarkEnd w:id="84"/>
      <w:r/>
      <w:bookmarkEnd w:id="85"/>
      <w:r/>
      <w:bookmarkEnd w:id="86"/>
      <w:r>
        <w:rPr>
          <w:rFonts w:ascii="宋体" w:hAnsi="宋体" w:eastAsia="宋体"/>
          <w:bCs w:val="0"/>
          <w:color w:val="000000"/>
          <w:highlight w:val="none"/>
        </w:rPr>
      </w:r>
      <w:r/>
    </w:p>
    <w:p>
      <w:pPr>
        <w:pStyle w:val="681"/>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投标人提交的投标文件以及投标人与代理机构就有关投标的所有来往通知、函件和文件均应使用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ascii="宋体" w:hAnsi="宋体"/>
          <w:color w:val="000000"/>
          <w:sz w:val="24"/>
          <w:highlight w:val="none"/>
        </w:rPr>
      </w:r>
      <w:r/>
    </w:p>
    <w:p>
      <w:pPr>
        <w:pStyle w:val="68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681"/>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9.3投标文件由投标人按给定格式如实填写(编写)，须有法人(盖章)、法定代表人或法定代表人授权代表签字或盖章，方为有效，未尽事宜可自行补充。</w:t>
      </w:r>
      <w:r>
        <w:rPr>
          <w:rFonts w:hint="eastAsia" w:ascii="宋体" w:hAnsi="宋体"/>
          <w:bCs/>
          <w:color w:val="000000"/>
          <w:sz w:val="24"/>
          <w:szCs w:val="24"/>
          <w:highlight w:val="none"/>
        </w:rPr>
      </w:r>
      <w:r/>
    </w:p>
    <w:p>
      <w:pPr>
        <w:pStyle w:val="681"/>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9.4如无特别说明，投标人报价一律以人民币为投标结算货币，结算单位为“元”。</w:t>
      </w:r>
      <w:r>
        <w:rPr>
          <w:rFonts w:hint="eastAsia" w:ascii="宋体" w:hAnsi="宋体"/>
          <w:bCs/>
          <w:color w:val="000000"/>
          <w:sz w:val="24"/>
          <w:szCs w:val="24"/>
          <w:highlight w:val="none"/>
        </w:rPr>
      </w:r>
      <w:r/>
    </w:p>
    <w:p>
      <w:pPr>
        <w:pStyle w:val="681"/>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9.5投标文件格式部分，应由投标人按给定格式提供，不得更改。</w:t>
      </w:r>
      <w:r>
        <w:rPr>
          <w:rFonts w:hint="eastAsia" w:ascii="宋体" w:hAnsi="宋体"/>
          <w:bCs/>
          <w:color w:val="000000"/>
          <w:sz w:val="24"/>
          <w:szCs w:val="24"/>
          <w:highlight w:val="none"/>
        </w:rPr>
      </w:r>
      <w:r/>
    </w:p>
    <w:p>
      <w:pPr>
        <w:pStyle w:val="681"/>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9.6.投标人在制作电子投标文件时，请正确关联到对应</w:t>
      </w:r>
      <w:r>
        <w:rPr>
          <w:rFonts w:hint="eastAsia" w:ascii="宋体" w:hAnsi="宋体" w:cs="宋体"/>
          <w:bCs/>
          <w:color w:val="000000"/>
          <w:sz w:val="24"/>
          <w:szCs w:val="24"/>
          <w:highlight w:val="none"/>
          <w:lang w:eastAsia="zh-CN" w:bidi="ar"/>
        </w:rPr>
        <w:t xml:space="preserve">页面</w:t>
      </w:r>
      <w:r>
        <w:rPr>
          <w:rFonts w:hint="eastAsia" w:ascii="宋体" w:hAnsi="宋体" w:cs="宋体"/>
          <w:bCs/>
          <w:color w:val="000000"/>
          <w:sz w:val="24"/>
          <w:szCs w:val="24"/>
          <w:highlight w:val="none"/>
          <w:lang w:bidi="ar"/>
        </w:rPr>
        <w:t xml:space="preserve">，在评审过程中，评审专家如因在相对应页面找不到该相关联的文件，由此产生的后果由投标人自行承担。</w:t>
      </w:r>
      <w:r>
        <w:rPr>
          <w:rFonts w:hint="eastAsia" w:ascii="宋体" w:hAnsi="宋体"/>
          <w:bCs/>
          <w:color w:val="000000"/>
          <w:sz w:val="24"/>
          <w:szCs w:val="24"/>
          <w:highlight w:val="none"/>
        </w:rPr>
      </w:r>
      <w:r/>
    </w:p>
    <w:p>
      <w:pPr>
        <w:pStyle w:val="681"/>
        <w:ind w:firstLine="480"/>
        <w:spacing w:line="500" w:lineRule="exact"/>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9.7投标费用自理。</w:t>
      </w:r>
      <w:r>
        <w:rPr>
          <w:rFonts w:hint="eastAsia" w:ascii="宋体" w:hAnsi="宋体"/>
          <w:bCs/>
          <w:color w:val="000000"/>
          <w:sz w:val="24"/>
          <w:szCs w:val="24"/>
          <w:highlight w:val="none"/>
        </w:rPr>
      </w:r>
      <w:r/>
    </w:p>
    <w:p>
      <w:pPr>
        <w:pStyle w:val="681"/>
        <w:ind w:firstLine="482"/>
        <w:jc w:val="left"/>
        <w:spacing w:line="500" w:lineRule="exact"/>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9.8在评分标准中除了投标报价外，还须包含商务部分和技术部分两大部分</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bidi="ar"/>
        </w:rPr>
      </w:r>
      <w:r/>
    </w:p>
    <w:p>
      <w:pPr>
        <w:pStyle w:val="784"/>
        <w:ind w:firstLine="422"/>
        <w:keepLines w:val="0"/>
        <w:keepNext w:val="0"/>
        <w:spacing w:before="0" w:after="0" w:line="500" w:lineRule="exact"/>
        <w:rPr>
          <w:rFonts w:ascii="宋体" w:hAnsi="宋体" w:eastAsia="宋体"/>
          <w:bCs w:val="0"/>
          <w:color w:val="000000"/>
          <w:highlight w:val="none"/>
        </w:rPr>
      </w:pPr>
      <w:r/>
      <w:bookmarkStart w:id="87" w:name="_Toc513029215"/>
      <w:r/>
      <w:bookmarkStart w:id="88" w:name="_Toc16938531"/>
      <w:r/>
      <w:bookmarkStart w:id="89" w:name="_Toc462564074"/>
      <w:r/>
      <w:bookmarkStart w:id="90" w:name="_Toc20823287"/>
      <w:r>
        <w:rPr>
          <w:rFonts w:hint="eastAsia" w:ascii="宋体" w:hAnsi="宋体" w:eastAsia="宋体"/>
          <w:bCs w:val="0"/>
          <w:color w:val="000000"/>
          <w:highlight w:val="none"/>
        </w:rPr>
        <w:t xml:space="preserve">10.投标文件构成</w:t>
      </w:r>
      <w:bookmarkEnd w:id="87"/>
      <w:r/>
      <w:bookmarkEnd w:id="88"/>
      <w:r/>
      <w:bookmarkEnd w:id="89"/>
      <w:r/>
      <w:bookmarkEnd w:id="90"/>
      <w:r>
        <w:rPr>
          <w:rFonts w:ascii="宋体" w:hAnsi="宋体" w:eastAsia="宋体"/>
          <w:bCs w:val="0"/>
          <w:color w:val="000000"/>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ascii="宋体" w:hAnsi="宋体"/>
          <w:color w:val="000000"/>
          <w:sz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ascii="宋体" w:hAnsi="宋体"/>
          <w:color w:val="000000"/>
          <w:sz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91" w:name="_Hlt26668975"/>
      <w:r/>
      <w:bookmarkEnd w:id="91"/>
      <w:r/>
      <w:bookmarkStart w:id="92" w:name="_Hlt26954838"/>
      <w:r/>
      <w:bookmarkEnd w:id="92"/>
      <w:r/>
      <w:bookmarkStart w:id="93" w:name="_Hlt26670360"/>
      <w:r/>
      <w:bookmarkEnd w:id="93"/>
      <w:r/>
      <w:bookmarkStart w:id="94" w:name="_Toc49090509"/>
      <w:r/>
      <w:bookmarkStart w:id="95" w:name="_Toc513029219"/>
      <w:r/>
      <w:bookmarkStart w:id="96" w:name="_Toc513029216"/>
      <w:r/>
      <w:bookmarkStart w:id="97" w:name="_Toc49090507"/>
      <w:r/>
      <w:bookmarkStart w:id="98" w:name="_Toc14577354"/>
      <w:r/>
      <w:bookmarkStart w:id="99" w:name="_Toc14577357"/>
      <w:r>
        <w:rPr>
          <w:rFonts w:hint="eastAsia" w:ascii="宋体" w:hAnsi="宋体" w:eastAsia="宋体"/>
          <w:bCs w:val="0"/>
          <w:color w:val="000000"/>
          <w:highlight w:val="none"/>
        </w:rPr>
        <w:t xml:space="preserve">11.证明投标人及投标标的符合招标文件规定的文件</w:t>
      </w:r>
      <w:bookmarkEnd w:id="94"/>
      <w:r/>
      <w:bookmarkEnd w:id="95"/>
      <w:r/>
      <w:bookmarkEnd w:id="96"/>
      <w:r/>
      <w:bookmarkEnd w:id="97"/>
      <w:r/>
      <w:bookmarkEnd w:id="98"/>
      <w:r/>
      <w:bookmarkEnd w:id="99"/>
      <w:r>
        <w:rPr>
          <w:rFonts w:ascii="宋体" w:hAnsi="宋体" w:eastAsia="宋体"/>
          <w:bCs w:val="0"/>
          <w:color w:val="000000"/>
          <w:highlight w:val="none"/>
        </w:rPr>
      </w:r>
      <w:r/>
    </w:p>
    <w:p>
      <w:pPr>
        <w:pStyle w:val="681"/>
        <w:ind w:firstLine="480"/>
        <w:spacing w:line="500" w:lineRule="exact"/>
        <w:rPr>
          <w:rFonts w:ascii="宋体" w:hAnsi="宋体"/>
          <w:bCs/>
          <w:color w:val="000000"/>
          <w:sz w:val="24"/>
          <w:highlight w:val="none"/>
        </w:rPr>
      </w:pPr>
      <w:r/>
      <w:bookmarkStart w:id="100" w:name="_Toc49090508"/>
      <w:r/>
      <w:bookmarkStart w:id="101" w:name="_Toc14577355"/>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rPr>
          <w:rFonts w:ascii="宋体" w:hAnsi="宋体"/>
          <w:bCs/>
          <w:color w:val="000000"/>
          <w:sz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ascii="宋体" w:hAnsi="宋体"/>
          <w:color w:val="000000"/>
          <w:sz w:val="24"/>
          <w:szCs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102" w:name="_Toc14577359"/>
      <w:r/>
      <w:bookmarkStart w:id="103" w:name="_Toc49090510"/>
      <w:r>
        <w:rPr>
          <w:rFonts w:hint="eastAsia" w:ascii="宋体" w:hAnsi="宋体" w:eastAsia="宋体"/>
          <w:bCs w:val="0"/>
          <w:color w:val="000000"/>
          <w:highlight w:val="none"/>
        </w:rPr>
        <w:t xml:space="preserve">12.投标函、承诺书和开标一览表</w:t>
      </w:r>
      <w:r>
        <w:rPr>
          <w:rFonts w:ascii="宋体" w:hAnsi="宋体" w:eastAsia="宋体"/>
          <w:bCs w:val="0"/>
          <w:color w:val="000000"/>
          <w:highlight w:val="none"/>
        </w:rPr>
      </w:r>
      <w:r/>
    </w:p>
    <w:p>
      <w:pPr>
        <w:pStyle w:val="681"/>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ascii="宋体" w:hAnsi="宋体"/>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Pr>
          <w:rFonts w:ascii="宋体" w:hAnsi="宋体"/>
          <w:bCs/>
          <w:color w:val="000000"/>
          <w:sz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13.</w:t>
      </w:r>
      <w:bookmarkEnd w:id="100"/>
      <w:r/>
      <w:bookmarkEnd w:id="101"/>
      <w:r>
        <w:rPr>
          <w:rFonts w:hint="eastAsia" w:ascii="宋体" w:hAnsi="宋体" w:eastAsia="宋体"/>
          <w:bCs w:val="0"/>
          <w:color w:val="000000"/>
          <w:highlight w:val="none"/>
        </w:rPr>
        <w:t xml:space="preserve">分项报价表</w:t>
      </w:r>
      <w:r>
        <w:rPr>
          <w:rFonts w:ascii="宋体" w:hAnsi="宋体" w:eastAsia="宋体"/>
          <w:bCs w:val="0"/>
          <w:color w:val="000000"/>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4" w:name="_Hlt26954840"/>
      <w:r/>
      <w:bookmarkEnd w:id="104"/>
      <w:r>
        <w:rPr>
          <w:rFonts w:hint="eastAsia" w:ascii="宋体" w:hAnsi="宋体"/>
          <w:color w:val="000000"/>
          <w:sz w:val="24"/>
          <w:highlight w:val="none"/>
        </w:rPr>
        <w:t xml:space="preserve">标人应按照招标文件规定格式填报</w:t>
      </w:r>
      <w:bookmarkStart w:id="105" w:name="_Hlt26670399"/>
      <w:r/>
      <w:bookmarkEnd w:id="105"/>
      <w:r>
        <w:rPr>
          <w:rFonts w:hint="eastAsia" w:ascii="宋体" w:hAnsi="宋体"/>
          <w:color w:val="000000"/>
          <w:sz w:val="24"/>
          <w:highlight w:val="none"/>
        </w:rPr>
        <w:t xml:space="preserve">分项报价表。</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ascii="宋体" w:hAnsi="宋体"/>
          <w:bCs/>
          <w:color w:val="000000"/>
          <w:sz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106" w:name="_Hlt26954846"/>
      <w:r/>
      <w:bookmarkEnd w:id="106"/>
      <w:r/>
      <w:bookmarkStart w:id="107" w:name="_Hlt26954848"/>
      <w:r/>
      <w:bookmarkEnd w:id="107"/>
      <w:r/>
      <w:bookmarkStart w:id="108" w:name="_Hlt26954842"/>
      <w:r/>
      <w:bookmarkEnd w:id="108"/>
      <w:r/>
      <w:bookmarkStart w:id="109" w:name="_Hlt26670403"/>
      <w:r/>
      <w:bookmarkEnd w:id="109"/>
      <w:r/>
      <w:bookmarkStart w:id="110" w:name="_Hlt26668983"/>
      <w:r/>
      <w:bookmarkEnd w:id="110"/>
      <w:r/>
      <w:bookmarkStart w:id="111" w:name="_Hlt26670482"/>
      <w:r/>
      <w:bookmarkEnd w:id="111"/>
      <w:r/>
      <w:bookmarkStart w:id="112" w:name="_Hlt26670425"/>
      <w:r/>
      <w:bookmarkEnd w:id="112"/>
      <w:r/>
      <w:bookmarkStart w:id="113" w:name="_Hlt26670486"/>
      <w:r/>
      <w:bookmarkEnd w:id="113"/>
      <w:r/>
      <w:bookmarkStart w:id="114" w:name="_Hlt26954731"/>
      <w:r/>
      <w:bookmarkEnd w:id="114"/>
      <w:r/>
      <w:bookmarkStart w:id="115" w:name="_Hlt26954844"/>
      <w:r/>
      <w:bookmarkEnd w:id="115"/>
      <w:r>
        <w:rPr>
          <w:rFonts w:hint="eastAsia" w:ascii="宋体" w:hAnsi="宋体" w:eastAsia="宋体"/>
          <w:bCs w:val="0"/>
          <w:color w:val="000000"/>
          <w:highlight w:val="none"/>
        </w:rPr>
        <w:t xml:space="preserve">14.投标偏离表</w:t>
      </w:r>
      <w:r>
        <w:rPr>
          <w:rFonts w:ascii="宋体" w:hAnsi="宋体" w:eastAsia="宋体"/>
          <w:bCs w:val="0"/>
          <w:color w:val="000000"/>
          <w:highlight w:val="none"/>
        </w:rPr>
      </w:r>
      <w:r/>
    </w:p>
    <w:p>
      <w:pPr>
        <w:pStyle w:val="681"/>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784"/>
        <w:ind w:firstLine="422"/>
        <w:keepLines w:val="0"/>
        <w:keepNext w:val="0"/>
        <w:spacing w:before="0" w:after="0" w:line="500" w:lineRule="exact"/>
        <w:rPr>
          <w:rFonts w:ascii="宋体" w:hAnsi="宋体" w:eastAsia="宋体"/>
          <w:bCs w:val="0"/>
          <w:color w:val="000000"/>
          <w:highlight w:val="none"/>
        </w:rPr>
      </w:pPr>
      <w:r/>
      <w:bookmarkStart w:id="116" w:name="_Hlt26954850"/>
      <w:r/>
      <w:bookmarkEnd w:id="116"/>
      <w:r/>
      <w:bookmarkStart w:id="117" w:name="_Hlt26670489"/>
      <w:r/>
      <w:bookmarkEnd w:id="117"/>
      <w:r/>
      <w:bookmarkStart w:id="118" w:name="_Hlt26954734"/>
      <w:r/>
      <w:bookmarkEnd w:id="118"/>
      <w:r/>
      <w:bookmarkStart w:id="119" w:name="_Toc49090511"/>
      <w:r/>
      <w:bookmarkStart w:id="120" w:name="_Toc14577360"/>
      <w:r>
        <w:rPr>
          <w:rFonts w:hint="eastAsia" w:ascii="宋体" w:hAnsi="宋体" w:eastAsia="宋体"/>
          <w:bCs w:val="0"/>
          <w:color w:val="000000"/>
          <w:highlight w:val="none"/>
        </w:rPr>
        <w:t xml:space="preserve">15.投标有效期</w:t>
      </w:r>
      <w:bookmarkEnd w:id="119"/>
      <w:r/>
      <w:bookmarkEnd w:id="120"/>
      <w:r>
        <w:rPr>
          <w:rFonts w:ascii="宋体" w:hAnsi="宋体" w:eastAsia="宋体"/>
          <w:bCs w:val="0"/>
          <w:color w:val="000000"/>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ascii="宋体" w:hAnsi="宋体"/>
          <w:bCs/>
          <w:color w:val="000000"/>
          <w:sz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ascii="宋体" w:hAnsi="宋体" w:eastAsia="宋体"/>
          <w:bCs w:val="0"/>
          <w:color w:val="000000"/>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ascii="宋体" w:hAnsi="宋体"/>
          <w:bCs/>
          <w:color w:val="000000"/>
          <w:sz w:val="24"/>
          <w:highlight w:val="none"/>
        </w:rPr>
      </w:r>
      <w:r/>
    </w:p>
    <w:p>
      <w:pPr>
        <w:pStyle w:val="782"/>
        <w:ind w:firstLine="452"/>
        <w:keepLines w:val="0"/>
        <w:keepNext w:val="0"/>
        <w:spacing w:before="0" w:after="0" w:line="500" w:lineRule="exact"/>
        <w:rPr>
          <w:color w:val="000000"/>
          <w:sz w:val="30"/>
          <w:szCs w:val="30"/>
          <w:highlight w:val="none"/>
        </w:rPr>
      </w:pPr>
      <w:r/>
      <w:bookmarkStart w:id="121" w:name="_Hlt26954739"/>
      <w:r/>
      <w:bookmarkEnd w:id="121"/>
      <w:r/>
      <w:bookmarkStart w:id="122" w:name="_Hlt26954852"/>
      <w:r/>
      <w:bookmarkEnd w:id="122"/>
      <w:r/>
      <w:bookmarkStart w:id="123" w:name="_Toc20823296"/>
      <w:r/>
      <w:bookmarkStart w:id="124" w:name="_Toc16938540"/>
      <w:r/>
      <w:bookmarkStart w:id="125" w:name="_Toc513029224"/>
      <w:r/>
      <w:bookmarkStart w:id="126" w:name="_Toc120614217"/>
      <w:r>
        <w:rPr>
          <w:rFonts w:hint="eastAsia"/>
          <w:color w:val="000000"/>
          <w:sz w:val="30"/>
          <w:szCs w:val="30"/>
          <w:highlight w:val="none"/>
        </w:rPr>
        <w:t xml:space="preserve">四、投标文件的递交</w:t>
      </w:r>
      <w:bookmarkEnd w:id="123"/>
      <w:r/>
      <w:bookmarkEnd w:id="124"/>
      <w:r/>
      <w:bookmarkEnd w:id="125"/>
      <w:r/>
      <w:bookmarkEnd w:id="126"/>
      <w:r>
        <w:rPr>
          <w:color w:val="000000"/>
          <w:sz w:val="30"/>
          <w:szCs w:val="30"/>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127" w:name="_Toc20823297"/>
      <w:r/>
      <w:bookmarkStart w:id="128" w:name="_Toc16938541"/>
      <w:r/>
      <w:bookmarkStart w:id="129" w:name="_Toc462564084"/>
      <w:r/>
      <w:bookmarkStart w:id="130" w:name="_Toc513029225"/>
      <w:r>
        <w:rPr>
          <w:rFonts w:hint="eastAsia" w:ascii="宋体" w:hAnsi="宋体" w:eastAsia="宋体"/>
          <w:bCs w:val="0"/>
          <w:color w:val="000000"/>
          <w:highlight w:val="none"/>
        </w:rPr>
        <w:t xml:space="preserve">17.投标文件</w:t>
      </w:r>
      <w:bookmarkEnd w:id="127"/>
      <w:r/>
      <w:bookmarkEnd w:id="128"/>
      <w:r/>
      <w:bookmarkEnd w:id="129"/>
      <w:r/>
      <w:bookmarkEnd w:id="130"/>
      <w:r>
        <w:rPr>
          <w:rFonts w:hint="eastAsia" w:ascii="宋体" w:hAnsi="宋体" w:eastAsia="宋体"/>
          <w:bCs w:val="0"/>
          <w:color w:val="000000"/>
          <w:highlight w:val="none"/>
        </w:rPr>
        <w:t xml:space="preserve">的递交</w:t>
      </w:r>
      <w:r>
        <w:rPr>
          <w:rFonts w:ascii="宋体" w:hAnsi="宋体" w:eastAsia="宋体"/>
          <w:bCs w:val="0"/>
          <w:color w:val="000000"/>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ascii="宋体" w:hAnsi="宋体"/>
          <w:bCs/>
          <w:color w:val="000000"/>
          <w:sz w:val="24"/>
          <w:highlight w:val="none"/>
        </w:rPr>
      </w:r>
      <w:r/>
    </w:p>
    <w:p>
      <w:pPr>
        <w:pStyle w:val="85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1" w:name="_Toc20823298"/>
      <w:r/>
      <w:bookmarkStart w:id="132" w:name="_Toc513029226"/>
      <w:r/>
      <w:bookmarkStart w:id="133" w:name="_Toc16938542"/>
      <w:r>
        <w:rPr>
          <w:rFonts w:ascii="宋体" w:hAnsi="宋体"/>
          <w:bCs/>
          <w:color w:val="000000"/>
          <w:sz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1"/>
      <w:r/>
      <w:bookmarkEnd w:id="132"/>
      <w:r/>
      <w:bookmarkEnd w:id="133"/>
      <w:r>
        <w:rPr>
          <w:rFonts w:hint="eastAsia" w:ascii="宋体" w:hAnsi="宋体" w:eastAsia="宋体"/>
          <w:bCs w:val="0"/>
          <w:color w:val="000000"/>
          <w:highlight w:val="none"/>
        </w:rPr>
        <w:t xml:space="preserve">时间</w:t>
      </w:r>
      <w:r>
        <w:rPr>
          <w:rFonts w:ascii="宋体" w:hAnsi="宋体" w:eastAsia="宋体"/>
          <w:bCs w:val="0"/>
          <w:color w:val="000000"/>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000000"/>
          <w:sz w:val="24"/>
          <w:highlight w:val="none"/>
          <w:lang w:eastAsia="zh-CN"/>
        </w:rPr>
        <w:t xml:space="preserve">作</w:t>
      </w:r>
      <w:r>
        <w:rPr>
          <w:rFonts w:hint="eastAsia" w:ascii="宋体" w:hAnsi="宋体"/>
          <w:bCs/>
          <w:color w:val="000000"/>
          <w:sz w:val="24"/>
          <w:highlight w:val="none"/>
        </w:rPr>
        <w:t xml:space="preserve">无效投标处理。</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代理机构可以按照规定，通过更正公告修改投标截止时间，投标人的所有权利和义务以及投标人受制的截止时间均应以延长后新的截止时间为准。</w:t>
      </w:r>
      <w:r>
        <w:rPr>
          <w:rFonts w:ascii="宋体" w:hAnsi="宋体"/>
          <w:bCs/>
          <w:color w:val="000000"/>
          <w:sz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134" w:name="_Toc20823299"/>
      <w:r/>
      <w:bookmarkStart w:id="135" w:name="_Toc16938543"/>
      <w:r/>
      <w:bookmarkStart w:id="136" w:name="_Toc513029227"/>
      <w:r>
        <w:rPr>
          <w:rFonts w:hint="eastAsia" w:ascii="宋体" w:hAnsi="宋体" w:eastAsia="宋体"/>
          <w:bCs w:val="0"/>
          <w:color w:val="000000"/>
          <w:highlight w:val="none"/>
        </w:rPr>
        <w:t xml:space="preserve">19.投标文件</w:t>
      </w:r>
      <w:bookmarkEnd w:id="134"/>
      <w:r/>
      <w:bookmarkEnd w:id="135"/>
      <w:r/>
      <w:bookmarkEnd w:id="136"/>
      <w:r>
        <w:rPr>
          <w:rFonts w:hint="eastAsia" w:ascii="宋体" w:hAnsi="宋体" w:eastAsia="宋体"/>
          <w:bCs w:val="0"/>
          <w:color w:val="000000"/>
          <w:highlight w:val="none"/>
        </w:rPr>
        <w:t xml:space="preserve">的拒收</w:t>
      </w:r>
      <w:r>
        <w:rPr>
          <w:rFonts w:ascii="宋体" w:hAnsi="宋体" w:eastAsia="宋体"/>
          <w:bCs w:val="0"/>
          <w:color w:val="000000"/>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代理机构拒绝接收在其规定的投标截止时间后上传的任何投标文件。</w:t>
      </w:r>
      <w:r>
        <w:rPr>
          <w:rFonts w:ascii="宋体" w:hAnsi="宋体"/>
          <w:bCs/>
          <w:color w:val="000000"/>
          <w:sz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137" w:name="_Toc20823300"/>
      <w:r/>
      <w:bookmarkStart w:id="138" w:name="_Toc513029228"/>
      <w:r/>
      <w:bookmarkStart w:id="139" w:name="_Toc16938544"/>
      <w:r>
        <w:rPr>
          <w:rFonts w:hint="eastAsia" w:ascii="宋体" w:hAnsi="宋体" w:eastAsia="宋体"/>
          <w:bCs w:val="0"/>
          <w:color w:val="000000"/>
          <w:highlight w:val="none"/>
        </w:rPr>
        <w:t xml:space="preserve">20.投标文件的撤回和修改</w:t>
      </w:r>
      <w:bookmarkEnd w:id="137"/>
      <w:r/>
      <w:bookmarkEnd w:id="138"/>
      <w:r/>
      <w:bookmarkEnd w:id="139"/>
      <w:r>
        <w:rPr>
          <w:rFonts w:ascii="宋体" w:hAnsi="宋体" w:eastAsia="宋体"/>
          <w:bCs w:val="0"/>
          <w:color w:val="000000"/>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20.1投标文件的撤回</w:t>
      </w:r>
      <w:r>
        <w:rPr>
          <w:rFonts w:ascii="宋体" w:hAnsi="宋体"/>
          <w:color w:val="000000"/>
          <w:sz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21.1.1电子投标文件的撤回</w:t>
      </w:r>
      <w:r>
        <w:rPr>
          <w:rFonts w:ascii="宋体" w:hAnsi="宋体"/>
          <w:color w:val="000000"/>
          <w:sz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ascii="宋体" w:hAnsi="宋体"/>
          <w:color w:val="000000"/>
          <w:sz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ascii="宋体" w:hAnsi="宋体"/>
          <w:color w:val="000000"/>
          <w:sz w:val="24"/>
          <w:szCs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ascii="宋体" w:hAnsi="宋体"/>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ascii="宋体" w:hAnsi="宋体"/>
          <w:bCs/>
          <w:color w:val="000000"/>
          <w:sz w:val="24"/>
          <w:highlight w:val="none"/>
        </w:rPr>
      </w:r>
      <w:r/>
    </w:p>
    <w:p>
      <w:pPr>
        <w:pStyle w:val="782"/>
        <w:ind w:firstLine="452"/>
        <w:keepLines w:val="0"/>
        <w:keepNext w:val="0"/>
        <w:spacing w:before="0" w:after="0" w:line="500" w:lineRule="exact"/>
        <w:rPr>
          <w:color w:val="000000"/>
          <w:sz w:val="30"/>
          <w:szCs w:val="30"/>
          <w:highlight w:val="none"/>
        </w:rPr>
      </w:pPr>
      <w:r/>
      <w:bookmarkStart w:id="140" w:name="_Toc20823301"/>
      <w:r/>
      <w:bookmarkStart w:id="141" w:name="_Toc16938545"/>
      <w:r/>
      <w:bookmarkStart w:id="142" w:name="_Toc120614218"/>
      <w:r/>
      <w:bookmarkStart w:id="143" w:name="_Toc513029229"/>
      <w:r>
        <w:rPr>
          <w:rFonts w:hint="eastAsia"/>
          <w:color w:val="000000"/>
          <w:sz w:val="30"/>
          <w:szCs w:val="30"/>
          <w:highlight w:val="none"/>
        </w:rPr>
        <w:t xml:space="preserve">五、开标与评标</w:t>
      </w:r>
      <w:bookmarkEnd w:id="140"/>
      <w:r/>
      <w:bookmarkEnd w:id="141"/>
      <w:r/>
      <w:bookmarkEnd w:id="142"/>
      <w:r/>
      <w:bookmarkEnd w:id="143"/>
      <w:r>
        <w:rPr>
          <w:color w:val="000000"/>
          <w:sz w:val="30"/>
          <w:szCs w:val="30"/>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144" w:name="_Toc20823302"/>
      <w:r/>
      <w:bookmarkStart w:id="145" w:name="_Toc16938546"/>
      <w:r/>
      <w:bookmarkStart w:id="146" w:name="_Toc513029230"/>
      <w:r>
        <w:rPr>
          <w:rFonts w:hint="eastAsia" w:ascii="宋体" w:hAnsi="宋体" w:eastAsia="宋体"/>
          <w:bCs w:val="0"/>
          <w:color w:val="000000"/>
          <w:highlight w:val="none"/>
        </w:rPr>
        <w:t xml:space="preserve">21.开标</w:t>
      </w:r>
      <w:bookmarkEnd w:id="144"/>
      <w:r/>
      <w:bookmarkEnd w:id="145"/>
      <w:r/>
      <w:bookmarkEnd w:id="146"/>
      <w:r>
        <w:rPr>
          <w:rFonts w:ascii="宋体" w:hAnsi="宋体" w:eastAsia="宋体"/>
          <w:bCs w:val="0"/>
          <w:color w:val="000000"/>
          <w:highlight w:val="none"/>
        </w:rPr>
      </w:r>
      <w:r/>
    </w:p>
    <w:p>
      <w:pPr>
        <w:pStyle w:val="681"/>
        <w:ind w:firstLine="480"/>
        <w:spacing w:line="500" w:lineRule="exact"/>
        <w:rPr>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代理机构将在招标公告中规定的时间和地点组织公开开标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color w:val="000000"/>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21.2开标仪式由代理机构组织。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ascii="宋体" w:hAnsi="宋体"/>
          <w:color w:val="000000"/>
          <w:sz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ascii="宋体" w:hAnsi="宋体"/>
          <w:color w:val="000000"/>
          <w:sz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147" w:name="_Toc513029231"/>
      <w:r/>
      <w:bookmarkStart w:id="148" w:name="_Toc20823303"/>
      <w:r/>
      <w:bookmarkStart w:id="149" w:name="_Toc16938547"/>
      <w:r>
        <w:rPr>
          <w:rFonts w:hint="eastAsia" w:ascii="宋体" w:hAnsi="宋体" w:eastAsia="宋体"/>
          <w:bCs w:val="0"/>
          <w:color w:val="000000"/>
          <w:highlight w:val="none"/>
        </w:rPr>
        <w:t xml:space="preserve">22.评标委员会</w:t>
      </w:r>
      <w:r>
        <w:rPr>
          <w:rFonts w:ascii="宋体" w:hAnsi="宋体" w:eastAsia="宋体"/>
          <w:bCs w:val="0"/>
          <w:color w:val="000000"/>
          <w:highlight w:val="none"/>
        </w:rPr>
      </w:r>
      <w:r/>
    </w:p>
    <w:p>
      <w:pPr>
        <w:pStyle w:val="681"/>
        <w:ind w:firstLine="480"/>
        <w:spacing w:line="500" w:lineRule="exact"/>
        <w:rPr>
          <w:rFonts w:ascii="宋体" w:hAnsi="宋体"/>
          <w:b/>
          <w:color w:val="000000"/>
          <w:sz w:val="24"/>
          <w:szCs w:val="24"/>
          <w:highlight w:val="none"/>
        </w:rPr>
      </w:pPr>
      <w:r>
        <w:rPr>
          <w:rFonts w:hint="eastAsia" w:ascii="宋体" w:hAnsi="宋体"/>
          <w:color w:val="000000"/>
          <w:sz w:val="24"/>
          <w:szCs w:val="24"/>
          <w:highlight w:val="none"/>
        </w:rPr>
        <w:t xml:space="preserve">22.1开标后，代理机构将立即组织评标委员会（以下简称评委会）进行评标。</w:t>
      </w:r>
      <w:r>
        <w:rPr>
          <w:rFonts w:ascii="宋体" w:hAnsi="宋体"/>
          <w:b/>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rPr>
          <w:rFonts w:ascii="宋体" w:hAnsi="宋体"/>
          <w:color w:val="000000"/>
          <w:sz w:val="24"/>
          <w:szCs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bookmarkEnd w:id="147"/>
      <w:r/>
      <w:bookmarkEnd w:id="148"/>
      <w:r/>
      <w:bookmarkEnd w:id="149"/>
      <w:r>
        <w:rPr>
          <w:rFonts w:ascii="宋体" w:hAnsi="宋体" w:eastAsia="宋体"/>
          <w:bCs w:val="0"/>
          <w:color w:val="000000"/>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凡是与审查、澄清、评价和比较投标的有关资料以及授标建议等，采购人、评委、代理机构均不得向投标人或与评标无关的其他人员透露。</w:t>
      </w:r>
      <w:r>
        <w:rPr>
          <w:rFonts w:ascii="宋体" w:hAnsi="宋体"/>
          <w:bCs/>
          <w:color w:val="000000"/>
          <w:sz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代理机构和评标委员会不向未中标的投标人解释未中标原因，也不公布评标过程中的相关细节。</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ascii="宋体" w:hAnsi="宋体"/>
          <w:color w:val="000000"/>
          <w:sz w:val="24"/>
          <w:szCs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150" w:name="_Toc16938548"/>
      <w:r/>
      <w:bookmarkStart w:id="151" w:name="_Toc20823304"/>
      <w:r/>
      <w:bookmarkStart w:id="152" w:name="_Toc513029232"/>
      <w:r>
        <w:rPr>
          <w:rFonts w:hint="eastAsia" w:ascii="宋体" w:hAnsi="宋体" w:eastAsia="宋体"/>
          <w:bCs w:val="0"/>
          <w:color w:val="000000"/>
          <w:highlight w:val="none"/>
        </w:rPr>
        <w:t xml:space="preserve">24.投标文件的澄清</w:t>
      </w:r>
      <w:bookmarkEnd w:id="150"/>
      <w:r/>
      <w:bookmarkEnd w:id="151"/>
      <w:r/>
      <w:bookmarkEnd w:id="152"/>
      <w:r>
        <w:rPr>
          <w:rFonts w:ascii="宋体" w:hAnsi="宋体" w:eastAsia="宋体"/>
          <w:bCs w:val="0"/>
          <w:color w:val="000000"/>
          <w:highlight w:val="none"/>
        </w:rPr>
      </w:r>
      <w:r/>
    </w:p>
    <w:p>
      <w:pPr>
        <w:pStyle w:val="681"/>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24.3接到评委会澄清、说明和补正要求的投标人如未按规定及时作出澄清、说明和补正，其风险由投标人自行承担。</w:t>
      </w:r>
      <w:r>
        <w:rPr>
          <w:rFonts w:ascii="宋体" w:hAnsi="宋体"/>
          <w:color w:val="000000"/>
          <w:sz w:val="24"/>
          <w:szCs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153" w:name="_Toc513029233"/>
      <w:r/>
      <w:bookmarkStart w:id="154" w:name="_Toc20823305"/>
      <w:r/>
      <w:bookmarkStart w:id="155" w:name="_Toc16938549"/>
      <w:r>
        <w:rPr>
          <w:rFonts w:hint="eastAsia" w:ascii="宋体" w:hAnsi="宋体" w:eastAsia="宋体"/>
          <w:bCs w:val="0"/>
          <w:color w:val="000000"/>
          <w:highlight w:val="none"/>
        </w:rPr>
        <w:t xml:space="preserve">25.对投标文件的初审</w:t>
      </w:r>
      <w:bookmarkEnd w:id="153"/>
      <w:r/>
      <w:bookmarkEnd w:id="154"/>
      <w:r/>
      <w:bookmarkEnd w:id="155"/>
      <w:r>
        <w:rPr>
          <w:rFonts w:ascii="宋体" w:hAnsi="宋体" w:eastAsia="宋体"/>
          <w:bCs w:val="0"/>
          <w:color w:val="000000"/>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25.1.1资格审查：依据法律法规和招标文件的规定，由采购代理机构对投标文件中的资格证明文件进行审查。</w:t>
      </w:r>
      <w:r>
        <w:rPr>
          <w:rFonts w:ascii="宋体" w:hAnsi="宋体"/>
          <w:bCs/>
          <w:color w:val="000000"/>
          <w:sz w:val="24"/>
          <w:highlight w:val="none"/>
        </w:rPr>
      </w:r>
      <w:r/>
    </w:p>
    <w:p>
      <w:pPr>
        <w:pStyle w:val="681"/>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采购代理机构在进行资格审查的同时，将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ascii="宋体" w:hAnsi="宋体" w:cs="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ascii="宋体" w:hAnsi="宋体"/>
          <w:bCs/>
          <w:color w:val="000000"/>
          <w:sz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4"/>
          <w:highlight w:val="none"/>
        </w:rPr>
      </w:r>
      <w:r/>
    </w:p>
    <w:p>
      <w:pPr>
        <w:pStyle w:val="6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rPr>
          <w:rFonts w:ascii="宋体" w:hAnsi="宋体"/>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ascii="宋体" w:hAnsi="宋体"/>
          <w:bCs/>
          <w:color w:val="000000"/>
          <w:sz w:val="24"/>
          <w:highlight w:val="none"/>
        </w:rPr>
      </w:r>
      <w:r/>
    </w:p>
    <w:p>
      <w:pPr>
        <w:pStyle w:val="681"/>
        <w:ind w:firstLine="482"/>
        <w:spacing w:line="500" w:lineRule="atLeas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hint="eastAsia" w:ascii="宋体" w:hAnsi="宋体"/>
          <w:color w:val="000000"/>
          <w:sz w:val="24"/>
          <w:highlight w:val="none"/>
          <w:lang w:val="en-US" w:eastAsia="zh-CN"/>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681"/>
        <w:ind w:firstLine="420"/>
        <w:spacing w:line="500" w:lineRule="exact"/>
        <w:rPr>
          <w:rFonts w:ascii="宋体" w:hAnsi="宋体"/>
          <w:color w:val="000000"/>
          <w:sz w:val="24"/>
          <w:highlight w:val="none"/>
        </w:rPr>
      </w:pPr>
      <w:r/>
      <w:bookmarkStart w:id="156" w:name="_Toc20823306"/>
      <w:r/>
      <w:bookmarkStart w:id="157" w:name="_Toc16938550"/>
      <w:r/>
      <w:bookmarkStart w:id="158" w:name="_Toc513029234"/>
      <w:r>
        <w:rPr>
          <w:rFonts w:hint="eastAsia" w:ascii="宋体" w:hAnsi="宋体"/>
          <w:color w:val="000000"/>
          <w:sz w:val="24"/>
          <w:highlight w:val="none"/>
        </w:rPr>
        <w:t xml:space="preserve">25.</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ascii="宋体" w:hAnsi="宋体"/>
          <w:color w:val="000000"/>
          <w:sz w:val="24"/>
          <w:highlight w:val="none"/>
        </w:rPr>
      </w:r>
      <w:r/>
    </w:p>
    <w:p>
      <w:pPr>
        <w:pStyle w:val="1056"/>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25.7异常低价投标（响应）审查</w:t>
      </w:r>
      <w:r>
        <w:rPr>
          <w:rFonts w:hint="eastAsia" w:ascii="宋体" w:hAnsi="宋体" w:eastAsia="宋体" w:cs="宋体"/>
          <w:b/>
          <w:bCs/>
          <w:color w:val="000000"/>
          <w:sz w:val="24"/>
          <w:szCs w:val="24"/>
          <w:highlight w:val="none"/>
        </w:rPr>
      </w:r>
      <w:r/>
    </w:p>
    <w:p>
      <w:pPr>
        <w:pStyle w:val="1056"/>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w:t>
      </w:r>
      <w:r>
        <w:rPr>
          <w:rFonts w:hint="eastAsia" w:ascii="宋体" w:hAnsi="宋体" w:eastAsia="宋体" w:cs="宋体"/>
          <w:b/>
          <w:bCs/>
          <w:color w:val="000000"/>
          <w:sz w:val="24"/>
          <w:szCs w:val="24"/>
          <w:highlight w:val="none"/>
          <w:lang w:val="en-US" w:eastAsia="zh-CN"/>
        </w:rPr>
        <w:t xml:space="preserve">7.1根据《关于推动解决政府采购异常低价问题的通知》（财库〔2026〕2号）要求，政府采购评审中出现下列情形之一的，评审委员会应当启动异常低价投标（响应）审查程序：</w:t>
      </w:r>
      <w:r>
        <w:rPr>
          <w:rFonts w:hint="eastAsia" w:ascii="宋体" w:hAnsi="宋体" w:eastAsia="宋体" w:cs="宋体"/>
          <w:b/>
          <w:bCs/>
          <w:color w:val="000000"/>
          <w:sz w:val="24"/>
          <w:szCs w:val="24"/>
          <w:highlight w:val="none"/>
        </w:rPr>
      </w:r>
      <w:r/>
    </w:p>
    <w:p>
      <w:pPr>
        <w:pStyle w:val="1056"/>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（1）投标（响应）报价低于全部通过符合性审查供应商投标（响应）报价平均值50%的，即投标（响应 </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报价＜全部通过符合性审查供应商投标（响应）报价平均值×50%；</w:t>
      </w:r>
      <w:r>
        <w:rPr>
          <w:rFonts w:hint="eastAsia" w:ascii="宋体" w:hAnsi="宋体" w:eastAsia="宋体" w:cs="宋体"/>
          <w:b/>
          <w:bCs/>
          <w:color w:val="000000"/>
          <w:sz w:val="24"/>
          <w:szCs w:val="24"/>
          <w:highlight w:val="none"/>
        </w:rPr>
      </w:r>
      <w:r/>
    </w:p>
    <w:p>
      <w:pPr>
        <w:pStyle w:val="1056"/>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（2）投标（响应）报价低于通过符合性审查的次低报价供应商投标（响应）报价50%的，即投标（响应 </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报价＜通过符合性审查的次低报价供应商投标（响应）报价×50%；</w:t>
      </w:r>
      <w:r>
        <w:rPr>
          <w:rFonts w:hint="eastAsia" w:ascii="宋体" w:hAnsi="宋体" w:eastAsia="宋体" w:cs="宋体"/>
          <w:b/>
          <w:bCs/>
          <w:color w:val="000000"/>
          <w:sz w:val="24"/>
          <w:szCs w:val="24"/>
          <w:highlight w:val="none"/>
        </w:rPr>
      </w:r>
      <w:r/>
    </w:p>
    <w:p>
      <w:pPr>
        <w:pStyle w:val="1056"/>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（3）投标（响应）报价低于采购项目最高限价45%的，即投标（响应）报价＜采购项目最高限价×45% ;</w:t>
      </w:r>
      <w:r>
        <w:rPr>
          <w:rFonts w:hint="eastAsia" w:ascii="宋体" w:hAnsi="宋体" w:eastAsia="宋体" w:cs="宋体"/>
          <w:b/>
          <w:bCs/>
          <w:color w:val="000000"/>
          <w:sz w:val="24"/>
          <w:szCs w:val="24"/>
          <w:highlight w:val="none"/>
        </w:rPr>
      </w:r>
      <w:r/>
    </w:p>
    <w:p>
      <w:pPr>
        <w:pStyle w:val="1056"/>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rPr>
      </w:r>
      <w:r/>
    </w:p>
    <w:p>
      <w:pPr>
        <w:pStyle w:val="1056"/>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相关法律法规对供应商报价有规定的，从其规定。</w:t>
      </w:r>
      <w:r>
        <w:rPr>
          <w:rFonts w:hint="eastAsia" w:ascii="宋体" w:hAnsi="宋体" w:eastAsia="宋体" w:cs="宋体"/>
          <w:b/>
          <w:bCs/>
          <w:color w:val="000000"/>
          <w:sz w:val="24"/>
          <w:szCs w:val="24"/>
          <w:highlight w:val="none"/>
        </w:rPr>
      </w:r>
      <w:r/>
    </w:p>
    <w:p>
      <w:pPr>
        <w:pStyle w:val="1056"/>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eastAsia="宋体" w:cs="宋体"/>
          <w:b/>
          <w:bCs/>
          <w:color w:val="000000"/>
          <w:sz w:val="24"/>
          <w:szCs w:val="24"/>
          <w:highlight w:val="none"/>
        </w:rPr>
      </w:r>
      <w:r/>
    </w:p>
    <w:p>
      <w:pPr>
        <w:pStyle w:val="1056"/>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25.</w:t>
      </w:r>
      <w:r>
        <w:rPr>
          <w:rFonts w:hint="eastAsia" w:ascii="宋体" w:hAnsi="宋体" w:eastAsia="宋体" w:cs="宋体"/>
          <w:b/>
          <w:bCs/>
          <w:color w:val="000000"/>
          <w:sz w:val="24"/>
          <w:szCs w:val="24"/>
          <w:highlight w:val="none"/>
          <w:lang w:val="en-US" w:eastAsia="zh-CN"/>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lang w:val="en-US" w:eastAsia="zh-CN"/>
        </w:rPr>
      </w:r>
      <w:r/>
    </w:p>
    <w:p>
      <w:pPr>
        <w:pStyle w:val="1056"/>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rPr>
      </w:r>
      <w:r/>
    </w:p>
    <w:p>
      <w:pPr>
        <w:pStyle w:val="1056"/>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lang w:val="en-US" w:eastAsia="zh-CN"/>
        </w:rPr>
      </w:r>
      <w:r/>
    </w:p>
    <w:p>
      <w:pPr>
        <w:pStyle w:val="1056"/>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财政部门在投诉处理、监督检查中发现评审委员会未按规定对异常低价开展审查的，依法予以纠正并追究评审专家的法律责任。</w:t>
      </w:r>
      <w:r>
        <w:rPr>
          <w:rFonts w:hint="eastAsia" w:ascii="宋体" w:hAnsi="宋体" w:eastAsia="宋体" w:cs="宋体"/>
          <w:b/>
          <w:bCs/>
          <w:color w:val="000000"/>
          <w:sz w:val="24"/>
          <w:szCs w:val="24"/>
          <w:highlight w:val="none"/>
          <w:lang w:val="en-US" w:eastAsia="zh-CN"/>
        </w:rPr>
      </w:r>
      <w:r/>
    </w:p>
    <w:p>
      <w:pPr>
        <w:pStyle w:val="784"/>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26</w:t>
      </w:r>
      <w:bookmarkEnd w:id="156"/>
      <w:r/>
      <w:bookmarkEnd w:id="157"/>
      <w:r/>
      <w:bookmarkEnd w:id="158"/>
      <w:r>
        <w:rPr>
          <w:rFonts w:hint="eastAsia" w:ascii="宋体" w:hAnsi="宋体" w:eastAsia="宋体"/>
          <w:bCs w:val="0"/>
          <w:color w:val="000000"/>
          <w:highlight w:val="none"/>
        </w:rPr>
        <w:t xml:space="preserve">.无效投标条款和废标条款</w:t>
      </w:r>
      <w:r>
        <w:rPr>
          <w:rFonts w:ascii="宋体" w:hAnsi="宋体" w:eastAsia="宋体"/>
          <w:bCs w:val="0"/>
          <w:color w:val="000000"/>
          <w:highlight w:val="none"/>
        </w:rPr>
      </w:r>
      <w:r/>
    </w:p>
    <w:p>
      <w:pPr>
        <w:pStyle w:val="681"/>
        <w:ind w:left="479"/>
        <w:spacing w:line="500" w:lineRule="exact"/>
        <w:rPr>
          <w:rFonts w:ascii="宋体" w:hAnsi="宋体"/>
          <w:bCs/>
          <w:color w:val="000000"/>
          <w:sz w:val="24"/>
          <w:highlight w:val="none"/>
        </w:rPr>
      </w:pPr>
      <w:r/>
      <w:bookmarkStart w:id="159" w:name="_Toc16938551"/>
      <w:r/>
      <w:bookmarkStart w:id="160" w:name="_Toc20823307"/>
      <w:r/>
      <w:bookmarkStart w:id="161" w:name="_Toc513029235"/>
      <w:r>
        <w:rPr>
          <w:rFonts w:hint="eastAsia" w:ascii="宋体" w:hAnsi="宋体"/>
          <w:bCs/>
          <w:color w:val="000000"/>
          <w:sz w:val="24"/>
          <w:highlight w:val="none"/>
        </w:rPr>
        <w:t xml:space="preserve">26.1无效投标条款</w:t>
      </w:r>
      <w:r>
        <w:rPr>
          <w:rFonts w:ascii="宋体" w:hAnsi="宋体"/>
          <w:bCs/>
          <w:color w:val="000000"/>
          <w:sz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标段</w:t>
      </w:r>
      <w:r>
        <w:rPr>
          <w:rFonts w:hint="eastAsia" w:ascii="宋体" w:hAnsi="宋体"/>
          <w:bCs/>
          <w:color w:val="000000"/>
          <w:sz w:val="24"/>
          <w:szCs w:val="24"/>
          <w:highlight w:val="none"/>
        </w:rPr>
        <w:t xml:space="preserve">）投标总价超过本项目（本采购包、本标项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本标段</w:t>
      </w:r>
      <w:r>
        <w:rPr>
          <w:rFonts w:hint="eastAsia" w:ascii="宋体" w:hAnsi="宋体"/>
          <w:bCs/>
          <w:color w:val="000000"/>
          <w:sz w:val="24"/>
          <w:szCs w:val="24"/>
          <w:highlight w:val="none"/>
        </w:rPr>
        <w:t xml:space="preserve">）预算或最高限价的。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ascii="宋体" w:hAnsi="宋体"/>
          <w:bCs/>
          <w:color w:val="000000"/>
          <w:sz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宋体" w:hAnsi="宋体"/>
          <w:bCs/>
          <w:color w:val="000000"/>
          <w:sz w:val="24"/>
          <w:szCs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26.1.22评标委员会按照本招标文件规定对投标人进行异常低价投标（响应）审查后，认为投标人不能证明其报价合理性的。</w:t>
      </w:r>
      <w:r>
        <w:rPr>
          <w:rFonts w:ascii="宋体" w:hAnsi="宋体"/>
          <w:bCs/>
          <w:color w:val="000000"/>
          <w:sz w:val="24"/>
          <w:highlight w:val="none"/>
          <w:shd w:val="clear" w:color="ffffff" w:fill="d9d9d9"/>
        </w:rPr>
      </w:r>
      <w:r/>
    </w:p>
    <w:p>
      <w:pPr>
        <w:pStyle w:val="681"/>
        <w:ind w:firstLine="480"/>
        <w:spacing w:line="500" w:lineRule="exact"/>
        <w:rPr>
          <w:rFonts w:hint="eastAsia" w:ascii="宋体" w:hAnsi="宋体" w:eastAsia="宋体"/>
          <w:bCs/>
          <w:color w:val="000000"/>
          <w:sz w:val="24"/>
          <w:highlight w:val="none"/>
          <w:lang w:val="en-US" w:eastAsia="zh-CN"/>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highlight w:val="none"/>
          <w:lang w:val="en-US" w:eastAsia="zh-CN"/>
        </w:rPr>
      </w:r>
      <w:r/>
    </w:p>
    <w:p>
      <w:pPr>
        <w:pStyle w:val="6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 </w:t>
      </w:r>
      <w:r>
        <w:rPr>
          <w:rFonts w:hint="eastAsia"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其他法律法规及本招标文件规定的属无效投标的情形。</w:t>
      </w:r>
      <w:r>
        <w:rPr>
          <w:rFonts w:ascii="宋体" w:hAnsi="宋体"/>
          <w:bCs/>
          <w:color w:val="000000"/>
          <w:sz w:val="24"/>
          <w:highlight w:val="none"/>
        </w:rPr>
      </w:r>
      <w:r/>
    </w:p>
    <w:p>
      <w:pPr>
        <w:pStyle w:val="681"/>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26.2废标条款</w:t>
      </w:r>
      <w:r>
        <w:rPr>
          <w:rFonts w:ascii="宋体" w:hAnsi="宋体"/>
          <w:bCs/>
          <w:color w:val="000000"/>
          <w:sz w:val="24"/>
          <w:highlight w:val="none"/>
        </w:rPr>
      </w:r>
      <w:r/>
    </w:p>
    <w:p>
      <w:pPr>
        <w:pStyle w:val="681"/>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26.2.1符合专业条件的供应商或者对招标文件做实质响应的供应商不足三家的。</w:t>
      </w:r>
      <w:r>
        <w:rPr>
          <w:rFonts w:hint="eastAsia" w:ascii="宋体" w:hAnsi="宋体"/>
          <w:bCs/>
          <w:color w:val="000000"/>
          <w:sz w:val="24"/>
          <w:highlight w:val="none"/>
        </w:rPr>
      </w:r>
      <w:r/>
    </w:p>
    <w:p>
      <w:pPr>
        <w:pStyle w:val="681"/>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rPr>
          <w:rFonts w:ascii="宋体" w:hAnsi="宋体"/>
          <w:bCs/>
          <w:color w:val="000000"/>
          <w:sz w:val="24"/>
          <w:highlight w:val="none"/>
        </w:rPr>
      </w:r>
      <w:r/>
    </w:p>
    <w:p>
      <w:pPr>
        <w:pStyle w:val="681"/>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ascii="宋体" w:hAnsi="宋体"/>
          <w:bCs/>
          <w:color w:val="000000"/>
          <w:sz w:val="24"/>
          <w:highlight w:val="none"/>
        </w:rPr>
      </w:r>
      <w:r/>
    </w:p>
    <w:p>
      <w:pPr>
        <w:pStyle w:val="681"/>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681"/>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r>
      <w:r/>
    </w:p>
    <w:p>
      <w:pPr>
        <w:pStyle w:val="681"/>
        <w:ind w:left="479"/>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ascii="宋体" w:hAnsi="宋体"/>
          <w:bCs/>
          <w:color w:val="000000"/>
          <w:sz w:val="24"/>
          <w:highlight w:val="none"/>
        </w:rPr>
      </w:r>
      <w:r/>
    </w:p>
    <w:p>
      <w:pPr>
        <w:pStyle w:val="681"/>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ascii="宋体" w:hAnsi="宋体"/>
          <w:bCs/>
          <w:color w:val="000000"/>
          <w:sz w:val="24"/>
          <w:highlight w:val="none"/>
        </w:rPr>
      </w:r>
      <w:r/>
    </w:p>
    <w:p>
      <w:pPr>
        <w:pStyle w:val="782"/>
        <w:ind w:firstLine="452"/>
        <w:keepLines w:val="0"/>
        <w:keepNext w:val="0"/>
        <w:spacing w:before="0" w:after="0" w:line="500" w:lineRule="exact"/>
        <w:rPr>
          <w:color w:val="000000"/>
          <w:sz w:val="30"/>
          <w:szCs w:val="30"/>
          <w:highlight w:val="none"/>
        </w:rPr>
      </w:pPr>
      <w:r/>
      <w:bookmarkStart w:id="162" w:name="_Toc120614219"/>
      <w:r>
        <w:rPr>
          <w:rFonts w:hint="eastAsia"/>
          <w:color w:val="000000"/>
          <w:sz w:val="30"/>
          <w:szCs w:val="30"/>
          <w:highlight w:val="none"/>
        </w:rPr>
        <w:t xml:space="preserve">六、</w:t>
      </w:r>
      <w:bookmarkEnd w:id="159"/>
      <w:r/>
      <w:bookmarkEnd w:id="160"/>
      <w:r/>
      <w:bookmarkEnd w:id="161"/>
      <w:r>
        <w:rPr>
          <w:rFonts w:hint="eastAsia"/>
          <w:color w:val="000000"/>
          <w:sz w:val="30"/>
          <w:szCs w:val="30"/>
          <w:highlight w:val="none"/>
        </w:rPr>
        <w:t xml:space="preserve">定标</w:t>
      </w:r>
      <w:bookmarkEnd w:id="162"/>
      <w:r>
        <w:rPr>
          <w:color w:val="000000"/>
          <w:sz w:val="30"/>
          <w:szCs w:val="30"/>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163" w:name="_Toc513029238"/>
      <w:r/>
      <w:bookmarkStart w:id="164" w:name="_Toc16938554"/>
      <w:r/>
      <w:bookmarkStart w:id="165" w:name="_Toc20823310"/>
      <w:r>
        <w:rPr>
          <w:rFonts w:hint="eastAsia" w:ascii="宋体" w:hAnsi="宋体" w:eastAsia="宋体"/>
          <w:bCs w:val="0"/>
          <w:color w:val="000000"/>
          <w:highlight w:val="none"/>
        </w:rPr>
        <w:t xml:space="preserve">27</w:t>
      </w:r>
      <w:bookmarkEnd w:id="163"/>
      <w:r>
        <w:rPr>
          <w:rFonts w:hint="eastAsia" w:ascii="宋体" w:hAnsi="宋体" w:eastAsia="宋体"/>
          <w:bCs w:val="0"/>
          <w:color w:val="000000"/>
          <w:highlight w:val="none"/>
        </w:rPr>
        <w:t xml:space="preserve">.确定</w:t>
      </w:r>
      <w:bookmarkEnd w:id="164"/>
      <w:r/>
      <w:bookmarkEnd w:id="165"/>
      <w:r>
        <w:rPr>
          <w:rFonts w:hint="eastAsia" w:ascii="宋体" w:hAnsi="宋体" w:eastAsia="宋体"/>
          <w:bCs w:val="0"/>
          <w:color w:val="000000"/>
          <w:highlight w:val="none"/>
        </w:rPr>
        <w:t xml:space="preserve">中标单位</w:t>
      </w:r>
      <w:r>
        <w:rPr>
          <w:rFonts w:ascii="宋体" w:hAnsi="宋体" w:eastAsia="宋体"/>
          <w:bCs w:val="0"/>
          <w:color w:val="000000"/>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ascii="宋体" w:hAnsi="宋体"/>
          <w:bCs/>
          <w:color w:val="000000"/>
          <w:sz w:val="24"/>
          <w:highlight w:val="none"/>
        </w:rPr>
      </w:r>
      <w:r/>
    </w:p>
    <w:p>
      <w:pPr>
        <w:pStyle w:val="6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ascii="宋体" w:hAnsi="宋体"/>
          <w:bCs/>
          <w:color w:val="000000"/>
          <w:sz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代理机构将在“江苏政府采购网”发布中标公告，公告期限为1个工作日。</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27.4.2向采购人、代理机构行贿或者提供其他不正当利益的。</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bookmarkStart w:id="166"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6"/>
      <w:r>
        <w:rPr>
          <w:rFonts w:ascii="宋体" w:hAnsi="宋体" w:eastAsia="宋体"/>
          <w:bCs w:val="0"/>
          <w:color w:val="000000"/>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ascii="宋体" w:hAnsi="宋体"/>
          <w:color w:val="000000"/>
          <w:sz w:val="24"/>
          <w:szCs w:val="24"/>
          <w:highlight w:val="none"/>
          <w:shd w:val="clear" w:color="ffffff" w:fill="d9d9d9"/>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采购人、代理机构只接收以纸质原件形式送达的质疑，质疑供应商可通过面交或邮寄方式送达（采购人和代理机构不接受未填写快递运单的快件）。</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采购人、代理机构联系人、联系方式、通信地址见招标文件第一章。</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ascii="宋体" w:hAnsi="宋体"/>
          <w:color w:val="000000"/>
          <w:sz w:val="24"/>
          <w:szCs w:val="24"/>
          <w:highlight w:val="none"/>
        </w:rPr>
      </w:r>
      <w:r/>
    </w:p>
    <w:p>
      <w:pPr>
        <w:pStyle w:val="681"/>
        <w:ind w:firstLine="468"/>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一经查实，代理机构有权依据政府采购的有关规定，报请政府采购监管部门对该供应商进行相应的行政处罚和记录该供应商的失信信息。</w:t>
      </w:r>
      <w:r>
        <w:rPr>
          <w:rFonts w:ascii="宋体" w:hAnsi="宋体"/>
          <w:color w:val="000000"/>
          <w:sz w:val="24"/>
          <w:szCs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ascii="宋体" w:hAnsi="宋体" w:eastAsia="宋体"/>
          <w:bCs w:val="0"/>
          <w:color w:val="000000"/>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29.l中标结果确定后，代理机构将向中标人发出中标通知书。请中标人在中标结果公告届满之日起30日内，使用CA数字证书登录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color w:val="000000"/>
          <w:sz w:val="24"/>
          <w:szCs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30.代理服务费：</w:t>
      </w:r>
      <w:r>
        <w:rPr>
          <w:rFonts w:ascii="宋体" w:hAnsi="宋体" w:eastAsia="宋体"/>
          <w:bCs w:val="0"/>
          <w:color w:val="000000"/>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30.1</w:t>
      </w:r>
      <w:r>
        <w:rPr>
          <w:rFonts w:hint="eastAsia" w:ascii="宋体" w:hAnsi="宋体" w:cs="宋体"/>
          <w:color w:val="000000"/>
          <w:sz w:val="24"/>
          <w:highlight w:val="none"/>
        </w:rPr>
        <w:t xml:space="preserve">本项目招标代理服务费以中标金额为计费基础，按差额定率累进法计算后</w:t>
      </w:r>
      <w:r>
        <w:rPr>
          <w:rFonts w:hint="eastAsia" w:ascii="宋体" w:hAnsi="宋体" w:cs="宋体"/>
          <w:color w:val="000000"/>
          <w:sz w:val="24"/>
          <w:szCs w:val="24"/>
          <w:highlight w:val="none"/>
        </w:rPr>
        <w:t xml:space="preserve">打</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折计取</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100万元以下</w:t>
      </w:r>
      <w:r>
        <w:rPr>
          <w:rFonts w:hint="eastAsia" w:ascii="宋体" w:hAnsi="宋体" w:cs="宋体"/>
          <w:color w:val="000000"/>
          <w:sz w:val="24"/>
          <w:highlight w:val="none"/>
        </w:rPr>
        <w:t xml:space="preserve">费率为1.5%，</w:t>
      </w:r>
      <w:r>
        <w:rPr>
          <w:rFonts w:hint="eastAsia" w:ascii="宋体" w:hAnsi="宋体" w:cs="宋体"/>
          <w:color w:val="000000"/>
          <w:sz w:val="24"/>
          <w:highlight w:val="none"/>
          <w:lang w:eastAsia="zh-CN"/>
        </w:rPr>
        <w:t xml:space="preserve">100万—500万</w:t>
      </w:r>
      <w:r>
        <w:rPr>
          <w:rFonts w:hint="eastAsia" w:ascii="宋体" w:hAnsi="宋体" w:cs="宋体"/>
          <w:color w:val="000000"/>
          <w:sz w:val="24"/>
          <w:highlight w:val="none"/>
        </w:rPr>
        <w:t xml:space="preserve">费率为1.1%</w:t>
      </w:r>
      <w:r>
        <w:rPr>
          <w:rFonts w:hint="eastAsia" w:ascii="宋体" w:hAnsi="宋体" w:cs="宋体"/>
          <w:bCs/>
          <w:color w:val="000000"/>
          <w:sz w:val="24"/>
          <w:highlight w:val="none"/>
        </w:rPr>
        <w:t xml:space="preserve">。本项目招标代理费由</w:t>
      </w:r>
      <w:r>
        <w:rPr>
          <w:rFonts w:hint="eastAsia" w:ascii="宋体" w:hAnsi="宋体" w:cs="宋体"/>
          <w:bCs/>
          <w:color w:val="000000"/>
          <w:sz w:val="24"/>
          <w:highlight w:val="none"/>
          <w:lang w:val="en-US" w:eastAsia="zh-CN"/>
        </w:rPr>
        <w:t xml:space="preserve">采购人</w:t>
      </w:r>
      <w:r>
        <w:rPr>
          <w:rFonts w:hint="eastAsia" w:ascii="宋体" w:hAnsi="宋体" w:cs="宋体"/>
          <w:bCs/>
          <w:color w:val="000000"/>
          <w:sz w:val="24"/>
          <w:highlight w:val="none"/>
        </w:rPr>
        <w:t xml:space="preserve">支付。</w:t>
      </w:r>
      <w:r>
        <w:rPr>
          <w:rFonts w:ascii="宋体" w:hAnsi="宋体"/>
          <w:color w:val="000000"/>
          <w:sz w:val="24"/>
          <w:szCs w:val="24"/>
          <w:highlight w:val="none"/>
        </w:rPr>
      </w:r>
      <w:r/>
    </w:p>
    <w:p>
      <w:pPr>
        <w:pStyle w:val="782"/>
        <w:ind w:firstLine="452"/>
        <w:keepLines w:val="0"/>
        <w:keepNext w:val="0"/>
        <w:spacing w:before="0" w:after="0" w:line="500" w:lineRule="exact"/>
        <w:rPr>
          <w:color w:val="000000"/>
          <w:sz w:val="30"/>
          <w:szCs w:val="30"/>
          <w:highlight w:val="none"/>
        </w:rPr>
      </w:pPr>
      <w:r/>
      <w:bookmarkStart w:id="167" w:name="_Toc120614220"/>
      <w:r/>
      <w:bookmarkStart w:id="168" w:name="_Toc20823308"/>
      <w:r/>
      <w:bookmarkStart w:id="169" w:name="_Toc16938552"/>
      <w:r/>
      <w:bookmarkStart w:id="170" w:name="_Toc513029236"/>
      <w:r>
        <w:rPr>
          <w:rFonts w:hint="eastAsia"/>
          <w:color w:val="000000"/>
          <w:sz w:val="30"/>
          <w:szCs w:val="30"/>
          <w:highlight w:val="none"/>
        </w:rPr>
        <w:t xml:space="preserve">七、授予合同</w:t>
      </w:r>
      <w:bookmarkEnd w:id="167"/>
      <w:r/>
      <w:bookmarkEnd w:id="168"/>
      <w:r/>
      <w:bookmarkEnd w:id="169"/>
      <w:r/>
      <w:bookmarkEnd w:id="170"/>
      <w:r>
        <w:rPr>
          <w:color w:val="000000"/>
          <w:sz w:val="30"/>
          <w:szCs w:val="30"/>
          <w:highlight w:val="none"/>
        </w:rPr>
      </w:r>
      <w:r/>
    </w:p>
    <w:p>
      <w:pPr>
        <w:pStyle w:val="784"/>
        <w:ind w:firstLine="422"/>
        <w:keepLines w:val="0"/>
        <w:keepNext w:val="0"/>
        <w:spacing w:before="0" w:after="0" w:line="500" w:lineRule="exact"/>
        <w:rPr>
          <w:rFonts w:ascii="宋体" w:hAnsi="宋体" w:eastAsia="宋体"/>
          <w:bCs w:val="0"/>
          <w:color w:val="000000"/>
          <w:highlight w:val="none"/>
        </w:rPr>
      </w:pPr>
      <w:r/>
      <w:bookmarkStart w:id="171" w:name="_Toc20823309"/>
      <w:r/>
      <w:bookmarkStart w:id="172" w:name="_Toc513029237"/>
      <w:r/>
      <w:bookmarkStart w:id="173" w:name="_Toc16938553"/>
      <w:r>
        <w:rPr>
          <w:rFonts w:hint="eastAsia" w:ascii="宋体" w:hAnsi="宋体" w:eastAsia="宋体"/>
          <w:bCs w:val="0"/>
          <w:color w:val="000000"/>
          <w:highlight w:val="none"/>
        </w:rPr>
        <w:t xml:space="preserve">31.签订合同</w:t>
      </w:r>
      <w:r>
        <w:rPr>
          <w:rFonts w:ascii="宋体" w:hAnsi="宋体" w:eastAsia="宋体"/>
          <w:bCs w:val="0"/>
          <w:color w:val="000000"/>
          <w:highlight w:val="none"/>
        </w:rPr>
      </w:r>
      <w:r/>
    </w:p>
    <w:p>
      <w:pPr>
        <w:pStyle w:val="681"/>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31.1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31.2中标人非因不可抗力未履行招、投标文件和合同规定的义务，一经查实，代理机构将根据具体情况提请政府采购管理部门作出相应处理。</w:t>
      </w:r>
      <w:r>
        <w:rPr>
          <w:rFonts w:ascii="宋体" w:hAnsi="宋体"/>
          <w:color w:val="000000"/>
          <w:sz w:val="24"/>
          <w:szCs w:val="24"/>
          <w:highlight w:val="none"/>
        </w:rPr>
      </w:r>
      <w:r/>
    </w:p>
    <w:p>
      <w:pPr>
        <w:pStyle w:val="681"/>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bCs/>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宋体" w:hAnsi="宋体"/>
          <w:color w:val="000000"/>
          <w:sz w:val="24"/>
          <w:szCs w:val="24"/>
          <w:highlight w:val="none"/>
        </w:rPr>
      </w:r>
      <w:r/>
    </w:p>
    <w:p>
      <w:pPr>
        <w:pStyle w:val="784"/>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32.服务（包含与服务相关的货物）的追加</w:t>
      </w:r>
      <w:r>
        <w:rPr>
          <w:rFonts w:ascii="宋体" w:hAnsi="宋体" w:eastAsia="宋体"/>
          <w:bCs w:val="0"/>
          <w:color w:val="000000"/>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的10%。</w:t>
      </w:r>
      <w:bookmarkEnd w:id="171"/>
      <w:r/>
      <w:bookmarkEnd w:id="172"/>
      <w:r/>
      <w:bookmarkEnd w:id="173"/>
      <w:r>
        <w:rPr>
          <w:rFonts w:ascii="宋体" w:hAnsi="宋体"/>
          <w:color w:val="000000"/>
          <w:sz w:val="24"/>
          <w:szCs w:val="24"/>
          <w:highlight w:val="none"/>
        </w:rPr>
      </w:r>
      <w:r/>
    </w:p>
    <w:p>
      <w:pPr>
        <w:pStyle w:val="780"/>
        <w:jc w:val="center"/>
        <w:spacing w:line="500" w:lineRule="exact"/>
        <w:rPr>
          <w:rFonts w:ascii="黑体" w:eastAsia="黑体"/>
          <w:bCs/>
          <w:color w:val="000000"/>
          <w:sz w:val="36"/>
          <w:szCs w:val="36"/>
          <w:highlight w:val="none"/>
        </w:rPr>
      </w:pPr>
      <w:r/>
      <w:bookmarkStart w:id="174" w:name="_Toc120614221"/>
      <w:r/>
      <w:bookmarkStart w:id="175" w:name="_Toc20823314"/>
      <w:r/>
      <w:bookmarkStart w:id="176" w:name="_Toc479757207"/>
      <w:r/>
      <w:bookmarkStart w:id="177" w:name="_Toc16938558"/>
      <w:r/>
      <w:bookmarkStart w:id="178" w:name="_Toc513029242"/>
      <w:r>
        <w:rPr>
          <w:rFonts w:ascii="宋体" w:hAnsi="宋体"/>
          <w:bCs/>
          <w:color w:val="000000"/>
          <w:sz w:val="24"/>
          <w:highlight w:val="none"/>
          <w:shd w:val="clear" w:color="ffffff" w:fill="d9d9d9"/>
        </w:rPr>
        <w:br w:type="page" w:clear="all"/>
      </w:r>
      <w:r>
        <w:rPr>
          <w:rFonts w:hint="eastAsia" w:ascii="黑体" w:eastAsia="黑体"/>
          <w:bCs/>
          <w:color w:val="000000"/>
          <w:sz w:val="36"/>
          <w:szCs w:val="36"/>
          <w:highlight w:val="none"/>
        </w:rPr>
        <w:t xml:space="preserve">第三章  合同</w:t>
      </w:r>
      <w:bookmarkEnd w:id="174"/>
      <w:r/>
      <w:bookmarkEnd w:id="175"/>
      <w:r/>
      <w:bookmarkEnd w:id="176"/>
      <w:r/>
      <w:bookmarkEnd w:id="177"/>
      <w:r/>
      <w:bookmarkEnd w:id="178"/>
      <w:r>
        <w:rPr>
          <w:rFonts w:hint="eastAsia" w:ascii="黑体" w:eastAsia="黑体"/>
          <w:bCs/>
          <w:color w:val="000000"/>
          <w:sz w:val="36"/>
          <w:szCs w:val="36"/>
          <w:highlight w:val="none"/>
        </w:rPr>
        <w:t xml:space="preserve">文本</w:t>
      </w:r>
      <w:r>
        <w:rPr>
          <w:rFonts w:ascii="黑体" w:eastAsia="黑体"/>
          <w:bCs/>
          <w:color w:val="000000"/>
          <w:sz w:val="36"/>
          <w:szCs w:val="36"/>
          <w:highlight w:val="none"/>
        </w:rPr>
      </w:r>
      <w:r/>
    </w:p>
    <w:p>
      <w:pPr>
        <w:pStyle w:val="681"/>
        <w:spacing w:line="360" w:lineRule="exact"/>
        <w:rPr>
          <w:rFonts w:ascii="宋体" w:hAnsi="宋体"/>
          <w:bCs/>
          <w:color w:val="000000"/>
          <w:sz w:val="24"/>
          <w:highlight w:val="none"/>
        </w:rPr>
      </w:pPr>
      <w:r/>
      <w:bookmarkStart w:id="179" w:name="_Toc16938590"/>
      <w:r/>
      <w:bookmarkEnd w:id="179"/>
      <w:r/>
      <w:bookmarkStart w:id="180" w:name="_Hlt16619350"/>
      <w:r/>
      <w:bookmarkEnd w:id="180"/>
      <w:r/>
      <w:bookmarkStart w:id="181" w:name="_Toc120614244"/>
      <w:r/>
      <w:bookmarkEnd w:id="181"/>
      <w:r/>
      <w:bookmarkStart w:id="182" w:name="_Toc20823346"/>
      <w:r/>
      <w:bookmarkEnd w:id="182"/>
      <w:r/>
      <w:bookmarkStart w:id="183" w:name="_Toc479757211"/>
      <w:r/>
      <w:bookmarkStart w:id="184" w:name="_Toc462564139"/>
      <w:r>
        <w:rPr>
          <w:rFonts w:ascii="宋体" w:hAnsi="宋体"/>
          <w:bCs/>
          <w:color w:val="000000"/>
          <w:sz w:val="24"/>
          <w:highlight w:val="none"/>
        </w:rPr>
      </w:r>
      <w:r/>
    </w:p>
    <w:p>
      <w:pPr>
        <w:pStyle w:val="681"/>
        <w:ind w:firstLine="480"/>
        <w:jc w:val="left"/>
        <w:spacing w:line="360" w:lineRule="auto"/>
        <w:rPr>
          <w:rFonts w:ascii="宋体" w:hAnsi="宋体" w:cs="宋体"/>
          <w:b/>
          <w:color w:val="000000"/>
          <w:sz w:val="24"/>
          <w:szCs w:val="24"/>
          <w:highlight w:val="none"/>
        </w:rPr>
      </w:pPr>
      <w:r/>
      <w:bookmarkStart w:id="185" w:name="_Toc49090575"/>
      <w:r/>
      <w:bookmarkStart w:id="186" w:name="_Toc26554093"/>
      <w:r>
        <w:rPr>
          <w:rFonts w:hint="eastAsia" w:ascii="宋体" w:hAnsi="宋体" w:cs="宋体"/>
          <w:b/>
          <w:color w:val="000000"/>
          <w:sz w:val="24"/>
          <w:szCs w:val="24"/>
          <w:highlight w:val="none"/>
        </w:rPr>
        <w:t xml:space="preserve">根据《中华人民共和国政府采购法》及相关法规、《中华人民共和国民法典》，遵循平等、自愿、公平和诚实信用的原则，甲乙双方就</w:t>
      </w:r>
      <w:r>
        <w:rPr>
          <w:rFonts w:hint="eastAsia" w:ascii="宋体" w:hAnsi="宋体" w:cs="宋体"/>
          <w:b/>
          <w:color w:val="000000"/>
          <w:sz w:val="24"/>
          <w:szCs w:val="24"/>
          <w:highlight w:val="none"/>
          <w:lang w:eastAsia="zh-CN"/>
        </w:rPr>
        <w:t xml:space="preserve">江苏省梅村高级中学2026年图书馆设施设备更换项目</w:t>
      </w:r>
      <w:r>
        <w:rPr>
          <w:rFonts w:hint="eastAsia" w:ascii="宋体" w:hAnsi="宋体" w:cs="宋体"/>
          <w:b/>
          <w:color w:val="000000"/>
          <w:sz w:val="24"/>
          <w:szCs w:val="24"/>
          <w:highlight w:val="none"/>
        </w:rPr>
        <w:t xml:space="preserve">（项目编号：</w:t>
      </w:r>
      <w:r>
        <w:rPr>
          <w:rFonts w:hint="eastAsia" w:ascii="宋体" w:hAnsi="宋体" w:cs="宋体"/>
          <w:b/>
          <w:color w:val="000000"/>
          <w:sz w:val="24"/>
          <w:szCs w:val="24"/>
          <w:highlight w:val="none"/>
          <w:u w:val="single"/>
          <w:lang w:eastAsia="zh-CN"/>
        </w:rPr>
        <w:t xml:space="preserve">JSZC-320200-ZHCD-G2026-0011</w:t>
      </w:r>
      <w:r>
        <w:rPr>
          <w:rFonts w:hint="eastAsia" w:ascii="宋体" w:hAnsi="宋体" w:cs="宋体"/>
          <w:b/>
          <w:color w:val="000000"/>
          <w:sz w:val="24"/>
          <w:szCs w:val="24"/>
          <w:highlight w:val="none"/>
        </w:rPr>
        <w:t xml:space="preserve">）采购及有关事项协商一致，共同达成如下协议：</w:t>
      </w:r>
      <w:r>
        <w:rPr>
          <w:rFonts w:ascii="宋体" w:hAnsi="宋体" w:cs="宋体"/>
          <w:b/>
          <w:color w:val="000000"/>
          <w:sz w:val="24"/>
          <w:szCs w:val="24"/>
          <w:highlight w:val="none"/>
        </w:rPr>
      </w:r>
      <w:r/>
    </w:p>
    <w:p>
      <w:pPr>
        <w:pStyle w:val="681"/>
        <w:ind w:firstLine="480"/>
        <w:spacing w:line="360" w:lineRule="auto"/>
        <w:rPr>
          <w:rFonts w:ascii="宋体" w:hAnsi="宋体" w:eastAsia="宋体" w:cs="宋体"/>
          <w:bCs/>
          <w:color w:val="000000"/>
          <w:sz w:val="24"/>
          <w:szCs w:val="24"/>
          <w:highlight w:val="none"/>
          <w:u w:val="single"/>
          <w:lang w:val="en-US" w:eastAsia="zh-CN"/>
        </w:rPr>
      </w:pPr>
      <w:r>
        <w:rPr>
          <w:rFonts w:hint="eastAsia" w:ascii="宋体" w:hAnsi="宋体" w:cs="宋体"/>
          <w:bCs/>
          <w:color w:val="000000"/>
          <w:sz w:val="24"/>
          <w:szCs w:val="24"/>
          <w:highlight w:val="none"/>
        </w:rPr>
        <w:t xml:space="preserve">需方（采购人）：</w:t>
      </w:r>
      <w:r>
        <w:rPr>
          <w:rFonts w:hint="eastAsia" w:ascii="宋体" w:hAnsi="宋体" w:cs="宋体"/>
          <w:bCs/>
          <w:color w:val="000000"/>
          <w:sz w:val="24"/>
          <w:szCs w:val="24"/>
          <w:highlight w:val="none"/>
          <w:u w:val="single"/>
          <w:lang w:val="en-US" w:eastAsia="zh-CN"/>
        </w:rPr>
        <w:t xml:space="preserve">                                            </w:t>
      </w:r>
      <w:r>
        <w:rPr>
          <w:rFonts w:ascii="宋体" w:hAnsi="宋体" w:eastAsia="宋体" w:cs="宋体"/>
          <w:bCs/>
          <w:color w:val="000000"/>
          <w:sz w:val="24"/>
          <w:szCs w:val="24"/>
          <w:highlight w:val="none"/>
          <w:u w:val="single"/>
          <w:lang w:val="en-US" w:eastAsia="zh-CN"/>
        </w:rPr>
      </w:r>
      <w:r/>
    </w:p>
    <w:p>
      <w:pPr>
        <w:pStyle w:val="681"/>
        <w:ind w:firstLine="480"/>
        <w:spacing w:line="360" w:lineRule="auto"/>
        <w:rPr>
          <w:rFonts w:ascii="宋体" w:hAnsi="宋体" w:eastAsia="宋体" w:cs="宋体"/>
          <w:bCs/>
          <w:color w:val="000000"/>
          <w:sz w:val="24"/>
          <w:szCs w:val="24"/>
          <w:highlight w:val="none"/>
          <w:u w:val="single"/>
          <w:lang w:val="en-US" w:eastAsia="zh-CN"/>
        </w:rPr>
      </w:pPr>
      <w:r>
        <w:rPr>
          <w:rFonts w:hint="eastAsia" w:ascii="宋体" w:hAnsi="宋体" w:cs="宋体"/>
          <w:bCs/>
          <w:color w:val="000000"/>
          <w:sz w:val="24"/>
          <w:szCs w:val="24"/>
          <w:highlight w:val="none"/>
        </w:rPr>
        <w:t xml:space="preserve">供方（中标方）：</w:t>
      </w:r>
      <w:r>
        <w:rPr>
          <w:rFonts w:hint="eastAsia" w:ascii="宋体" w:hAnsi="宋体" w:cs="宋体"/>
          <w:bCs/>
          <w:color w:val="000000"/>
          <w:sz w:val="24"/>
          <w:szCs w:val="24"/>
          <w:highlight w:val="none"/>
          <w:u w:val="single"/>
          <w:lang w:val="en-US" w:eastAsia="zh-CN"/>
        </w:rPr>
        <w:t xml:space="preserve">                                            </w:t>
      </w:r>
      <w:r>
        <w:rPr>
          <w:rFonts w:ascii="宋体" w:hAnsi="宋体" w:eastAsia="宋体" w:cs="宋体"/>
          <w:bCs/>
          <w:color w:val="000000"/>
          <w:sz w:val="24"/>
          <w:szCs w:val="24"/>
          <w:highlight w:val="none"/>
          <w:u w:val="single"/>
          <w:lang w:val="en-US" w:eastAsia="zh-CN"/>
        </w:rPr>
      </w:r>
      <w:r/>
    </w:p>
    <w:p>
      <w:pPr>
        <w:pStyle w:val="681"/>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一、采购项目编号：</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rPr>
        <w:t xml:space="preserve">  </w:t>
      </w:r>
      <w:r>
        <w:rPr>
          <w:rFonts w:ascii="宋体" w:hAnsi="宋体" w:cs="宋体"/>
          <w:bCs/>
          <w:color w:val="000000"/>
          <w:sz w:val="24"/>
          <w:szCs w:val="24"/>
          <w:highlight w:val="none"/>
        </w:rPr>
      </w:r>
      <w:r/>
    </w:p>
    <w:p>
      <w:pPr>
        <w:pStyle w:val="681"/>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二、采购项目名称：</w:t>
      </w:r>
      <w:r>
        <w:rPr>
          <w:rFonts w:hint="eastAsia" w:ascii="宋体" w:hAnsi="宋体" w:cs="宋体"/>
          <w:bCs/>
          <w:color w:val="000000"/>
          <w:sz w:val="24"/>
          <w:szCs w:val="24"/>
          <w:highlight w:val="none"/>
          <w:u w:val="single"/>
          <w:lang w:val="en-US" w:eastAsia="zh-CN"/>
        </w:rPr>
        <w:t xml:space="preserve">                                          </w:t>
      </w:r>
      <w:r>
        <w:rPr>
          <w:rFonts w:ascii="宋体" w:hAnsi="宋体" w:cs="宋体"/>
          <w:bCs/>
          <w:color w:val="000000"/>
          <w:sz w:val="24"/>
          <w:szCs w:val="24"/>
          <w:highlight w:val="none"/>
          <w:u w:val="single"/>
        </w:rPr>
      </w:r>
      <w:r/>
    </w:p>
    <w:p>
      <w:pPr>
        <w:pStyle w:val="681"/>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三、中标（成交）金额：</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（大写）；</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（小写）；</w:t>
      </w:r>
      <w:r>
        <w:rPr>
          <w:rFonts w:ascii="宋体" w:hAnsi="宋体" w:cs="宋体"/>
          <w:bCs/>
          <w:color w:val="000000"/>
          <w:sz w:val="24"/>
          <w:szCs w:val="24"/>
          <w:highlight w:val="none"/>
        </w:rPr>
      </w:r>
      <w:r/>
    </w:p>
    <w:p>
      <w:pPr>
        <w:pStyle w:val="681"/>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四、交货期或完工期：</w:t>
      </w:r>
      <w:r>
        <w:rPr>
          <w:rFonts w:hint="eastAsia" w:ascii="宋体" w:hAnsi="宋体" w:cs="宋体"/>
          <w:bCs/>
          <w:color w:val="000000"/>
          <w:sz w:val="24"/>
          <w:szCs w:val="24"/>
          <w:highlight w:val="none"/>
          <w:u w:val="single"/>
          <w:lang w:val="en-US" w:eastAsia="zh-CN"/>
        </w:rPr>
        <w:t xml:space="preserve">                                         </w:t>
      </w:r>
      <w:r>
        <w:rPr>
          <w:rFonts w:ascii="宋体" w:hAnsi="宋体" w:cs="宋体"/>
          <w:bCs/>
          <w:color w:val="000000"/>
          <w:sz w:val="24"/>
          <w:szCs w:val="24"/>
          <w:highlight w:val="none"/>
          <w:u w:val="single"/>
        </w:rPr>
      </w:r>
      <w:r/>
    </w:p>
    <w:p>
      <w:pPr>
        <w:pStyle w:val="681"/>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五、项目整体质保期：</w:t>
      </w:r>
      <w:r>
        <w:rPr>
          <w:rFonts w:hint="eastAsia" w:ascii="宋体" w:hAnsi="宋体" w:cs="宋体"/>
          <w:bCs/>
          <w:color w:val="000000"/>
          <w:sz w:val="24"/>
          <w:szCs w:val="24"/>
          <w:highlight w:val="none"/>
          <w:u w:val="single"/>
          <w:lang w:val="en-US" w:eastAsia="zh-CN"/>
        </w:rPr>
        <w:t xml:space="preserve">3</w:t>
      </w:r>
      <w:r>
        <w:rPr>
          <w:rFonts w:hint="eastAsia" w:ascii="宋体" w:hAnsi="宋体" w:cs="宋体"/>
          <w:bCs/>
          <w:color w:val="000000"/>
          <w:sz w:val="24"/>
          <w:szCs w:val="24"/>
          <w:highlight w:val="none"/>
          <w:u w:val="single"/>
        </w:rPr>
        <w:t xml:space="preserve">年（自设备验收合格之日开始计算）。所投产品质保期内质量出现问题，中标单位应包退、包换、包修，费用由中标单位负责。</w:t>
      </w:r>
      <w:r>
        <w:rPr>
          <w:rFonts w:ascii="宋体" w:hAnsi="宋体" w:cs="宋体"/>
          <w:bCs/>
          <w:color w:val="000000"/>
          <w:sz w:val="24"/>
          <w:szCs w:val="24"/>
          <w:highlight w:val="none"/>
        </w:rPr>
      </w:r>
      <w:r/>
    </w:p>
    <w:p>
      <w:pPr>
        <w:pStyle w:val="681"/>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六、交货地点和方式：</w:t>
      </w:r>
      <w:r>
        <w:rPr>
          <w:rFonts w:hint="eastAsia" w:ascii="宋体" w:hAnsi="宋体" w:cs="宋体"/>
          <w:bCs/>
          <w:color w:val="000000"/>
          <w:sz w:val="24"/>
          <w:szCs w:val="24"/>
          <w:highlight w:val="none"/>
          <w:u w:val="single"/>
        </w:rPr>
        <w:t xml:space="preserve">采购人指定地点；中标方必须按采购人要求将本项目中货物送到指定地点（包括可能的分布范围），并按照要求实施安装调试。</w:t>
      </w:r>
      <w:r>
        <w:rPr>
          <w:rFonts w:ascii="宋体" w:hAnsi="宋体" w:cs="宋体"/>
          <w:bCs/>
          <w:color w:val="000000"/>
          <w:sz w:val="24"/>
          <w:szCs w:val="24"/>
          <w:highlight w:val="none"/>
        </w:rPr>
      </w:r>
      <w:r/>
    </w:p>
    <w:p>
      <w:pPr>
        <w:pStyle w:val="681"/>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七、货款支付步骤和办法：</w:t>
      </w:r>
      <w:r>
        <w:rPr>
          <w:rFonts w:hint="eastAsia" w:ascii="宋体" w:hAnsi="宋体" w:cs="宋体"/>
          <w:bCs/>
          <w:color w:val="000000"/>
          <w:sz w:val="24"/>
          <w:szCs w:val="24"/>
          <w:highlight w:val="none"/>
          <w:u w:val="single"/>
          <w:lang w:val="en-US" w:eastAsia="zh-CN"/>
        </w:rPr>
        <w:t xml:space="preserve">                                    </w:t>
      </w:r>
      <w:r>
        <w:rPr>
          <w:rFonts w:ascii="宋体" w:hAnsi="宋体" w:cs="宋体"/>
          <w:bCs/>
          <w:color w:val="000000"/>
          <w:sz w:val="24"/>
          <w:szCs w:val="24"/>
          <w:highlight w:val="none"/>
          <w:u w:val="single"/>
        </w:rPr>
      </w:r>
      <w:r/>
    </w:p>
    <w:p>
      <w:pPr>
        <w:pStyle w:val="681"/>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八、合同书不可分割部分：</w:t>
      </w:r>
      <w:r>
        <w:rPr>
          <w:rFonts w:ascii="宋体" w:hAnsi="宋体" w:cs="宋体"/>
          <w:bCs/>
          <w:color w:val="000000"/>
          <w:sz w:val="24"/>
          <w:szCs w:val="24"/>
          <w:highlight w:val="none"/>
        </w:rPr>
      </w:r>
      <w:r/>
    </w:p>
    <w:p>
      <w:pPr>
        <w:pStyle w:val="681"/>
        <w:ind w:firstLine="480"/>
        <w:spacing w:line="360" w:lineRule="auto"/>
        <w:tabs>
          <w:tab w:val="left" w:pos="210" w:leader="none"/>
          <w:tab w:val="left" w:pos="840" w:leader="none"/>
          <w:tab w:val="left" w:pos="126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招标（采购）文件、投标（报价）文件、合同条款及中标</w:t>
      </w:r>
      <w:r>
        <w:rPr>
          <w:rFonts w:hint="eastAsia" w:ascii="宋体" w:hAnsi="宋体" w:cs="宋体"/>
          <w:color w:val="000000"/>
          <w:sz w:val="24"/>
          <w:szCs w:val="24"/>
          <w:highlight w:val="none"/>
        </w:rPr>
        <w:t xml:space="preserve">（成交）</w:t>
      </w:r>
      <w:r>
        <w:rPr>
          <w:rFonts w:hint="eastAsia" w:ascii="宋体" w:hAnsi="宋体" w:cs="宋体"/>
          <w:bCs/>
          <w:color w:val="000000"/>
          <w:sz w:val="24"/>
          <w:szCs w:val="24"/>
          <w:highlight w:val="none"/>
        </w:rPr>
        <w:t xml:space="preserve">通知书，供方在投标（响应）、评标（评审）过程中所作其他有关承诺、声明、书面澄清等均为合同不可分割的部分，与主合同具有同等法律效力。</w:t>
      </w:r>
      <w:r>
        <w:rPr>
          <w:rFonts w:ascii="宋体" w:hAnsi="宋体" w:cs="宋体"/>
          <w:bCs/>
          <w:color w:val="000000"/>
          <w:sz w:val="24"/>
          <w:szCs w:val="24"/>
          <w:highlight w:val="none"/>
        </w:rPr>
      </w:r>
      <w:r/>
    </w:p>
    <w:p>
      <w:pPr>
        <w:pStyle w:val="681"/>
        <w:ind w:firstLine="480"/>
        <w:spacing w:line="360" w:lineRule="auto"/>
        <w:tabs>
          <w:tab w:val="left" w:pos="210" w:leader="none"/>
          <w:tab w:val="left" w:pos="735" w:leader="none"/>
          <w:tab w:val="left" w:pos="115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九、合同书组成：</w:t>
      </w:r>
      <w:r>
        <w:rPr>
          <w:rFonts w:ascii="宋体" w:hAnsi="宋体" w:cs="宋体"/>
          <w:color w:val="000000"/>
          <w:sz w:val="24"/>
          <w:szCs w:val="24"/>
          <w:highlight w:val="none"/>
        </w:rPr>
      </w:r>
      <w:r/>
    </w:p>
    <w:p>
      <w:pPr>
        <w:pStyle w:val="681"/>
        <w:ind w:firstLine="480"/>
        <w:spacing w:line="360" w:lineRule="auto"/>
        <w:tabs>
          <w:tab w:val="left" w:pos="210" w:leader="none"/>
          <w:tab w:val="left" w:pos="735" w:leader="none"/>
          <w:tab w:val="left" w:pos="1155" w:leader="none"/>
        </w:tabs>
        <w:rPr>
          <w:rFonts w:ascii="宋体" w:hAnsi="宋体" w:cs="宋体"/>
          <w:bCs/>
          <w:color w:val="000000"/>
          <w:sz w:val="24"/>
          <w:szCs w:val="24"/>
          <w:highlight w:val="none"/>
        </w:rPr>
      </w:pPr>
      <w:r>
        <w:rPr>
          <w:rFonts w:hint="eastAsia" w:ascii="宋体" w:hAnsi="宋体" w:cs="宋体"/>
          <w:color w:val="000000"/>
          <w:sz w:val="24"/>
          <w:szCs w:val="24"/>
          <w:highlight w:val="none"/>
        </w:rPr>
        <w:t xml:space="preserve">合同书由格式条款</w:t>
      </w:r>
      <w:r>
        <w:rPr>
          <w:rFonts w:hint="eastAsia" w:ascii="宋体" w:hAnsi="宋体" w:cs="宋体"/>
          <w:bCs/>
          <w:color w:val="000000"/>
          <w:sz w:val="24"/>
          <w:szCs w:val="24"/>
          <w:highlight w:val="none"/>
        </w:rPr>
        <w:t xml:space="preserve">和合同条款两部分组成。合同条款应当包含法定必备条款和采购需求的所有内容，并应与“合同书不可分割部分”的内容一致，包括但不限于</w:t>
      </w:r>
      <w:r>
        <w:rPr>
          <w:rFonts w:hint="eastAsia" w:ascii="宋体" w:hAnsi="宋体" w:cs="宋体"/>
          <w:color w:val="000000"/>
          <w:sz w:val="24"/>
          <w:szCs w:val="24"/>
          <w:highlight w:val="none"/>
        </w:rPr>
        <w:t xml:space="preserve">合同类型，</w:t>
      </w:r>
      <w:r>
        <w:rPr>
          <w:rFonts w:hint="eastAsia" w:ascii="宋体" w:hAnsi="宋体" w:cs="宋体"/>
          <w:bCs/>
          <w:color w:val="000000"/>
          <w:sz w:val="24"/>
          <w:szCs w:val="24"/>
          <w:highlight w:val="none"/>
        </w:rPr>
        <w:t xml:space="preserve">标的名称、采购标的质量、数量，履行时间、地点和方式，包装方式，履约保证金要求，价款或报酬、付款进度安排、</w:t>
      </w:r>
      <w:r>
        <w:rPr>
          <w:rFonts w:hint="eastAsia" w:ascii="宋体" w:hAnsi="宋体" w:cs="宋体"/>
          <w:color w:val="000000"/>
          <w:sz w:val="24"/>
          <w:szCs w:val="24"/>
          <w:highlight w:val="none"/>
        </w:rPr>
        <w:t xml:space="preserve">与履约验收挂钩的资金支付条件及时间</w:t>
      </w:r>
      <w:r>
        <w:rPr>
          <w:rFonts w:hint="eastAsia" w:ascii="宋体" w:hAnsi="宋体" w:cs="宋体"/>
          <w:bCs/>
          <w:color w:val="000000"/>
          <w:sz w:val="24"/>
          <w:szCs w:val="24"/>
          <w:highlight w:val="none"/>
        </w:rPr>
        <w:t xml:space="preserve">，验收、交付标准和方法，质量保修范围和保修期，违约责任与解决争议的方法，甲乙双方权利与义务，合同分包要求等。</w:t>
      </w:r>
      <w:r>
        <w:rPr>
          <w:rFonts w:ascii="宋体" w:hAnsi="宋体" w:cs="宋体"/>
          <w:bCs/>
          <w:color w:val="000000"/>
          <w:sz w:val="24"/>
          <w:szCs w:val="24"/>
          <w:highlight w:val="none"/>
        </w:rPr>
      </w:r>
      <w:r/>
    </w:p>
    <w:p>
      <w:pPr>
        <w:pStyle w:val="681"/>
        <w:ind w:firstLine="480"/>
        <w:spacing w:line="360" w:lineRule="auto"/>
        <w:tabs>
          <w:tab w:val="left" w:pos="210" w:leader="none"/>
          <w:tab w:val="left" w:pos="84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十、合同书生效及注意事项：</w:t>
      </w:r>
      <w:r>
        <w:rPr>
          <w:rFonts w:ascii="宋体" w:hAnsi="宋体" w:cs="宋体"/>
          <w:bCs/>
          <w:color w:val="000000"/>
          <w:sz w:val="24"/>
          <w:szCs w:val="24"/>
          <w:highlight w:val="none"/>
        </w:rPr>
      </w:r>
      <w:r/>
    </w:p>
    <w:p>
      <w:pPr>
        <w:pStyle w:val="681"/>
        <w:ind w:firstLine="480"/>
        <w:spacing w:line="360" w:lineRule="auto"/>
        <w:tabs>
          <w:tab w:val="left" w:pos="210" w:leader="none"/>
          <w:tab w:val="left" w:pos="84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合同书格式条款与合同条款共同组成完整合同书。采购人在确定中标（成交）供应商之日起十五个日历天内，完成合同书签订工作。供需双方在合同书上确认签章后，合同即生效并经系统自动将合同书推送“江苏政府采购网”进行公示。</w:t>
      </w:r>
      <w:r>
        <w:rPr>
          <w:rFonts w:ascii="宋体" w:hAnsi="宋体" w:cs="宋体"/>
          <w:bCs/>
          <w:color w:val="000000"/>
          <w:sz w:val="24"/>
          <w:szCs w:val="24"/>
          <w:highlight w:val="none"/>
        </w:rPr>
      </w:r>
      <w:r/>
    </w:p>
    <w:p>
      <w:pPr>
        <w:pStyle w:val="681"/>
        <w:ind w:firstLine="480"/>
        <w:spacing w:line="360" w:lineRule="auto"/>
        <w:tabs>
          <w:tab w:val="left" w:pos="210" w:leader="none"/>
          <w:tab w:val="left" w:pos="84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一、供需双方如有其他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rPr>
          <w:rFonts w:ascii="宋体" w:hAnsi="宋体" w:cs="宋体"/>
          <w:bCs/>
          <w:color w:val="000000"/>
          <w:sz w:val="24"/>
          <w:szCs w:val="24"/>
          <w:highlight w:val="none"/>
        </w:rPr>
      </w:r>
      <w:r/>
    </w:p>
    <w:p>
      <w:pPr>
        <w:pStyle w:val="681"/>
        <w:ind w:firstLine="480"/>
        <w:spacing w:line="360" w:lineRule="auto"/>
        <w:tabs>
          <w:tab w:val="left" w:pos="210" w:leader="none"/>
          <w:tab w:val="left" w:pos="84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十二、根据《中华人民共和国政府采购法》第四十九、五十条规定，甲乙双方不得擅自变更、中止或终止合同。</w:t>
      </w:r>
      <w:r>
        <w:rPr>
          <w:rFonts w:ascii="宋体" w:hAnsi="宋体" w:cs="宋体"/>
          <w:bCs/>
          <w:color w:val="000000"/>
          <w:sz w:val="24"/>
          <w:szCs w:val="24"/>
          <w:highlight w:val="none"/>
        </w:rPr>
      </w:r>
      <w:r/>
    </w:p>
    <w:p>
      <w:pPr>
        <w:pStyle w:val="681"/>
        <w:jc w:val="center"/>
        <w:spacing w:line="360" w:lineRule="auto"/>
        <w:tabs>
          <w:tab w:val="left" w:pos="3163" w:leader="none"/>
        </w:tabs>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合同条款</w:t>
      </w:r>
      <w:r>
        <w:rPr>
          <w:rFonts w:ascii="宋体" w:hAnsi="宋体" w:cs="宋体"/>
          <w:b/>
          <w:color w:val="000000"/>
          <w:sz w:val="28"/>
          <w:szCs w:val="28"/>
          <w:highlight w:val="none"/>
        </w:rPr>
      </w:r>
      <w:r/>
    </w:p>
    <w:p>
      <w:pPr>
        <w:pStyle w:val="681"/>
        <w:ind w:firstLine="48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（根据相关法律规定以及采购文件确定事项订立）</w:t>
      </w:r>
      <w:r>
        <w:rPr>
          <w:rFonts w:ascii="宋体" w:hAnsi="宋体" w:cs="宋体"/>
          <w:bCs/>
          <w:color w:val="000000"/>
          <w:sz w:val="24"/>
          <w:szCs w:val="24"/>
          <w:highlight w:val="none"/>
        </w:rPr>
      </w:r>
      <w:r/>
    </w:p>
    <w:p>
      <w:pPr>
        <w:pStyle w:val="681"/>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（一）合同内容：需方向供方购买。</w:t>
      </w:r>
      <w:r>
        <w:rPr>
          <w:rFonts w:ascii="宋体" w:hAnsi="宋体" w:cs="宋体"/>
          <w:bCs/>
          <w:color w:val="000000"/>
          <w:sz w:val="24"/>
          <w:szCs w:val="24"/>
          <w:highlight w:val="none"/>
        </w:rPr>
      </w:r>
      <w:r/>
    </w:p>
    <w:p>
      <w:pPr>
        <w:pStyle w:val="681"/>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（二）价格及支付：</w:t>
      </w:r>
      <w:r>
        <w:rPr>
          <w:rFonts w:ascii="宋体" w:hAnsi="宋体" w:cs="宋体"/>
          <w:bCs/>
          <w:color w:val="000000"/>
          <w:sz w:val="24"/>
          <w:szCs w:val="24"/>
          <w:highlight w:val="none"/>
        </w:rPr>
      </w:r>
      <w:r/>
    </w:p>
    <w:p>
      <w:pPr>
        <w:pStyle w:val="681"/>
        <w:ind w:firstLine="480"/>
        <w:spacing w:line="360" w:lineRule="auto"/>
        <w:tabs>
          <w:tab w:val="left" w:pos="525" w:leader="none"/>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 按此次中标价格执行，合同总标的额为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元。</w:t>
      </w:r>
      <w:r>
        <w:rPr>
          <w:rFonts w:ascii="宋体" w:hAnsi="宋体" w:cs="宋体"/>
          <w:bCs/>
          <w:color w:val="000000"/>
          <w:sz w:val="24"/>
          <w:szCs w:val="24"/>
          <w:highlight w:val="none"/>
        </w:rPr>
      </w:r>
      <w:r/>
    </w:p>
    <w:p>
      <w:pPr>
        <w:pStyle w:val="681"/>
        <w:numPr>
          <w:ilvl w:val="1"/>
          <w:numId w:val="6"/>
        </w:numPr>
        <w:ind w:left="0"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付款方式：合同签订生效后，采购人按财政计划支付合同价款。所有货物安装完毕并经验收合格后支付至合同价款的50%，正常运行半年后支付至合同价的90%，余款验收合格满一年后付清。上述款项均不计息，乙方应于每次付款前向甲方提供对应金额的发票，否则甲方有权相应顺延付款而无需承担逾期付款责任</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681"/>
        <w:numPr>
          <w:ilvl w:val="1"/>
          <w:numId w:val="6"/>
        </w:numPr>
        <w:ind w:left="0"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履约保证金的缴纳和退付：</w:t>
      </w:r>
      <w:r>
        <w:rPr>
          <w:rFonts w:ascii="宋体" w:hAnsi="宋体" w:cs="宋体"/>
          <w:bCs/>
          <w:color w:val="000000"/>
          <w:sz w:val="24"/>
          <w:szCs w:val="24"/>
          <w:highlight w:val="none"/>
        </w:rPr>
      </w:r>
      <w:r/>
    </w:p>
    <w:p>
      <w:pPr>
        <w:pStyle w:val="681"/>
        <w:ind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本项目是/否向采购人缴纳履约保证金：</w:t>
      </w:r>
      <w:r>
        <w:rPr>
          <w:rFonts w:hint="eastAsia" w:ascii="宋体" w:hAnsi="宋体" w:cs="宋体"/>
          <w:bCs/>
          <w:color w:val="000000"/>
          <w:sz w:val="24"/>
          <w:szCs w:val="24"/>
          <w:highlight w:val="none"/>
          <w:u w:val="single"/>
        </w:rPr>
        <w:t xml:space="preserve"> 否  </w:t>
      </w:r>
      <w:r>
        <w:rPr>
          <w:rFonts w:hint="eastAsia" w:ascii="宋体" w:hAnsi="宋体" w:cs="宋体"/>
          <w:bCs/>
          <w:color w:val="000000"/>
          <w:sz w:val="24"/>
          <w:szCs w:val="24"/>
          <w:highlight w:val="none"/>
        </w:rPr>
        <w:t xml:space="preserve"> 。</w:t>
      </w:r>
      <w:r>
        <w:rPr>
          <w:rFonts w:ascii="宋体" w:hAnsi="宋体" w:cs="宋体"/>
          <w:bCs/>
          <w:color w:val="000000"/>
          <w:sz w:val="24"/>
          <w:szCs w:val="24"/>
          <w:highlight w:val="none"/>
        </w:rPr>
      </w:r>
      <w:r/>
    </w:p>
    <w:p>
      <w:pPr>
        <w:pStyle w:val="681"/>
        <w:ind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履约保证金缴纳金额：</w:t>
      </w:r>
      <w:r>
        <w:rPr>
          <w:rFonts w:hint="eastAsia" w:ascii="宋体" w:hAnsi="宋体" w:cs="宋体"/>
          <w:bCs/>
          <w:color w:val="000000"/>
          <w:sz w:val="24"/>
          <w:szCs w:val="24"/>
          <w:highlight w:val="none"/>
          <w:u w:val="single"/>
        </w:rPr>
        <w:t xml:space="preserve">      /        </w:t>
      </w:r>
      <w:r>
        <w:rPr>
          <w:rFonts w:hint="eastAsia" w:ascii="宋体" w:hAnsi="宋体" w:cs="宋体"/>
          <w:bCs/>
          <w:color w:val="000000"/>
          <w:sz w:val="24"/>
          <w:szCs w:val="24"/>
          <w:highlight w:val="none"/>
        </w:rPr>
        <w:t xml:space="preserve">元。</w:t>
      </w:r>
      <w:r>
        <w:rPr>
          <w:rFonts w:ascii="宋体" w:hAnsi="宋体" w:cs="宋体"/>
          <w:bCs/>
          <w:color w:val="000000"/>
          <w:sz w:val="24"/>
          <w:szCs w:val="24"/>
          <w:highlight w:val="none"/>
        </w:rPr>
      </w:r>
      <w:r/>
    </w:p>
    <w:p>
      <w:pPr>
        <w:pStyle w:val="681"/>
        <w:ind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履约保证金的缴纳时间：</w:t>
      </w:r>
      <w:r>
        <w:rPr>
          <w:rFonts w:hint="eastAsia" w:ascii="宋体" w:hAnsi="宋体" w:cs="宋体"/>
          <w:bCs/>
          <w:color w:val="000000"/>
          <w:sz w:val="24"/>
          <w:szCs w:val="24"/>
          <w:highlight w:val="none"/>
          <w:u w:val="single"/>
        </w:rPr>
        <w:t xml:space="preserve">  /  </w:t>
      </w:r>
      <w:r>
        <w:rPr>
          <w:rFonts w:hint="eastAsia" w:ascii="宋体" w:hAnsi="宋体" w:cs="宋体"/>
          <w:bCs/>
          <w:color w:val="000000"/>
          <w:sz w:val="24"/>
          <w:szCs w:val="24"/>
          <w:highlight w:val="none"/>
        </w:rPr>
        <w:t xml:space="preserve">，缴纳形式：</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681"/>
        <w:ind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履约保证金的退付时间：</w:t>
      </w:r>
      <w:r>
        <w:rPr>
          <w:rFonts w:hint="eastAsia" w:ascii="宋体" w:hAnsi="宋体" w:cs="宋体"/>
          <w:bCs/>
          <w:color w:val="000000"/>
          <w:sz w:val="24"/>
          <w:szCs w:val="24"/>
          <w:highlight w:val="none"/>
          <w:u w:val="single"/>
        </w:rPr>
        <w:t xml:space="preserve">  /  </w:t>
      </w:r>
      <w:r>
        <w:rPr>
          <w:rFonts w:hint="eastAsia" w:ascii="宋体" w:hAnsi="宋体" w:cs="宋体"/>
          <w:bCs/>
          <w:color w:val="000000"/>
          <w:sz w:val="24"/>
          <w:szCs w:val="24"/>
          <w:highlight w:val="none"/>
        </w:rPr>
        <w:t xml:space="preserve">，退付办法：</w:t>
      </w:r>
      <w:r>
        <w:rPr>
          <w:rFonts w:hint="eastAsia" w:ascii="宋体" w:hAnsi="宋体" w:cs="宋体"/>
          <w:bCs/>
          <w:color w:val="000000"/>
          <w:sz w:val="24"/>
          <w:szCs w:val="24"/>
          <w:highlight w:val="none"/>
          <w:u w:val="single"/>
        </w:rPr>
        <w:t xml:space="preserve"> /  </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681"/>
        <w:ind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履约保证金不予退还的情形：</w:t>
      </w:r>
      <w:r>
        <w:rPr>
          <w:rFonts w:hint="eastAsia" w:ascii="宋体" w:hAnsi="宋体" w:cs="宋体"/>
          <w:bCs/>
          <w:color w:val="000000"/>
          <w:sz w:val="24"/>
          <w:szCs w:val="24"/>
          <w:highlight w:val="none"/>
          <w:u w:val="single"/>
        </w:rPr>
        <w:t xml:space="preserve">    /       </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681"/>
        <w:ind w:firstLine="480"/>
        <w:spacing w:line="360" w:lineRule="auto"/>
        <w:tabs>
          <w:tab w:val="left" w:pos="945" w:leader="none"/>
          <w:tab w:val="left" w:pos="21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逾期退还履约保证金的违约责任：</w:t>
      </w:r>
      <w:r>
        <w:rPr>
          <w:rFonts w:hint="eastAsia" w:ascii="宋体" w:hAnsi="宋体" w:cs="宋体"/>
          <w:bCs/>
          <w:color w:val="000000"/>
          <w:sz w:val="24"/>
          <w:szCs w:val="24"/>
          <w:highlight w:val="none"/>
          <w:u w:val="single"/>
        </w:rPr>
        <w:t xml:space="preserve">  /    </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681"/>
        <w:ind w:firstLine="480"/>
        <w:spacing w:line="360" w:lineRule="auto"/>
        <w:tabs>
          <w:tab w:val="left" w:pos="0" w:leader="none"/>
          <w:tab w:val="left" w:pos="13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（三）知识产权</w:t>
      </w:r>
      <w:r>
        <w:rPr>
          <w:rFonts w:ascii="宋体" w:hAnsi="宋体" w:cs="宋体"/>
          <w:bCs/>
          <w:color w:val="000000"/>
          <w:sz w:val="24"/>
          <w:szCs w:val="24"/>
          <w:highlight w:val="none"/>
        </w:rPr>
      </w:r>
      <w:r/>
    </w:p>
    <w:p>
      <w:pPr>
        <w:pStyle w:val="681"/>
        <w:ind w:firstLine="480"/>
        <w:spacing w:line="360" w:lineRule="auto"/>
        <w:tabs>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hAnsi="宋体" w:cs="宋体"/>
          <w:bCs/>
          <w:color w:val="000000"/>
          <w:sz w:val="24"/>
          <w:szCs w:val="24"/>
          <w:highlight w:val="none"/>
        </w:rPr>
      </w:r>
      <w:r/>
    </w:p>
    <w:p>
      <w:pPr>
        <w:pStyle w:val="681"/>
        <w:ind w:firstLine="480"/>
        <w:spacing w:line="360" w:lineRule="auto"/>
        <w:tabs>
          <w:tab w:val="left" w:pos="73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（四）质量要求与检验：</w:t>
      </w:r>
      <w:r>
        <w:rPr>
          <w:rFonts w:ascii="宋体" w:hAnsi="宋体" w:cs="宋体"/>
          <w:bCs/>
          <w:color w:val="000000"/>
          <w:sz w:val="24"/>
          <w:szCs w:val="24"/>
          <w:highlight w:val="none"/>
        </w:rPr>
      </w:r>
      <w:r/>
    </w:p>
    <w:p>
      <w:pPr>
        <w:pStyle w:val="681"/>
        <w:ind w:firstLine="480"/>
        <w:spacing w:line="360" w:lineRule="auto"/>
        <w:tabs>
          <w:tab w:val="left" w:pos="525" w:leader="none"/>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1.供方应严格按照招标文件的有关规定和供方投标文件提供合格</w:t>
      </w:r>
      <w:r>
        <w:rPr>
          <w:rFonts w:hint="eastAsia" w:ascii="宋体" w:hAnsi="宋体" w:cs="宋体"/>
          <w:bCs/>
          <w:color w:val="000000"/>
          <w:sz w:val="24"/>
          <w:szCs w:val="24"/>
          <w:highlight w:val="none"/>
          <w:lang w:val="en-US" w:eastAsia="zh-CN"/>
        </w:rPr>
        <w:t xml:space="preserve">全新</w:t>
      </w:r>
      <w:r>
        <w:rPr>
          <w:rFonts w:hint="eastAsia" w:ascii="宋体" w:hAnsi="宋体" w:cs="宋体"/>
          <w:bCs/>
          <w:color w:val="000000"/>
          <w:sz w:val="24"/>
          <w:szCs w:val="24"/>
          <w:highlight w:val="none"/>
        </w:rPr>
        <w:t xml:space="preserve">的货物及服务。</w:t>
      </w:r>
      <w:r>
        <w:rPr>
          <w:rFonts w:ascii="宋体" w:hAnsi="宋体" w:cs="宋体"/>
          <w:bCs/>
          <w:color w:val="000000"/>
          <w:sz w:val="24"/>
          <w:szCs w:val="24"/>
          <w:highlight w:val="none"/>
        </w:rPr>
      </w:r>
      <w:r/>
    </w:p>
    <w:p>
      <w:pPr>
        <w:pStyle w:val="681"/>
        <w:ind w:firstLine="480"/>
        <w:spacing w:line="360" w:lineRule="auto"/>
        <w:tabs>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ascii="宋体" w:hAnsi="宋体" w:cs="宋体"/>
          <w:bCs/>
          <w:color w:val="000000"/>
          <w:sz w:val="24"/>
          <w:szCs w:val="24"/>
          <w:highlight w:val="none"/>
        </w:rPr>
      </w:r>
      <w:r/>
    </w:p>
    <w:p>
      <w:pPr>
        <w:pStyle w:val="681"/>
        <w:ind w:firstLine="480"/>
        <w:spacing w:line="360" w:lineRule="auto"/>
        <w:tabs>
          <w:tab w:val="left" w:pos="420" w:leader="none"/>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3.货物的到货验收包括：数量、外观、质量、性能、随机备件、装箱单、质量证书等随机资料及包装完整无破损。</w:t>
      </w:r>
      <w:r>
        <w:rPr>
          <w:rFonts w:ascii="宋体" w:hAnsi="宋体" w:cs="宋体"/>
          <w:bCs/>
          <w:color w:val="000000"/>
          <w:sz w:val="24"/>
          <w:szCs w:val="24"/>
          <w:highlight w:val="none"/>
        </w:rPr>
      </w:r>
      <w:r/>
    </w:p>
    <w:p>
      <w:pPr>
        <w:pStyle w:val="681"/>
        <w:ind w:firstLine="480"/>
        <w:spacing w:line="360" w:lineRule="auto"/>
        <w:tabs>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4.货物和系统调试验收标准：按行业通行标准、厂方出厂标准、招标文件要求和供方投标文件的承诺，并不低于国家相关标准。</w:t>
      </w:r>
      <w:r>
        <w:rPr>
          <w:rFonts w:ascii="宋体" w:hAnsi="宋体" w:cs="宋体"/>
          <w:bCs/>
          <w:color w:val="000000"/>
          <w:sz w:val="24"/>
          <w:szCs w:val="24"/>
          <w:highlight w:val="none"/>
        </w:rPr>
      </w:r>
      <w:r/>
    </w:p>
    <w:p>
      <w:pPr>
        <w:pStyle w:val="681"/>
        <w:ind w:firstLine="480"/>
        <w:spacing w:line="360" w:lineRule="auto"/>
        <w:tabs>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5.货物运到需方指定地点并经需方验证签收后，由于需方保管不善造成的质量问题，供方应负责修理，但有关费用由需方承担。</w:t>
      </w:r>
      <w:r>
        <w:rPr>
          <w:rFonts w:ascii="宋体" w:hAnsi="宋体" w:cs="宋体"/>
          <w:bCs/>
          <w:color w:val="000000"/>
          <w:sz w:val="24"/>
          <w:szCs w:val="24"/>
          <w:highlight w:val="none"/>
        </w:rPr>
      </w:r>
      <w:r/>
    </w:p>
    <w:p>
      <w:pPr>
        <w:pStyle w:val="681"/>
        <w:ind w:firstLine="480"/>
        <w:spacing w:line="360" w:lineRule="auto"/>
        <w:tabs>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rPr>
          <w:rFonts w:ascii="宋体" w:hAnsi="宋体" w:cs="宋体"/>
          <w:bCs/>
          <w:color w:val="000000"/>
          <w:sz w:val="24"/>
          <w:szCs w:val="24"/>
          <w:highlight w:val="none"/>
        </w:rPr>
      </w:r>
      <w:r/>
    </w:p>
    <w:p>
      <w:pPr>
        <w:pStyle w:val="681"/>
        <w:ind w:firstLine="480"/>
        <w:spacing w:line="360" w:lineRule="auto"/>
        <w:tabs>
          <w:tab w:val="left" w:pos="1050"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rPr>
          <w:rFonts w:ascii="宋体" w:hAnsi="宋体" w:cs="宋体"/>
          <w:bCs/>
          <w:color w:val="000000"/>
          <w:sz w:val="24"/>
          <w:szCs w:val="24"/>
          <w:highlight w:val="none"/>
        </w:rPr>
      </w:r>
      <w:r/>
    </w:p>
    <w:p>
      <w:pPr>
        <w:pStyle w:val="681"/>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8.中标供应商进场前需提供符合国家及行业检测标准的防霉、抗菌性能的相关检测报告，否则采购人有权拒绝接收所有产品，中标人应赔偿采购人由此产生的相应损失。</w:t>
      </w:r>
      <w:r>
        <w:rPr>
          <w:rFonts w:ascii="宋体" w:hAnsi="宋体" w:cs="宋体"/>
          <w:bCs/>
          <w:color w:val="000000"/>
          <w:sz w:val="24"/>
          <w:szCs w:val="24"/>
          <w:highlight w:val="none"/>
        </w:rPr>
      </w:r>
      <w:r/>
    </w:p>
    <w:p>
      <w:pPr>
        <w:pStyle w:val="681"/>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（五）交货条件：</w:t>
      </w:r>
      <w:r>
        <w:rPr>
          <w:rFonts w:ascii="宋体" w:hAnsi="宋体" w:cs="宋体"/>
          <w:bCs/>
          <w:color w:val="000000"/>
          <w:sz w:val="24"/>
          <w:szCs w:val="24"/>
          <w:highlight w:val="none"/>
        </w:rPr>
      </w:r>
      <w:r/>
    </w:p>
    <w:p>
      <w:pPr>
        <w:pStyle w:val="681"/>
        <w:ind w:firstLine="480"/>
        <w:spacing w:line="360" w:lineRule="auto"/>
        <w:tabs>
          <w:tab w:val="left" w:pos="420" w:leader="none"/>
          <w:tab w:val="left" w:pos="1155" w:leader="none"/>
        </w:tabs>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1.交货日期（或完工期）：</w:t>
      </w:r>
      <w:r>
        <w:rPr>
          <w:rFonts w:hint="eastAsia" w:ascii="宋体" w:hAnsi="宋体" w:cs="宋体"/>
          <w:bCs/>
          <w:color w:val="000000"/>
          <w:sz w:val="24"/>
          <w:szCs w:val="24"/>
          <w:highlight w:val="none"/>
          <w:u w:val="single"/>
          <w:lang w:val="en-US" w:eastAsia="zh-CN"/>
        </w:rPr>
        <w:t xml:space="preserve">                                      </w:t>
      </w:r>
      <w:r>
        <w:rPr>
          <w:rFonts w:ascii="宋体" w:hAnsi="宋体" w:cs="宋体"/>
          <w:bCs/>
          <w:color w:val="000000"/>
          <w:sz w:val="24"/>
          <w:szCs w:val="24"/>
          <w:highlight w:val="none"/>
          <w:u w:val="single"/>
        </w:rPr>
      </w:r>
      <w:r/>
    </w:p>
    <w:p>
      <w:pPr>
        <w:pStyle w:val="681"/>
        <w:ind w:firstLine="480"/>
        <w:spacing w:line="360" w:lineRule="auto"/>
        <w:tabs>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2.供方在验收时应先用信函、传真、电子邮件等书面方式通知需方。</w:t>
      </w:r>
      <w:r>
        <w:rPr>
          <w:rFonts w:ascii="宋体" w:hAnsi="宋体" w:cs="宋体"/>
          <w:bCs/>
          <w:color w:val="000000"/>
          <w:sz w:val="24"/>
          <w:szCs w:val="24"/>
          <w:highlight w:val="none"/>
        </w:rPr>
      </w:r>
      <w:r/>
    </w:p>
    <w:p>
      <w:pPr>
        <w:pStyle w:val="681"/>
        <w:ind w:firstLine="480"/>
        <w:spacing w:line="360" w:lineRule="auto"/>
        <w:tabs>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ascii="宋体" w:hAnsi="宋体" w:cs="宋体"/>
          <w:bCs/>
          <w:color w:val="000000"/>
          <w:sz w:val="24"/>
          <w:szCs w:val="24"/>
          <w:highlight w:val="none"/>
        </w:rPr>
      </w:r>
      <w:r/>
    </w:p>
    <w:p>
      <w:pPr>
        <w:pStyle w:val="681"/>
        <w:ind w:firstLine="480"/>
        <w:spacing w:line="360" w:lineRule="auto"/>
        <w:tabs>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4.货物交货时，所有货物必须带有货物质量检验合格证书、中文质保单、装箱单、中文货物安装使用说明书。其他附件所有部件必须原包装。</w:t>
      </w:r>
      <w:r>
        <w:rPr>
          <w:rFonts w:ascii="宋体" w:hAnsi="宋体" w:cs="宋体"/>
          <w:bCs/>
          <w:color w:val="000000"/>
          <w:sz w:val="24"/>
          <w:szCs w:val="24"/>
          <w:highlight w:val="none"/>
        </w:rPr>
      </w:r>
      <w:r/>
    </w:p>
    <w:p>
      <w:pPr>
        <w:pStyle w:val="681"/>
        <w:ind w:firstLine="480"/>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5.运输及到货地点：由供方负责办理运输并承担所有费用，直接送到需方指定地点，即：以合同书上的地点为准。</w:t>
      </w:r>
      <w:r>
        <w:rPr>
          <w:rFonts w:ascii="宋体" w:hAnsi="宋体" w:cs="宋体"/>
          <w:bCs/>
          <w:color w:val="000000"/>
          <w:sz w:val="24"/>
          <w:szCs w:val="24"/>
          <w:highlight w:val="none"/>
        </w:rPr>
      </w:r>
      <w:r/>
    </w:p>
    <w:p>
      <w:pPr>
        <w:pStyle w:val="681"/>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（六）安装调试及售后服务：</w:t>
      </w:r>
      <w:r>
        <w:rPr>
          <w:rFonts w:ascii="宋体" w:hAnsi="宋体" w:cs="宋体"/>
          <w:bCs/>
          <w:color w:val="000000"/>
          <w:sz w:val="24"/>
          <w:szCs w:val="24"/>
          <w:highlight w:val="none"/>
        </w:rPr>
      </w:r>
      <w:r/>
    </w:p>
    <w:p>
      <w:pPr>
        <w:pStyle w:val="681"/>
        <w:ind w:firstLine="480"/>
        <w:spacing w:line="360" w:lineRule="auto"/>
        <w:tabs>
          <w:tab w:val="left" w:pos="525" w:leader="none"/>
          <w:tab w:val="left" w:pos="840" w:leader="none"/>
          <w:tab w:val="left" w:pos="945" w:leader="none"/>
          <w:tab w:val="left" w:pos="19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1.供方负责本项目的安装和调试，并保证其提供的货物符合国家、行业、地方、招投标文件及合同规定的质量、性能和标准，并正确且安全地安装。</w:t>
      </w:r>
      <w:r>
        <w:rPr>
          <w:rFonts w:ascii="宋体" w:hAnsi="宋体" w:cs="宋体"/>
          <w:bCs/>
          <w:color w:val="000000"/>
          <w:sz w:val="24"/>
          <w:szCs w:val="24"/>
          <w:highlight w:val="none"/>
        </w:rPr>
      </w:r>
      <w:r/>
    </w:p>
    <w:p>
      <w:pPr>
        <w:pStyle w:val="681"/>
        <w:ind w:firstLine="480"/>
        <w:spacing w:line="360" w:lineRule="auto"/>
        <w:tabs>
          <w:tab w:val="left" w:pos="525" w:leader="none"/>
          <w:tab w:val="left" w:pos="840" w:leader="none"/>
          <w:tab w:val="left" w:pos="945" w:leader="none"/>
          <w:tab w:val="left" w:pos="1050" w:leader="none"/>
          <w:tab w:val="left" w:pos="19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2.供方提供的服务全部按照国家有关法律法规规章和“三包”规定以及按招标文件要求和供方投标文件中的承诺执行。</w:t>
      </w:r>
      <w:r>
        <w:rPr>
          <w:rFonts w:ascii="宋体" w:hAnsi="宋体" w:cs="宋体"/>
          <w:bCs/>
          <w:color w:val="000000"/>
          <w:sz w:val="24"/>
          <w:szCs w:val="24"/>
          <w:highlight w:val="none"/>
        </w:rPr>
      </w:r>
      <w:r/>
    </w:p>
    <w:p>
      <w:pPr>
        <w:pStyle w:val="681"/>
        <w:ind w:firstLine="480"/>
        <w:spacing w:line="360" w:lineRule="auto"/>
        <w:tabs>
          <w:tab w:val="left" w:pos="525" w:leader="none"/>
          <w:tab w:val="left" w:pos="840" w:leader="none"/>
          <w:tab w:val="left" w:pos="945" w:leader="none"/>
          <w:tab w:val="left" w:pos="1050" w:leader="none"/>
          <w:tab w:val="left" w:pos="19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3.质保期后的货物维护由双方协商再定。</w:t>
      </w:r>
      <w:r>
        <w:rPr>
          <w:rFonts w:ascii="宋体" w:hAnsi="宋体" w:cs="宋体"/>
          <w:bCs/>
          <w:color w:val="000000"/>
          <w:sz w:val="24"/>
          <w:szCs w:val="24"/>
          <w:highlight w:val="none"/>
        </w:rPr>
      </w:r>
      <w:r/>
    </w:p>
    <w:p>
      <w:pPr>
        <w:pStyle w:val="681"/>
        <w:ind w:firstLine="480"/>
        <w:spacing w:line="360" w:lineRule="auto"/>
        <w:tabs>
          <w:tab w:val="left" w:pos="525" w:leader="none"/>
          <w:tab w:val="left" w:pos="840" w:leader="none"/>
          <w:tab w:val="left" w:pos="945" w:leader="none"/>
          <w:tab w:val="left" w:pos="1050" w:leader="none"/>
          <w:tab w:val="left" w:pos="19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4.需方应向供方现场调试的技术人员及维修人员提供方便条件，有关费用由供方负责。</w:t>
      </w:r>
      <w:r>
        <w:rPr>
          <w:rFonts w:ascii="宋体" w:hAnsi="宋体" w:cs="宋体"/>
          <w:bCs/>
          <w:color w:val="000000"/>
          <w:sz w:val="24"/>
          <w:szCs w:val="24"/>
          <w:highlight w:val="none"/>
        </w:rPr>
      </w:r>
      <w:r/>
    </w:p>
    <w:p>
      <w:pPr>
        <w:pStyle w:val="681"/>
        <w:ind w:firstLine="480"/>
        <w:spacing w:line="360" w:lineRule="auto"/>
        <w:tabs>
          <w:tab w:val="left" w:pos="525" w:leader="none"/>
          <w:tab w:val="left" w:pos="840" w:leader="none"/>
          <w:tab w:val="left" w:pos="945" w:leader="none"/>
          <w:tab w:val="left" w:pos="1050" w:leader="none"/>
          <w:tab w:val="left" w:pos="19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5.需方如要求供方提供招标文件及供方投标文件以外的其他服务，其费用另定。</w:t>
      </w:r>
      <w:r>
        <w:rPr>
          <w:rFonts w:ascii="宋体" w:hAnsi="宋体" w:cs="宋体"/>
          <w:bCs/>
          <w:color w:val="000000"/>
          <w:sz w:val="24"/>
          <w:szCs w:val="24"/>
          <w:highlight w:val="none"/>
        </w:rPr>
      </w:r>
      <w:r/>
    </w:p>
    <w:p>
      <w:pPr>
        <w:pStyle w:val="681"/>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（七）违约责任：</w:t>
      </w:r>
      <w:r>
        <w:rPr>
          <w:rFonts w:ascii="宋体" w:hAnsi="宋体" w:cs="宋体"/>
          <w:bCs/>
          <w:color w:val="000000"/>
          <w:sz w:val="24"/>
          <w:szCs w:val="24"/>
          <w:highlight w:val="none"/>
        </w:rPr>
      </w:r>
      <w:r/>
    </w:p>
    <w:p>
      <w:pPr>
        <w:pStyle w:val="681"/>
        <w:ind w:firstLine="480"/>
        <w:spacing w:line="360" w:lineRule="auto"/>
        <w:tabs>
          <w:tab w:val="left" w:pos="0"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ascii="宋体" w:hAnsi="宋体" w:cs="宋体"/>
          <w:bCs/>
          <w:color w:val="000000"/>
          <w:sz w:val="24"/>
          <w:szCs w:val="24"/>
          <w:highlight w:val="none"/>
        </w:rPr>
      </w:r>
      <w:r/>
    </w:p>
    <w:p>
      <w:pPr>
        <w:pStyle w:val="681"/>
        <w:ind w:firstLine="480"/>
        <w:spacing w:line="360" w:lineRule="auto"/>
        <w:tabs>
          <w:tab w:val="left" w:pos="0"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rPr>
          <w:rFonts w:ascii="宋体" w:hAnsi="宋体" w:cs="宋体"/>
          <w:bCs/>
          <w:color w:val="000000"/>
          <w:sz w:val="24"/>
          <w:szCs w:val="24"/>
          <w:highlight w:val="none"/>
        </w:rPr>
      </w:r>
      <w:r/>
    </w:p>
    <w:p>
      <w:pPr>
        <w:pStyle w:val="681"/>
        <w:ind w:firstLine="480"/>
        <w:spacing w:line="360" w:lineRule="auto"/>
        <w:tabs>
          <w:tab w:val="left" w:pos="105"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3.需方无正当理由逾期付款时，每逾期一日，需方应按照逾期付款金额的万分之五的标准累计计算向供方支付违约金。</w:t>
      </w:r>
      <w:r>
        <w:rPr>
          <w:rFonts w:ascii="宋体" w:hAnsi="宋体" w:cs="宋体"/>
          <w:bCs/>
          <w:color w:val="000000"/>
          <w:sz w:val="24"/>
          <w:szCs w:val="24"/>
          <w:highlight w:val="none"/>
        </w:rPr>
      </w:r>
      <w:r/>
    </w:p>
    <w:p>
      <w:pPr>
        <w:pStyle w:val="681"/>
        <w:ind w:firstLine="480"/>
        <w:spacing w:line="360" w:lineRule="auto"/>
        <w:tabs>
          <w:tab w:val="left" w:pos="105"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4.由于需方的原因要求延期交货，需方应按规定支付货款，并承担供方提供的代为保管费。（有关仓储规定另议）</w:t>
      </w:r>
      <w:r>
        <w:rPr>
          <w:rFonts w:ascii="宋体" w:hAnsi="宋体" w:cs="宋体"/>
          <w:bCs/>
          <w:color w:val="000000"/>
          <w:sz w:val="24"/>
          <w:szCs w:val="24"/>
          <w:highlight w:val="none"/>
        </w:rPr>
      </w:r>
      <w:r/>
    </w:p>
    <w:p>
      <w:pPr>
        <w:pStyle w:val="681"/>
        <w:ind w:firstLine="480"/>
        <w:spacing w:line="360" w:lineRule="auto"/>
        <w:tabs>
          <w:tab w:val="left" w:pos="105"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rPr>
          <w:rFonts w:ascii="宋体" w:hAnsi="宋体" w:cs="宋体"/>
          <w:bCs/>
          <w:color w:val="000000"/>
          <w:sz w:val="24"/>
          <w:szCs w:val="24"/>
          <w:highlight w:val="none"/>
        </w:rPr>
      </w:r>
      <w:r/>
    </w:p>
    <w:p>
      <w:pPr>
        <w:pStyle w:val="681"/>
        <w:ind w:firstLine="480"/>
        <w:spacing w:line="360" w:lineRule="auto"/>
        <w:tabs>
          <w:tab w:val="left" w:pos="105"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rPr>
          <w:rFonts w:ascii="宋体" w:hAnsi="宋体" w:cs="宋体"/>
          <w:bCs/>
          <w:color w:val="000000"/>
          <w:sz w:val="24"/>
          <w:szCs w:val="24"/>
          <w:highlight w:val="none"/>
        </w:rPr>
      </w:r>
      <w:r/>
    </w:p>
    <w:p>
      <w:pPr>
        <w:pStyle w:val="681"/>
        <w:ind w:firstLine="480"/>
        <w:spacing w:line="360" w:lineRule="auto"/>
        <w:tabs>
          <w:tab w:val="left" w:pos="105"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7.如遭遇不可抗力事件，遭遇不可抗力的一方应尽快以书面形式将不可抗力的情况和原因通知另一方，并积极采取措施防止损失扩大。因不可抗力造成的损失，供、需双方按照法律规定处理。</w:t>
      </w:r>
      <w:r>
        <w:rPr>
          <w:rFonts w:ascii="宋体" w:hAnsi="宋体" w:cs="宋体"/>
          <w:bCs/>
          <w:color w:val="000000"/>
          <w:sz w:val="24"/>
          <w:szCs w:val="24"/>
          <w:highlight w:val="none"/>
        </w:rPr>
      </w:r>
      <w:r/>
    </w:p>
    <w:p>
      <w:pPr>
        <w:pStyle w:val="681"/>
        <w:ind w:firstLine="480"/>
        <w:spacing w:line="360" w:lineRule="auto"/>
        <w:tabs>
          <w:tab w:val="left" w:pos="105"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8.招标文件及合同中所述之“不可抗力”系指不可预见、不可避免、不可克服的事件，包括但不限于：战争、洪水、台风、地震及其他法律、法规规定的事件。</w:t>
      </w:r>
      <w:r>
        <w:rPr>
          <w:rFonts w:ascii="宋体" w:hAnsi="宋体" w:cs="宋体"/>
          <w:bCs/>
          <w:color w:val="000000"/>
          <w:sz w:val="24"/>
          <w:szCs w:val="24"/>
          <w:highlight w:val="none"/>
        </w:rPr>
      </w:r>
      <w:r/>
    </w:p>
    <w:p>
      <w:pPr>
        <w:pStyle w:val="1043"/>
        <w:numPr>
          <w:ilvl w:val="0"/>
          <w:numId w:val="7"/>
        </w:numPr>
        <w:ind w:left="0"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合同生效及其他：</w:t>
      </w:r>
      <w:r>
        <w:rPr>
          <w:rFonts w:ascii="宋体" w:hAnsi="宋体" w:cs="宋体"/>
          <w:bCs/>
          <w:color w:val="000000"/>
          <w:sz w:val="24"/>
          <w:szCs w:val="24"/>
          <w:highlight w:val="none"/>
        </w:rPr>
      </w:r>
      <w:r/>
    </w:p>
    <w:p>
      <w:pPr>
        <w:pStyle w:val="681"/>
        <w:ind w:firstLine="480"/>
        <w:spacing w:line="360" w:lineRule="auto"/>
        <w:tabs>
          <w:tab w:val="left" w:pos="0"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1.合同经供需双方代表签字并盖章，且经</w:t>
      </w:r>
      <w:r>
        <w:rPr>
          <w:rFonts w:hint="eastAsia" w:ascii="宋体" w:hAnsi="宋体" w:cs="宋体"/>
          <w:color w:val="000000"/>
          <w:sz w:val="24"/>
          <w:highlight w:val="none"/>
          <w:lang w:val="zh-CN"/>
        </w:rPr>
        <w:t xml:space="preserve">采购代理机构</w:t>
      </w:r>
      <w:r>
        <w:rPr>
          <w:rFonts w:hint="eastAsia" w:ascii="宋体" w:hAnsi="宋体" w:cs="宋体"/>
          <w:bCs/>
          <w:color w:val="000000"/>
          <w:sz w:val="24"/>
          <w:szCs w:val="24"/>
          <w:highlight w:val="none"/>
        </w:rPr>
        <w:t xml:space="preserve">见证后即生效。</w:t>
      </w:r>
      <w:r>
        <w:rPr>
          <w:rFonts w:ascii="宋体" w:hAnsi="宋体" w:cs="宋体"/>
          <w:bCs/>
          <w:color w:val="000000"/>
          <w:sz w:val="24"/>
          <w:szCs w:val="24"/>
          <w:highlight w:val="none"/>
        </w:rPr>
      </w:r>
      <w:r/>
    </w:p>
    <w:p>
      <w:pPr>
        <w:pStyle w:val="681"/>
        <w:ind w:firstLine="480"/>
        <w:spacing w:line="360" w:lineRule="auto"/>
        <w:tabs>
          <w:tab w:val="left" w:pos="0"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cs="宋体"/>
          <w:color w:val="000000"/>
          <w:sz w:val="24"/>
          <w:szCs w:val="24"/>
          <w:highlight w:val="none"/>
        </w:rPr>
        <w:t xml:space="preserve">由供需双方协商处理，若协商不成，</w:t>
      </w:r>
      <w:r>
        <w:rPr>
          <w:rFonts w:hint="eastAsia" w:ascii="宋体" w:hAnsi="宋体" w:cs="宋体"/>
          <w:bCs/>
          <w:color w:val="000000"/>
          <w:sz w:val="24"/>
          <w:szCs w:val="24"/>
          <w:highlight w:val="none"/>
        </w:rPr>
        <w:t xml:space="preserve">可选择以下方式处理：</w:t>
      </w:r>
      <w:r>
        <w:rPr>
          <w:rFonts w:ascii="宋体" w:hAnsi="宋体" w:cs="宋体"/>
          <w:bCs/>
          <w:color w:val="000000"/>
          <w:sz w:val="24"/>
          <w:szCs w:val="24"/>
          <w:highlight w:val="none"/>
        </w:rPr>
      </w:r>
      <w:r/>
    </w:p>
    <w:p>
      <w:pPr>
        <w:pStyle w:val="681"/>
        <w:ind w:firstLine="480"/>
        <w:spacing w:line="360" w:lineRule="auto"/>
        <w:tabs>
          <w:tab w:val="left" w:pos="0" w:leader="none"/>
          <w:tab w:val="left" w:pos="315" w:leader="none"/>
          <w:tab w:val="left" w:pos="525" w:leader="none"/>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（1）向无锡仲裁委员会申请仲裁。</w:t>
      </w:r>
      <w:r>
        <w:rPr>
          <w:rFonts w:ascii="宋体" w:hAnsi="宋体" w:cs="宋体"/>
          <w:color w:val="000000"/>
          <w:sz w:val="24"/>
          <w:szCs w:val="24"/>
          <w:highlight w:val="none"/>
        </w:rPr>
      </w:r>
      <w:r/>
    </w:p>
    <w:p>
      <w:pPr>
        <w:pStyle w:val="681"/>
        <w:ind w:firstLine="480"/>
        <w:spacing w:line="360" w:lineRule="auto"/>
        <w:tabs>
          <w:tab w:val="left" w:pos="0" w:leader="none"/>
          <w:tab w:val="left" w:pos="315" w:leader="none"/>
          <w:tab w:val="left" w:pos="525" w:leader="none"/>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（2）向需方所在地法院提起诉讼。</w:t>
      </w:r>
      <w:r>
        <w:rPr>
          <w:rFonts w:ascii="宋体" w:hAnsi="宋体" w:cs="宋体"/>
          <w:color w:val="000000"/>
          <w:sz w:val="24"/>
          <w:szCs w:val="24"/>
          <w:highlight w:val="none"/>
        </w:rPr>
      </w:r>
      <w:r/>
    </w:p>
    <w:p>
      <w:pPr>
        <w:pStyle w:val="681"/>
        <w:ind w:firstLine="480"/>
        <w:spacing w:line="360" w:lineRule="auto"/>
        <w:tabs>
          <w:tab w:val="left" w:pos="0"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rPr>
          <w:rFonts w:ascii="宋体" w:hAnsi="宋体" w:cs="宋体"/>
          <w:bCs/>
          <w:color w:val="000000"/>
          <w:sz w:val="24"/>
          <w:szCs w:val="24"/>
          <w:highlight w:val="none"/>
        </w:rPr>
      </w:r>
      <w:r/>
    </w:p>
    <w:p>
      <w:pPr>
        <w:pStyle w:val="681"/>
        <w:ind w:firstLine="480"/>
        <w:spacing w:line="360" w:lineRule="auto"/>
        <w:tabs>
          <w:tab w:val="left" w:pos="0" w:leader="none"/>
          <w:tab w:val="left" w:pos="315" w:leader="none"/>
          <w:tab w:val="left" w:pos="525" w:leader="none"/>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4.合同中未有约定的按照有关的法律法规以及国家行业标准或技术文件规定予以解决。</w:t>
      </w:r>
      <w:r>
        <w:rPr>
          <w:rFonts w:ascii="宋体" w:hAnsi="宋体" w:cs="宋体"/>
          <w:color w:val="000000"/>
          <w:sz w:val="24"/>
          <w:szCs w:val="24"/>
          <w:highlight w:val="none"/>
        </w:rPr>
      </w:r>
      <w:r/>
    </w:p>
    <w:p>
      <w:pPr>
        <w:pStyle w:val="681"/>
        <w:ind w:firstLine="480"/>
        <w:spacing w:line="360" w:lineRule="auto"/>
        <w:tabs>
          <w:tab w:val="left" w:pos="0" w:leader="none"/>
          <w:tab w:val="left" w:pos="315" w:leader="none"/>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5.供需双方确认：对本合同条款及后果均已知悉，一致确认不存在欺诈、胁迫、乘人之危、重大误解、显失公平等任何可能导致合同无效或被撤销的情形。</w:t>
      </w:r>
      <w:r>
        <w:rPr>
          <w:rFonts w:ascii="宋体" w:hAnsi="宋体" w:cs="宋体"/>
          <w:bCs/>
          <w:color w:val="000000"/>
          <w:sz w:val="24"/>
          <w:szCs w:val="24"/>
          <w:highlight w:val="none"/>
        </w:rPr>
      </w:r>
      <w:r/>
    </w:p>
    <w:p>
      <w:pPr>
        <w:pStyle w:val="1044"/>
        <w:rPr>
          <w:color w:val="000000"/>
          <w:highlight w:val="none"/>
        </w:rPr>
      </w:pPr>
      <w:r>
        <w:rPr>
          <w:color w:val="000000"/>
          <w:highlight w:val="none"/>
        </w:rPr>
      </w:r>
      <w:r/>
    </w:p>
    <w:p>
      <w:pPr>
        <w:pStyle w:val="681"/>
        <w:ind w:firstLine="480"/>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需方（采购人）：（</w:t>
      </w:r>
      <w:r>
        <w:rPr>
          <w:rFonts w:hint="eastAsia" w:ascii="宋体" w:hAnsi="宋体" w:cs="宋体"/>
          <w:bCs/>
          <w:color w:val="000000"/>
          <w:sz w:val="24"/>
          <w:szCs w:val="24"/>
          <w:highlight w:val="none"/>
          <w:lang w:eastAsia="en-US"/>
        </w:rPr>
        <w:t xml:space="preserve">盖</w:t>
      </w:r>
      <w:r>
        <w:rPr>
          <w:rFonts w:hint="eastAsia" w:ascii="宋体" w:hAnsi="宋体" w:cs="宋体"/>
          <w:bCs/>
          <w:color w:val="000000"/>
          <w:sz w:val="24"/>
          <w:szCs w:val="24"/>
          <w:highlight w:val="none"/>
        </w:rPr>
        <w:t xml:space="preserve">章）                 供方（中标方）：（</w:t>
      </w:r>
      <w:r>
        <w:rPr>
          <w:rFonts w:hint="eastAsia" w:ascii="宋体" w:hAnsi="宋体" w:cs="宋体"/>
          <w:bCs/>
          <w:color w:val="000000"/>
          <w:sz w:val="24"/>
          <w:szCs w:val="24"/>
          <w:highlight w:val="none"/>
          <w:lang w:eastAsia="en-US"/>
        </w:rPr>
        <w:t xml:space="preserve">盖</w:t>
      </w:r>
      <w:r>
        <w:rPr>
          <w:rFonts w:hint="eastAsia" w:ascii="宋体" w:hAnsi="宋体" w:cs="宋体"/>
          <w:bCs/>
          <w:color w:val="000000"/>
          <w:sz w:val="24"/>
          <w:szCs w:val="24"/>
          <w:highlight w:val="none"/>
        </w:rPr>
        <w:t xml:space="preserve">章）</w:t>
      </w:r>
      <w:r>
        <w:rPr>
          <w:rFonts w:ascii="宋体" w:hAnsi="宋体" w:cs="宋体"/>
          <w:bCs/>
          <w:color w:val="000000"/>
          <w:sz w:val="24"/>
          <w:szCs w:val="24"/>
          <w:highlight w:val="none"/>
          <w:u w:val="single"/>
        </w:rPr>
      </w:r>
      <w:r/>
    </w:p>
    <w:p>
      <w:pPr>
        <w:pStyle w:val="681"/>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法定（授权）代表人：                     法定（授权）代表人：</w:t>
      </w:r>
      <w:r>
        <w:rPr>
          <w:rFonts w:ascii="宋体" w:hAnsi="宋体" w:cs="宋体"/>
          <w:bCs/>
          <w:color w:val="000000"/>
          <w:sz w:val="24"/>
          <w:szCs w:val="24"/>
          <w:highlight w:val="none"/>
        </w:rPr>
      </w:r>
      <w:r/>
    </w:p>
    <w:p>
      <w:pPr>
        <w:pStyle w:val="681"/>
        <w:ind w:firstLine="480"/>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地址：                                   地址：</w:t>
      </w:r>
      <w:r>
        <w:rPr>
          <w:rFonts w:ascii="宋体" w:hAnsi="宋体" w:cs="宋体"/>
          <w:bCs/>
          <w:color w:val="000000"/>
          <w:sz w:val="24"/>
          <w:szCs w:val="24"/>
          <w:highlight w:val="none"/>
          <w:u w:val="single"/>
        </w:rPr>
      </w:r>
      <w:r/>
    </w:p>
    <w:p>
      <w:pPr>
        <w:pStyle w:val="681"/>
        <w:ind w:firstLine="480"/>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年    月    日                           年      月       日</w:t>
      </w:r>
      <w:r>
        <w:rPr>
          <w:rFonts w:ascii="宋体" w:hAnsi="宋体" w:cs="宋体"/>
          <w:bCs/>
          <w:color w:val="000000"/>
          <w:sz w:val="24"/>
          <w:szCs w:val="24"/>
          <w:highlight w:val="none"/>
          <w:u w:val="single"/>
        </w:rPr>
      </w:r>
      <w:r/>
    </w:p>
    <w:p>
      <w:pPr>
        <w:pStyle w:val="681"/>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ascii="宋体" w:hAnsi="宋体" w:cs="宋体"/>
          <w:bCs/>
          <w:color w:val="000000"/>
          <w:sz w:val="24"/>
          <w:szCs w:val="24"/>
          <w:highlight w:val="none"/>
        </w:rPr>
      </w:r>
      <w:r/>
    </w:p>
    <w:p>
      <w:pPr>
        <w:pStyle w:val="681"/>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681"/>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681"/>
        <w:ind w:firstLine="5342"/>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供方户名：</w:t>
      </w:r>
      <w:r>
        <w:rPr>
          <w:rFonts w:ascii="宋体" w:hAnsi="宋体" w:cs="宋体"/>
          <w:bCs/>
          <w:color w:val="000000"/>
          <w:sz w:val="24"/>
          <w:szCs w:val="24"/>
          <w:highlight w:val="none"/>
          <w:u w:val="single"/>
        </w:rPr>
      </w:r>
      <w:r/>
    </w:p>
    <w:p>
      <w:pPr>
        <w:pStyle w:val="681"/>
        <w:ind w:firstLine="480"/>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                                        供方开户银行：</w:t>
      </w:r>
      <w:r>
        <w:rPr>
          <w:rFonts w:ascii="宋体" w:hAnsi="宋体" w:cs="宋体"/>
          <w:bCs/>
          <w:color w:val="000000"/>
          <w:sz w:val="24"/>
          <w:szCs w:val="24"/>
          <w:highlight w:val="none"/>
          <w:u w:val="single"/>
        </w:rPr>
      </w:r>
      <w:r/>
    </w:p>
    <w:p>
      <w:pPr>
        <w:pStyle w:val="681"/>
        <w:ind w:firstLine="480"/>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                                        供方账号：</w:t>
      </w:r>
      <w:r>
        <w:rPr>
          <w:rFonts w:ascii="宋体" w:hAnsi="宋体" w:cs="宋体"/>
          <w:color w:val="000000"/>
          <w:sz w:val="24"/>
          <w:szCs w:val="24"/>
          <w:highlight w:val="none"/>
        </w:rPr>
      </w:r>
      <w:r/>
    </w:p>
    <w:p>
      <w:pPr>
        <w:pStyle w:val="681"/>
        <w:ind w:firstLine="720"/>
        <w:jc w:val="center"/>
        <w:spacing w:line="288" w:lineRule="auto"/>
        <w:rPr>
          <w:rFonts w:hAnsi="宋体"/>
          <w:color w:val="000000"/>
          <w:sz w:val="36"/>
          <w:szCs w:val="36"/>
          <w:highlight w:val="none"/>
        </w:rPr>
      </w:pPr>
      <w:r>
        <w:rPr>
          <w:rFonts w:hint="eastAsia" w:ascii="宋体" w:hAnsi="宋体"/>
          <w:b/>
          <w:color w:val="000000"/>
          <w:sz w:val="30"/>
          <w:szCs w:val="30"/>
          <w:highlight w:val="none"/>
        </w:rPr>
        <w:br w:type="page" w:clear="all"/>
      </w:r>
      <w:r>
        <w:rPr>
          <w:rFonts w:hint="eastAsia" w:ascii="黑体" w:eastAsia="黑体"/>
          <w:bCs/>
          <w:color w:val="000000"/>
          <w:sz w:val="36"/>
          <w:szCs w:val="36"/>
          <w:highlight w:val="none"/>
        </w:rPr>
        <w:t xml:space="preserve">第四章 采购需求</w:t>
      </w:r>
      <w:r>
        <w:rPr>
          <w:rFonts w:hAnsi="宋体"/>
          <w:color w:val="000000"/>
          <w:sz w:val="36"/>
          <w:szCs w:val="36"/>
          <w:highlight w:val="none"/>
        </w:rPr>
      </w:r>
      <w:r/>
    </w:p>
    <w:p>
      <w:pPr>
        <w:pStyle w:val="681"/>
        <w:ind w:firstLine="600"/>
        <w:jc w:val="left"/>
        <w:spacing w:line="360" w:lineRule="auto"/>
        <w:rPr>
          <w:rFonts w:ascii="黑体" w:hAnsi="黑体" w:eastAsia="黑体"/>
          <w:color w:val="000000"/>
          <w:sz w:val="30"/>
          <w:szCs w:val="30"/>
          <w:highlight w:val="none"/>
        </w:rPr>
      </w:pPr>
      <w:r>
        <w:rPr>
          <w:rFonts w:hint="eastAsia" w:ascii="黑体" w:hAnsi="黑体" w:eastAsia="黑体"/>
          <w:color w:val="000000"/>
          <w:sz w:val="30"/>
          <w:szCs w:val="30"/>
          <w:highlight w:val="none"/>
        </w:rPr>
        <w:t xml:space="preserve">本项目属性：货物类项目</w:t>
      </w:r>
      <w:r>
        <w:rPr>
          <w:rFonts w:ascii="黑体" w:hAnsi="黑体" w:eastAsia="黑体"/>
          <w:color w:val="000000"/>
          <w:sz w:val="30"/>
          <w:szCs w:val="30"/>
          <w:highlight w:val="none"/>
        </w:rPr>
      </w:r>
      <w:r/>
    </w:p>
    <w:p>
      <w:pPr>
        <w:pStyle w:val="68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6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本项目标的物所属行业：工业 </w:t>
      </w:r>
      <w:r>
        <w:rPr>
          <w:rFonts w:ascii="宋体" w:hAnsi="宋体"/>
          <w:bCs/>
          <w:color w:val="000000"/>
          <w:sz w:val="24"/>
          <w:szCs w:val="24"/>
          <w:highlight w:val="none"/>
        </w:rPr>
      </w:r>
      <w:r/>
    </w:p>
    <w:p>
      <w:pPr>
        <w:pStyle w:val="68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本项目核心产品：</w:t>
      </w:r>
      <w:r>
        <w:rPr>
          <w:rFonts w:hint="eastAsia" w:ascii="宋体" w:hAnsi="宋体"/>
          <w:sz w:val="24"/>
          <w:szCs w:val="24"/>
          <w:highlight w:val="none"/>
          <w:lang w:val="en-US" w:eastAsia="zh-CN"/>
        </w:rPr>
        <w:t xml:space="preserve">图书杀菌机（学生用）</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81"/>
        <w:numPr>
          <w:ilvl w:val="0"/>
          <w:numId w:val="8"/>
        </w:numPr>
        <w:ind w:firstLine="0"/>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 项目技术要求</w:t>
      </w:r>
      <w:r>
        <w:rPr>
          <w:rFonts w:hint="eastAsia" w:ascii="宋体" w:hAnsi="宋体"/>
          <w:b/>
          <w:color w:val="000000"/>
          <w:sz w:val="30"/>
          <w:szCs w:val="30"/>
          <w:highlight w:val="none"/>
        </w:rPr>
      </w:r>
      <w:r/>
    </w:p>
    <w:p>
      <w:pPr>
        <w:pStyle w:val="681"/>
        <w:spacing w:line="360" w:lineRule="auto"/>
        <w:rPr>
          <w:rFonts w:ascii="宋体" w:hAnsi="宋体"/>
          <w:b/>
          <w:color w:val="000000"/>
          <w:sz w:val="24"/>
          <w:highlight w:val="none"/>
        </w:rPr>
      </w:pPr>
      <w:r>
        <w:rPr>
          <w:rFonts w:hint="eastAsia"/>
          <w:b/>
          <w:color w:val="000000"/>
          <w:sz w:val="24"/>
          <w:highlight w:val="none"/>
        </w:rPr>
        <w:t xml:space="preserve">1、采购设备清单</w:t>
      </w:r>
      <w:r>
        <w:rPr>
          <w:rFonts w:hint="eastAsia"/>
          <w:b/>
          <w:color w:val="000000"/>
          <w:sz w:val="24"/>
          <w:highlight w:val="none"/>
          <w:lang w:val="en-US" w:eastAsia="zh-CN"/>
        </w:rPr>
        <w:t xml:space="preserve">及设备技术参数。</w:t>
      </w:r>
      <w:r>
        <w:rPr>
          <w:rFonts w:ascii="宋体" w:hAnsi="宋体"/>
          <w:b/>
          <w:color w:val="000000"/>
          <w:sz w:val="24"/>
          <w:highlight w:val="none"/>
        </w:rPr>
      </w:r>
      <w:r/>
    </w:p>
    <w:p>
      <w:pPr>
        <w:pStyle w:val="681"/>
        <w:spacing w:line="360" w:lineRule="auto"/>
        <w:rPr>
          <w:rFonts w:hint="eastAsia" w:ascii="宋体" w:hAnsi="宋体"/>
          <w:sz w:val="24"/>
          <w:highlight w:val="none"/>
        </w:rPr>
      </w:pPr>
      <w:r>
        <w:rPr>
          <w:rFonts w:hint="eastAsia" w:ascii="宋体" w:hAnsi="宋体"/>
          <w:sz w:val="24"/>
          <w:highlight w:val="none"/>
        </w:rPr>
        <w:t xml:space="preserve">（1）采购标的清单及数量</w:t>
      </w:r>
      <w:r>
        <w:rPr>
          <w:rFonts w:hint="eastAsia" w:ascii="宋体" w:hAnsi="宋体"/>
          <w:sz w:val="24"/>
          <w:highlight w:val="none"/>
        </w:rPr>
      </w:r>
      <w:r/>
    </w:p>
    <w:tbl>
      <w:tblPr>
        <w:tblW w:w="4699" w:type="pct"/>
        <w:jc w:val="center"/>
        <w:tblInd w:w="-17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7" w:type="dxa"/>
          <w:top w:w="17" w:type="dxa"/>
          <w:right w:w="17" w:type="dxa"/>
          <w:bottom w:w="17" w:type="dxa"/>
        </w:tblCellMar>
        <w:tblLook w:val="04A0" w:firstRow="1" w:lastRow="0" w:firstColumn="1" w:lastColumn="0" w:noHBand="0" w:noVBand="1"/>
      </w:tblPr>
      <w:tblGrid>
        <w:gridCol w:w="1389"/>
        <w:gridCol w:w="4104"/>
        <w:gridCol w:w="2953"/>
      </w:tblGrid>
      <w:tr>
        <w:trPr>
          <w:tblHeader/>
        </w:trPr>
        <w:tc>
          <w:tcPr>
            <w:shd w:val="clear" w:color="auto" w:fill="f1f1f1"/>
            <w:tcMar>
              <w:left w:w="17" w:type="dxa"/>
              <w:top w:w="17" w:type="dxa"/>
              <w:right w:w="17" w:type="dxa"/>
              <w:bottom w:w="17" w:type="dxa"/>
            </w:tcMa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序号</w:t>
            </w:r>
            <w:r>
              <w:rPr>
                <w:rFonts w:hint="eastAsia" w:ascii="宋体" w:hAnsi="宋体" w:cs="宋体"/>
                <w:color w:val="000000"/>
                <w:sz w:val="22"/>
                <w:szCs w:val="22"/>
                <w:highlight w:val="none"/>
              </w:rPr>
            </w:r>
            <w:r/>
          </w:p>
        </w:tc>
        <w:tc>
          <w:tcPr>
            <w:shd w:val="clear" w:color="auto" w:fill="f1f1f1"/>
            <w:tcMar>
              <w:left w:w="17" w:type="dxa"/>
              <w:top w:w="17" w:type="dxa"/>
              <w:right w:w="17" w:type="dxa"/>
              <w:bottom w:w="17" w:type="dxa"/>
            </w:tcMa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产品名称</w:t>
            </w:r>
            <w:r>
              <w:rPr>
                <w:rFonts w:hint="eastAsia" w:ascii="宋体" w:hAnsi="宋体" w:cs="宋体"/>
                <w:color w:val="000000"/>
                <w:sz w:val="22"/>
                <w:szCs w:val="22"/>
                <w:highlight w:val="none"/>
              </w:rPr>
            </w:r>
            <w:r/>
          </w:p>
        </w:tc>
        <w:tc>
          <w:tcPr>
            <w:shd w:val="clear" w:color="auto" w:fill="f1f1f1"/>
            <w:tcMar>
              <w:left w:w="17" w:type="dxa"/>
              <w:top w:w="17" w:type="dxa"/>
              <w:right w:w="17" w:type="dxa"/>
              <w:bottom w:w="17" w:type="dxa"/>
            </w:tcMa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台/套</w:t>
            </w:r>
            <w:r>
              <w:rPr>
                <w:rFonts w:hint="eastAsia" w:ascii="宋体" w:hAnsi="宋体" w:cs="宋体"/>
                <w:color w:val="000000"/>
                <w:sz w:val="22"/>
                <w:szCs w:val="22"/>
                <w:highlight w:val="none"/>
              </w:rPr>
            </w:r>
            <w:r/>
          </w:p>
        </w:tc>
      </w:tr>
      <w:tr>
        <w:trPr/>
        <w:tc>
          <w:tcPr>
            <w:tcMar>
              <w:left w:w="17" w:type="dxa"/>
              <w:top w:w="17" w:type="dxa"/>
              <w:right w:w="17" w:type="dxa"/>
              <w:bottom w:w="17" w:type="dxa"/>
            </w:tcMa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Mar>
              <w:left w:w="17" w:type="dxa"/>
              <w:top w:w="17" w:type="dxa"/>
              <w:right w:w="17" w:type="dxa"/>
              <w:bottom w:w="17" w:type="dxa"/>
            </w:tcMa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RFID电子标签</w:t>
            </w:r>
            <w:r>
              <w:rPr>
                <w:rFonts w:hint="eastAsia" w:ascii="宋体" w:hAnsi="宋体" w:cs="宋体"/>
                <w:color w:val="000000"/>
                <w:sz w:val="22"/>
                <w:szCs w:val="22"/>
                <w:highlight w:val="none"/>
              </w:rPr>
            </w:r>
            <w:r/>
          </w:p>
        </w:tc>
        <w:tc>
          <w:tcPr>
            <w:tcMar>
              <w:left w:w="17" w:type="dxa"/>
              <w:top w:w="17" w:type="dxa"/>
              <w:right w:w="17" w:type="dxa"/>
              <w:bottom w:w="17" w:type="dxa"/>
            </w:tcMa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81500</w:t>
            </w:r>
            <w:r>
              <w:rPr>
                <w:rFonts w:hint="eastAsia" w:ascii="宋体" w:hAnsi="宋体" w:cs="宋体"/>
                <w:color w:val="000000"/>
                <w:sz w:val="22"/>
                <w:szCs w:val="22"/>
                <w:highlight w:val="none"/>
              </w:rPr>
            </w:r>
            <w:r/>
          </w:p>
        </w:tc>
      </w:tr>
      <w:tr>
        <w:trPr/>
        <w:tc>
          <w:tcPr>
            <w:tcMar>
              <w:left w:w="17" w:type="dxa"/>
              <w:top w:w="17" w:type="dxa"/>
              <w:right w:w="17" w:type="dxa"/>
              <w:bottom w:w="17" w:type="dxa"/>
            </w:tcMa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Mar>
              <w:left w:w="17" w:type="dxa"/>
              <w:top w:w="17" w:type="dxa"/>
              <w:right w:w="17" w:type="dxa"/>
              <w:bottom w:w="17" w:type="dxa"/>
            </w:tcMa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RFID层架标签</w:t>
            </w:r>
            <w:r>
              <w:rPr>
                <w:rFonts w:hint="eastAsia" w:ascii="宋体" w:hAnsi="宋体" w:cs="宋体"/>
                <w:color w:val="000000"/>
                <w:sz w:val="22"/>
                <w:szCs w:val="22"/>
                <w:highlight w:val="none"/>
              </w:rPr>
            </w:r>
            <w:r/>
          </w:p>
        </w:tc>
        <w:tc>
          <w:tcPr>
            <w:tcMar>
              <w:left w:w="17" w:type="dxa"/>
              <w:top w:w="17" w:type="dxa"/>
              <w:right w:w="17" w:type="dxa"/>
              <w:bottom w:w="17" w:type="dxa"/>
            </w:tcMa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1500</w:t>
            </w:r>
            <w:r>
              <w:rPr>
                <w:rFonts w:hint="eastAsia" w:ascii="宋体" w:hAnsi="宋体" w:cs="宋体"/>
                <w:color w:val="000000"/>
                <w:sz w:val="22"/>
                <w:szCs w:val="22"/>
                <w:highlight w:val="none"/>
              </w:rPr>
            </w:r>
            <w:r/>
          </w:p>
        </w:tc>
      </w:tr>
      <w:tr>
        <w:trPr>
          <w:trHeight w:val="90"/>
        </w:trPr>
        <w:tc>
          <w:tcPr>
            <w:tcMar>
              <w:left w:w="17" w:type="dxa"/>
              <w:top w:w="17" w:type="dxa"/>
              <w:right w:w="17" w:type="dxa"/>
              <w:bottom w:w="17" w:type="dxa"/>
            </w:tcMa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Mar>
              <w:left w:w="17" w:type="dxa"/>
              <w:top w:w="17" w:type="dxa"/>
              <w:right w:w="17" w:type="dxa"/>
              <w:bottom w:w="17" w:type="dxa"/>
            </w:tcMa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RFID 安全门</w:t>
            </w:r>
            <w:r>
              <w:rPr>
                <w:rFonts w:hint="eastAsia" w:ascii="宋体" w:hAnsi="宋体" w:cs="宋体"/>
                <w:color w:val="000000"/>
                <w:sz w:val="22"/>
                <w:szCs w:val="22"/>
                <w:highlight w:val="none"/>
              </w:rPr>
            </w:r>
            <w:r/>
          </w:p>
        </w:tc>
        <w:tc>
          <w:tcPr>
            <w:tcMar>
              <w:left w:w="17" w:type="dxa"/>
              <w:top w:w="17" w:type="dxa"/>
              <w:right w:w="17" w:type="dxa"/>
              <w:bottom w:w="17" w:type="dxa"/>
            </w:tcMa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rPr>
            </w:r>
            <w:r/>
          </w:p>
        </w:tc>
      </w:tr>
      <w:tr>
        <w:trPr>
          <w:trHeight w:val="90"/>
        </w:trPr>
        <w:tc>
          <w:tcPr>
            <w:tcMar>
              <w:left w:w="17" w:type="dxa"/>
              <w:top w:w="17" w:type="dxa"/>
              <w:right w:w="17" w:type="dxa"/>
              <w:bottom w:w="17" w:type="dxa"/>
            </w:tcMa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Mar>
              <w:left w:w="17" w:type="dxa"/>
              <w:top w:w="17" w:type="dxa"/>
              <w:right w:w="17" w:type="dxa"/>
              <w:bottom w:w="17" w:type="dxa"/>
            </w:tcMa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馆员工作站</w:t>
            </w:r>
            <w:r>
              <w:rPr>
                <w:rFonts w:hint="eastAsia" w:ascii="宋体" w:hAnsi="宋体" w:cs="宋体"/>
                <w:color w:val="000000"/>
                <w:sz w:val="22"/>
                <w:szCs w:val="22"/>
                <w:highlight w:val="none"/>
              </w:rPr>
            </w:r>
            <w:r/>
          </w:p>
        </w:tc>
        <w:tc>
          <w:tcPr>
            <w:tcMar>
              <w:left w:w="17" w:type="dxa"/>
              <w:top w:w="17" w:type="dxa"/>
              <w:right w:w="17" w:type="dxa"/>
              <w:bottom w:w="17" w:type="dxa"/>
            </w:tcMa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r>
        <w:trPr>
          <w:trHeight w:val="90"/>
        </w:trPr>
        <w:tc>
          <w:tcPr>
            <w:tcMar>
              <w:left w:w="17" w:type="dxa"/>
              <w:top w:w="17" w:type="dxa"/>
              <w:right w:w="17" w:type="dxa"/>
              <w:bottom w:w="17" w:type="dxa"/>
            </w:tcMa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Mar>
              <w:left w:w="17" w:type="dxa"/>
              <w:top w:w="17" w:type="dxa"/>
              <w:right w:w="17" w:type="dxa"/>
              <w:bottom w:w="17" w:type="dxa"/>
            </w:tcMa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自助借还机</w:t>
            </w:r>
            <w:r>
              <w:rPr>
                <w:rFonts w:hint="eastAsia" w:ascii="宋体" w:hAnsi="宋体" w:cs="宋体"/>
                <w:color w:val="000000"/>
                <w:sz w:val="22"/>
                <w:szCs w:val="22"/>
                <w:highlight w:val="none"/>
              </w:rPr>
            </w:r>
            <w:r/>
          </w:p>
        </w:tc>
        <w:tc>
          <w:tcPr>
            <w:tcMar>
              <w:left w:w="17" w:type="dxa"/>
              <w:top w:w="17" w:type="dxa"/>
              <w:right w:w="17" w:type="dxa"/>
              <w:bottom w:w="17" w:type="dxa"/>
            </w:tcMa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r>
      <w:tr>
        <w:trPr>
          <w:trHeight w:val="90"/>
        </w:trPr>
        <w:tc>
          <w:tcPr>
            <w:tcMar>
              <w:left w:w="17" w:type="dxa"/>
              <w:top w:w="17" w:type="dxa"/>
              <w:right w:w="17" w:type="dxa"/>
              <w:bottom w:w="17" w:type="dxa"/>
            </w:tcMa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Mar>
              <w:left w:w="17" w:type="dxa"/>
              <w:top w:w="17" w:type="dxa"/>
              <w:right w:w="17" w:type="dxa"/>
              <w:bottom w:w="17" w:type="dxa"/>
            </w:tcMa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升降式移动还书箱</w:t>
            </w:r>
            <w:r>
              <w:rPr>
                <w:rFonts w:hint="eastAsia" w:ascii="宋体" w:hAnsi="宋体" w:cs="宋体"/>
                <w:color w:val="000000"/>
                <w:sz w:val="22"/>
                <w:szCs w:val="22"/>
                <w:highlight w:val="none"/>
              </w:rPr>
            </w:r>
            <w:r/>
          </w:p>
        </w:tc>
        <w:tc>
          <w:tcPr>
            <w:tcMar>
              <w:left w:w="17" w:type="dxa"/>
              <w:top w:w="17" w:type="dxa"/>
              <w:right w:w="17" w:type="dxa"/>
              <w:bottom w:w="17" w:type="dxa"/>
            </w:tcMa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r>
      <w:tr>
        <w:trPr/>
        <w:tc>
          <w:tcPr>
            <w:tcMar>
              <w:left w:w="17" w:type="dxa"/>
              <w:top w:w="17" w:type="dxa"/>
              <w:right w:w="17" w:type="dxa"/>
              <w:bottom w:w="17" w:type="dxa"/>
            </w:tcMa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hint="eastAsia" w:ascii="宋体" w:hAnsi="宋体" w:cs="宋体"/>
                <w:color w:val="000000"/>
                <w:sz w:val="22"/>
                <w:szCs w:val="22"/>
                <w:highlight w:val="none"/>
              </w:rPr>
            </w:r>
            <w:r/>
          </w:p>
        </w:tc>
        <w:tc>
          <w:tcPr>
            <w:tcMar>
              <w:left w:w="17" w:type="dxa"/>
              <w:top w:w="17" w:type="dxa"/>
              <w:right w:w="17" w:type="dxa"/>
              <w:bottom w:w="17" w:type="dxa"/>
            </w:tcMa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图书杀菌机（学生用）</w:t>
            </w:r>
            <w:r>
              <w:rPr>
                <w:rFonts w:hint="eastAsia" w:ascii="宋体" w:hAnsi="宋体" w:cs="宋体"/>
                <w:color w:val="000000"/>
                <w:sz w:val="22"/>
                <w:szCs w:val="22"/>
                <w:highlight w:val="none"/>
              </w:rPr>
            </w:r>
            <w:r/>
          </w:p>
        </w:tc>
        <w:tc>
          <w:tcPr>
            <w:tcMar>
              <w:left w:w="17" w:type="dxa"/>
              <w:top w:w="17" w:type="dxa"/>
              <w:right w:w="17" w:type="dxa"/>
              <w:bottom w:w="17" w:type="dxa"/>
            </w:tcMa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图书杀菌机（教师用）</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图书管理软件</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馆情展示机</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综合导航检索机</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移动盘点车</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智能门禁系统</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电子瀑布流</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管理工作站</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存包柜</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图书编目</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30000</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标签转换及盘点</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81500</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图书搬运及分拣</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室内高清红外半球</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38</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24口POE交换机</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eastAsia="zh-CN"/>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2</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室内安防设备箱</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3</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液晶显示器</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4</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千兆单模光模块</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bidi="ar"/>
              </w:rPr>
              <w:t xml:space="preserve">8</w:t>
            </w:r>
            <w:r>
              <w:rPr>
                <w:rFonts w:hint="eastAsia" w:ascii="宋体" w:hAnsi="宋体" w:eastAsia="宋体" w:cs="宋体"/>
                <w:color w:val="000000"/>
                <w:sz w:val="22"/>
                <w:szCs w:val="22"/>
                <w:highlight w:val="none"/>
                <w:lang w:eastAsia="zh-CN"/>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5</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摄像机布线</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eastAsia="zh-CN"/>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6</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弱电桥架</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eastAsia="zh-CN"/>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7</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高清线</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8</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网络线（六类网线）</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eastAsia="zh-CN"/>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bidi="ar"/>
              </w:rPr>
              <w:t xml:space="preserve">29</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网络插座面板（含模块）</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lang w:val="en-US" w:eastAsia="zh-CN" w:bidi="ar"/>
              </w:rPr>
              <w:t xml:space="preserve">0</w:t>
            </w:r>
            <w:r>
              <w:rPr>
                <w:rFonts w:hint="eastAsia" w:ascii="宋体" w:hAnsi="宋体" w:cs="宋体"/>
                <w:color w:val="000000"/>
                <w:sz w:val="22"/>
                <w:szCs w:val="22"/>
                <w:highlight w:val="none"/>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吸顶式AP</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val="en-US" w:eastAsia="zh-CN"/>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机柜</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r>
        <w:trPr/>
        <w:tc>
          <w:tcPr>
            <w:tcW w:w="822" w:type="dxa"/>
            <w:vAlign w:val="center"/>
            <w:textDirection w:val="lrTb"/>
            <w:noWrap w:val="false"/>
          </w:tcPr>
          <w:p>
            <w:pPr>
              <w:pStyle w:val="681"/>
              <w:jc w:val="center"/>
              <w:widowControl/>
              <w:rPr>
                <w:rFonts w:ascii="宋体" w:hAnsi="宋体" w:cs="宋体"/>
                <w:color w:val="000000"/>
                <w:sz w:val="22"/>
                <w:szCs w:val="22"/>
                <w:highlight w:val="none"/>
                <w:lang w:val="en-US"/>
              </w:rPr>
            </w:pPr>
            <w:r>
              <w:rPr>
                <w:rFonts w:hint="eastAsia" w:ascii="宋体" w:hAnsi="宋体" w:cs="宋体"/>
                <w:color w:val="000000"/>
                <w:sz w:val="22"/>
                <w:szCs w:val="22"/>
                <w:highlight w:val="none"/>
                <w:lang w:val="en-US" w:eastAsia="zh-CN" w:bidi="ar"/>
              </w:rPr>
              <w:t xml:space="preserve">32</w:t>
            </w:r>
            <w:r>
              <w:rPr>
                <w:rFonts w:ascii="宋体" w:hAnsi="宋体" w:cs="宋体"/>
                <w:color w:val="000000"/>
                <w:sz w:val="22"/>
                <w:szCs w:val="22"/>
                <w:highlight w:val="none"/>
                <w:lang w:val="en-US"/>
              </w:rPr>
            </w:r>
            <w:r/>
          </w:p>
        </w:tc>
        <w:tc>
          <w:tcPr>
            <w:tcW w:w="2429"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系统集成</w:t>
            </w:r>
            <w:r>
              <w:rPr>
                <w:rFonts w:hint="eastAsia" w:ascii="宋体" w:hAnsi="宋体" w:cs="宋体"/>
                <w:color w:val="000000"/>
                <w:sz w:val="22"/>
                <w:szCs w:val="22"/>
                <w:highlight w:val="none"/>
              </w:rPr>
            </w:r>
            <w:r/>
          </w:p>
        </w:tc>
        <w:tc>
          <w:tcPr>
            <w:tcW w:w="1748"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r>
    </w:tbl>
    <w:p>
      <w:pPr>
        <w:pStyle w:val="690"/>
        <w:ind w:left="0" w:firstLine="0"/>
        <w:rPr>
          <w:highlight w:val="none"/>
        </w:rPr>
      </w:pPr>
      <w:r>
        <w:rPr>
          <w:highlight w:val="none"/>
        </w:rPr>
      </w:r>
      <w:r/>
    </w:p>
    <w:p>
      <w:pPr>
        <w:pStyle w:val="681"/>
        <w:ind w:firstLine="470"/>
        <w:spacing w:line="440" w:lineRule="exact"/>
        <w:rPr>
          <w:rFonts w:hint="eastAsia" w:ascii="宋体" w:hAnsi="宋体" w:cs="宋体"/>
          <w:sz w:val="24"/>
          <w:highlight w:val="none"/>
        </w:rPr>
      </w:pPr>
      <w:r>
        <w:rPr>
          <w:rFonts w:hint="eastAsia" w:ascii="宋体" w:hAnsi="宋体" w:cs="宋体"/>
          <w:sz w:val="24"/>
          <w:highlight w:val="none"/>
        </w:rPr>
        <w:t xml:space="preserve">（2）设备参数要求如下：</w:t>
      </w:r>
      <w:r>
        <w:rPr>
          <w:rFonts w:hint="eastAsia" w:ascii="宋体" w:hAnsi="宋体" w:cs="宋体"/>
          <w:sz w:val="24"/>
          <w:highlight w:val="none"/>
        </w:rPr>
      </w:r>
      <w:r/>
    </w:p>
    <w:tbl>
      <w:tblPr>
        <w:tblW w:w="5158" w:type="pct"/>
        <w:jc w:val="center"/>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7" w:type="dxa"/>
          <w:top w:w="17" w:type="dxa"/>
          <w:right w:w="17" w:type="dxa"/>
          <w:bottom w:w="17" w:type="dxa"/>
        </w:tblCellMar>
        <w:tblLook w:val="04A0" w:firstRow="1" w:lastRow="0" w:firstColumn="1" w:lastColumn="0" w:noHBand="0" w:noVBand="1"/>
      </w:tblPr>
      <w:tblGrid>
        <w:gridCol w:w="681"/>
        <w:gridCol w:w="1126"/>
        <w:gridCol w:w="7464"/>
      </w:tblGrid>
      <w:tr>
        <w:trPr>
          <w:tblHeader/>
        </w:trPr>
        <w:tc>
          <w:tcPr>
            <w:shd w:val="clear" w:color="auto" w:fill="f1f1f1"/>
            <w:tcMar>
              <w:left w:w="17" w:type="dxa"/>
              <w:top w:w="17" w:type="dxa"/>
              <w:right w:w="17" w:type="dxa"/>
              <w:bottom w:w="17" w:type="dxa"/>
            </w:tcMa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序号</w:t>
            </w:r>
            <w:r>
              <w:rPr>
                <w:rFonts w:hint="eastAsia" w:ascii="宋体" w:hAnsi="宋体" w:cs="宋体"/>
                <w:color w:val="000000"/>
                <w:sz w:val="22"/>
                <w:szCs w:val="22"/>
                <w:highlight w:val="none"/>
              </w:rPr>
            </w:r>
            <w:r/>
          </w:p>
        </w:tc>
        <w:tc>
          <w:tcPr>
            <w:shd w:val="clear" w:color="auto" w:fill="f1f1f1"/>
            <w:tcMar>
              <w:left w:w="17" w:type="dxa"/>
              <w:top w:w="17" w:type="dxa"/>
              <w:right w:w="17" w:type="dxa"/>
              <w:bottom w:w="17" w:type="dxa"/>
            </w:tcMa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产品名称</w:t>
            </w:r>
            <w:r>
              <w:rPr>
                <w:rFonts w:hint="eastAsia" w:ascii="宋体" w:hAnsi="宋体" w:cs="宋体"/>
                <w:color w:val="000000"/>
                <w:sz w:val="22"/>
                <w:szCs w:val="22"/>
                <w:highlight w:val="none"/>
              </w:rPr>
            </w:r>
            <w:r/>
          </w:p>
        </w:tc>
        <w:tc>
          <w:tcPr>
            <w:shd w:val="clear" w:color="auto" w:fill="f1f1f1"/>
            <w:tcMar>
              <w:left w:w="17" w:type="dxa"/>
              <w:top w:w="17" w:type="dxa"/>
              <w:right w:w="17" w:type="dxa"/>
              <w:bottom w:w="17" w:type="dxa"/>
            </w:tcMar>
            <w:tcW w:w="7464"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招标参数</w:t>
            </w:r>
            <w:r>
              <w:rPr>
                <w:rFonts w:hint="eastAsia" w:ascii="宋体" w:hAnsi="宋体" w:cs="宋体"/>
                <w:color w:val="000000"/>
                <w:sz w:val="22"/>
                <w:szCs w:val="22"/>
                <w:highlight w:val="none"/>
              </w:rPr>
            </w:r>
            <w:r/>
          </w:p>
        </w:tc>
      </w:tr>
      <w:tr>
        <w:trPr/>
        <w:tc>
          <w:tcPr>
            <w:tcMar>
              <w:left w:w="17" w:type="dxa"/>
              <w:top w:w="17" w:type="dxa"/>
              <w:right w:w="17" w:type="dxa"/>
              <w:bottom w:w="17" w:type="dxa"/>
            </w:tcMa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Mar>
              <w:left w:w="17" w:type="dxa"/>
              <w:top w:w="17" w:type="dxa"/>
              <w:right w:w="17" w:type="dxa"/>
              <w:bottom w:w="17" w:type="dxa"/>
            </w:tcMa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RFID电子标签</w:t>
            </w:r>
            <w:r>
              <w:rPr>
                <w:rFonts w:hint="eastAsia" w:ascii="宋体" w:hAnsi="宋体" w:cs="宋体"/>
                <w:color w:val="000000"/>
                <w:sz w:val="22"/>
                <w:szCs w:val="22"/>
                <w:highlight w:val="none"/>
              </w:rPr>
            </w:r>
            <w:r/>
          </w:p>
        </w:tc>
        <w:tc>
          <w:tcPr>
            <w:tcMar>
              <w:left w:w="17" w:type="dxa"/>
              <w:top w:w="17" w:type="dxa"/>
              <w:right w:w="17" w:type="dxa"/>
              <w:bottom w:w="17" w:type="dxa"/>
            </w:tcMa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功能要求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1、标签为无源标签，无需电池。</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2、标签中有存储器，存储在其中的资料可重复读、写。</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3、标签可以非接触式的读取和写入，加快资源流通的处理手续。</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4、标签具有一定的抗冲突性，能保证多个标签的同时可靠识别。</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5、标签具有较高的安全性，有不可改写的唯一序列号（UID）供识别和加密，防止存储在其中的信息资料被泄露。</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6、用户可自定义数据格式和内容，具有良好的数据扩展性。</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7、标签的天线为铝质天线，采用蚀刻法工艺制造。</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8、具备（EAS）和（AFI）防盗功能。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9、可0.1s时间内读取存储在标签中的资料。</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10、须采用中性粘胶对图书及其它介质黏贴表面无损害。</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11、需通过符合《GB/T17626.2-2018》电磁兼容、静电放电抗扰度相关标准要求，标签检测样品蚀刻天线需带有品牌相关信息。</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技术要求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1、工作频率：高频（HF）频段，中心频率13.56 MHz，符合 ISO/IEC 18000-3 或相关 ISM 频段规范。。</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 ISO/IEC 15693 及 NFC Forum Type 5 标签规范</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3、存 储 量：≥1 Kbit（1024 bit）用户可读写内存</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4、标签天线：铝质蚀刻天线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5、图书标签尺寸：50mm×50mm（长x宽）（误差+/-5MM）。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6、图书标签有效识读距离：自助借还设备≤250mm，RFID安全门≤800mm。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7、图书标签用纸：不干胶铜版纸封装。</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8、质量检测：100%全检；</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9、工作环境：-10℃～50℃/20%-90%RH；</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10、储存环境：25℃/65%RH；</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11、使用寿命：内存读写100000次以上。</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12、符合国际相关行业标准，如ISO15693标准，ISO 18000-3标准等，具有良好的互换性与兼容性。</w:t>
            </w:r>
            <w:r>
              <w:rPr>
                <w:rFonts w:hint="eastAsia" w:ascii="宋体" w:hAnsi="宋体" w:cs="宋体"/>
                <w:color w:val="000000"/>
                <w:sz w:val="20"/>
                <w:szCs w:val="20"/>
                <w:highlight w:val="none"/>
              </w:rPr>
            </w:r>
            <w:r/>
          </w:p>
        </w:tc>
      </w:tr>
      <w:tr>
        <w:trPr/>
        <w:tc>
          <w:tcPr>
            <w:tcMar>
              <w:left w:w="17" w:type="dxa"/>
              <w:top w:w="17" w:type="dxa"/>
              <w:right w:w="17" w:type="dxa"/>
              <w:bottom w:w="17" w:type="dxa"/>
            </w:tcMa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Mar>
              <w:left w:w="17" w:type="dxa"/>
              <w:top w:w="17" w:type="dxa"/>
              <w:right w:w="17" w:type="dxa"/>
              <w:bottom w:w="17" w:type="dxa"/>
            </w:tcMa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RFID层架标签</w:t>
            </w:r>
            <w:r>
              <w:rPr>
                <w:rFonts w:hint="eastAsia" w:ascii="宋体" w:hAnsi="宋体" w:cs="宋体"/>
                <w:color w:val="000000"/>
                <w:sz w:val="22"/>
                <w:szCs w:val="22"/>
                <w:highlight w:val="none"/>
              </w:rPr>
            </w:r>
            <w:r/>
          </w:p>
        </w:tc>
        <w:tc>
          <w:tcPr>
            <w:tcMar>
              <w:left w:w="17" w:type="dxa"/>
              <w:top w:w="17" w:type="dxa"/>
              <w:right w:w="17" w:type="dxa"/>
              <w:bottom w:w="17" w:type="dxa"/>
            </w:tcMa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功能要求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1、具备（EAS）和（AFI）防盗功能。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2、非接触式读写操作，内部含存储器，存储信息可重复读写。</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3、标签使用了防冲突的运算法则，以避免在同时读写多个标签是有数量限制，多个标签同时读取时，彼此不受干扰。</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4、数据存储格式可根据用户具体需求定义，可扩展性好。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5、有效识读距离：读写速度快，有效识读距离单独标签读取30~50mm，符合书架、盘点等设备读取要求。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6、安全性：读写标签信息提供密码保护功能，需防止存储在其中的信息资料被随意读取和写入。</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7、内部含存储器，存储信息可重复读写≥100,000次。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8、使用专用胶粘贴于书架表面，粘性可靠，需对书架无腐蚀性，表面可根据图书馆要求印刷内容。</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9、为了防止盘点时读取到邻近的层位标签，需对最大读取距离进行控制。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10、层架标签需结合客户现场书架位置印制层架位信息，内容必须具有条码号、文字架位信息。</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11、标签中至少可存储以下信息：馆代码、条码号。</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技术要求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1、标签频率：13.56MHz。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2、存储量：1024bits。</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3、外观尺寸：85×25×4mm。（误差±2mm）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4、封装材质：外壳采用工程塑料ABS；外壳底部贴合泡棉胶带。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5、工作温度：-10℃～50℃。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6、环境温度范围：-20℃～60℃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7、质量检测：100%全检。</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8、有效使用寿命：≥10 年；内存须可读写100,000次以上。</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9、符合国际相关行业标准，如ISO15693标准，ISO 18000-3标准等，具有良好的互换性与兼容性。</w:t>
            </w:r>
            <w:r>
              <w:rPr>
                <w:rFonts w:hint="eastAsia" w:ascii="宋体" w:hAnsi="宋体" w:cs="宋体"/>
                <w:color w:val="000000"/>
                <w:sz w:val="20"/>
                <w:szCs w:val="20"/>
                <w:highlight w:val="none"/>
              </w:rPr>
            </w:r>
            <w:r/>
          </w:p>
        </w:tc>
      </w:tr>
      <w:tr>
        <w:trPr/>
        <w:tc>
          <w:tcPr>
            <w:tcMar>
              <w:left w:w="17" w:type="dxa"/>
              <w:top w:w="17" w:type="dxa"/>
              <w:right w:w="17" w:type="dxa"/>
              <w:bottom w:w="17" w:type="dxa"/>
            </w:tcMa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Mar>
              <w:left w:w="17" w:type="dxa"/>
              <w:top w:w="17" w:type="dxa"/>
              <w:right w:w="17" w:type="dxa"/>
              <w:bottom w:w="17" w:type="dxa"/>
            </w:tcMa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RFID 安全门</w:t>
            </w:r>
            <w:r>
              <w:rPr>
                <w:rFonts w:hint="eastAsia" w:ascii="宋体" w:hAnsi="宋体" w:cs="宋体"/>
                <w:color w:val="000000"/>
                <w:sz w:val="22"/>
                <w:szCs w:val="22"/>
                <w:highlight w:val="none"/>
              </w:rPr>
            </w:r>
            <w:r/>
          </w:p>
        </w:tc>
        <w:tc>
          <w:tcPr>
            <w:tcMar>
              <w:left w:w="17" w:type="dxa"/>
              <w:top w:w="17" w:type="dxa"/>
              <w:right w:w="17" w:type="dxa"/>
              <w:bottom w:w="17" w:type="dxa"/>
            </w:tcMar>
            <w:tcW w:w="7464" w:type="dxa"/>
            <w:vAlign w:val="center"/>
            <w:textDirection w:val="lrTb"/>
            <w:noWrap w:val="false"/>
          </w:tcPr>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功能要求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1、支持多种报警检测模式：EAS、AFI、EAS+AFI、AFI+DSFID。</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2、非接触式的快速识别粘贴在流通资料上的RFID标签。</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3、多通道安全检测门具备单通道独立报警和提示功能。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4、具备流量计数功能，数据可重置。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5、系统设备需通过简单的硬件转换即可升级，紧跟最新技术发展。</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6、UID卡号读取、两路联动输出、支持环境电磁干扰检测功能、射频输出功率可调。</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7、要求双蜂鸣器输出，实现区分不同事件。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8、安全门通道内宽度可根据需求80-120cm宽度进行调整，标配为120cm，要求通道内识别图书无盲区。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9、系统须具有故障报警提示功能。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10、产品须标配遥控器，无须打开设备箱门，即可调节音量大小和切换读者流量显示。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11、要求可支持9片门并排使用，每片有四个扩展口（可接智能门禁，智能监控等设备实现联动）。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对图书馆内的印刷品、视听出版物、CD及DVD等流通资料进行安全扫描操作，不损坏粘贴在流通资料中的磁性介质的资料。需具有高侦测性能，能够进行三维监测，要求无误报，无漏报。具有音频和视觉报警信号，且信号源可设置，报警音量可调控。</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、人员流量统计：支持对进出读者人次的双向统计，进、出读者人次计数正确。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、需通过符合国家《GB 4943.1-2022》信息</w:t>
            </w:r>
            <w:r>
              <w:rPr>
                <w:rFonts w:hint="eastAsia" w:ascii="宋体" w:hAnsi="宋体" w:cs="宋体"/>
                <w:color w:val="000000"/>
                <w:sz w:val="20"/>
                <w:szCs w:val="20"/>
                <w:highlight w:val="none"/>
                <w:lang w:bidi="ar"/>
              </w:rPr>
              <w:t xml:space="preserve">技术和通信技术设备-安全要求、《GB 17625.1-2022》电磁兼容 -谐波电流发射限值、《GB/T 17626.2-2018》电磁兼容试验和测量技术静电放电抗扰度试验、《GB/T 17626.3-2023》电磁兼容试验和测量技术第3部分:射频电磁场辐射抗扰度试验、《GB/T 17626.4-2018》电磁兼容试验和测量技术电快速瞬变脉冲群抗扰度试验、《GB/T 17626.5-2019》电磁兼容试验和测量技术浪涌(冲击)抗扰度试验、《 GB/T 26572-2011》电子电气产品中限用物质的限量要求。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技术要求：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1、工作频率：13.56Mhz。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2、材    质：亚克力，铝型材，钣金。</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3、设备重量：≤40kg/片。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4、工作温度：-10℃～50℃。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5、储存温度：-45℃～85℃。</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6、相对湿度：5%～80%。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7、符合标准：ISO18000-3，ISO15693。</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8、射频功率：1至8W可调。</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9、通道宽度：80-120cm，默认120cm。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10、通信接口：以太网（TCP/IP）。</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10、供电要求：AC220V,50Hz。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11、功    耗：≤25W。</w:t>
            </w:r>
            <w:r>
              <w:rPr>
                <w:rFonts w:hint="eastAsia" w:ascii="宋体" w:hAnsi="宋体" w:cs="宋体"/>
                <w:color w:val="000000"/>
                <w:sz w:val="20"/>
                <w:szCs w:val="20"/>
                <w:highlight w:val="none"/>
              </w:rPr>
            </w:r>
            <w:r/>
          </w:p>
        </w:tc>
      </w:tr>
      <w:tr>
        <w:trPr/>
        <w:tc>
          <w:tcPr>
            <w:tcMar>
              <w:left w:w="17" w:type="dxa"/>
              <w:top w:w="17" w:type="dxa"/>
              <w:right w:w="17" w:type="dxa"/>
              <w:bottom w:w="17" w:type="dxa"/>
            </w:tcMa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Mar>
              <w:left w:w="17" w:type="dxa"/>
              <w:top w:w="17" w:type="dxa"/>
              <w:right w:w="17" w:type="dxa"/>
              <w:bottom w:w="17" w:type="dxa"/>
            </w:tcMa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馆员工作站</w:t>
            </w:r>
            <w:r>
              <w:rPr>
                <w:rFonts w:hint="eastAsia" w:ascii="宋体" w:hAnsi="宋体" w:cs="宋体"/>
                <w:color w:val="000000"/>
                <w:sz w:val="22"/>
                <w:szCs w:val="22"/>
                <w:highlight w:val="none"/>
              </w:rPr>
            </w:r>
            <w:r/>
          </w:p>
        </w:tc>
        <w:tc>
          <w:tcPr>
            <w:tcMar>
              <w:left w:w="17" w:type="dxa"/>
              <w:top w:w="17" w:type="dxa"/>
              <w:right w:w="17" w:type="dxa"/>
              <w:bottom w:w="17" w:type="dxa"/>
            </w:tcMar>
            <w:tcW w:w="7464" w:type="dxa"/>
            <w:vAlign w:val="center"/>
            <w:textDirection w:val="lrTb"/>
            <w:noWrap w:val="false"/>
          </w:tcPr>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功能要求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1、馆员工作站一体机包含触摸显示一体机，条形码阅读器，RFID读写一体机，二合一读卡器。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2、可对RFID标签非接触式地进行阅读，有读取、写入、改写RFID标签的能力。</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3、RFID天线采用屏蔽式设计，条码枪为一体式固定设计，适用于各种现场应用场合，方便使用者进行标签加工。</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4、图书转换过程中，不需要按动鼠标或键盘操作RFID标签软件即可实现标签快速转速。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5、系统有准确的声音和画面的操作提示，清晰指示条形码扫描是否成功，RFID标签编写是否成功的状态。</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6、可查看图书名称、条码、ISBN、流通状态、是否可借还、应还日期以及所属层架号。</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7、可查看读者证的名称、条码号（证件号）、读者类型、状态、有效期、欠费、可借册数、已借图书，以及已借图书列表。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8、可查看标签的基本信息，如名称、条码号、标签UID、标签类型、以及数据块内容、标签协议、防盗位以及详细标签信息。</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9、在软件界面方便配置写入标签的相关信息，包括馆代码、AFI值、是否改写EAS等等。</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10、馆员可在软件界面简单变动参数：图书馆名称、业务系统账号密码、截取条码字符、读写板使用端口、服务器地址、是否更新藏址、防盗模式作相应更改。</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11、RFID 读写器为抗金属处理设计，不受金属桌面的影响，即使金属桌面亦可正常加工图书。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12、标签加工：</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（1）可统计当前标签加工的总时间和平均速度，为提高使用者自身加工效率，标签加工开启时自动开启计时，标签加工停止时自动停止计时，无需手动操作，非常方便。</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（2）为了标记出最新的加工图书信息，采用逆序排序，最新加工项在最前面，且提示为绿色，方便使用者查看。</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（3）为了方便加工者，在标签加工时可显示：名称、条码号、标签UID、标签类型、加工后的防盗位、加工时间以及加工结果。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（4）为了方便加工者，在标签加工时可设置自动开启、关闭图书防盗位。</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（5）要求使用者在进行标签加工在加工同一册书但条码有变更时，应弹窗告知使用者该标签已加工，对应条码号和现变更的条码号，询问使用者是否确定重新加工，避免出错。</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（6）标签加工在加工图书时自动开启RFID 图书感应区，再加工读者证时自动开启证件感应区，避免同时开启互相干扰，且应有图片展示开启哪个模块。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（7）可选择加工时是否更新藏址，选择后将自动将图书进行藏址更新。</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13、防盗校正：</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（1）可依据流通状态自动校正图书，打开界面后放上图书即可自动校正，无需点击任何按钮，方便快捷。</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（2）可将读者证防盗位自动关闭，无需点击任何按钮，方便快捷。</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（3）防盗校正：如需要也可手动将图书、层架标、光盘等防盗位开启或关闭。</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）防盗校正：为方便读者，防盗校正应显示：名称、条码号、标签UID、标签类型、流通状态、原防盗位、校正结果。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14、加工统计：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（1）为方便读者，加工统计应显示：加工用户、名称、条码号、标签UID、标签类型、加工时间。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（2）可依据时间段、加工者用户名、加工标签类型来统计标签工作量，并且会自动除重，同一册书同一条码多次加工均计算为一次。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（3）加工统计可将当前查询的内容（加工用户、名称、条码号、标签UID、标签类型、加工时间）导出为表格文件。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（4）加工统计可将多台标签加工设备的加工数据进行合并汇总，导出为一份表格文件。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15、画面精细寿命较长，具备24小时全天候长期持续运作的平台功能，整机低功耗设计，提供稳定的作业环境。</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16、设备拥有强大的扫描功能，支持一维和二维条码，可扫描纸张、手机和计算机屏幕上的条码。</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17、</w:t>
            </w:r>
            <w:r>
              <w:rPr>
                <w:rFonts w:hint="eastAsia" w:ascii="宋体" w:hAnsi="宋体" w:cs="宋体"/>
                <w:color w:val="000000"/>
                <w:sz w:val="20"/>
                <w:szCs w:val="20"/>
                <w:highlight w:val="none"/>
                <w:lang w:bidi="ar"/>
              </w:rPr>
              <w:t xml:space="preserve">安全触控次数≥3500万次，多点触摸，要求采用超灵敏触控屏,提高画面触控精准度，画面触控无任何死角,轻松触摸。条码阅读器采用的是窗口式智能感应镜头，只需一次扫描即可准确采集数据；自动为下次扫描做好准备，全面性覆盖式扫描范围，可精准读取任何条码。依据使用者需要，可将防盗校正设为“自动开启防盗”、“自动关闭防盗”，将会按要求自动更改图书防盗位。</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18</w:t>
            </w:r>
            <w:r>
              <w:rPr>
                <w:rFonts w:hint="eastAsia" w:ascii="宋体" w:hAnsi="宋体" w:cs="宋体"/>
                <w:color w:val="000000"/>
                <w:sz w:val="20"/>
                <w:szCs w:val="20"/>
                <w:highlight w:val="none"/>
                <w:lang w:bidi="ar"/>
              </w:rPr>
              <w:t xml:space="preserve">、需通过符合国家《 GB/T 26572-2011》电子电气产品中限用物质的限量要求（检测物质不少于6种（铅、镉、汞、六价铬、多溴联苯、多溴二苯醚））。</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19</w:t>
            </w:r>
            <w:r>
              <w:rPr>
                <w:rFonts w:hint="eastAsia" w:ascii="宋体" w:hAnsi="宋体" w:cs="宋体"/>
                <w:color w:val="000000"/>
                <w:sz w:val="20"/>
                <w:szCs w:val="20"/>
                <w:highlight w:val="none"/>
                <w:lang w:bidi="ar"/>
              </w:rPr>
              <w:t xml:space="preserve">、需通过符合国家《GB 4943.1-2022》信息技术和通信技术设备-安全要求、《GB 17625.1-2022》电磁兼容 -谐波电流发射限值、《GB/T 17626.2-2018》电磁兼容试验和测量技术静电放电抗扰度试验、《GB/T 17626.3-2023》电磁兼容试验和测量技术第3部分:射频电磁场辐射抗扰度试验、《GB/T 17626.4-2018》电磁兼容试验和测量技术电快速瞬变脉冲群抗扰度试验、《GB/T 17626.5-2019》电磁兼容试验和测量技术浪涌(冲击)抗扰度试验的相关标准要求。</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技术要求：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1、工作频率：13.56MHz。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2、材质：钣金，亚克力。</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3、屏幕尺寸：≥19寸（宽屏16:10)。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4、触摸类型：电容屏。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5、阅读范围：确保250mm及250mm范围以内为有效阅读区域。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6、工作温度：-10℃～50℃。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7、储存温度：-20℃～60℃。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8、相对湿度：5%～80%。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9、符合标准：ISO18000-3/ISO15693。</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10、设备网络通信接口：USB、RJ45。</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11、RFID阅读器通信接口：USB或RS232。</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12、主机配置：ARM平台，Android 11系统或以上系统。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13、内存：≥4G。</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14、存储空间：≥32G。</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15、供电：AC220V,50Hz。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16、功耗：≤40W。</w:t>
            </w:r>
            <w:r>
              <w:rPr>
                <w:rFonts w:hint="eastAsia" w:ascii="宋体" w:hAnsi="宋体" w:cs="宋体"/>
                <w:color w:val="000000"/>
                <w:sz w:val="20"/>
                <w:szCs w:val="20"/>
                <w:highlight w:val="none"/>
              </w:rPr>
            </w:r>
            <w:r/>
          </w:p>
        </w:tc>
      </w:tr>
      <w:tr>
        <w:trPr/>
        <w:tc>
          <w:tcPr>
            <w:tcMar>
              <w:left w:w="17" w:type="dxa"/>
              <w:top w:w="17" w:type="dxa"/>
              <w:right w:w="17" w:type="dxa"/>
              <w:bottom w:w="17" w:type="dxa"/>
            </w:tcMa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Mar>
              <w:left w:w="17" w:type="dxa"/>
              <w:top w:w="17" w:type="dxa"/>
              <w:right w:w="17" w:type="dxa"/>
              <w:bottom w:w="17" w:type="dxa"/>
            </w:tcMa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自助借还机</w:t>
            </w:r>
            <w:r>
              <w:rPr>
                <w:rFonts w:hint="eastAsia" w:ascii="宋体" w:hAnsi="宋体" w:cs="宋体"/>
                <w:color w:val="000000"/>
                <w:sz w:val="22"/>
                <w:szCs w:val="22"/>
                <w:highlight w:val="none"/>
              </w:rPr>
            </w:r>
            <w:r/>
          </w:p>
        </w:tc>
        <w:tc>
          <w:tcPr>
            <w:tcMar>
              <w:left w:w="17" w:type="dxa"/>
              <w:top w:w="17" w:type="dxa"/>
              <w:right w:w="17" w:type="dxa"/>
              <w:bottom w:w="17" w:type="dxa"/>
            </w:tcMar>
            <w:tcW w:w="7464" w:type="dxa"/>
            <w:vAlign w:val="center"/>
            <w:textDirection w:val="lrTb"/>
            <w:noWrap w:val="false"/>
          </w:tcPr>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功能要求：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1、设备包括安卓主机，触摸显示一体屏，RFID读写一体机，二合一读卡器。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2、可以非接触式的快速识别粘贴在流通文献上的RFID标签，可进行读者卡密码确认。</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3、配备触摸显示屏操作，具有图形化的人机交互友好操作界面，提供简体中文语言的视觉交互提示功能。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4、设备可实时记录读者的操作日志，能够在读者完成借书或还书的同时，对所借还的多本图书安全标志位进行改写。</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5、具备防止借阅过程中偷换、抽换书籍的功能。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6、保护读者隐私，可选择设置显示读者姓名（借阅资料名称），或读者（借阅资料）条码号等非隐私信息。</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7、标配二合一读卡器（支持IC卡（14443A协议）、RFID卡(15693协议)）。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8、系统支持配置（开启/关闭）读者证密码。</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9、系统保证在设备指示区域范围内的图书能够读取，超过范围内的图书不被读取，保证读者操作时不会出错。</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10、系统集成部件可通过标准串口、USB接口或网络接口连接至计算机设备。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11、采用模块化设计，各部分设备可单独更换，系统可快速恢复使用。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12、系统在网络短暂故障恢复后,自动连接流通系统服务器,并恢复自助服务,无需馆员协助连接或重新启动服务。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13、无需读者卡可直接使用账号，以应对无读者卡的图书馆实现借还。</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14、为保证系统软件操作更便捷化，系统支持首页应用功能可配置。可配置成只有借书功能或只有还书功能。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15、系统支持在借书功能应用下，实现放书即完成借书，无需过多操作，让借书更便捷。</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16、系统支持在还书功能应用下，实现放书即完成还书，无需过多操作，让还书更便捷。</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17、系统支持多种登录模式验证读者身份，登录模式可在软件后台可配置。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18、系统支持凭管理密码进入馆员后台，进行退出软件系统、关机等操作。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19、支持查询读者个人借阅记录，支持单本或全部续借功能，满足读者个性化需求。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20、设备具备定时开关机功能，在空闲时可自动播放使用帮助视频或其它设置内容。标签读取响应时间≥20标签/秒。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21</w:t>
            </w:r>
            <w:r>
              <w:rPr>
                <w:rFonts w:hint="eastAsia" w:ascii="宋体" w:hAnsi="宋体" w:cs="宋体"/>
                <w:color w:val="000000"/>
                <w:sz w:val="20"/>
                <w:szCs w:val="20"/>
                <w:highlight w:val="none"/>
                <w:lang w:bidi="ar"/>
              </w:rPr>
              <w:t xml:space="preserve">、需通过符合国家《 GB/T 26572-2011》电子电气产品中限用物质的限量要求（检测物质不少于6种（铅、镉、汞、六价铬、多溴联苯、多溴二苯醚））。</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、需通过符合国家《GB 4943.1-2022》信息技术和通信技术设备-安全要求、《GB/T9254.1-2021》信息技术设备 电磁兼容-发射要求、《GB 17625.1-2022》电磁兼容 -谐波电流发射限值的相关标准要求。</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、需通过符合国家《GB/T 17626.2-2018》电磁兼容试验和测量技术静电放电抗扰度试验、《GB/T 17626.3-2023》电磁兼容试验和测量技术第3部分:射频电磁场辐射抗扰度试验、《GB/T 17626.4-2018》电磁兼容试验和测量技术电快速瞬变脉冲群抗扰度试验、《GB/T 17626.5-2019》电磁兼容试验和测量技术浪涌(冲击)抗扰度试验的相关标准要求</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技术要求：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1、工作频率：13.56MHz。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2、屏幕尺寸：≥21.5寸。</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3、触摸类型：电容屏。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4、工作温度：-10℃～50℃。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5、储存温度：-20℃～60℃。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6、相对湿度：5%～80%。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7、材    质：钣金，钢化玻璃，亚克力。</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8、符合标准：ISO18000-3，ISO15693。</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9、主机配置：ARM平台，Android 11系统或以上系统。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10、内    存：≥4G。</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11、储存空间：≥32G。</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12、识别图书：多本（堆砌高度不大于250mm）。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13、供电要求：AC220V,50Hz。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14、功    耗：≤100W。</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15、摄像头：红外双目摄像头。摄像头角度可上下角度调节正负20度内。</w:t>
            </w:r>
            <w:r>
              <w:rPr>
                <w:rFonts w:hint="eastAsia" w:ascii="宋体" w:hAnsi="宋体" w:cs="宋体"/>
                <w:color w:val="000000"/>
                <w:sz w:val="20"/>
                <w:szCs w:val="20"/>
                <w:highlight w:val="none"/>
              </w:rPr>
            </w:r>
            <w:r/>
          </w:p>
        </w:tc>
      </w:tr>
      <w:tr>
        <w:trPr/>
        <w:tc>
          <w:tcPr>
            <w:tcMar>
              <w:left w:w="17" w:type="dxa"/>
              <w:top w:w="17" w:type="dxa"/>
              <w:right w:w="17" w:type="dxa"/>
              <w:bottom w:w="17" w:type="dxa"/>
            </w:tcMa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Mar>
              <w:left w:w="17" w:type="dxa"/>
              <w:top w:w="17" w:type="dxa"/>
              <w:right w:w="17" w:type="dxa"/>
              <w:bottom w:w="17" w:type="dxa"/>
            </w:tcMa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升降式移动还书箱</w:t>
            </w:r>
            <w:r>
              <w:rPr>
                <w:rFonts w:hint="eastAsia" w:ascii="宋体" w:hAnsi="宋体" w:cs="宋体"/>
                <w:color w:val="000000"/>
                <w:sz w:val="22"/>
                <w:szCs w:val="22"/>
                <w:highlight w:val="none"/>
              </w:rPr>
            </w:r>
            <w:r/>
          </w:p>
        </w:tc>
        <w:tc>
          <w:tcPr>
            <w:tcMar>
              <w:left w:w="17" w:type="dxa"/>
              <w:top w:w="17" w:type="dxa"/>
              <w:right w:w="17" w:type="dxa"/>
              <w:bottom w:w="17" w:type="dxa"/>
            </w:tcMa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功能要求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1、外观美观，结构稳定，前后四轮均可自由转向，方便载重推向，前两轮带刹车可锁死，防止无意推动，整体设计不易攀爬，防止倾倒。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2、移动轻便，可方便移动，适用不同环境。</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3、内部要求采用升降结构，根据负载自动升降，有效降低书籍滑落的撞击力，减少功能书籍破损。承载板可在图书重力作用下自行适度升降。</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4、书箱内部隔板铺有毛毯保护书本，还书时，静音效果好。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5、承载板自由升降，侧面封板采用高强度PVC材板，耐瞬时冲击强度高，有抗变形能力。</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6、最大承重200KG,升降托架有效最大承重100KG, 抗变形数次10w。</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技术要求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1、材质要求：铝型材，铝塑纤维板，毛毯，超静音耐磨脚轮，不锈钢无缝拉手。</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2、设备重量：≤26kg。</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3、平台升降高度：≤450mm。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4、图书容量：100L（可放80～150册)。</w:t>
            </w:r>
            <w:r>
              <w:rPr>
                <w:rFonts w:hint="eastAsia" w:ascii="宋体" w:hAnsi="宋体" w:cs="宋体"/>
                <w:color w:val="000000"/>
                <w:sz w:val="20"/>
                <w:szCs w:val="20"/>
                <w:highlight w:val="none"/>
              </w:rPr>
            </w:r>
            <w:r/>
          </w:p>
        </w:tc>
      </w:tr>
      <w:tr>
        <w:trPr/>
        <w:tc>
          <w:tcPr>
            <w:tcMar>
              <w:left w:w="17" w:type="dxa"/>
              <w:top w:w="17" w:type="dxa"/>
              <w:right w:w="17" w:type="dxa"/>
              <w:bottom w:w="17" w:type="dxa"/>
            </w:tcMa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hint="eastAsia" w:ascii="宋体" w:hAnsi="宋体" w:cs="宋体"/>
                <w:color w:val="000000"/>
                <w:sz w:val="22"/>
                <w:szCs w:val="22"/>
                <w:highlight w:val="none"/>
              </w:rPr>
            </w:r>
            <w:r/>
          </w:p>
        </w:tc>
        <w:tc>
          <w:tcPr>
            <w:tcMar>
              <w:left w:w="17" w:type="dxa"/>
              <w:top w:w="17" w:type="dxa"/>
              <w:right w:w="17" w:type="dxa"/>
              <w:bottom w:w="17" w:type="dxa"/>
            </w:tcMa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图书杀菌机（学生用）</w:t>
            </w:r>
            <w:r>
              <w:rPr>
                <w:rFonts w:hint="eastAsia" w:ascii="宋体" w:hAnsi="宋体" w:cs="宋体"/>
                <w:color w:val="000000"/>
                <w:sz w:val="22"/>
                <w:szCs w:val="22"/>
                <w:highlight w:val="none"/>
              </w:rPr>
            </w:r>
            <w:r/>
          </w:p>
        </w:tc>
        <w:tc>
          <w:tcPr>
            <w:tcMar>
              <w:left w:w="17" w:type="dxa"/>
              <w:top w:w="17" w:type="dxa"/>
              <w:right w:w="17" w:type="dxa"/>
              <w:bottom w:w="17" w:type="dxa"/>
            </w:tcMa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外形尺寸：约600*500*1370mm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硬件指标：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1.杀菌册数：一次≥4本.</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2.书籍摆放方式：立式.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3.横流风机设计，吹展效果好且噪音小。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4.加装漏电保护装置。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功能要求：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 机台提供使用者自行操作图书杀菌作业。</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 采用紫外线杀菌技术，总灯管数量≥6组（单操作间），以保证每个角度的杀菌效果.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 提供气旋式逐翻动书页之功能，达到同时提供书封与内页之杀菌效果。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 采用优质过滤器，能收集细微灰尘、细菌等环境中过敏元素，不衍生臭氧或二氧化碳等有害物质。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 机台上设有透视窗（有效防止紫外线光伤害读者眼睛），提供读者随时观看杀菌作业进度.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 具备人性化操作介面设计(如：one touch)，方便使用者操作。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 杀菌作业不得于书籍封面或内页留下刮痕或损害痕迹。</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 杀菌时间提示采用炫彩七色灯号设计，杀菌时间可调，且所调杀菌时间必须与炫彩七色灯号工作同步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(9)设备具有相关耗材更换指示灯。</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(10）内置4.3英寸触控屏，界面清晰，方便馆员操作。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 具有整机检修功能，更好的延长设备的使用寿命.</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图书杀菌机（教师用）</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外形尺寸：约1000*宽700*高1500mm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硬件参数：</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1.额定电压：220V-50HZ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2.额定功率：约200W</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3.总容量：约900L</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4.杀菌册数：≥350册</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5.紫外线杀菌灯管数量：4组(多点布局）</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6.臭氧发生量：≥1000mg/h</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7.书车数量：2套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功能要求：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1.该图书消毒柜为推车入仓型，即图书放置在推车上后，推车可直接推入消毒仓消毒，消毒完毕后，推车直接推出，方便图书随时搬移，免去图书多次搬运的麻烦。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 采用紫外线＋臭氧消毒杀菌技术。可单独使用臭氧功能，可单独使用紫外线功能。也可同时设置两种杀菌模式。一次消毒图书300册以上，适用于图书馆图书批量灭菌杀虫。消杀率高，环保高效无毒，无二次污染，无死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3.具有单独的紫外线杀菌（10分钟）快捷按键，方便馆员直观使用紫外线杀菌功能。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4.为保证使用者安全，设备工作时，开门即刻停止工作。设备处于开门状态时，工作按键不会被点亮。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5.具有臭氧杀菌安全模式（非馆员操作，无法正常启动臭氧杀菌模式），以保护使用者安全。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6.具有温湿度模块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7.柜体主体采用优质金属设计，柜体表面采用防静电喷塑处理，外形美观和谐。其中柜门部分，采用防光辐射有机玻璃(可直观观看设备运行状态)。</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图书管理软件</w:t>
            </w:r>
            <w:r>
              <w:rPr>
                <w:rFonts w:hint="eastAsia" w:ascii="宋体" w:hAnsi="宋体" w:cs="宋体"/>
                <w:color w:val="000000"/>
                <w:sz w:val="22"/>
                <w:szCs w:val="22"/>
                <w:highlight w:val="none"/>
              </w:rPr>
            </w:r>
            <w:r/>
          </w:p>
        </w:tc>
        <w:tc>
          <w:tcPr>
            <w:tcW w:w="7464" w:type="dxa"/>
            <w:vAlign w:val="center"/>
            <w:textDirection w:val="lrTb"/>
            <w:noWrap w:val="false"/>
          </w:tcPr>
          <w:p>
            <w:pPr>
              <w:pStyle w:val="681"/>
              <w:numPr>
                <w:ilvl w:val="0"/>
                <w:numId w:val="0"/>
              </w:numPr>
              <w:ind w:firstLine="0"/>
              <w:jc w:val="left"/>
              <w:spacing w:line="276"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1.软件采用基于企业级应用的JAVA EE 技术规范和SOA技术架构，支持云平台部署，通过主流浏览器来实现随时随地的跨平台终端的应用。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2.采用多层架构的B/S（浏览器/服务器）模式，基于JAVA EE架构标准进行开发设计。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3.完全支持开源应用与部署。</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4.支持开源数据库postgresql。国产数据库人大金仓数据库、达梦数据库。</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5.要求真正采用企业级技术标准。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6.系统需采用MD5加密用户信息，并且支持SSL的128位数字安全证书，HTTPS的加密传输和MD5加密保证了用户信息在网上从浏览器到服务器之间传递的安全和存储在数据库中的安全。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7.采用开放的设计思想，提供系统的API接口，熟悉Java、springboot的用户可以很快上手，方便用户的二次开发。</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8.系统需提供完整的Web 2.0功能：包括检索词提示，著者简介、网络目次等各种资源。</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9.支持跨平台应用和部署，必须支持跨平台应用。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10.三级菜单结构，具有易用性。</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功能参数：</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1.所有业务功能模块需集成在一个界面上，上方显示了菜单、采访、编目、典藏、期刊、流通、设置、特色等功能子系统。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2.系统根据用户的角色，动态组织功能菜单，仅显示该用户具有权限的内容，充分照顾到工作人员的习惯和特点。</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3.系统支持多种数据导入格式，包括MARC，excel文件等。Excel文件格式不能有特殊限制，以方便和不同书商进行对接。动态定义MARC，完全满足多MARC格式在同一系统并存。</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.套装书目编目：支持套装书目编目，建立套装书目连接，读者在webOPAC或微服务大厅检索查看图书详情时，可查看到同一套装的其他分册图书。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.辅助录入：MARC编目支持定长字段辅助录入，系统依据标准MARC规则，预设定长的编码数据字段进行辅助录入，提高编目效率。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.馆藏书目导入：系统支持第三方图书馆系统软件的馆藏书目MARC数据的导入，支持MARC、Excel文件导入。</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.连续编目：支持连续翻页编目与审校，提高编目效率。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8</w:t>
            </w:r>
            <w:r>
              <w:rPr>
                <w:rFonts w:hint="eastAsia" w:ascii="宋体" w:hAnsi="宋体" w:cs="宋体"/>
                <w:color w:val="000000"/>
                <w:sz w:val="20"/>
                <w:szCs w:val="20"/>
                <w:highlight w:val="none"/>
                <w:lang w:bidi="ar"/>
              </w:rPr>
              <w:t xml:space="preserve">.上传原编：支持原编数据上传至数据中心，共享优质MARC编目数据。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9.</w:t>
            </w:r>
            <w:r>
              <w:rPr>
                <w:rFonts w:hint="eastAsia" w:ascii="宋体" w:hAnsi="宋体" w:cs="宋体"/>
                <w:color w:val="000000"/>
                <w:sz w:val="20"/>
                <w:szCs w:val="20"/>
                <w:highlight w:val="none"/>
                <w:lang w:bidi="ar"/>
              </w:rPr>
              <w:t xml:space="preserve">可设置读者办证初始积分，以及积分的奖罚规则。</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0</w:t>
            </w:r>
            <w:r>
              <w:rPr>
                <w:rFonts w:hint="eastAsia" w:ascii="宋体" w:hAnsi="宋体" w:cs="宋体"/>
                <w:color w:val="000000"/>
                <w:sz w:val="20"/>
                <w:szCs w:val="20"/>
                <w:highlight w:val="none"/>
                <w:lang w:bidi="ar"/>
              </w:rPr>
              <w:t xml:space="preserve">.接入数据中心，提供海量免费编目数据套录服务。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.支持各类公告、馆内动态发布，读者可及时知晓。</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.接入服务中心，可在线查看搜索相关产品操作手册和常见问题。</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.支持MARC数据复制粘贴助手功能， 自动解析且转换保存至本馆馆藏数据。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14.</w:t>
            </w:r>
            <w:r>
              <w:rPr>
                <w:rFonts w:hint="eastAsia" w:ascii="宋体" w:hAnsi="宋体" w:cs="宋体"/>
                <w:color w:val="000000"/>
                <w:sz w:val="20"/>
                <w:szCs w:val="20"/>
                <w:highlight w:val="none"/>
                <w:lang w:bidi="ar"/>
              </w:rPr>
              <w:t xml:space="preserve">可进行数据总览，可选择日、月、年维度进行统计，并将统计维度的图片保存本地</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具备文献编目，进行查询、编辑、对列表项进行书目推荐、导出数目信息，生成ISO文件，查重合并记录和成员馆信息。</w:t>
            </w:r>
            <w:r>
              <w:rPr>
                <w:rFonts w:hint="eastAsia" w:ascii="宋体" w:hAnsi="宋体" w:cs="宋体"/>
                <w:color w:val="000000"/>
                <w:sz w:val="20"/>
                <w:szCs w:val="20"/>
                <w:highlight w:val="none"/>
                <w:lang w:bidi="ar"/>
              </w:rPr>
            </w:r>
            <w:r/>
          </w:p>
          <w:p>
            <w:pPr>
              <w:pStyle w:val="681"/>
              <w:numPr>
                <w:ilvl w:val="0"/>
                <w:numId w:val="0"/>
              </w:numPr>
              <w:ind w:firstLine="0"/>
              <w:jc w:val="left"/>
              <w:spacing w:line="276"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15.</w:t>
            </w:r>
            <w:r>
              <w:rPr>
                <w:rFonts w:hint="eastAsia" w:ascii="宋体" w:hAnsi="宋体" w:cs="宋体"/>
                <w:color w:val="000000"/>
                <w:sz w:val="20"/>
                <w:szCs w:val="20"/>
                <w:highlight w:val="none"/>
                <w:lang w:bidi="ar"/>
              </w:rPr>
              <w:t xml:space="preserve">具备图书预订管理、征订书目预订、查询、逐条新增目录（必填项、新增重复项，系统会给出提示）、征订书目跳转到详情页、可逐条、多条删除信息功能。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各模块功能要求：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 采访功能模块：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（1）需支持征订目录、预订单（预订批次）、验收单 （验收批次）管理。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（2）需支持将Excel、MARC格式的数据导入到征订批次中。</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（3）需支持根据征订书目信息进行预订，也支持直接查重预订而不需要征订。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（4）需支持根据预订信息进行验收处理，也支持直接验收未经预订的图书。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（5）需支持退订图书，及查看退订图书信息。</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（6）读者可通过Web荐购图书，管理员可将读者推荐的图书信息进行导出并导入到征订目录中。</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（7）需支持根据验收批次，统计验收情况。</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（8）支持最大种次号维护。</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（9）支持索书号多种生成方式，包括种次号、通用汉语著者号、卡特著者号、四角著者号。</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（10）支持正题名查重、著者查重、分类号查重、ISBN查重、ISSN查重、ISRC查重、出版社查重，查重结果展示一目了然。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（11）支持对征订目录数据进行批量查重、批量删除。</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（12）支持多维度采访报表统计及导出功能，可便捷统计及查看包含订购单，退订单，验收单，催缺单在内的报表。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（13）支持采访统计功能，可统计个别财产账，总括财产账，预订分类统计，验收分类统计等报表。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（14）总括财产账：支持采购价、采购价占比统计，用于新书报账；支持根据丢失登记日期查询，统计遗失图书图书及采购金额，补偿购买新书后核对报账。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 编目功能模块：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（1）需支持CNMARC、USMARC和MARC21，也可通过配置参数支持自定义MARC格式。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(2)需支持Webservice形式的国图数据的套录。</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(3)需支持重复书目的合并功能。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(4)需支持可在同一界面自由切换编目样式（MARC编目模式，简单编目模式相互切换），MARC编目可自由添加字段、子字段内容。</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(5)需可自动查重书目，如本馆无此书目，会自动从网上获取其它数据源。</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(6)自动查重复索书号、条码号。</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(7)可根据图书、期刊分别进行不同的索书号组成的设置。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(8)支持多种光盘等附件的录入，如单独资料类型著录、MARC字段标记。</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(9)支持编目快捷键操作，可通过简单键盘操作完成整体编目流程，便于馆方提高编目效率。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(10)支持编目批次管理，可通过编目批次有效管理编目和馆藏数据，支持设置编目批次所属书商，设置该批次的发票金额，并能够根据发票金额生成每本书的采购价；支持批次锁定，用于报账后数据锁定。</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(11)支持操作员图书推荐功能，推荐图书将以主题的形式通过webOPAC或微服务大厅展示给读者。</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(12)采用预订单/验收单的模式对采访数据进行统一管理，可直接双击对应的书目数据进行查看及编辑。</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(13)采编过程中，针对待预订书目数据，需要以标注的形式展示该书目数据的当前采编流程状态，包含征订，预订，验收，馆藏四种状态，分别标识该书目是否有预订记录，验收记录及馆藏记录。</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(14)MARC编辑提供辅助分类、辅助标引手段。</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(15)支持856字段连接网上信息资源。</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(16)支持条码打印，打印条形码贴纸，支持按条码段打印、补缺打印，无需借助第三方工具。</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(17)支持批套录，可根据ISBN或正题名批量套录，提升套录效率。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(18)支持MARC批处理，可查询符合条件的MARC数据，对MARC数据进行批量新增/修改/删除/置换字段。</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(19)B/S网页版编目功能支持快捷键查询，可对比编目数据快速编目，工作人员可以通过对比选择套录数据，将本地书目数据不全的字段进行快速的补充，完善编目书目数据。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(20)支持856字段连接网上信息资源；支持Unicode小语种图书、期刊编目；支持套书添加和删除书目父记录，可查看套书其他书目子记录，支持快捷键查询，对查重书目进行合并处理，支持标识书目的图书用途是通用图书、工具书或教学参考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(21)支持双屏编目功能，可对比编目数据快速编目，双屏编目检索条件需要支持按验收单、书商、ISBN、题名、索书号等条件组合检索书目，并支持查看书目的验收记录和已有的馆藏记录，方便工作人员进行编目和馆藏分配工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（22）支持馆藏书目校对：可对编目加工商新增的新书，逐条进行馆藏书目信息校对，如有错误可直接信息修改；还能够通过入库记录号定位到上次校对的记录，继续完成校对工作。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（23）编目：分类号支持查询其对应的分类名和主题词，选择某一分类号后自动填充主题词，辅助区分号支持自动联想查询。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(24)新增编目平均响应时间小于1秒</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 典藏功能模块：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（1）支持根据条码进行藏址变更；支持通过图书条码段、文件导入条码、图书基本大类和入库时间筛选进行藏址批变更，也可以对全部馆藏进行整体批变更。（2）支持图书的剔旧（剔除）、藏书清点操作。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（3）支持条形码的更换。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（4）支持灵活统计馆藏信息，可导出馆藏清单、馆藏书目清单、馆藏分类统计、馆藏出版年统计和馆藏出版社统计，并且能够筛选查询图书、期刊的馆藏情况。</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（5）可按种、册、总价生成图表并支持下载图片；支持采购价、采购价占比统计，用于新书报账；支持根据丢失登记日期查询，用于统计遗失图书图书及采购金额，补偿购买新书后核对报账。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（6）可将馆藏剔除（剔旧）、藏书清点、图书清查的操作记录到典藏批次中，并可根据馆藏批次，统计和导出各操作批次清单。</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（7）支持创建清点批次，可按清点批次进行图书清点，并对未清点到的图书进行清点处理。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（8）支持根据教育部刊发的《中小学图书馆规程》，测算不同的学校类别（小学、初中、高中）的藏书量、藏书分类比例是否达标。方便学校对不达标部分及时进行调整。</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（9）支持根据教育部刊发的《中小学图书馆规程》，针对不同学校类别（如：小学、初中、高中）测算藏书量、藏书分类比例是否达标。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 流通功能模块：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（1）支持批量导入读者，批量更换读者证。</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（2）支持读者照片批导入，导入时可按照读者证号、证件号码、读者姓名、读者姓名加手机号自动匹配。</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（3）支持读者借阅归还时指定归还时间和归还地点。</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（4）可灵活设置流通规则，实现馆际借还。</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（5）可在借出时，在同一界面，显示此种图书是否有其它馆藏未借出，方便其它读者借阅相同的书。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（6）可根据流通时的所在馆（藏址）或者是图书的财产馆（藏址）对图书进行借还统计。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（7）支持节假日设置，节假日文献归还时间自动顺延。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（8）支持图书借出、归还、续借、预约、丢失、污损登记，读者罚款与退款、赔书登记这九项基本功能；文献流通处理时显示读者信息和文献信息。</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支持灵活的报表统计功能，包含读者借还统计、分类借还统计、借阅时刻统计、读者类型借还统计、读者单位借还统计、读者性别借还统计、读者标签借还统计、文献借阅排行榜、读者借阅排行榜、流通类型统计、著者排行榜、出版社排行榜，并且能够筛选查询图书、期刊的流通情况。</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（10）支持书目借阅情况，读者借阅情况统计，可统计呆滞书目及不活跃读者数据，导出呆滞书目的馆藏信息。</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(11)能够实现电子邮件催还、可直接导出催还单或催还条。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(12)具备财经管理功能，可对超期，丢失，污损登记处理产生的财经数据进行统一的管理。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(13)支持三个层级的读者单位管理，满足多层级组织的读者分类管理。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(14)支持对热门借阅图书的出版社进行排榜。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(15)支持预借管理，可查询读者通过OPAC或微服务大厅操作预借的预借记录，可进行预借登记和取消预借。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(16)支持读者类型、读者单位、性别、班、级、学段等多个条件自由排列组合，并统计排列组合的借阅情况。</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(17)支持批量变更处理读者证号，使毕业读者的物理读者卡重复利用，同时保留毕业读者的历史借阅数据。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(18)导出催还条格式支持导出字段配置，可自由选择导出的字段并能够设置表格的字段顺序，同时能够添加一致的备注消息，根据各分馆需求灵活变动。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（19）支持无证借书，方便未带读者证的读者进行借阅。</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（20）活跃休眠读者统计：支持通过借阅量定义活跃休眠读者，统计一段时间内活跃休眠读者占比，生成图表并支持下载图片。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（21）流通统计、读者单位借还统计、借阅时刻统计、读者性别借还统计、读者借阅排行榜、文献借阅排行榜等报表支持生成图表和下载图片。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（22）著者排行榜：支持生成著者词云图，提供12个词云模板，支持下载词云图。</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（23）文献借阅排行榜：支持按学科门类筛选和导出总体、人文科学类、社会科学类、自然科学类文献，同时支持可视化图表。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（24）支持读者证打印，支持自定义图书馆名称、上传校徽和读者照片。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（25）支持自定义积分规则，包括通用规则、奖励规则和处罚规则，借书奖励规则支持设置借书积分上限，还书奖励规则支持借阅时长要求设置，支持设置义工服务积分奖励。</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 期刊功能模块：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（1）支持期刊的预订及批预订。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（2）可根据预订的期刊出版频率，生成对应的记到表。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（3）可查看未记到期刊的信息。</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（4）可对期刊进行合订。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（5）支持期刊装订及装订验收操作。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（6）期刊专项借还，期刊不贴条码可以进行外借，解决期刊外借需要耗费大量的条码标签和复杂加工工作。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（7）支持期刊订购单，停订单，记到单，催缺单等报表的统计及导出功能。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（8）期刊订购时，依据系统数据，自动填充包含出版频率，订购期数，订购号在内的数据，便于馆方便捷操作。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（9）记到记录支持手动选中装订，自动装订两种装订方式。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（10）支持期刊快捷预订功能，实现通过简单导入Excel表即可完成期刊预订操作。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（11）支持期刊无条码流通，可直接扫描ISSN号或输入刊名、订购号（邮发代号）等实现借还，无需耗费大量的条码标签和复杂加工工作。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（12）支持期刊多个卷期合刊处理，同时可对合刊期刊自动拆分还原。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（13）支持将现刊分配到某一馆藏地及排架号，读者能够在读者端/OPAC检索查看期刊所在位置。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（14）期刊催缺：支持根据不同缺刊类型进行催缺，筛选出应到但未到的期刊并导出列表。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（15）合订本签收单：支持对比出期刊合订本送装订前后的漏缺卷期，便于馆员核对并导出发给装订厂处理。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 特色功能模块：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（1）义工管理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1）支持义工考勤管理，包括签到签退、请假、缺勤登记，可设置自动签退时间，当日到点系统自动签退。</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2）支持义工考勤记录查询和统计，包括签到签退记录、请假记录和缺勤记录。统计一段时间内义工的签到签退次数、请假次数和缺勤次数。</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3）支持义工服务时长统计。服务时长统计支持显示为小时单位，比如1小时30分钟显示为1.5小时。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（2）支持无馆藏条码的图书、现刊、合订本的借出。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（3）文献专项借阅排行：支持查看无馆藏条码的现刊或合订本借阅量排行情况。</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 设置功能模块：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具备查询管理员信息，支持设置管理员常用IP，使用其他IP地址操作，系统将会提示，当前IP不能登录，请联系管理员更改登录IP设置。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(1)支持系统用户管理、角色管理及角色权限的分配，实现对不同用户的功能限定。</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(2)支持系统参数的添加，包括藏址、书商、预算等。</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(3)支持MARC格式的自定义。</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(4)可以对热门图书进行设置。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(5)可根据操作日志查看系统的使用情况。</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(6)可对页面显示元素进行统一配置。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(7)需支持可配置读者密码默认生成方式。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(8)可以绑定IP，限定IP登录，保障系统使用安全。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（9）支持馆藏显示设置，能够设置读者端/OPAC显示哪些状态和藏址的图书，并且能够设置状态和藏址的显示顺序。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 webopac子系统：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webopac子系统包含简单检索、高级检索、分类浏览、新书速递、热门图书、公共书单、信息公告、我的图书馆模块。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(1)简单检索提供单一条件的全文检索功能，读者可以输入关键词进行检索，支持模糊搜索、精确搜索以及前方一致的匹配方式，检索结果可以查阅书目和馆藏信息，并进行进一步的分面检索。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(2)高级检索提供多条件“与”“或”“非”关系的组配检索，各条件可单独设置匹配方式模糊搜索、精确搜索或前方一致，检索结果可以查阅书目和馆藏信息，并进行进一步的分面检索。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我的图书馆：读者登录后，通过我的图书馆可查看个人借阅信息、预约预借记录、荐购记录、违章记录、积分记录、我的点评和个人阅读报告，修改个人资料和密码，办理证件挂失，并可以对当前借阅的图书进行续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(4)新书速递：展示图书馆最新入库的图书。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(5)热门图书：展示图书馆借阅次数最多的图书。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(6)图书荐购：读者可以推荐图书馆购买读者需要的图书，馆员对读者荐购的图书进行处理后，处理状态将同步给读者。</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(7)公共书单：以主题形式展示本馆推荐的不同主题的书清单。</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(8)书目详细信息中，能够查看图书馆藏信息、相关资源连接、同一套装书目（若为套装书）、作者的其他作品，可进行图书预约、预借操作。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(9)分类浏览：按中图法、科图法浏览查询图书。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(10)信息公告：显示本馆发布的公告信息。</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（11）读者能够在查看图书详情时，查看这本书的总体得分，以及借阅过这本书的读者对这本书的评价，对点评内容进行点赞。</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（12）读者能够对借阅过的图书进行评价，对图书总体进行评分，发表个人对图书内容的看法。</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（13）读者能够查看个人在图书馆的不同行为所产生的积分明细。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（14）支持读者查看历年年度阅读报告。</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▲(15）OPAC图书查询：OPAC图书查询平均响应时间小于1秒。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9、运营功能模块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(1)图书点评</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1）支持开通或关闭图书点评，设置点评审核、读者点评积分规则。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2）支持管理读者短评内容、审核是否公开可见。                                                                                   3）支持查看图书点评情况，统计各图书整体得分、各图书点评人数。</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(2)图书馆数据报告</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支持根据统计时间段生成图书馆数据报告，报告内容包含报告总览、借阅趋势、借阅时刻分析、五大部类借阅统计、22大类流通统计、热门图书榜单、最受欢迎作者榜单、班级借阅排行、读者借阅排行、热门检索词、义工服务数据等。</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2）图书馆数据报告支持下载word文件、扫描二维码查看、分享至微信好友或朋友圈。</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馆情展示机</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屏幕尺寸：85寸液晶显示屏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功能特点：</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1、支持智慧大屏的定制，内置精美的主题模板。</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2、提供丰富的数据模块，可通过拖拽自由组合，配置灵活。</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3、支持屏幕分辨率自定义，自适应屏幕大小。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4、支持背景颜色的更换，同时可上传图片更换背景。</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5、支持展示时间天气、大屏标题、通知栏消息、图文公告信息。</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6、支持实时展示到馆人次、办证人数、借还册数，可按日期显示今日、昨日、本月、上月和累计数据。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7、支持实时展示馆藏册数、新书推荐、热门图书。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8、支持实时展示读者排行，可按时间周期（年度、月度）展示。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9、支持实时展示办证排行，可按馆、按设备展示。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10、支持实时展示借还排行，可按馆、按设备展示。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11、支持实时展示办证动态和借还动态，可按馆、按设备进行展示。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12、支持实时展示最近24小时、最近12个月借还动态折线图。</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13、支持第三方接入，提供标准API接口，便于第三方平台对接。</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14、支持实时展示室内环境数据，可通过外部传感设备（空气质量传感器、温湿度传感器等）采集。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综合导航检索机</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功能要求：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1、曲面高清电容触摸屏，扩大了读者视角。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2、暗藏抽屉式全键键盘（不少于78键），方便读者信息输入。</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3、设备前面有氛围灯，增强设备得科技感和现代感。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4、支持嵌入WebOPAC查询、馆情介绍、规章制度用于全馆信息查询。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5、检索平台系统与图书馆管理系统、第三方平台对接，与RFID数据库服务器连接。</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6、读者可配合 OPAC输入证件号和密码，登陆该查询系统，查看借阅书刊信息、借阅历史等。</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8、需通过符合国家《GB 4943.1-2022》信息技术和通信技术设备-安全要求、《GB/T9254.1-2021》信息技术设备 电磁兼容-发射要求、《GB 17625.1-2022》电磁兼容 -谐波电流发射限值的相关标准要求。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技术要求：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1、材    质：钣金，亚克力。</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2、屏幕尺寸：≥32寸（曲面屏）。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3、触摸类型：电容屏。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4、键    盘：全键（不少于78键）。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5、工作温度：-10℃～50℃。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6、储存温度：-20℃～60℃。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7、相对湿度：5%～80%。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8、主机配置：ARM平台，Android 11系统或以上系统。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9、内    存：≥4G。</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10、储存空间：≥32GB。</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11、通信接口：USB或RS232、RJ45。</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12、供电要求：AC220V,50Hz。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13、功    耗：≤100W。</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14、TCP/IP联网协议、SIPⅡ国际标准协议、NCIP协议等接口与图书馆端数据库进行数据交换，确保系统安全。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15、设备配套驱动程序文件、相关图书馆业务应用程序文件及服务要求后续升级程序包。</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移动盘点车</w:t>
            </w:r>
            <w:r>
              <w:rPr>
                <w:rFonts w:hint="eastAsia" w:ascii="宋体" w:hAnsi="宋体" w:cs="宋体"/>
                <w:color w:val="000000"/>
                <w:sz w:val="22"/>
                <w:szCs w:val="22"/>
                <w:highlight w:val="none"/>
              </w:rPr>
            </w:r>
            <w:r/>
          </w:p>
        </w:tc>
        <w:tc>
          <w:tcPr>
            <w:tcW w:w="7464" w:type="dxa"/>
            <w:vAlign w:val="center"/>
            <w:textDirection w:val="lrTb"/>
            <w:noWrap w:val="false"/>
          </w:tcPr>
          <w:p>
            <w:pPr>
              <w:pStyle w:val="681"/>
              <w:numPr>
                <w:ilvl w:val="0"/>
                <w:numId w:val="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设备设计紧凑美观大方，集成小推车，可方便灵活在图书馆内移动，放书区域可移动，立起来方便管理员无需弯腰即可取到图书，可有效保护盘点人员，减缓疲劳。</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2、具备钥匙开关，没有钥匙无法启动设备和开启显示器面板，杜绝非授权人员操作设备。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3、设备具备集成式RFID读写板，不可外接，可方便图书上下架。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4、移动清点设备手持有线扫描仪，可实现移动操作，便于图书扫描，可以非接触式地快速识别粘贴在流通资料上的RFID标签。</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5、离架图书：对于已归还但找不到的图书可以登记为离架图书，方便馆员进行丢失图书管理。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6、具备充电组件，充电一次可使用时间约8-12小时。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7、移动式清点设备手持扫描仪天线可15度弯曲、不易折断。</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8、图书还回：通过盘点还回的图书，生成图书列表，方便馆员操作。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9、设备配套软件能实现日常整架、上架、下架、图书查询（还回）、工作记录、盘点报告、热力图等功能。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10、日常整架：盘点后可根据不同类型数据分类展示，在架、借出、错架、待上架、未盘点、未知图书等。</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11、具有扩展性和可维护性，系统设备通过简单的硬件转换可以升级，如需与网络连接，具备无线网络连接功能。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12、图书还回：扫描图书，若图书为借出状态可自动还回，根据显示的层架标放回原架位。</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13、图书上架：能将层架标信息与图书信息绑定一起，并提供OPAC查询系统显示,还可以方便追加新的图书上架。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14、盘点报告：根据最新的盘点数据进行统计，可查看所有离架、错架、待上架和未知的图书信息。</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15、热力图：支持查看区域热力图，为盘点区域优先级提供参考。</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16、离线盘点：支持在离线下进行图书盘点工作，可查看编辑盘点操作记录，更新本地数据，上传盘点记录。</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17、全馆盘点：支持全量图书的一次性盘点，可查看实际盘点总数，并导出与馆藏数据的对比结果，例如：缺失、异常、盘多的图书清单。</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18、层架解绑：支持清空层架所绑定的全部图书信息，解绑后的图书变为待书架状态，可重新上架任意层架。</w:t>
            </w:r>
            <w:r>
              <w:rPr>
                <w:rFonts w:hint="eastAsia" w:ascii="宋体" w:hAnsi="宋体" w:cs="宋体"/>
                <w:color w:val="000000"/>
                <w:sz w:val="20"/>
                <w:szCs w:val="20"/>
                <w:highlight w:val="none"/>
                <w:lang w:bidi="ar"/>
              </w:rPr>
            </w:r>
            <w:r/>
          </w:p>
          <w:p>
            <w:pPr>
              <w:pStyle w:val="681"/>
              <w:numPr>
                <w:ilvl w:val="0"/>
                <w:numId w:val="0"/>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19、</w:t>
            </w:r>
            <w:r>
              <w:rPr>
                <w:rFonts w:hint="eastAsia" w:ascii="宋体" w:hAnsi="宋体" w:cs="宋体"/>
                <w:color w:val="000000"/>
                <w:sz w:val="20"/>
                <w:szCs w:val="20"/>
                <w:highlight w:val="none"/>
                <w:lang w:bidi="ar"/>
              </w:rPr>
              <w:t xml:space="preserve">正常一遍操作读取准确率须不能低于95%。扫描层架显示原层架标的图书列表,同时通过扫描图书标签对比,发现错架、未上架的图书(同时使用不同颜色表示)，可对错架、未上架的图书修改其层架标为当前层架标，同时保存当前盘点记录。可看到盘点工作人员的工作量，在指定时间内盘点了多少层架、多少册图书、上架下架多少图书等等，甚至可以精确看到盘点工作人员的盘点记录，题名、条码、层架等详细信息。可根据不同馆的层架标规则设定成当前实际馆的层架规则。</w:t>
            </w:r>
            <w:r>
              <w:rPr>
                <w:rFonts w:hint="eastAsia" w:ascii="宋体" w:hAnsi="宋体" w:cs="宋体"/>
                <w:color w:val="000000"/>
                <w:sz w:val="20"/>
                <w:szCs w:val="20"/>
                <w:highlight w:val="none"/>
                <w:lang w:bidi="ar"/>
              </w:rPr>
            </w:r>
            <w:r/>
          </w:p>
          <w:p>
            <w:pPr>
              <w:pStyle w:val="681"/>
              <w:numPr>
                <w:ilvl w:val="0"/>
                <w:numId w:val="0"/>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20、</w:t>
            </w:r>
            <w:r>
              <w:rPr>
                <w:rFonts w:hint="eastAsia" w:ascii="宋体" w:hAnsi="宋体" w:cs="宋体"/>
                <w:color w:val="000000"/>
                <w:sz w:val="20"/>
                <w:szCs w:val="20"/>
                <w:highlight w:val="none"/>
                <w:lang w:bidi="ar"/>
              </w:rPr>
              <w:t xml:space="preserve">为保障设备内置主电池安全性及质量，电池需通过高度模拟、温度测试、振动、冲击、外部短路、撞击/挤压、过度充电、强制放电项目测验。</w:t>
            </w:r>
            <w:r>
              <w:rPr>
                <w:rFonts w:hint="eastAsia" w:ascii="宋体" w:hAnsi="宋体" w:cs="宋体"/>
                <w:color w:val="000000"/>
                <w:sz w:val="20"/>
                <w:szCs w:val="20"/>
                <w:highlight w:val="none"/>
                <w:lang w:bidi="ar"/>
              </w:rPr>
            </w:r>
            <w:r/>
          </w:p>
          <w:p>
            <w:pPr>
              <w:pStyle w:val="681"/>
              <w:numPr>
                <w:ilvl w:val="0"/>
                <w:numId w:val="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、需通过符合国家《 GB/T 26572-2011》电子电气产品中限用物质的限量要求（检测物质不少于6种（铅、镉、汞、六价铬、多溴联苯、多溴二苯醚））。</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技术要求：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1、工作频率：13.56MHz。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2、材    质：钣金，亚克力，不锈钢无缝拉手。</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3、设备重量：≤40kg。</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4、工作温度：-10℃～50℃。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5、储存温度：-20℃～60℃。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6、相对湿度：5%～80%。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7、符合标准：ISO18000-3，ISO15693。</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8、屏幕尺寸：≥14寸（普屏16：9）。</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9、主机配置：ARM平台，Android 11系统或以上系统。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10、内    存：≥4G。</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11、储存空间：≥32G。</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12、触摸类型：电容屏。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13、电池容量：12V40AH。</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14、识别图书：多本（读写天线距离书脊小于50mm）。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15、使用时间：8-12h。</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16、供电要求：AC220V,50Hz。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17、功    耗：≤80W。</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智能门禁系统</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功能要求：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1、系统配置包括：磁力锁、门禁刷卡控制器一体机、紧急出门按钮和联动模块。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2、门禁刷卡控制器一体机同时支持IC卡读者证，RFID卡读者证，身份证刷卡。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3、图书馆可根据自身读者设置门禁号码段刷卡有效。</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4、要求门禁采用主动式读卡，读卡响应时间小于1秒。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5、具备扩展连接红外光栅设备。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技术要求：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1、磁力锁要求：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 锁体规格：250mm×47mm×25mm（长×宽×高）（误差±2mm）。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 吸板规格：180mm×37mm×10mm（长×宽×高）（误差±2mm）。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 承受拉力：180KG(350LBS)直线拉力；</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4）供电要求：DC12V/300mA。</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5）安全类型：通电上锁、断电开锁。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6）产品材质：高强度铝合金。</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7）表面工艺：环保锌电镀。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8）适用范围：金属门、玻璃门、木门、消防门。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9）重    量：≤1.0KG 。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10）可选配置：磁力锁配套U型门夹。</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2、门禁刷卡控制器一体机要求：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 外观尺寸：约113mm×74mm×18mm（长×宽×高）（误差±2mm）。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 符合标准：ISO14443，ISO15693。</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3、紧急出门按钮要求：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 外观尺寸：86mm×86mm*9mm（长×宽×高）（误差±2mm）。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 额定电压：12V/24V250VDC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3）额定电流：10A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 外壳材料：阻燃PC，外壳颜色：白色。</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 常开/常闭通用。</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电子瀑布流</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功能要求：</w:t>
            </w:r>
            <w:r>
              <w:rPr>
                <w:rFonts w:ascii="宋体" w:hAnsi="宋体" w:cs="宋体"/>
                <w:color w:val="000000"/>
                <w:sz w:val="20"/>
                <w:szCs w:val="20"/>
                <w:highlight w:val="none"/>
                <w:lang w:val="en-US" w:eastAsia="zh-CN" w:bidi="ar"/>
              </w:rPr>
            </w:r>
            <w:r/>
          </w:p>
          <w:p>
            <w:pPr>
              <w:pStyle w:val="681"/>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 系统支持画面分层播放，底层动态背景、上层叠加滚动文字，文字样式、滚动速度可调；预设日常、考试季、读书节三种播放模式，可手动或定时自动切换，两块竖屏同步运行，左右屏幕可分开编排不同内容。</w:t>
            </w:r>
            <w:r>
              <w:rPr>
                <w:rFonts w:hint="eastAsia" w:ascii="宋体" w:hAnsi="宋体" w:cs="宋体"/>
                <w:color w:val="000000"/>
                <w:sz w:val="20"/>
                <w:szCs w:val="20"/>
                <w:highlight w:val="none"/>
                <w:lang w:val="en-US" w:eastAsia="zh-CN" w:bidi="ar"/>
              </w:rPr>
            </w:r>
            <w:r/>
          </w:p>
          <w:p>
            <w:pPr>
              <w:pStyle w:val="681"/>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 支持图文、视频播放及紧急通知弹窗插播，校园内网后台管理，管理员远程修改发布信息。</w:t>
            </w:r>
            <w:r>
              <w:rPr>
                <w:rFonts w:hint="eastAsia" w:ascii="宋体" w:hAnsi="宋体" w:cs="宋体"/>
                <w:color w:val="000000"/>
                <w:sz w:val="20"/>
                <w:szCs w:val="20"/>
                <w:highlight w:val="none"/>
                <w:lang w:val="en-US" w:eastAsia="zh-CN" w:bidi="ar"/>
              </w:rPr>
            </w:r>
            <w:r/>
          </w:p>
          <w:p>
            <w:pPr>
              <w:pStyle w:val="681"/>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r>
            <w:r/>
          </w:p>
          <w:p>
            <w:pPr>
              <w:pStyle w:val="681"/>
              <w:numPr>
                <w:ilvl w:val="0"/>
                <w:numId w:val="1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具备书香特色功能：可切换书本翻页动态背景；诗词文字浮动展示，自带诗文素材库；支持读者扫码留言，审核后手写风格文字上屏滚动。</w:t>
            </w:r>
            <w:r>
              <w:rPr>
                <w:rFonts w:hint="eastAsia" w:ascii="宋体" w:hAnsi="宋体" w:cs="宋体"/>
                <w:color w:val="000000"/>
                <w:sz w:val="20"/>
                <w:szCs w:val="20"/>
                <w:highlight w:val="none"/>
                <w:lang w:val="en-US" w:eastAsia="zh-CN" w:bidi="ar"/>
              </w:rPr>
            </w:r>
            <w:r/>
          </w:p>
          <w:p>
            <w:pPr>
              <w:pStyle w:val="681"/>
              <w:numPr>
                <w:ilvl w:val="0"/>
                <w:numId w:val="1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随二十四节气自动更换主题画面并推送节气文案；名家诞辰自动弹出名人名言；按开闭馆时间自动切换夜间静谧画面；随机滚动名著金句、定期揭晓书目。</w:t>
            </w:r>
            <w:r>
              <w:rPr>
                <w:rFonts w:hint="eastAsia" w:ascii="宋体" w:hAnsi="宋体" w:cs="宋体"/>
                <w:color w:val="000000"/>
                <w:sz w:val="20"/>
                <w:szCs w:val="20"/>
                <w:highlight w:val="none"/>
                <w:lang w:val="en-US" w:eastAsia="zh-CN" w:bidi="ar"/>
              </w:rPr>
            </w:r>
            <w:r/>
          </w:p>
          <w:p>
            <w:pPr>
              <w:pStyle w:val="681"/>
              <w:numPr>
                <w:ilvl w:val="0"/>
                <w:numId w:val="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 预留接口，可对接校园信息平台自动同步通知。</w:t>
            </w:r>
            <w:r>
              <w:rPr>
                <w:rFonts w:hint="eastAsia" w:ascii="宋体" w:hAnsi="宋体" w:cs="宋体"/>
                <w:color w:val="000000"/>
                <w:sz w:val="20"/>
                <w:szCs w:val="20"/>
                <w:highlight w:val="none"/>
                <w:lang w:val="en-US" w:eastAsia="zh-CN" w:bidi="ar"/>
              </w:rPr>
            </w:r>
            <w:r/>
          </w:p>
          <w:p>
            <w:pPr>
              <w:pStyle w:val="681"/>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r>
            <w:r/>
          </w:p>
          <w:p>
            <w:pPr>
              <w:pStyle w:val="681"/>
              <w:jc w:val="left"/>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技术要求：</w:t>
            </w:r>
            <w:r>
              <w:rPr>
                <w:rFonts w:ascii="宋体" w:hAnsi="宋体" w:eastAsia="宋体" w:cs="宋体"/>
                <w:color w:val="000000"/>
                <w:sz w:val="20"/>
                <w:szCs w:val="20"/>
                <w:highlight w:val="none"/>
                <w:lang w:val="en-US" w:eastAsia="zh-CN"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室内320 SMD P1.25模组</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画面均匀一致，无黑线，实现真正无缝拼接</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高刷新频率，高灰度处理，显示画面细腻流畅</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像素结构：1R1G1B</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像素间距：1.25mm</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像素密度：640000点/㎡</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维护方式：完全前维护 </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灯珠尺寸：1010</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模组尺寸：320（W）× 160（H） mm</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模组分辨率：256×128</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信号接口：HUB320 *  8</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防护等级：IP30</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封装品牌：国产铜线 </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白平衡亮度：600 cd/㎡</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色温：3000-10000 K可调</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可视角：160°(H)/160°(V)</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对比度：3000：1</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色度均匀性：± 0.003Cx，Cy之内</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亮度均匀性：≥ 97％</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最佳视距：1.6m ~ 4.2m </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电源接口：VH4PIN </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驱动方式：恒流驱动</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扫描数：64S</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换帧频率：60 Hz</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刷新率：3840 Hz</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灰度等级：最大支持16 bit </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峰值功耗：450W/㎡</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平均功耗：150W/㎡</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16网口LED视频处理器</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机箱具备全彩4.5寸LCD显示屏，分辨率854*480，可随时查看设备状态信息，方便设备维护。</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设备前面板具备丰富按键，可支持屏幕亮度等参数调节切换，支持通过按键进行信源切换，场景切换，屏幕锁定等功能。</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支持8路视频信号输入，包含1路DP1.2，3路HDMI2.0，4路HDMI1.3接口</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图像带载输出支持RGB、YUV444无损画质。</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大带载（标准带载）模式下，单网口最大带载高达292.5W。大带载（标准带载）模式整机最大带载2600W。</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支持HDMI音视频复合流输入，支持3.5mm音频输入，支持3.5mm音频输出。</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支持视频信号输入全屏缩放及自定义缩放；支持任意切换，拼接。</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支持1路虚拟条屏内容显示，支持颜色、字体、文字大小、滚动速度的设置，支持图片添加。</w:t>
            </w:r>
            <w:r>
              <w:rPr>
                <w:rFonts w:hint="eastAsia" w:ascii="宋体" w:hAnsi="宋体" w:cs="宋体"/>
                <w:color w:val="000000"/>
                <w:sz w:val="20"/>
                <w:szCs w:val="20"/>
                <w:highlight w:val="none"/>
                <w:lang w:bidi="ar"/>
              </w:rPr>
            </w:r>
            <w:r/>
          </w:p>
          <w:p>
            <w:pPr>
              <w:pStyle w:val="689"/>
              <w:rPr>
                <w:rFonts w:hint="eastAsia" w:ascii="宋体" w:hAnsi="宋体" w:eastAsia="宋体" w:cs="宋体"/>
                <w:bCs w:val="0"/>
                <w:color w:val="000000"/>
                <w:sz w:val="20"/>
                <w:szCs w:val="20"/>
                <w:highlight w:val="none"/>
                <w:lang w:val="en-US" w:eastAsia="zh-CN" w:bidi="ar"/>
              </w:rPr>
            </w:pPr>
            <w:r>
              <w:rPr>
                <w:rFonts w:hint="eastAsia" w:ascii="宋体" w:hAnsi="宋体" w:cs="宋体"/>
                <w:color w:val="000000"/>
                <w:sz w:val="20"/>
                <w:szCs w:val="20"/>
                <w:highlight w:val="none"/>
                <w:lang w:bidi="ar"/>
              </w:rPr>
              <w:t xml:space="preserve">▲</w:t>
            </w:r>
            <w:r>
              <w:rPr>
                <w:rFonts w:hint="eastAsia" w:ascii="宋体" w:hAnsi="宋体" w:eastAsia="宋体" w:cs="宋体"/>
                <w:bCs w:val="0"/>
                <w:color w:val="000000"/>
                <w:sz w:val="20"/>
                <w:szCs w:val="20"/>
                <w:highlight w:val="none"/>
                <w:lang w:val="en-US" w:eastAsia="zh-CN" w:bidi="ar"/>
              </w:rPr>
              <w:t xml:space="preserve">设备支持HDMI 2.0环通输出，支持最大分辨4096×2160@60Hz。支持设置多种显示模式，具体包括常规、文稿、广告、视讯、HDR、影院、自定义模式。支持通过WEB端查看输出画面的完整实时网络预览。</w:t>
            </w:r>
            <w:r>
              <w:rPr>
                <w:rFonts w:hint="eastAsia" w:ascii="宋体" w:hAnsi="宋体" w:eastAsia="宋体" w:cs="宋体"/>
                <w:bCs w:val="0"/>
                <w:color w:val="000000"/>
                <w:sz w:val="20"/>
                <w:szCs w:val="20"/>
                <w:highlight w:val="none"/>
                <w:lang w:val="en-US" w:eastAsia="zh-CN"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亮度控制：1-100可调（逐级白平衡）</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输入帧率：25Hz-120Hz</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灰度等级：1024</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显示颜色：10亿</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处理深度：8bit/10bit</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图像缩放：支持 </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场景数量：10</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底图数量：1</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底图分辨率：最小640 × 480，最大1920 × 1200</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底图格式：JGP/JPEG</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字幕数量：1</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字幕宽度：32760</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音频输入接口类型：3路HDMI2.0+1路DP+4路HDMI1.3+1路Line in </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视频输入接口数：8</w:t>
            </w:r>
            <w:r>
              <w:rPr>
                <w:rFonts w:hint="eastAsia" w:ascii="宋体" w:hAnsi="宋体" w:cs="宋体"/>
                <w:color w:val="000000"/>
                <w:sz w:val="20"/>
                <w:szCs w:val="20"/>
                <w:highlight w:val="none"/>
                <w:lang w:bidi="ar"/>
              </w:rPr>
            </w:r>
            <w:r/>
          </w:p>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r>
            <w:r/>
          </w:p>
          <w:p>
            <w:pPr>
              <w:pStyle w:val="681"/>
              <w:numPr>
                <w:ilvl w:val="0"/>
                <w:numId w:val="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内容定制要求：</w:t>
            </w:r>
            <w:r>
              <w:rPr>
                <w:rFonts w:hint="eastAsia" w:ascii="宋体" w:hAnsi="宋体" w:cs="宋体"/>
                <w:color w:val="000000"/>
                <w:sz w:val="20"/>
                <w:szCs w:val="20"/>
                <w:highlight w:val="none"/>
                <w:lang w:val="en-US" w:eastAsia="zh-CN" w:bidi="ar"/>
              </w:rPr>
            </w:r>
            <w:r/>
          </w:p>
          <w:p>
            <w:pPr>
              <w:pStyle w:val="681"/>
              <w:numPr>
                <w:ilvl w:val="0"/>
                <w:numId w:val="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 定制动态视频素材：常规蓝调瀑布流水、浅色系备考流水、水墨读书流水、动态翻页书本、四季节气、星光书页六大类动态源文件，无水印、无版权问题，完整交付工程源文件。</w:t>
            </w:r>
            <w:r>
              <w:rPr>
                <w:rFonts w:hint="eastAsia" w:ascii="宋体" w:hAnsi="宋体" w:cs="宋体"/>
                <w:color w:val="000000"/>
                <w:sz w:val="20"/>
                <w:szCs w:val="20"/>
                <w:highlight w:val="none"/>
                <w:lang w:val="en-US" w:eastAsia="zh-CN" w:bidi="ar"/>
              </w:rPr>
            </w:r>
            <w:r/>
          </w:p>
          <w:p>
            <w:pPr>
              <w:pStyle w:val="681"/>
              <w:numPr>
                <w:ilvl w:val="0"/>
                <w:numId w:val="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 一次性交付标准化素材库：馆藏书目文案、学科知识点、二十四节气、传统节日、名人语录、通知版式、学生作品展全套模板。</w:t>
            </w:r>
            <w:r>
              <w:rPr>
                <w:rFonts w:hint="eastAsia" w:ascii="宋体" w:hAnsi="宋体" w:cs="宋体"/>
                <w:color w:val="000000"/>
                <w:sz w:val="20"/>
                <w:szCs w:val="20"/>
                <w:highlight w:val="none"/>
                <w:lang w:val="en-US" w:eastAsia="zh-CN" w:bidi="ar"/>
              </w:rPr>
            </w:r>
            <w:r/>
          </w:p>
          <w:p>
            <w:pPr>
              <w:pStyle w:val="681"/>
              <w:numPr>
                <w:ilvl w:val="0"/>
                <w:numId w:val="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3. 现场结合图书馆装修风格校准画面色彩、屏幕亮度，完成全素材上屏调试；对校方管理人员开展全流程操作培训。</w:t>
            </w:r>
            <w:r>
              <w:rPr>
                <w:rFonts w:hint="eastAsia" w:ascii="宋体" w:hAnsi="宋体" w:cs="宋体"/>
                <w:color w:val="000000"/>
                <w:sz w:val="20"/>
                <w:szCs w:val="20"/>
                <w:highlight w:val="none"/>
                <w:lang w:val="en-US" w:eastAsia="zh-CN" w:bidi="ar"/>
              </w:rPr>
            </w:r>
            <w:r/>
          </w:p>
          <w:p>
            <w:pPr>
              <w:pStyle w:val="681"/>
              <w:numPr>
                <w:ilvl w:val="0"/>
                <w:numId w:val="0"/>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4. 质保期内每年免费更新2套季节专题动态底纹、4套国风节日专题素材；7×12小时远程技术支持，48小时上门服务。</w:t>
            </w:r>
            <w:r>
              <w:rPr>
                <w:rFonts w:hint="eastAsia" w:ascii="宋体" w:hAnsi="宋体" w:cs="宋体"/>
                <w:color w:val="000000"/>
                <w:sz w:val="20"/>
                <w:szCs w:val="20"/>
                <w:highlight w:val="none"/>
                <w:lang w:bidi="ar"/>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管理工作站</w:t>
            </w:r>
            <w:r>
              <w:rPr>
                <w:rFonts w:hint="eastAsia" w:ascii="宋体" w:hAnsi="宋体" w:cs="宋体"/>
                <w:color w:val="000000"/>
                <w:sz w:val="22"/>
                <w:szCs w:val="22"/>
                <w:highlight w:val="none"/>
              </w:rPr>
            </w:r>
            <w:r/>
          </w:p>
        </w:tc>
        <w:tc>
          <w:tcPr>
            <w:tcW w:w="7464" w:type="dxa"/>
            <w:vAlign w:val="center"/>
            <w:textDirection w:val="lrTb"/>
            <w:noWrap w:val="false"/>
          </w:tcPr>
          <w:p>
            <w:pPr>
              <w:pStyle w:val="681"/>
              <w:numPr>
                <w:ilvl w:val="0"/>
                <w:numId w:val="11"/>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规格：2U机架式服务器；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2、CPU：配置2颗英特尔处理器，主频2.6GHz/16核心，CPU物理核数16核；</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3、内存：配置64G内存；可扩展≥24个内存插槽，支持Advanced ECC、内存镜像、内存热备等功能；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4、存储：配置2*240G SSD固态+3*3T SATA 6Gb 7200K 128MB(3.5英寸托架)   企业级硬盘,</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5、阵列卡：配置SR430-1G RAID阵列卡，支持RAID0/1/5/10/50/60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6、网口：配置2*GE+2*10GE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7、前面板提供2个USB 3.0端口、1个 VGA端口、2个板载GE网口、2个板载10GE光口</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电源支持双电配置电源2*900W</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含导轨     </w:t>
            </w:r>
            <w:r>
              <w:rPr>
                <w:rFonts w:hint="eastAsia" w:ascii="宋体" w:hAnsi="宋体" w:cs="宋体"/>
                <w:color w:val="000000"/>
                <w:sz w:val="20"/>
                <w:szCs w:val="20"/>
                <w:highlight w:val="none"/>
              </w:rPr>
            </w:r>
            <w:r/>
          </w:p>
          <w:p>
            <w:pPr>
              <w:pStyle w:val="689"/>
              <w:numPr>
                <w:ilvl w:val="0"/>
                <w:numId w:val="0"/>
              </w:numPr>
              <w:rPr>
                <w:rFonts w:hint="eastAsia" w:ascii="宋体" w:hAnsi="宋体" w:cs="宋体"/>
                <w:sz w:val="22"/>
                <w:szCs w:val="22"/>
                <w:highlight w:val="none"/>
              </w:rPr>
            </w:pPr>
            <w:r>
              <w:rPr>
                <w:rFonts w:hint="eastAsia" w:ascii="宋体" w:hAnsi="宋体" w:cs="宋体"/>
                <w:color w:val="000000"/>
                <w:sz w:val="20"/>
                <w:szCs w:val="20"/>
                <w:highlight w:val="none"/>
                <w:lang w:bidi="ar"/>
              </w:rPr>
              <w:t xml:space="preserve">▲</w:t>
            </w:r>
            <w:r>
              <w:rPr>
                <w:rFonts w:hint="eastAsia" w:ascii="宋体" w:hAnsi="宋体" w:eastAsia="宋体" w:cs="宋体"/>
                <w:bCs w:val="0"/>
                <w:color w:val="000000"/>
                <w:sz w:val="20"/>
                <w:szCs w:val="20"/>
                <w:highlight w:val="none"/>
                <w:lang w:val="en-US" w:eastAsia="zh-CN" w:bidi="ar"/>
              </w:rPr>
              <w:t xml:space="preserve">10、将BIOS启动过程中的所有 POST CODE以明文化的形式展示在界面中，方便快速定位POST阶段故障（故障位置和类型）。</w:t>
            </w:r>
            <w:r>
              <w:rPr>
                <w:rFonts w:hint="eastAsia" w:ascii="宋体" w:hAnsi="宋体" w:cs="宋体"/>
                <w:sz w:val="22"/>
                <w:szCs w:val="22"/>
                <w:highlight w:val="none"/>
              </w:rPr>
            </w:r>
            <w:r/>
          </w:p>
          <w:p>
            <w:pPr>
              <w:pStyle w:val="689"/>
              <w:numPr>
                <w:ilvl w:val="0"/>
                <w:numId w:val="0"/>
              </w:numPr>
              <w:rPr>
                <w:rFonts w:ascii="宋体" w:hAnsi="宋体" w:eastAsia="宋体" w:cs="宋体"/>
                <w:bCs w:val="0"/>
                <w:color w:val="000000"/>
                <w:sz w:val="20"/>
                <w:szCs w:val="20"/>
                <w:highlight w:val="none"/>
                <w:lang w:val="en-US" w:eastAsia="zh-CN" w:bidi="ar"/>
              </w:rPr>
            </w:pPr>
            <w:r>
              <w:rPr>
                <w:rFonts w:hint="eastAsia" w:ascii="宋体" w:hAnsi="宋体" w:cs="宋体"/>
                <w:color w:val="000000"/>
                <w:sz w:val="20"/>
                <w:szCs w:val="20"/>
                <w:highlight w:val="none"/>
                <w:lang w:bidi="ar"/>
              </w:rPr>
              <w:t xml:space="preserve">▲</w:t>
            </w:r>
            <w:r>
              <w:rPr>
                <w:rFonts w:hint="eastAsia" w:ascii="宋体" w:hAnsi="宋体" w:eastAsia="宋体" w:cs="宋体"/>
                <w:bCs w:val="0"/>
                <w:color w:val="000000"/>
                <w:sz w:val="20"/>
                <w:szCs w:val="20"/>
                <w:highlight w:val="none"/>
                <w:lang w:val="en-US" w:eastAsia="zh-CN" w:bidi="ar"/>
              </w:rPr>
              <w:t xml:space="preserve">11、可通过BMC配置BIOS性能模板，实现利用预配置的配置文件，自动调优内部服务器资源，系统内置10种以上场景模板。</w:t>
            </w:r>
            <w:r>
              <w:rPr>
                <w:rFonts w:ascii="宋体" w:hAnsi="宋体" w:eastAsia="宋体" w:cs="宋体"/>
                <w:bCs w:val="0"/>
                <w:color w:val="000000"/>
                <w:sz w:val="20"/>
                <w:szCs w:val="20"/>
                <w:highlight w:val="none"/>
                <w:lang w:val="en-US" w:eastAsia="zh-CN" w:bidi="ar"/>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存包柜</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宋体" w:hAnsi="宋体" w:cs="宋体"/>
                <w:color w:val="000000"/>
                <w:sz w:val="20"/>
                <w:szCs w:val="20"/>
                <w:highlight w:val="none"/>
                <w:lang w:val="en-US" w:eastAsia="zh-CN" w:bidi="ar"/>
              </w:rPr>
              <w:t xml:space="preserve">5门主柜 数量：1台</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1.尺寸H1880*L500*D450（mm）</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2.板材为镀锌板，材料厚度0.8mm</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3.喷漆颜色可选，安装不锈钢包角防撞。</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12门副柜 数量：4台</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1.尺寸H920*L1452*D450（mm）,单格大小H280*L298*D450（mm）；</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2.板材为镀锌板，材料厚度0.8mm；</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3.喷漆颜色可选，安装不锈钢包角防撞。</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主屏 数量：1台</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规格：</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1、屏幕尺寸：7英寸宽视角IPS屏（1024*600，支持触摸），222*112*15mm；</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2、用电安全：强制安装漏电保护器，内置开关电源符合CCC认证；</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3、节能：整机采用一个符合CCC标准的开关电源，且功率小于等于50W</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ECU及子模块（锁控模块、读卡模块、灯控模块）均符合群脉冲GB/T17626.4-2018标准的4级；</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ECU静电放电符合GB/T17626.2标准的3级；</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整机支持浪涌符合GB/T17626.5-2008标准的4级；</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功能：</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1、网络：支持以太网接口；</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2、支持linux系统+RTOS高稳定双系统；</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3、连续开门速度：≥10门/秒；</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4、支持人脸识别：</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①应能自动摄取人脸图像，并从获取的人脸图像中提取人脸特征，与注册名单中所有目标人人脸特征进行比对，生成相似度值；</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②应能对人脸比对产生的相似度进行分析，根 据设定的阈值输出控制指令，控制出入口开启，并记录关联信息；</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③应能对人脸比对结果给出可听/可视提示；</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④ 当不能有效识别人脸图像时，应给出可听/可视提示；</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⑤实现 1：1、1：N 模式的高效识别，识别距离0.5M-2.5M，识别时间≤0.3s；</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⑥白天识别准确率≥99.95%，夜晚识别准确率≥99.91%；</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⑦支持静默活体验证检测，支持人脸防伪检测 ，无需摇头、眨眼等配合，有效防范照片、电子屏幕(含高清视频、3D 人脸重建、电子照片) 、实体 3D 模型、仿真面具、头套类黑客攻击功能；</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5、支持主控通过一路RS485（19200bps）连接锁控模块、读卡模块、灯控模块；各子模块可以在一路485网络下正常运行，且不发生异常及协议冲突；下行通讯：支持串口控制器；下行子模块（锁控模块、读卡模块、灯控模块）支持密码校验接入，防止恶意破解功能；</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6、支持固定模式和随机使用模式功能；                                                                       </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7、支持箱格数量展示、支持主界面显示箱格总数、已使用的箱格信息剩余箱格信息，支持自定义首页的箱柜信息、学校信息以及摆放地址信息；</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8、支持小程序管理，可实现蓝牙开箱、箱柜管理、箱格管理并具备清箱、清柜管理等功能，具备设置箱格数量等相关信息；可调整开门时间等功能；</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9、支持单机使用同时支持联网使用，模式可自由切换；</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10、支持多级管理功能，最高支持99级分级，可分校区、学院、年级、班级等信息；</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刷卡器 数量：1台</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1.电源：DC12V±20％，100mA，额定功率≤0.5W；</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2.产品尺寸：90*90*17mm，86盒安装；</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3.材质：精雕工艺铝合金，含疏油涂层的钢化玻璃面板，RGB刷卡指示含光束匀光基板，6P工业接线端子，CPU32位ARM-Cortex，车规级阻容；</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4.非接触卡支持：ISO14443A（M1、CPU、NFC、银联Q-Pass），ISO14443B（身份证），ISO15693，支持Psam验证，支持开启卡片加密认证，防止手机NFC复制；</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5.先进性：支持Keyfree手机蓝牙开门，支持门铃呼叫至手机端；</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6.扩展性：支持2路开关量输入，用于接入门状态等信息；</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7.通讯方式：RS485+Wiegand，使用RS485双向加密通讯，后台可见读卡器工作状态，具备较强的抗干扰能力，支持500m以上的通讯距离；</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8.安全性：当读卡器被拆动时，会触发防拆报警，并上传给控制器；</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10.方便性：支持手机APP调试；</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11.工作环境：-20℃~65℃，工作湿度：&lt;=90%（不凝露）；</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12.交互性：具备灯光反馈，红/绿灯提示认证鉴权结果；；</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13.工作环境：-20℃~65℃，工作湿度：&lt;=90%（不凝露）。</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电磁锁 数量：53把</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1.电压：12V 电流：2.5A</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2.锁体尺寸：73mm*61.8mm*13mm；</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3.节能：开锁瞬间通电小于1秒，平时关门上锁为断电状态不耗电；</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4.寿命长：可反复使用120万次；</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5.安全性：灵敏，防震，防撬，防锈；</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6.公用性：无正反面设计，左,右,上,下开门方向的所有大小箱柜,抽屉均可通用；</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控制板 数量：1个</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1.电源：电压AC220V±20%；电源DC12V±20%，最大输入电流2A；</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2.开门速度：≧10把/s；</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3.单路输出电流：≧3A；</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4.RS485节点：最大可支持32个节点；</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5.电子锁编码数量：单板可支持电子锁编码数量65535个；</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6.输出保持时间：支持以10mS步长设置输出保持时间；</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7.一键全开：通过锁控板按键可实现一键全开电子锁；</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8.高低温工作：设备在 70℃±2℃的低温条件下运行 24h能正常工作，设备在-30℃±2℃的低温条件下运行 24h能正常工作；</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静电放电：静电放电符合GB/T17626.2标准的3级；</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9.群脉冲：群脉冲GB/T 17626.4-2018标准的4级；</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10.浪涌：浪涌符合GB/T17626.5-2008标准的4级；</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摄像头模组 数量：1个</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1.1/2.7”工业级双目 200 万/200 万高清宽动态图像传感器；</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2.黑白 40CM-1M,彩色 40CM 到无限远清晰成像；</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3.固定 30 帧，无拖影；</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4.0.1Lux 超低照效果；</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5.黑白 1.5W,彩色 1.0W 超低功耗；</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6.-30℃~+70℃ 宽温度范围稳定工作；</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7.USB2.0 高速传输；；</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8.UVC 架构，兼容 Windows XP/7/8.1/10/vista/seven/Mac linux2.6.2(include UVC )多种系统。</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喇叭 数量：1对</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1.腔体喇叭 8欧2W 带2P  2.0端子</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开关电源 数量：1个；</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1.功率(W): 102</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2.输入电压(VAC): 80-305</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3.输入电压(VDC): 100-430</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4.输出电压(VDC): 12V</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5.输出电流: 8.5A</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6.效率%: 90</w:t>
            </w:r>
            <w:r>
              <w:rPr>
                <w:rFonts w:hint="eastAsia" w:ascii="宋体" w:hAnsi="宋体" w:cs="宋体"/>
                <w:color w:val="000000"/>
                <w:sz w:val="20"/>
                <w:szCs w:val="20"/>
                <w:highlight w:val="none"/>
                <w:lang w:val="en-US" w:eastAsia="zh-CN" w:bidi="ar"/>
              </w:rPr>
              <w:br w:type="textWrapping" w:clear="all"/>
            </w:r>
            <w:r>
              <w:rPr>
                <w:rFonts w:hint="eastAsia" w:ascii="宋体" w:hAnsi="宋体" w:cs="宋体"/>
                <w:color w:val="000000"/>
                <w:sz w:val="20"/>
                <w:szCs w:val="20"/>
                <w:highlight w:val="none"/>
                <w:lang w:val="en-US" w:eastAsia="zh-CN" w:bidi="ar"/>
              </w:rPr>
              <w:t xml:space="preserve">7.隔离电压: 4000VAC</w:t>
            </w:r>
            <w:r>
              <w:rPr>
                <w:rFonts w:hint="eastAsia" w:ascii="仿宋" w:hAnsi="仿宋" w:eastAsia="仿宋" w:cs="仿宋"/>
                <w:i w:val="0"/>
                <w:iCs w:val="0"/>
                <w:color w:val="000000"/>
                <w:sz w:val="20"/>
                <w:szCs w:val="20"/>
                <w:highlight w:val="none"/>
                <w:u w:val="none"/>
                <w:lang w:val="en-US" w:eastAsia="zh-CN" w:bidi="ar-SA"/>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图书编目</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通过粘贴条形码、在图书系统里面编目图书数据、打印粘贴书标、保护膜，馆藏章加 盖，图书大类上架，把加工完的图书按书脊上粘贴的书标索书号，22类字母上架</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689"/>
              <w:rPr>
                <w:rFonts w:hint="eastAsia"/>
                <w:highlight w:val="none"/>
                <w:lang w:eastAsia="zh-CN"/>
              </w:rPr>
            </w:pPr>
            <w:r>
              <w:rPr>
                <w:rFonts w:hint="eastAsia" w:ascii="宋体" w:hAnsi="宋体" w:eastAsia="宋体" w:cs="宋体"/>
                <w:bCs w:val="0"/>
                <w:color w:val="000000"/>
                <w:sz w:val="20"/>
                <w:szCs w:val="20"/>
                <w:highlight w:val="none"/>
                <w:lang w:val="en-US" w:eastAsia="zh-CN" w:bidi="ar"/>
              </w:rPr>
              <w:t xml:space="preserve">验收标准：编目数据准确率≥99.5%，条码、书标粘贴规整无破损，随机抽检5%核对系统馆藏数据；单价包干，按实际合格完成册数结算，不合格图书免费返工直至达标。</w:t>
            </w:r>
            <w:r>
              <w:rPr>
                <w:rFonts w:hint="eastAsia"/>
                <w:highlight w:val="none"/>
                <w:lang w:eastAsia="zh-CN"/>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标签转换及盘点</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包括贴标签及将图书条形码信息与标签进行绑定，图书上架后用盘点车进行盘点定位。</w:t>
            </w:r>
            <w:r>
              <w:rPr>
                <w:rFonts w:hint="eastAsia" w:ascii="宋体" w:hAnsi="宋体" w:cs="宋体"/>
                <w:color w:val="000000"/>
                <w:sz w:val="20"/>
                <w:szCs w:val="20"/>
                <w:highlight w:val="none"/>
                <w:lang w:val="en-US" w:eastAsia="zh-CN" w:bidi="ar"/>
              </w:rPr>
              <w:t xml:space="preserve">      </w:t>
            </w:r>
            <w:r>
              <w:rPr>
                <w:rFonts w:hint="eastAsia" w:ascii="宋体" w:hAnsi="宋体" w:cs="宋体"/>
                <w:color w:val="000000"/>
                <w:sz w:val="20"/>
                <w:szCs w:val="20"/>
                <w:highlight w:val="none"/>
                <w:lang w:bidi="ar"/>
              </w:rPr>
              <w:t xml:space="preserve">验收：随机抽测≥3%图书标签识读正常，标签绑定准确率≥99%，按验收合格数量结算费用。</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图书搬运及分拣</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全馆约16万册旧书牛皮纸打包分拣，筛选可用新书约6万册暂存保管，旧图书搬运至校方指定仓储点位存放；图书馆装修竣工后，筛选合格图书二次细分、分类上架、规整排架；</w:t>
            </w:r>
            <w:r>
              <w:rPr>
                <w:rFonts w:hint="eastAsia" w:ascii="宋体" w:hAnsi="宋体" w:cs="宋体"/>
                <w:color w:val="000000"/>
                <w:sz w:val="20"/>
                <w:szCs w:val="20"/>
                <w:highlight w:val="none"/>
                <w:lang w:bidi="ar"/>
              </w:rPr>
            </w:r>
            <w:r/>
          </w:p>
          <w:p>
            <w:pPr>
              <w:pStyle w:val="689"/>
              <w:rPr>
                <w:rFonts w:hint="eastAsia" w:eastAsia="华文中宋"/>
                <w:highlight w:val="none"/>
                <w:lang w:val="en-US" w:eastAsia="zh-CN"/>
              </w:rPr>
            </w:pPr>
            <w:r>
              <w:rPr>
                <w:rFonts w:hint="eastAsia" w:ascii="宋体" w:hAnsi="宋体" w:eastAsia="宋体" w:cs="宋体"/>
                <w:bCs w:val="0"/>
                <w:color w:val="000000"/>
                <w:sz w:val="20"/>
                <w:szCs w:val="20"/>
                <w:highlight w:val="none"/>
                <w:lang w:val="en-US" w:eastAsia="zh-CN" w:bidi="ar"/>
              </w:rPr>
              <w:t xml:space="preserve">验收：图书无磕碰破损丢失，分类上架与馆藏架位一致，校方现场清点确认；本项为总价包干项目，包含人工、打包耗材、短途搬运机具费用，除甲方现场重大变更外不再另行计价。</w:t>
            </w:r>
            <w:r>
              <w:rPr>
                <w:rFonts w:hint="eastAsia" w:eastAsia="华文中宋"/>
                <w:highlight w:val="none"/>
                <w:lang w:val="en-US" w:eastAsia="zh-CN"/>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室内高清红外半球</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传感器：1/2.7" 逐行扫描 CMOS</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分辨率：400 万像素，2560×1440@25fps</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镜头：标配 2.8mm（水平 94°）；可选 4mm/6mm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最低照度：彩色 0.005Lux；红外 0Lux</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快门：1/3s～1/100,000s</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双光补光：红外 + 白光智能切换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红外距离：最远 30m（850nm）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白光距离：最远 20m，夜间全彩</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IR-CUT：自动滤光片切换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编码格式：H.265+/H.265/H.264；支持 ROI</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智能功能：人形检测、背光补偿、强光抑制、3D 降噪、数字宽动态</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音频：内置麦克风（单向拾音</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网络接口：RJ45 10/100M 自适应</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供电：PoE（IEEE 802.3af）；也支持 DC 12V</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协议：ISAPI、SDK、GB28181</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防护等级：IP67 防尘防水</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24口POE交换机</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18"/>
                <w:szCs w:val="18"/>
                <w:highlight w:val="none"/>
              </w:rPr>
            </w:pPr>
            <w:r>
              <w:rPr>
                <w:rFonts w:hint="eastAsia" w:ascii="宋体" w:hAnsi="宋体" w:cs="宋体"/>
                <w:color w:val="000000"/>
                <w:sz w:val="20"/>
                <w:szCs w:val="20"/>
                <w:highlight w:val="none"/>
                <w:lang w:bidi="ar"/>
              </w:rPr>
              <w:t xml:space="preserve">1、交换容量≥598Gbps，包转发率≥126Mpps，以官网最小值为准；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2、10/100/1000M以太网端口≥24个，1G SFP光接口≥4个；</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3、支持POE和POE+,同时可POE供电端口≥24个，POE最大输出功率≥370W；</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、支持IPv4/IPv6静态路由、可扩展支持RIP、RIPng、OSPF、OSPFv3协议；</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、支持N:1虚拟化功能，可将多台物理设备虚拟化为一台逻辑设备统一管理，简化管理，提供官网链接及截图证明并加盖原厂公章；</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、支持基础网络保护策略，限制用户向网络中发送ARP报文、ICMP请求报文、DHCP请求报文的数率，对超过限速阈值的报文进行丢弃处理，能够识别攻击行为，对有攻击行为的用户进行隔离；</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、支持快速链路检测协议，可快速检测链路的通断和光纤链路的单向性，并支持端口下的环路检测功能，防止端口下因私接Hub等设备形成的环路而导致网络故障的现象。</w:t>
            </w:r>
            <w:r>
              <w:rPr>
                <w:rFonts w:hint="eastAsia" w:ascii="宋体" w:hAnsi="宋体" w:cs="宋体"/>
                <w:color w:val="000000"/>
                <w:sz w:val="18"/>
                <w:szCs w:val="18"/>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2</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室内安防设备箱</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500mm*600m*250mm含空开、插排</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3</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液晶显示器</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屏幕尺寸‌：27 英寸</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‌最佳分辨率‌：‌1920×1080‌（全高清）</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‌屏幕比例‌：16:9</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‌刷新率‌：‌100Hz‌</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‌响应时间‌：‌1ms（MPRT）‌ / ‌4ms（GTG，灰阶响应）‌</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‌亮度‌：‌250 cd/m²‌</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‌静态对比度‌：‌1000:1‌</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‌可视角度‌：‌178°/178°‌</w:t>
            </w:r>
            <w:r>
              <w:rPr>
                <w:rFonts w:hint="eastAsia" w:ascii="宋体" w:hAnsi="宋体" w:cs="宋体"/>
                <w:color w:val="000000"/>
                <w:sz w:val="18"/>
                <w:szCs w:val="18"/>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4</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千兆单模光模块</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18"/>
                <w:szCs w:val="18"/>
                <w:highlight w:val="none"/>
                <w:lang w:bidi="ar"/>
              </w:rPr>
              <w:t xml:space="preserve">1000BASE-LX mini GBIC转换模块（1310nm），10km</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5</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0"/>
                <w:szCs w:val="20"/>
                <w:highlight w:val="none"/>
                <w:lang w:bidi="ar"/>
              </w:rPr>
            </w:pPr>
            <w:r>
              <w:rPr>
                <w:rFonts w:hint="eastAsia" w:ascii="宋体" w:hAnsi="宋体" w:cs="宋体"/>
                <w:color w:val="000000"/>
                <w:sz w:val="22"/>
                <w:szCs w:val="22"/>
                <w:highlight w:val="none"/>
                <w:lang w:bidi="ar"/>
              </w:rPr>
              <w:t xml:space="preserve">摄像机布线</w:t>
            </w:r>
            <w:r>
              <w:rPr>
                <w:rFonts w:hint="eastAsia" w:ascii="宋体" w:hAnsi="宋体" w:cs="宋体"/>
                <w:color w:val="000000"/>
                <w:sz w:val="20"/>
                <w:szCs w:val="20"/>
                <w:highlight w:val="none"/>
                <w:lang w:bidi="ar"/>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技术要求：</w:t>
            </w:r>
            <w:r>
              <w:rPr>
                <w:rFonts w:hint="eastAsia" w:ascii="宋体" w:hAnsi="宋体" w:cs="宋体"/>
                <w:color w:val="000000"/>
                <w:sz w:val="20"/>
                <w:szCs w:val="20"/>
                <w:highlight w:val="none"/>
                <w:lang w:val="en-US" w:eastAsia="zh-CN" w:bidi="ar"/>
              </w:rPr>
            </w:r>
            <w:r/>
          </w:p>
          <w:p>
            <w:pPr>
              <w:pStyle w:val="681"/>
              <w:jc w:val="left"/>
              <w:widowControl/>
              <w:rPr>
                <w:rFonts w:hint="eastAsia"/>
                <w:highlight w:val="none"/>
              </w:rPr>
            </w:pPr>
            <w:r>
              <w:rPr>
                <w:rFonts w:hint="eastAsia" w:ascii="宋体" w:hAnsi="宋体" w:cs="宋体"/>
                <w:color w:val="000000"/>
                <w:sz w:val="20"/>
                <w:szCs w:val="20"/>
                <w:highlight w:val="none"/>
                <w:lang w:bidi="ar"/>
              </w:rPr>
              <w:t xml:space="preserve">YD/T1019，U/UTP CAT.5e 4×2×0.50，PVC护套灰色，室内非屏蔽电缆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产品参数：</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产品合格证标准：YD/T1019，产品合格证型号：HSYV-5e 4×2×0.50；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通过标准最高传输频率100MHz测试；</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单根导体直流电阻：≤9.5Ω/100m；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标称线对数：4，导体标称直径：0.50mm，导体名称：软圆铜线，绝缘：HDPE，绝缘颜色：白/蓝色、蓝色，白/橙色、橙色，白/绿色、绿色，白/棕色、棕色；</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屏蔽方式：U/UTP；</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护套材料：PVC，护套外径：5.1±0.3mm，护套颜色：灰色（PANTONE Cool Gray 8 C）；</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米标：长度标志m，标志间距1m，长度标志误差不大于±0.5%；</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最小内弯曲半径：安装时：8倍电缆外径，安装后：4倍电缆外径，敷设方式：钢管或阻燃硬质PVC管内；</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包装方式：305米/易拉箱，2易拉箱/外箱；</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使用场景：室内固定应用；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安装温度：不低于0℃，工作温度：-20℃～+60℃；</w:t>
            </w:r>
            <w:r>
              <w:rPr>
                <w:rFonts w:hint="eastAsia"/>
                <w:highlight w:val="none"/>
              </w:rPr>
            </w:r>
            <w:r/>
          </w:p>
          <w:p>
            <w:pPr>
              <w:pStyle w:val="681"/>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功能要求：</w:t>
            </w:r>
            <w:r>
              <w:rPr>
                <w:rFonts w:hint="eastAsia" w:ascii="宋体" w:hAnsi="宋体" w:cs="宋体"/>
                <w:color w:val="000000"/>
                <w:sz w:val="20"/>
                <w:szCs w:val="20"/>
                <w:highlight w:val="none"/>
                <w:lang w:val="en-US" w:eastAsia="zh-CN" w:bidi="ar"/>
              </w:rPr>
            </w:r>
            <w:r/>
          </w:p>
          <w:p>
            <w:pPr>
              <w:pStyle w:val="681"/>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摄像机布线：2781米，敷设包含线管开槽/穿管、线路铺设、端接、测试通断、冗余预留、废料清运；施工遵照YD/T1019规范，完工逐链路做导通测试，附点位测试记录表作为验收结算依据，工程量按实际竣工实测长度结算。</w:t>
            </w:r>
            <w:r>
              <w:rPr>
                <w:rFonts w:hint="eastAsia" w:ascii="宋体" w:hAnsi="宋体" w:cs="宋体"/>
                <w:color w:val="000000"/>
                <w:sz w:val="20"/>
                <w:szCs w:val="20"/>
                <w:highlight w:val="none"/>
                <w:lang w:val="en-US" w:eastAsia="zh-CN" w:bidi="ar"/>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6</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弱电桥架</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233米，规格200×100mm、镀锌钢板壁厚1.2mm，含桥架切割、固定支吊架、转角/变径配件安装、跨接接地、成品保护；按照建筑弱电施工规范施工，竣工以现场实测米数验收结算</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7</w:t>
            </w:r>
            <w:r>
              <w:rPr>
                <w:rFonts w:hint="eastAsia" w:ascii="宋体" w:hAnsi="宋体" w:eastAsia="宋体" w:cs="宋体"/>
                <w:color w:val="000000"/>
                <w:sz w:val="22"/>
                <w:szCs w:val="22"/>
                <w:highlight w:val="none"/>
                <w:lang w:val="en-US" w:eastAsia="zh-CN"/>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高清线</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HDMI高清线15米</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t xml:space="preserve">8</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网络线（六类网线）</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技术要求：</w:t>
            </w:r>
            <w:r>
              <w:rPr>
                <w:rFonts w:ascii="宋体" w:hAnsi="宋体" w:eastAsia="宋体" w:cs="宋体"/>
                <w:color w:val="000000"/>
                <w:sz w:val="20"/>
                <w:szCs w:val="20"/>
                <w:highlight w:val="none"/>
                <w:lang w:val="en-US" w:eastAsia="zh-CN" w:bidi="ar"/>
              </w:rPr>
            </w:r>
            <w:r/>
          </w:p>
          <w:p>
            <w:pPr>
              <w:pStyle w:val="681"/>
              <w:jc w:val="left"/>
              <w:widowControl/>
              <w:rPr>
                <w:rFonts w:hint="eastAsia"/>
                <w:highlight w:val="none"/>
              </w:rPr>
            </w:pPr>
            <w:r>
              <w:rPr>
                <w:rFonts w:hint="eastAsia" w:ascii="宋体" w:hAnsi="宋体" w:cs="宋体"/>
                <w:color w:val="000000"/>
                <w:sz w:val="20"/>
                <w:szCs w:val="20"/>
                <w:highlight w:val="none"/>
                <w:lang w:bidi="ar"/>
              </w:rPr>
              <w:t xml:space="preserve">GB/T18015.5，U/UTP CAT.6 4×2×24AWG，十字骨架，LSZH护套灰色，室内非屏蔽电缆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产品参数：</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产品合格证标准：GB/T18015.5，产品合格证型号：HSYV-6；</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通过标准最高传输频率250MHz测试；</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单根导体直流电阻：≤9.5Ω/100m；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导体规格：4×2×24AWG，导体名称：软圆铜线，绝缘：HDPE，绝缘颜色：白/蓝色、蓝色，白/橙色、橙色，白/绿色、绿色，白/棕色、棕色；</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屏蔽方式：U/UTP，线对采用“十”字骨架隔离；</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护套材料：LSZH，护套外径：6.0±0.3mm，护套颜色：灰色（PANTONE Cool Gray 8 C）；</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米标：长度标志m，标志间距1m，长度标志误差不大于±0.5%；</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最小内弯曲半径：安装时：8倍电缆外径，安装后：4倍电缆外径，敷设方式：钢管或阻燃硬质PVC管内；</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包装方式：305米/易拉箱，2易拉箱/外箱；</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使用场景：室内固定应用；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安装温度：不低于0℃，工作温度：-20℃～+60℃；</w:t>
            </w:r>
            <w:r>
              <w:rPr>
                <w:rFonts w:hint="eastAsia"/>
                <w:highlight w:val="none"/>
              </w:rPr>
            </w:r>
            <w:r/>
          </w:p>
          <w:p>
            <w:pPr>
              <w:pStyle w:val="689"/>
              <w:rPr>
                <w:rFonts w:hint="eastAsia" w:ascii="宋体" w:hAnsi="宋体" w:eastAsia="宋体" w:cs="宋体"/>
                <w:bCs w:val="0"/>
                <w:color w:val="000000"/>
                <w:sz w:val="20"/>
                <w:szCs w:val="20"/>
                <w:highlight w:val="none"/>
                <w:lang w:val="en-US" w:eastAsia="zh-CN" w:bidi="ar"/>
              </w:rPr>
            </w:pPr>
            <w:r>
              <w:rPr>
                <w:rFonts w:hint="eastAsia" w:ascii="宋体" w:hAnsi="宋体" w:eastAsia="宋体" w:cs="宋体"/>
                <w:bCs w:val="0"/>
                <w:color w:val="000000"/>
                <w:sz w:val="20"/>
                <w:szCs w:val="20"/>
                <w:highlight w:val="none"/>
                <w:lang w:val="en-US" w:eastAsia="zh-CN" w:bidi="ar"/>
              </w:rPr>
              <w:t xml:space="preserve">功能要求：</w:t>
            </w:r>
            <w:r>
              <w:rPr>
                <w:rFonts w:hint="eastAsia" w:ascii="宋体" w:hAnsi="宋体" w:eastAsia="宋体" w:cs="宋体"/>
                <w:bCs w:val="0"/>
                <w:color w:val="000000"/>
                <w:sz w:val="20"/>
                <w:szCs w:val="20"/>
                <w:highlight w:val="none"/>
                <w:lang w:val="en-US" w:eastAsia="zh-CN" w:bidi="ar"/>
              </w:rPr>
            </w:r>
            <w:r/>
          </w:p>
          <w:p>
            <w:pPr>
              <w:pStyle w:val="689"/>
              <w:rPr>
                <w:rFonts w:hint="eastAsia"/>
                <w:highlight w:val="none"/>
                <w:lang w:val="en-US" w:eastAsia="zh-CN"/>
              </w:rPr>
            </w:pPr>
            <w:r>
              <w:rPr>
                <w:rFonts w:hint="eastAsia" w:ascii="宋体" w:hAnsi="宋体" w:eastAsia="宋体" w:cs="宋体"/>
                <w:bCs w:val="0"/>
                <w:color w:val="000000"/>
                <w:sz w:val="20"/>
                <w:szCs w:val="20"/>
                <w:highlight w:val="none"/>
                <w:lang w:val="en-US" w:eastAsia="zh-CN" w:bidi="ar"/>
              </w:rPr>
              <w:t xml:space="preserve">2200米，含布线、穿管、面板端接、链路福禄克达标测试、点位标签标识，遵循GB/T18015.5标准，实测实收结算。</w:t>
            </w:r>
            <w:r>
              <w:rPr>
                <w:rFonts w:hint="eastAsia"/>
                <w:highlight w:val="none"/>
                <w:lang w:val="en-US" w:eastAsia="zh-CN"/>
              </w:rPr>
            </w:r>
            <w:r/>
          </w:p>
        </w:tc>
      </w:tr>
      <w:tr>
        <w:trPr/>
        <w:tc>
          <w:tcPr>
            <w:tcW w:w="681"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bidi="ar"/>
              </w:rPr>
              <w:t xml:space="preserve">29</w:t>
            </w:r>
            <w:r>
              <w:rPr>
                <w:rFonts w:hint="eastAsia" w:ascii="宋体" w:hAnsi="宋体" w:cs="宋体"/>
                <w:color w:val="000000"/>
                <w:sz w:val="22"/>
                <w:szCs w:val="22"/>
                <w:highlight w:val="none"/>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网络插座面板（含模块）</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86×86，信息插座面板，带标示纸及标识盖，带弹簧式防尘门，90度模块安装，单口（不含模块、不含底盒）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产品参数：</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组合式结构，前后双层面板设计，外形美观，固定螺丝孔不外露；</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带有可更换标识纸和标识盖，方便维护和使用；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面板上具有中文及字母品牌标识；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网络口带弹簧自动回弹防尘门，防止灰尘等异物侵入，防尘门为白色、与面板整体颜色一致，防尘门向上开启、防尘门不压在水晶头弹片上、有效保护水晶头弹片；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网络模块卡装接口为标准“梯形”接口、具有较好的兼容性、不得采用特殊专用卡装接口，面板与模块采用90度安装方式；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具有风格统一的单口、双口、三口、四口网络，单口TV、TV加网络规格；</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材料：ABS；</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面板尺寸（高×宽、mm）：86×86；</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颜色：白色；</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lang w:val="en-US" w:eastAsia="zh-CN" w:bidi="ar"/>
              </w:rPr>
              <w:t xml:space="preserve">0</w:t>
            </w:r>
            <w:r>
              <w:rPr>
                <w:rFonts w:hint="eastAsia" w:ascii="宋体" w:hAnsi="宋体" w:eastAsia="宋体" w:cs="宋体"/>
                <w:color w:val="000000"/>
                <w:sz w:val="22"/>
                <w:szCs w:val="22"/>
                <w:highlight w:val="none"/>
                <w:lang w:eastAsia="zh-CN"/>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吸顶式AP</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1、支持标准的802.11ax协议，整机4条空间流，整机最大接入速率≥2.975Gbps；</w:t>
            </w:r>
            <w:r>
              <w:rPr>
                <w:rFonts w:hint="eastAsia" w:ascii="宋体" w:hAnsi="宋体" w:cs="宋体"/>
                <w:color w:val="000000"/>
                <w:sz w:val="18"/>
                <w:szCs w:val="18"/>
                <w:highlight w:val="none"/>
                <w:lang w:bidi="ar"/>
              </w:rPr>
            </w:r>
            <w:r/>
          </w:p>
          <w:p>
            <w:pPr>
              <w:pStyle w:val="681"/>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2、至少支持1个1000M自适应以太网端口；至少支持1个2.5G SFP光口；</w:t>
            </w:r>
            <w:r>
              <w:rPr>
                <w:rFonts w:hint="eastAsia" w:ascii="宋体" w:hAnsi="宋体" w:cs="宋体"/>
                <w:color w:val="000000"/>
                <w:sz w:val="18"/>
                <w:szCs w:val="18"/>
                <w:highlight w:val="none"/>
                <w:lang w:bidi="ar"/>
              </w:rPr>
            </w:r>
            <w:r/>
          </w:p>
          <w:p>
            <w:pPr>
              <w:pStyle w:val="681"/>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3、支持802.3af供电和本地供电；</w:t>
            </w:r>
            <w:r>
              <w:rPr>
                <w:rFonts w:hint="eastAsia" w:ascii="宋体" w:hAnsi="宋体" w:cs="宋体"/>
                <w:color w:val="000000"/>
                <w:sz w:val="18"/>
                <w:szCs w:val="18"/>
                <w:highlight w:val="none"/>
                <w:lang w:bidi="ar"/>
              </w:rPr>
            </w:r>
            <w:r/>
          </w:p>
          <w:p>
            <w:pPr>
              <w:pStyle w:val="681"/>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4、内置蓝牙5.1；</w:t>
            </w:r>
            <w:r>
              <w:rPr>
                <w:rFonts w:hint="eastAsia" w:ascii="宋体" w:hAnsi="宋体" w:cs="宋体"/>
                <w:color w:val="000000"/>
                <w:sz w:val="18"/>
                <w:szCs w:val="18"/>
                <w:highlight w:val="none"/>
                <w:lang w:bidi="ar"/>
              </w:rPr>
            </w:r>
            <w:r/>
          </w:p>
          <w:p>
            <w:pPr>
              <w:pStyle w:val="681"/>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5、为避免无线网络中私接非法AP，所投AP应支持非法AP检测及反制功能。具有非法AP的精确反制和模糊反制功能，能够主动识别非法设备并令非法设备不能使用；</w:t>
            </w:r>
            <w:r>
              <w:rPr>
                <w:rFonts w:hint="eastAsia" w:ascii="宋体" w:hAnsi="宋体" w:cs="宋体"/>
                <w:color w:val="000000"/>
                <w:sz w:val="18"/>
                <w:szCs w:val="18"/>
                <w:highlight w:val="none"/>
              </w:rPr>
            </w:r>
            <w:r/>
          </w:p>
        </w:tc>
      </w:tr>
      <w:tr>
        <w:trPr/>
        <w:tc>
          <w:tcPr>
            <w:tcW w:w="681" w:type="dxa"/>
            <w:vAlign w:val="center"/>
            <w:textDirection w:val="lrTb"/>
            <w:noWrap w:val="false"/>
          </w:tcPr>
          <w:p>
            <w:pPr>
              <w:pStyle w:val="681"/>
              <w:jc w:val="center"/>
              <w:widowControl/>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bidi="ar"/>
              </w:rPr>
              <w:t xml:space="preserve">31</w:t>
            </w:r>
            <w:r>
              <w:rPr>
                <w:rFonts w:ascii="宋体" w:hAnsi="宋体" w:eastAsia="宋体" w:cs="宋体"/>
                <w:color w:val="000000"/>
                <w:sz w:val="22"/>
                <w:szCs w:val="22"/>
                <w:highlight w:val="none"/>
                <w:lang w:val="en-US" w:eastAsia="zh-CN"/>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机柜</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600*600*2000mm</w:t>
            </w:r>
            <w:r>
              <w:rPr>
                <w:rFonts w:hint="eastAsia" w:ascii="宋体" w:hAnsi="宋体" w:cs="宋体"/>
                <w:color w:val="000000"/>
                <w:sz w:val="20"/>
                <w:szCs w:val="20"/>
                <w:highlight w:val="none"/>
              </w:rPr>
            </w:r>
            <w:r/>
          </w:p>
        </w:tc>
      </w:tr>
      <w:tr>
        <w:trPr/>
        <w:tc>
          <w:tcPr>
            <w:tcW w:w="681" w:type="dxa"/>
            <w:vAlign w:val="center"/>
            <w:textDirection w:val="lrTb"/>
            <w:noWrap w:val="false"/>
          </w:tcPr>
          <w:p>
            <w:pPr>
              <w:pStyle w:val="681"/>
              <w:jc w:val="center"/>
              <w:widowControl/>
              <w:rPr>
                <w:rFonts w:ascii="宋体" w:hAnsi="宋体" w:cs="宋体"/>
                <w:color w:val="000000"/>
                <w:sz w:val="22"/>
                <w:szCs w:val="22"/>
                <w:highlight w:val="none"/>
                <w:lang w:val="en-US"/>
              </w:rPr>
            </w:pPr>
            <w:r>
              <w:rPr>
                <w:rFonts w:hint="eastAsia" w:ascii="宋体" w:hAnsi="宋体" w:cs="宋体"/>
                <w:color w:val="000000"/>
                <w:sz w:val="22"/>
                <w:szCs w:val="22"/>
                <w:highlight w:val="none"/>
                <w:lang w:val="en-US" w:eastAsia="zh-CN" w:bidi="ar"/>
              </w:rPr>
              <w:t xml:space="preserve">32</w:t>
            </w:r>
            <w:r>
              <w:rPr>
                <w:rFonts w:ascii="宋体" w:hAnsi="宋体" w:cs="宋体"/>
                <w:color w:val="000000"/>
                <w:sz w:val="22"/>
                <w:szCs w:val="22"/>
                <w:highlight w:val="none"/>
                <w:lang w:val="en-US"/>
              </w:rPr>
            </w:r>
            <w:r/>
          </w:p>
        </w:tc>
        <w:tc>
          <w:tcPr>
            <w:tcW w:w="1126" w:type="dxa"/>
            <w:vAlign w:val="center"/>
            <w:textDirection w:val="lrTb"/>
            <w:noWrap w:val="false"/>
          </w:tcPr>
          <w:p>
            <w:pPr>
              <w:pStyle w:val="681"/>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系统集成</w:t>
            </w:r>
            <w:r>
              <w:rPr>
                <w:rFonts w:hint="eastAsia" w:ascii="宋体" w:hAnsi="宋体" w:cs="宋体"/>
                <w:color w:val="000000"/>
                <w:sz w:val="22"/>
                <w:szCs w:val="22"/>
                <w:highlight w:val="none"/>
              </w:rPr>
            </w:r>
            <w:r/>
          </w:p>
        </w:tc>
        <w:tc>
          <w:tcPr>
            <w:tcW w:w="7464" w:type="dxa"/>
            <w:vAlign w:val="center"/>
            <w:textDirection w:val="lrTb"/>
            <w:noWrap w:val="false"/>
          </w:tcPr>
          <w:p>
            <w:pPr>
              <w:pStyle w:val="681"/>
              <w:jc w:val="left"/>
              <w:widowControl/>
              <w:rPr>
                <w:rFonts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满足标准化接口、全设备互联互通、智慧校园、一卡通无缝对接</w:t>
            </w:r>
            <w:r>
              <w:rPr>
                <w:rFonts w:ascii="宋体" w:hAnsi="宋体" w:cs="宋体"/>
                <w:color w:val="000000"/>
                <w:sz w:val="20"/>
                <w:szCs w:val="20"/>
                <w:highlight w:val="none"/>
                <w:lang w:val="en-US" w:eastAsia="zh-CN"/>
              </w:rPr>
            </w:r>
            <w:r/>
          </w:p>
        </w:tc>
      </w:tr>
    </w:tbl>
    <w:p>
      <w:pPr>
        <w:pStyle w:val="681"/>
        <w:rPr>
          <w:rFonts w:hint="eastAsia" w:ascii="宋体" w:hAnsi="宋体" w:cs="宋体"/>
          <w:sz w:val="24"/>
          <w:highlight w:val="none"/>
        </w:rPr>
      </w:pPr>
      <w:r>
        <w:rPr>
          <w:rFonts w:hint="eastAsia" w:ascii="宋体" w:hAnsi="宋体" w:cs="宋体"/>
          <w:sz w:val="24"/>
          <w:highlight w:val="none"/>
        </w:rPr>
      </w:r>
      <w:r/>
    </w:p>
    <w:p>
      <w:pPr>
        <w:pStyle w:val="681"/>
        <w:ind w:firstLine="560"/>
        <w:spacing w:line="440" w:lineRule="exact"/>
        <w:rPr>
          <w:rFonts w:hint="eastAsia"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 xml:space="preserve">注：</w:t>
      </w:r>
      <w:r>
        <w:rPr>
          <w:rFonts w:hint="eastAsia" w:ascii="仿宋_GB2312" w:eastAsia="仿宋_GB2312"/>
          <w:sz w:val="28"/>
          <w:szCs w:val="28"/>
          <w:highlight w:val="none"/>
          <w:lang w:val="en-US" w:eastAsia="zh-CN"/>
        </w:rPr>
      </w:r>
      <w:r/>
    </w:p>
    <w:p>
      <w:pPr>
        <w:pStyle w:val="681"/>
        <w:numPr>
          <w:ilvl w:val="0"/>
          <w:numId w:val="12"/>
        </w:numPr>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中标供应商在签订合同后正式供货前须向采购人提供清单内涉及到的产品各一套进行核验，同时采购人有权对中标供应商在投标时提供的证书、检测报告等原件进行核查。如在验收过程中采购人发现样品质量或证书、报告等不符合招标文件要求，采购人有权依法终止合同并依据有关法律法规追究中标单位责任。</w:t>
      </w:r>
      <w:r>
        <w:rPr>
          <w:rFonts w:hint="eastAsia" w:ascii="宋体" w:hAnsi="宋体" w:cs="宋体"/>
          <w:sz w:val="24"/>
          <w:szCs w:val="24"/>
          <w:highlight w:val="none"/>
        </w:rPr>
      </w:r>
      <w:r/>
    </w:p>
    <w:p>
      <w:pPr>
        <w:pStyle w:val="681"/>
        <w:numPr>
          <w:ilvl w:val="0"/>
          <w:numId w:val="12"/>
        </w:numPr>
        <w:ind w:firstLine="560"/>
        <w:spacing w:line="360" w:lineRule="auto"/>
        <w:rPr>
          <w:rFonts w:hint="eastAsia" w:ascii="宋体" w:hAnsi="宋体"/>
          <w:color w:val="000000"/>
          <w:sz w:val="24"/>
          <w:highlight w:val="none"/>
        </w:rPr>
      </w:pPr>
      <w:r>
        <w:rPr>
          <w:rFonts w:hint="eastAsia" w:ascii="宋体" w:hAnsi="宋体" w:eastAsia="宋体" w:cs="宋体"/>
          <w:sz w:val="24"/>
          <w:szCs w:val="24"/>
          <w:highlight w:val="none"/>
        </w:rPr>
        <w:t xml:space="preserve">投标供应商的投标总价应满足本项目招标文件的全部技术要求，其中打“</w:t>
      </w:r>
      <w:r>
        <w:rPr>
          <w:rFonts w:hint="eastAsia" w:ascii="宋体" w:hAnsi="宋体" w:eastAsia="宋体" w:cs="宋体"/>
          <w:color w:val="000000"/>
          <w:sz w:val="24"/>
          <w:szCs w:val="24"/>
          <w:highlight w:val="none"/>
          <w:lang w:bidi="ar"/>
        </w:rPr>
        <w:t xml:space="preserve">▲</w:t>
      </w:r>
      <w:r>
        <w:rPr>
          <w:rFonts w:hint="eastAsia" w:ascii="宋体" w:hAnsi="宋体" w:eastAsia="宋体" w:cs="宋体"/>
          <w:sz w:val="24"/>
          <w:szCs w:val="24"/>
          <w:highlight w:val="none"/>
        </w:rPr>
        <w:t xml:space="preserve">”项为重要技术指标，</w:t>
      </w:r>
      <w:r>
        <w:rPr>
          <w:rFonts w:hint="eastAsia" w:ascii="宋体" w:hAnsi="宋体" w:eastAsia="宋体" w:cs="宋体"/>
          <w:sz w:val="24"/>
          <w:szCs w:val="24"/>
          <w:highlight w:val="none"/>
          <w:lang w:val="en-US" w:eastAsia="zh-CN"/>
        </w:rPr>
        <w:t xml:space="preserve">中标以后</w:t>
      </w:r>
      <w:r>
        <w:rPr>
          <w:rFonts w:hint="eastAsia" w:ascii="宋体" w:hAnsi="宋体" w:eastAsia="宋体" w:cs="宋体"/>
          <w:sz w:val="24"/>
          <w:szCs w:val="24"/>
          <w:highlight w:val="none"/>
        </w:rPr>
        <w:t xml:space="preserve">必须提供</w:t>
      </w:r>
      <w:r>
        <w:rPr>
          <w:rFonts w:hint="eastAsia" w:ascii="宋体" w:hAnsi="宋体" w:eastAsia="宋体" w:cs="宋体"/>
          <w:sz w:val="24"/>
          <w:szCs w:val="24"/>
          <w:highlight w:val="none"/>
          <w:lang w:val="en-US" w:eastAsia="zh-CN"/>
        </w:rPr>
        <w:t xml:space="preserve">国家认可的权威第三方机构检测报告原件</w:t>
      </w:r>
      <w:r>
        <w:rPr>
          <w:rFonts w:hint="eastAsia" w:ascii="宋体" w:hAnsi="宋体" w:cs="宋体"/>
          <w:b w:val="0"/>
          <w:bCs/>
          <w:sz w:val="24"/>
          <w:highlight w:val="none"/>
          <w:lang w:val="en-US" w:eastAsia="zh-CN"/>
        </w:rPr>
        <w:t xml:space="preserve">，</w:t>
      </w:r>
      <w:r>
        <w:rPr>
          <w:rFonts w:hint="eastAsia" w:ascii="宋体" w:hAnsi="宋体" w:eastAsia="宋体" w:cs="宋体"/>
          <w:sz w:val="24"/>
          <w:szCs w:val="24"/>
          <w:highlight w:val="none"/>
          <w:lang w:val="en-US" w:eastAsia="zh-CN"/>
        </w:rPr>
        <w:t xml:space="preserve">中标后无法提供的，视同投标技术参数不满足招标文件要求，</w:t>
      </w:r>
      <w:r>
        <w:rPr>
          <w:rFonts w:hint="eastAsia" w:ascii="宋体" w:hAnsi="宋体" w:cs="宋体"/>
          <w:sz w:val="24"/>
          <w:szCs w:val="24"/>
          <w:highlight w:val="none"/>
        </w:rPr>
        <w:t xml:space="preserve">采购人有权依法终止合同并依据有关法律法规追究中标单位责任。</w:t>
      </w:r>
      <w:r>
        <w:rPr>
          <w:rFonts w:hint="eastAsia" w:ascii="宋体" w:hAnsi="宋体"/>
          <w:color w:val="000000"/>
          <w:sz w:val="24"/>
          <w:highlight w:val="none"/>
        </w:rPr>
      </w:r>
      <w:r/>
    </w:p>
    <w:p>
      <w:pPr>
        <w:pStyle w:val="681"/>
        <w:ind w:firstLine="480"/>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rPr>
        <w:t xml:space="preserve">3、产品质量必须符合《中华人民共和国国家标准》及我国最新颁布的与之相关的技术规范与</w:t>
      </w:r>
      <w:r>
        <w:rPr>
          <w:rFonts w:hint="eastAsia" w:ascii="宋体" w:hAnsi="宋体" w:eastAsia="宋体" w:cs="Times New Roman"/>
          <w:color w:val="000000"/>
          <w:sz w:val="24"/>
          <w:highlight w:val="none"/>
        </w:rPr>
        <w:t xml:space="preserve">正宗合格产品标准，同时必须满足采购清单中所列全部规格、型号、具体配置、技术条件及功能要求和供方承诺的其他指标；产品质量出现问题，供方负责包退、包换、包修，其费用由供方负责。</w:t>
      </w:r>
      <w:r>
        <w:rPr>
          <w:rFonts w:hint="eastAsia" w:ascii="宋体" w:hAnsi="宋体" w:eastAsia="宋体" w:cs="Times New Roman"/>
          <w:color w:val="000000"/>
          <w:sz w:val="24"/>
          <w:highlight w:val="none"/>
        </w:rPr>
      </w:r>
      <w:r/>
    </w:p>
    <w:p>
      <w:pPr>
        <w:pStyle w:val="681"/>
        <w:ind w:firstLine="48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供应商需指派一名经验丰富的项目负责人，全权负责项目对接及统筹工作。需指派一名</w:t>
      </w:r>
      <w:r>
        <w:rPr>
          <w:rFonts w:hint="eastAsia" w:ascii="宋体" w:hAnsi="宋体" w:eastAsia="宋体" w:cs="Times New Roman"/>
          <w:color w:val="000000"/>
          <w:sz w:val="24"/>
          <w:highlight w:val="none"/>
          <w:lang w:val="en-US" w:eastAsia="zh-CN"/>
        </w:rPr>
        <w:t xml:space="preserve">技术人员</w:t>
      </w:r>
      <w:r>
        <w:rPr>
          <w:rFonts w:hint="eastAsia" w:ascii="宋体" w:hAnsi="宋体" w:eastAsia="宋体" w:cs="Times New Roman"/>
          <w:color w:val="000000"/>
          <w:sz w:val="24"/>
          <w:highlight w:val="none"/>
        </w:rPr>
        <w:t xml:space="preserve">，负责所有货物的安装、调试</w:t>
      </w:r>
      <w:r>
        <w:rPr>
          <w:rFonts w:hint="eastAsia" w:ascii="宋体" w:hAnsi="宋体" w:eastAsia="宋体" w:cs="Times New Roman"/>
          <w:color w:val="000000"/>
          <w:sz w:val="24"/>
          <w:highlight w:val="none"/>
          <w:lang w:val="en-US" w:eastAsia="zh-CN"/>
        </w:rPr>
        <w:t xml:space="preserve">等工作。</w:t>
      </w:r>
      <w:r>
        <w:rPr>
          <w:rFonts w:ascii="宋体" w:hAnsi="宋体" w:eastAsia="宋体" w:cs="Times New Roman"/>
          <w:color w:val="000000"/>
          <w:sz w:val="24"/>
          <w:highlight w:val="none"/>
          <w:lang w:val="en-US" w:eastAsia="zh-CN"/>
        </w:rPr>
      </w:r>
      <w:r/>
    </w:p>
    <w:p>
      <w:pPr>
        <w:pStyle w:val="681"/>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5、质保期内配备专职驻场运维工程师1名（全职驻校）。</w:t>
      </w:r>
      <w:r>
        <w:rPr>
          <w:rFonts w:hint="eastAsia" w:ascii="宋体" w:hAnsi="宋体" w:eastAsia="宋体" w:cs="Times New Roman"/>
          <w:color w:val="000000"/>
          <w:sz w:val="24"/>
          <w:highlight w:val="none"/>
        </w:rPr>
      </w:r>
      <w:r/>
    </w:p>
    <w:p>
      <w:pPr>
        <w:pStyle w:val="681"/>
        <w:ind w:firstLine="0"/>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81"/>
        <w:numPr>
          <w:ilvl w:val="1"/>
          <w:numId w:val="13"/>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投标总报价包括满足本项目要求的所有产品及其配件、包装、运杂、安装调试及售后服务等从项目中标起到项目正式交付以及质保期内所发生的一切费用。</w:t>
      </w:r>
      <w:r>
        <w:rPr>
          <w:rFonts w:ascii="宋体"/>
          <w:bCs/>
          <w:color w:val="000000"/>
          <w:sz w:val="24"/>
          <w:szCs w:val="24"/>
          <w:highlight w:val="none"/>
        </w:rPr>
      </w:r>
      <w:r/>
    </w:p>
    <w:p>
      <w:pPr>
        <w:pStyle w:val="681"/>
        <w:numPr>
          <w:ilvl w:val="1"/>
          <w:numId w:val="13"/>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进口产品是指通过中国海关报关验放进入中国境内且产自关境外的产品</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81"/>
        <w:numPr>
          <w:ilvl w:val="1"/>
          <w:numId w:val="13"/>
        </w:numPr>
        <w:ind w:left="0" w:firstLine="480"/>
        <w:spacing w:line="360" w:lineRule="auto"/>
        <w:tabs>
          <w:tab w:val="left" w:pos="525" w:leader="none"/>
          <w:tab w:val="left" w:pos="840" w:leader="none"/>
          <w:tab w:val="left" w:pos="945" w:leader="none"/>
        </w:tabs>
        <w:rPr>
          <w:rFonts w:hint="eastAsia" w:ascii="宋体" w:hAnsi="宋体" w:cs="宋体"/>
          <w:bCs/>
          <w:color w:val="000000"/>
          <w:sz w:val="24"/>
          <w:szCs w:val="24"/>
          <w:highlight w:val="none"/>
        </w:rPr>
      </w:pPr>
      <w:r>
        <w:rPr>
          <w:rFonts w:hint="eastAsia" w:ascii="宋体"/>
          <w:bCs/>
          <w:color w:val="000000"/>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hAnsi="宋体" w:cs="宋体"/>
          <w:bCs/>
          <w:color w:val="000000"/>
          <w:sz w:val="24"/>
          <w:szCs w:val="24"/>
          <w:highlight w:val="none"/>
        </w:rPr>
      </w:r>
      <w:r/>
    </w:p>
    <w:p>
      <w:pPr>
        <w:pStyle w:val="681"/>
        <w:numPr>
          <w:ilvl w:val="1"/>
          <w:numId w:val="13"/>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供货期间，采购人可随时委托具有资质的第三方专业检测机构进行全过程跟踪检测，检测内容包括但不限于原材料、半成品、成品等。检测标准以国家、行业标准、招标文件及投标承诺为依据。供应商须无条件配合采购人、检测单位完成跟踪检测工作，并由采购人委托的检测单位出具检测报告及验收报告。相关检测费用由中标单位承担，若检测结果没有达到中标单位投标文件中承诺的技术要求，采购人有权因此而终止部分直至全部合同，由此而造成的后果和责任由供应商全部承担。</w:t>
      </w:r>
      <w:r>
        <w:rPr>
          <w:rFonts w:ascii="宋体"/>
          <w:bCs/>
          <w:color w:val="000000"/>
          <w:sz w:val="24"/>
          <w:szCs w:val="24"/>
          <w:highlight w:val="none"/>
        </w:rPr>
      </w:r>
      <w:r/>
    </w:p>
    <w:p>
      <w:pPr>
        <w:pStyle w:val="681"/>
        <w:numPr>
          <w:ilvl w:val="1"/>
          <w:numId w:val="13"/>
        </w:numPr>
        <w:ind w:left="0" w:firstLine="480"/>
        <w:spacing w:line="360" w:lineRule="auto"/>
        <w:tabs>
          <w:tab w:val="left" w:pos="525" w:leader="none"/>
          <w:tab w:val="left" w:pos="945" w:leader="none"/>
        </w:tabs>
        <w:rPr>
          <w:highlight w:val="none"/>
        </w:rPr>
      </w:pPr>
      <w:r>
        <w:rPr>
          <w:rFonts w:hint="eastAsia" w:ascii="宋体" w:hAnsi="宋体" w:cs="宋体"/>
          <w:bCs/>
          <w:color w:val="000000"/>
          <w:sz w:val="24"/>
          <w:szCs w:val="24"/>
          <w:highlight w:val="none"/>
        </w:rPr>
        <w:t xml:space="preserve">交货期或完工期：</w:t>
      </w:r>
      <w:r>
        <w:rPr>
          <w:rFonts w:hint="eastAsia" w:ascii="宋体" w:hAnsi="宋体"/>
          <w:color w:val="000000"/>
          <w:sz w:val="24"/>
          <w:highlight w:val="none"/>
        </w:rPr>
        <w:t xml:space="preserve">自合同签订生效起且接到采购人通知后30日内送货到指定地点并安装完毕交付使用。</w:t>
      </w:r>
      <w:r>
        <w:rPr>
          <w:highlight w:val="none"/>
        </w:rPr>
      </w:r>
      <w:r/>
    </w:p>
    <w:p>
      <w:pPr>
        <w:pStyle w:val="681"/>
        <w:numPr>
          <w:ilvl w:val="1"/>
          <w:numId w:val="13"/>
        </w:numPr>
        <w:ind w:left="0" w:firstLine="480"/>
        <w:spacing w:line="360" w:lineRule="auto"/>
        <w:tabs>
          <w:tab w:val="left" w:pos="525" w:leader="none"/>
          <w:tab w:val="left" w:pos="945" w:leader="none"/>
        </w:tabs>
        <w:rPr>
          <w:highlight w:val="none"/>
        </w:rPr>
      </w:pPr>
      <w:r>
        <w:rPr>
          <w:rFonts w:hint="eastAsia" w:ascii="宋体" w:hAnsi="宋体"/>
          <w:color w:val="000000"/>
          <w:sz w:val="24"/>
          <w:highlight w:val="none"/>
        </w:rPr>
        <w:t xml:space="preserve">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rPr>
          <w:highlight w:val="none"/>
        </w:rPr>
      </w:r>
      <w:r/>
    </w:p>
    <w:p>
      <w:pPr>
        <w:pStyle w:val="681"/>
        <w:numPr>
          <w:ilvl w:val="1"/>
          <w:numId w:val="13"/>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宋体"/>
          <w:bCs/>
          <w:color w:val="000000"/>
          <w:sz w:val="24"/>
          <w:szCs w:val="24"/>
          <w:highlight w:val="none"/>
          <w:lang w:eastAsia="zh-CN"/>
        </w:rPr>
        <w:t xml:space="preserve">付款方式：合同签订生效后，采购人按财政计划支付合同价款。所有货物安装完毕并经验收合格后支付至合同价款的50%，正常运行半年后支付至合同价的90%，余款验收合格满一年后付清。上述款项均不计息，乙方应于每次付款前向甲方提供对应金额的发票，否则甲方有权相应顺延付款而无需承担逾期付款责任</w:t>
      </w:r>
      <w:r>
        <w:rPr>
          <w:rFonts w:hint="eastAsia" w:ascii="宋体" w:hAnsi="宋体" w:cs="宋体"/>
          <w:bCs/>
          <w:color w:val="000000"/>
          <w:sz w:val="24"/>
          <w:szCs w:val="24"/>
          <w:highlight w:val="none"/>
        </w:rPr>
        <w:t xml:space="preserve">。</w:t>
      </w:r>
      <w:r>
        <w:rPr>
          <w:rFonts w:ascii="宋体"/>
          <w:bCs/>
          <w:color w:val="000000"/>
          <w:sz w:val="24"/>
          <w:szCs w:val="24"/>
          <w:highlight w:val="none"/>
        </w:rPr>
      </w:r>
      <w:r/>
    </w:p>
    <w:p>
      <w:pPr>
        <w:pStyle w:val="681"/>
        <w:numPr>
          <w:ilvl w:val="1"/>
          <w:numId w:val="13"/>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履约担保：</w:t>
      </w:r>
      <w:r>
        <w:rPr>
          <w:rFonts w:hint="eastAsia" w:ascii="宋体" w:hAnsi="宋体" w:cs="宋体"/>
          <w:color w:val="000000"/>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本项目无需提供履约保证金）</w:t>
      </w:r>
      <w:r>
        <w:rPr>
          <w:rFonts w:ascii="宋体"/>
          <w:bCs/>
          <w:color w:val="000000"/>
          <w:sz w:val="24"/>
          <w:szCs w:val="24"/>
          <w:highlight w:val="none"/>
        </w:rPr>
      </w:r>
      <w:r/>
    </w:p>
    <w:p>
      <w:pPr>
        <w:pStyle w:val="681"/>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w:t>
      </w:r>
      <w:r>
        <w:rPr>
          <w:rFonts w:hint="eastAsia" w:ascii="宋体" w:hAnsi="宋体" w:cs="宋体"/>
          <w:color w:val="000000"/>
          <w:sz w:val="24"/>
          <w:highlight w:val="none"/>
        </w:rPr>
        <w:t xml:space="preserve">该项目位于</w:t>
      </w:r>
      <w:r>
        <w:rPr>
          <w:rFonts w:hint="eastAsia" w:ascii="宋体" w:hAnsi="宋体" w:cs="宋体"/>
          <w:color w:val="000000"/>
          <w:sz w:val="24"/>
          <w:highlight w:val="none"/>
          <w:lang w:eastAsia="zh-CN"/>
        </w:rPr>
        <w:t xml:space="preserve">江苏省梅村高级中学</w:t>
      </w:r>
      <w:r>
        <w:rPr>
          <w:rFonts w:hint="eastAsia" w:ascii="宋体" w:hAnsi="宋体"/>
          <w:bCs/>
          <w:color w:val="000000"/>
          <w:sz w:val="24"/>
          <w:szCs w:val="24"/>
          <w:highlight w:val="none"/>
        </w:rPr>
        <w:t xml:space="preserve">，具体地点以合同书约定为准。中标方必须按采购人要求将本项目中货物送到指定地点（包括可能的分布范围），并实施安装调试。</w:t>
      </w:r>
      <w:r>
        <w:rPr>
          <w:rFonts w:ascii="宋体"/>
          <w:bCs/>
          <w:color w:val="000000"/>
          <w:sz w:val="24"/>
          <w:szCs w:val="24"/>
          <w:highlight w:val="none"/>
        </w:rPr>
      </w:r>
      <w:r/>
    </w:p>
    <w:p>
      <w:pPr>
        <w:pStyle w:val="681"/>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highlight w:val="none"/>
        </w:rPr>
      </w:r>
      <w:r/>
    </w:p>
    <w:p>
      <w:pPr>
        <w:pStyle w:val="681"/>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000000"/>
          <w:sz w:val="24"/>
          <w:szCs w:val="24"/>
          <w:highlight w:val="none"/>
        </w:rPr>
      </w:r>
      <w:r/>
    </w:p>
    <w:p>
      <w:pPr>
        <w:pStyle w:val="681"/>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ascii="宋体"/>
          <w:bCs/>
          <w:color w:val="000000"/>
          <w:sz w:val="24"/>
          <w:szCs w:val="24"/>
          <w:highlight w:val="none"/>
        </w:rPr>
      </w:r>
      <w:r/>
    </w:p>
    <w:p>
      <w:pPr>
        <w:pStyle w:val="681"/>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bCs/>
          <w:color w:val="000000"/>
          <w:sz w:val="24"/>
          <w:szCs w:val="24"/>
          <w:highlight w:val="none"/>
        </w:rPr>
      </w:r>
      <w:r/>
    </w:p>
    <w:p>
      <w:pPr>
        <w:pStyle w:val="681"/>
        <w:numPr>
          <w:ilvl w:val="1"/>
          <w:numId w:val="13"/>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81"/>
        <w:spacing w:line="360" w:lineRule="auto"/>
        <w:rPr>
          <w:rFonts w:ascii="宋体"/>
          <w:bCs/>
          <w:color w:val="000000"/>
          <w:sz w:val="24"/>
          <w:szCs w:val="24"/>
          <w:highlight w:val="none"/>
        </w:rPr>
      </w:pPr>
      <w:r>
        <w:rPr>
          <w:rFonts w:ascii="宋体"/>
          <w:bCs/>
          <w:color w:val="000000"/>
          <w:sz w:val="24"/>
          <w:szCs w:val="24"/>
          <w:highlight w:val="none"/>
        </w:rPr>
      </w:r>
      <w:r/>
    </w:p>
    <w:p>
      <w:pPr>
        <w:pStyle w:val="681"/>
        <w:ind w:firstLine="480"/>
        <w:spacing w:line="360" w:lineRule="auto"/>
        <w:tabs>
          <w:tab w:val="left" w:pos="525" w:leader="none"/>
          <w:tab w:val="left" w:pos="630" w:leader="none"/>
          <w:tab w:val="left" w:pos="735" w:leader="none"/>
          <w:tab w:val="left" w:pos="945" w:leader="none"/>
        </w:tabs>
        <w:rPr>
          <w:rFonts w:ascii="宋体" w:hAnsi="宋体"/>
          <w:b/>
          <w:bCs/>
          <w:color w:val="000000"/>
          <w:sz w:val="30"/>
          <w:szCs w:val="30"/>
          <w:highlight w:val="none"/>
        </w:rPr>
      </w:pPr>
      <w:r>
        <w:rPr>
          <w:rFonts w:hint="eastAsia"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ascii="宋体" w:hAnsi="宋体"/>
          <w:b/>
          <w:bCs/>
          <w:color w:val="000000"/>
          <w:sz w:val="30"/>
          <w:szCs w:val="30"/>
          <w:highlight w:val="none"/>
        </w:rPr>
      </w:r>
      <w:r/>
    </w:p>
    <w:p>
      <w:pPr>
        <w:pStyle w:val="681"/>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none"/>
        </w:rPr>
      </w:pPr>
      <w:r/>
      <w:bookmarkStart w:id="187" w:name="四．合同书"/>
      <w:r/>
      <w:bookmarkEnd w:id="187"/>
      <w:r/>
      <w:bookmarkStart w:id="188" w:name="三．项目技术配置和有关说明"/>
      <w:r/>
      <w:bookmarkEnd w:id="188"/>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681"/>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6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6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681"/>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681"/>
        <w:numPr>
          <w:ilvl w:val="1"/>
          <w:numId w:val="14"/>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681"/>
        <w:numPr>
          <w:ilvl w:val="1"/>
          <w:numId w:val="14"/>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681"/>
        <w:numPr>
          <w:ilvl w:val="1"/>
          <w:numId w:val="14"/>
        </w:numPr>
        <w:ind w:left="0" w:firstLine="480"/>
        <w:jc w:val="left"/>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Times New Roman" w:eastAsia="宋体" w:cs="Times New Roman"/>
          <w:bCs/>
          <w:color w:val="000000"/>
          <w:sz w:val="24"/>
          <w:szCs w:val="24"/>
          <w:highlight w:val="none"/>
        </w:rPr>
      </w:r>
      <w:r/>
    </w:p>
    <w:p>
      <w:pPr>
        <w:pStyle w:val="681"/>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highlight w:val="none"/>
        </w:rPr>
      </w:r>
      <w:r/>
    </w:p>
    <w:p>
      <w:pPr>
        <w:pStyle w:val="681"/>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7</w:t>
      </w:r>
      <w:r>
        <w:rPr>
          <w:rFonts w:hint="eastAsia" w:ascii="宋体"/>
          <w:bCs/>
          <w:color w:val="000000"/>
          <w:sz w:val="24"/>
          <w:szCs w:val="24"/>
          <w:highlight w:val="none"/>
          <w:lang w:val="en-US" w:eastAsia="zh-CN"/>
        </w:rPr>
        <w:t xml:space="preserve">.</w:t>
      </w:r>
      <w:r>
        <w:rPr>
          <w:rFonts w:hint="eastAsia" w:ascii="宋体"/>
          <w:bCs/>
          <w:color w:val="000000"/>
          <w:sz w:val="24"/>
          <w:szCs w:val="24"/>
          <w:highlight w:val="none"/>
        </w:rPr>
        <w:t xml:space="preserve">本项目中如有涉及数据库、操作系</w:t>
      </w:r>
      <w:r>
        <w:rPr>
          <w:rFonts w:hint="eastAsia" w:ascii="宋体"/>
          <w:bCs/>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681"/>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8.</w:t>
      </w: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681"/>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rPr>
      </w:r>
      <w:r/>
    </w:p>
    <w:p>
      <w:pPr>
        <w:pStyle w:val="681"/>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rPr>
      </w:r>
      <w:r/>
    </w:p>
    <w:p>
      <w:pPr>
        <w:pStyle w:val="681"/>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9.</w:t>
      </w: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rPr>
      </w:r>
      <w:r/>
    </w:p>
    <w:p>
      <w:pPr>
        <w:pStyle w:val="681"/>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10.</w:t>
      </w:r>
      <w:r>
        <w:rPr>
          <w:rFonts w:hint="eastAsia" w:ascii="宋体"/>
          <w:bCs/>
          <w:color w:val="000000"/>
          <w:sz w:val="24"/>
          <w:szCs w:val="24"/>
          <w:highlight w:val="none"/>
        </w:rPr>
        <w:t xml:space="preserve">根据</w:t>
      </w:r>
      <w:bookmarkStart w:id="189" w:name="OLE_LINK1"/>
      <w:r/>
      <w:bookmarkStart w:id="190" w:name="OLE_LINK2"/>
      <w:r>
        <w:rPr>
          <w:rFonts w:hint="eastAsia" w:ascii="宋体"/>
          <w:bCs/>
          <w:color w:val="000000"/>
          <w:sz w:val="24"/>
          <w:szCs w:val="24"/>
          <w:highlight w:val="none"/>
        </w:rPr>
        <w:t xml:space="preserve">《保障中小企业款项支付条例》（中华人民共和国国务院令第802号）</w:t>
      </w:r>
      <w:bookmarkEnd w:id="189"/>
      <w:r/>
      <w:bookmarkEnd w:id="190"/>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681"/>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rPr>
      </w:r>
      <w:r/>
    </w:p>
    <w:p>
      <w:pPr>
        <w:pStyle w:val="681"/>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rPr>
      </w:r>
      <w:r/>
    </w:p>
    <w:p>
      <w:pPr>
        <w:pStyle w:val="681"/>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rPr>
      </w:r>
      <w:r/>
    </w:p>
    <w:p>
      <w:pPr>
        <w:pStyle w:val="681"/>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81"/>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12.</w:t>
      </w: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81"/>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ascii="宋体"/>
          <w:bCs/>
          <w:color w:val="000000"/>
          <w:sz w:val="24"/>
          <w:szCs w:val="24"/>
          <w:highlight w:val="none"/>
        </w:rPr>
        <w:br w:type="page" w:clear="all"/>
      </w:r>
      <w:bookmarkStart w:id="191" w:name="_Toc120614281"/>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rPr>
          <w:rFonts w:ascii="黑体" w:hAnsi="黑体" w:eastAsia="黑体"/>
          <w:bCs/>
          <w:color w:val="000000"/>
          <w:sz w:val="36"/>
          <w:szCs w:val="36"/>
          <w:highlight w:val="none"/>
        </w:rPr>
      </w:r>
      <w:r/>
    </w:p>
    <w:p>
      <w:pPr>
        <w:pStyle w:val="1006"/>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评标方法</w:t>
      </w:r>
      <w:r>
        <w:rPr>
          <w:rFonts w:cs="Arial"/>
          <w:b/>
          <w:color w:val="000000"/>
          <w:sz w:val="30"/>
          <w:szCs w:val="30"/>
          <w:highlight w:val="none"/>
        </w:rPr>
      </w:r>
      <w:r/>
    </w:p>
    <w:p>
      <w:pPr>
        <w:pStyle w:val="1006"/>
        <w:spacing w:before="0" w:after="0" w:line="500" w:lineRule="exact"/>
        <w:rPr>
          <w:rFonts w:cs="Arial"/>
          <w:color w:val="000000"/>
          <w:highlight w:val="none"/>
        </w:rPr>
      </w:pPr>
      <w:r>
        <w:rPr>
          <w:rFonts w:hint="eastAsia" w:cs="Arial"/>
          <w:color w:val="000000"/>
          <w:highlight w:val="none"/>
        </w:rPr>
        <w:t xml:space="preserve">投标人通过初审的，方可进入比较与评价程序。</w:t>
      </w:r>
      <w:r>
        <w:rPr>
          <w:rFonts w:cs="Arial"/>
          <w:color w:val="000000"/>
          <w:highlight w:val="none"/>
        </w:rPr>
      </w:r>
      <w:r/>
    </w:p>
    <w:p>
      <w:pPr>
        <w:pStyle w:val="1006"/>
        <w:spacing w:before="0" w:after="0" w:line="500" w:lineRule="exact"/>
        <w:rPr>
          <w:rFonts w:cs="Arial"/>
          <w:color w:val="000000"/>
          <w:highlight w:val="none"/>
        </w:rPr>
      </w:pPr>
      <w:r>
        <w:rPr>
          <w:rFonts w:hint="eastAsia" w:cs="Arial"/>
          <w:color w:val="000000"/>
          <w:highlight w:val="none"/>
        </w:rPr>
        <w:t xml:space="preserve">比较与评价采用综合评分法。</w:t>
      </w:r>
      <w:r>
        <w:rPr>
          <w:rFonts w:cs="Arial"/>
          <w:color w:val="000000"/>
          <w:highlight w:val="none"/>
        </w:rPr>
      </w:r>
      <w:r/>
    </w:p>
    <w:p>
      <w:pPr>
        <w:pStyle w:val="1006"/>
        <w:spacing w:before="0" w:after="0" w:line="500" w:lineRule="exact"/>
        <w:rPr>
          <w:rFonts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ascii="宋体" w:hAnsi="宋体"/>
          <w:bCs/>
          <w:color w:val="000000"/>
          <w:highlight w:val="none"/>
        </w:rPr>
      </w:r>
      <w:r/>
    </w:p>
    <w:p>
      <w:pPr>
        <w:pStyle w:val="1006"/>
        <w:spacing w:before="0" w:after="0" w:line="500" w:lineRule="exact"/>
        <w:rPr>
          <w:rFonts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宋体" w:hAnsi="宋体"/>
          <w:bCs/>
          <w:color w:val="000000"/>
          <w:highlight w:val="none"/>
        </w:rPr>
      </w:r>
      <w:r/>
    </w:p>
    <w:p>
      <w:pPr>
        <w:pStyle w:val="1006"/>
        <w:spacing w:before="0" w:after="0" w:line="500" w:lineRule="exact"/>
        <w:rPr>
          <w:rFonts w:ascii="宋体" w:hAnsi="宋体"/>
          <w:bCs/>
          <w:color w:val="00000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ascii="宋体" w:hAnsi="宋体"/>
          <w:bCs/>
          <w:color w:val="000000"/>
          <w:highlight w:val="none"/>
        </w:rPr>
      </w:r>
      <w:r/>
    </w:p>
    <w:p>
      <w:pPr>
        <w:pStyle w:val="1006"/>
        <w:ind w:firstLine="0"/>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ascii="宋体" w:hAnsi="宋体"/>
          <w:b/>
          <w:color w:val="000000"/>
          <w:sz w:val="28"/>
          <w:szCs w:val="28"/>
          <w:highlight w:val="none"/>
        </w:rPr>
      </w:r>
      <w:r/>
    </w:p>
    <w:p>
      <w:pPr>
        <w:pStyle w:val="1006"/>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681"/>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1.小微型企业价格扣除：本项目或采购包“落实政府采购政策需满足的资格要求”中的“中小企业政策”</w:t>
      </w:r>
      <w:r>
        <w:rPr>
          <w:rFonts w:hint="eastAsia" w:ascii="宋体" w:hAnsi="宋体"/>
          <w:b/>
          <w:bCs/>
          <w:color w:val="000000"/>
          <w:sz w:val="24"/>
          <w:szCs w:val="24"/>
          <w:highlight w:val="none"/>
          <w:lang w:val="en-US" w:eastAsia="zh-CN"/>
        </w:rPr>
        <w:t xml:space="preserve">非</w:t>
      </w:r>
      <w:r>
        <w:rPr>
          <w:rFonts w:hint="eastAsia" w:ascii="宋体" w:hAnsi="宋体"/>
          <w:b/>
          <w:bCs/>
          <w:color w:val="000000"/>
          <w:sz w:val="24"/>
          <w:szCs w:val="24"/>
          <w:highlight w:val="none"/>
        </w:rPr>
        <w:t xml:space="preserve">专门面向中小企业的，本项目或采购包享受小微型企业价格扣除政策。</w:t>
      </w:r>
      <w:r>
        <w:rPr>
          <w:rFonts w:hint="eastAsia" w:ascii="宋体" w:hAnsi="宋体"/>
          <w:b/>
          <w:bCs/>
          <w:color w:val="000000"/>
          <w:sz w:val="24"/>
          <w:szCs w:val="24"/>
          <w:highlight w:val="none"/>
        </w:rPr>
      </w:r>
      <w:r/>
    </w:p>
    <w:p>
      <w:pPr>
        <w:pStyle w:val="681"/>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681"/>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sz w:val="24"/>
          <w:szCs w:val="24"/>
          <w:highlight w:val="none"/>
        </w:rPr>
        <w:t xml:space="preserve">201</w:t>
      </w:r>
      <w:r>
        <w:rPr>
          <w:rFonts w:hint="eastAsia" w:ascii="宋体" w:hAnsi="宋体"/>
          <w:bCs/>
          <w:color w:val="000000"/>
          <w:sz w:val="24"/>
          <w:szCs w:val="24"/>
          <w:highlight w:val="none"/>
        </w:rPr>
        <w:t xml:space="preserve">4〕68号）的规定提供由省级以上监狱管理局、戒毒管理局（含新疆生产建设兵团）出具的属于监狱企业的证明文件复印件。</w:t>
      </w:r>
      <w:r>
        <w:rPr>
          <w:rFonts w:ascii="宋体" w:hAnsi="宋体"/>
          <w:bCs/>
          <w:color w:val="000000"/>
          <w:sz w:val="24"/>
          <w:szCs w:val="24"/>
          <w:highlight w:val="none"/>
        </w:rPr>
      </w:r>
      <w:r/>
    </w:p>
    <w:p>
      <w:pPr>
        <w:pStyle w:val="681"/>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1.4残疾人福利单位、监狱企业属于小型、微型企业的，不重复享受政策。</w:t>
      </w:r>
      <w:r>
        <w:rPr>
          <w:rFonts w:hint="eastAsia" w:ascii="宋体" w:hAnsi="宋体"/>
          <w:bCs/>
          <w:color w:val="000000"/>
          <w:sz w:val="24"/>
          <w:szCs w:val="24"/>
          <w:highlight w:val="none"/>
        </w:rPr>
      </w:r>
      <w:r/>
    </w:p>
    <w:p>
      <w:pPr>
        <w:pStyle w:val="681"/>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681"/>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81"/>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rPr>
          <w:rFonts w:hint="eastAsia" w:ascii="宋体" w:hAnsi="宋体"/>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681"/>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rPr>
          <w:rFonts w:hint="eastAsia" w:ascii="宋体" w:hAnsi="宋体"/>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rPr>
          <w:rFonts w:hint="eastAsia" w:ascii="宋体" w:hAnsi="宋体"/>
          <w:bCs/>
          <w:color w:val="000000"/>
          <w:sz w:val="24"/>
          <w:szCs w:val="24"/>
          <w:highlight w:val="none"/>
        </w:rPr>
      </w:r>
      <w:r/>
    </w:p>
    <w:p>
      <w:pPr>
        <w:pStyle w:val="6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none"/>
        </w:rPr>
      </w:r>
      <w:r/>
    </w:p>
    <w:p>
      <w:pPr>
        <w:pStyle w:val="681"/>
        <w:ind w:firstLine="480"/>
        <w:jc w:val="left"/>
        <w:spacing w:line="500" w:lineRule="exact"/>
        <w:rPr>
          <w:color w:val="000000"/>
          <w:highlight w:val="none"/>
        </w:rPr>
      </w:pPr>
      <w:r>
        <w:rPr>
          <w:rFonts w:hint="eastAsia" w:ascii="宋体" w:hAnsi="宋体"/>
          <w:bCs/>
          <w:color w:val="000000"/>
          <w:sz w:val="24"/>
          <w:szCs w:val="24"/>
          <w:highlight w:val="none"/>
        </w:rPr>
        <w:t xml:space="preserve">1000000×[1-（10%+20%）]=700000元</w:t>
      </w:r>
      <w:r>
        <w:rPr>
          <w:color w:val="000000"/>
          <w:highlight w:val="none"/>
        </w:rPr>
      </w:r>
      <w:r/>
    </w:p>
    <w:p>
      <w:pPr>
        <w:pStyle w:val="1006"/>
        <w:numPr>
          <w:ilvl w:val="0"/>
          <w:numId w:val="0"/>
        </w:numPr>
        <w:ind w:firstLine="0"/>
        <w:jc w:val="both"/>
        <w:spacing w:before="0" w:after="0" w:line="360" w:lineRule="auto"/>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二、</w:t>
      </w:r>
      <w:r>
        <w:rPr>
          <w:rFonts w:hint="eastAsia" w:ascii="宋体" w:hAnsi="宋体"/>
          <w:b/>
          <w:color w:val="000000"/>
          <w:sz w:val="28"/>
          <w:szCs w:val="28"/>
          <w:highlight w:val="none"/>
        </w:rPr>
        <w:t xml:space="preserve">评分标准</w:t>
      </w:r>
      <w:r>
        <w:rPr>
          <w:rFonts w:ascii="宋体" w:hAnsi="宋体"/>
          <w:b/>
          <w:color w:val="000000"/>
          <w:sz w:val="28"/>
          <w:szCs w:val="28"/>
          <w:highlight w:val="none"/>
        </w:rPr>
      </w:r>
      <w:r/>
    </w:p>
    <w:p>
      <w:pPr>
        <w:pStyle w:val="681"/>
        <w:ind w:firstLine="0"/>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rPr>
        <w:t xml:space="preserve">报价（</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rPr>
        <w:t xml:space="preserve">0分）</w:t>
      </w:r>
      <w:r>
        <w:rPr>
          <w:rFonts w:ascii="宋体" w:hAnsi="宋体" w:cs="宋体"/>
          <w:b/>
          <w:color w:val="000000"/>
          <w:sz w:val="24"/>
          <w:szCs w:val="24"/>
          <w:highlight w:val="none"/>
        </w:rPr>
      </w:r>
      <w:r/>
    </w:p>
    <w:p>
      <w:pPr>
        <w:pStyle w:val="681"/>
        <w:ind w:firstLine="480"/>
        <w:spacing w:line="360" w:lineRule="auto"/>
        <w:tabs>
          <w:tab w:val="left" w:pos="945" w:leader="none"/>
          <w:tab w:val="left" w:pos="1146" w:leader="none"/>
        </w:tabs>
        <w:rPr>
          <w:color w:val="000000"/>
          <w:sz w:val="24"/>
          <w:highlight w:val="none"/>
        </w:rPr>
      </w:pPr>
      <w:r>
        <w:rPr>
          <w:rFonts w:hint="eastAsia"/>
          <w:color w:val="000000"/>
          <w:sz w:val="24"/>
          <w:highlight w:val="none"/>
        </w:rPr>
        <w:t xml:space="preserve">采用低价优先法计算，即满足招标文件要求且投标价格最低的投标报价为评标基准价，其价格分为满分。其他投标人的价格分统一按照下列公式计算：</w:t>
      </w:r>
      <w:r>
        <w:rPr>
          <w:color w:val="000000"/>
          <w:sz w:val="24"/>
          <w:highlight w:val="none"/>
        </w:rPr>
      </w:r>
      <w:r/>
    </w:p>
    <w:p>
      <w:pPr>
        <w:pStyle w:val="681"/>
        <w:ind w:firstLine="480"/>
        <w:spacing w:line="360" w:lineRule="auto"/>
        <w:tabs>
          <w:tab w:val="left" w:pos="630" w:leader="none"/>
        </w:tabs>
        <w:rPr>
          <w:color w:val="000000"/>
          <w:sz w:val="24"/>
          <w:highlight w:val="none"/>
        </w:rPr>
      </w:pPr>
      <w:r>
        <w:rPr>
          <w:rFonts w:hint="eastAsia"/>
          <w:color w:val="000000"/>
          <w:sz w:val="24"/>
          <w:highlight w:val="none"/>
        </w:rPr>
        <w:t xml:space="preserve">投标报价得分=（评标基准价/投标报价）×</w:t>
      </w:r>
      <w:r>
        <w:rPr>
          <w:rFonts w:hint="eastAsia"/>
          <w:color w:val="000000"/>
          <w:sz w:val="24"/>
          <w:highlight w:val="none"/>
          <w:lang w:val="en-US" w:eastAsia="zh-CN"/>
        </w:rPr>
        <w:t xml:space="preserve">3</w:t>
      </w:r>
      <w:r>
        <w:rPr>
          <w:rFonts w:hint="eastAsia"/>
          <w:color w:val="000000"/>
          <w:sz w:val="24"/>
          <w:highlight w:val="none"/>
        </w:rPr>
        <w:t xml:space="preserve">0。</w:t>
      </w:r>
      <w:r>
        <w:rPr>
          <w:color w:val="000000"/>
          <w:sz w:val="24"/>
          <w:highlight w:val="none"/>
        </w:rPr>
      </w:r>
      <w:r/>
    </w:p>
    <w:p>
      <w:pPr>
        <w:pStyle w:val="681"/>
        <w:ind w:firstLine="480"/>
        <w:spacing w:line="360" w:lineRule="auto"/>
        <w:tabs>
          <w:tab w:val="left" w:pos="945" w:leader="none"/>
          <w:tab w:val="left" w:pos="1155" w:leader="none"/>
        </w:tabs>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关于价格扣除详见本章第二部分“一、落实政府采购政策的价格调整”。</w:t>
      </w:r>
      <w:r>
        <w:rPr>
          <w:rFonts w:hint="eastAsia" w:ascii="宋体" w:hAnsi="宋体"/>
          <w:b w:val="0"/>
          <w:bCs/>
          <w:color w:val="000000"/>
          <w:sz w:val="24"/>
          <w:szCs w:val="24"/>
          <w:highlight w:val="none"/>
        </w:rPr>
      </w:r>
      <w:r/>
    </w:p>
    <w:p>
      <w:pPr>
        <w:pStyle w:val="681"/>
        <w:ind w:firstLine="0"/>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val="en-US" w:eastAsia="en-US"/>
        </w:rPr>
        <w:t xml:space="preserve">投标人综合情况（</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lang w:val="en-US" w:eastAsia="en-US"/>
        </w:rPr>
        <w:t xml:space="preserve">分）</w:t>
      </w:r>
      <w:r>
        <w:rPr>
          <w:rFonts w:hint="eastAsia" w:ascii="宋体" w:hAnsi="宋体" w:eastAsia="宋体" w:cs="宋体"/>
          <w:b/>
          <w:color w:val="000000"/>
          <w:sz w:val="24"/>
          <w:szCs w:val="24"/>
          <w:highlight w:val="none"/>
          <w:lang w:val="en-US" w:eastAsia="zh-CN"/>
        </w:rPr>
      </w:r>
      <w:r/>
    </w:p>
    <w:p>
      <w:pPr>
        <w:pStyle w:val="858"/>
        <w:ind w:left="0" w:firstLine="480"/>
        <w:spacing w:line="360" w:lineRule="auto"/>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zh-CN"/>
        </w:rPr>
        <w:t xml:space="preserve">1、投标人自2023年1月1日以来（以合同签订时间为准）具有项目同类业绩的，每提供一个得1分，最高得2分。</w:t>
      </w:r>
      <w:r>
        <w:rPr>
          <w:rFonts w:hint="eastAsia" w:ascii="宋体" w:hAnsi="宋体" w:eastAsia="宋体" w:cs="宋体"/>
          <w:bCs/>
          <w:color w:val="000000"/>
          <w:sz w:val="24"/>
          <w:szCs w:val="24"/>
          <w:highlight w:val="none"/>
          <w:lang w:val="en-US" w:eastAsia="en-US"/>
        </w:rPr>
        <w:t xml:space="preserve">（时间以合同签订时间为准，无日期或日期不清晰的不得分，须提供有效合同原件扫描件加盖公章，否则不得分。）</w:t>
      </w:r>
      <w:r>
        <w:rPr>
          <w:rFonts w:hint="eastAsia" w:ascii="宋体" w:hAnsi="宋体" w:eastAsia="宋体" w:cs="宋体"/>
          <w:bCs/>
          <w:color w:val="000000"/>
          <w:sz w:val="24"/>
          <w:szCs w:val="24"/>
          <w:highlight w:val="none"/>
          <w:lang w:val="en-US" w:eastAsia="en-US"/>
        </w:rPr>
      </w:r>
      <w:r/>
    </w:p>
    <w:p>
      <w:pPr>
        <w:pStyle w:val="681"/>
        <w:ind w:firstLine="480"/>
        <w:pageBreakBefore w:val="0"/>
        <w:spacing w:line="360" w:lineRule="auto"/>
        <w:tabs>
          <w:tab w:val="left" w:pos="945" w:leader="none"/>
          <w:tab w:val="left" w:pos="1155" w:leader="none"/>
          <w:tab w:val="left" w:pos="3823" w:leader="none"/>
        </w:tabs>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en-US"/>
        </w:rPr>
        <w:t xml:space="preserve">、体系证书：</w:t>
      </w:r>
      <w:r>
        <w:rPr>
          <w:rFonts w:hint="eastAsia" w:ascii="宋体" w:hAnsi="宋体" w:eastAsia="宋体" w:cs="宋体"/>
          <w:bCs/>
          <w:color w:val="000000"/>
          <w:sz w:val="24"/>
          <w:szCs w:val="24"/>
          <w:highlight w:val="none"/>
          <w:lang w:val="en-US" w:eastAsia="zh-CN"/>
        </w:rPr>
        <w:t xml:space="preserve">投标人具有有效的质量管理体系认证证书、职业健康安全管理体系认证证书、环境管理体系认证证书的，有一个得1分，最高3分。</w:t>
      </w:r>
      <w:r>
        <w:rPr>
          <w:rFonts w:hint="eastAsia"/>
          <w:b w:val="0"/>
          <w:bCs w:val="0"/>
          <w:color w:val="000000"/>
          <w:sz w:val="24"/>
          <w:szCs w:val="24"/>
          <w:highlight w:val="none"/>
          <w:lang w:val="en-US" w:eastAsia="zh-CN"/>
        </w:rPr>
        <w:t xml:space="preserve">提供有效期内的证书</w:t>
      </w:r>
      <w:r>
        <w:rPr>
          <w:rFonts w:hint="eastAsia" w:ascii="宋体" w:hAnsi="宋体" w:eastAsia="宋体" w:cs="宋体"/>
          <w:bCs/>
          <w:color w:val="000000"/>
          <w:sz w:val="24"/>
          <w:szCs w:val="24"/>
          <w:highlight w:val="none"/>
          <w:lang w:val="en-US" w:eastAsia="en-US"/>
        </w:rPr>
        <w:t xml:space="preserve">原件扫描件加盖公章</w:t>
      </w:r>
      <w:r>
        <w:rPr>
          <w:rFonts w:hint="eastAsia"/>
          <w:b w:val="0"/>
          <w:bCs w:val="0"/>
          <w:color w:val="000000"/>
          <w:sz w:val="24"/>
          <w:szCs w:val="24"/>
          <w:highlight w:val="none"/>
          <w:lang w:val="en-US" w:eastAsia="zh-CN"/>
        </w:rPr>
        <w:t xml:space="preserve">。</w:t>
      </w:r>
      <w:r>
        <w:rPr>
          <w:rFonts w:ascii="宋体" w:hAnsi="宋体" w:eastAsia="宋体" w:cs="宋体"/>
          <w:color w:val="000000"/>
          <w:sz w:val="24"/>
          <w:highlight w:val="none"/>
        </w:rPr>
        <w:t xml:space="preserve">同时需提供该证书在中国国家认证认可监督管理委员会网站http://www.cnca.gov.cn/上查询的页面截图，否则不得分。</w:t>
      </w:r>
      <w:r>
        <w:rPr>
          <w:rFonts w:ascii="宋体" w:hAnsi="宋体" w:eastAsia="宋体" w:cs="宋体"/>
          <w:bCs/>
          <w:color w:val="000000"/>
          <w:sz w:val="24"/>
          <w:szCs w:val="24"/>
          <w:highlight w:val="none"/>
          <w:lang w:val="en-US" w:eastAsia="zh-CN"/>
        </w:rPr>
      </w:r>
      <w:r/>
    </w:p>
    <w:p>
      <w:pPr>
        <w:pStyle w:val="858"/>
        <w:ind w:left="0" w:firstLine="480"/>
        <w:spacing w:line="360" w:lineRule="auto"/>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en-US"/>
        </w:rPr>
        <w:t xml:space="preserve">、人员证书</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en-US"/>
        </w:rPr>
        <w:t xml:space="preserve">：</w:t>
      </w:r>
      <w:r>
        <w:rPr>
          <w:rFonts w:hint="eastAsia" w:ascii="宋体" w:hAnsi="宋体" w:eastAsia="宋体" w:cs="宋体"/>
          <w:bCs/>
          <w:color w:val="000000"/>
          <w:sz w:val="24"/>
          <w:szCs w:val="24"/>
          <w:highlight w:val="none"/>
          <w:lang w:val="en-US" w:eastAsia="en-US"/>
        </w:rPr>
      </w:r>
      <w:r/>
    </w:p>
    <w:p>
      <w:pPr>
        <w:pStyle w:val="858"/>
        <w:ind w:left="0" w:firstLine="480"/>
        <w:spacing w:line="360" w:lineRule="auto"/>
        <w:rPr>
          <w:rFonts w:hint="eastAsia" w:ascii="宋体" w:hAnsi="宋体" w:eastAsia="宋体" w:cs="宋体"/>
          <w:b w:val="0"/>
          <w:bCs/>
          <w:color w:val="000000"/>
          <w:sz w:val="24"/>
          <w:szCs w:val="24"/>
          <w:highlight w:val="none"/>
          <w:lang w:val="en-US" w:eastAsia="en-US"/>
        </w:rPr>
      </w:pPr>
      <w:r>
        <w:rPr>
          <w:rFonts w:hint="eastAsia" w:ascii="宋体" w:hAnsi="宋体" w:eastAsia="宋体" w:cs="宋体"/>
          <w:b w:val="0"/>
          <w:bCs/>
          <w:color w:val="000000"/>
          <w:sz w:val="24"/>
          <w:szCs w:val="24"/>
          <w:highlight w:val="none"/>
          <w:lang w:val="en-US" w:eastAsia="en-US"/>
        </w:rPr>
        <w:t xml:space="preserve">（1）项目负责人具有有效的PMP（项目管理专业人士）证书，得</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en-US"/>
        </w:rPr>
        <w:t xml:space="preserve">分。</w:t>
      </w:r>
      <w:r>
        <w:rPr>
          <w:rFonts w:hint="eastAsia" w:ascii="宋体" w:hAnsi="宋体" w:eastAsia="宋体" w:cs="宋体"/>
          <w:b w:val="0"/>
          <w:bCs/>
          <w:color w:val="000000"/>
          <w:sz w:val="24"/>
          <w:szCs w:val="24"/>
          <w:highlight w:val="none"/>
          <w:lang w:val="en-US" w:eastAsia="zh-CN"/>
        </w:rPr>
        <w:t xml:space="preserve">须</w:t>
      </w:r>
      <w:r>
        <w:rPr>
          <w:rFonts w:hint="eastAsia" w:ascii="宋体" w:hAnsi="宋体" w:eastAsia="宋体" w:cs="宋体"/>
          <w:b w:val="0"/>
          <w:bCs/>
          <w:color w:val="000000"/>
          <w:sz w:val="24"/>
          <w:szCs w:val="24"/>
          <w:highlight w:val="none"/>
        </w:rPr>
        <w:t xml:space="preserve">提供</w:t>
      </w:r>
      <w:r>
        <w:rPr>
          <w:rFonts w:hint="eastAsia" w:ascii="宋体" w:hAnsi="宋体" w:eastAsia="宋体" w:cs="宋体"/>
          <w:b w:val="0"/>
          <w:bCs/>
          <w:color w:val="000000"/>
          <w:sz w:val="24"/>
          <w:szCs w:val="24"/>
          <w:highlight w:val="none"/>
          <w:lang w:val="en-US" w:eastAsia="zh-CN"/>
        </w:rPr>
        <w:t xml:space="preserve">有效证书及近一年中任意一个月（不含投标当月）投标人为其缴纳社保的证明材料</w:t>
      </w:r>
      <w:r>
        <w:rPr>
          <w:rFonts w:hint="eastAsia" w:ascii="宋体" w:hAnsi="宋体" w:eastAsia="宋体" w:cs="宋体"/>
          <w:b w:val="0"/>
          <w:bCs/>
          <w:color w:val="000000"/>
          <w:sz w:val="24"/>
          <w:szCs w:val="24"/>
          <w:highlight w:val="none"/>
        </w:rPr>
        <w:t xml:space="preserve">原件扫描件</w:t>
      </w:r>
      <w:r>
        <w:rPr>
          <w:rFonts w:hint="eastAsia" w:ascii="宋体" w:hAnsi="宋体" w:eastAsia="宋体" w:cs="宋体"/>
          <w:b w:val="0"/>
          <w:bCs/>
          <w:color w:val="000000"/>
          <w:sz w:val="24"/>
          <w:szCs w:val="24"/>
          <w:highlight w:val="none"/>
          <w:lang w:val="en-US" w:eastAsia="zh-CN"/>
        </w:rPr>
        <w:t xml:space="preserve">加盖公章</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否则不得分。</w:t>
      </w:r>
      <w:r>
        <w:rPr>
          <w:rFonts w:hint="eastAsia" w:ascii="宋体" w:hAnsi="宋体" w:eastAsia="宋体" w:cs="宋体"/>
          <w:b w:val="0"/>
          <w:bCs/>
          <w:color w:val="000000"/>
          <w:sz w:val="24"/>
          <w:szCs w:val="24"/>
          <w:highlight w:val="none"/>
          <w:lang w:val="en-US" w:eastAsia="en-US"/>
        </w:rPr>
      </w:r>
      <w:r/>
    </w:p>
    <w:p>
      <w:pPr>
        <w:pStyle w:val="858"/>
        <w:ind w:left="0"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en-US"/>
        </w:rPr>
        <w:t xml:space="preserve">（2）投标人为本项目配置的团队成员具有有效的通信类工程师证书，得1分，</w:t>
      </w:r>
      <w:r>
        <w:rPr>
          <w:rFonts w:hint="eastAsia" w:ascii="宋体" w:hAnsi="宋体" w:eastAsia="宋体" w:cs="宋体"/>
          <w:b w:val="0"/>
          <w:bCs/>
          <w:color w:val="000000"/>
          <w:sz w:val="24"/>
          <w:szCs w:val="24"/>
          <w:highlight w:val="none"/>
          <w:lang w:val="en-US" w:eastAsia="zh-CN"/>
        </w:rPr>
        <w:t xml:space="preserve">须</w:t>
      </w:r>
      <w:r>
        <w:rPr>
          <w:rFonts w:hint="eastAsia" w:ascii="宋体" w:hAnsi="宋体" w:eastAsia="宋体" w:cs="宋体"/>
          <w:b w:val="0"/>
          <w:bCs/>
          <w:color w:val="000000"/>
          <w:sz w:val="24"/>
          <w:szCs w:val="24"/>
          <w:highlight w:val="none"/>
        </w:rPr>
        <w:t xml:space="preserve">提供</w:t>
      </w:r>
      <w:r>
        <w:rPr>
          <w:rFonts w:hint="eastAsia" w:ascii="宋体" w:hAnsi="宋体" w:eastAsia="宋体" w:cs="宋体"/>
          <w:b w:val="0"/>
          <w:bCs/>
          <w:color w:val="000000"/>
          <w:sz w:val="24"/>
          <w:szCs w:val="24"/>
          <w:highlight w:val="none"/>
          <w:lang w:val="en-US" w:eastAsia="zh-CN"/>
        </w:rPr>
        <w:t xml:space="preserve">有效证书及</w:t>
      </w:r>
      <w:r>
        <w:rPr>
          <w:rFonts w:hint="eastAsia" w:ascii="宋体" w:hAnsi="宋体" w:eastAsia="宋体" w:cs="宋体"/>
          <w:b w:val="0"/>
          <w:bCs/>
          <w:color w:val="000000"/>
          <w:sz w:val="24"/>
          <w:szCs w:val="24"/>
          <w:highlight w:val="none"/>
          <w:lang w:val="en-US" w:eastAsia="zh-CN"/>
        </w:rPr>
        <w:t xml:space="preserve">近一年中任意一个月</w:t>
      </w:r>
      <w:r>
        <w:rPr>
          <w:rFonts w:hint="eastAsia" w:ascii="宋体" w:hAnsi="宋体" w:eastAsia="宋体" w:cs="宋体"/>
          <w:b w:val="0"/>
          <w:bCs/>
          <w:color w:val="000000"/>
          <w:sz w:val="24"/>
          <w:szCs w:val="24"/>
          <w:highlight w:val="none"/>
          <w:lang w:val="en-US" w:eastAsia="zh-CN"/>
        </w:rPr>
        <w:t xml:space="preserve">（不含投标当月）投标人为其缴纳社保的证明材料</w:t>
      </w:r>
      <w:r>
        <w:rPr>
          <w:rFonts w:hint="eastAsia" w:ascii="宋体" w:hAnsi="宋体" w:eastAsia="宋体" w:cs="宋体"/>
          <w:b w:val="0"/>
          <w:bCs/>
          <w:color w:val="000000"/>
          <w:sz w:val="24"/>
          <w:szCs w:val="24"/>
          <w:highlight w:val="none"/>
        </w:rPr>
        <w:t xml:space="preserve">原件扫描件</w:t>
      </w:r>
      <w:r>
        <w:rPr>
          <w:rFonts w:hint="eastAsia" w:ascii="宋体" w:hAnsi="宋体" w:eastAsia="宋体" w:cs="宋体"/>
          <w:b w:val="0"/>
          <w:bCs/>
          <w:color w:val="000000"/>
          <w:sz w:val="24"/>
          <w:szCs w:val="24"/>
          <w:highlight w:val="none"/>
          <w:lang w:val="en-US" w:eastAsia="zh-CN"/>
        </w:rPr>
        <w:t xml:space="preserve">加盖公章</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否则不得分。</w:t>
      </w:r>
      <w:r>
        <w:rPr>
          <w:rFonts w:hint="eastAsia" w:ascii="宋体" w:hAnsi="宋体" w:eastAsia="宋体" w:cs="宋体"/>
          <w:b w:val="0"/>
          <w:bCs/>
          <w:color w:val="000000"/>
          <w:sz w:val="24"/>
          <w:szCs w:val="24"/>
          <w:highlight w:val="none"/>
          <w:lang w:eastAsia="zh-CN"/>
        </w:rPr>
      </w:r>
      <w:r/>
    </w:p>
    <w:p>
      <w:pPr>
        <w:pStyle w:val="681"/>
        <w:ind w:firstLine="0"/>
        <w:spacing w:line="360" w:lineRule="auto"/>
        <w:tabs>
          <w:tab w:val="left" w:pos="945" w:leader="none"/>
          <w:tab w:val="left" w:pos="1155" w:leader="none"/>
        </w:tabs>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eastAsia="zh-CN" w:bidi="ar"/>
        </w:rPr>
        <w:t xml:space="preserve">（</w:t>
      </w:r>
      <w:r>
        <w:rPr>
          <w:rFonts w:hint="eastAsia" w:ascii="宋体" w:hAnsi="宋体" w:cs="宋体"/>
          <w:b/>
          <w:color w:val="000000"/>
          <w:sz w:val="24"/>
          <w:szCs w:val="24"/>
          <w:highlight w:val="none"/>
          <w:lang w:val="en-US" w:eastAsia="zh-CN" w:bidi="ar"/>
        </w:rPr>
        <w:t xml:space="preserve">三）、</w:t>
      </w:r>
      <w:r>
        <w:rPr>
          <w:rFonts w:hint="eastAsia" w:ascii="宋体" w:hAnsi="宋体" w:cs="宋体"/>
          <w:b/>
          <w:color w:val="000000"/>
          <w:sz w:val="24"/>
          <w:szCs w:val="24"/>
          <w:highlight w:val="none"/>
          <w:lang w:bidi="ar"/>
        </w:rPr>
        <w:t xml:space="preserve">技术参数响应 （1</w:t>
      </w:r>
      <w:r>
        <w:rPr>
          <w:rFonts w:hint="eastAsia" w:ascii="宋体" w:hAnsi="宋体" w:cs="宋体"/>
          <w:b/>
          <w:color w:val="000000"/>
          <w:sz w:val="24"/>
          <w:szCs w:val="24"/>
          <w:highlight w:val="none"/>
          <w:lang w:val="en-US" w:eastAsia="zh-CN" w:bidi="ar"/>
        </w:rPr>
        <w:t xml:space="preserve">2</w:t>
      </w:r>
      <w:r>
        <w:rPr>
          <w:rFonts w:hint="eastAsia" w:ascii="宋体" w:hAnsi="宋体" w:cs="宋体"/>
          <w:b/>
          <w:color w:val="000000"/>
          <w:sz w:val="24"/>
          <w:szCs w:val="24"/>
          <w:highlight w:val="none"/>
          <w:lang w:bidi="ar"/>
        </w:rPr>
        <w:t xml:space="preserve">分）</w:t>
      </w:r>
      <w:r>
        <w:rPr>
          <w:rFonts w:hint="eastAsia" w:ascii="宋体" w:hAnsi="宋体" w:cs="宋体"/>
          <w:b/>
          <w:color w:val="000000"/>
          <w:sz w:val="24"/>
          <w:szCs w:val="24"/>
          <w:highlight w:val="none"/>
          <w:lang w:bidi="ar"/>
        </w:rPr>
      </w:r>
      <w:r/>
    </w:p>
    <w:p>
      <w:pPr>
        <w:pStyle w:val="681"/>
        <w:ind w:firstLine="480"/>
        <w:spacing w:line="360" w:lineRule="auto"/>
        <w:tabs>
          <w:tab w:val="left" w:pos="945" w:leader="none"/>
          <w:tab w:val="left" w:pos="1155" w:leader="none"/>
        </w:tabs>
        <w:rPr>
          <w:rFonts w:hint="eastAsia" w:ascii="宋体" w:hAnsi="宋体" w:eastAsia="宋体" w:cs="Times New Roman"/>
          <w:b w:val="0"/>
          <w:bCs/>
          <w:color w:val="000000"/>
          <w:sz w:val="24"/>
          <w:szCs w:val="21"/>
          <w:highlight w:val="none"/>
          <w:lang w:val="en-US" w:eastAsia="zh-CN" w:bidi="ar-SA"/>
        </w:rPr>
      </w:pPr>
      <w:r>
        <w:rPr>
          <w:rFonts w:hint="eastAsia" w:ascii="宋体" w:hAnsi="宋体" w:eastAsia="宋体" w:cs="Times New Roman"/>
          <w:b w:val="0"/>
          <w:bCs/>
          <w:color w:val="000000"/>
          <w:sz w:val="24"/>
          <w:szCs w:val="21"/>
          <w:highlight w:val="none"/>
          <w:lang w:val="en-US" w:eastAsia="zh-CN" w:bidi="ar-SA"/>
        </w:rPr>
        <w:t xml:space="preserve">1．图书杀菌机（学生用）（1分）：提供拥有翻页除尘系统、低压镇流器管控系统两项软件著作权登记证书，投标时需提供原件扫描件加盖公章。</w:t>
      </w:r>
      <w:r>
        <w:rPr>
          <w:rFonts w:hint="eastAsia" w:ascii="宋体" w:hAnsi="宋体" w:eastAsia="宋体" w:cs="Times New Roman"/>
          <w:b w:val="0"/>
          <w:bCs/>
          <w:color w:val="000000"/>
          <w:sz w:val="24"/>
          <w:szCs w:val="21"/>
          <w:highlight w:val="none"/>
          <w:lang w:val="en-US" w:eastAsia="zh-CN" w:bidi="ar-SA"/>
        </w:rPr>
      </w:r>
      <w:r/>
    </w:p>
    <w:p>
      <w:pPr>
        <w:pStyle w:val="769"/>
        <w:numPr>
          <w:ilvl w:val="0"/>
          <w:numId w:val="0"/>
        </w:numPr>
        <w:ind w:left="0" w:firstLine="480"/>
        <w:keepLines w:val="0"/>
        <w:keepNext w:val="0"/>
        <w:pageBreakBefore w:val="0"/>
        <w:spacing w:line="360" w:lineRule="auto"/>
        <w:widowControl w:val="off"/>
        <w:rPr>
          <w:rFonts w:hint="eastAsia" w:ascii="宋体" w:hAnsi="宋体"/>
          <w:b w:val="0"/>
          <w:bCs/>
          <w:color w:val="000000"/>
          <w:sz w:val="24"/>
          <w:highlight w:val="none"/>
          <w:lang w:val="en-US" w:eastAsia="zh-CN"/>
        </w:rPr>
        <w:outlineLvl w:val="0"/>
      </w:pPr>
      <w:r>
        <w:rPr>
          <w:rFonts w:hint="eastAsia" w:ascii="宋体" w:hAnsi="宋体"/>
          <w:b w:val="0"/>
          <w:bCs/>
          <w:color w:val="000000"/>
          <w:sz w:val="24"/>
          <w:highlight w:val="none"/>
          <w:lang w:val="en-US" w:eastAsia="zh-CN"/>
        </w:rPr>
        <w:t xml:space="preserve">2．RFID 安全门（1分）：提供RFID安全门禁监控报警系统、RFID安全门智能控制软件、人员流量统计应用系统的著作权登记证书，</w:t>
      </w:r>
      <w:r>
        <w:rPr>
          <w:rFonts w:hint="eastAsia" w:ascii="宋体" w:hAnsi="宋体"/>
          <w:b w:val="0"/>
          <w:bCs/>
          <w:color w:val="000000"/>
          <w:sz w:val="24"/>
          <w:highlight w:val="none"/>
          <w:lang w:val="en-US" w:eastAsia="zh-CN"/>
        </w:rPr>
        <w:t xml:space="preserve">投标时需提供</w:t>
      </w:r>
      <w:r>
        <w:rPr>
          <w:rFonts w:hint="eastAsia" w:ascii="宋体" w:hAnsi="宋体" w:eastAsia="宋体" w:cs="宋体"/>
          <w:b w:val="0"/>
          <w:bCs/>
          <w:color w:val="000000"/>
          <w:sz w:val="24"/>
          <w:szCs w:val="24"/>
          <w:highlight w:val="none"/>
        </w:rPr>
        <w:t xml:space="preserve">原件扫描件</w:t>
      </w:r>
      <w:r>
        <w:rPr>
          <w:rFonts w:hint="eastAsia" w:ascii="宋体" w:hAnsi="宋体" w:eastAsia="宋体" w:cs="宋体"/>
          <w:b w:val="0"/>
          <w:bCs/>
          <w:color w:val="000000"/>
          <w:sz w:val="24"/>
          <w:szCs w:val="24"/>
          <w:highlight w:val="none"/>
          <w:lang w:val="en-US" w:eastAsia="zh-CN"/>
        </w:rPr>
        <w:t xml:space="preserve">加盖公章</w:t>
      </w:r>
      <w:r>
        <w:rPr>
          <w:rFonts w:hint="eastAsia" w:ascii="宋体" w:hAnsi="宋体"/>
          <w:b w:val="0"/>
          <w:bCs/>
          <w:color w:val="000000"/>
          <w:sz w:val="24"/>
          <w:highlight w:val="none"/>
          <w:lang w:val="en-US" w:eastAsia="zh-CN"/>
        </w:rPr>
        <w:t xml:space="preserve">。</w:t>
      </w:r>
      <w:r>
        <w:rPr>
          <w:rFonts w:hint="eastAsia" w:ascii="宋体" w:hAnsi="宋体"/>
          <w:b w:val="0"/>
          <w:bCs/>
          <w:color w:val="000000"/>
          <w:sz w:val="24"/>
          <w:highlight w:val="none"/>
          <w:lang w:val="en-US" w:eastAsia="zh-CN"/>
        </w:rPr>
      </w:r>
      <w:r/>
    </w:p>
    <w:p>
      <w:pPr>
        <w:pStyle w:val="769"/>
        <w:numPr>
          <w:ilvl w:val="0"/>
          <w:numId w:val="0"/>
        </w:numPr>
        <w:ind w:left="0" w:firstLine="480"/>
        <w:keepLines w:val="0"/>
        <w:keepNext w:val="0"/>
        <w:pageBreakBefore w:val="0"/>
        <w:spacing w:line="360" w:lineRule="auto"/>
        <w:widowControl w:val="off"/>
        <w:rPr>
          <w:rFonts w:hint="eastAsia" w:ascii="宋体" w:hAnsi="宋体"/>
          <w:b w:val="0"/>
          <w:bCs/>
          <w:color w:val="000000"/>
          <w:sz w:val="24"/>
          <w:highlight w:val="none"/>
          <w:lang w:val="en-US" w:eastAsia="zh-CN"/>
        </w:rPr>
        <w:outlineLvl w:val="0"/>
      </w:pPr>
      <w:r>
        <w:rPr>
          <w:rFonts w:hint="eastAsia" w:ascii="宋体" w:hAnsi="宋体"/>
          <w:b w:val="0"/>
          <w:bCs/>
          <w:color w:val="000000"/>
          <w:sz w:val="24"/>
          <w:highlight w:val="none"/>
          <w:lang w:val="en-US" w:eastAsia="zh-CN"/>
        </w:rPr>
        <w:t xml:space="preserve">3．馆员工作站</w:t>
      </w:r>
      <w:r>
        <w:rPr>
          <w:rFonts w:hint="eastAsia" w:ascii="宋体" w:hAnsi="宋体"/>
          <w:b w:val="0"/>
          <w:bCs/>
          <w:color w:val="000000"/>
          <w:sz w:val="24"/>
          <w:highlight w:val="none"/>
          <w:lang w:val="en-US" w:eastAsia="zh-CN"/>
        </w:rPr>
        <w:t xml:space="preserve">（1分）</w:t>
      </w:r>
      <w:r>
        <w:rPr>
          <w:rFonts w:hint="eastAsia" w:ascii="宋体" w:hAnsi="宋体"/>
          <w:b w:val="0"/>
          <w:bCs/>
          <w:color w:val="000000"/>
          <w:sz w:val="24"/>
          <w:highlight w:val="none"/>
          <w:lang w:val="en-US" w:eastAsia="zh-CN"/>
        </w:rPr>
        <w:t xml:space="preserve">：提供多功能馆员工作站应用系统软件著作权登记证书，</w:t>
      </w:r>
      <w:r>
        <w:rPr>
          <w:rFonts w:hint="eastAsia" w:ascii="宋体" w:hAnsi="宋体"/>
          <w:b w:val="0"/>
          <w:bCs/>
          <w:color w:val="000000"/>
          <w:sz w:val="24"/>
          <w:highlight w:val="none"/>
          <w:lang w:val="en-US" w:eastAsia="zh-CN"/>
        </w:rPr>
        <w:t xml:space="preserve">投标时需提供</w:t>
      </w:r>
      <w:r>
        <w:rPr>
          <w:rFonts w:hint="eastAsia" w:ascii="宋体" w:hAnsi="宋体" w:eastAsia="宋体" w:cs="宋体"/>
          <w:b w:val="0"/>
          <w:bCs/>
          <w:color w:val="000000"/>
          <w:sz w:val="24"/>
          <w:szCs w:val="24"/>
          <w:highlight w:val="none"/>
        </w:rPr>
        <w:t xml:space="preserve">原件扫描件</w:t>
      </w:r>
      <w:r>
        <w:rPr>
          <w:rFonts w:hint="eastAsia" w:ascii="宋体" w:hAnsi="宋体" w:eastAsia="宋体" w:cs="宋体"/>
          <w:b w:val="0"/>
          <w:bCs/>
          <w:color w:val="000000"/>
          <w:sz w:val="24"/>
          <w:szCs w:val="24"/>
          <w:highlight w:val="none"/>
          <w:lang w:val="en-US" w:eastAsia="zh-CN"/>
        </w:rPr>
        <w:t xml:space="preserve">加盖公章</w:t>
      </w:r>
      <w:r>
        <w:rPr>
          <w:rFonts w:hint="eastAsia" w:ascii="宋体" w:hAnsi="宋体"/>
          <w:b w:val="0"/>
          <w:bCs/>
          <w:color w:val="000000"/>
          <w:sz w:val="24"/>
          <w:highlight w:val="none"/>
          <w:lang w:val="en-US" w:eastAsia="zh-CN"/>
        </w:rPr>
        <w:t xml:space="preserve">。</w:t>
      </w:r>
      <w:r>
        <w:rPr>
          <w:rFonts w:hint="eastAsia" w:ascii="宋体" w:hAnsi="宋体"/>
          <w:b w:val="0"/>
          <w:bCs/>
          <w:color w:val="000000"/>
          <w:sz w:val="24"/>
          <w:highlight w:val="none"/>
          <w:lang w:val="en-US" w:eastAsia="zh-CN"/>
        </w:rPr>
      </w:r>
      <w:r/>
    </w:p>
    <w:p>
      <w:pPr>
        <w:pStyle w:val="769"/>
        <w:numPr>
          <w:ilvl w:val="0"/>
          <w:numId w:val="0"/>
        </w:numPr>
        <w:ind w:left="0" w:firstLine="480"/>
        <w:keepLines w:val="0"/>
        <w:keepNext w:val="0"/>
        <w:pageBreakBefore w:val="0"/>
        <w:spacing w:line="360" w:lineRule="auto"/>
        <w:widowControl w:val="off"/>
        <w:rPr>
          <w:rFonts w:hint="eastAsia" w:ascii="宋体" w:hAnsi="宋体"/>
          <w:b w:val="0"/>
          <w:bCs/>
          <w:color w:val="000000"/>
          <w:sz w:val="24"/>
          <w:highlight w:val="none"/>
          <w:lang w:val="en-US" w:eastAsia="zh-CN"/>
        </w:rPr>
        <w:outlineLvl w:val="0"/>
      </w:pPr>
      <w:r>
        <w:rPr>
          <w:rFonts w:hint="eastAsia" w:ascii="宋体" w:hAnsi="宋体"/>
          <w:b w:val="0"/>
          <w:bCs/>
          <w:color w:val="000000"/>
          <w:sz w:val="24"/>
          <w:highlight w:val="none"/>
          <w:lang w:val="en-US" w:eastAsia="zh-CN"/>
        </w:rPr>
        <w:t xml:space="preserve">4．图书管理软件</w:t>
      </w:r>
      <w:r>
        <w:rPr>
          <w:rFonts w:hint="eastAsia" w:ascii="宋体" w:hAnsi="宋体"/>
          <w:b w:val="0"/>
          <w:bCs/>
          <w:color w:val="000000"/>
          <w:sz w:val="24"/>
          <w:highlight w:val="none"/>
          <w:lang w:val="en-US" w:eastAsia="zh-CN"/>
        </w:rPr>
        <w:t xml:space="preserve">（1分）</w:t>
      </w:r>
      <w:r>
        <w:rPr>
          <w:rFonts w:hint="eastAsia" w:ascii="宋体" w:hAnsi="宋体"/>
          <w:b w:val="0"/>
          <w:bCs/>
          <w:color w:val="000000"/>
          <w:sz w:val="24"/>
          <w:highlight w:val="none"/>
          <w:lang w:val="en-US" w:eastAsia="zh-CN"/>
        </w:rPr>
        <w:t xml:space="preserve">：系统支持统一身份认证功能，提供统一身份认证管理平台软件著作权登记证书，</w:t>
      </w:r>
      <w:r>
        <w:rPr>
          <w:rFonts w:hint="eastAsia" w:ascii="宋体" w:hAnsi="宋体"/>
          <w:b w:val="0"/>
          <w:bCs/>
          <w:color w:val="000000"/>
          <w:sz w:val="24"/>
          <w:highlight w:val="none"/>
          <w:lang w:val="en-US" w:eastAsia="zh-CN"/>
        </w:rPr>
        <w:t xml:space="preserve">投标时需提供</w:t>
      </w:r>
      <w:r>
        <w:rPr>
          <w:rFonts w:hint="eastAsia" w:ascii="宋体" w:hAnsi="宋体" w:eastAsia="宋体" w:cs="宋体"/>
          <w:b w:val="0"/>
          <w:bCs/>
          <w:color w:val="000000"/>
          <w:sz w:val="24"/>
          <w:szCs w:val="24"/>
          <w:highlight w:val="none"/>
        </w:rPr>
        <w:t xml:space="preserve">原件扫描件</w:t>
      </w:r>
      <w:r>
        <w:rPr>
          <w:rFonts w:hint="eastAsia" w:ascii="宋体" w:hAnsi="宋体" w:eastAsia="宋体" w:cs="宋体"/>
          <w:b w:val="0"/>
          <w:bCs/>
          <w:color w:val="000000"/>
          <w:sz w:val="24"/>
          <w:szCs w:val="24"/>
          <w:highlight w:val="none"/>
          <w:lang w:val="en-US" w:eastAsia="zh-CN"/>
        </w:rPr>
        <w:t xml:space="preserve">加盖公章</w:t>
      </w:r>
      <w:r>
        <w:rPr>
          <w:rFonts w:hint="eastAsia" w:ascii="宋体" w:hAnsi="宋体"/>
          <w:b w:val="0"/>
          <w:bCs/>
          <w:color w:val="000000"/>
          <w:sz w:val="24"/>
          <w:highlight w:val="none"/>
          <w:lang w:val="en-US" w:eastAsia="zh-CN"/>
        </w:rPr>
        <w:t xml:space="preserve">。</w:t>
      </w:r>
      <w:r>
        <w:rPr>
          <w:rFonts w:hint="eastAsia" w:ascii="宋体" w:hAnsi="宋体"/>
          <w:b w:val="0"/>
          <w:bCs/>
          <w:color w:val="000000"/>
          <w:sz w:val="24"/>
          <w:highlight w:val="none"/>
          <w:lang w:val="en-US" w:eastAsia="zh-CN"/>
        </w:rPr>
      </w:r>
      <w:r/>
    </w:p>
    <w:p>
      <w:pPr>
        <w:pStyle w:val="769"/>
        <w:numPr>
          <w:ilvl w:val="0"/>
          <w:numId w:val="0"/>
        </w:numPr>
        <w:ind w:left="0" w:firstLine="480"/>
        <w:keepLines w:val="0"/>
        <w:keepNext w:val="0"/>
        <w:pageBreakBefore w:val="0"/>
        <w:spacing w:line="360" w:lineRule="auto"/>
        <w:widowControl w:val="off"/>
        <w:rPr>
          <w:rFonts w:hint="eastAsia" w:ascii="宋体" w:hAnsi="宋体"/>
          <w:b w:val="0"/>
          <w:bCs/>
          <w:color w:val="000000"/>
          <w:sz w:val="24"/>
          <w:highlight w:val="none"/>
          <w:lang w:val="en-US" w:eastAsia="zh-CN"/>
        </w:rPr>
        <w:outlineLvl w:val="0"/>
      </w:pPr>
      <w:r>
        <w:rPr>
          <w:rFonts w:hint="eastAsia" w:ascii="宋体" w:hAnsi="宋体"/>
          <w:b w:val="0"/>
          <w:bCs/>
          <w:color w:val="000000"/>
          <w:sz w:val="24"/>
          <w:highlight w:val="none"/>
          <w:lang w:val="en-US" w:eastAsia="zh-CN"/>
        </w:rPr>
        <w:t xml:space="preserve">5．图书管理软件</w:t>
      </w:r>
      <w:r>
        <w:rPr>
          <w:rFonts w:hint="eastAsia" w:ascii="宋体" w:hAnsi="宋体"/>
          <w:b w:val="0"/>
          <w:bCs/>
          <w:color w:val="000000"/>
          <w:sz w:val="24"/>
          <w:highlight w:val="none"/>
          <w:lang w:val="en-US" w:eastAsia="zh-CN"/>
        </w:rPr>
        <w:t xml:space="preserve">（1分）</w:t>
      </w:r>
      <w:r>
        <w:rPr>
          <w:rFonts w:hint="eastAsia" w:ascii="宋体" w:hAnsi="宋体"/>
          <w:b w:val="0"/>
          <w:bCs/>
          <w:color w:val="000000"/>
          <w:sz w:val="24"/>
          <w:highlight w:val="none"/>
          <w:lang w:val="en-US" w:eastAsia="zh-CN"/>
        </w:rPr>
        <w:t xml:space="preserve">：响应国家教育部要求，支持图书馆图书审查清理专项活动，能够自定义图书清查类别，导出清查图书登记表，图书审查清理情况汇总表。提供图书清查管理系统著作权登记证书，</w:t>
      </w:r>
      <w:r>
        <w:rPr>
          <w:rFonts w:hint="eastAsia" w:ascii="宋体" w:hAnsi="宋体"/>
          <w:b w:val="0"/>
          <w:bCs/>
          <w:color w:val="000000"/>
          <w:sz w:val="24"/>
          <w:highlight w:val="none"/>
          <w:lang w:val="en-US" w:eastAsia="zh-CN"/>
        </w:rPr>
        <w:t xml:space="preserve">投标时需提供</w:t>
      </w:r>
      <w:r>
        <w:rPr>
          <w:rFonts w:hint="eastAsia" w:ascii="宋体" w:hAnsi="宋体" w:eastAsia="宋体" w:cs="宋体"/>
          <w:b w:val="0"/>
          <w:bCs/>
          <w:color w:val="000000"/>
          <w:sz w:val="24"/>
          <w:szCs w:val="24"/>
          <w:highlight w:val="none"/>
        </w:rPr>
        <w:t xml:space="preserve">原件扫描件</w:t>
      </w:r>
      <w:r>
        <w:rPr>
          <w:rFonts w:hint="eastAsia" w:ascii="宋体" w:hAnsi="宋体" w:eastAsia="宋体" w:cs="宋体"/>
          <w:b w:val="0"/>
          <w:bCs/>
          <w:color w:val="000000"/>
          <w:sz w:val="24"/>
          <w:szCs w:val="24"/>
          <w:highlight w:val="none"/>
          <w:lang w:val="en-US" w:eastAsia="zh-CN"/>
        </w:rPr>
        <w:t xml:space="preserve">加盖公章</w:t>
      </w:r>
      <w:r>
        <w:rPr>
          <w:rFonts w:hint="eastAsia" w:ascii="宋体" w:hAnsi="宋体"/>
          <w:b w:val="0"/>
          <w:bCs/>
          <w:color w:val="000000"/>
          <w:sz w:val="24"/>
          <w:highlight w:val="none"/>
          <w:lang w:val="en-US" w:eastAsia="zh-CN"/>
        </w:rPr>
        <w:t xml:space="preserve">。</w:t>
      </w:r>
      <w:r>
        <w:rPr>
          <w:rFonts w:hint="eastAsia" w:ascii="宋体" w:hAnsi="宋体"/>
          <w:b w:val="0"/>
          <w:bCs/>
          <w:color w:val="000000"/>
          <w:sz w:val="24"/>
          <w:highlight w:val="none"/>
          <w:lang w:val="en-US" w:eastAsia="zh-CN"/>
        </w:rPr>
      </w:r>
      <w:r/>
    </w:p>
    <w:p>
      <w:pPr>
        <w:pStyle w:val="769"/>
        <w:numPr>
          <w:ilvl w:val="0"/>
          <w:numId w:val="0"/>
        </w:numPr>
        <w:ind w:left="0" w:firstLine="480"/>
        <w:keepLines w:val="0"/>
        <w:keepNext w:val="0"/>
        <w:pageBreakBefore w:val="0"/>
        <w:spacing w:line="360" w:lineRule="auto"/>
        <w:widowControl w:val="off"/>
        <w:rPr>
          <w:rFonts w:hint="eastAsia" w:ascii="宋体" w:hAnsi="宋体"/>
          <w:b w:val="0"/>
          <w:bCs/>
          <w:color w:val="000000"/>
          <w:sz w:val="24"/>
          <w:highlight w:val="none"/>
          <w:lang w:val="en-US" w:eastAsia="zh-CN"/>
        </w:rPr>
        <w:outlineLvl w:val="0"/>
      </w:pPr>
      <w:r>
        <w:rPr>
          <w:rFonts w:hint="eastAsia" w:ascii="宋体" w:hAnsi="宋体"/>
          <w:b w:val="0"/>
          <w:bCs/>
          <w:color w:val="000000"/>
          <w:sz w:val="24"/>
          <w:highlight w:val="none"/>
          <w:lang w:val="en-US" w:eastAsia="zh-CN"/>
        </w:rPr>
        <w:t xml:space="preserve">6．图书管理软件</w:t>
      </w:r>
      <w:r>
        <w:rPr>
          <w:rFonts w:hint="eastAsia" w:ascii="宋体" w:hAnsi="宋体"/>
          <w:b w:val="0"/>
          <w:bCs/>
          <w:color w:val="000000"/>
          <w:sz w:val="24"/>
          <w:highlight w:val="none"/>
          <w:lang w:val="en-US" w:eastAsia="zh-CN"/>
        </w:rPr>
        <w:t xml:space="preserve">（1分）</w:t>
      </w:r>
      <w:r>
        <w:rPr>
          <w:rFonts w:hint="eastAsia" w:ascii="宋体" w:hAnsi="宋体"/>
          <w:b w:val="0"/>
          <w:bCs/>
          <w:color w:val="000000"/>
          <w:sz w:val="24"/>
          <w:highlight w:val="none"/>
          <w:lang w:val="en-US" w:eastAsia="zh-CN"/>
        </w:rPr>
        <w:t xml:space="preserve">：支持编目统计及一体化书标打印功能，书标打印支持按藏址、基本大类等条件筛选。提供书标打印系统软件著作权登记证书，</w:t>
      </w:r>
      <w:r>
        <w:rPr>
          <w:rFonts w:hint="eastAsia" w:ascii="宋体" w:hAnsi="宋体"/>
          <w:b w:val="0"/>
          <w:bCs/>
          <w:color w:val="000000"/>
          <w:sz w:val="24"/>
          <w:highlight w:val="none"/>
          <w:lang w:val="en-US" w:eastAsia="zh-CN"/>
        </w:rPr>
        <w:t xml:space="preserve">投标时需提供</w:t>
      </w:r>
      <w:r>
        <w:rPr>
          <w:rFonts w:hint="eastAsia" w:ascii="宋体" w:hAnsi="宋体" w:eastAsia="宋体" w:cs="宋体"/>
          <w:b w:val="0"/>
          <w:bCs/>
          <w:color w:val="000000"/>
          <w:sz w:val="24"/>
          <w:szCs w:val="24"/>
          <w:highlight w:val="none"/>
        </w:rPr>
        <w:t xml:space="preserve">原件扫描件</w:t>
      </w:r>
      <w:r>
        <w:rPr>
          <w:rFonts w:hint="eastAsia" w:ascii="宋体" w:hAnsi="宋体" w:eastAsia="宋体" w:cs="宋体"/>
          <w:b w:val="0"/>
          <w:bCs/>
          <w:color w:val="000000"/>
          <w:sz w:val="24"/>
          <w:szCs w:val="24"/>
          <w:highlight w:val="none"/>
          <w:lang w:val="en-US" w:eastAsia="zh-CN"/>
        </w:rPr>
        <w:t xml:space="preserve">加盖公章</w:t>
      </w:r>
      <w:r>
        <w:rPr>
          <w:rFonts w:hint="eastAsia" w:ascii="宋体" w:hAnsi="宋体"/>
          <w:b w:val="0"/>
          <w:bCs/>
          <w:color w:val="000000"/>
          <w:sz w:val="24"/>
          <w:highlight w:val="none"/>
          <w:lang w:val="en-US" w:eastAsia="zh-CN"/>
        </w:rPr>
        <w:t xml:space="preserve">。</w:t>
      </w:r>
      <w:r>
        <w:rPr>
          <w:rFonts w:hint="eastAsia" w:ascii="宋体" w:hAnsi="宋体"/>
          <w:b w:val="0"/>
          <w:bCs/>
          <w:color w:val="000000"/>
          <w:sz w:val="24"/>
          <w:highlight w:val="none"/>
          <w:lang w:val="en-US" w:eastAsia="zh-CN"/>
        </w:rPr>
      </w:r>
      <w:r/>
    </w:p>
    <w:p>
      <w:pPr>
        <w:pStyle w:val="769"/>
        <w:numPr>
          <w:ilvl w:val="0"/>
          <w:numId w:val="0"/>
        </w:numPr>
        <w:ind w:left="0" w:firstLine="480"/>
        <w:keepLines w:val="0"/>
        <w:keepNext w:val="0"/>
        <w:pageBreakBefore w:val="0"/>
        <w:spacing w:line="360" w:lineRule="auto"/>
        <w:widowControl w:val="off"/>
        <w:rPr>
          <w:rFonts w:hint="eastAsia" w:ascii="宋体" w:hAnsi="宋体"/>
          <w:b w:val="0"/>
          <w:bCs/>
          <w:color w:val="000000"/>
          <w:sz w:val="24"/>
          <w:highlight w:val="none"/>
          <w:lang w:val="en-US" w:eastAsia="zh-CN"/>
        </w:rPr>
        <w:outlineLvl w:val="0"/>
      </w:pPr>
      <w:r>
        <w:rPr>
          <w:rFonts w:hint="eastAsia" w:ascii="宋体" w:hAnsi="宋体"/>
          <w:b w:val="0"/>
          <w:bCs/>
          <w:color w:val="000000"/>
          <w:sz w:val="24"/>
          <w:highlight w:val="none"/>
          <w:lang w:val="en-US" w:eastAsia="zh-CN"/>
        </w:rPr>
        <w:t xml:space="preserve">7．综合导航检索机</w:t>
      </w:r>
      <w:r>
        <w:rPr>
          <w:rFonts w:hint="eastAsia" w:ascii="宋体" w:hAnsi="宋体"/>
          <w:b w:val="0"/>
          <w:bCs/>
          <w:color w:val="000000"/>
          <w:sz w:val="24"/>
          <w:highlight w:val="none"/>
          <w:lang w:val="en-US" w:eastAsia="zh-CN"/>
        </w:rPr>
        <w:t xml:space="preserve">（1分）</w:t>
      </w:r>
      <w:r>
        <w:rPr>
          <w:rFonts w:hint="eastAsia" w:ascii="宋体" w:hAnsi="宋体"/>
          <w:b w:val="0"/>
          <w:bCs/>
          <w:color w:val="000000"/>
          <w:sz w:val="24"/>
          <w:highlight w:val="none"/>
          <w:lang w:val="en-US" w:eastAsia="zh-CN"/>
        </w:rPr>
        <w:t xml:space="preserve">：提供文献检索管理软件、OPAC公共检索与自助服务平台的著作权登记证书，</w:t>
      </w:r>
      <w:r>
        <w:rPr>
          <w:rFonts w:hint="eastAsia" w:ascii="宋体" w:hAnsi="宋体"/>
          <w:b w:val="0"/>
          <w:bCs/>
          <w:color w:val="000000"/>
          <w:sz w:val="24"/>
          <w:highlight w:val="none"/>
          <w:lang w:val="en-US" w:eastAsia="zh-CN"/>
        </w:rPr>
        <w:t xml:space="preserve">投标时需提供</w:t>
      </w:r>
      <w:r>
        <w:rPr>
          <w:rFonts w:hint="eastAsia" w:ascii="宋体" w:hAnsi="宋体" w:eastAsia="宋体" w:cs="宋体"/>
          <w:b w:val="0"/>
          <w:bCs/>
          <w:color w:val="000000"/>
          <w:sz w:val="24"/>
          <w:szCs w:val="24"/>
          <w:highlight w:val="none"/>
        </w:rPr>
        <w:t xml:space="preserve">原件扫描件</w:t>
      </w:r>
      <w:r>
        <w:rPr>
          <w:rFonts w:hint="eastAsia" w:ascii="宋体" w:hAnsi="宋体" w:eastAsia="宋体" w:cs="宋体"/>
          <w:b w:val="0"/>
          <w:bCs/>
          <w:color w:val="000000"/>
          <w:sz w:val="24"/>
          <w:szCs w:val="24"/>
          <w:highlight w:val="none"/>
          <w:lang w:val="en-US" w:eastAsia="zh-CN"/>
        </w:rPr>
        <w:t xml:space="preserve">加盖公章</w:t>
      </w:r>
      <w:r>
        <w:rPr>
          <w:rFonts w:hint="eastAsia" w:ascii="宋体" w:hAnsi="宋体"/>
          <w:b w:val="0"/>
          <w:bCs/>
          <w:color w:val="000000"/>
          <w:sz w:val="24"/>
          <w:highlight w:val="none"/>
          <w:lang w:val="en-US" w:eastAsia="zh-CN"/>
        </w:rPr>
        <w:t xml:space="preserve">。</w:t>
      </w:r>
      <w:r>
        <w:rPr>
          <w:rFonts w:hint="eastAsia" w:ascii="宋体" w:hAnsi="宋体"/>
          <w:b w:val="0"/>
          <w:bCs/>
          <w:color w:val="000000"/>
          <w:sz w:val="24"/>
          <w:highlight w:val="none"/>
          <w:lang w:val="en-US" w:eastAsia="zh-CN"/>
        </w:rPr>
      </w:r>
      <w:r/>
    </w:p>
    <w:p>
      <w:pPr>
        <w:pStyle w:val="769"/>
        <w:numPr>
          <w:ilvl w:val="0"/>
          <w:numId w:val="0"/>
        </w:numPr>
        <w:ind w:left="0" w:firstLine="480"/>
        <w:keepLines w:val="0"/>
        <w:keepNext w:val="0"/>
        <w:pageBreakBefore w:val="0"/>
        <w:spacing w:line="360" w:lineRule="auto"/>
        <w:widowControl w:val="off"/>
        <w:rPr>
          <w:rFonts w:hint="eastAsia" w:ascii="宋体" w:hAnsi="宋体"/>
          <w:b w:val="0"/>
          <w:bCs/>
          <w:color w:val="000000"/>
          <w:sz w:val="24"/>
          <w:highlight w:val="none"/>
          <w:lang w:val="en-US" w:eastAsia="zh-CN"/>
        </w:rPr>
        <w:outlineLvl w:val="0"/>
      </w:pPr>
      <w:r>
        <w:rPr>
          <w:rFonts w:hint="eastAsia" w:ascii="宋体" w:hAnsi="宋体"/>
          <w:b w:val="0"/>
          <w:bCs/>
          <w:color w:val="000000"/>
          <w:sz w:val="24"/>
          <w:highlight w:val="none"/>
          <w:lang w:val="en-US" w:eastAsia="zh-CN"/>
        </w:rPr>
        <w:t xml:space="preserve">8．移动盘点车</w:t>
      </w:r>
      <w:r>
        <w:rPr>
          <w:rFonts w:hint="eastAsia" w:ascii="宋体" w:hAnsi="宋体"/>
          <w:b w:val="0"/>
          <w:bCs/>
          <w:color w:val="000000"/>
          <w:sz w:val="24"/>
          <w:highlight w:val="none"/>
          <w:lang w:val="en-US" w:eastAsia="zh-CN"/>
        </w:rPr>
        <w:t xml:space="preserve">（1分）</w:t>
      </w:r>
      <w:r>
        <w:rPr>
          <w:rFonts w:hint="eastAsia" w:ascii="宋体" w:hAnsi="宋体"/>
          <w:b w:val="0"/>
          <w:bCs/>
          <w:color w:val="000000"/>
          <w:sz w:val="24"/>
          <w:highlight w:val="none"/>
          <w:lang w:val="en-US" w:eastAsia="zh-CN"/>
        </w:rPr>
        <w:t xml:space="preserve">：具备噪声检测功能，能根据设备的状态进行天线噪声监控，对天线系统进行优化和改进，确保通信的可靠性和安全性。提供天线噪声检测软件著作权登记证书，</w:t>
      </w:r>
      <w:r>
        <w:rPr>
          <w:rFonts w:hint="eastAsia" w:ascii="宋体" w:hAnsi="宋体"/>
          <w:b w:val="0"/>
          <w:bCs/>
          <w:color w:val="000000"/>
          <w:sz w:val="24"/>
          <w:highlight w:val="none"/>
          <w:lang w:val="en-US" w:eastAsia="zh-CN"/>
        </w:rPr>
        <w:t xml:space="preserve">投标时需提供</w:t>
      </w:r>
      <w:r>
        <w:rPr>
          <w:rFonts w:hint="eastAsia" w:ascii="宋体" w:hAnsi="宋体" w:eastAsia="宋体" w:cs="宋体"/>
          <w:b w:val="0"/>
          <w:bCs/>
          <w:color w:val="000000"/>
          <w:sz w:val="24"/>
          <w:szCs w:val="24"/>
          <w:highlight w:val="none"/>
        </w:rPr>
        <w:t xml:space="preserve">原件扫描件</w:t>
      </w:r>
      <w:r>
        <w:rPr>
          <w:rFonts w:hint="eastAsia" w:ascii="宋体" w:hAnsi="宋体" w:eastAsia="宋体" w:cs="宋体"/>
          <w:b w:val="0"/>
          <w:bCs/>
          <w:color w:val="000000"/>
          <w:sz w:val="24"/>
          <w:szCs w:val="24"/>
          <w:highlight w:val="none"/>
          <w:lang w:val="en-US" w:eastAsia="zh-CN"/>
        </w:rPr>
        <w:t xml:space="preserve">加盖公章</w:t>
      </w:r>
      <w:r>
        <w:rPr>
          <w:rFonts w:hint="eastAsia" w:ascii="宋体" w:hAnsi="宋体"/>
          <w:b w:val="0"/>
          <w:bCs/>
          <w:color w:val="000000"/>
          <w:sz w:val="24"/>
          <w:highlight w:val="none"/>
          <w:lang w:val="en-US" w:eastAsia="zh-CN"/>
        </w:rPr>
        <w:t xml:space="preserve">。</w:t>
      </w:r>
      <w:r>
        <w:rPr>
          <w:rFonts w:hint="eastAsia" w:ascii="宋体" w:hAnsi="宋体"/>
          <w:b w:val="0"/>
          <w:bCs/>
          <w:color w:val="000000"/>
          <w:sz w:val="24"/>
          <w:highlight w:val="none"/>
          <w:lang w:val="en-US" w:eastAsia="zh-CN"/>
        </w:rPr>
      </w:r>
      <w:r/>
    </w:p>
    <w:p>
      <w:pPr>
        <w:pStyle w:val="769"/>
        <w:numPr>
          <w:ilvl w:val="0"/>
          <w:numId w:val="0"/>
        </w:numPr>
        <w:ind w:left="0" w:firstLine="480"/>
        <w:keepLines w:val="0"/>
        <w:keepNext w:val="0"/>
        <w:pageBreakBefore w:val="0"/>
        <w:spacing w:line="360" w:lineRule="auto"/>
        <w:widowControl w:val="off"/>
        <w:rPr>
          <w:rFonts w:hint="eastAsia" w:ascii="宋体" w:hAnsi="宋体"/>
          <w:b w:val="0"/>
          <w:bCs/>
          <w:color w:val="000000"/>
          <w:sz w:val="24"/>
          <w:highlight w:val="none"/>
          <w:lang w:val="en-US" w:eastAsia="zh-CN"/>
        </w:rPr>
        <w:outlineLvl w:val="0"/>
      </w:pPr>
      <w:r>
        <w:rPr>
          <w:rFonts w:hint="eastAsia" w:ascii="宋体" w:hAnsi="宋体"/>
          <w:b w:val="0"/>
          <w:bCs/>
          <w:color w:val="000000"/>
          <w:sz w:val="24"/>
          <w:highlight w:val="none"/>
          <w:lang w:val="en-US" w:eastAsia="zh-CN"/>
        </w:rPr>
        <w:t xml:space="preserve">9．电子瀑布流</w:t>
      </w:r>
      <w:r>
        <w:rPr>
          <w:rFonts w:hint="eastAsia" w:ascii="宋体" w:hAnsi="宋体"/>
          <w:b w:val="0"/>
          <w:bCs/>
          <w:color w:val="000000"/>
          <w:sz w:val="24"/>
          <w:highlight w:val="none"/>
          <w:lang w:val="en-US" w:eastAsia="zh-CN"/>
        </w:rPr>
        <w:t xml:space="preserve">（1分）</w:t>
      </w:r>
      <w:r>
        <w:rPr>
          <w:rFonts w:hint="eastAsia" w:ascii="宋体" w:hAnsi="宋体"/>
          <w:b w:val="0"/>
          <w:bCs/>
          <w:color w:val="000000"/>
          <w:sz w:val="24"/>
          <w:highlight w:val="none"/>
          <w:lang w:val="en-US" w:eastAsia="zh-CN"/>
        </w:rPr>
        <w:t xml:space="preserve">：支</w:t>
      </w:r>
      <w:r>
        <w:rPr>
          <w:rFonts w:hint="eastAsia" w:ascii="宋体" w:hAnsi="宋体"/>
          <w:b w:val="0"/>
          <w:bCs/>
          <w:color w:val="000000"/>
          <w:sz w:val="24"/>
          <w:highlight w:val="none"/>
          <w:lang w:val="en-US" w:eastAsia="zh-CN"/>
        </w:rPr>
        <w:t xml:space="preserve">持信源接入状态显示,可通过物理按键、客户端、遥控器、设备自带Web 浏览器进行信源切换。支持从客户端、设备自带 Web 浏览器查看绑定的接收卡序号、接收卡型号、接收卡软件版本、网口 link 状态、接收卡电压、接收卡温度。支持通过 Web 浏览器查看 LED 整墙的概览信息和 LED 屏连线状态;支持查看行列网格展示屏幕接收卡规模,在Web 端鼠标移到网格上时,可展示该网格所属网口的所有接收卡单元并高亮展示,可展示网线连线顺序、网口号、工作状态。（投标时需提供国家认可的权威第三方机构检测报告扫描件加盖公章）</w:t>
      </w:r>
      <w:r>
        <w:rPr>
          <w:rFonts w:hint="eastAsia" w:ascii="宋体" w:hAnsi="宋体"/>
          <w:b w:val="0"/>
          <w:bCs/>
          <w:color w:val="000000"/>
          <w:sz w:val="24"/>
          <w:highlight w:val="none"/>
          <w:lang w:val="en-US" w:eastAsia="zh-CN"/>
        </w:rPr>
      </w:r>
      <w:r/>
    </w:p>
    <w:p>
      <w:pPr>
        <w:pStyle w:val="769"/>
        <w:numPr>
          <w:ilvl w:val="0"/>
          <w:numId w:val="0"/>
        </w:numPr>
        <w:ind w:left="0" w:firstLine="480"/>
        <w:keepLines w:val="0"/>
        <w:keepNext w:val="0"/>
        <w:pageBreakBefore w:val="0"/>
        <w:spacing w:line="360" w:lineRule="auto"/>
        <w:widowControl w:val="off"/>
        <w:rPr>
          <w:rFonts w:hint="eastAsia" w:ascii="宋体" w:hAnsi="宋体"/>
          <w:b w:val="0"/>
          <w:bCs/>
          <w:color w:val="000000"/>
          <w:sz w:val="24"/>
          <w:highlight w:val="none"/>
          <w:lang w:val="en-US" w:eastAsia="zh-CN"/>
        </w:rPr>
        <w:outlineLvl w:val="0"/>
      </w:pPr>
      <w:r>
        <w:rPr>
          <w:rFonts w:hint="eastAsia" w:ascii="宋体" w:hAnsi="宋体"/>
          <w:b w:val="0"/>
          <w:bCs/>
          <w:color w:val="000000"/>
          <w:sz w:val="24"/>
          <w:highlight w:val="none"/>
          <w:lang w:val="en-US" w:eastAsia="zh-CN"/>
        </w:rPr>
        <w:t xml:space="preserve">10.电子瀑布流</w:t>
      </w:r>
      <w:r>
        <w:rPr>
          <w:rFonts w:hint="eastAsia" w:ascii="宋体" w:hAnsi="宋体"/>
          <w:b w:val="0"/>
          <w:bCs/>
          <w:color w:val="000000"/>
          <w:sz w:val="24"/>
          <w:highlight w:val="none"/>
          <w:lang w:val="en-US" w:eastAsia="zh-CN"/>
        </w:rPr>
        <w:t xml:space="preserve">（1分）</w:t>
      </w:r>
      <w:r>
        <w:rPr>
          <w:rFonts w:hint="eastAsia" w:ascii="宋体" w:hAnsi="宋体"/>
          <w:b w:val="0"/>
          <w:bCs/>
          <w:color w:val="000000"/>
          <w:sz w:val="24"/>
          <w:highlight w:val="none"/>
          <w:lang w:val="en-US" w:eastAsia="zh-CN"/>
        </w:rPr>
        <w:t xml:space="preserve">：依据 GB/T 20145-2006标准进行光生物安全评估检测,应属无危害类;光生物安全检测无危害类限值:30000s 曝辐中不造成光化学紫外危害(ES),并在1000s内不造成近紫外危害(EUVA),并在 10s内不造成对视网膜热危害 (LR),且在 1000s 内不造成对眼睛的红外辐射危害(EIR)。（投标时需提供国家认可的权威第三方机构检测报告扫描件加盖公章）</w:t>
      </w:r>
      <w:r>
        <w:rPr>
          <w:rFonts w:hint="eastAsia" w:ascii="宋体" w:hAnsi="宋体"/>
          <w:b w:val="0"/>
          <w:bCs/>
          <w:color w:val="000000"/>
          <w:sz w:val="24"/>
          <w:highlight w:val="none"/>
          <w:lang w:val="en-US" w:eastAsia="zh-CN"/>
        </w:rPr>
      </w:r>
      <w:r/>
    </w:p>
    <w:p>
      <w:pPr>
        <w:pStyle w:val="769"/>
        <w:numPr>
          <w:ilvl w:val="0"/>
          <w:numId w:val="0"/>
        </w:numPr>
        <w:ind w:left="0" w:firstLine="480"/>
        <w:keepLines w:val="0"/>
        <w:keepNext w:val="0"/>
        <w:pageBreakBefore w:val="0"/>
        <w:spacing w:line="360" w:lineRule="auto"/>
        <w:widowControl w:val="off"/>
        <w:rPr>
          <w:rFonts w:hint="eastAsia" w:ascii="宋体" w:hAnsi="宋体"/>
          <w:b w:val="0"/>
          <w:bCs/>
          <w:color w:val="000000"/>
          <w:sz w:val="24"/>
          <w:highlight w:val="none"/>
          <w:lang w:val="en-US" w:eastAsia="zh-CN"/>
        </w:rPr>
        <w:outlineLvl w:val="0"/>
      </w:pPr>
      <w:r>
        <w:rPr>
          <w:rFonts w:hint="eastAsia" w:ascii="宋体" w:hAnsi="宋体"/>
          <w:b w:val="0"/>
          <w:bCs/>
          <w:color w:val="000000"/>
          <w:sz w:val="24"/>
          <w:highlight w:val="none"/>
          <w:lang w:val="en-US" w:eastAsia="zh-CN"/>
        </w:rPr>
        <w:t xml:space="preserve">11.管理工作站</w:t>
      </w:r>
      <w:r>
        <w:rPr>
          <w:rFonts w:hint="eastAsia" w:ascii="宋体" w:hAnsi="宋体"/>
          <w:b w:val="0"/>
          <w:bCs/>
          <w:color w:val="000000"/>
          <w:sz w:val="24"/>
          <w:highlight w:val="none"/>
          <w:lang w:val="en-US" w:eastAsia="zh-CN"/>
        </w:rPr>
        <w:t xml:space="preserve">（1分）</w:t>
      </w:r>
      <w:r>
        <w:rPr>
          <w:rFonts w:hint="eastAsia" w:ascii="宋体" w:hAnsi="宋体"/>
          <w:b w:val="0"/>
          <w:bCs/>
          <w:color w:val="000000"/>
          <w:sz w:val="24"/>
          <w:highlight w:val="none"/>
          <w:lang w:val="en-US" w:eastAsia="zh-CN"/>
        </w:rPr>
        <w:t xml:space="preserve">：BMC可以根据主机系统工作负载的特性，自动推荐和场景匹配的性能模板。（投标时需提供国家认可的权威第三方机构检测报告扫描件加盖公章）</w:t>
      </w:r>
      <w:r>
        <w:rPr>
          <w:rFonts w:hint="eastAsia" w:ascii="宋体" w:hAnsi="宋体"/>
          <w:b w:val="0"/>
          <w:bCs/>
          <w:color w:val="000000"/>
          <w:sz w:val="24"/>
          <w:highlight w:val="none"/>
          <w:lang w:val="en-US" w:eastAsia="zh-CN"/>
        </w:rPr>
      </w:r>
      <w:r/>
    </w:p>
    <w:p>
      <w:pPr>
        <w:pStyle w:val="769"/>
        <w:numPr>
          <w:ilvl w:val="0"/>
          <w:numId w:val="0"/>
        </w:numPr>
        <w:ind w:left="0" w:firstLine="480"/>
        <w:keepLines w:val="0"/>
        <w:keepNext w:val="0"/>
        <w:pageBreakBefore w:val="0"/>
        <w:spacing w:line="360" w:lineRule="auto"/>
        <w:widowControl w:val="off"/>
        <w:rPr>
          <w:rFonts w:hint="eastAsia" w:ascii="宋体" w:hAnsi="宋体"/>
          <w:b w:val="0"/>
          <w:bCs/>
          <w:color w:val="000000"/>
          <w:sz w:val="24"/>
          <w:highlight w:val="none"/>
          <w:lang w:val="en-US" w:eastAsia="zh-CN"/>
        </w:rPr>
        <w:outlineLvl w:val="0"/>
      </w:pPr>
      <w:r>
        <w:rPr>
          <w:rFonts w:hint="eastAsia" w:ascii="宋体" w:hAnsi="宋体"/>
          <w:b w:val="0"/>
          <w:bCs/>
          <w:color w:val="000000"/>
          <w:sz w:val="24"/>
          <w:highlight w:val="none"/>
          <w:lang w:val="en-US" w:eastAsia="zh-CN"/>
        </w:rPr>
        <w:t xml:space="preserve">12.吸顶式AP（1分）：由于AP部署在高空环境，难以时常清洁，为保障设备堆积灰尘仍可以正常运行，要求所投无线接入点至少达到防护等级IP51。（投标时需提供国家认可的权威第三方机构检测报告扫描件加盖公章）</w:t>
      </w:r>
      <w:r>
        <w:rPr>
          <w:rFonts w:hint="eastAsia" w:ascii="宋体" w:hAnsi="宋体"/>
          <w:b w:val="0"/>
          <w:bCs/>
          <w:color w:val="000000"/>
          <w:sz w:val="24"/>
          <w:highlight w:val="none"/>
          <w:lang w:val="en-US" w:eastAsia="zh-CN"/>
        </w:rPr>
      </w:r>
      <w:r/>
    </w:p>
    <w:p>
      <w:pPr>
        <w:pStyle w:val="681"/>
        <w:ind w:firstLine="480"/>
        <w:jc w:val="left"/>
        <w:spacing w:line="360" w:lineRule="auto"/>
        <w:rPr>
          <w:rFonts w:hint="eastAsia" w:ascii="宋体" w:hAnsi="宋体"/>
          <w:b/>
          <w:color w:val="000000"/>
          <w:sz w:val="24"/>
          <w:highlight w:val="none"/>
          <w:lang w:val="en-US" w:eastAsia="zh-CN"/>
        </w:rPr>
      </w:pPr>
      <w:r>
        <w:rPr>
          <w:rFonts w:hint="eastAsia" w:ascii="宋体" w:hAnsi="宋体" w:cs="宋体"/>
          <w:b/>
          <w:color w:val="000000"/>
          <w:sz w:val="24"/>
          <w:szCs w:val="24"/>
          <w:highlight w:val="none"/>
          <w:lang w:eastAsia="zh-CN" w:bidi="ar"/>
        </w:rPr>
        <w:t xml:space="preserve">（</w:t>
      </w:r>
      <w:r>
        <w:rPr>
          <w:rFonts w:hint="eastAsia" w:ascii="宋体" w:hAnsi="宋体" w:cs="宋体"/>
          <w:b/>
          <w:color w:val="000000"/>
          <w:sz w:val="24"/>
          <w:szCs w:val="24"/>
          <w:highlight w:val="none"/>
          <w:lang w:val="en-US" w:eastAsia="zh-CN" w:bidi="ar"/>
        </w:rPr>
        <w:t xml:space="preserve">四）</w:t>
      </w:r>
      <w:r>
        <w:rPr>
          <w:rFonts w:hint="eastAsia" w:ascii="宋体" w:hAnsi="宋体" w:eastAsia="宋体" w:cs="宋体"/>
          <w:b/>
          <w:bCs w:val="0"/>
          <w:color w:val="000000"/>
          <w:sz w:val="24"/>
          <w:szCs w:val="24"/>
          <w:highlight w:val="none"/>
          <w:lang w:val="en-US" w:eastAsia="zh-CN"/>
        </w:rPr>
        <w:t xml:space="preserve">.政策性因素（2分）：</w:t>
      </w:r>
      <w:r>
        <w:rPr>
          <w:rFonts w:hint="eastAsia" w:ascii="宋体" w:hAnsi="宋体" w:eastAsia="宋体" w:cs="宋体"/>
          <w:b w:val="0"/>
          <w:bCs/>
          <w:color w:val="000000"/>
          <w:sz w:val="24"/>
          <w:szCs w:val="24"/>
          <w:highlight w:val="none"/>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扫描件加盖公章、环境标志产品认证证书扫描件加盖公章，否则不得分）。</w:t>
      </w:r>
      <w:r>
        <w:rPr>
          <w:rFonts w:hint="eastAsia" w:ascii="宋体" w:hAnsi="宋体"/>
          <w:b/>
          <w:color w:val="000000"/>
          <w:sz w:val="24"/>
          <w:highlight w:val="none"/>
          <w:lang w:val="en-US" w:eastAsia="zh-CN"/>
        </w:rPr>
      </w:r>
      <w:r/>
    </w:p>
    <w:p>
      <w:pPr>
        <w:pStyle w:val="769"/>
        <w:numPr>
          <w:ilvl w:val="0"/>
          <w:numId w:val="0"/>
        </w:numPr>
        <w:ind w:left="0" w:firstLine="0"/>
        <w:spacing w:line="360" w:lineRule="auto"/>
        <w:rPr>
          <w:rFonts w:hint="eastAsia" w:ascii="宋体" w:hAnsi="宋体"/>
          <w:b/>
          <w:color w:val="000000"/>
          <w:sz w:val="24"/>
          <w:highlight w:val="none"/>
        </w:rPr>
        <w:outlineLvl w:val="0"/>
      </w:pPr>
      <w:r>
        <w:rPr>
          <w:rFonts w:hint="eastAsia" w:ascii="宋体" w:hAnsi="宋体"/>
          <w:b/>
          <w:color w:val="000000"/>
          <w:sz w:val="24"/>
          <w:highlight w:val="none"/>
          <w:lang w:val="en-US" w:eastAsia="zh-CN"/>
        </w:rPr>
        <w:t xml:space="preserve">（五）服务</w:t>
      </w:r>
      <w:r>
        <w:rPr>
          <w:rFonts w:hint="eastAsia" w:ascii="宋体" w:hAnsi="宋体"/>
          <w:b/>
          <w:color w:val="000000"/>
          <w:sz w:val="24"/>
          <w:highlight w:val="none"/>
        </w:rPr>
        <w:t xml:space="preserve">方案（</w:t>
      </w:r>
      <w:r>
        <w:rPr>
          <w:rFonts w:hint="eastAsia" w:ascii="宋体" w:hAnsi="宋体"/>
          <w:b/>
          <w:color w:val="000000"/>
          <w:sz w:val="24"/>
          <w:highlight w:val="none"/>
          <w:lang w:val="en-US" w:eastAsia="zh-CN"/>
        </w:rPr>
        <w:t xml:space="preserve">40</w:t>
      </w:r>
      <w:r>
        <w:rPr>
          <w:rFonts w:hint="eastAsia" w:ascii="宋体" w:hAnsi="宋体"/>
          <w:b/>
          <w:color w:val="000000"/>
          <w:sz w:val="24"/>
          <w:highlight w:val="none"/>
        </w:rPr>
        <w:t xml:space="preserve">分）</w:t>
      </w:r>
      <w:r>
        <w:rPr>
          <w:rFonts w:hint="eastAsia" w:ascii="宋体" w:hAnsi="宋体"/>
          <w:b/>
          <w:color w:val="000000"/>
          <w:sz w:val="24"/>
          <w:highlight w:val="none"/>
        </w:rPr>
      </w:r>
      <w:r/>
    </w:p>
    <w:p>
      <w:pPr>
        <w:pStyle w:val="858"/>
        <w:ind w:left="0" w:firstLine="482"/>
        <w:keepLines w:val="0"/>
        <w:keepNext w:val="0"/>
        <w:pageBreakBefore w:val="0"/>
        <w:spacing w:line="360" w:lineRule="auto"/>
        <w:rPr>
          <w:rFonts w:hint="eastAsia" w:ascii="宋体" w:hAnsi="宋体" w:eastAsia="宋体" w:cs="宋体"/>
          <w:b/>
          <w:bCs w:val="0"/>
          <w:color w:val="000000"/>
          <w:sz w:val="24"/>
          <w:szCs w:val="24"/>
          <w:highlight w:val="none"/>
          <w:lang w:val="en-US" w:eastAsia="en-US" w:bidi="en-US"/>
        </w:rPr>
      </w:pPr>
      <w:r>
        <w:rPr>
          <w:rFonts w:hint="eastAsia" w:ascii="宋体" w:hAnsi="宋体" w:eastAsia="宋体" w:cs="宋体"/>
          <w:b/>
          <w:bCs w:val="0"/>
          <w:color w:val="000000"/>
          <w:sz w:val="24"/>
          <w:szCs w:val="24"/>
          <w:highlight w:val="none"/>
          <w:lang w:val="en-US" w:eastAsia="en-US" w:bidi="en-US"/>
        </w:rPr>
        <w:t xml:space="preserve">1、项目实施方案（</w:t>
      </w:r>
      <w:r>
        <w:rPr>
          <w:rFonts w:hint="eastAsia" w:ascii="宋体" w:hAnsi="宋体" w:eastAsia="宋体" w:cs="宋体"/>
          <w:b/>
          <w:bCs w:val="0"/>
          <w:color w:val="000000"/>
          <w:sz w:val="24"/>
          <w:szCs w:val="24"/>
          <w:highlight w:val="none"/>
          <w:lang w:val="en-US" w:eastAsia="zh-CN" w:bidi="en-US"/>
        </w:rPr>
        <w:t xml:space="preserve">10</w:t>
      </w:r>
      <w:r>
        <w:rPr>
          <w:rFonts w:hint="eastAsia" w:ascii="宋体" w:hAnsi="宋体" w:eastAsia="宋体" w:cs="宋体"/>
          <w:b/>
          <w:bCs w:val="0"/>
          <w:color w:val="000000"/>
          <w:sz w:val="24"/>
          <w:szCs w:val="24"/>
          <w:highlight w:val="none"/>
          <w:lang w:val="en-US" w:eastAsia="en-US" w:bidi="en-US"/>
        </w:rPr>
        <w:t xml:space="preserve">分）：</w:t>
      </w:r>
      <w:r>
        <w:rPr>
          <w:rFonts w:hint="eastAsia" w:ascii="宋体" w:hAnsi="宋体" w:eastAsia="宋体" w:cs="宋体"/>
          <w:b/>
          <w:bCs w:val="0"/>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根据项目的实际特点来制定符合本项目的总体设计方案（包括但不限于：①需求分析②项架构设计③实施计划④实施方案），要求表述内容完整、合理、可行性强。</w:t>
      </w:r>
      <w:r>
        <w:rPr>
          <w:rFonts w:hint="eastAsia" w:ascii="宋体" w:hAnsi="宋体" w:eastAsia="宋体" w:cs="宋体"/>
          <w:bCs/>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以上内容不存在瑕疵：得</w:t>
      </w:r>
      <w:r>
        <w:rPr>
          <w:rFonts w:hint="eastAsia" w:ascii="宋体" w:hAnsi="宋体" w:eastAsia="宋体" w:cs="宋体"/>
          <w:bCs/>
          <w:color w:val="000000"/>
          <w:sz w:val="24"/>
          <w:szCs w:val="24"/>
          <w:highlight w:val="none"/>
          <w:lang w:val="en-US" w:eastAsia="zh-CN" w:bidi="en-US"/>
        </w:rPr>
        <w:t xml:space="preserve">10</w:t>
      </w:r>
      <w:r>
        <w:rPr>
          <w:rFonts w:hint="eastAsia" w:ascii="宋体" w:hAnsi="宋体" w:eastAsia="宋体" w:cs="宋体"/>
          <w:bCs/>
          <w:color w:val="000000"/>
          <w:sz w:val="24"/>
          <w:szCs w:val="24"/>
          <w:highlight w:val="none"/>
          <w:lang w:val="en-US" w:eastAsia="en-US" w:bidi="en-US"/>
        </w:rPr>
        <w:t xml:space="preserve">分；</w:t>
      </w:r>
      <w:r>
        <w:rPr>
          <w:rFonts w:hint="eastAsia" w:ascii="宋体" w:hAnsi="宋体" w:eastAsia="宋体" w:cs="宋体"/>
          <w:bCs/>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以上内容存在1处瑕疵：得</w:t>
      </w:r>
      <w:r>
        <w:rPr>
          <w:rFonts w:hint="eastAsia" w:ascii="宋体" w:hAnsi="宋体" w:eastAsia="宋体" w:cs="宋体"/>
          <w:bCs/>
          <w:color w:val="000000"/>
          <w:sz w:val="24"/>
          <w:szCs w:val="24"/>
          <w:highlight w:val="none"/>
          <w:lang w:val="en-US" w:eastAsia="zh-CN" w:bidi="en-US"/>
        </w:rPr>
        <w:t xml:space="preserve">7</w:t>
      </w:r>
      <w:r>
        <w:rPr>
          <w:rFonts w:hint="eastAsia" w:ascii="宋体" w:hAnsi="宋体" w:eastAsia="宋体" w:cs="宋体"/>
          <w:bCs/>
          <w:color w:val="000000"/>
          <w:sz w:val="24"/>
          <w:szCs w:val="24"/>
          <w:highlight w:val="none"/>
          <w:lang w:val="en-US" w:eastAsia="en-US" w:bidi="en-US"/>
        </w:rPr>
        <w:t xml:space="preserve">分；</w:t>
      </w:r>
      <w:r>
        <w:rPr>
          <w:rFonts w:hint="eastAsia" w:ascii="宋体" w:hAnsi="宋体" w:eastAsia="宋体" w:cs="宋体"/>
          <w:bCs/>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以上内容存在2处瑕疵：得</w:t>
      </w:r>
      <w:r>
        <w:rPr>
          <w:rFonts w:hint="eastAsia" w:ascii="宋体" w:hAnsi="宋体" w:eastAsia="宋体" w:cs="宋体"/>
          <w:bCs/>
          <w:color w:val="000000"/>
          <w:sz w:val="24"/>
          <w:szCs w:val="24"/>
          <w:highlight w:val="none"/>
          <w:lang w:val="en-US" w:eastAsia="zh-CN" w:bidi="en-US"/>
        </w:rPr>
        <w:t xml:space="preserve">4</w:t>
      </w:r>
      <w:r>
        <w:rPr>
          <w:rFonts w:hint="eastAsia" w:ascii="宋体" w:hAnsi="宋体" w:eastAsia="宋体" w:cs="宋体"/>
          <w:bCs/>
          <w:color w:val="000000"/>
          <w:sz w:val="24"/>
          <w:szCs w:val="24"/>
          <w:highlight w:val="none"/>
          <w:lang w:val="en-US" w:eastAsia="en-US" w:bidi="en-US"/>
        </w:rPr>
        <w:t xml:space="preserve">分；</w:t>
      </w:r>
      <w:r>
        <w:rPr>
          <w:rFonts w:hint="eastAsia" w:ascii="宋体" w:hAnsi="宋体" w:eastAsia="宋体" w:cs="宋体"/>
          <w:bCs/>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以上内容存在3处瑕疵：得1分；</w:t>
      </w:r>
      <w:r>
        <w:rPr>
          <w:rFonts w:hint="eastAsia" w:ascii="宋体" w:hAnsi="宋体" w:eastAsia="宋体" w:cs="宋体"/>
          <w:bCs/>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未提供方案或不满足项目需求书要求或内容存在4处及以上瑕疵：得0分。</w:t>
      </w:r>
      <w:r>
        <w:rPr>
          <w:rFonts w:hint="eastAsia" w:ascii="宋体" w:hAnsi="宋体" w:eastAsia="宋体" w:cs="宋体"/>
          <w:bCs/>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Cs/>
          <w:color w:val="000000"/>
          <w:sz w:val="24"/>
          <w:szCs w:val="24"/>
          <w:highlight w:val="none"/>
          <w:lang w:val="en-US" w:eastAsia="en-US" w:bidi="en-US"/>
        </w:rPr>
      </w:r>
      <w:r/>
    </w:p>
    <w:p>
      <w:pPr>
        <w:pStyle w:val="858"/>
        <w:ind w:left="0" w:firstLine="482"/>
        <w:keepLines w:val="0"/>
        <w:keepNext w:val="0"/>
        <w:pageBreakBefore w:val="0"/>
        <w:spacing w:line="360" w:lineRule="auto"/>
        <w:rPr>
          <w:rFonts w:hint="eastAsia" w:ascii="宋体" w:hAnsi="宋体" w:eastAsia="宋体" w:cs="宋体"/>
          <w:b/>
          <w:bCs w:val="0"/>
          <w:color w:val="000000"/>
          <w:sz w:val="24"/>
          <w:szCs w:val="24"/>
          <w:highlight w:val="none"/>
          <w:lang w:val="en-US" w:eastAsia="en-US" w:bidi="en-US"/>
        </w:rPr>
      </w:pPr>
      <w:r>
        <w:rPr>
          <w:rFonts w:hint="eastAsia" w:ascii="宋体" w:hAnsi="宋体" w:eastAsia="宋体" w:cs="宋体"/>
          <w:b/>
          <w:bCs w:val="0"/>
          <w:color w:val="000000"/>
          <w:sz w:val="24"/>
          <w:szCs w:val="24"/>
          <w:highlight w:val="none"/>
          <w:lang w:val="en-US" w:eastAsia="en-US" w:bidi="en-US"/>
        </w:rPr>
        <w:t xml:space="preserve">2、项目供货方案（</w:t>
      </w:r>
      <w:r>
        <w:rPr>
          <w:rFonts w:hint="eastAsia" w:ascii="宋体" w:hAnsi="宋体" w:eastAsia="宋体" w:cs="宋体"/>
          <w:b/>
          <w:bCs w:val="0"/>
          <w:color w:val="000000"/>
          <w:sz w:val="24"/>
          <w:szCs w:val="24"/>
          <w:highlight w:val="none"/>
          <w:lang w:val="en-US" w:eastAsia="zh-CN" w:bidi="en-US"/>
        </w:rPr>
        <w:t xml:space="preserve">10</w:t>
      </w:r>
      <w:r>
        <w:rPr>
          <w:rFonts w:hint="eastAsia" w:ascii="宋体" w:hAnsi="宋体" w:eastAsia="宋体" w:cs="宋体"/>
          <w:b/>
          <w:bCs w:val="0"/>
          <w:color w:val="000000"/>
          <w:sz w:val="24"/>
          <w:szCs w:val="24"/>
          <w:highlight w:val="none"/>
          <w:lang w:val="en-US" w:eastAsia="en-US" w:bidi="en-US"/>
        </w:rPr>
        <w:t xml:space="preserve">分）：</w:t>
      </w:r>
      <w:r>
        <w:rPr>
          <w:rFonts w:hint="eastAsia" w:ascii="宋体" w:hAnsi="宋体" w:eastAsia="宋体" w:cs="宋体"/>
          <w:b/>
          <w:bCs w:val="0"/>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根据项目的实际特点制定符合本项目的供货方案（包括但不限于①供货组织及运输安排；②安装组织措施；③进度计划④保障措施)等内容，要求表述内容完整、合理、可行性强。</w:t>
      </w:r>
      <w:r>
        <w:rPr>
          <w:rFonts w:hint="eastAsia" w:ascii="宋体" w:hAnsi="宋体" w:eastAsia="宋体" w:cs="宋体"/>
          <w:bCs/>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以上内容不存在瑕疵：得</w:t>
      </w:r>
      <w:r>
        <w:rPr>
          <w:rFonts w:hint="eastAsia" w:ascii="宋体" w:hAnsi="宋体" w:eastAsia="宋体" w:cs="宋体"/>
          <w:bCs/>
          <w:color w:val="000000"/>
          <w:sz w:val="24"/>
          <w:szCs w:val="24"/>
          <w:highlight w:val="none"/>
          <w:lang w:val="en-US" w:eastAsia="zh-CN" w:bidi="en-US"/>
        </w:rPr>
        <w:t xml:space="preserve">10</w:t>
      </w:r>
      <w:r>
        <w:rPr>
          <w:rFonts w:hint="eastAsia" w:ascii="宋体" w:hAnsi="宋体" w:eastAsia="宋体" w:cs="宋体"/>
          <w:bCs/>
          <w:color w:val="000000"/>
          <w:sz w:val="24"/>
          <w:szCs w:val="24"/>
          <w:highlight w:val="none"/>
          <w:lang w:val="en-US" w:eastAsia="en-US" w:bidi="en-US"/>
        </w:rPr>
        <w:t xml:space="preserve">分；</w:t>
      </w:r>
      <w:r>
        <w:rPr>
          <w:rFonts w:hint="eastAsia" w:ascii="宋体" w:hAnsi="宋体" w:eastAsia="宋体" w:cs="宋体"/>
          <w:bCs/>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以上内容存在1处瑕疵：得</w:t>
      </w:r>
      <w:r>
        <w:rPr>
          <w:rFonts w:hint="eastAsia" w:ascii="宋体" w:hAnsi="宋体" w:eastAsia="宋体" w:cs="宋体"/>
          <w:bCs/>
          <w:color w:val="000000"/>
          <w:sz w:val="24"/>
          <w:szCs w:val="24"/>
          <w:highlight w:val="none"/>
          <w:lang w:val="en-US" w:eastAsia="zh-CN" w:bidi="en-US"/>
        </w:rPr>
        <w:t xml:space="preserve">7</w:t>
      </w:r>
      <w:r>
        <w:rPr>
          <w:rFonts w:hint="eastAsia" w:ascii="宋体" w:hAnsi="宋体" w:eastAsia="宋体" w:cs="宋体"/>
          <w:bCs/>
          <w:color w:val="000000"/>
          <w:sz w:val="24"/>
          <w:szCs w:val="24"/>
          <w:highlight w:val="none"/>
          <w:lang w:val="en-US" w:eastAsia="en-US" w:bidi="en-US"/>
        </w:rPr>
        <w:t xml:space="preserve">分；</w:t>
      </w:r>
      <w:r>
        <w:rPr>
          <w:rFonts w:hint="eastAsia" w:ascii="宋体" w:hAnsi="宋体" w:eastAsia="宋体" w:cs="宋体"/>
          <w:bCs/>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以上内容存在2处瑕疵：得</w:t>
      </w:r>
      <w:r>
        <w:rPr>
          <w:rFonts w:hint="eastAsia" w:ascii="宋体" w:hAnsi="宋体" w:eastAsia="宋体" w:cs="宋体"/>
          <w:bCs/>
          <w:color w:val="000000"/>
          <w:sz w:val="24"/>
          <w:szCs w:val="24"/>
          <w:highlight w:val="none"/>
          <w:lang w:val="en-US" w:eastAsia="zh-CN" w:bidi="en-US"/>
        </w:rPr>
        <w:t xml:space="preserve">4</w:t>
      </w:r>
      <w:r>
        <w:rPr>
          <w:rFonts w:hint="eastAsia" w:ascii="宋体" w:hAnsi="宋体" w:eastAsia="宋体" w:cs="宋体"/>
          <w:bCs/>
          <w:color w:val="000000"/>
          <w:sz w:val="24"/>
          <w:szCs w:val="24"/>
          <w:highlight w:val="none"/>
          <w:lang w:val="en-US" w:eastAsia="en-US" w:bidi="en-US"/>
        </w:rPr>
        <w:t xml:space="preserve">分；</w:t>
      </w:r>
      <w:r>
        <w:rPr>
          <w:rFonts w:hint="eastAsia" w:ascii="宋体" w:hAnsi="宋体" w:eastAsia="宋体" w:cs="宋体"/>
          <w:bCs/>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以上内容存在3处瑕疵：得1分；</w:t>
      </w:r>
      <w:r>
        <w:rPr>
          <w:rFonts w:hint="eastAsia" w:ascii="宋体" w:hAnsi="宋体" w:eastAsia="宋体" w:cs="宋体"/>
          <w:bCs/>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未提供方案或不满足项目需求书要求或内容存在4处及以上瑕疵：得0分。</w:t>
      </w:r>
      <w:r>
        <w:rPr>
          <w:rFonts w:hint="eastAsia" w:ascii="宋体" w:hAnsi="宋体" w:eastAsia="宋体" w:cs="宋体"/>
          <w:bCs/>
          <w:color w:val="000000"/>
          <w:sz w:val="24"/>
          <w:szCs w:val="24"/>
          <w:highlight w:val="none"/>
          <w:lang w:val="en-US" w:eastAsia="en-US" w:bidi="en-US"/>
        </w:rPr>
      </w:r>
      <w:r/>
    </w:p>
    <w:p>
      <w:pPr>
        <w:pStyle w:val="858"/>
        <w:ind w:left="0" w:firstLine="480"/>
        <w:keepLines w:val="0"/>
        <w:keepNext w:val="0"/>
        <w:pageBreakBefore w:val="0"/>
        <w:spacing w:line="360" w:lineRule="auto"/>
        <w:rPr>
          <w:rFonts w:hint="eastAsia" w:ascii="宋体" w:hAnsi="宋体" w:eastAsia="宋体" w:cs="宋体"/>
          <w:bCs/>
          <w:color w:val="000000"/>
          <w:sz w:val="24"/>
          <w:szCs w:val="24"/>
          <w:highlight w:val="none"/>
          <w:lang w:val="en-US" w:eastAsia="en-US" w:bidi="en-US"/>
        </w:rPr>
      </w:pPr>
      <w:r>
        <w:rPr>
          <w:rFonts w:hint="eastAsia" w:ascii="宋体" w:hAnsi="宋体" w:eastAsia="宋体" w:cs="宋体"/>
          <w:bCs/>
          <w:color w:val="000000"/>
          <w:sz w:val="24"/>
          <w:szCs w:val="24"/>
          <w:highlight w:val="none"/>
          <w:lang w:val="en-US" w:eastAsia="en-US" w:bidi="en-US"/>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Cs/>
          <w:color w:val="000000"/>
          <w:sz w:val="24"/>
          <w:szCs w:val="24"/>
          <w:highlight w:val="none"/>
          <w:lang w:val="en-US" w:eastAsia="en-US" w:bidi="en-US"/>
        </w:rPr>
      </w:r>
      <w:r/>
    </w:p>
    <w:p>
      <w:pPr>
        <w:pStyle w:val="858"/>
        <w:ind w:left="0" w:firstLine="482"/>
        <w:keepLines w:val="0"/>
        <w:keepNext w:val="0"/>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en-US" w:bidi="ar-SA"/>
        </w:rPr>
        <w:t xml:space="preserve">3</w:t>
      </w:r>
      <w:r>
        <w:rPr>
          <w:rFonts w:hint="eastAsia" w:ascii="宋体" w:hAnsi="宋体" w:eastAsia="宋体" w:cs="宋体"/>
          <w:b/>
          <w:color w:val="000000"/>
          <w:sz w:val="24"/>
          <w:szCs w:val="24"/>
          <w:highlight w:val="none"/>
          <w:lang w:val="en-US" w:eastAsia="zh-CN" w:bidi="ar-SA"/>
        </w:rPr>
        <w:t xml:space="preserve">、项目培训方案（10分）：</w:t>
      </w:r>
      <w:r>
        <w:rPr>
          <w:rFonts w:hint="eastAsia" w:ascii="宋体" w:hAnsi="宋体" w:eastAsia="宋体" w:cs="宋体"/>
          <w:b/>
          <w:color w:val="000000"/>
          <w:sz w:val="24"/>
          <w:szCs w:val="24"/>
          <w:highlight w:val="none"/>
          <w:lang w:val="en-US" w:eastAsia="zh-CN" w:bidi="ar-SA"/>
        </w:rPr>
      </w:r>
      <w:r/>
    </w:p>
    <w:p>
      <w:pPr>
        <w:pStyle w:val="681"/>
        <w:ind w:firstLine="480"/>
        <w:jc w:val="left"/>
        <w:keepLines w:val="0"/>
        <w:keepNext w:val="0"/>
        <w:pageBreakBefore w:val="0"/>
        <w:spacing w:line="360" w:lineRule="auto"/>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根据项目的实际特点制定符合本项目的培训方案（包括但不限于①对采购单位管理人员、操作人员及维护人员设备操作培训方案；②设备日常使用前后保养培训方案；③培训内容④培训计划（含培训老师情况、时间及次数）)等内容，要求表述内容完整、合理、可行性强。</w:t>
      </w:r>
      <w:r>
        <w:rPr>
          <w:rFonts w:hint="eastAsia"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以上内容不存在瑕疵：得10分；</w:t>
      </w:r>
      <w:r>
        <w:rPr>
          <w:rFonts w:hint="eastAsia"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以上内容存在1处瑕疵：得7分；</w:t>
      </w:r>
      <w:r>
        <w:rPr>
          <w:rFonts w:hint="eastAsia"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以上内容存在2处瑕疵：得4分；</w:t>
      </w:r>
      <w:r>
        <w:rPr>
          <w:rFonts w:hint="eastAsia"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以上内容存在3处瑕疵：得1分；</w:t>
      </w:r>
      <w:r>
        <w:rPr>
          <w:rFonts w:hint="eastAsia"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未提供方案或不满足项目需求书要求或内容存在4处及以上瑕疵：得0分。</w:t>
      </w:r>
      <w:r>
        <w:rPr>
          <w:rFonts w:hint="eastAsia"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Cs/>
          <w:color w:val="000000"/>
          <w:sz w:val="24"/>
          <w:szCs w:val="24"/>
          <w:highlight w:val="none"/>
          <w:lang w:val="en-US" w:eastAsia="zh-CN" w:bidi="en-US"/>
        </w:rPr>
      </w:r>
      <w:r/>
    </w:p>
    <w:p>
      <w:pPr>
        <w:pStyle w:val="681"/>
        <w:ind w:firstLine="482"/>
        <w:jc w:val="left"/>
        <w:keepLines w:val="0"/>
        <w:keepNext w:val="0"/>
        <w:pageBreakBefore w:val="0"/>
        <w:spacing w:line="360" w:lineRule="auto"/>
        <w:rPr>
          <w:rFonts w:hint="eastAsia" w:ascii="宋体" w:hAnsi="宋体" w:eastAsia="宋体" w:cs="宋体"/>
          <w:b/>
          <w:bCs w:val="0"/>
          <w:color w:val="000000"/>
          <w:sz w:val="24"/>
          <w:szCs w:val="24"/>
          <w:highlight w:val="none"/>
        </w:rPr>
      </w:pPr>
      <w:r>
        <w:rPr>
          <w:rFonts w:hint="eastAsia" w:ascii="宋体" w:hAnsi="宋体" w:cs="宋体"/>
          <w:b/>
          <w:color w:val="000000"/>
          <w:sz w:val="24"/>
          <w:szCs w:val="24"/>
          <w:highlight w:val="none"/>
          <w:lang w:val="en-US" w:eastAsia="zh-CN"/>
        </w:rPr>
        <w:t xml:space="preserve">4、项目售后服务及措施</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10</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681"/>
        <w:ind w:firstLine="480"/>
        <w:jc w:val="left"/>
        <w:keepLines w:val="0"/>
        <w:keepNext w:val="0"/>
        <w:pageBreakBefore w:val="0"/>
        <w:spacing w:line="360" w:lineRule="auto"/>
        <w:rPr>
          <w:rFonts w:ascii="宋体" w:hAnsi="宋体" w:eastAsia="宋体" w:cs="宋体"/>
          <w:bCs/>
          <w:color w:val="000000"/>
          <w:sz w:val="24"/>
          <w:szCs w:val="24"/>
          <w:highlight w:val="none"/>
          <w:lang w:val="en-US" w:eastAsia="zh-CN" w:bidi="en-US"/>
        </w:rPr>
      </w:pPr>
      <w:r>
        <w:rPr>
          <w:rFonts w:ascii="宋体" w:hAnsi="宋体" w:eastAsia="宋体" w:cs="宋体"/>
          <w:bCs/>
          <w:color w:val="000000"/>
          <w:sz w:val="24"/>
          <w:szCs w:val="24"/>
          <w:highlight w:val="none"/>
          <w:lang w:val="en-US" w:eastAsia="zh-CN" w:bidi="en-US"/>
        </w:rPr>
        <w:t xml:space="preserve">根据项目的实际特点来制定符合本项目的售后服务方案（包括但不限于①售后服务承诺及保修细则；②售后服务体系；③质保期内的售后服务范围、质保期满后的售后服务范围；④售后现场服务措施及故障解决能力）等内容，要求表述内容完整、合理、可行性强。</w:t>
      </w:r>
      <w:r>
        <w:rPr>
          <w:rFonts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rPr>
          <w:rFonts w:ascii="宋体" w:hAnsi="宋体" w:eastAsia="宋体" w:cs="宋体"/>
          <w:bCs/>
          <w:color w:val="000000"/>
          <w:sz w:val="24"/>
          <w:szCs w:val="24"/>
          <w:highlight w:val="none"/>
          <w:lang w:val="en-US" w:eastAsia="zh-CN" w:bidi="en-US"/>
        </w:rPr>
      </w:pPr>
      <w:r>
        <w:rPr>
          <w:rFonts w:ascii="宋体" w:hAnsi="宋体" w:eastAsia="宋体" w:cs="宋体"/>
          <w:bCs/>
          <w:color w:val="000000"/>
          <w:sz w:val="24"/>
          <w:szCs w:val="24"/>
          <w:highlight w:val="none"/>
          <w:lang w:val="en-US" w:eastAsia="zh-CN" w:bidi="en-US"/>
        </w:rPr>
        <w:t xml:space="preserve">以上内容不存在瑕疵：得10分；</w:t>
      </w:r>
      <w:r>
        <w:rPr>
          <w:rFonts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rPr>
          <w:rFonts w:ascii="宋体" w:hAnsi="宋体" w:eastAsia="宋体" w:cs="宋体"/>
          <w:bCs/>
          <w:color w:val="000000"/>
          <w:sz w:val="24"/>
          <w:szCs w:val="24"/>
          <w:highlight w:val="none"/>
          <w:lang w:val="en-US" w:eastAsia="zh-CN" w:bidi="en-US"/>
        </w:rPr>
      </w:pPr>
      <w:r>
        <w:rPr>
          <w:rFonts w:ascii="宋体" w:hAnsi="宋体" w:eastAsia="宋体" w:cs="宋体"/>
          <w:bCs/>
          <w:color w:val="000000"/>
          <w:sz w:val="24"/>
          <w:szCs w:val="24"/>
          <w:highlight w:val="none"/>
          <w:lang w:val="en-US" w:eastAsia="zh-CN" w:bidi="en-US"/>
        </w:rPr>
        <w:t xml:space="preserve">以上内容存在1处瑕疵：得7分；</w:t>
      </w:r>
      <w:r>
        <w:rPr>
          <w:rFonts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rPr>
          <w:rFonts w:ascii="宋体" w:hAnsi="宋体" w:eastAsia="宋体" w:cs="宋体"/>
          <w:bCs/>
          <w:color w:val="000000"/>
          <w:sz w:val="24"/>
          <w:szCs w:val="24"/>
          <w:highlight w:val="none"/>
          <w:lang w:val="en-US" w:eastAsia="zh-CN" w:bidi="en-US"/>
        </w:rPr>
      </w:pPr>
      <w:r>
        <w:rPr>
          <w:rFonts w:ascii="宋体" w:hAnsi="宋体" w:eastAsia="宋体" w:cs="宋体"/>
          <w:bCs/>
          <w:color w:val="000000"/>
          <w:sz w:val="24"/>
          <w:szCs w:val="24"/>
          <w:highlight w:val="none"/>
          <w:lang w:val="en-US" w:eastAsia="zh-CN" w:bidi="en-US"/>
        </w:rPr>
        <w:t xml:space="preserve">以上内容存在2处瑕疵：得4分；</w:t>
      </w:r>
      <w:r>
        <w:rPr>
          <w:rFonts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rPr>
          <w:rFonts w:ascii="宋体" w:hAnsi="宋体" w:eastAsia="宋体" w:cs="宋体"/>
          <w:bCs/>
          <w:color w:val="000000"/>
          <w:sz w:val="24"/>
          <w:szCs w:val="24"/>
          <w:highlight w:val="none"/>
          <w:lang w:val="en-US" w:eastAsia="zh-CN" w:bidi="en-US"/>
        </w:rPr>
      </w:pPr>
      <w:r>
        <w:rPr>
          <w:rFonts w:ascii="宋体" w:hAnsi="宋体" w:eastAsia="宋体" w:cs="宋体"/>
          <w:bCs/>
          <w:color w:val="000000"/>
          <w:sz w:val="24"/>
          <w:szCs w:val="24"/>
          <w:highlight w:val="none"/>
          <w:lang w:val="en-US" w:eastAsia="zh-CN" w:bidi="en-US"/>
        </w:rPr>
        <w:t xml:space="preserve">以上内容存在3处瑕疵：得1分；</w:t>
      </w:r>
      <w:r>
        <w:rPr>
          <w:rFonts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rPr>
          <w:rFonts w:ascii="宋体" w:hAnsi="宋体" w:eastAsia="宋体" w:cs="宋体"/>
          <w:bCs/>
          <w:color w:val="000000"/>
          <w:sz w:val="24"/>
          <w:szCs w:val="24"/>
          <w:highlight w:val="none"/>
          <w:lang w:val="en-US" w:eastAsia="zh-CN" w:bidi="en-US"/>
        </w:rPr>
      </w:pPr>
      <w:r>
        <w:rPr>
          <w:rFonts w:ascii="宋体" w:hAnsi="宋体" w:eastAsia="宋体" w:cs="宋体"/>
          <w:bCs/>
          <w:color w:val="000000"/>
          <w:sz w:val="24"/>
          <w:szCs w:val="24"/>
          <w:highlight w:val="none"/>
          <w:lang w:val="en-US" w:eastAsia="zh-CN" w:bidi="en-US"/>
        </w:rPr>
        <w:t xml:space="preserve">未提供方案或不满足项目需求书要求或内容存在4处及以上瑕疵：得0分。</w:t>
      </w:r>
      <w:r>
        <w:rPr>
          <w:rFonts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rPr>
          <w:rFonts w:hint="eastAsia" w:ascii="宋体" w:hAnsi="宋体" w:cs="宋体"/>
          <w:b/>
          <w:color w:val="000000"/>
          <w:sz w:val="24"/>
          <w:szCs w:val="24"/>
          <w:highlight w:val="none"/>
          <w:lang w:eastAsia="zh-CN"/>
        </w:rPr>
      </w:pPr>
      <w:r>
        <w:rPr>
          <w:rFonts w:ascii="宋体" w:hAnsi="宋体" w:eastAsia="宋体" w:cs="宋体"/>
          <w:bCs/>
          <w:color w:val="000000"/>
          <w:sz w:val="24"/>
          <w:szCs w:val="24"/>
          <w:highlight w:val="none"/>
          <w:lang w:val="en-US" w:eastAsia="zh-CN" w:bidi="en-US"/>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b/>
          <w:color w:val="000000"/>
          <w:sz w:val="24"/>
          <w:szCs w:val="24"/>
          <w:highlight w:val="none"/>
          <w:lang w:eastAsia="zh-CN"/>
        </w:rPr>
      </w:r>
      <w:r/>
    </w:p>
    <w:p>
      <w:pPr>
        <w:pStyle w:val="681"/>
        <w:ind w:firstLine="0"/>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四）</w:t>
      </w:r>
      <w:r>
        <w:rPr>
          <w:rFonts w:hint="eastAsia" w:ascii="宋体" w:hAnsi="宋体" w:cs="宋体"/>
          <w:b/>
          <w:bCs/>
          <w:color w:val="000000"/>
          <w:sz w:val="24"/>
          <w:szCs w:val="24"/>
          <w:highlight w:val="none"/>
        </w:rPr>
        <w:t xml:space="preserve">产品功能视频演示（</w:t>
      </w:r>
      <w:r>
        <w:rPr>
          <w:rFonts w:hint="eastAsia" w:ascii="宋体" w:hAnsi="宋体" w:cs="宋体"/>
          <w:b/>
          <w:bCs/>
          <w:color w:val="000000"/>
          <w:sz w:val="24"/>
          <w:szCs w:val="24"/>
          <w:highlight w:val="none"/>
          <w:lang w:val="en-US" w:eastAsia="zh-CN"/>
        </w:rPr>
        <w:t xml:space="preserve">8</w:t>
      </w:r>
      <w:r>
        <w:rPr>
          <w:rFonts w:hint="eastAsia" w:ascii="宋体" w:hAnsi="宋体" w:cs="宋体"/>
          <w:b/>
          <w:bCs/>
          <w:color w:val="000000"/>
          <w:sz w:val="24"/>
          <w:szCs w:val="24"/>
          <w:highlight w:val="none"/>
        </w:rPr>
        <w:t xml:space="preserve">分）</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r>
      <w:r/>
    </w:p>
    <w:p>
      <w:pPr>
        <w:pStyle w:val="689"/>
        <w:ind w:firstLine="480"/>
        <w:spacing w:line="360" w:lineRule="auto"/>
        <w:rPr>
          <w:rFonts w:ascii="宋体" w:hAnsi="宋体"/>
          <w:b/>
          <w:color w:val="000000"/>
          <w:sz w:val="24"/>
          <w:highlight w:val="none"/>
        </w:rPr>
      </w:pPr>
      <w:r>
        <w:rPr>
          <w:rFonts w:hint="eastAsia" w:ascii="宋体" w:hAnsi="宋体"/>
          <w:b/>
          <w:bCs/>
          <w:color w:val="000000"/>
          <w:sz w:val="24"/>
          <w:szCs w:val="24"/>
          <w:highlight w:val="none"/>
        </w:rPr>
        <w:t xml:space="preserve">投标供应商需提供功能演示视频上传至投标系统中。视频文件的格式为*.mp4或*.avi，投标人须将视频文件压缩为*.zip文件上传（单个文件不得大于50M，所有文件总共不得大于300M）。视频时长总计不超过1</w:t>
      </w: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分钟。根据投标人视频演示情况和以下功能得分点进行打分，未按要求进行演示或未提供演示视频的不得分。具体要求如下：</w:t>
      </w:r>
      <w:r>
        <w:rPr>
          <w:rFonts w:ascii="宋体" w:hAnsi="宋体"/>
          <w:b/>
          <w:color w:val="000000"/>
          <w:sz w:val="24"/>
          <w:highlight w:val="none"/>
        </w:rPr>
      </w:r>
      <w:r/>
    </w:p>
    <w:p>
      <w:pPr>
        <w:pStyle w:val="681"/>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1．馆员工作站：要求有准确的操作提示，若加工成功，弹出动画提示该标签栏目的序号和加工成功与否，绿色表示加工成功，红色表示加工失败。（演示以上全部功能且全部满足的得2分，部分满足或未提供演示不得分。）</w:t>
      </w:r>
      <w:r>
        <w:rPr>
          <w:rFonts w:hint="eastAsia"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2．自助借还机：可在设备软件后台设置设备状态模式，有“维护模式”“试用模式”“正常模式”可选，分别对应项目实施阶段、试用阶段、正常开放阶段的设备使用，避免误用，乱用设备。（演示以上全部功能且全部满足的得2分，部分满足或未提供演示不得分。）</w:t>
      </w:r>
      <w:r>
        <w:rPr>
          <w:rFonts w:hint="eastAsia"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3．图书管理软件：</w:t>
      </w:r>
      <w:r>
        <w:rPr>
          <w:rFonts w:hint="eastAsia"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义工管理：支持义工考勤管理，包括签到签退、请假、缺勤登记，可设置自动签退时间，当日到点系统自动签退。支持义工考勤记录查询和统计，包括签到签退记录、请假记录和缺勤记录。统计一段时间内义工的签到签退次数、请假次数和缺勤次数。支持义工服务时长统计。服务时长统计支持显示为小时单位，比如1小时30分钟显示为1.5小时。（演示以上全部功能且全部满足的得2分，部分满足或未提供演示不得分。）</w:t>
      </w:r>
      <w:r>
        <w:rPr>
          <w:rFonts w:hint="eastAsia"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4.图书管理软件</w:t>
      </w:r>
      <w:r>
        <w:rPr>
          <w:rFonts w:hint="eastAsia" w:ascii="宋体" w:hAnsi="宋体" w:eastAsia="宋体" w:cs="宋体"/>
          <w:bCs/>
          <w:color w:val="000000"/>
          <w:sz w:val="24"/>
          <w:szCs w:val="24"/>
          <w:highlight w:val="none"/>
          <w:lang w:val="en-US" w:eastAsia="zh-CN" w:bidi="en-US"/>
        </w:rPr>
      </w:r>
      <w:r/>
    </w:p>
    <w:p>
      <w:pPr>
        <w:pStyle w:val="681"/>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图书点评：支持开通或关闭图书点评，设置点评审核、读者点评积分规则。支持管理读者短评内容、审核是否公开可见。支持查看图书点评情况，统计各图书整体得分、各图书点评人数。（演示以上全部功能且全部满足的得2分，部分满足或未提供演示不得分。）</w:t>
      </w:r>
      <w:r>
        <w:rPr>
          <w:rFonts w:hint="eastAsia" w:ascii="宋体" w:hAnsi="宋体" w:eastAsia="宋体" w:cs="宋体"/>
          <w:bCs/>
          <w:color w:val="000000"/>
          <w:sz w:val="24"/>
          <w:szCs w:val="24"/>
          <w:highlight w:val="none"/>
          <w:lang w:val="en-US" w:eastAsia="zh-CN" w:bidi="en-US"/>
        </w:rPr>
      </w:r>
      <w:r/>
    </w:p>
    <w:p>
      <w:pPr>
        <w:pStyle w:val="681"/>
        <w:spacing w:line="360" w:lineRule="auto"/>
        <w:rPr>
          <w:color w:val="000000"/>
          <w:sz w:val="24"/>
          <w:szCs w:val="24"/>
          <w:highlight w:val="none"/>
        </w:rPr>
      </w:pPr>
      <w:r>
        <w:rPr>
          <w:rFonts w:hint="eastAsia" w:ascii="宋体" w:hAnsi="宋体" w:cs="宋体"/>
          <w:b/>
          <w:bCs/>
          <w:color w:val="000000"/>
          <w:sz w:val="24"/>
          <w:szCs w:val="24"/>
          <w:highlight w:val="none"/>
          <w:shd w:val="clear" w:color="auto" w:fill="ffffff"/>
        </w:rPr>
        <w:t xml:space="preserve">未列入本评分细则的其他条件不作为评分内容。</w:t>
      </w:r>
      <w:r>
        <w:rPr>
          <w:color w:val="000000"/>
          <w:sz w:val="24"/>
          <w:szCs w:val="24"/>
          <w:highlight w:val="none"/>
        </w:rPr>
      </w:r>
      <w:r/>
    </w:p>
    <w:p>
      <w:pPr>
        <w:pStyle w:val="681"/>
        <w:ind w:firstLine="480"/>
        <w:spacing w:line="360" w:lineRule="auto"/>
        <w:rPr>
          <w:rFonts w:ascii="黑体" w:hAnsi="宋体" w:eastAsia="黑体"/>
          <w:bCs/>
          <w:color w:val="000000"/>
          <w:sz w:val="24"/>
          <w:szCs w:val="24"/>
          <w:highlight w:val="none"/>
        </w:rPr>
      </w:pPr>
      <w:r>
        <w:rPr>
          <w:rFonts w:hint="eastAsia" w:ascii="宋体" w:hAnsi="宋体" w:cs="宋体"/>
          <w:color w:val="000000"/>
          <w:sz w:val="24"/>
          <w:szCs w:val="24"/>
          <w:highlight w:val="none"/>
        </w:rPr>
        <w:t xml:space="preserve">注：评委在5人及5人以上的，取所有</w:t>
      </w:r>
      <w:r>
        <w:rPr>
          <w:rFonts w:hint="eastAsia" w:ascii="宋体" w:cs="宋体"/>
          <w:bCs/>
          <w:color w:val="000000"/>
          <w:sz w:val="24"/>
          <w:szCs w:val="24"/>
          <w:highlight w:val="none"/>
        </w:rPr>
        <w:t xml:space="preserve">评委</w:t>
      </w:r>
      <w:r>
        <w:rPr>
          <w:rFonts w:hint="eastAsia" w:ascii="宋体" w:hAnsi="宋体" w:cs="宋体"/>
          <w:color w:val="000000"/>
          <w:sz w:val="24"/>
          <w:szCs w:val="24"/>
          <w:highlight w:val="none"/>
        </w:rPr>
        <w:t xml:space="preserve">的平均值。</w:t>
      </w:r>
      <w:r>
        <w:rPr>
          <w:rFonts w:hint="eastAsia" w:ascii="宋体" w:hAnsi="宋体"/>
          <w:bCs/>
          <w:color w:val="000000"/>
          <w:sz w:val="24"/>
          <w:szCs w:val="24"/>
          <w:highlight w:val="none"/>
        </w:rPr>
        <w:t xml:space="preserve">未列入本评分细则的其他条件不作为评分内容。</w:t>
      </w:r>
      <w:r>
        <w:rPr>
          <w:rFonts w:ascii="黑体" w:hAnsi="宋体" w:eastAsia="黑体"/>
          <w:bCs/>
          <w:color w:val="000000"/>
          <w:sz w:val="24"/>
          <w:szCs w:val="24"/>
          <w:highlight w:val="none"/>
        </w:rPr>
      </w:r>
      <w:r/>
    </w:p>
    <w:p>
      <w:pPr>
        <w:pStyle w:val="1006"/>
        <w:ind w:firstLine="0"/>
        <w:jc w:val="both"/>
        <w:spacing w:before="0" w:after="0" w:line="500" w:lineRule="exact"/>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85"/>
      <w:r/>
      <w:bookmarkEnd w:id="186"/>
      <w:r/>
      <w:bookmarkEnd w:id="191"/>
      <w:r>
        <w:rPr>
          <w:rFonts w:hint="eastAsia" w:ascii="黑体" w:eastAsia="黑体"/>
          <w:bCs/>
          <w:color w:val="000000"/>
          <w:sz w:val="36"/>
          <w:szCs w:val="36"/>
          <w:highlight w:val="none"/>
        </w:rPr>
        <w:t xml:space="preserve">投标文件内容与格式</w:t>
      </w:r>
      <w:r>
        <w:rPr>
          <w:rFonts w:ascii="黑体" w:eastAsia="黑体"/>
          <w:bCs/>
          <w:color w:val="000000"/>
          <w:sz w:val="36"/>
          <w:szCs w:val="36"/>
          <w:highlight w:val="none"/>
        </w:rPr>
      </w:r>
      <w:r/>
    </w:p>
    <w:p>
      <w:pPr>
        <w:pStyle w:val="1006"/>
        <w:ind w:firstLine="602"/>
        <w:spacing w:before="0" w:after="0" w:line="500" w:lineRule="exact"/>
        <w:rPr>
          <w:rFonts w:cs="Arial"/>
          <w:b/>
          <w:color w:val="000000"/>
          <w:sz w:val="30"/>
          <w:szCs w:val="30"/>
          <w:highlight w:val="none"/>
        </w:rPr>
      </w:pPr>
      <w:r/>
      <w:bookmarkStart w:id="192" w:name="_Hlt26955039"/>
      <w:r/>
      <w:bookmarkEnd w:id="192"/>
      <w:r/>
      <w:bookmarkStart w:id="193" w:name="_Hlt26671244"/>
      <w:r/>
      <w:bookmarkEnd w:id="193"/>
      <w:r/>
      <w:bookmarkStart w:id="194" w:name="_Toc26554094"/>
      <w:r/>
      <w:bookmarkStart w:id="195" w:name="_Toc49090576"/>
      <w:r/>
      <w:bookmarkStart w:id="196" w:name="_Toc120614282"/>
      <w:r>
        <w:rPr>
          <w:rFonts w:hint="eastAsia" w:cs="Arial"/>
          <w:b/>
          <w:color w:val="000000"/>
          <w:sz w:val="30"/>
          <w:szCs w:val="30"/>
          <w:highlight w:val="none"/>
        </w:rPr>
        <w:t xml:space="preserve">第一部分  投标文件内容</w:t>
      </w:r>
      <w:r>
        <w:rPr>
          <w:rFonts w:cs="Arial"/>
          <w:b/>
          <w:color w:val="000000"/>
          <w:sz w:val="30"/>
          <w:szCs w:val="30"/>
          <w:highlight w:val="none"/>
        </w:rPr>
      </w:r>
      <w:r/>
    </w:p>
    <w:p>
      <w:pPr>
        <w:pStyle w:val="1006"/>
        <w:ind w:firstLine="0"/>
        <w:spacing w:before="0" w:after="0" w:line="500" w:lineRule="exact"/>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tcPr>
          <w:p>
            <w:pPr>
              <w:pStyle w:val="1006"/>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6104" w:type="dxa"/>
            <w:vAlign w:val="center"/>
            <w:textDirection w:val="lrTb"/>
            <w:noWrap/>
          </w:tcPr>
          <w:p>
            <w:pPr>
              <w:pStyle w:val="1006"/>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评审项目及评审要求</w:t>
            </w:r>
            <w:r>
              <w:rPr>
                <w:rFonts w:ascii="宋体" w:hAnsi="宋体" w:cs="宋体"/>
                <w:b/>
                <w:color w:val="000000"/>
                <w:highlight w:val="none"/>
              </w:rPr>
            </w:r>
            <w:r/>
          </w:p>
        </w:tc>
        <w:tc>
          <w:tcPr>
            <w:tcW w:w="2449" w:type="dxa"/>
            <w:vAlign w:val="center"/>
            <w:textDirection w:val="lrTb"/>
            <w:noWrap/>
          </w:tcPr>
          <w:p>
            <w:pPr>
              <w:pStyle w:val="1006"/>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审查因素</w:t>
            </w:r>
            <w:r>
              <w:rPr>
                <w:rFonts w:ascii="宋体" w:hAnsi="宋体" w:cs="宋体"/>
                <w:b/>
                <w:color w:val="000000"/>
                <w:highlight w:val="none"/>
              </w:rPr>
            </w:r>
            <w:r/>
          </w:p>
        </w:tc>
      </w:tr>
      <w:tr>
        <w:trPr>
          <w:cantSplit/>
          <w:trHeight w:val="1335"/>
        </w:trPr>
        <w:tc>
          <w:tcPr>
            <w:tcW w:w="719" w:type="dxa"/>
            <w:vAlign w:val="center"/>
            <w:textDirection w:val="lrTb"/>
            <w:noWrap/>
          </w:tcPr>
          <w:p>
            <w:pPr>
              <w:pStyle w:val="1006"/>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104" w:type="dxa"/>
            <w:vAlign w:val="center"/>
            <w:textDirection w:val="lrTb"/>
            <w:noWrap/>
          </w:tcPr>
          <w:p>
            <w:pPr>
              <w:pStyle w:val="1006"/>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ascii="宋体" w:hAnsi="宋体" w:cs="宋体"/>
                <w:color w:val="000000"/>
                <w:highlight w:val="none"/>
              </w:rPr>
            </w:r>
            <w:r/>
          </w:p>
        </w:tc>
        <w:tc>
          <w:tcPr>
            <w:tcW w:w="2449" w:type="dxa"/>
            <w:vAlign w:val="center"/>
            <w:vMerge w:val="restart"/>
            <w:textDirection w:val="lrTb"/>
            <w:noWrap/>
          </w:tcPr>
          <w:p>
            <w:pPr>
              <w:pStyle w:val="1006"/>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ascii="宋体" w:hAnsi="宋体" w:cs="宋体"/>
                <w:color w:val="000000"/>
                <w:highlight w:val="none"/>
              </w:rPr>
            </w:r>
            <w:r/>
          </w:p>
        </w:tc>
      </w:tr>
      <w:tr>
        <w:trPr>
          <w:cantSplit/>
          <w:trHeight w:val="812"/>
        </w:trPr>
        <w:tc>
          <w:tcPr>
            <w:tcW w:w="719" w:type="dxa"/>
            <w:vAlign w:val="center"/>
            <w:textDirection w:val="lrTb"/>
            <w:noWrap/>
          </w:tcPr>
          <w:p>
            <w:pPr>
              <w:pStyle w:val="1006"/>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104" w:type="dxa"/>
            <w:vAlign w:val="center"/>
            <w:textDirection w:val="lrTb"/>
            <w:noWrap/>
          </w:tcPr>
          <w:p>
            <w:pPr>
              <w:pStyle w:val="1006"/>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ascii="宋体" w:hAnsi="宋体" w:cs="宋体"/>
                <w:color w:val="000000"/>
                <w:highlight w:val="none"/>
              </w:rPr>
            </w:r>
            <w:r/>
          </w:p>
        </w:tc>
        <w:tc>
          <w:tcPr>
            <w:tcW w:w="2449" w:type="dxa"/>
            <w:vAlign w:val="center"/>
            <w:vMerge w:val="continue"/>
            <w:textDirection w:val="lrTb"/>
            <w:noWrap/>
          </w:tcPr>
          <w:p>
            <w:pPr>
              <w:pStyle w:val="100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684"/>
        </w:trPr>
        <w:tc>
          <w:tcPr>
            <w:tcW w:w="719" w:type="dxa"/>
            <w:vAlign w:val="center"/>
            <w:textDirection w:val="lrTb"/>
            <w:noWrap/>
          </w:tcPr>
          <w:p>
            <w:pPr>
              <w:pStyle w:val="1006"/>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6104" w:type="dxa"/>
            <w:vAlign w:val="center"/>
            <w:textDirection w:val="lrTb"/>
            <w:noWrap/>
          </w:tcPr>
          <w:p>
            <w:pPr>
              <w:pStyle w:val="1006"/>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56"/>
                <w:rFonts w:hint="eastAsia" w:ascii="宋体" w:hAnsi="宋体" w:cs="宋体"/>
                <w:color w:val="000000"/>
                <w:sz w:val="24"/>
                <w:szCs w:val="24"/>
                <w:highlight w:val="none"/>
              </w:rPr>
              <w:t xml:space="preserve">。</w:t>
            </w:r>
            <w:r>
              <w:rPr>
                <w:rFonts w:ascii="宋体" w:hAnsi="宋体" w:cs="宋体"/>
                <w:color w:val="000000"/>
                <w:highlight w:val="none"/>
              </w:rPr>
            </w:r>
            <w:r/>
          </w:p>
        </w:tc>
        <w:tc>
          <w:tcPr>
            <w:tcW w:w="2449" w:type="dxa"/>
            <w:vAlign w:val="center"/>
            <w:vMerge w:val="continue"/>
            <w:textDirection w:val="lrTb"/>
            <w:noWrap/>
          </w:tcPr>
          <w:p>
            <w:pPr>
              <w:pStyle w:val="100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963"/>
        </w:trPr>
        <w:tc>
          <w:tcPr>
            <w:tcW w:w="719" w:type="dxa"/>
            <w:vAlign w:val="center"/>
            <w:textDirection w:val="lrTb"/>
            <w:noWrap/>
          </w:tcPr>
          <w:p>
            <w:pPr>
              <w:pStyle w:val="1006"/>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6104" w:type="dxa"/>
            <w:vAlign w:val="center"/>
            <w:textDirection w:val="lrTb"/>
            <w:noWrap/>
          </w:tcPr>
          <w:p>
            <w:pPr>
              <w:pStyle w:val="1006"/>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ascii="宋体" w:hAnsi="宋体" w:cs="宋体"/>
                <w:color w:val="000000"/>
                <w:highlight w:val="none"/>
              </w:rPr>
            </w:r>
            <w:r/>
          </w:p>
        </w:tc>
        <w:tc>
          <w:tcPr>
            <w:tcW w:w="2449" w:type="dxa"/>
            <w:vAlign w:val="center"/>
            <w:vMerge w:val="continue"/>
            <w:textDirection w:val="lrTb"/>
            <w:noWrap/>
          </w:tcPr>
          <w:p>
            <w:pPr>
              <w:pStyle w:val="100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023"/>
        </w:trPr>
        <w:tc>
          <w:tcPr>
            <w:tcW w:w="719" w:type="dxa"/>
            <w:vAlign w:val="center"/>
            <w:textDirection w:val="lrTb"/>
            <w:noWrap/>
          </w:tcPr>
          <w:p>
            <w:pPr>
              <w:pStyle w:val="1006"/>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6104" w:type="dxa"/>
            <w:vAlign w:val="center"/>
            <w:textDirection w:val="lrTb"/>
            <w:noWrap/>
          </w:tcPr>
          <w:p>
            <w:pPr>
              <w:pStyle w:val="1006"/>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ascii="宋体" w:hAnsi="宋体" w:cs="宋体"/>
                <w:color w:val="000000"/>
                <w:highlight w:val="none"/>
              </w:rPr>
            </w:r>
            <w:r/>
          </w:p>
        </w:tc>
        <w:tc>
          <w:tcPr>
            <w:tcW w:w="2449" w:type="dxa"/>
            <w:vAlign w:val="center"/>
            <w:vMerge w:val="continue"/>
            <w:textDirection w:val="lrTb"/>
            <w:noWrap/>
          </w:tcPr>
          <w:p>
            <w:pPr>
              <w:pStyle w:val="100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705"/>
        </w:trPr>
        <w:tc>
          <w:tcPr>
            <w:tcW w:w="719" w:type="dxa"/>
            <w:vAlign w:val="center"/>
            <w:textDirection w:val="lrTb"/>
            <w:noWrap/>
          </w:tcPr>
          <w:p>
            <w:pPr>
              <w:pStyle w:val="1006"/>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6104" w:type="dxa"/>
            <w:vAlign w:val="center"/>
            <w:textDirection w:val="lrTb"/>
            <w:noWrap/>
          </w:tcPr>
          <w:p>
            <w:pPr>
              <w:pStyle w:val="1006"/>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《资格声明函》（给定格式）。</w:t>
            </w:r>
            <w:r>
              <w:rPr>
                <w:rFonts w:ascii="宋体" w:hAnsi="宋体" w:cs="宋体"/>
                <w:color w:val="000000"/>
                <w:highlight w:val="none"/>
              </w:rPr>
            </w:r>
            <w:r/>
          </w:p>
        </w:tc>
        <w:tc>
          <w:tcPr>
            <w:tcW w:w="2449" w:type="dxa"/>
            <w:vAlign w:val="center"/>
            <w:vMerge w:val="continue"/>
            <w:textDirection w:val="lrTb"/>
            <w:noWrap/>
          </w:tcPr>
          <w:p>
            <w:pPr>
              <w:pStyle w:val="100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trHeight w:val="700"/>
        </w:trPr>
        <w:tc>
          <w:tcPr>
            <w:tcW w:w="719" w:type="dxa"/>
            <w:vAlign w:val="center"/>
            <w:textDirection w:val="lrTb"/>
            <w:noWrap/>
          </w:tcPr>
          <w:p>
            <w:pPr>
              <w:pStyle w:val="1006"/>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6104" w:type="dxa"/>
            <w:vAlign w:val="center"/>
            <w:textDirection w:val="lrTb"/>
            <w:noWrap/>
          </w:tcPr>
          <w:p>
            <w:pPr>
              <w:pStyle w:val="1006"/>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rPr>
                <w:rFonts w:ascii="宋体" w:hAnsi="宋体" w:cs="宋体"/>
                <w:color w:val="000000"/>
                <w:highlight w:val="none"/>
              </w:rPr>
            </w:r>
            <w:r/>
          </w:p>
        </w:tc>
        <w:tc>
          <w:tcPr>
            <w:tcW w:w="2449" w:type="dxa"/>
            <w:vAlign w:val="center"/>
            <w:textDirection w:val="lrTb"/>
            <w:noWrap/>
          </w:tcPr>
          <w:p>
            <w:pPr>
              <w:pStyle w:val="1006"/>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tcPr>
          <w:p>
            <w:pPr>
              <w:pStyle w:val="1006"/>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8</w:t>
            </w:r>
            <w:r>
              <w:rPr>
                <w:rFonts w:ascii="宋体" w:hAnsi="宋体" w:cs="宋体"/>
                <w:bCs/>
                <w:color w:val="000000"/>
                <w:highlight w:val="none"/>
              </w:rPr>
            </w:r>
            <w:r/>
          </w:p>
        </w:tc>
        <w:tc>
          <w:tcPr>
            <w:tcW w:w="6104" w:type="dxa"/>
            <w:vAlign w:val="center"/>
            <w:textDirection w:val="lrTb"/>
            <w:noWrap/>
          </w:tcPr>
          <w:p>
            <w:pPr>
              <w:pStyle w:val="1006"/>
              <w:ind w:firstLine="0"/>
              <w:jc w:val="both"/>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文件：无</w:t>
            </w:r>
            <w:r>
              <w:rPr>
                <w:rFonts w:ascii="宋体" w:hAnsi="宋体" w:cs="宋体"/>
                <w:bCs/>
                <w:color w:val="000000"/>
                <w:highlight w:val="none"/>
              </w:rPr>
            </w:r>
            <w:r/>
          </w:p>
        </w:tc>
        <w:tc>
          <w:tcPr>
            <w:tcW w:w="2449" w:type="dxa"/>
            <w:vAlign w:val="center"/>
            <w:textDirection w:val="lrTb"/>
            <w:noWrap/>
          </w:tcPr>
          <w:p>
            <w:pPr>
              <w:pStyle w:val="1006"/>
              <w:ind w:firstLine="0"/>
              <w:spacing w:before="0" w:after="0" w:line="240" w:lineRule="auto"/>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ascii="宋体" w:hAnsi="宋体" w:cs="宋体"/>
                <w:bCs/>
                <w:color w:val="000000"/>
                <w:highlight w:val="none"/>
              </w:rPr>
            </w:r>
            <w:r/>
          </w:p>
        </w:tc>
      </w:tr>
      <w:tr>
        <w:trPr>
          <w:trHeight w:val="632"/>
        </w:trPr>
        <w:tc>
          <w:tcPr>
            <w:tcW w:w="719" w:type="dxa"/>
            <w:vAlign w:val="center"/>
            <w:textDirection w:val="lrTb"/>
            <w:noWrap/>
          </w:tcPr>
          <w:p>
            <w:pPr>
              <w:pStyle w:val="1006"/>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9</w:t>
            </w:r>
            <w:r>
              <w:rPr>
                <w:rFonts w:ascii="宋体" w:hAnsi="宋体" w:cs="宋体"/>
                <w:bCs/>
                <w:color w:val="000000"/>
                <w:highlight w:val="none"/>
              </w:rPr>
            </w:r>
            <w:r/>
          </w:p>
        </w:tc>
        <w:tc>
          <w:tcPr>
            <w:gridSpan w:val="2"/>
            <w:tcW w:w="8553" w:type="dxa"/>
            <w:vAlign w:val="center"/>
            <w:textDirection w:val="lrTb"/>
            <w:noWrap/>
          </w:tcPr>
          <w:p>
            <w:pPr>
              <w:pStyle w:val="1006"/>
              <w:ind w:firstLine="0"/>
              <w:spacing w:before="0" w:after="0" w:line="240" w:lineRule="auto"/>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rPr>
                <w:rFonts w:ascii="宋体" w:hAnsi="宋体" w:cs="宋体"/>
                <w:color w:val="000000"/>
                <w:highlight w:val="none"/>
              </w:rPr>
            </w:r>
            <w:r/>
          </w:p>
        </w:tc>
      </w:tr>
    </w:tbl>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681"/>
        <w:numPr>
          <w:ilvl w:val="0"/>
          <w:numId w:val="15"/>
        </w:num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1～8项必须全部按要求提供（有给定格式的，必须按给定格式的要求正确填报并提供，相应格式见本章第二部分），否则投标文件无效。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color w:val="000000"/>
          <w:sz w:val="24"/>
          <w:szCs w:val="24"/>
          <w:highlight w:val="none"/>
        </w:rPr>
      </w:r>
      <w:r/>
    </w:p>
    <w:p>
      <w:pPr>
        <w:pStyle w:val="681"/>
        <w:numPr>
          <w:ilvl w:val="0"/>
          <w:numId w:val="15"/>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ascii="宋体" w:hAnsi="宋体"/>
          <w:color w:val="000000"/>
          <w:sz w:val="24"/>
          <w:szCs w:val="24"/>
          <w:highlight w:val="none"/>
        </w:rPr>
      </w:r>
      <w:r/>
    </w:p>
    <w:p>
      <w:pPr>
        <w:pStyle w:val="681"/>
        <w:numPr>
          <w:ilvl w:val="0"/>
          <w:numId w:val="15"/>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ascii="宋体" w:hAnsi="宋体"/>
          <w:color w:val="000000"/>
          <w:sz w:val="24"/>
          <w:szCs w:val="24"/>
          <w:highlight w:val="none"/>
        </w:rPr>
      </w:r>
      <w:r/>
    </w:p>
    <w:p>
      <w:pPr>
        <w:pStyle w:val="681"/>
        <w:numPr>
          <w:ilvl w:val="0"/>
          <w:numId w:val="15"/>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宋体" w:hAnsi="宋体"/>
          <w:color w:val="000000"/>
          <w:sz w:val="24"/>
          <w:szCs w:val="24"/>
          <w:highlight w:val="none"/>
        </w:rPr>
      </w:r>
      <w:r/>
    </w:p>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ascii="宋体" w:hAnsi="宋体"/>
          <w:color w:val="000000"/>
          <w:sz w:val="24"/>
          <w:szCs w:val="24"/>
          <w:highlight w:val="none"/>
        </w:rPr>
      </w:r>
      <w:r/>
    </w:p>
    <w:p>
      <w:pPr>
        <w:pStyle w:val="681"/>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b/>
          <w:color w:val="000000"/>
          <w:sz w:val="28"/>
          <w:szCs w:val="28"/>
          <w:highlight w:val="none"/>
        </w:rPr>
      </w:r>
      <w:r/>
    </w:p>
    <w:p>
      <w:pPr>
        <w:pStyle w:val="681"/>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tcPr>
          <w:p>
            <w:pPr>
              <w:pStyle w:val="1006"/>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tcPr>
          <w:p>
            <w:pPr>
              <w:pStyle w:val="1006"/>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tcPr>
          <w:p>
            <w:pPr>
              <w:pStyle w:val="1006"/>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tcPr>
          <w:p>
            <w:pPr>
              <w:pStyle w:val="1006"/>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tcPr>
          <w:p>
            <w:pPr>
              <w:pStyle w:val="1006"/>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tcPr>
          <w:p>
            <w:pPr>
              <w:pStyle w:val="1006"/>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tcPr>
          <w:p>
            <w:pPr>
              <w:pStyle w:val="1006"/>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tcPr>
          <w:p>
            <w:pPr>
              <w:pStyle w:val="1006"/>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tcPr>
          <w:p>
            <w:pPr>
              <w:pStyle w:val="1006"/>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tcPr>
          <w:p>
            <w:pPr>
              <w:pStyle w:val="100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tcPr>
          <w:p>
            <w:pPr>
              <w:pStyle w:val="1006"/>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开标一览表（“苏采云”系统中给定格式）</w:t>
            </w:r>
            <w:r>
              <w:rPr>
                <w:rFonts w:ascii="宋体" w:hAnsi="宋体" w:cs="Arial"/>
                <w:color w:val="000000"/>
                <w:highlight w:val="none"/>
              </w:rPr>
            </w:r>
            <w:r/>
          </w:p>
        </w:tc>
        <w:tc>
          <w:tcPr>
            <w:tcW w:w="1979" w:type="dxa"/>
            <w:vAlign w:val="center"/>
            <w:vMerge w:val="restart"/>
            <w:textDirection w:val="lrTb"/>
            <w:noWrap/>
          </w:tcPr>
          <w:p>
            <w:pPr>
              <w:pStyle w:val="1006"/>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tcPr>
          <w:p>
            <w:pPr>
              <w:pStyle w:val="100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6095" w:type="dxa"/>
            <w:vAlign w:val="center"/>
            <w:textDirection w:val="lrTb"/>
            <w:noWrap/>
          </w:tcPr>
          <w:p>
            <w:pPr>
              <w:pStyle w:val="1006"/>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分项报价表（给定格式）</w:t>
            </w:r>
            <w:r>
              <w:rPr>
                <w:rFonts w:ascii="宋体" w:hAnsi="宋体" w:cs="Arial"/>
                <w:color w:val="000000"/>
                <w:highlight w:val="none"/>
              </w:rPr>
            </w:r>
            <w:r/>
          </w:p>
        </w:tc>
        <w:tc>
          <w:tcPr>
            <w:tcW w:w="1979" w:type="dxa"/>
            <w:vAlign w:val="center"/>
            <w:vMerge w:val="continue"/>
            <w:textDirection w:val="lrTb"/>
            <w:noWrap/>
          </w:tcPr>
          <w:p>
            <w:pPr>
              <w:pStyle w:val="1006"/>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tcPr>
          <w:p>
            <w:pPr>
              <w:pStyle w:val="100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6095" w:type="dxa"/>
            <w:vAlign w:val="center"/>
            <w:textDirection w:val="lrTb"/>
            <w:noWrap/>
          </w:tcPr>
          <w:p>
            <w:pPr>
              <w:pStyle w:val="1006"/>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tcPr>
          <w:p>
            <w:pPr>
              <w:pStyle w:val="1006"/>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tcPr>
          <w:p>
            <w:pPr>
              <w:pStyle w:val="100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W w:w="6095" w:type="dxa"/>
            <w:vAlign w:val="center"/>
            <w:textDirection w:val="lrTb"/>
            <w:noWrap/>
          </w:tcPr>
          <w:p>
            <w:pPr>
              <w:pStyle w:val="1006"/>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rPr>
                <w:rFonts w:ascii="宋体" w:hAnsi="宋体"/>
                <w:color w:val="000000"/>
                <w:highlight w:val="none"/>
              </w:rPr>
            </w:r>
            <w:r/>
          </w:p>
        </w:tc>
        <w:tc>
          <w:tcPr>
            <w:tcW w:w="1979" w:type="dxa"/>
            <w:vAlign w:val="center"/>
            <w:vMerge w:val="continue"/>
            <w:textDirection w:val="lrTb"/>
            <w:noWrap/>
          </w:tcPr>
          <w:p>
            <w:pPr>
              <w:pStyle w:val="1006"/>
              <w:ind w:firstLine="0"/>
              <w:jc w:val="center"/>
              <w:spacing w:before="0" w:after="0" w:line="240" w:lineRule="auto"/>
              <w:rPr>
                <w:rFonts w:cs="Arial"/>
                <w:color w:val="000000"/>
                <w:highlight w:val="none"/>
              </w:rPr>
            </w:pPr>
            <w:r>
              <w:rPr>
                <w:rFonts w:cs="Arial"/>
                <w:color w:val="000000"/>
                <w:highlight w:val="none"/>
              </w:rPr>
            </w:r>
            <w:r/>
          </w:p>
        </w:tc>
      </w:tr>
    </w:tbl>
    <w:p>
      <w:pPr>
        <w:pStyle w:val="6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681"/>
        <w:numPr>
          <w:ilvl w:val="0"/>
          <w:numId w:val="16"/>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ascii="宋体" w:hAnsi="宋体"/>
          <w:color w:val="000000"/>
          <w:sz w:val="24"/>
          <w:szCs w:val="24"/>
          <w:highlight w:val="none"/>
        </w:rPr>
      </w:r>
      <w:r/>
    </w:p>
    <w:p>
      <w:pPr>
        <w:pStyle w:val="681"/>
        <w:numPr>
          <w:ilvl w:val="0"/>
          <w:numId w:val="16"/>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ascii="宋体" w:hAnsi="宋体"/>
          <w:color w:val="000000"/>
          <w:sz w:val="24"/>
          <w:szCs w:val="24"/>
          <w:highlight w:val="none"/>
        </w:rPr>
      </w:r>
      <w:r/>
    </w:p>
    <w:p>
      <w:pPr>
        <w:pStyle w:val="681"/>
        <w:numPr>
          <w:ilvl w:val="0"/>
          <w:numId w:val="16"/>
        </w:num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ascii="宋体" w:hAnsi="宋体" w:cs="宋体"/>
          <w:color w:val="000000"/>
          <w:sz w:val="24"/>
          <w:szCs w:val="24"/>
          <w:highlight w:val="none"/>
        </w:rPr>
      </w:r>
      <w:r/>
    </w:p>
    <w:p>
      <w:pPr>
        <w:pStyle w:val="681"/>
        <w:rPr>
          <w:b/>
          <w:color w:val="000000"/>
          <w:sz w:val="28"/>
          <w:szCs w:val="28"/>
          <w:highlight w:val="none"/>
        </w:rPr>
      </w:pPr>
      <w:r>
        <w:rPr>
          <w:b/>
          <w:color w:val="000000"/>
          <w:sz w:val="28"/>
          <w:szCs w:val="28"/>
          <w:highlight w:val="none"/>
        </w:rPr>
      </w:r>
      <w:r/>
    </w:p>
    <w:p>
      <w:pPr>
        <w:pStyle w:val="681"/>
        <w:rPr>
          <w:b/>
          <w:color w:val="000000"/>
          <w:sz w:val="28"/>
          <w:szCs w:val="28"/>
          <w:highlight w:val="none"/>
        </w:rPr>
      </w:pPr>
      <w:r>
        <w:rPr>
          <w:rFonts w:hint="eastAsia"/>
          <w:b/>
          <w:color w:val="000000"/>
          <w:sz w:val="28"/>
          <w:szCs w:val="28"/>
          <w:highlight w:val="none"/>
        </w:rPr>
        <w:t xml:space="preserve">（二）其他证明文件</w:t>
      </w:r>
      <w:r>
        <w:rPr>
          <w:b/>
          <w:color w:val="000000"/>
          <w:sz w:val="28"/>
          <w:szCs w:val="28"/>
          <w:highlight w:val="none"/>
        </w:rPr>
      </w:r>
      <w:r/>
    </w:p>
    <w:p>
      <w:pPr>
        <w:pStyle w:val="681"/>
        <w:ind w:left="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ascii="宋体" w:hAnsi="宋体"/>
          <w:color w:val="000000"/>
          <w:sz w:val="24"/>
          <w:szCs w:val="24"/>
          <w:highlight w:val="none"/>
        </w:rPr>
      </w:r>
      <w:r/>
    </w:p>
    <w:p>
      <w:pPr>
        <w:pStyle w:val="681"/>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ascii="宋体" w:hAnsi="宋体" w:cs="宋体"/>
          <w:color w:val="000000"/>
          <w:sz w:val="24"/>
          <w:szCs w:val="24"/>
          <w:highlight w:val="none"/>
        </w:rPr>
      </w:r>
      <w:r/>
    </w:p>
    <w:p>
      <w:pPr>
        <w:pStyle w:val="681"/>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cs="Arial"/>
          <w:b/>
          <w:color w:val="000000"/>
          <w:sz w:val="30"/>
          <w:szCs w:val="30"/>
          <w:highlight w:val="none"/>
        </w:rPr>
      </w:r>
      <w:r/>
    </w:p>
    <w:p>
      <w:pPr>
        <w:pStyle w:val="1006"/>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681"/>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1"/>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1"/>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ascii="黑体" w:hAnsi="华文中宋" w:eastAsia="黑体"/>
          <w:bCs/>
          <w:color w:val="000000"/>
          <w:spacing w:val="20"/>
          <w:sz w:val="84"/>
          <w:szCs w:val="84"/>
          <w:highlight w:val="none"/>
        </w:rPr>
      </w:r>
      <w:r/>
    </w:p>
    <w:p>
      <w:pPr>
        <w:pStyle w:val="681"/>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1"/>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1"/>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681"/>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JSZC-320200-ZHCD-G2026-0011</w:t>
      </w:r>
      <w:r>
        <w:rPr>
          <w:rFonts w:hint="eastAsia" w:ascii="黑体" w:hAnsi="华文中宋" w:eastAsia="黑体"/>
          <w:bCs/>
          <w:color w:val="000000"/>
          <w:sz w:val="30"/>
          <w:szCs w:val="30"/>
          <w:highlight w:val="none"/>
          <w:lang w:eastAsia="zh-CN"/>
        </w:rPr>
      </w:r>
      <w:r/>
    </w:p>
    <w:p>
      <w:pPr>
        <w:pStyle w:val="681"/>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江苏省梅村高级中学2026年图书馆设施设备更换项目</w:t>
      </w:r>
      <w:r>
        <w:rPr>
          <w:rFonts w:hint="eastAsia" w:ascii="黑体" w:hAnsi="华文中宋" w:eastAsia="黑体"/>
          <w:bCs/>
          <w:color w:val="000000"/>
          <w:sz w:val="30"/>
          <w:szCs w:val="30"/>
          <w:highlight w:val="none"/>
          <w:lang w:eastAsia="zh-CN"/>
        </w:rPr>
      </w:r>
      <w:r/>
    </w:p>
    <w:p>
      <w:pPr>
        <w:pStyle w:val="681"/>
        <w:spacing w:line="360" w:lineRule="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ascii="黑体" w:hAnsi="华文中宋" w:eastAsia="黑体"/>
          <w:bCs/>
          <w:color w:val="000000"/>
          <w:sz w:val="30"/>
          <w:szCs w:val="30"/>
          <w:highlight w:val="none"/>
        </w:rPr>
      </w:r>
      <w:r/>
    </w:p>
    <w:p>
      <w:pPr>
        <w:pStyle w:val="681"/>
        <w:spacing w:line="360" w:lineRule="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681"/>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ascii="Arial" w:hAnsi="Arial"/>
          <w:b/>
          <w:color w:val="000000"/>
          <w:sz w:val="28"/>
          <w:szCs w:val="28"/>
          <w:highlight w:val="none"/>
        </w:rPr>
      </w:r>
      <w:r/>
    </w:p>
    <w:p>
      <w:pPr>
        <w:pStyle w:val="681"/>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1004"/>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eastAsia="zh-CN"/>
        </w:rPr>
        <w:t xml:space="preserve">JSZC-320200-ZHCD-G2026-0011</w:t>
      </w:r>
      <w:r>
        <w:rPr>
          <w:rFonts w:hint="eastAsia" w:ascii="宋体" w:hAnsi="宋体"/>
          <w:bCs/>
          <w:color w:val="000000"/>
          <w:sz w:val="24"/>
          <w:szCs w:val="24"/>
          <w:highlight w:val="none"/>
        </w:rPr>
        <w:t xml:space="preserve">项目，兹授权：</w:t>
      </w:r>
      <w:r>
        <w:rPr>
          <w:color w:val="000000"/>
          <w:sz w:val="24"/>
          <w:szCs w:val="24"/>
          <w:highlight w:val="none"/>
        </w:rPr>
      </w:r>
      <w:r/>
    </w:p>
    <w:p>
      <w:pPr>
        <w:pStyle w:val="1004"/>
        <w:ind w:firstLine="480"/>
        <w:spacing w:line="360" w:lineRule="auto"/>
        <w:tabs>
          <w:tab w:val="left" w:pos="360" w:leader="none"/>
        </w:tabs>
        <w:rPr>
          <w:color w:val="000000"/>
          <w:sz w:val="24"/>
          <w:szCs w:val="24"/>
          <w:highlight w:val="none"/>
          <w:u w:val="singl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rPr>
        <w:t xml:space="preserve"> 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color w:val="000000"/>
          <w:sz w:val="24"/>
          <w:szCs w:val="24"/>
          <w:highlight w:val="none"/>
          <w:u w:val="single"/>
        </w:rPr>
      </w:r>
      <w:r/>
    </w:p>
    <w:p>
      <w:pPr>
        <w:pStyle w:val="1004"/>
        <w:ind w:firstLine="480"/>
        <w:spacing w:line="360" w:lineRule="auto"/>
        <w:tabs>
          <w:tab w:val="left" w:pos="360" w:leader="none"/>
        </w:tabs>
        <w:rPr>
          <w:color w:val="000000"/>
          <w:sz w:val="24"/>
          <w:szCs w:val="24"/>
          <w:highlight w:val="none"/>
          <w:u w:val="single"/>
        </w:rPr>
      </w:pPr>
      <w:r>
        <w:rPr>
          <w:rFonts w:hint="eastAsia"/>
          <w:color w:val="000000"/>
          <w:sz w:val="24"/>
          <w:szCs w:val="24"/>
          <w:highlight w:val="none"/>
        </w:rPr>
        <w:t xml:space="preserve">被授权人的身份证号码：</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 </w:t>
      </w:r>
      <w:r>
        <w:rPr>
          <w:rFonts w:hint="eastAsia"/>
          <w:color w:val="000000"/>
          <w:sz w:val="24"/>
          <w:szCs w:val="24"/>
          <w:highlight w:val="none"/>
        </w:rPr>
        <w:t xml:space="preserve">联系方式：</w:t>
      </w:r>
      <w:r>
        <w:rPr>
          <w:rFonts w:hint="eastAsia"/>
          <w:color w:val="000000"/>
          <w:sz w:val="24"/>
          <w:szCs w:val="24"/>
          <w:highlight w:val="none"/>
          <w:u w:val="single"/>
          <w:lang w:val="en-US" w:eastAsia="zh-CN"/>
        </w:rPr>
        <w:t xml:space="preserve">                 </w:t>
      </w:r>
      <w:r>
        <w:rPr>
          <w:color w:val="000000"/>
          <w:sz w:val="24"/>
          <w:szCs w:val="24"/>
          <w:highlight w:val="none"/>
          <w:u w:val="single"/>
        </w:rPr>
      </w:r>
      <w:r/>
    </w:p>
    <w:p>
      <w:pPr>
        <w:pStyle w:val="1004"/>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color w:val="000000"/>
          <w:sz w:val="24"/>
          <w:szCs w:val="24"/>
          <w:highlight w:val="none"/>
        </w:rPr>
      </w:r>
      <w:r/>
    </w:p>
    <w:p>
      <w:pPr>
        <w:pStyle w:val="1004"/>
        <w:ind w:firstLine="480"/>
        <w:spacing w:line="360" w:lineRule="auto"/>
        <w:tabs>
          <w:tab w:val="left" w:pos="360" w:leader="none"/>
        </w:tabs>
        <w:rPr>
          <w:rFonts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ascii="宋体" w:hAnsi="宋体"/>
          <w:bCs/>
          <w:color w:val="000000"/>
          <w:sz w:val="24"/>
          <w:szCs w:val="24"/>
          <w:highlight w:val="none"/>
        </w:rPr>
      </w:r>
      <w:r/>
    </w:p>
    <w:p>
      <w:pPr>
        <w:pStyle w:val="1004"/>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特此授权委托。</w:t>
      </w:r>
      <w:r>
        <w:rPr>
          <w:color w:val="000000"/>
          <w:sz w:val="24"/>
          <w:szCs w:val="24"/>
          <w:highlight w:val="none"/>
        </w:rPr>
      </w:r>
      <w:r/>
    </w:p>
    <w:p>
      <w:pPr>
        <w:pStyle w:val="1004"/>
        <w:ind w:firstLine="0"/>
        <w:spacing w:line="360" w:lineRule="auto"/>
        <w:tabs>
          <w:tab w:val="left" w:pos="360" w:leader="none"/>
        </w:tabs>
        <w:rPr>
          <w:color w:val="000000"/>
          <w:sz w:val="24"/>
          <w:szCs w:val="24"/>
          <w:highlight w:val="none"/>
          <w:u w:val="single"/>
        </w:rPr>
      </w:pPr>
      <w:r>
        <w:rPr>
          <w:rFonts w:hint="eastAsia"/>
          <w:color w:val="000000"/>
          <w:sz w:val="24"/>
          <w:szCs w:val="24"/>
          <w:highlight w:val="none"/>
        </w:rPr>
        <w:t xml:space="preserve">授权日期：年月日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color w:val="000000"/>
          <w:sz w:val="24"/>
          <w:szCs w:val="24"/>
          <w:highlight w:val="none"/>
          <w:u w:val="single"/>
        </w:rPr>
      </w:r>
      <w:r/>
    </w:p>
    <w:p>
      <w:pPr>
        <w:pStyle w:val="1004"/>
        <w:ind w:firstLine="0"/>
        <w:spacing w:line="360" w:lineRule="auto"/>
        <w:tabs>
          <w:tab w:val="left" w:pos="360" w:leader="none"/>
        </w:tabs>
        <w:rPr>
          <w:color w:val="000000"/>
          <w:sz w:val="24"/>
          <w:szCs w:val="24"/>
          <w:highlight w:val="none"/>
        </w:rPr>
      </w:pPr>
      <w:r>
        <w:rPr>
          <w:rFonts w:hint="eastAsia"/>
          <w:color w:val="000000"/>
          <w:sz w:val="24"/>
          <w:szCs w:val="24"/>
          <w:highlight w:val="none"/>
        </w:rPr>
        <w:t xml:space="preserve">法定代表人签字或盖章：               被授权人签字或盖章：</w:t>
      </w:r>
      <w:r>
        <w:rPr>
          <w:color w:val="000000"/>
          <w:sz w:val="24"/>
          <w:szCs w:val="24"/>
          <w:highlight w:val="none"/>
        </w:rPr>
      </w:r>
      <w:r/>
    </w:p>
    <w:p>
      <w:pPr>
        <w:pStyle w:val="1004"/>
        <w:ind w:firstLine="0"/>
        <w:spacing w:line="360" w:lineRule="auto"/>
        <w:tabs>
          <w:tab w:val="left" w:pos="360" w:leader="none"/>
        </w:tabs>
        <w:rPr>
          <w:color w:val="000000"/>
          <w:sz w:val="24"/>
          <w:szCs w:val="24"/>
          <w:highlight w:val="none"/>
        </w:rPr>
      </w:pPr>
      <w:r>
        <w:rPr>
          <w:rFonts w:hint="eastAsia" w:ascii="宋体" w:hAnsi="宋体" w:cs="宋体"/>
          <w:b/>
          <w:color w:val="000000"/>
          <w:sz w:val="30"/>
          <w:highlight w:val="none"/>
        </w:rPr>
        <w:t xml:space="preserve">（被授权人身份证原件扫描件附后）</w:t>
      </w:r>
      <w:r>
        <w:rPr>
          <w:color w:val="000000"/>
          <w:sz w:val="24"/>
          <w:szCs w:val="24"/>
          <w:highlight w:val="none"/>
        </w:rPr>
      </w:r>
      <w:r/>
    </w:p>
    <w:p>
      <w:pPr>
        <w:pStyle w:val="1004"/>
        <w:ind w:firstLine="0"/>
        <w:spacing w:line="360" w:lineRule="auto"/>
        <w:tabs>
          <w:tab w:val="left" w:pos="360" w:leader="none"/>
        </w:tabs>
        <w:rPr>
          <w:color w:val="000000"/>
          <w:sz w:val="24"/>
          <w:szCs w:val="24"/>
          <w:highlight w:val="none"/>
        </w:rPr>
      </w:pPr>
      <w:r>
        <w:rPr>
          <w:rFonts w:hint="eastAsia"/>
          <w:color w:val="000000"/>
          <w:sz w:val="24"/>
          <w:szCs w:val="24"/>
          <w:highlight w:val="none"/>
        </w:rPr>
        <w:t xml:space="preserve">说明：</w:t>
      </w:r>
      <w:r>
        <w:rPr>
          <w:color w:val="000000"/>
          <w:sz w:val="24"/>
          <w:szCs w:val="24"/>
          <w:highlight w:val="none"/>
        </w:rPr>
      </w:r>
      <w:r/>
    </w:p>
    <w:p>
      <w:pPr>
        <w:pStyle w:val="1004"/>
        <w:numPr>
          <w:ilvl w:val="0"/>
          <w:numId w:val="17"/>
        </w:numPr>
        <w:ind w:firstLine="480"/>
        <w:spacing w:line="360" w:lineRule="auto"/>
        <w:tabs>
          <w:tab w:val="left" w:pos="360" w:leader="none"/>
        </w:tabs>
        <w:rPr>
          <w:rFonts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04"/>
        <w:numPr>
          <w:ilvl w:val="0"/>
          <w:numId w:val="17"/>
        </w:numPr>
        <w:ind w:firstLine="480"/>
        <w:spacing w:line="360" w:lineRule="auto"/>
        <w:tabs>
          <w:tab w:val="left" w:pos="360" w:leader="none"/>
        </w:tabs>
        <w:rPr>
          <w:rFonts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rPr>
          <w:rFonts w:ascii="宋体" w:hAnsi="宋体"/>
          <w:color w:val="000000"/>
          <w:sz w:val="24"/>
          <w:szCs w:val="20"/>
          <w:highlight w:val="none"/>
        </w:rPr>
      </w:r>
      <w:r/>
    </w:p>
    <w:p>
      <w:pPr>
        <w:pStyle w:val="1004"/>
        <w:numPr>
          <w:ilvl w:val="0"/>
          <w:numId w:val="17"/>
        </w:numPr>
        <w:ind w:firstLine="480"/>
        <w:spacing w:line="360" w:lineRule="auto"/>
        <w:tabs>
          <w:tab w:val="left" w:pos="360" w:leader="none"/>
        </w:tabs>
        <w:rPr>
          <w:rFonts w:ascii="宋体" w:hAnsi="宋体"/>
          <w:color w:val="000000"/>
          <w:sz w:val="24"/>
          <w:szCs w:val="20"/>
          <w:highlight w:val="none"/>
        </w:rPr>
      </w:pPr>
      <w:r>
        <w:rPr>
          <w:rFonts w:hint="eastAsia" w:ascii="宋体" w:hAnsi="宋体"/>
          <w:color w:val="000000"/>
          <w:sz w:val="24"/>
          <w:szCs w:val="20"/>
          <w:highlight w:val="none"/>
        </w:rPr>
        <w:t xml:space="preserve">供应商为自然人情形的，可不提供本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04"/>
        <w:numPr>
          <w:ilvl w:val="0"/>
          <w:numId w:val="17"/>
        </w:numPr>
        <w:ind w:firstLine="480"/>
        <w:spacing w:line="360" w:lineRule="auto"/>
        <w:tabs>
          <w:tab w:val="left" w:pos="360" w:leader="none"/>
        </w:tabs>
        <w:rPr>
          <w:rFonts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rPr>
          <w:rFonts w:ascii="宋体" w:hAnsi="宋体"/>
          <w:color w:val="000000"/>
          <w:sz w:val="24"/>
          <w:szCs w:val="20"/>
          <w:highlight w:val="none"/>
        </w:rPr>
      </w:r>
      <w:r/>
    </w:p>
    <w:p>
      <w:pPr>
        <w:pStyle w:val="1004"/>
        <w:ind w:firstLine="0"/>
        <w:spacing w:line="360" w:lineRule="auto"/>
        <w:tabs>
          <w:tab w:val="left" w:pos="360" w:leader="none"/>
        </w:tabs>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ascii="宋体" w:hAnsi="宋体" w:cs="宋体"/>
          <w:b/>
          <w:color w:val="000000"/>
          <w:szCs w:val="28"/>
          <w:highlight w:val="none"/>
        </w:rPr>
      </w:r>
      <w:r/>
    </w:p>
    <w:p>
      <w:pPr>
        <w:pStyle w:val="681"/>
        <w:jc w:val="center"/>
        <w:rPr>
          <w:rFonts w:ascii="黑体" w:eastAsia="黑体"/>
          <w:bCs/>
          <w:color w:val="000000"/>
          <w:sz w:val="28"/>
          <w:szCs w:val="28"/>
          <w:highlight w:val="none"/>
        </w:rPr>
        <w:outlineLvl w:val="0"/>
      </w:pPr>
      <w:r/>
      <w:bookmarkStart w:id="197" w:name="报价方关于资格的声明函（格式）"/>
      <w:r/>
      <w:bookmarkEnd w:id="197"/>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681"/>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681"/>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江苏至衡诚达工程咨询有限公司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81"/>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 </w:t>
      </w:r>
      <w:r>
        <w:rPr>
          <w:rFonts w:hint="eastAsia" w:ascii="宋体" w:hAnsi="宋体"/>
          <w:bCs/>
          <w:color w:val="000000"/>
          <w:sz w:val="24"/>
          <w:szCs w:val="24"/>
          <w:highlight w:val="none"/>
          <w:lang w:eastAsia="zh-CN"/>
        </w:rPr>
        <w:t xml:space="preserve">JSZC-320200-ZHCD-G2026-0011</w:t>
      </w:r>
      <w:r>
        <w:rPr>
          <w:rFonts w:hint="eastAsia" w:ascii="宋体" w:hAnsi="宋体"/>
          <w:bCs/>
          <w:color w:val="000000"/>
          <w:sz w:val="24"/>
          <w:szCs w:val="24"/>
          <w:highlight w:val="none"/>
        </w:rPr>
        <w:t xml:space="preserve">进行投标，</w:t>
      </w:r>
      <w:r>
        <w:rPr>
          <w:rFonts w:hint="eastAsia" w:ascii="宋体" w:hAnsi="宋体"/>
          <w:bCs/>
          <w:color w:val="000000"/>
          <w:sz w:val="24"/>
          <w:szCs w:val="24"/>
          <w:highlight w:val="none"/>
          <w:lang w:eastAsia="zh-CN"/>
        </w:rPr>
        <w:t xml:space="preserve">并作</w:t>
      </w:r>
      <w:r>
        <w:rPr>
          <w:rFonts w:hint="eastAsia" w:ascii="宋体" w:hAnsi="宋体"/>
          <w:bCs/>
          <w:color w:val="000000"/>
          <w:sz w:val="24"/>
          <w:szCs w:val="24"/>
          <w:highlight w:val="none"/>
        </w:rPr>
        <w:t xml:space="preserve">如下声明</w:t>
      </w:r>
      <w:r>
        <w:rPr>
          <w:rFonts w:ascii="宋体" w:hAnsi="宋体"/>
          <w:bCs/>
          <w:color w:val="000000"/>
          <w:sz w:val="24"/>
          <w:szCs w:val="24"/>
          <w:highlight w:val="none"/>
        </w:rPr>
      </w:r>
      <w:r/>
    </w:p>
    <w:p>
      <w:pPr>
        <w:pStyle w:val="681"/>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ascii="宋体" w:hAnsi="宋体"/>
          <w:bCs/>
          <w:color w:val="000000"/>
          <w:sz w:val="24"/>
          <w:szCs w:val="24"/>
          <w:highlight w:val="none"/>
        </w:rPr>
      </w:r>
      <w:r/>
    </w:p>
    <w:p>
      <w:pPr>
        <w:pStyle w:val="681"/>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ascii="宋体" w:hAnsi="宋体"/>
          <w:bCs/>
          <w:color w:val="000000"/>
          <w:sz w:val="24"/>
          <w:szCs w:val="24"/>
          <w:highlight w:val="none"/>
        </w:rPr>
      </w:r>
      <w:r/>
    </w:p>
    <w:p>
      <w:pPr>
        <w:pStyle w:val="681"/>
        <w:ind w:firstLine="482"/>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bCs/>
          <w:color w:val="000000"/>
          <w:sz w:val="24"/>
          <w:szCs w:val="24"/>
          <w:highlight w:val="none"/>
        </w:rPr>
      </w:r>
      <w:r/>
    </w:p>
    <w:p>
      <w:pPr>
        <w:pStyle w:val="681"/>
        <w:ind w:firstLine="482"/>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681"/>
        <w:spacing w:line="480" w:lineRule="auto"/>
        <w:rPr>
          <w:rFonts w:ascii="宋体"/>
          <w:bCs/>
          <w:color w:val="000000"/>
          <w:sz w:val="24"/>
          <w:szCs w:val="24"/>
          <w:highlight w:val="none"/>
        </w:rPr>
      </w:pPr>
      <w:r>
        <w:rPr>
          <w:rFonts w:ascii="宋体"/>
          <w:bCs/>
          <w:color w:val="000000"/>
          <w:sz w:val="24"/>
          <w:szCs w:val="24"/>
          <w:highlight w:val="none"/>
        </w:rPr>
      </w:r>
      <w:r/>
    </w:p>
    <w:p>
      <w:pPr>
        <w:pStyle w:val="681"/>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681"/>
        <w:spacing w:line="360" w:lineRule="auto"/>
        <w:rPr>
          <w:rFonts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w:t>
      </w:r>
      <w:r>
        <w:rPr>
          <w:rFonts w:hint="eastAsia" w:ascii="宋体" w:hAnsi="宋体" w:cs="宋体"/>
          <w:b/>
          <w:color w:val="000000"/>
          <w:sz w:val="28"/>
          <w:szCs w:val="28"/>
          <w:highlight w:val="none"/>
        </w:rPr>
        <w:t xml:space="preserve">政府采购政策相关声明函（给定格式）</w:t>
      </w:r>
      <w:r>
        <w:rPr>
          <w:rFonts w:hint="eastAsia" w:ascii="宋体" w:hAnsi="宋体" w:cs="宋体"/>
          <w:b/>
          <w:color w:val="000000"/>
          <w:sz w:val="28"/>
          <w:szCs w:val="28"/>
          <w:highlight w:val="none"/>
        </w:rPr>
        <w:t xml:space="preserve">：</w:t>
      </w:r>
      <w:r>
        <w:rPr>
          <w:rFonts w:ascii="宋体" w:hAnsi="宋体" w:cs="宋体"/>
          <w:b/>
          <w:color w:val="000000"/>
          <w:sz w:val="28"/>
          <w:szCs w:val="28"/>
          <w:highlight w:val="none"/>
        </w:rPr>
      </w:r>
      <w:r/>
    </w:p>
    <w:p>
      <w:pPr>
        <w:pStyle w:val="681"/>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中小企业声明函（货物）</w:t>
      </w:r>
      <w:r>
        <w:rPr>
          <w:rFonts w:ascii="黑体" w:eastAsia="黑体"/>
          <w:bCs/>
          <w:color w:val="000000"/>
          <w:sz w:val="28"/>
          <w:szCs w:val="28"/>
          <w:highlight w:val="none"/>
        </w:rPr>
      </w:r>
      <w:r/>
    </w:p>
    <w:p>
      <w:pPr>
        <w:pStyle w:val="6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ascii="宋体" w:hAnsi="宋体"/>
          <w:bCs/>
          <w:color w:val="000000"/>
          <w:sz w:val="24"/>
          <w:szCs w:val="24"/>
          <w:highlight w:val="none"/>
        </w:rPr>
      </w:r>
      <w:r/>
    </w:p>
    <w:p>
      <w:pPr>
        <w:pStyle w:val="6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 </w:t>
      </w:r>
      <w:r>
        <w:rPr>
          <w:rFonts w:ascii="宋体" w:hAnsi="宋体"/>
          <w:bCs/>
          <w:color w:val="000000"/>
          <w:sz w:val="24"/>
          <w:szCs w:val="24"/>
          <w:highlight w:val="none"/>
          <w:u w:val="single"/>
        </w:rPr>
        <w:t xml:space="preserve">（标的名称）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 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ascii="宋体" w:hAnsi="宋体"/>
          <w:bCs/>
          <w:color w:val="000000"/>
          <w:sz w:val="24"/>
          <w:szCs w:val="24"/>
          <w:highlight w:val="none"/>
        </w:rPr>
      </w:r>
      <w:r/>
    </w:p>
    <w:p>
      <w:pPr>
        <w:pStyle w:val="681"/>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681"/>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81"/>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681"/>
        <w:ind w:firstLine="420"/>
        <w:spacing w:line="360" w:lineRule="auto"/>
        <w:rPr>
          <w:color w:val="000000"/>
          <w:highlight w:val="none"/>
        </w:rPr>
      </w:pPr>
      <w:r>
        <w:rPr>
          <w:rFonts w:hint="eastAsia"/>
          <w:color w:val="000000"/>
          <w:highlight w:val="none"/>
        </w:rPr>
        <w:t xml:space="preserve">（2）从业人员、营业收入、资产总额填报上一年度数据，无上一年度数据的新成立企业可不填报。</w:t>
      </w:r>
      <w:r>
        <w:rPr>
          <w:color w:val="000000"/>
          <w:highlight w:val="none"/>
        </w:rPr>
      </w:r>
      <w:r/>
    </w:p>
    <w:p>
      <w:pPr>
        <w:pStyle w:val="681"/>
        <w:ind w:firstLine="420"/>
        <w:spacing w:line="360" w:lineRule="auto"/>
        <w:rPr>
          <w:color w:val="000000"/>
          <w:highlight w:val="none"/>
        </w:rPr>
      </w:pPr>
      <w:r>
        <w:rPr>
          <w:rFonts w:hint="eastAsia"/>
          <w:color w:val="000000"/>
          <w:highlight w:val="none"/>
        </w:rPr>
        <w:t xml:space="preserve">（3）在货物采购项目中，供应商提供的货物既有中小企业制造货物，也有大型企业制造货物的，不享受本办法规定的中小企业扶持政策。</w:t>
      </w:r>
      <w:r>
        <w:rPr>
          <w:color w:val="000000"/>
          <w:highlight w:val="none"/>
        </w:rPr>
      </w:r>
      <w:r/>
    </w:p>
    <w:p>
      <w:pPr>
        <w:pStyle w:val="681"/>
        <w:ind w:firstLine="420"/>
        <w:spacing w:line="360" w:lineRule="auto"/>
        <w:rPr>
          <w:color w:val="000000"/>
          <w:highlight w:val="none"/>
        </w:rPr>
      </w:pPr>
      <w:r>
        <w:rPr>
          <w:rFonts w:hint="eastAsia"/>
          <w:color w:val="000000"/>
          <w:highlight w:val="none"/>
        </w:rPr>
        <w:t xml:space="preserve">（4）中标供应商的《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681"/>
        <w:ind w:firstLine="560"/>
        <w:jc w:val="center"/>
        <w:spacing w:line="360" w:lineRule="auto"/>
        <w:rPr>
          <w:rFonts w:hint="eastAsia" w:ascii="黑体" w:eastAsia="黑体"/>
          <w:bCs/>
          <w:color w:val="000000"/>
          <w:sz w:val="28"/>
          <w:szCs w:val="28"/>
          <w:highlight w:val="none"/>
        </w:rPr>
      </w:pPr>
      <w:r>
        <w:rPr>
          <w:rFonts w:hint="eastAsia"/>
          <w:color w:val="000000"/>
          <w:highlight w:val="none"/>
        </w:rPr>
        <w:br w:type="page" w:clear="all"/>
      </w:r>
      <w:r>
        <w:rPr>
          <w:rFonts w:hint="eastAsia" w:ascii="黑体" w:eastAsia="黑体"/>
          <w:bCs/>
          <w:color w:val="000000"/>
          <w:sz w:val="28"/>
          <w:szCs w:val="28"/>
          <w:highlight w:val="none"/>
        </w:rPr>
        <w:t xml:space="preserve">关于符合本国产品标准的声明函</w:t>
      </w:r>
      <w:r>
        <w:rPr>
          <w:rFonts w:hint="eastAsia" w:ascii="黑体" w:eastAsia="黑体"/>
          <w:bCs/>
          <w:color w:val="000000"/>
          <w:sz w:val="28"/>
          <w:szCs w:val="28"/>
          <w:highlight w:val="none"/>
        </w:rPr>
      </w:r>
      <w:r/>
    </w:p>
    <w:p>
      <w:pPr>
        <w:pStyle w:val="681"/>
        <w:ind w:firstLine="420"/>
        <w:spacing w:line="360" w:lineRule="auto"/>
        <w:rPr>
          <w:color w:val="000000"/>
          <w:highlight w:val="none"/>
        </w:rPr>
      </w:pPr>
      <w:r>
        <w:rPr>
          <w:color w:val="000000"/>
          <w:highlight w:val="none"/>
        </w:rPr>
        <w:t xml:space="preserve"> </w:t>
      </w:r>
      <w:r>
        <w:rPr>
          <w:color w:val="000000"/>
          <w:highlight w:val="none"/>
        </w:rPr>
      </w:r>
      <w:r/>
    </w:p>
    <w:p>
      <w:pPr>
        <w:pStyle w:val="6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none"/>
        </w:rPr>
      </w:r>
      <w:r/>
    </w:p>
    <w:p>
      <w:pPr>
        <w:pStyle w:val="6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6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6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rPr>
          <w:rFonts w:hint="eastAsia" w:ascii="宋体" w:hAnsi="宋体"/>
          <w:bCs/>
          <w:color w:val="000000"/>
          <w:sz w:val="24"/>
          <w:szCs w:val="24"/>
          <w:highlight w:val="none"/>
        </w:rPr>
      </w:r>
      <w:r/>
    </w:p>
    <w:p>
      <w:pPr>
        <w:pStyle w:val="6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681"/>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rPr>
          <w:rFonts w:ascii="宋体" w:hAnsi="宋体"/>
          <w:bCs/>
          <w:color w:val="000000"/>
          <w:sz w:val="24"/>
          <w:szCs w:val="24"/>
          <w:highlight w:val="none"/>
        </w:rPr>
      </w:r>
      <w:r/>
    </w:p>
    <w:p>
      <w:pPr>
        <w:pStyle w:val="681"/>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rPr>
      </w:r>
      <w:r/>
    </w:p>
    <w:p>
      <w:pPr>
        <w:pStyle w:val="681"/>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rPr>
          <w:rFonts w:hint="eastAsia" w:ascii="inherit" w:hAnsi="inherit" w:eastAsia="仿宋" w:cs="宋体"/>
          <w:color w:val="000000"/>
          <w:sz w:val="28"/>
          <w:szCs w:val="28"/>
          <w:highlight w:val="none"/>
        </w:rPr>
      </w:r>
      <w:r/>
    </w:p>
    <w:p>
      <w:pPr>
        <w:pStyle w:val="681"/>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rPr>
          <w:rFonts w:hint="eastAsia" w:ascii="宋体" w:hAnsi="宋体" w:cs="宋体"/>
          <w:color w:val="000000"/>
          <w:sz w:val="18"/>
          <w:szCs w:val="18"/>
          <w:highlight w:val="none"/>
        </w:rPr>
      </w:r>
      <w:r/>
    </w:p>
    <w:p>
      <w:pPr>
        <w:pStyle w:val="681"/>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rPr>
          <w:rFonts w:hint="eastAsia" w:ascii="宋体" w:hAnsi="宋体" w:cs="宋体"/>
          <w:color w:val="000000"/>
          <w:sz w:val="18"/>
          <w:szCs w:val="18"/>
          <w:highlight w:val="none"/>
        </w:rPr>
      </w:r>
      <w:r/>
    </w:p>
    <w:p>
      <w:pPr>
        <w:pStyle w:val="681"/>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rPr>
          <w:rFonts w:hint="eastAsia" w:ascii="宋体" w:hAnsi="宋体" w:cs="宋体"/>
          <w:color w:val="000000"/>
          <w:sz w:val="18"/>
          <w:szCs w:val="18"/>
          <w:highlight w:val="none"/>
        </w:rPr>
      </w:r>
      <w:r/>
    </w:p>
    <w:p>
      <w:pPr>
        <w:pStyle w:val="681"/>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rPr>
          <w:rFonts w:hint="eastAsia" w:ascii="宋体" w:hAnsi="宋体" w:cs="宋体"/>
          <w:color w:val="000000"/>
          <w:sz w:val="18"/>
          <w:szCs w:val="18"/>
          <w:highlight w:val="none"/>
        </w:rPr>
      </w:r>
      <w:r/>
    </w:p>
    <w:p>
      <w:pPr>
        <w:pStyle w:val="681"/>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rPr>
          <w:rFonts w:ascii="宋体" w:hAnsi="宋体"/>
          <w:color w:val="000000"/>
          <w:sz w:val="18"/>
          <w:szCs w:val="18"/>
          <w:highlight w:val="none"/>
        </w:rPr>
      </w:r>
      <w:r/>
    </w:p>
    <w:p>
      <w:pPr>
        <w:pStyle w:val="681"/>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rPr>
          <w:rFonts w:ascii="宋体" w:hAnsi="宋体"/>
          <w:bCs/>
          <w:color w:val="000000"/>
          <w:sz w:val="24"/>
          <w:szCs w:val="24"/>
          <w:highlight w:val="none"/>
        </w:rPr>
      </w:r>
      <w:r/>
    </w:p>
    <w:p>
      <w:pPr>
        <w:pStyle w:val="681"/>
        <w:spacing w:line="360" w:lineRule="auto"/>
        <w:rPr>
          <w:rFonts w:hint="eastAsia"/>
          <w:color w:val="000000"/>
          <w:highlight w:val="none"/>
        </w:rPr>
      </w:pPr>
      <w:r>
        <w:rPr>
          <w:rFonts w:hint="eastAsia"/>
          <w:color w:val="000000"/>
          <w:highlight w:val="none"/>
        </w:rPr>
      </w:r>
      <w:r/>
    </w:p>
    <w:p>
      <w:pPr>
        <w:pStyle w:val="681"/>
        <w:spacing w:line="360" w:lineRule="auto"/>
        <w:rPr>
          <w:rFonts w:hint="eastAsia"/>
          <w:b/>
          <w:color w:val="000000"/>
          <w:sz w:val="28"/>
          <w:szCs w:val="28"/>
          <w:highlight w:val="none"/>
        </w:rPr>
      </w:pPr>
      <w:r>
        <w:rPr>
          <w:rFonts w:hint="eastAsia"/>
          <w:b/>
          <w:color w:val="000000"/>
          <w:sz w:val="28"/>
          <w:szCs w:val="28"/>
          <w:highlight w:val="none"/>
        </w:rPr>
      </w:r>
      <w:r/>
    </w:p>
    <w:p>
      <w:pPr>
        <w:pStyle w:val="681"/>
        <w:spacing w:line="360" w:lineRule="auto"/>
        <w:rPr>
          <w:rFonts w:hint="eastAsia"/>
          <w:b/>
          <w:color w:val="000000"/>
          <w:sz w:val="28"/>
          <w:szCs w:val="28"/>
          <w:highlight w:val="none"/>
        </w:rPr>
      </w:pPr>
      <w:r>
        <w:rPr>
          <w:rFonts w:hint="eastAsia"/>
          <w:b/>
          <w:color w:val="000000"/>
          <w:sz w:val="28"/>
          <w:szCs w:val="28"/>
          <w:highlight w:val="none"/>
        </w:rPr>
      </w:r>
      <w:r/>
    </w:p>
    <w:p>
      <w:pPr>
        <w:pStyle w:val="681"/>
        <w:spacing w:line="360" w:lineRule="auto"/>
        <w:rPr>
          <w:rFonts w:hint="eastAsia"/>
          <w:b/>
          <w:color w:val="000000"/>
          <w:sz w:val="28"/>
          <w:szCs w:val="28"/>
          <w:highlight w:val="none"/>
        </w:rPr>
      </w:pPr>
      <w:r>
        <w:rPr>
          <w:rFonts w:hint="eastAsia"/>
          <w:b/>
          <w:color w:val="000000"/>
          <w:sz w:val="28"/>
          <w:szCs w:val="28"/>
          <w:highlight w:val="none"/>
        </w:rPr>
      </w:r>
      <w:r/>
    </w:p>
    <w:p>
      <w:pPr>
        <w:pStyle w:val="681"/>
        <w:spacing w:line="360" w:lineRule="auto"/>
        <w:rPr>
          <w:rFonts w:hint="eastAsia"/>
          <w:b/>
          <w:color w:val="000000"/>
          <w:sz w:val="28"/>
          <w:szCs w:val="28"/>
          <w:highlight w:val="none"/>
        </w:rPr>
      </w:pPr>
      <w:r>
        <w:rPr>
          <w:rFonts w:hint="eastAsia"/>
          <w:b/>
          <w:color w:val="000000"/>
          <w:sz w:val="28"/>
          <w:szCs w:val="28"/>
          <w:highlight w:val="none"/>
        </w:rPr>
      </w:r>
      <w:r/>
    </w:p>
    <w:p>
      <w:pPr>
        <w:pStyle w:val="681"/>
        <w:spacing w:line="360" w:lineRule="auto"/>
        <w:rPr>
          <w:rFonts w:hint="eastAsia"/>
          <w:b/>
          <w:color w:val="000000"/>
          <w:sz w:val="28"/>
          <w:szCs w:val="28"/>
          <w:highlight w:val="none"/>
        </w:rPr>
      </w:pPr>
      <w:r>
        <w:rPr>
          <w:rFonts w:hint="eastAsia"/>
          <w:b/>
          <w:color w:val="000000"/>
          <w:sz w:val="28"/>
          <w:szCs w:val="28"/>
          <w:highlight w:val="none"/>
        </w:rPr>
      </w:r>
      <w:r/>
    </w:p>
    <w:p>
      <w:pPr>
        <w:pStyle w:val="681"/>
        <w:spacing w:line="360" w:lineRule="auto"/>
        <w:rPr>
          <w:rFonts w:hint="eastAsia"/>
          <w:b/>
          <w:color w:val="000000"/>
          <w:sz w:val="28"/>
          <w:szCs w:val="28"/>
          <w:highlight w:val="none"/>
        </w:rPr>
      </w:pPr>
      <w:r>
        <w:rPr>
          <w:rFonts w:hint="eastAsia"/>
          <w:b/>
          <w:color w:val="000000"/>
          <w:sz w:val="28"/>
          <w:szCs w:val="28"/>
          <w:highlight w:val="none"/>
        </w:rPr>
      </w:r>
      <w:r/>
    </w:p>
    <w:p>
      <w:pPr>
        <w:pStyle w:val="681"/>
        <w:spacing w:line="360" w:lineRule="auto"/>
        <w:rPr>
          <w:rFonts w:ascii="宋体" w:hAnsi="宋体" w:cs="宋体"/>
          <w:b/>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ascii="宋体" w:hAnsi="宋体" w:cs="宋体"/>
          <w:b/>
          <w:color w:val="000000"/>
          <w:sz w:val="28"/>
          <w:szCs w:val="28"/>
          <w:highlight w:val="none"/>
        </w:rPr>
      </w:r>
      <w:r/>
    </w:p>
    <w:p>
      <w:pPr>
        <w:pStyle w:val="681"/>
        <w:ind w:firstLine="482"/>
        <w:spacing w:line="440" w:lineRule="exact"/>
        <w:rPr>
          <w:rFonts w:ascii="Arial" w:hAnsi="Arial"/>
          <w:b/>
          <w:color w:val="000000"/>
          <w:sz w:val="24"/>
          <w:highlight w:val="none"/>
        </w:rPr>
      </w:pPr>
      <w:r>
        <w:rPr>
          <w:rFonts w:ascii="Arial" w:hAnsi="Arial"/>
          <w:b/>
          <w:color w:val="000000"/>
          <w:sz w:val="24"/>
          <w:highlight w:val="none"/>
        </w:rPr>
      </w:r>
      <w:r/>
    </w:p>
    <w:p>
      <w:pPr>
        <w:pStyle w:val="681"/>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681"/>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81"/>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681"/>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681"/>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81"/>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81"/>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681"/>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81"/>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681"/>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681"/>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681"/>
        <w:spacing w:line="360" w:lineRule="auto"/>
        <w:rPr>
          <w:b/>
          <w:color w:val="000000"/>
          <w:sz w:val="30"/>
          <w:szCs w:val="30"/>
          <w:highlight w:val="none"/>
        </w:rPr>
      </w:pPr>
      <w:r>
        <w:rPr>
          <w:rFonts w:ascii="宋体" w:hAnsi="宋体"/>
          <w:bCs/>
          <w:color w:val="000000"/>
          <w:sz w:val="24"/>
          <w:szCs w:val="24"/>
          <w:highlight w:val="none"/>
        </w:rPr>
        <w:br w:type="page" w:clear="all"/>
      </w:r>
      <w:r>
        <w:rPr>
          <w:rFonts w:hint="eastAsia"/>
          <w:b/>
          <w:color w:val="000000"/>
          <w:sz w:val="28"/>
          <w:szCs w:val="28"/>
          <w:highlight w:val="none"/>
          <w:lang w:val="en-US" w:eastAsia="zh-CN"/>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b/>
          <w:color w:val="000000"/>
          <w:sz w:val="30"/>
          <w:szCs w:val="30"/>
          <w:highlight w:val="none"/>
        </w:rPr>
      </w:r>
      <w:r/>
    </w:p>
    <w:p>
      <w:pPr>
        <w:pStyle w:val="681"/>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81"/>
        <w:ind w:firstLine="0"/>
        <w:spacing w:line="24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江苏至衡诚达工程咨询有限公司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81"/>
        <w:ind w:firstLine="480"/>
        <w:spacing w:line="24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 </w:t>
      </w:r>
      <w:r>
        <w:rPr>
          <w:rFonts w:hint="eastAsia" w:ascii="宋体" w:hAnsi="宋体"/>
          <w:bCs/>
          <w:color w:val="000000"/>
          <w:sz w:val="24"/>
          <w:szCs w:val="24"/>
          <w:highlight w:val="none"/>
          <w:lang w:eastAsia="zh-CN"/>
        </w:rPr>
        <w:t xml:space="preserve">JSZC-320200-ZHCD-G2026-0011</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681"/>
        <w:numPr>
          <w:ilvl w:val="0"/>
          <w:numId w:val="18"/>
        </w:numPr>
        <w:ind w:left="0" w:firstLine="525"/>
        <w:spacing w:line="240" w:lineRule="auto"/>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681"/>
        <w:numPr>
          <w:ilvl w:val="0"/>
          <w:numId w:val="18"/>
        </w:numPr>
        <w:ind w:left="0" w:firstLine="523"/>
        <w:spacing w:line="24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854"/>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江苏至衡诚达工程咨询有限公司</w:t>
      </w:r>
      <w:r>
        <w:rPr>
          <w:rFonts w:hint="eastAsia" w:ascii="宋体" w:hAnsi="宋体"/>
          <w:bCs/>
          <w:color w:val="000000"/>
          <w:sz w:val="24"/>
          <w:szCs w:val="24"/>
          <w:highlight w:val="none"/>
        </w:rPr>
        <w:t xml:space="preserve">在招标文件中要求的文件、资料。</w:t>
      </w:r>
      <w:r>
        <w:rPr>
          <w:rStyle w:val="854"/>
          <w:bCs/>
          <w:color w:val="000000"/>
          <w:highlight w:val="none"/>
        </w:rPr>
      </w:r>
      <w:r/>
    </w:p>
    <w:p>
      <w:pPr>
        <w:pStyle w:val="681"/>
        <w:numPr>
          <w:ilvl w:val="0"/>
          <w:numId w:val="18"/>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681"/>
        <w:numPr>
          <w:ilvl w:val="0"/>
          <w:numId w:val="18"/>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681"/>
        <w:numPr>
          <w:ilvl w:val="0"/>
          <w:numId w:val="18"/>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681"/>
        <w:numPr>
          <w:ilvl w:val="0"/>
          <w:numId w:val="18"/>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681"/>
        <w:numPr>
          <w:ilvl w:val="0"/>
          <w:numId w:val="18"/>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681"/>
        <w:numPr>
          <w:ilvl w:val="0"/>
          <w:numId w:val="18"/>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681"/>
        <w:numPr>
          <w:ilvl w:val="0"/>
          <w:numId w:val="18"/>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681"/>
        <w:numPr>
          <w:ilvl w:val="0"/>
          <w:numId w:val="18"/>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681"/>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681"/>
        <w:ind w:firstLine="480"/>
        <w:spacing w:line="400" w:lineRule="exact"/>
        <w:rPr>
          <w:rFonts w:ascii="宋体"/>
          <w:bCs/>
          <w:color w:val="000000"/>
          <w:sz w:val="24"/>
          <w:szCs w:val="24"/>
          <w:highlight w:val="none"/>
          <w:u w:val="singl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；传真：</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lang w:val="en-US" w:eastAsia="zh-CN"/>
        </w:rPr>
        <w:t xml:space="preserve">              </w:t>
      </w:r>
      <w:r>
        <w:rPr>
          <w:rFonts w:ascii="宋体"/>
          <w:bCs/>
          <w:color w:val="000000"/>
          <w:sz w:val="24"/>
          <w:szCs w:val="24"/>
          <w:highlight w:val="none"/>
          <w:u w:val="single"/>
        </w:rPr>
      </w:r>
      <w:r/>
    </w:p>
    <w:p>
      <w:pPr>
        <w:pStyle w:val="681"/>
        <w:ind w:firstLine="480"/>
        <w:spacing w:line="400" w:lineRule="exact"/>
        <w:rPr>
          <w:rFonts w:ascii="宋体" w:hAnsi="宋体" w:eastAsia="宋体"/>
          <w:bCs/>
          <w:color w:val="000000"/>
          <w:sz w:val="24"/>
          <w:szCs w:val="24"/>
          <w:highlight w:val="none"/>
          <w:u w:val="single"/>
          <w:lang w:val="en-US" w:eastAsia="zh-CN"/>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lang w:val="en-US" w:eastAsia="zh-CN"/>
        </w:rPr>
        <w:t xml:space="preserve">                                      </w:t>
      </w:r>
      <w:r>
        <w:rPr>
          <w:rFonts w:ascii="宋体" w:hAnsi="宋体" w:eastAsia="宋体"/>
          <w:bCs/>
          <w:color w:val="000000"/>
          <w:sz w:val="24"/>
          <w:szCs w:val="24"/>
          <w:highlight w:val="none"/>
          <w:u w:val="single"/>
          <w:lang w:val="en-US" w:eastAsia="zh-CN"/>
        </w:rPr>
      </w:r>
      <w:r/>
    </w:p>
    <w:p>
      <w:pPr>
        <w:pStyle w:val="681"/>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681"/>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lang w:val="en-US" w:eastAsia="zh-CN"/>
        </w:rPr>
        <w:t xml:space="preserve">七</w:t>
      </w:r>
      <w:r>
        <w:rPr>
          <w:rFonts w:hint="eastAsia"/>
          <w:b/>
          <w:color w:val="000000"/>
          <w:sz w:val="28"/>
          <w:szCs w:val="28"/>
          <w:highlight w:val="none"/>
        </w:rPr>
        <w:t xml:space="preserve">、承诺书（给定格式）：</w:t>
      </w:r>
      <w:r>
        <w:rPr>
          <w:b/>
          <w:color w:val="000000"/>
          <w:sz w:val="28"/>
          <w:szCs w:val="28"/>
          <w:highlight w:val="none"/>
        </w:rPr>
      </w:r>
      <w:r/>
    </w:p>
    <w:p>
      <w:pPr>
        <w:pStyle w:val="681"/>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81"/>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eastAsia="zh-CN"/>
        </w:rPr>
        <w:t xml:space="preserve">JSZC-320200-ZHCD-G2026-0011</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681"/>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w:t>
      </w:r>
      <w:r>
        <w:rPr>
          <w:rFonts w:hint="eastAsia" w:ascii="宋体" w:hAnsi="宋体"/>
          <w:bCs/>
          <w:color w:val="000000"/>
          <w:sz w:val="24"/>
          <w:szCs w:val="24"/>
          <w:highlight w:val="none"/>
          <w:lang w:eastAsia="zh-CN"/>
        </w:rPr>
        <w:t xml:space="preserve">格产</w:t>
      </w:r>
      <w:r>
        <w:rPr>
          <w:rFonts w:hint="eastAsia" w:ascii="宋体" w:hAnsi="宋体"/>
          <w:bCs/>
          <w:color w:val="000000"/>
          <w:sz w:val="24"/>
          <w:szCs w:val="24"/>
          <w:highlight w:val="none"/>
        </w:rPr>
        <w:t xml:space="preserve">品，提供的服务符合采购文件要求。</w:t>
      </w:r>
      <w:r>
        <w:rPr>
          <w:rFonts w:ascii="宋体" w:hAnsi="宋体"/>
          <w:bCs/>
          <w:color w:val="000000"/>
          <w:sz w:val="24"/>
          <w:szCs w:val="24"/>
          <w:highlight w:val="none"/>
        </w:rPr>
      </w:r>
      <w:r/>
    </w:p>
    <w:p>
      <w:pPr>
        <w:pStyle w:val="681"/>
        <w:ind w:firstLine="480"/>
        <w:spacing w:line="360" w:lineRule="auto"/>
        <w:rPr>
          <w:rFonts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）对于成交产品的包装将严格按照《关于印发〈商品包装政府采购需求标准（试行）〉、〈快递包装政府采购需求标准（试行）〉的通知》（财办库〔2020〕123号）文件执行。</w:t>
      </w:r>
      <w:r>
        <w:rPr>
          <w:rFonts w:ascii="宋体"/>
          <w:bCs/>
          <w:color w:val="000000"/>
          <w:sz w:val="24"/>
          <w:szCs w:val="24"/>
          <w:highlight w:val="none"/>
        </w:rPr>
      </w:r>
      <w:r/>
    </w:p>
    <w:p>
      <w:pPr>
        <w:pStyle w:val="6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ascii="宋体" w:hAnsi="宋体"/>
          <w:color w:val="000000"/>
          <w:sz w:val="24"/>
          <w:szCs w:val="24"/>
          <w:highlight w:val="none"/>
        </w:rPr>
      </w:r>
      <w:r/>
    </w:p>
    <w:p>
      <w:pPr>
        <w:pStyle w:val="6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681"/>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《需求标准》的前提下，如采购文件中对七种软硬件有其他要求的，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满足采购文件要求。如采购人在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hint="eastAsia" w:ascii="宋体"/>
          <w:bCs/>
          <w:color w:val="000000"/>
          <w:sz w:val="24"/>
          <w:szCs w:val="24"/>
          <w:highlight w:val="none"/>
        </w:rPr>
      </w:r>
      <w:r/>
    </w:p>
    <w:p>
      <w:pPr>
        <w:pStyle w:val="681"/>
        <w:ind w:firstLine="480"/>
        <w:spacing w:line="36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000000"/>
          <w:sz w:val="24"/>
          <w:szCs w:val="24"/>
          <w:highlight w:val="none"/>
        </w:rPr>
      </w:r>
      <w:r/>
    </w:p>
    <w:p>
      <w:pPr>
        <w:pStyle w:val="681"/>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r>
      <w:r/>
    </w:p>
    <w:p>
      <w:pPr>
        <w:pStyle w:val="681"/>
        <w:ind w:firstLine="480"/>
        <w:spacing w:line="36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ascii="宋体"/>
          <w:bCs/>
          <w:color w:val="000000"/>
          <w:sz w:val="24"/>
          <w:szCs w:val="24"/>
          <w:highlight w:val="none"/>
        </w:rPr>
      </w:r>
      <w:r/>
    </w:p>
    <w:p>
      <w:pPr>
        <w:pStyle w:val="681"/>
        <w:ind w:firstLine="480"/>
        <w:spacing w:line="360" w:lineRule="auto"/>
        <w:rPr>
          <w:rFonts w:ascii="宋体"/>
          <w:bCs/>
          <w:color w:val="000000"/>
          <w:sz w:val="24"/>
          <w:szCs w:val="24"/>
          <w:highlight w:val="none"/>
        </w:rPr>
      </w:pPr>
      <w:r>
        <w:rPr>
          <w:rFonts w:ascii="宋体"/>
          <w:bCs/>
          <w:color w:val="000000"/>
          <w:sz w:val="24"/>
          <w:szCs w:val="24"/>
          <w:highlight w:val="none"/>
        </w:rPr>
      </w:r>
      <w:r/>
    </w:p>
    <w:p>
      <w:pPr>
        <w:pStyle w:val="681"/>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681"/>
        <w:ind w:firstLine="54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681"/>
        <w:ind w:firstLine="37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681"/>
        <w:rPr>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lang w:val="en-US" w:eastAsia="zh-CN"/>
        </w:rPr>
        <w:t xml:space="preserve">八</w:t>
      </w:r>
      <w:r>
        <w:rPr>
          <w:rFonts w:hint="eastAsia"/>
          <w:b/>
          <w:color w:val="000000"/>
          <w:sz w:val="28"/>
          <w:szCs w:val="28"/>
          <w:highlight w:val="none"/>
        </w:rPr>
        <w:t xml:space="preserve">、开标一览表：</w:t>
      </w:r>
      <w:r>
        <w:rPr>
          <w:b/>
          <w:color w:val="000000"/>
          <w:sz w:val="28"/>
          <w:szCs w:val="28"/>
          <w:highlight w:val="none"/>
        </w:rPr>
      </w:r>
      <w:r/>
    </w:p>
    <w:p>
      <w:pPr>
        <w:pStyle w:val="681"/>
        <w:ind w:firstLine="482"/>
        <w:spacing w:line="440" w:lineRule="exact"/>
        <w:rPr>
          <w:rFonts w:ascii="Arial" w:hAnsi="Arial"/>
          <w:b/>
          <w:color w:val="000000"/>
          <w:sz w:val="24"/>
          <w:highlight w:val="none"/>
        </w:rPr>
      </w:pPr>
      <w:r>
        <w:rPr>
          <w:rFonts w:ascii="Arial" w:hAnsi="Arial"/>
          <w:b/>
          <w:color w:val="000000"/>
          <w:sz w:val="24"/>
          <w:highlight w:val="none"/>
        </w:rPr>
      </w:r>
      <w:r/>
    </w:p>
    <w:p>
      <w:pPr>
        <w:pStyle w:val="681"/>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81"/>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1"/>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681"/>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681"/>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 </w:t>
      </w:r>
      <w:r>
        <w:rPr>
          <w:rFonts w:hint="eastAsia" w:ascii="黑体" w:eastAsia="黑体"/>
          <w:bCs/>
          <w:color w:val="000000"/>
          <w:sz w:val="24"/>
          <w:szCs w:val="24"/>
          <w:highlight w:val="none"/>
          <w:lang w:eastAsia="zh-CN"/>
        </w:rPr>
        <w:t xml:space="preserve">JSZC-320200-ZHCD-G2026-0011</w:t>
      </w:r>
      <w:r>
        <w:rPr>
          <w:rFonts w:hint="eastAsia" w:ascii="黑体" w:eastAsia="黑体"/>
          <w:bCs/>
          <w:color w:val="000000"/>
          <w:sz w:val="24"/>
          <w:szCs w:val="24"/>
          <w:highlight w:val="none"/>
          <w:lang w:eastAsia="zh-CN"/>
        </w:rPr>
      </w:r>
      <w:r/>
    </w:p>
    <w:tbl>
      <w:tblPr>
        <w:tblW w:w="9106"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5175"/>
      </w:tblGrid>
      <w:tr>
        <w:trPr>
          <w:cantSplit/>
          <w:trHeight w:val="567"/>
        </w:trPr>
        <w:tc>
          <w:tcPr>
            <w:tcW w:w="3931" w:type="dxa"/>
            <w:vAlign w:val="center"/>
            <w:textDirection w:val="lrTb"/>
            <w:noWrap/>
          </w:tcPr>
          <w:p>
            <w:pPr>
              <w:pStyle w:val="681"/>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5175" w:type="dxa"/>
            <w:vAlign w:val="center"/>
            <w:textDirection w:val="lrTb"/>
            <w:noWrap/>
          </w:tcPr>
          <w:p>
            <w:pPr>
              <w:pStyle w:val="681"/>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投标总报价（小写）</w:t>
            </w:r>
            <w:r>
              <w:rPr>
                <w:rFonts w:ascii="宋体" w:hAnsi="宋体"/>
                <w:b/>
                <w:bCs/>
                <w:color w:val="000000"/>
                <w:sz w:val="24"/>
                <w:szCs w:val="24"/>
                <w:highlight w:val="none"/>
              </w:rPr>
            </w:r>
            <w:r/>
          </w:p>
        </w:tc>
      </w:tr>
      <w:tr>
        <w:trPr>
          <w:cantSplit/>
          <w:trHeight w:val="1630"/>
        </w:trPr>
        <w:tc>
          <w:tcPr>
            <w:tcW w:w="3931" w:type="dxa"/>
            <w:vAlign w:val="center"/>
            <w:textDirection w:val="lrTb"/>
            <w:noWrap/>
          </w:tcPr>
          <w:p>
            <w:pPr>
              <w:pStyle w:val="1030"/>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江苏省梅村高级中学2026年图书馆设施设备更换项目</w:t>
            </w:r>
            <w:r>
              <w:rPr>
                <w:rFonts w:hint="eastAsia" w:hAnsi="宋体" w:eastAsia="宋体"/>
                <w:bCs/>
                <w:color w:val="000000"/>
                <w:szCs w:val="24"/>
                <w:highlight w:val="none"/>
                <w:lang w:eastAsia="zh-CN"/>
              </w:rPr>
            </w:r>
            <w:r/>
          </w:p>
        </w:tc>
        <w:tc>
          <w:tcPr>
            <w:tcW w:w="5175" w:type="dxa"/>
            <w:vAlign w:val="center"/>
            <w:textDirection w:val="lrTb"/>
            <w:noWrap/>
          </w:tcPr>
          <w:p>
            <w:pPr>
              <w:pStyle w:val="1030"/>
              <w:jc w:val="center"/>
              <w:rPr>
                <w:rFonts w:hAnsi="宋体"/>
                <w:b/>
                <w:color w:val="000000"/>
                <w:szCs w:val="24"/>
                <w:highlight w:val="none"/>
              </w:rPr>
            </w:pPr>
            <w:r>
              <w:rPr>
                <w:rFonts w:hAnsi="宋体"/>
                <w:b/>
                <w:color w:val="000000"/>
                <w:szCs w:val="24"/>
                <w:highlight w:val="none"/>
              </w:rPr>
            </w:r>
            <w:r/>
          </w:p>
        </w:tc>
      </w:tr>
      <w:tr>
        <w:trPr>
          <w:cantSplit/>
          <w:trHeight w:val="1630"/>
        </w:trPr>
        <w:tc>
          <w:tcPr>
            <w:gridSpan w:val="2"/>
            <w:tcW w:w="9106" w:type="dxa"/>
            <w:vAlign w:val="center"/>
            <w:textDirection w:val="lrTb"/>
            <w:noWrap/>
          </w:tcPr>
          <w:p>
            <w:pPr>
              <w:pStyle w:val="1030"/>
              <w:jc w:val="left"/>
              <w:rPr>
                <w:rFonts w:hAnsi="宋体"/>
                <w:b/>
                <w:color w:val="000000"/>
                <w:szCs w:val="24"/>
                <w:highlight w:val="none"/>
              </w:rPr>
            </w:pPr>
            <w:r>
              <w:rPr>
                <w:rFonts w:hint="eastAsia" w:ascii="黑体" w:eastAsia="黑体"/>
                <w:color w:val="000000"/>
                <w:highlight w:val="none"/>
              </w:rPr>
              <w:t xml:space="preserve">投标总报价（大写）</w:t>
            </w:r>
            <w:r>
              <w:rPr>
                <w:rFonts w:hint="eastAsia" w:hAnsi="宋体"/>
                <w:bCs/>
                <w:color w:val="000000"/>
                <w:szCs w:val="24"/>
                <w:highlight w:val="none"/>
              </w:rPr>
              <w:t xml:space="preserve">：</w:t>
            </w:r>
            <w:r>
              <w:rPr>
                <w:rFonts w:hAnsi="宋体"/>
                <w:b/>
                <w:color w:val="000000"/>
                <w:szCs w:val="24"/>
                <w:highlight w:val="none"/>
              </w:rPr>
            </w:r>
            <w:r/>
          </w:p>
        </w:tc>
      </w:tr>
    </w:tbl>
    <w:p>
      <w:pPr>
        <w:pStyle w:val="681"/>
        <w:ind w:firstLine="12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81"/>
        <w:ind w:firstLine="12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81"/>
        <w:ind w:firstLine="120"/>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681"/>
        <w:ind w:firstLine="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法定代表人或授权委托人（签字</w:t>
      </w:r>
      <w:r>
        <w:rPr>
          <w:rFonts w:hint="eastAsia" w:ascii="黑体" w:eastAsia="黑体"/>
          <w:bCs/>
          <w:color w:val="000000"/>
          <w:sz w:val="24"/>
          <w:szCs w:val="24"/>
          <w:highlight w:val="none"/>
          <w:lang w:val="en-US" w:eastAsia="zh-CN"/>
        </w:rPr>
        <w:t xml:space="preserve">或盖章</w:t>
      </w:r>
      <w:r>
        <w:rPr>
          <w:rFonts w:hint="eastAsia" w:ascii="黑体" w:eastAsia="黑体"/>
          <w:bCs/>
          <w:color w:val="000000"/>
          <w:sz w:val="24"/>
          <w:szCs w:val="24"/>
          <w:highlight w:val="none"/>
        </w:rPr>
        <w:t xml:space="preserve">）：</w:t>
      </w:r>
      <w:r>
        <w:rPr>
          <w:rFonts w:hint="eastAsia" w:ascii="黑体" w:eastAsia="黑体"/>
          <w:bCs/>
          <w:color w:val="000000"/>
          <w:sz w:val="24"/>
          <w:szCs w:val="24"/>
          <w:highlight w:val="none"/>
        </w:rPr>
      </w:r>
      <w:r/>
    </w:p>
    <w:p>
      <w:pPr>
        <w:pStyle w:val="681"/>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                                     日期：     年  月   日</w:t>
      </w:r>
      <w:r>
        <w:rPr>
          <w:rFonts w:ascii="黑体" w:eastAsia="黑体"/>
          <w:bCs/>
          <w:color w:val="000000"/>
          <w:sz w:val="24"/>
          <w:szCs w:val="24"/>
          <w:highlight w:val="none"/>
        </w:rPr>
      </w:r>
      <w:r/>
    </w:p>
    <w:p>
      <w:pPr>
        <w:pStyle w:val="681"/>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pStyle w:val="681"/>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ascii="黑体" w:eastAsia="黑体"/>
          <w:bCs/>
          <w:color w:val="000000"/>
          <w:sz w:val="24"/>
          <w:szCs w:val="24"/>
          <w:highlight w:val="none"/>
        </w:rPr>
      </w:r>
      <w:r/>
    </w:p>
    <w:p>
      <w:pPr>
        <w:pStyle w:val="681"/>
        <w:spacing w:line="360" w:lineRule="auto"/>
        <w:rPr>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lang w:val="en-US" w:eastAsia="zh-CN"/>
        </w:rPr>
        <w:t xml:space="preserve">九</w:t>
      </w:r>
      <w:r>
        <w:rPr>
          <w:rFonts w:hint="eastAsia"/>
          <w:b/>
          <w:color w:val="000000"/>
          <w:sz w:val="28"/>
          <w:szCs w:val="28"/>
          <w:highlight w:val="none"/>
        </w:rPr>
        <w:t xml:space="preserve">、分项</w:t>
      </w:r>
      <w:r>
        <w:rPr>
          <w:b/>
          <w:color w:val="000000"/>
          <w:sz w:val="28"/>
          <w:szCs w:val="28"/>
          <w:highlight w:val="none"/>
        </w:rPr>
        <w:t xml:space="preserve">报价表</w:t>
      </w:r>
      <w:r>
        <w:rPr>
          <w:rFonts w:hint="eastAsia"/>
          <w:b/>
          <w:color w:val="000000"/>
          <w:sz w:val="28"/>
          <w:szCs w:val="28"/>
          <w:highlight w:val="none"/>
        </w:rPr>
        <w:t xml:space="preserve">（给定格式）：</w:t>
      </w:r>
      <w:r>
        <w:rPr>
          <w:b/>
          <w:color w:val="000000"/>
          <w:sz w:val="28"/>
          <w:szCs w:val="28"/>
          <w:highlight w:val="none"/>
        </w:rPr>
      </w:r>
      <w:r/>
    </w:p>
    <w:p>
      <w:pPr>
        <w:pStyle w:val="681"/>
        <w:spacing w:line="360" w:lineRule="auto"/>
        <w:rPr>
          <w:b/>
          <w:color w:val="000000"/>
          <w:sz w:val="30"/>
          <w:szCs w:val="30"/>
          <w:highlight w:val="none"/>
        </w:rPr>
      </w:pPr>
      <w:r>
        <w:rPr>
          <w:b/>
          <w:color w:val="000000"/>
          <w:sz w:val="30"/>
          <w:szCs w:val="30"/>
          <w:highlight w:val="none"/>
        </w:rPr>
      </w:r>
      <w:r/>
    </w:p>
    <w:p>
      <w:pPr>
        <w:pStyle w:val="681"/>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p>
      <w:pPr>
        <w:pStyle w:val="681"/>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 </w:t>
      </w:r>
      <w:r>
        <w:rPr>
          <w:rFonts w:hint="eastAsia" w:ascii="黑体" w:eastAsia="黑体"/>
          <w:bCs/>
          <w:color w:val="000000"/>
          <w:sz w:val="24"/>
          <w:szCs w:val="24"/>
          <w:highlight w:val="none"/>
          <w:lang w:eastAsia="zh-CN"/>
        </w:rPr>
        <w:t xml:space="preserve">JSZC-320200-ZHCD-G2026-0011</w:t>
      </w:r>
      <w:r>
        <w:rPr>
          <w:rFonts w:hint="eastAsia" w:ascii="黑体" w:eastAsia="黑体"/>
          <w:bCs/>
          <w:color w:val="000000"/>
          <w:sz w:val="24"/>
          <w:szCs w:val="24"/>
          <w:highlight w:val="none"/>
          <w:lang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681"/>
              <w:jc w:val="center"/>
              <w:spacing w:before="5"/>
              <w:rPr>
                <w:color w:val="000000"/>
                <w:sz w:val="18"/>
                <w:highlight w:val="none"/>
              </w:rPr>
            </w:pPr>
            <w:r>
              <w:rPr>
                <w:rFonts w:hint="eastAsia"/>
                <w:color w:val="000000"/>
                <w:sz w:val="18"/>
                <w:highlight w:val="none"/>
              </w:rPr>
              <w:t xml:space="preserve">序号</w:t>
            </w:r>
            <w:r>
              <w:rPr>
                <w:color w:val="000000"/>
                <w:sz w:val="18"/>
                <w:highlight w:val="none"/>
              </w:rPr>
            </w:r>
            <w:r/>
          </w:p>
        </w:tc>
        <w:tc>
          <w:tcPr>
            <w:tcMar>
              <w:left w:w="15" w:type="dxa"/>
              <w:top w:w="15" w:type="dxa"/>
              <w:right w:w="15" w:type="dxa"/>
              <w:bottom w:w="0" w:type="dxa"/>
            </w:tcMar>
            <w:tcW w:w="1050" w:type="dxa"/>
            <w:vAlign w:val="center"/>
            <w:textDirection w:val="lrTb"/>
            <w:noWrap/>
          </w:tcPr>
          <w:p>
            <w:pPr>
              <w:pStyle w:val="681"/>
              <w:jc w:val="center"/>
              <w:spacing w:before="5"/>
              <w:rPr>
                <w:color w:val="000000"/>
                <w:sz w:val="18"/>
                <w:highlight w:val="none"/>
              </w:rPr>
            </w:pPr>
            <w:r>
              <w:rPr>
                <w:rFonts w:hint="eastAsia"/>
                <w:color w:val="000000"/>
                <w:sz w:val="18"/>
                <w:highlight w:val="none"/>
              </w:rPr>
              <w:t xml:space="preserve">名称</w:t>
            </w:r>
            <w:r>
              <w:rPr>
                <w:color w:val="000000"/>
                <w:sz w:val="18"/>
                <w:highlight w:val="none"/>
              </w:rPr>
            </w:r>
            <w:r/>
          </w:p>
        </w:tc>
        <w:tc>
          <w:tcPr>
            <w:tcMar>
              <w:left w:w="15" w:type="dxa"/>
              <w:top w:w="15" w:type="dxa"/>
              <w:right w:w="15" w:type="dxa"/>
              <w:bottom w:w="0" w:type="dxa"/>
            </w:tcMar>
            <w:tcW w:w="945" w:type="dxa"/>
            <w:vAlign w:val="center"/>
            <w:textDirection w:val="lrTb"/>
            <w:noWrap/>
          </w:tcPr>
          <w:p>
            <w:pPr>
              <w:pStyle w:val="681"/>
              <w:jc w:val="center"/>
              <w:spacing w:before="5"/>
              <w:rPr>
                <w:color w:val="000000"/>
                <w:sz w:val="18"/>
                <w:highlight w:val="none"/>
              </w:rPr>
            </w:pPr>
            <w:r>
              <w:rPr>
                <w:rFonts w:hint="eastAsia"/>
                <w:color w:val="000000"/>
                <w:sz w:val="18"/>
                <w:highlight w:val="none"/>
              </w:rPr>
              <w:t xml:space="preserve">品牌型号</w:t>
            </w:r>
            <w:r>
              <w:rPr>
                <w:color w:val="000000"/>
                <w:sz w:val="18"/>
                <w:highlight w:val="none"/>
              </w:rPr>
            </w:r>
            <w:r/>
          </w:p>
        </w:tc>
        <w:tc>
          <w:tcPr>
            <w:tcMar>
              <w:left w:w="15" w:type="dxa"/>
              <w:top w:w="15" w:type="dxa"/>
              <w:right w:w="15" w:type="dxa"/>
              <w:bottom w:w="0" w:type="dxa"/>
            </w:tcMar>
            <w:tcW w:w="3045" w:type="dxa"/>
            <w:vAlign w:val="center"/>
            <w:textDirection w:val="lrTb"/>
            <w:noWrap/>
          </w:tcPr>
          <w:p>
            <w:pPr>
              <w:pStyle w:val="681"/>
              <w:jc w:val="center"/>
              <w:spacing w:before="5"/>
              <w:rPr>
                <w:color w:val="000000"/>
                <w:sz w:val="18"/>
                <w:highlight w:val="none"/>
              </w:rPr>
            </w:pPr>
            <w:r>
              <w:rPr>
                <w:rFonts w:hint="eastAsia"/>
                <w:color w:val="000000"/>
                <w:sz w:val="18"/>
                <w:highlight w:val="none"/>
              </w:rPr>
              <w:t xml:space="preserve">性能指标</w:t>
            </w:r>
            <w:r>
              <w:rPr>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681"/>
              <w:jc w:val="center"/>
              <w:spacing w:before="5"/>
              <w:rPr>
                <w:color w:val="000000"/>
                <w:sz w:val="18"/>
                <w:highlight w:val="none"/>
              </w:rPr>
            </w:pPr>
            <w:r>
              <w:rPr>
                <w:rFonts w:hint="eastAsia"/>
                <w:color w:val="000000"/>
                <w:sz w:val="18"/>
                <w:highlight w:val="none"/>
              </w:rPr>
              <w:t xml:space="preserve">数量</w:t>
            </w:r>
            <w:r>
              <w:rPr>
                <w:color w:val="000000"/>
                <w:sz w:val="18"/>
                <w:highlight w:val="none"/>
              </w:rPr>
            </w:r>
            <w:r/>
          </w:p>
        </w:tc>
        <w:tc>
          <w:tcPr>
            <w:tcW w:w="1276" w:type="dxa"/>
            <w:vAlign w:val="center"/>
            <w:textDirection w:val="lrTb"/>
            <w:noWrap w:val="false"/>
          </w:tcPr>
          <w:p>
            <w:pPr>
              <w:pStyle w:val="681"/>
              <w:jc w:val="center"/>
              <w:spacing w:before="5"/>
              <w:rPr>
                <w:color w:val="000000"/>
                <w:sz w:val="18"/>
                <w:highlight w:val="none"/>
              </w:rPr>
            </w:pPr>
            <w:r>
              <w:rPr>
                <w:rFonts w:hint="eastAsia"/>
                <w:color w:val="000000"/>
                <w:sz w:val="18"/>
                <w:highlight w:val="none"/>
              </w:rPr>
              <w:t xml:space="preserve">产地</w:t>
            </w:r>
            <w:r>
              <w:rPr>
                <w:color w:val="000000"/>
                <w:sz w:val="18"/>
                <w:highlight w:val="none"/>
              </w:rPr>
            </w:r>
            <w:r/>
          </w:p>
        </w:tc>
        <w:tc>
          <w:tcPr>
            <w:tcMar>
              <w:left w:w="15" w:type="dxa"/>
              <w:top w:w="15" w:type="dxa"/>
              <w:right w:w="15" w:type="dxa"/>
              <w:bottom w:w="0" w:type="dxa"/>
            </w:tcMar>
            <w:tcW w:w="992" w:type="dxa"/>
            <w:vAlign w:val="center"/>
            <w:textDirection w:val="lrTb"/>
            <w:noWrap/>
          </w:tcPr>
          <w:p>
            <w:pPr>
              <w:pStyle w:val="681"/>
              <w:jc w:val="center"/>
              <w:spacing w:before="5"/>
              <w:rPr>
                <w:color w:val="000000"/>
                <w:sz w:val="18"/>
                <w:highlight w:val="none"/>
              </w:rPr>
            </w:pPr>
            <w:r>
              <w:rPr>
                <w:rFonts w:hint="eastAsia"/>
                <w:color w:val="000000"/>
                <w:sz w:val="18"/>
                <w:highlight w:val="none"/>
              </w:rPr>
              <w:t xml:space="preserve">质保期</w:t>
            </w:r>
            <w:r>
              <w:rPr>
                <w:color w:val="000000"/>
                <w:sz w:val="18"/>
                <w:highlight w:val="none"/>
              </w:rPr>
            </w:r>
            <w:r/>
          </w:p>
        </w:tc>
        <w:tc>
          <w:tcPr>
            <w:tcW w:w="709" w:type="dxa"/>
            <w:vAlign w:val="center"/>
            <w:textDirection w:val="lrTb"/>
            <w:noWrap w:val="false"/>
          </w:tcPr>
          <w:p>
            <w:pPr>
              <w:pStyle w:val="681"/>
              <w:jc w:val="center"/>
              <w:spacing w:before="5"/>
              <w:rPr>
                <w:color w:val="000000"/>
                <w:sz w:val="18"/>
                <w:highlight w:val="none"/>
              </w:rPr>
            </w:pPr>
            <w:r>
              <w:rPr>
                <w:rFonts w:hint="eastAsia"/>
                <w:color w:val="000000"/>
                <w:sz w:val="18"/>
                <w:highlight w:val="none"/>
              </w:rPr>
              <w:t xml:space="preserve">单报价</w:t>
            </w:r>
            <w:r>
              <w:rPr>
                <w:color w:val="000000"/>
                <w:sz w:val="18"/>
                <w:highlight w:val="none"/>
              </w:rPr>
            </w:r>
            <w:r/>
          </w:p>
        </w:tc>
        <w:tc>
          <w:tcPr>
            <w:tcW w:w="939" w:type="dxa"/>
            <w:vAlign w:val="center"/>
            <w:textDirection w:val="lrTb"/>
            <w:noWrap w:val="false"/>
          </w:tcPr>
          <w:p>
            <w:pPr>
              <w:pStyle w:val="681"/>
              <w:jc w:val="center"/>
              <w:spacing w:before="5"/>
              <w:rPr>
                <w:color w:val="000000"/>
                <w:sz w:val="18"/>
                <w:highlight w:val="none"/>
              </w:rPr>
            </w:pPr>
            <w:r>
              <w:rPr>
                <w:rFonts w:hint="eastAsia"/>
                <w:color w:val="000000"/>
                <w:sz w:val="18"/>
                <w:highlight w:val="none"/>
              </w:rPr>
              <w:t xml:space="preserve">分项总报价</w:t>
            </w:r>
            <w:r>
              <w:rPr>
                <w:color w:val="000000"/>
                <w:sz w:val="18"/>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1045"/>
              <w:spacing w:before="5"/>
              <w:tabs>
                <w:tab w:val="clear" w:pos="4153" w:leader="none"/>
                <w:tab w:val="clear" w:pos="8306" w:leader="none"/>
              </w:tabs>
              <w:rPr>
                <w:rFonts w:ascii="宋体"/>
                <w:color w:val="000000"/>
                <w:highlight w:val="none"/>
                <w:lang w:eastAsia="zh-CN"/>
              </w:rPr>
              <w:pBdr>
                <w:bottom w:val="none" w:color="000000" w:sz="0" w:space="0"/>
              </w:pBdr>
            </w:pPr>
            <w:r>
              <w:rPr>
                <w:rFonts w:hint="eastAsia" w:ascii="宋体"/>
                <w:color w:val="000000"/>
                <w:highlight w:val="none"/>
                <w:lang w:eastAsia="zh-CN"/>
              </w:rPr>
              <w:t xml:space="preserve">1</w:t>
            </w:r>
            <w:r>
              <w:rPr>
                <w:rFonts w:ascii="宋体"/>
                <w:color w:val="000000"/>
                <w:highlight w:val="none"/>
                <w:lang w:eastAsia="zh-CN"/>
              </w:rPr>
            </w:r>
            <w:r/>
          </w:p>
        </w:tc>
        <w:tc>
          <w:tcPr>
            <w:tcMar>
              <w:left w:w="15" w:type="dxa"/>
              <w:top w:w="15" w:type="dxa"/>
              <w:right w:w="15" w:type="dxa"/>
              <w:bottom w:w="0" w:type="dxa"/>
            </w:tcMar>
            <w:tcW w:w="1050" w:type="dxa"/>
            <w:vAlign w:val="center"/>
            <w:textDirection w:val="lrTb"/>
            <w:noWrap/>
          </w:tcPr>
          <w:p>
            <w:pPr>
              <w:pStyle w:val="1045"/>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945" w:type="dxa"/>
            <w:vAlign w:val="center"/>
            <w:textDirection w:val="lrTb"/>
            <w:noWrap w:val="false"/>
          </w:tcPr>
          <w:p>
            <w:pPr>
              <w:pStyle w:val="1045"/>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3045" w:type="dxa"/>
            <w:vAlign w:val="top"/>
            <w:textDirection w:val="lrTb"/>
            <w:noWrap w:val="false"/>
          </w:tcPr>
          <w:p>
            <w:pPr>
              <w:pStyle w:val="681"/>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681"/>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276" w:type="dxa"/>
            <w:vAlign w:val="center"/>
            <w:textDirection w:val="lrTb"/>
            <w:noWrap w:val="false"/>
          </w:tcPr>
          <w:p>
            <w:pPr>
              <w:pStyle w:val="681"/>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681"/>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709" w:type="dxa"/>
            <w:vAlign w:val="center"/>
            <w:textDirection w:val="lrTb"/>
            <w:noWrap w:val="false"/>
          </w:tcPr>
          <w:p>
            <w:pPr>
              <w:pStyle w:val="681"/>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681"/>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681"/>
              <w:jc w:val="center"/>
              <w:rPr>
                <w:rFonts w:ascii="宋体"/>
                <w:color w:val="000000"/>
                <w:sz w:val="18"/>
                <w:highlight w:val="none"/>
              </w:rPr>
            </w:pPr>
            <w:r>
              <w:rPr>
                <w:rFonts w:hint="eastAsia" w:ascii="宋体"/>
                <w:color w:val="000000"/>
                <w:sz w:val="18"/>
                <w:highlight w:val="none"/>
              </w:rPr>
              <w:t xml:space="preserve">2</w:t>
            </w: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pStyle w:val="681"/>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1045"/>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3045" w:type="dxa"/>
            <w:vAlign w:val="center"/>
            <w:textDirection w:val="lrTb"/>
            <w:noWrap w:val="false"/>
          </w:tcPr>
          <w:p>
            <w:pPr>
              <w:pStyle w:val="681"/>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681"/>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276" w:type="dxa"/>
            <w:vAlign w:val="center"/>
            <w:textDirection w:val="lrTb"/>
            <w:noWrap w:val="false"/>
          </w:tcPr>
          <w:p>
            <w:pPr>
              <w:pStyle w:val="681"/>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681"/>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709" w:type="dxa"/>
            <w:vAlign w:val="center"/>
            <w:textDirection w:val="lrTb"/>
            <w:noWrap w:val="false"/>
          </w:tcPr>
          <w:p>
            <w:pPr>
              <w:pStyle w:val="681"/>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681"/>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681"/>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pStyle w:val="681"/>
              <w:jc w:val="center"/>
              <w:rPr>
                <w:rFonts w:ascii="宋体"/>
                <w:color w:val="000000"/>
                <w:highlight w:val="none"/>
              </w:rPr>
            </w:pPr>
            <w:r>
              <w:rPr>
                <w:rFonts w:ascii="宋体"/>
                <w:color w:val="000000"/>
                <w:highlight w:val="none"/>
              </w:rPr>
              <w:t xml:space="preserve">……</w:t>
            </w: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1045"/>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3045" w:type="dxa"/>
            <w:vAlign w:val="center"/>
            <w:textDirection w:val="lrTb"/>
            <w:noWrap w:val="false"/>
          </w:tcPr>
          <w:p>
            <w:pPr>
              <w:pStyle w:val="681"/>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681"/>
              <w:jc w:val="center"/>
              <w:rPr>
                <w:rFonts w:ascii="黑体" w:eastAsia="黑体"/>
                <w:b/>
                <w:bCs/>
                <w:color w:val="000000"/>
                <w:highlight w:val="none"/>
              </w:rPr>
            </w:pPr>
            <w:r>
              <w:rPr>
                <w:rFonts w:ascii="黑体" w:eastAsia="黑体"/>
                <w:b/>
                <w:bCs/>
                <w:color w:val="000000"/>
                <w:highlight w:val="none"/>
              </w:rPr>
            </w:r>
            <w:r/>
          </w:p>
        </w:tc>
        <w:tc>
          <w:tcPr>
            <w:tcW w:w="1276" w:type="dxa"/>
            <w:vAlign w:val="center"/>
            <w:textDirection w:val="lrTb"/>
            <w:noWrap w:val="false"/>
          </w:tcPr>
          <w:p>
            <w:pPr>
              <w:pStyle w:val="681"/>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681"/>
              <w:jc w:val="center"/>
              <w:rPr>
                <w:rFonts w:ascii="黑体" w:eastAsia="黑体"/>
                <w:b/>
                <w:bCs/>
                <w:color w:val="000000"/>
                <w:highlight w:val="none"/>
              </w:rPr>
            </w:pPr>
            <w:r>
              <w:rPr>
                <w:rFonts w:ascii="黑体" w:eastAsia="黑体"/>
                <w:b/>
                <w:bCs/>
                <w:color w:val="000000"/>
                <w:highlight w:val="none"/>
              </w:rPr>
            </w:r>
            <w:r/>
          </w:p>
        </w:tc>
        <w:tc>
          <w:tcPr>
            <w:tcW w:w="709" w:type="dxa"/>
            <w:vAlign w:val="center"/>
            <w:textDirection w:val="lrTb"/>
            <w:noWrap w:val="false"/>
          </w:tcPr>
          <w:p>
            <w:pPr>
              <w:pStyle w:val="681"/>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681"/>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gridSpan w:val="9"/>
            <w:tcMar>
              <w:left w:w="15" w:type="dxa"/>
              <w:top w:w="15" w:type="dxa"/>
              <w:right w:w="15" w:type="dxa"/>
              <w:bottom w:w="0" w:type="dxa"/>
            </w:tcMar>
            <w:tcW w:w="9975" w:type="dxa"/>
            <w:vAlign w:val="center"/>
            <w:textDirection w:val="lrTb"/>
            <w:noWrap/>
          </w:tcPr>
          <w:p>
            <w:pPr>
              <w:pStyle w:val="681"/>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投标人承诺：</w:t>
            </w:r>
            <w:r>
              <w:rPr>
                <w:rFonts w:hint="eastAsia" w:ascii="宋体" w:hAnsi="宋体"/>
                <w:bCs/>
                <w:color w:val="000000"/>
                <w:sz w:val="24"/>
                <w:szCs w:val="24"/>
                <w:highlight w:val="none"/>
              </w:rPr>
            </w:r>
            <w:r/>
          </w:p>
          <w:p>
            <w:pPr>
              <w:pStyle w:val="681"/>
              <w:jc w:val="center"/>
              <w:rPr>
                <w:rFonts w:ascii="黑体" w:hAnsi="宋体" w:eastAsia="黑体"/>
                <w:b/>
                <w:bCs/>
                <w:color w:val="000000"/>
                <w:sz w:val="24"/>
                <w:szCs w:val="24"/>
                <w:highlight w:val="none"/>
              </w:rPr>
            </w:pPr>
            <w:r>
              <w:rPr>
                <w:rFonts w:hint="eastAsia" w:ascii="宋体" w:hAnsi="宋体"/>
                <w:bCs/>
                <w:color w:val="000000"/>
                <w:sz w:val="24"/>
                <w:szCs w:val="24"/>
                <w:highlight w:val="none"/>
              </w:rPr>
              <w:t xml:space="preserve">本采购</w:t>
            </w:r>
            <w:r>
              <w:rPr>
                <w:rFonts w:hint="eastAsia" w:ascii="宋体" w:hAnsi="宋体"/>
                <w:bCs/>
                <w:color w:val="000000"/>
                <w:sz w:val="24"/>
                <w:szCs w:val="24"/>
                <w:highlight w:val="none"/>
                <w:lang w:val="en-US" w:eastAsia="zh-CN"/>
              </w:rPr>
              <w:t xml:space="preserve">项目或采购</w:t>
            </w:r>
            <w:r>
              <w:rPr>
                <w:rFonts w:hint="eastAsia" w:ascii="宋体" w:hAnsi="宋体"/>
                <w:bCs/>
                <w:color w:val="000000"/>
                <w:sz w:val="24"/>
                <w:szCs w:val="24"/>
                <w:highlight w:val="none"/>
              </w:rPr>
              <w:t xml:space="preserve">包中提供的符合本国产品标准的产品成本之和占提供的全部产品成本之和的比例为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w:t>
            </w:r>
            <w:r>
              <w:rPr>
                <w:rFonts w:ascii="黑体" w:hAnsi="宋体" w:eastAsia="黑体"/>
                <w:b/>
                <w:bCs/>
                <w:color w:val="000000"/>
                <w:sz w:val="24"/>
                <w:szCs w:val="24"/>
                <w:highlight w:val="none"/>
              </w:rPr>
            </w:r>
            <w:r/>
          </w:p>
        </w:tc>
      </w:tr>
    </w:tbl>
    <w:p>
      <w:pPr>
        <w:pStyle w:val="681"/>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681"/>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highlight w:val="none"/>
          <w:lang w:val="en-US" w:eastAsia="zh-CN"/>
        </w:rPr>
        <w:t xml:space="preserve">代理机构</w:t>
      </w:r>
      <w:r>
        <w:rPr>
          <w:rFonts w:hint="eastAsia" w:ascii="宋体"/>
          <w:bCs/>
          <w:color w:val="000000"/>
          <w:highlight w:val="none"/>
        </w:rPr>
        <w:t xml:space="preserve">有权将相关内容进行公示。</w:t>
      </w:r>
      <w:r>
        <w:rPr>
          <w:rFonts w:ascii="宋体"/>
          <w:bCs/>
          <w:color w:val="000000"/>
          <w:highlight w:val="none"/>
        </w:rPr>
      </w:r>
      <w:r/>
    </w:p>
    <w:p>
      <w:pPr>
        <w:pStyle w:val="681"/>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rPr>
          <w:rFonts w:ascii="宋体"/>
          <w:bCs/>
          <w:color w:val="000000"/>
          <w:highlight w:val="none"/>
        </w:rPr>
      </w:r>
      <w:r/>
    </w:p>
    <w:p>
      <w:pPr>
        <w:pStyle w:val="681"/>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hint="eastAsia" w:ascii="宋体" w:hAnsi="宋体"/>
          <w:bCs/>
          <w:color w:val="000000"/>
          <w:highlight w:val="none"/>
        </w:rPr>
      </w:r>
      <w:r/>
    </w:p>
    <w:p>
      <w:pPr>
        <w:pStyle w:val="681"/>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highlight w:val="none"/>
        </w:rPr>
      </w:r>
      <w:r/>
    </w:p>
    <w:p>
      <w:pPr>
        <w:pStyle w:val="681"/>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rPr>
          <w:rFonts w:hint="eastAsia" w:ascii="宋体" w:hAnsi="宋体"/>
          <w:bCs/>
          <w:color w:val="000000"/>
          <w:highlight w:val="none"/>
          <w:u w:val="single"/>
        </w:rPr>
      </w:r>
      <w:r/>
    </w:p>
    <w:p>
      <w:pPr>
        <w:pStyle w:val="681"/>
        <w:spacing w:line="400" w:lineRule="exact"/>
        <w:rPr>
          <w:b/>
          <w:color w:val="000000"/>
          <w:sz w:val="28"/>
          <w:szCs w:val="28"/>
          <w:highlight w:val="none"/>
        </w:rPr>
        <w:outlineLvl w:val="0"/>
      </w:pPr>
      <w:r>
        <w:rPr>
          <w:rFonts w:ascii="宋体" w:hAnsi="宋体"/>
          <w:bCs/>
          <w:color w:val="000000"/>
          <w:highlight w:val="none"/>
        </w:rPr>
        <w:br w:type="page" w:clear="all"/>
      </w:r>
      <w:bookmarkEnd w:id="194"/>
      <w:r/>
      <w:bookmarkEnd w:id="195"/>
      <w:r/>
      <w:bookmarkEnd w:id="196"/>
      <w:r/>
      <w:bookmarkStart w:id="198"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681"/>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1"/>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81"/>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1"/>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1"/>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 </w:t>
      </w:r>
      <w:r>
        <w:rPr>
          <w:rFonts w:hint="eastAsia" w:ascii="黑体" w:eastAsia="黑体"/>
          <w:bCs/>
          <w:color w:val="000000"/>
          <w:sz w:val="24"/>
          <w:szCs w:val="24"/>
          <w:highlight w:val="none"/>
          <w:lang w:eastAsia="zh-CN"/>
        </w:rPr>
        <w:t xml:space="preserve">JSZC-320200-ZHCD-G2026-0011</w:t>
      </w:r>
      <w:r>
        <w:rPr>
          <w:rFonts w:hint="eastAsia" w:ascii="黑体" w:eastAsia="黑体"/>
          <w:bCs/>
          <w:color w:val="000000"/>
          <w:sz w:val="24"/>
          <w:szCs w:val="24"/>
          <w:highlight w:val="none"/>
          <w:lang w:eastAsia="zh-CN"/>
        </w:rPr>
      </w:r>
      <w:r/>
    </w:p>
    <w:tbl>
      <w:tblPr>
        <w:tblW w:w="887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43"/>
        <w:gridCol w:w="2530"/>
        <w:gridCol w:w="2410"/>
        <w:gridCol w:w="209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pStyle w:val="681"/>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pStyle w:val="681"/>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681"/>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pStyle w:val="681"/>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pStyle w:val="68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pStyle w:val="681"/>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68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pStyle w:val="681"/>
              <w:jc w:val="center"/>
              <w:rPr>
                <w:rFonts w:ascii="宋体"/>
                <w:bCs/>
                <w:color w:val="000000"/>
                <w:highlight w:val="none"/>
              </w:rPr>
            </w:pPr>
            <w:r>
              <w:rPr>
                <w:rFonts w:ascii="宋体"/>
                <w:bCs/>
                <w:color w:val="000000"/>
                <w:highlight w:val="none"/>
              </w:rPr>
            </w:r>
            <w:r/>
          </w:p>
        </w:tc>
      </w:tr>
    </w:tbl>
    <w:p>
      <w:pPr>
        <w:pStyle w:val="681"/>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681"/>
        <w:rPr>
          <w:rFonts w:ascii="宋体"/>
          <w:bCs/>
          <w:color w:val="000000"/>
          <w:sz w:val="30"/>
          <w:highlight w:val="none"/>
        </w:rPr>
      </w:pPr>
      <w:r>
        <w:rPr>
          <w:rFonts w:ascii="宋体"/>
          <w:bCs/>
          <w:color w:val="000000"/>
          <w:sz w:val="30"/>
          <w:highlight w:val="none"/>
        </w:rPr>
      </w:r>
      <w:r/>
    </w:p>
    <w:p>
      <w:pPr>
        <w:pStyle w:val="681"/>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681"/>
        <w:ind w:firstLine="90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rPr>
          <w:rFonts w:ascii="宋体" w:hAnsi="宋体"/>
          <w:bCs/>
          <w:color w:val="000000"/>
          <w:sz w:val="24"/>
          <w:szCs w:val="24"/>
          <w:highlight w:val="none"/>
        </w:rPr>
      </w:r>
      <w:r/>
    </w:p>
    <w:p>
      <w:pPr>
        <w:pStyle w:val="681"/>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w:t>
      </w:r>
      <w:r>
        <w:rPr>
          <w:rFonts w:hint="eastAsia" w:ascii="宋体" w:hAnsi="宋体"/>
          <w:bCs/>
          <w:color w:val="000000"/>
          <w:sz w:val="24"/>
          <w:szCs w:val="24"/>
          <w:highlight w:val="none"/>
          <w:lang w:eastAsia="zh-CN"/>
        </w:rPr>
        <w:t xml:space="preserve">无需</w:t>
      </w:r>
      <w:r>
        <w:rPr>
          <w:rFonts w:hint="eastAsia" w:ascii="宋体" w:hAnsi="宋体"/>
          <w:bCs/>
          <w:color w:val="000000"/>
          <w:sz w:val="24"/>
          <w:szCs w:val="24"/>
          <w:highlight w:val="none"/>
        </w:rPr>
        <w:t xml:space="preserve">赘述。</w:t>
      </w:r>
      <w:bookmarkEnd w:id="183"/>
      <w:r/>
      <w:bookmarkEnd w:id="184"/>
      <w:r/>
      <w:bookmarkEnd w:id="198"/>
      <w:r/>
      <w:bookmarkStart w:id="199" w:name="_Hlt26609389"/>
      <w:r/>
      <w:bookmarkEnd w:id="199"/>
      <w:r/>
      <w:bookmarkStart w:id="200" w:name="_格式2__法定代表人授权书"/>
      <w:r/>
      <w:bookmarkEnd w:id="200"/>
      <w:r/>
      <w:bookmarkStart w:id="201" w:name="_Hlt26671374"/>
      <w:r/>
      <w:bookmarkEnd w:id="201"/>
      <w:r/>
      <w:bookmarkStart w:id="202" w:name="_Hlt26955066"/>
      <w:r/>
      <w:bookmarkEnd w:id="202"/>
      <w:r>
        <w:rPr>
          <w:rFonts w:ascii="宋体" w:hAnsi="宋体"/>
          <w:bCs/>
          <w:color w:val="000000"/>
          <w:sz w:val="24"/>
          <w:szCs w:val="24"/>
          <w:highlight w:val="none"/>
        </w:rPr>
      </w:r>
      <w:r/>
    </w:p>
    <w:p>
      <w:pPr>
        <w:pStyle w:val="681"/>
        <w:rPr>
          <w:rFonts w:hint="eastAsia"/>
          <w:color w:val="000000"/>
          <w:highlight w:val="none"/>
          <w:lang w:val="en-US" w:eastAsia="zh-CN"/>
        </w:rPr>
      </w:pPr>
      <w:r>
        <w:rPr>
          <w:rFonts w:hint="eastAsia"/>
          <w:color w:val="000000"/>
          <w:highlight w:val="none"/>
          <w:lang w:val="en-US" w:eastAsia="zh-CN"/>
        </w:rPr>
        <w:t xml:space="preserve">  </w:t>
      </w:r>
      <w:r>
        <w:rPr>
          <w:rFonts w:hint="eastAsia"/>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726"/>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726"/>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726"/>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726"/>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726"/>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726"/>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726"/>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726"/>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726"/>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726"/>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726"/>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726"/>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726"/>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681"/>
        <w:rPr>
          <w:color w:val="000000"/>
          <w:highlight w:val="none"/>
          <w:lang w:val="en-US" w:eastAsia="zh-CN"/>
        </w:rPr>
      </w:pPr>
      <w:r>
        <w:rPr>
          <w:color w:val="000000"/>
          <w:highlight w:val="none"/>
          <w:lang w:val="en-US" w:eastAsia="zh-CN"/>
        </w:rPr>
      </w:r>
      <w:r/>
    </w:p>
    <w:p>
      <w:pPr>
        <w:pStyle w:val="681"/>
        <w:spacing w:line="400" w:lineRule="exact"/>
        <w:rPr>
          <w:rFonts w:hint="eastAsia" w:ascii="Times New Roman" w:hAnsi="Times New Roman" w:eastAsia="宋体" w:cs="Times New Roman"/>
          <w:b/>
          <w:bCs w:val="0"/>
          <w:color w:val="000000"/>
          <w:sz w:val="28"/>
          <w:szCs w:val="28"/>
          <w:highlight w:val="none"/>
        </w:rPr>
        <w:outlineLvl w:val="0"/>
      </w:pPr>
      <w:r>
        <w:rPr>
          <w:rFonts w:hint="eastAsia" w:ascii="Times New Roman" w:hAnsi="Times New Roman" w:eastAsia="宋体" w:cs="Times New Roman"/>
          <w:b/>
          <w:bCs w:val="0"/>
          <w:color w:val="000000"/>
          <w:sz w:val="28"/>
          <w:szCs w:val="28"/>
          <w:highlight w:val="none"/>
          <w:lang w:val="en-US" w:eastAsia="zh-CN"/>
        </w:rPr>
        <w:t xml:space="preserve">十一、服务方案</w:t>
      </w:r>
      <w:r>
        <w:rPr>
          <w:rFonts w:hint="eastAsia" w:ascii="Times New Roman" w:hAnsi="Times New Roman" w:eastAsia="宋体" w:cs="Times New Roman"/>
          <w:b/>
          <w:bCs w:val="0"/>
          <w:color w:val="000000"/>
          <w:sz w:val="28"/>
          <w:szCs w:val="28"/>
          <w:highlight w:val="none"/>
        </w:rPr>
        <w:t xml:space="preserve">（格式）：</w:t>
      </w:r>
      <w:r>
        <w:rPr>
          <w:rFonts w:hint="eastAsia" w:ascii="Times New Roman" w:hAnsi="Times New Roman" w:eastAsia="宋体" w:cs="Times New Roman"/>
          <w:b/>
          <w:bCs w:val="0"/>
          <w:color w:val="000000"/>
          <w:sz w:val="28"/>
          <w:szCs w:val="28"/>
          <w:highlight w:val="none"/>
        </w:rPr>
      </w:r>
      <w:r/>
    </w:p>
    <w:p>
      <w:pPr>
        <w:pStyle w:val="681"/>
        <w:ind w:firstLine="480"/>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服务方案</w:t>
      </w:r>
      <w:r>
        <w:rPr>
          <w:rFonts w:hint="eastAsia" w:ascii="宋体" w:hAnsi="宋体" w:eastAsia="宋体" w:cs="宋体"/>
          <w:bCs/>
          <w:color w:val="000000"/>
          <w:sz w:val="24"/>
          <w:szCs w:val="24"/>
          <w:highlight w:val="none"/>
          <w:lang w:val="en-US" w:eastAsia="zh-CN"/>
        </w:rPr>
      </w:r>
      <w:r/>
    </w:p>
    <w:p>
      <w:pPr>
        <w:pStyle w:val="769"/>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color w:val="000000"/>
          <w:sz w:val="24"/>
          <w:szCs w:val="24"/>
          <w:highlight w:val="none"/>
        </w:rPr>
        <w:t xml:space="preserve">投标</w:t>
      </w:r>
      <w:r>
        <w:rPr>
          <w:rFonts w:hint="eastAsia" w:ascii="宋体" w:hAnsi="宋体" w:eastAsia="宋体" w:cs="宋体"/>
          <w:b w:val="0"/>
          <w:bCs/>
          <w:color w:val="000000"/>
          <w:sz w:val="24"/>
          <w:szCs w:val="24"/>
          <w:highlight w:val="none"/>
          <w:lang w:val="en-US" w:eastAsia="zh-CN"/>
        </w:rPr>
        <w:t xml:space="preserve">人</w:t>
      </w:r>
      <w:r>
        <w:rPr>
          <w:rFonts w:hint="eastAsia" w:ascii="宋体" w:hAnsi="宋体" w:eastAsia="宋体" w:cs="宋体"/>
          <w:b w:val="0"/>
          <w:bCs/>
          <w:color w:val="000000"/>
          <w:sz w:val="24"/>
          <w:szCs w:val="24"/>
          <w:highlight w:val="none"/>
        </w:rPr>
        <w:t xml:space="preserve">应按评分点编制完整的服务方案，以便评审。</w:t>
      </w:r>
      <w:r>
        <w:rPr>
          <w:rFonts w:hint="eastAsia" w:ascii="宋体" w:hAnsi="宋体" w:eastAsia="宋体" w:cs="宋体"/>
          <w:b/>
          <w:bCs/>
          <w:color w:val="000000"/>
          <w:sz w:val="24"/>
          <w:szCs w:val="24"/>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360" w:lineRule="auto"/>
        <w:rPr>
          <w:b/>
          <w:color w:val="000000"/>
          <w:sz w:val="28"/>
          <w:szCs w:val="28"/>
          <w:highlight w:val="none"/>
        </w:rPr>
      </w:pPr>
      <w:r>
        <w:rPr>
          <w:rFonts w:hint="eastAsia" w:ascii="Times New Roman" w:hAnsi="Times New Roman" w:eastAsia="宋体" w:cs="Times New Roman"/>
          <w:b/>
          <w:bCs w:val="0"/>
          <w:color w:val="000000"/>
          <w:sz w:val="28"/>
          <w:szCs w:val="28"/>
          <w:highlight w:val="none"/>
        </w:rPr>
        <w:t xml:space="preserve">十</w:t>
      </w:r>
      <w:r>
        <w:rPr>
          <w:rFonts w:hint="eastAsia" w:ascii="Times New Roman" w:hAnsi="Times New Roman" w:eastAsia="宋体" w:cs="Times New Roman"/>
          <w:b/>
          <w:bCs w:val="0"/>
          <w:color w:val="000000"/>
          <w:sz w:val="28"/>
          <w:szCs w:val="28"/>
          <w:highlight w:val="none"/>
          <w:lang w:val="en-US" w:eastAsia="zh-CN"/>
        </w:rPr>
        <w:t xml:space="preserve">二</w:t>
      </w:r>
      <w:r>
        <w:rPr>
          <w:rFonts w:hint="eastAsia"/>
          <w:b/>
          <w:color w:val="000000"/>
          <w:sz w:val="28"/>
          <w:szCs w:val="28"/>
          <w:highlight w:val="none"/>
        </w:rPr>
        <w:t xml:space="preserve">、项目人员配置清单（格式）</w:t>
      </w:r>
      <w:r>
        <w:rPr>
          <w:b/>
          <w:color w:val="000000"/>
          <w:sz w:val="28"/>
          <w:szCs w:val="28"/>
          <w:highlight w:val="none"/>
        </w:rPr>
      </w:r>
      <w:r/>
    </w:p>
    <w:p>
      <w:pPr>
        <w:pStyle w:val="681"/>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81"/>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rPr>
          <w:rFonts w:hint="eastAsia" w:ascii="黑体" w:eastAsia="黑体"/>
          <w:bCs/>
          <w:color w:val="000000"/>
          <w:sz w:val="28"/>
          <w:szCs w:val="28"/>
          <w:highlight w:val="none"/>
        </w:rPr>
      </w:r>
      <w:r/>
    </w:p>
    <w:p>
      <w:pPr>
        <w:pStyle w:val="681"/>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81"/>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81"/>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476" w:type="dxa"/>
            <w:vAlign w:val="center"/>
            <w:textDirection w:val="lrTb"/>
            <w:noWrap w:val="false"/>
          </w:tcPr>
          <w:p>
            <w:pPr>
              <w:pStyle w:val="681"/>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20" w:type="dxa"/>
            <w:vAlign w:val="center"/>
            <w:textDirection w:val="lrTb"/>
            <w:noWrap w:val="false"/>
          </w:tcPr>
          <w:p>
            <w:pPr>
              <w:pStyle w:val="681"/>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2520" w:type="dxa"/>
            <w:vAlign w:val="center"/>
            <w:textDirection w:val="lrTb"/>
            <w:noWrap w:val="false"/>
          </w:tcPr>
          <w:p>
            <w:pPr>
              <w:pStyle w:val="681"/>
              <w:jc w:val="center"/>
              <w:rPr>
                <w:b/>
                <w:color w:val="000000"/>
                <w:sz w:val="24"/>
                <w:highlight w:val="none"/>
              </w:rPr>
            </w:pPr>
            <w:r>
              <w:rPr>
                <w:rFonts w:hint="eastAsia"/>
                <w:b/>
                <w:color w:val="000000"/>
                <w:sz w:val="24"/>
                <w:highlight w:val="none"/>
              </w:rPr>
              <w:t xml:space="preserve">本项目职责</w:t>
            </w:r>
            <w:r>
              <w:rPr>
                <w:b/>
                <w:color w:val="000000"/>
                <w:sz w:val="24"/>
                <w:highlight w:val="none"/>
              </w:rPr>
            </w:r>
            <w:r/>
          </w:p>
        </w:tc>
        <w:tc>
          <w:tcPr>
            <w:tcW w:w="3274" w:type="dxa"/>
            <w:vAlign w:val="center"/>
            <w:textDirection w:val="lrTb"/>
            <w:noWrap w:val="false"/>
          </w:tcPr>
          <w:p>
            <w:pPr>
              <w:pStyle w:val="681"/>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r>
      <w:tr>
        <w:trPr>
          <w:trHeight w:val="680"/>
        </w:trPr>
        <w:tc>
          <w:tcPr>
            <w:tcW w:w="704"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681"/>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81"/>
        <w:rPr>
          <w:rFonts w:hint="eastAsia" w:ascii="黑体" w:eastAsia="黑体"/>
          <w:bCs/>
          <w:sz w:val="24"/>
          <w:szCs w:val="24"/>
          <w:highlight w:val="none"/>
        </w:rPr>
      </w:pPr>
      <w:r>
        <w:rPr>
          <w:rFonts w:hint="eastAsia" w:ascii="黑体" w:eastAsia="黑体"/>
          <w:bCs/>
          <w:sz w:val="24"/>
          <w:szCs w:val="24"/>
          <w:highlight w:val="none"/>
        </w:rPr>
      </w:r>
      <w:r/>
    </w:p>
    <w:p>
      <w:pPr>
        <w:pStyle w:val="681"/>
        <w:rPr>
          <w:b/>
          <w:bCs/>
          <w:sz w:val="24"/>
          <w:szCs w:val="24"/>
          <w:highlight w:val="none"/>
        </w:rPr>
      </w:pPr>
      <w:r>
        <w:rPr>
          <w:rFonts w:hint="eastAsia" w:ascii="黑体" w:eastAsia="黑体"/>
          <w:bCs/>
          <w:sz w:val="24"/>
          <w:szCs w:val="24"/>
          <w:highlight w:val="none"/>
        </w:rPr>
        <w:t xml:space="preserve">投标人名称（盖章）</w:t>
      </w:r>
      <w:r>
        <w:rPr>
          <w:b/>
          <w:bCs/>
          <w:sz w:val="24"/>
          <w:szCs w:val="24"/>
          <w:highlight w:val="none"/>
        </w:rPr>
      </w:r>
      <w:r/>
    </w:p>
    <w:p>
      <w:pPr>
        <w:pStyle w:val="681"/>
        <w:rPr>
          <w:rFonts w:hint="eastAsia" w:ascii="宋体" w:hAnsi="宋体"/>
          <w:bCs/>
          <w:color w:val="000000"/>
          <w:highlight w:val="none"/>
        </w:rPr>
      </w:pPr>
      <w:r>
        <w:rPr>
          <w:rFonts w:hint="eastAsia" w:ascii="宋体" w:hAnsi="宋体"/>
          <w:bCs/>
          <w:color w:val="000000"/>
          <w:highlight w:val="none"/>
        </w:rPr>
      </w:r>
      <w:r/>
    </w:p>
    <w:p>
      <w:pPr>
        <w:pStyle w:val="681"/>
        <w:rPr>
          <w:rFonts w:ascii="宋体" w:hAnsi="宋体"/>
          <w:bCs/>
          <w:color w:val="000000"/>
          <w:highlight w:val="none"/>
        </w:rPr>
      </w:pPr>
      <w:r>
        <w:rPr>
          <w:rFonts w:hint="eastAsia" w:ascii="宋体" w:hAnsi="宋体"/>
          <w:bCs/>
          <w:color w:val="000000"/>
          <w:highlight w:val="none"/>
        </w:rPr>
        <w:t xml:space="preserve">注：1. 表格不够可自行延长。</w:t>
      </w:r>
      <w:r>
        <w:rPr>
          <w:rFonts w:ascii="宋体" w:hAnsi="宋体"/>
          <w:bCs/>
          <w:color w:val="000000"/>
          <w:highlight w:val="none"/>
        </w:rPr>
      </w:r>
      <w:r/>
    </w:p>
    <w:p>
      <w:pPr>
        <w:pStyle w:val="681"/>
        <w:ind w:firstLine="420"/>
        <w:rPr>
          <w:rFonts w:eastAsia="宋体"/>
          <w:highlight w:val="none"/>
          <w:lang w:val="en-US" w:eastAsia="zh-CN"/>
        </w:rPr>
      </w:pPr>
      <w:r>
        <w:rPr>
          <w:rFonts w:hint="eastAsia" w:ascii="宋体" w:hAnsi="宋体"/>
          <w:bCs/>
          <w:color w:val="000000"/>
          <w:highlight w:val="none"/>
        </w:rPr>
        <w:t xml:space="preserve">2.</w:t>
      </w:r>
      <w:r>
        <w:rPr>
          <w:rFonts w:hint="eastAsia" w:ascii="宋体" w:hAnsi="宋体"/>
          <w:bCs/>
          <w:color w:val="000000"/>
          <w:highlight w:val="none"/>
          <w:lang w:val="en-US" w:eastAsia="zh-CN"/>
        </w:rPr>
        <w:t xml:space="preserve">根据评分要求提供材料。</w:t>
      </w:r>
      <w:r>
        <w:rPr>
          <w:rFonts w:eastAsia="宋体"/>
          <w:highlight w:val="none"/>
          <w:lang w:val="en-US" w:eastAsia="zh-CN"/>
        </w:rPr>
      </w:r>
      <w:r/>
    </w:p>
    <w:p>
      <w:pPr>
        <w:pStyle w:val="681"/>
        <w:rPr>
          <w:rFonts w:ascii="宋体" w:hAnsi="宋体"/>
          <w:bCs/>
          <w:color w:val="000000"/>
          <w:sz w:val="24"/>
          <w:szCs w:val="24"/>
          <w:highlight w:val="none"/>
        </w:rPr>
        <w:outlineLvl w:val="0"/>
      </w:pPr>
      <w:r>
        <w:rPr>
          <w:rFonts w:ascii="宋体" w:hAnsi="宋体"/>
          <w:bCs/>
          <w:color w:val="000000"/>
          <w:sz w:val="24"/>
          <w:szCs w:val="24"/>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pStyle w:val="681"/>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t xml:space="preserve">十</w:t>
      </w:r>
      <w:r>
        <w:rPr>
          <w:rFonts w:hint="eastAsia" w:ascii="Times New Roman" w:hAnsi="Times New Roman" w:eastAsia="宋体" w:cs="Times New Roman"/>
          <w:b/>
          <w:bCs w:val="0"/>
          <w:color w:val="000000"/>
          <w:sz w:val="28"/>
          <w:szCs w:val="28"/>
          <w:highlight w:val="none"/>
          <w:lang w:val="en-US" w:eastAsia="zh-CN"/>
        </w:rPr>
        <w:t xml:space="preserve">三、</w:t>
      </w:r>
      <w:r>
        <w:rPr>
          <w:rFonts w:hint="eastAsia" w:ascii="Times New Roman" w:hAnsi="Times New Roman" w:eastAsia="宋体" w:cs="Times New Roman"/>
          <w:b/>
          <w:bCs w:val="0"/>
          <w:color w:val="000000"/>
          <w:sz w:val="28"/>
          <w:szCs w:val="28"/>
          <w:highlight w:val="none"/>
        </w:rPr>
        <w:t xml:space="preserve">其他资料</w:t>
      </w:r>
      <w:r>
        <w:rPr>
          <w:rFonts w:hint="eastAsia" w:ascii="Times New Roman" w:hAnsi="Times New Roman" w:eastAsia="宋体" w:cs="Times New Roman"/>
          <w:b/>
          <w:bCs w:val="0"/>
          <w:color w:val="000000"/>
          <w:sz w:val="28"/>
          <w:szCs w:val="28"/>
          <w:highlight w:val="none"/>
        </w:rPr>
      </w:r>
      <w:r/>
    </w:p>
    <w:p>
      <w:pPr>
        <w:pStyle w:val="681"/>
        <w:ind w:firstLine="120"/>
        <w:rPr>
          <w:b/>
          <w:bCs/>
          <w:color w:val="000000"/>
          <w:sz w:val="24"/>
          <w:szCs w:val="24"/>
          <w:highlight w:val="none"/>
        </w:rPr>
      </w:pPr>
      <w:r>
        <w:rPr>
          <w:b/>
          <w:bCs/>
          <w:color w:val="000000"/>
          <w:sz w:val="24"/>
          <w:szCs w:val="24"/>
          <w:highlight w:val="none"/>
        </w:rPr>
      </w:r>
      <w:r/>
    </w:p>
    <w:p>
      <w:pPr>
        <w:pStyle w:val="681"/>
        <w:ind w:firstLine="120"/>
        <w:rPr>
          <w:b/>
          <w:bCs/>
          <w:color w:val="000000"/>
          <w:sz w:val="24"/>
          <w:szCs w:val="24"/>
          <w:highlight w:val="none"/>
        </w:rPr>
      </w:pPr>
      <w:r>
        <w:rPr>
          <w:b/>
          <w:bCs/>
          <w:color w:val="000000"/>
          <w:sz w:val="24"/>
          <w:szCs w:val="24"/>
          <w:highlight w:val="none"/>
        </w:rPr>
      </w:r>
      <w:r/>
    </w:p>
    <w:p>
      <w:pPr>
        <w:pStyle w:val="681"/>
        <w:ind w:firstLine="120"/>
        <w:rPr>
          <w:b/>
          <w:bCs/>
          <w:color w:val="000000"/>
          <w:sz w:val="24"/>
          <w:szCs w:val="24"/>
          <w:highlight w:val="none"/>
        </w:rPr>
      </w:pPr>
      <w:r>
        <w:rPr>
          <w:b/>
          <w:bCs/>
          <w:color w:val="000000"/>
          <w:sz w:val="24"/>
          <w:szCs w:val="24"/>
          <w:highlight w:val="none"/>
        </w:rPr>
      </w:r>
      <w:r/>
    </w:p>
    <w:p>
      <w:pPr>
        <w:pStyle w:val="681"/>
        <w:ind w:firstLine="120"/>
        <w:rPr>
          <w:b/>
          <w:bCs/>
          <w:color w:val="000000"/>
          <w:sz w:val="24"/>
          <w:szCs w:val="24"/>
          <w:highlight w:val="none"/>
        </w:rPr>
      </w:pPr>
      <w:r>
        <w:rPr>
          <w:b/>
          <w:bCs/>
          <w:color w:val="000000"/>
          <w:sz w:val="24"/>
          <w:szCs w:val="24"/>
          <w:highlight w:val="none"/>
        </w:rPr>
      </w:r>
      <w:r/>
    </w:p>
    <w:p>
      <w:pPr>
        <w:pStyle w:val="681"/>
        <w:ind w:firstLine="120"/>
        <w:rPr>
          <w:b/>
          <w:bCs/>
          <w:color w:val="000000"/>
          <w:sz w:val="24"/>
          <w:szCs w:val="24"/>
          <w:highlight w:val="none"/>
        </w:rPr>
        <w:outlineLvl w:val="0"/>
      </w:pPr>
      <w:r>
        <w:rPr>
          <w:rFonts w:hint="eastAsia"/>
          <w:b/>
          <w:bCs/>
          <w:color w:val="000000"/>
          <w:sz w:val="24"/>
          <w:szCs w:val="24"/>
          <w:highlight w:val="none"/>
        </w:rPr>
        <w:t xml:space="preserve">投标人认为有必要提供的声明和文件，如有自拟并自行添加</w:t>
      </w:r>
      <w:r>
        <w:rPr>
          <w:b/>
          <w:bCs/>
          <w:color w:val="000000"/>
          <w:sz w:val="24"/>
          <w:szCs w:val="24"/>
          <w:highlight w:val="none"/>
        </w:rPr>
      </w:r>
      <w:r/>
    </w:p>
    <w:p>
      <w:pPr>
        <w:pStyle w:val="681"/>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pStyle w:val="681"/>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pStyle w:val="681"/>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pStyle w:val="681"/>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pStyle w:val="681"/>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pStyle w:val="681"/>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pStyle w:val="681"/>
        <w:ind w:firstLine="4440"/>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投标人名称（公章）：</w:t>
      </w:r>
      <w:r>
        <w:rPr>
          <w:rFonts w:ascii="宋体" w:hAnsi="宋体" w:cs="宋体"/>
          <w:color w:val="000000"/>
          <w:sz w:val="24"/>
          <w:szCs w:val="24"/>
          <w:highlight w:val="none"/>
        </w:rPr>
      </w:r>
      <w:r/>
    </w:p>
    <w:p>
      <w:pPr>
        <w:pStyle w:val="681"/>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rPr>
          <w:rFonts w:ascii="宋体" w:hAnsi="宋体" w:cs="宋体"/>
          <w:color w:val="000000"/>
          <w:sz w:val="24"/>
          <w:szCs w:val="24"/>
          <w:highlight w:val="none"/>
        </w:rPr>
      </w:r>
      <w:r/>
    </w:p>
    <w:p>
      <w:pPr>
        <w:pStyle w:val="68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日期：     年  月   日</w:t>
      </w:r>
      <w:r>
        <w:rPr>
          <w:rFonts w:ascii="宋体" w:hAnsi="宋体" w:cs="宋体"/>
          <w:color w:val="000000"/>
          <w:sz w:val="24"/>
          <w:szCs w:val="24"/>
          <w:highlight w:val="none"/>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Arial Unicode MS">
    <w:panose1 w:val="020B0604020202020204"/>
  </w:font>
  <w:font w:name="inherit">
    <w:panose1 w:val="020B0503020202020204"/>
  </w:font>
  <w:font w:name="Arial">
    <w:panose1 w:val="020B0604020202020204"/>
  </w:font>
  <w:font w:name="楷体_GB2312">
    <w:panose1 w:val="02010609060101010101"/>
  </w:font>
  <w:font w:name="仿宋">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rPr>
        <w:rStyle w:val="852"/>
        <w:rFonts w:ascii="宋体" w:hAnsi="宋体"/>
      </w:rPr>
      <w:framePr w:w="271" w:wrap="around" w:vAnchor="text" w:hAnchor="page" w:x="5596" w:y="-3"/>
    </w:pPr>
    <w:r>
      <w:rPr>
        <w:rFonts w:ascii="宋体" w:hAnsi="宋体"/>
      </w:rPr>
      <w:fldChar w:fldCharType="begin"/>
    </w:r>
    <w:r>
      <w:rPr>
        <w:rStyle w:val="852"/>
        <w:rFonts w:ascii="宋体" w:hAnsi="宋体"/>
      </w:rPr>
      <w:instrText xml:space="preserve">PAGE  </w:instrText>
    </w:r>
    <w:r>
      <w:rPr>
        <w:rFonts w:ascii="宋体" w:hAnsi="宋体"/>
      </w:rPr>
      <w:fldChar w:fldCharType="separate"/>
    </w:r>
    <w:r>
      <w:rPr>
        <w:rStyle w:val="852"/>
        <w:rFonts w:ascii="宋体" w:hAnsi="宋体"/>
      </w:rPr>
      <w:t xml:space="preserve">84</w:t>
    </w:r>
    <w:r>
      <w:rPr>
        <w:rFonts w:ascii="宋体" w:hAnsi="宋体"/>
      </w:rPr>
      <w:fldChar w:fldCharType="end"/>
    </w:r>
    <w:r>
      <w:rPr>
        <w:rStyle w:val="852"/>
        <w:rFonts w:ascii="宋体" w:hAnsi="宋体"/>
      </w:rPr>
    </w:r>
    <w:r/>
  </w:p>
  <w:p>
    <w:pPr>
      <w:pStyle w:val="822"/>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rPr>
        <w:rStyle w:val="852"/>
      </w:rPr>
      <w:framePr w:wrap="around" w:vAnchor="text" w:hAnchor="margin" w:xAlign="center" w:y="1"/>
    </w:pPr>
    <w:r>
      <w:fldChar w:fldCharType="begin"/>
    </w:r>
    <w:r>
      <w:rPr>
        <w:rStyle w:val="852"/>
      </w:rPr>
      <w:instrText xml:space="preserve">PAGE  </w:instrText>
    </w:r>
    <w:r>
      <w:fldChar w:fldCharType="separate"/>
    </w:r>
    <w:r>
      <w:rPr>
        <w:rStyle w:val="852"/>
      </w:rPr>
      <w:t xml:space="preserve">1</w:t>
    </w:r>
    <w:r>
      <w:fldChar w:fldCharType="end"/>
    </w:r>
    <w:r>
      <w:rPr>
        <w:rStyle w:val="852"/>
      </w:rPr>
    </w:r>
    <w:r/>
  </w:p>
  <w:p>
    <w:pPr>
      <w:pStyle w:val="8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pStyle w:val="6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81"/>
        <w:ind w:left="1080" w:hanging="1080"/>
        <w:tabs>
          <w:tab w:val="num" w:pos="1080" w:leader="none"/>
        </w:tabs>
      </w:pPr>
      <w:rPr>
        <w:rFonts w:hint="eastAsia" w:cs="Times New Roman"/>
      </w:rPr>
    </w:lvl>
    <w:lvl w:ilvl="1">
      <w:start w:val="1"/>
      <w:numFmt w:val="decimal"/>
      <w:isLgl w:val="false"/>
      <w:suff w:val="nothing"/>
      <w:lvlText w:val="%2."/>
      <w:lvlJc w:val="left"/>
      <w:pPr>
        <w:pStyle w:val="681"/>
        <w:ind w:left="780" w:hanging="360"/>
      </w:pPr>
      <w:rPr>
        <w:rFonts w:hint="eastAsia" w:cs="Times New Roman"/>
        <w:color w:val="000000"/>
      </w:rPr>
    </w:lvl>
    <w:lvl w:ilvl="2">
      <w:start w:val="1"/>
      <w:numFmt w:val="lowerRoman"/>
      <w:isLgl w:val="false"/>
      <w:suff w:val="tab"/>
      <w:lvlText w:val="%3."/>
      <w:lvlJc w:val="right"/>
      <w:pPr>
        <w:pStyle w:val="681"/>
        <w:ind w:left="1260" w:hanging="420"/>
        <w:tabs>
          <w:tab w:val="num" w:pos="1260" w:leader="none"/>
        </w:tabs>
      </w:pPr>
      <w:rPr>
        <w:rFonts w:hint="eastAsia" w:cs="Times New Roman"/>
      </w:rPr>
    </w:lvl>
    <w:lvl w:ilvl="3">
      <w:start w:val="1"/>
      <w:numFmt w:val="decimal"/>
      <w:isLgl w:val="false"/>
      <w:suff w:val="tab"/>
      <w:lvlText w:val="%4."/>
      <w:lvlJc w:val="left"/>
      <w:pPr>
        <w:pStyle w:val="681"/>
        <w:ind w:left="1680" w:hanging="420"/>
        <w:tabs>
          <w:tab w:val="num" w:pos="1680" w:leader="none"/>
        </w:tabs>
      </w:pPr>
      <w:rPr>
        <w:rFonts w:hint="eastAsia" w:cs="Times New Roman"/>
      </w:rPr>
    </w:lvl>
    <w:lvl w:ilvl="4">
      <w:start w:val="1"/>
      <w:numFmt w:val="lowerLetter"/>
      <w:isLgl w:val="false"/>
      <w:suff w:val="tab"/>
      <w:lvlText w:val="%5)"/>
      <w:lvlJc w:val="left"/>
      <w:pPr>
        <w:pStyle w:val="681"/>
        <w:ind w:left="2100" w:hanging="420"/>
        <w:tabs>
          <w:tab w:val="num" w:pos="2100" w:leader="none"/>
        </w:tabs>
      </w:pPr>
      <w:rPr>
        <w:rFonts w:hint="eastAsia" w:cs="Times New Roman"/>
      </w:rPr>
    </w:lvl>
    <w:lvl w:ilvl="5">
      <w:start w:val="1"/>
      <w:numFmt w:val="lowerRoman"/>
      <w:isLgl w:val="false"/>
      <w:suff w:val="tab"/>
      <w:lvlText w:val="%6."/>
      <w:lvlJc w:val="right"/>
      <w:pPr>
        <w:pStyle w:val="681"/>
        <w:ind w:left="2520" w:hanging="420"/>
        <w:tabs>
          <w:tab w:val="num" w:pos="2520" w:leader="none"/>
        </w:tabs>
      </w:pPr>
      <w:rPr>
        <w:rFonts w:hint="eastAsia" w:cs="Times New Roman"/>
      </w:rPr>
    </w:lvl>
    <w:lvl w:ilvl="6">
      <w:start w:val="1"/>
      <w:numFmt w:val="decimal"/>
      <w:isLgl w:val="false"/>
      <w:suff w:val="tab"/>
      <w:lvlText w:val="%7."/>
      <w:lvlJc w:val="left"/>
      <w:pPr>
        <w:pStyle w:val="681"/>
        <w:ind w:left="2940" w:hanging="420"/>
        <w:tabs>
          <w:tab w:val="num" w:pos="2940" w:leader="none"/>
        </w:tabs>
      </w:pPr>
      <w:rPr>
        <w:rFonts w:hint="eastAsia" w:cs="Times New Roman"/>
      </w:rPr>
    </w:lvl>
    <w:lvl w:ilvl="7">
      <w:start w:val="1"/>
      <w:numFmt w:val="lowerLetter"/>
      <w:isLgl w:val="false"/>
      <w:suff w:val="tab"/>
      <w:lvlText w:val="%8)"/>
      <w:lvlJc w:val="left"/>
      <w:pPr>
        <w:pStyle w:val="681"/>
        <w:ind w:left="3360" w:hanging="420"/>
        <w:tabs>
          <w:tab w:val="num" w:pos="3360" w:leader="none"/>
        </w:tabs>
      </w:pPr>
      <w:rPr>
        <w:rFonts w:hint="eastAsia" w:cs="Times New Roman"/>
      </w:rPr>
    </w:lvl>
    <w:lvl w:ilvl="8">
      <w:start w:val="1"/>
      <w:numFmt w:val="lowerRoman"/>
      <w:isLgl w:val="false"/>
      <w:suff w:val="tab"/>
      <w:lvlText w:val="%9."/>
      <w:lvlJc w:val="right"/>
      <w:pPr>
        <w:pStyle w:val="681"/>
        <w:ind w:left="3780" w:hanging="420"/>
        <w:tabs>
          <w:tab w:val="num" w:pos="3780" w:leader="none"/>
        </w:tabs>
      </w:pPr>
      <w:rPr>
        <w:rFonts w:hint="eastAsia" w:cs="Times New Roman"/>
      </w:rPr>
    </w:lvl>
  </w:abstractNum>
  <w:abstractNum w:abstractNumId="2">
    <w:multiLevelType w:val="hybridMultilevel"/>
    <w:lvl w:ilvl="0">
      <w:start w:val="1"/>
      <w:numFmt w:val="decimal"/>
      <w:isLgl w:val="false"/>
      <w:suff w:val="nothing"/>
      <w:lvlText w:val="%1、"/>
      <w:lvlJc w:val="left"/>
      <w:pPr>
        <w:pStyle w:val="6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81"/>
        <w:ind w:left="1854" w:hanging="720"/>
        <w:tabs>
          <w:tab w:val="num" w:pos="1854" w:leader="none"/>
        </w:tabs>
      </w:pPr>
      <w:rPr>
        <w:rFonts w:hint="eastAsia"/>
      </w:rPr>
    </w:lvl>
    <w:lvl w:ilvl="1">
      <w:start w:val="2"/>
      <w:numFmt w:val="decimal"/>
      <w:isLgl w:val="false"/>
      <w:suff w:val="nothing"/>
      <w:lvlText w:val="%2."/>
      <w:lvlJc w:val="left"/>
      <w:pPr>
        <w:pStyle w:val="681"/>
        <w:ind w:left="1914" w:hanging="360"/>
      </w:pPr>
    </w:lvl>
    <w:lvl w:ilvl="2">
      <w:start w:val="1"/>
      <w:numFmt w:val="lowerRoman"/>
      <w:isLgl w:val="false"/>
      <w:suff w:val="tab"/>
      <w:lvlText w:val="%3."/>
      <w:lvlJc w:val="right"/>
      <w:pPr>
        <w:pStyle w:val="681"/>
        <w:ind w:left="2394" w:hanging="420"/>
        <w:tabs>
          <w:tab w:val="num" w:pos="2394" w:leader="none"/>
        </w:tabs>
      </w:pPr>
    </w:lvl>
    <w:lvl w:ilvl="3">
      <w:start w:val="1"/>
      <w:numFmt w:val="decimal"/>
      <w:isLgl w:val="false"/>
      <w:suff w:val="tab"/>
      <w:lvlText w:val="%4."/>
      <w:lvlJc w:val="left"/>
      <w:pPr>
        <w:pStyle w:val="681"/>
        <w:ind w:left="2814" w:hanging="420"/>
        <w:tabs>
          <w:tab w:val="num" w:pos="2814" w:leader="none"/>
        </w:tabs>
      </w:pPr>
    </w:lvl>
    <w:lvl w:ilvl="4">
      <w:start w:val="1"/>
      <w:numFmt w:val="lowerLetter"/>
      <w:isLgl w:val="false"/>
      <w:suff w:val="tab"/>
      <w:lvlText w:val="%5)"/>
      <w:lvlJc w:val="left"/>
      <w:pPr>
        <w:pStyle w:val="681"/>
        <w:ind w:left="3234" w:hanging="420"/>
        <w:tabs>
          <w:tab w:val="num" w:pos="3234" w:leader="none"/>
        </w:tabs>
      </w:pPr>
    </w:lvl>
    <w:lvl w:ilvl="5">
      <w:start w:val="1"/>
      <w:numFmt w:val="lowerRoman"/>
      <w:isLgl w:val="false"/>
      <w:suff w:val="tab"/>
      <w:lvlText w:val="%6."/>
      <w:lvlJc w:val="right"/>
      <w:pPr>
        <w:pStyle w:val="681"/>
        <w:ind w:left="3654" w:hanging="420"/>
        <w:tabs>
          <w:tab w:val="num" w:pos="3654" w:leader="none"/>
        </w:tabs>
      </w:pPr>
    </w:lvl>
    <w:lvl w:ilvl="6">
      <w:start w:val="1"/>
      <w:numFmt w:val="decimal"/>
      <w:isLgl w:val="false"/>
      <w:suff w:val="tab"/>
      <w:lvlText w:val="%7."/>
      <w:lvlJc w:val="left"/>
      <w:pPr>
        <w:pStyle w:val="681"/>
        <w:ind w:left="4074" w:hanging="420"/>
        <w:tabs>
          <w:tab w:val="num" w:pos="4074" w:leader="none"/>
        </w:tabs>
      </w:pPr>
    </w:lvl>
    <w:lvl w:ilvl="7">
      <w:start w:val="1"/>
      <w:numFmt w:val="lowerLetter"/>
      <w:isLgl w:val="false"/>
      <w:suff w:val="tab"/>
      <w:lvlText w:val="%8)"/>
      <w:lvlJc w:val="left"/>
      <w:pPr>
        <w:pStyle w:val="681"/>
        <w:ind w:left="4494" w:hanging="420"/>
        <w:tabs>
          <w:tab w:val="num" w:pos="4494" w:leader="none"/>
        </w:tabs>
      </w:pPr>
    </w:lvl>
    <w:lvl w:ilvl="8">
      <w:start w:val="1"/>
      <w:numFmt w:val="lowerRoman"/>
      <w:isLgl w:val="false"/>
      <w:suff w:val="tab"/>
      <w:lvlText w:val="%9."/>
      <w:lvlJc w:val="right"/>
      <w:pPr>
        <w:pStyle w:val="681"/>
        <w:ind w:left="4914" w:hanging="420"/>
        <w:tabs>
          <w:tab w:val="num" w:pos="4914" w:leader="none"/>
        </w:tabs>
      </w:pPr>
    </w:lvl>
  </w:abstractNum>
  <w:abstractNum w:abstractNumId="4">
    <w:multiLevelType w:val="hybridMultilevel"/>
    <w:lvl w:ilvl="0">
      <w:start w:val="1"/>
      <w:numFmt w:val="japaneseCounting"/>
      <w:isLgl w:val="false"/>
      <w:suff w:val="tab"/>
      <w:lvlText w:val="（%1）"/>
      <w:lvlJc w:val="left"/>
      <w:pPr>
        <w:pStyle w:val="681"/>
        <w:ind w:left="1080" w:hanging="1080"/>
        <w:tabs>
          <w:tab w:val="num" w:pos="1080" w:leader="none"/>
        </w:tabs>
      </w:pPr>
      <w:rPr>
        <w:rFonts w:hint="eastAsia" w:cs="Times New Roman"/>
      </w:rPr>
    </w:lvl>
    <w:lvl w:ilvl="1">
      <w:start w:val="1"/>
      <w:numFmt w:val="decimal"/>
      <w:isLgl w:val="false"/>
      <w:suff w:val="nothing"/>
      <w:lvlText w:val="%2."/>
      <w:lvlJc w:val="left"/>
      <w:pPr>
        <w:pStyle w:val="681"/>
        <w:ind w:left="780" w:hanging="360"/>
      </w:pPr>
      <w:rPr>
        <w:rFonts w:hint="eastAsia" w:cs="Times New Roman"/>
        <w:color w:val="000000"/>
      </w:rPr>
    </w:lvl>
    <w:lvl w:ilvl="2">
      <w:start w:val="1"/>
      <w:numFmt w:val="lowerRoman"/>
      <w:isLgl w:val="false"/>
      <w:suff w:val="tab"/>
      <w:lvlText w:val="%3."/>
      <w:lvlJc w:val="right"/>
      <w:pPr>
        <w:pStyle w:val="681"/>
        <w:ind w:left="1260" w:hanging="420"/>
        <w:tabs>
          <w:tab w:val="num" w:pos="1260" w:leader="none"/>
        </w:tabs>
      </w:pPr>
      <w:rPr>
        <w:rFonts w:hint="eastAsia" w:cs="Times New Roman"/>
      </w:rPr>
    </w:lvl>
    <w:lvl w:ilvl="3">
      <w:start w:val="1"/>
      <w:numFmt w:val="decimal"/>
      <w:isLgl w:val="false"/>
      <w:suff w:val="tab"/>
      <w:lvlText w:val="%4."/>
      <w:lvlJc w:val="left"/>
      <w:pPr>
        <w:pStyle w:val="681"/>
        <w:ind w:left="1680" w:hanging="420"/>
        <w:tabs>
          <w:tab w:val="num" w:pos="1680" w:leader="none"/>
        </w:tabs>
      </w:pPr>
      <w:rPr>
        <w:rFonts w:hint="eastAsia" w:cs="Times New Roman"/>
      </w:rPr>
    </w:lvl>
    <w:lvl w:ilvl="4">
      <w:start w:val="1"/>
      <w:numFmt w:val="lowerLetter"/>
      <w:isLgl w:val="false"/>
      <w:suff w:val="tab"/>
      <w:lvlText w:val="%5)"/>
      <w:lvlJc w:val="left"/>
      <w:pPr>
        <w:pStyle w:val="681"/>
        <w:ind w:left="2100" w:hanging="420"/>
        <w:tabs>
          <w:tab w:val="num" w:pos="2100" w:leader="none"/>
        </w:tabs>
      </w:pPr>
      <w:rPr>
        <w:rFonts w:hint="eastAsia" w:cs="Times New Roman"/>
      </w:rPr>
    </w:lvl>
    <w:lvl w:ilvl="5">
      <w:start w:val="1"/>
      <w:numFmt w:val="lowerRoman"/>
      <w:isLgl w:val="false"/>
      <w:suff w:val="tab"/>
      <w:lvlText w:val="%6."/>
      <w:lvlJc w:val="right"/>
      <w:pPr>
        <w:pStyle w:val="681"/>
        <w:ind w:left="2520" w:hanging="420"/>
        <w:tabs>
          <w:tab w:val="num" w:pos="2520" w:leader="none"/>
        </w:tabs>
      </w:pPr>
      <w:rPr>
        <w:rFonts w:hint="eastAsia" w:cs="Times New Roman"/>
      </w:rPr>
    </w:lvl>
    <w:lvl w:ilvl="6">
      <w:start w:val="1"/>
      <w:numFmt w:val="decimal"/>
      <w:isLgl w:val="false"/>
      <w:suff w:val="tab"/>
      <w:lvlText w:val="%7."/>
      <w:lvlJc w:val="left"/>
      <w:pPr>
        <w:pStyle w:val="681"/>
        <w:ind w:left="2940" w:hanging="420"/>
        <w:tabs>
          <w:tab w:val="num" w:pos="2940" w:leader="none"/>
        </w:tabs>
      </w:pPr>
      <w:rPr>
        <w:rFonts w:hint="eastAsia" w:cs="Times New Roman"/>
      </w:rPr>
    </w:lvl>
    <w:lvl w:ilvl="7">
      <w:start w:val="1"/>
      <w:numFmt w:val="lowerLetter"/>
      <w:isLgl w:val="false"/>
      <w:suff w:val="tab"/>
      <w:lvlText w:val="%8)"/>
      <w:lvlJc w:val="left"/>
      <w:pPr>
        <w:pStyle w:val="681"/>
        <w:ind w:left="3360" w:hanging="420"/>
        <w:tabs>
          <w:tab w:val="num" w:pos="3360" w:leader="none"/>
        </w:tabs>
      </w:pPr>
      <w:rPr>
        <w:rFonts w:hint="eastAsia" w:cs="Times New Roman"/>
      </w:rPr>
    </w:lvl>
    <w:lvl w:ilvl="8">
      <w:start w:val="1"/>
      <w:numFmt w:val="lowerRoman"/>
      <w:isLgl w:val="false"/>
      <w:suff w:val="tab"/>
      <w:lvlText w:val="%9."/>
      <w:lvlJc w:val="right"/>
      <w:pPr>
        <w:pStyle w:val="681"/>
        <w:ind w:left="3780" w:hanging="420"/>
        <w:tabs>
          <w:tab w:val="num" w:pos="3780" w:leader="none"/>
        </w:tabs>
      </w:pPr>
      <w:rPr>
        <w:rFonts w:hint="eastAsia" w:cs="Times New Roman"/>
      </w:rPr>
    </w:lvl>
  </w:abstractNum>
  <w:abstractNum w:abstractNumId="5">
    <w:multiLevelType w:val="hybridMultilevel"/>
    <w:lvl w:ilvl="0">
      <w:start w:val="1"/>
      <w:numFmt w:val="decimal"/>
      <w:isLgl w:val="false"/>
      <w:suff w:val="nothing"/>
      <w:lvlText w:val="%1、"/>
      <w:lvlJc w:val="left"/>
      <w:pPr>
        <w:pStyle w:val="6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japaneseCounting"/>
      <w:isLgl w:val="false"/>
      <w:suff w:val="tab"/>
      <w:lvlText w:val="（%1）"/>
      <w:lvlJc w:val="left"/>
      <w:pPr>
        <w:pStyle w:val="681"/>
        <w:ind w:left="1239" w:hanging="720"/>
      </w:pPr>
      <w:rPr>
        <w:rFonts w:hAnsi="宋体"/>
      </w:rPr>
    </w:lvl>
    <w:lvl w:ilvl="1">
      <w:start w:val="1"/>
      <w:numFmt w:val="lowerLetter"/>
      <w:isLgl w:val="false"/>
      <w:suff w:val="tab"/>
      <w:lvlText w:val="%2)"/>
      <w:lvlJc w:val="left"/>
      <w:pPr>
        <w:pStyle w:val="681"/>
        <w:ind w:left="1359" w:hanging="420"/>
      </w:pPr>
    </w:lvl>
    <w:lvl w:ilvl="2">
      <w:start w:val="1"/>
      <w:numFmt w:val="lowerRoman"/>
      <w:isLgl w:val="false"/>
      <w:suff w:val="tab"/>
      <w:lvlText w:val="%3."/>
      <w:lvlJc w:val="right"/>
      <w:pPr>
        <w:pStyle w:val="681"/>
        <w:ind w:left="1779" w:hanging="420"/>
      </w:pPr>
    </w:lvl>
    <w:lvl w:ilvl="3">
      <w:start w:val="1"/>
      <w:numFmt w:val="decimal"/>
      <w:isLgl w:val="false"/>
      <w:suff w:val="tab"/>
      <w:lvlText w:val="%4."/>
      <w:lvlJc w:val="left"/>
      <w:pPr>
        <w:pStyle w:val="681"/>
        <w:ind w:left="2199" w:hanging="420"/>
      </w:pPr>
    </w:lvl>
    <w:lvl w:ilvl="4">
      <w:start w:val="1"/>
      <w:numFmt w:val="lowerLetter"/>
      <w:isLgl w:val="false"/>
      <w:suff w:val="tab"/>
      <w:lvlText w:val="%5)"/>
      <w:lvlJc w:val="left"/>
      <w:pPr>
        <w:pStyle w:val="681"/>
        <w:ind w:left="2619" w:hanging="420"/>
      </w:pPr>
    </w:lvl>
    <w:lvl w:ilvl="5">
      <w:start w:val="1"/>
      <w:numFmt w:val="lowerRoman"/>
      <w:isLgl w:val="false"/>
      <w:suff w:val="tab"/>
      <w:lvlText w:val="%6."/>
      <w:lvlJc w:val="right"/>
      <w:pPr>
        <w:pStyle w:val="681"/>
        <w:ind w:left="3039" w:hanging="420"/>
      </w:pPr>
    </w:lvl>
    <w:lvl w:ilvl="6">
      <w:start w:val="1"/>
      <w:numFmt w:val="decimal"/>
      <w:isLgl w:val="false"/>
      <w:suff w:val="tab"/>
      <w:lvlText w:val="%7."/>
      <w:lvlJc w:val="left"/>
      <w:pPr>
        <w:pStyle w:val="681"/>
        <w:ind w:left="3459" w:hanging="420"/>
      </w:pPr>
    </w:lvl>
    <w:lvl w:ilvl="7">
      <w:start w:val="1"/>
      <w:numFmt w:val="lowerLetter"/>
      <w:isLgl w:val="false"/>
      <w:suff w:val="tab"/>
      <w:lvlText w:val="%8)"/>
      <w:lvlJc w:val="left"/>
      <w:pPr>
        <w:pStyle w:val="681"/>
        <w:ind w:left="3879" w:hanging="420"/>
      </w:pPr>
    </w:lvl>
    <w:lvl w:ilvl="8">
      <w:start w:val="1"/>
      <w:numFmt w:val="lowerRoman"/>
      <w:isLgl w:val="false"/>
      <w:suff w:val="tab"/>
      <w:lvlText w:val="%9."/>
      <w:lvlJc w:val="right"/>
      <w:pPr>
        <w:pStyle w:val="681"/>
        <w:ind w:left="4299" w:hanging="420"/>
      </w:pPr>
    </w:lvl>
  </w:abstractNum>
  <w:abstractNum w:abstractNumId="7">
    <w:multiLevelType w:val="hybridMultilevel"/>
    <w:lvl w:ilvl="0">
      <w:start w:val="1"/>
      <w:numFmt w:val="japaneseCounting"/>
      <w:isLgl w:val="false"/>
      <w:suff w:val="tab"/>
      <w:lvlText w:val="%1、"/>
      <w:lvlJc w:val="left"/>
      <w:pPr>
        <w:pStyle w:val="68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1"/>
        <w:ind w:left="840" w:hanging="420"/>
        <w:tabs>
          <w:tab w:val="num" w:pos="840" w:leader="none"/>
        </w:tabs>
      </w:pPr>
      <w:rPr>
        <w:rFonts w:cs="Times New Roman"/>
      </w:rPr>
    </w:lvl>
    <w:lvl w:ilvl="2">
      <w:start w:val="10"/>
      <w:numFmt w:val="decimal"/>
      <w:isLgl w:val="false"/>
      <w:suff w:val="tab"/>
      <w:lvlText w:val="%3."/>
      <w:lvlJc w:val="left"/>
      <w:pPr>
        <w:pStyle w:val="681"/>
        <w:ind w:left="1200" w:hanging="360"/>
        <w:tabs>
          <w:tab w:val="num" w:pos="1200" w:leader="none"/>
        </w:tabs>
      </w:pPr>
      <w:rPr>
        <w:rFonts w:cs="Times New Roman"/>
      </w:rPr>
    </w:lvl>
    <w:lvl w:ilvl="3">
      <w:start w:val="1"/>
      <w:numFmt w:val="decimal"/>
      <w:isLgl w:val="false"/>
      <w:suff w:val="tab"/>
      <w:lvlText w:val="%4."/>
      <w:lvlJc w:val="left"/>
      <w:pPr>
        <w:pStyle w:val="681"/>
        <w:ind w:left="1680" w:hanging="420"/>
        <w:tabs>
          <w:tab w:val="num" w:pos="1680" w:leader="none"/>
        </w:tabs>
      </w:pPr>
      <w:rPr>
        <w:rFonts w:cs="Times New Roman"/>
      </w:rPr>
    </w:lvl>
    <w:lvl w:ilvl="4">
      <w:start w:val="1"/>
      <w:numFmt w:val="lowerLetter"/>
      <w:isLgl w:val="false"/>
      <w:suff w:val="tab"/>
      <w:lvlText w:val="%5)"/>
      <w:lvlJc w:val="left"/>
      <w:pPr>
        <w:pStyle w:val="681"/>
        <w:ind w:left="2100" w:hanging="420"/>
        <w:tabs>
          <w:tab w:val="num" w:pos="2100" w:leader="none"/>
        </w:tabs>
      </w:pPr>
      <w:rPr>
        <w:rFonts w:cs="Times New Roman"/>
      </w:rPr>
    </w:lvl>
    <w:lvl w:ilvl="5">
      <w:start w:val="1"/>
      <w:numFmt w:val="lowerRoman"/>
      <w:isLgl w:val="false"/>
      <w:suff w:val="tab"/>
      <w:lvlText w:val="%6."/>
      <w:lvlJc w:val="right"/>
      <w:pPr>
        <w:pStyle w:val="681"/>
        <w:ind w:left="2520" w:hanging="420"/>
        <w:tabs>
          <w:tab w:val="num" w:pos="2520" w:leader="none"/>
        </w:tabs>
      </w:pPr>
      <w:rPr>
        <w:rFonts w:cs="Times New Roman"/>
      </w:rPr>
    </w:lvl>
    <w:lvl w:ilvl="6">
      <w:start w:val="1"/>
      <w:numFmt w:val="decimal"/>
      <w:isLgl w:val="false"/>
      <w:suff w:val="tab"/>
      <w:lvlText w:val="%7."/>
      <w:lvlJc w:val="left"/>
      <w:pPr>
        <w:pStyle w:val="681"/>
        <w:ind w:left="2940" w:hanging="420"/>
        <w:tabs>
          <w:tab w:val="num" w:pos="2940" w:leader="none"/>
        </w:tabs>
      </w:pPr>
      <w:rPr>
        <w:rFonts w:cs="Times New Roman"/>
      </w:rPr>
    </w:lvl>
    <w:lvl w:ilvl="7">
      <w:start w:val="1"/>
      <w:numFmt w:val="lowerLetter"/>
      <w:isLgl w:val="false"/>
      <w:suff w:val="tab"/>
      <w:lvlText w:val="%8)"/>
      <w:lvlJc w:val="left"/>
      <w:pPr>
        <w:pStyle w:val="681"/>
        <w:ind w:left="3360" w:hanging="420"/>
        <w:tabs>
          <w:tab w:val="num" w:pos="3360" w:leader="none"/>
        </w:tabs>
      </w:pPr>
      <w:rPr>
        <w:rFonts w:cs="Times New Roman"/>
      </w:rPr>
    </w:lvl>
    <w:lvl w:ilvl="8">
      <w:start w:val="1"/>
      <w:numFmt w:val="lowerRoman"/>
      <w:isLgl w:val="false"/>
      <w:suff w:val="tab"/>
      <w:lvlText w:val="%9."/>
      <w:lvlJc w:val="right"/>
      <w:pPr>
        <w:pStyle w:val="681"/>
        <w:ind w:left="3780" w:hanging="420"/>
        <w:tabs>
          <w:tab w:val="num" w:pos="3780" w:leader="none"/>
        </w:tabs>
      </w:pPr>
      <w:rPr>
        <w:rFonts w:cs="Times New Roman"/>
      </w:rPr>
    </w:lvl>
  </w:abstractNum>
  <w:abstractNum w:abstractNumId="8">
    <w:multiLevelType w:val="hybridMultilevel"/>
    <w:lvl w:ilvl="0">
      <w:start w:val="1"/>
      <w:numFmt w:val="bullet"/>
      <w:pStyle w:val="1042"/>
      <w:isLgl w:val="false"/>
      <w:suff w:val="tab"/>
      <w:lvlText w:val=""/>
      <w:lvlJc w:val="left"/>
      <w:pPr>
        <w:pStyle w:val="681"/>
        <w:ind w:left="420" w:hanging="420"/>
        <w:tabs>
          <w:tab w:val="num" w:pos="420" w:leader="none"/>
        </w:tabs>
      </w:pPr>
      <w:rPr>
        <w:rFonts w:ascii="Wingdings" w:hAnsi="Wingdings"/>
      </w:rPr>
    </w:lvl>
    <w:lvl w:ilvl="1">
      <w:start w:val="1"/>
      <w:numFmt w:val="bullet"/>
      <w:isLgl w:val="false"/>
      <w:suff w:val="tab"/>
      <w:lvlText w:val=""/>
      <w:lvlJc w:val="left"/>
      <w:pPr>
        <w:pStyle w:val="681"/>
        <w:ind w:left="3165" w:hanging="420"/>
        <w:tabs>
          <w:tab w:val="num" w:pos="3165" w:leader="none"/>
        </w:tabs>
      </w:pPr>
      <w:rPr>
        <w:rFonts w:ascii="Wingdings" w:hAnsi="Wingdings"/>
      </w:rPr>
    </w:lvl>
    <w:lvl w:ilvl="2">
      <w:start w:val="1"/>
      <w:numFmt w:val="bullet"/>
      <w:isLgl w:val="false"/>
      <w:suff w:val="tab"/>
      <w:lvlText w:val=""/>
      <w:lvlJc w:val="left"/>
      <w:pPr>
        <w:pStyle w:val="681"/>
        <w:ind w:left="3585" w:hanging="420"/>
        <w:tabs>
          <w:tab w:val="num" w:pos="3585" w:leader="none"/>
        </w:tabs>
      </w:pPr>
      <w:rPr>
        <w:rFonts w:ascii="Wingdings" w:hAnsi="Wingdings"/>
      </w:rPr>
    </w:lvl>
    <w:lvl w:ilvl="3">
      <w:start w:val="1"/>
      <w:numFmt w:val="bullet"/>
      <w:isLgl w:val="false"/>
      <w:suff w:val="tab"/>
      <w:lvlText w:val=""/>
      <w:lvlJc w:val="left"/>
      <w:pPr>
        <w:pStyle w:val="681"/>
        <w:ind w:left="4005" w:hanging="420"/>
        <w:tabs>
          <w:tab w:val="num" w:pos="4005" w:leader="none"/>
        </w:tabs>
      </w:pPr>
      <w:rPr>
        <w:rFonts w:ascii="Wingdings" w:hAnsi="Wingdings"/>
      </w:rPr>
    </w:lvl>
    <w:lvl w:ilvl="4">
      <w:start w:val="1"/>
      <w:numFmt w:val="bullet"/>
      <w:isLgl w:val="false"/>
      <w:suff w:val="tab"/>
      <w:lvlText w:val=""/>
      <w:lvlJc w:val="left"/>
      <w:pPr>
        <w:pStyle w:val="681"/>
        <w:ind w:left="4425" w:hanging="420"/>
        <w:tabs>
          <w:tab w:val="num" w:pos="4425" w:leader="none"/>
        </w:tabs>
      </w:pPr>
      <w:rPr>
        <w:rFonts w:ascii="Wingdings" w:hAnsi="Wingdings"/>
      </w:rPr>
    </w:lvl>
    <w:lvl w:ilvl="5">
      <w:start w:val="1"/>
      <w:numFmt w:val="bullet"/>
      <w:isLgl w:val="false"/>
      <w:suff w:val="tab"/>
      <w:lvlText w:val=""/>
      <w:lvlJc w:val="left"/>
      <w:pPr>
        <w:pStyle w:val="681"/>
        <w:ind w:left="4845" w:hanging="420"/>
        <w:tabs>
          <w:tab w:val="num" w:pos="4845" w:leader="none"/>
        </w:tabs>
      </w:pPr>
      <w:rPr>
        <w:rFonts w:ascii="Wingdings" w:hAnsi="Wingdings"/>
      </w:rPr>
    </w:lvl>
    <w:lvl w:ilvl="6">
      <w:start w:val="1"/>
      <w:numFmt w:val="bullet"/>
      <w:isLgl w:val="false"/>
      <w:suff w:val="tab"/>
      <w:lvlText w:val=""/>
      <w:lvlJc w:val="left"/>
      <w:pPr>
        <w:pStyle w:val="681"/>
        <w:ind w:left="5265" w:hanging="420"/>
        <w:tabs>
          <w:tab w:val="num" w:pos="5265" w:leader="none"/>
        </w:tabs>
      </w:pPr>
      <w:rPr>
        <w:rFonts w:ascii="Wingdings" w:hAnsi="Wingdings"/>
      </w:rPr>
    </w:lvl>
    <w:lvl w:ilvl="7">
      <w:start w:val="1"/>
      <w:numFmt w:val="bullet"/>
      <w:isLgl w:val="false"/>
      <w:suff w:val="tab"/>
      <w:lvlText w:val=""/>
      <w:lvlJc w:val="left"/>
      <w:pPr>
        <w:pStyle w:val="681"/>
        <w:ind w:left="5685" w:hanging="420"/>
        <w:tabs>
          <w:tab w:val="num" w:pos="5685" w:leader="none"/>
        </w:tabs>
      </w:pPr>
      <w:rPr>
        <w:rFonts w:ascii="Wingdings" w:hAnsi="Wingdings"/>
      </w:rPr>
    </w:lvl>
    <w:lvl w:ilvl="8">
      <w:start w:val="1"/>
      <w:numFmt w:val="bullet"/>
      <w:isLgl w:val="false"/>
      <w:suff w:val="tab"/>
      <w:lvlText w:val=""/>
      <w:lvlJc w:val="left"/>
      <w:pPr>
        <w:pStyle w:val="681"/>
        <w:ind w:left="6105" w:hanging="420"/>
        <w:tabs>
          <w:tab w:val="num" w:pos="6105" w:leader="none"/>
        </w:tabs>
      </w:pPr>
      <w:rPr>
        <w:rFonts w:ascii="Wingdings" w:hAnsi="Wingdings"/>
      </w:rPr>
    </w:lvl>
  </w:abstractNum>
  <w:abstractNum w:abstractNumId="9">
    <w:multiLevelType w:val="hybridMultilevel"/>
    <w:lvl w:ilvl="0">
      <w:start w:val="1"/>
      <w:numFmt w:val="chineseCounting"/>
      <w:isLgl w:val="false"/>
      <w:suff w:val="space"/>
      <w:lvlText w:val="第%1部分"/>
      <w:lvlJc w:val="left"/>
      <w:pPr>
        <w:pStyle w:val="6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14"/>
      <w:isLgl w:val="false"/>
      <w:suff w:val="tab"/>
      <w:lvlText w:val="%1."/>
      <w:lvlJc w:val="left"/>
      <w:pPr>
        <w:pStyle w:val="681"/>
        <w:ind w:left="709" w:hanging="709"/>
        <w:tabs>
          <w:tab w:val="num" w:pos="709" w:leader="none"/>
        </w:tabs>
      </w:pPr>
      <w:rPr>
        <w:rFonts w:hint="eastAsia"/>
      </w:rPr>
    </w:lvl>
    <w:lvl w:ilvl="1">
      <w:start w:val="0"/>
      <w:numFmt w:val="decimal"/>
      <w:isLgl w:val="false"/>
      <w:suff w:val="tab"/>
      <w:lvlText w:val=""/>
      <w:lvlJc w:val="left"/>
      <w:pPr>
        <w:pStyle w:val="681"/>
        <w:tabs>
          <w:tab w:val="num" w:pos="360" w:leader="none"/>
        </w:tabs>
      </w:pPr>
    </w:lvl>
    <w:lvl w:ilvl="2">
      <w:start w:val="0"/>
      <w:numFmt w:val="decimal"/>
      <w:isLgl w:val="false"/>
      <w:suff w:val="tab"/>
      <w:lvlText w:val=""/>
      <w:lvlJc w:val="left"/>
      <w:pPr>
        <w:pStyle w:val="681"/>
        <w:tabs>
          <w:tab w:val="num" w:pos="360" w:leader="none"/>
        </w:tabs>
      </w:pPr>
    </w:lvl>
    <w:lvl w:ilvl="3">
      <w:start w:val="0"/>
      <w:numFmt w:val="decimal"/>
      <w:isLgl w:val="false"/>
      <w:suff w:val="tab"/>
      <w:lvlText w:val=""/>
      <w:lvlJc w:val="left"/>
      <w:pPr>
        <w:pStyle w:val="681"/>
        <w:tabs>
          <w:tab w:val="num" w:pos="360" w:leader="none"/>
        </w:tabs>
      </w:pPr>
    </w:lvl>
    <w:lvl w:ilvl="4">
      <w:start w:val="0"/>
      <w:numFmt w:val="decimal"/>
      <w:isLgl w:val="false"/>
      <w:suff w:val="tab"/>
      <w:lvlText w:val=""/>
      <w:lvlJc w:val="left"/>
      <w:pPr>
        <w:pStyle w:val="681"/>
        <w:tabs>
          <w:tab w:val="num" w:pos="360" w:leader="none"/>
        </w:tabs>
      </w:pPr>
    </w:lvl>
    <w:lvl w:ilvl="5">
      <w:start w:val="0"/>
      <w:numFmt w:val="decimal"/>
      <w:isLgl w:val="false"/>
      <w:suff w:val="tab"/>
      <w:lvlText w:val=""/>
      <w:lvlJc w:val="left"/>
      <w:pPr>
        <w:pStyle w:val="681"/>
        <w:tabs>
          <w:tab w:val="num" w:pos="360" w:leader="none"/>
        </w:tabs>
      </w:pPr>
    </w:lvl>
    <w:lvl w:ilvl="6">
      <w:start w:val="0"/>
      <w:numFmt w:val="decimal"/>
      <w:isLgl w:val="false"/>
      <w:suff w:val="tab"/>
      <w:lvlText w:val=""/>
      <w:lvlJc w:val="left"/>
      <w:pPr>
        <w:pStyle w:val="681"/>
        <w:tabs>
          <w:tab w:val="num" w:pos="360" w:leader="none"/>
        </w:tabs>
      </w:pPr>
    </w:lvl>
    <w:lvl w:ilvl="7">
      <w:start w:val="0"/>
      <w:numFmt w:val="decimal"/>
      <w:isLgl w:val="false"/>
      <w:suff w:val="tab"/>
      <w:lvlText w:val=""/>
      <w:lvlJc w:val="left"/>
      <w:pPr>
        <w:pStyle w:val="681"/>
        <w:tabs>
          <w:tab w:val="num" w:pos="360" w:leader="none"/>
        </w:tabs>
      </w:pPr>
    </w:lvl>
    <w:lvl w:ilvl="8">
      <w:start w:val="0"/>
      <w:numFmt w:val="decimal"/>
      <w:isLgl w:val="false"/>
      <w:suff w:val="tab"/>
      <w:lvlText w:val=""/>
      <w:lvlJc w:val="left"/>
      <w:pPr>
        <w:pStyle w:val="681"/>
        <w:tabs>
          <w:tab w:val="num" w:pos="360" w:leader="none"/>
        </w:tabs>
      </w:pPr>
    </w:lvl>
  </w:abstractNum>
  <w:abstractNum w:abstractNumId="11">
    <w:multiLevelType w:val="hybridMultilevel"/>
    <w:lvl w:ilvl="0">
      <w:start w:val="1"/>
      <w:numFmt w:val="decimal"/>
      <w:isLgl w:val="false"/>
      <w:suff w:val="nothing"/>
      <w:lvlText w:val="（%1）"/>
      <w:lvlJc w:val="left"/>
      <w:pPr>
        <w:pStyle w:val="681"/>
      </w:p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abstractNum w:abstractNumId="12">
    <w:multiLevelType w:val="hybridMultilevel"/>
    <w:lvl w:ilvl="0">
      <w:start w:val="1"/>
      <w:numFmt w:val="upperLetter"/>
      <w:pStyle w:val="998"/>
      <w:isLgl w:val="false"/>
      <w:suff w:val="tab"/>
      <w:lvlText w:val="附录%1."/>
      <w:lvlJc w:val="left"/>
      <w:pPr>
        <w:pStyle w:val="681"/>
        <w:ind w:left="907" w:hanging="907"/>
        <w:tabs>
          <w:tab w:val="num" w:pos="907" w:leader="none"/>
        </w:tabs>
      </w:pPr>
      <w:rPr>
        <w:rFonts w:hint="eastAsia"/>
      </w:r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681"/>
      </w:p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abstractNum w:abstractNumId="14">
    <w:multiLevelType w:val="hybridMultilevel"/>
    <w:lvl w:ilvl="0">
      <w:start w:val="1"/>
      <w:numFmt w:val="chineseCountingThousand"/>
      <w:isLgl w:val="false"/>
      <w:suff w:val="nothing"/>
      <w:lvlText w:val="第%1章 "/>
      <w:lvlJc w:val="left"/>
      <w:pPr>
        <w:pStyle w:val="681"/>
        <w:ind w:left="0" w:firstLine="0"/>
      </w:pPr>
      <w:rPr>
        <w:rFonts w:hint="eastAsia"/>
      </w:rPr>
    </w:lvl>
    <w:lvl w:ilvl="1">
      <w:start w:val="1"/>
      <w:numFmt w:val="decimal"/>
      <w:isLgl w:val="false"/>
      <w:suff w:val="nothing"/>
      <w:lvlText w:val="%2、"/>
      <w:lvlJc w:val="left"/>
      <w:pPr>
        <w:pStyle w:val="681"/>
        <w:ind w:left="0" w:firstLine="0"/>
      </w:pPr>
      <w:rPr>
        <w:rFonts w:hint="eastAsia"/>
      </w:rPr>
    </w:lvl>
    <w:lvl w:ilvl="2">
      <w:start w:val="0"/>
      <w:numFmt w:val="decimal"/>
      <w:isLgl w:val="false"/>
      <w:suff w:val="tab"/>
      <w:lvlText w:val=""/>
      <w:lvlJc w:val="left"/>
      <w:pPr>
        <w:pStyle w:val="681"/>
        <w:tabs>
          <w:tab w:val="num" w:pos="360" w:leader="none"/>
        </w:tabs>
      </w:pPr>
    </w:lvl>
    <w:lvl w:ilvl="3">
      <w:start w:val="0"/>
      <w:numFmt w:val="decimal"/>
      <w:isLgl w:val="false"/>
      <w:suff w:val="tab"/>
      <w:lvlText w:val=""/>
      <w:lvlJc w:val="left"/>
      <w:pPr>
        <w:pStyle w:val="681"/>
        <w:tabs>
          <w:tab w:val="num" w:pos="360" w:leader="none"/>
        </w:tabs>
      </w:pPr>
    </w:lvl>
    <w:lvl w:ilvl="4">
      <w:start w:val="0"/>
      <w:numFmt w:val="decimal"/>
      <w:isLgl w:val="false"/>
      <w:suff w:val="tab"/>
      <w:lvlText w:val=""/>
      <w:lvlJc w:val="left"/>
      <w:pPr>
        <w:pStyle w:val="681"/>
        <w:tabs>
          <w:tab w:val="num" w:pos="360" w:leader="none"/>
        </w:tabs>
      </w:pPr>
    </w:lvl>
    <w:lvl w:ilvl="5">
      <w:start w:val="1"/>
      <w:numFmt w:val="decimal"/>
      <w:pStyle w:val="788"/>
      <w:isLgl w:val="false"/>
      <w:suff w:val="nothing"/>
      <w:lvlText w:val=""/>
      <w:lvlJc w:val="left"/>
      <w:pPr>
        <w:pStyle w:val="681"/>
        <w:ind w:left="0" w:firstLine="0"/>
      </w:pPr>
      <w:rPr>
        <w:rFonts w:hint="eastAsia"/>
      </w:rPr>
    </w:lvl>
    <w:lvl w:ilvl="6">
      <w:start w:val="1"/>
      <w:numFmt w:val="decimal"/>
      <w:pStyle w:val="790"/>
      <w:isLgl w:val="false"/>
      <w:suff w:val="nothing"/>
      <w:lvlText w:val=""/>
      <w:lvlJc w:val="left"/>
      <w:pPr>
        <w:pStyle w:val="681"/>
        <w:ind w:left="0" w:firstLine="0"/>
      </w:pPr>
      <w:rPr>
        <w:rFonts w:hint="eastAsia"/>
      </w:rPr>
    </w:lvl>
    <w:lvl w:ilvl="7">
      <w:start w:val="1"/>
      <w:numFmt w:val="decimal"/>
      <w:pStyle w:val="792"/>
      <w:isLgl w:val="false"/>
      <w:suff w:val="nothing"/>
      <w:lvlText w:val=""/>
      <w:lvlJc w:val="left"/>
      <w:pPr>
        <w:pStyle w:val="681"/>
        <w:ind w:left="0" w:firstLine="0"/>
      </w:pPr>
      <w:rPr>
        <w:rFonts w:hint="eastAsia"/>
      </w:rPr>
    </w:lvl>
    <w:lvl w:ilvl="8">
      <w:start w:val="1"/>
      <w:numFmt w:val="decimal"/>
      <w:pStyle w:val="794"/>
      <w:isLgl w:val="false"/>
      <w:suff w:val="nothing"/>
      <w:lvlText w:val=""/>
      <w:lvlJc w:val="left"/>
      <w:pPr>
        <w:pStyle w:val="681"/>
        <w:ind w:left="0" w:firstLine="0"/>
      </w:pPr>
      <w:rPr>
        <w:rFonts w:hint="eastAsia"/>
      </w:rPr>
    </w:lvl>
  </w:abstractNum>
  <w:abstractNum w:abstractNumId="15">
    <w:multiLevelType w:val="hybridMultilevel"/>
    <w:lvl w:ilvl="0">
      <w:start w:val="1"/>
      <w:numFmt w:val="japaneseCounting"/>
      <w:isLgl w:val="false"/>
      <w:suff w:val="tab"/>
      <w:lvlText w:val="第%1章"/>
      <w:lvlJc w:val="left"/>
      <w:pPr>
        <w:pStyle w:val="68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abstractNum w:abstractNumId="16">
    <w:multiLevelType w:val="hybridMultilevel"/>
    <w:lvl w:ilvl="0">
      <w:start w:val="1"/>
      <w:numFmt w:val="decimal"/>
      <w:isLgl w:val="false"/>
      <w:suff w:val="space"/>
      <w:lvlText w:val="%1、"/>
      <w:lvlJc w:val="left"/>
      <w:pPr>
        <w:pStyle w:val="6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681"/>
      </w:p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num w:numId="1">
    <w:abstractNumId w:val="14"/>
  </w:num>
  <w:num w:numId="2">
    <w:abstractNumId w:val="12"/>
  </w:num>
  <w:num w:numId="3">
    <w:abstractNumId w:val="10"/>
  </w:num>
  <w:num w:numId="4">
    <w:abstractNumId w:val="8"/>
  </w:num>
  <w:num w:numId="5">
    <w:abstractNumId w:val="15"/>
  </w:num>
  <w:num w:numId="6">
    <w:abstractNumId w:val="3"/>
  </w:num>
  <w:num w:numId="7">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5"/>
  </w:num>
  <w:num w:numId="10">
    <w:abstractNumId w:val="0"/>
  </w:num>
  <w:num w:numId="11">
    <w:abstractNumId w:val="2"/>
  </w:num>
  <w:num w:numId="12">
    <w:abstractNumId w:val="16"/>
  </w:num>
  <w:num w:numId="13">
    <w:abstractNumId w:val="4"/>
  </w:num>
  <w:num w:numId="14">
    <w:abstractNumId w:val="1"/>
  </w:num>
  <w:num w:numId="15">
    <w:abstractNumId w:val="17"/>
  </w:num>
  <w:num w:numId="16">
    <w:abstractNumId w:val="11"/>
  </w:num>
  <w:num w:numId="17">
    <w:abstractNumId w:val="1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8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1"/>
    <w:next w:val="681"/>
    <w:link w:val="743"/>
    <w:uiPriority w:val="10"/>
    <w:qFormat/>
    <w:pPr>
      <w:contextualSpacing/>
      <w:spacing w:before="300" w:after="200"/>
    </w:pPr>
    <w:rPr>
      <w:sz w:val="48"/>
      <w:szCs w:val="48"/>
    </w:rPr>
  </w:style>
  <w:style w:type="paragraph" w:styleId="35">
    <w:name w:val="Subtitle"/>
    <w:basedOn w:val="681"/>
    <w:next w:val="681"/>
    <w:link w:val="744"/>
    <w:uiPriority w:val="11"/>
    <w:qFormat/>
    <w:pPr>
      <w:spacing w:before="200" w:after="200"/>
    </w:pPr>
    <w:rPr>
      <w:sz w:val="24"/>
      <w:szCs w:val="24"/>
    </w:rPr>
  </w:style>
  <w:style w:type="paragraph" w:styleId="37">
    <w:name w:val="Quote"/>
    <w:basedOn w:val="681"/>
    <w:next w:val="681"/>
    <w:link w:val="745"/>
    <w:uiPriority w:val="29"/>
    <w:qFormat/>
    <w:pPr>
      <w:ind w:left="720" w:right="720"/>
    </w:pPr>
    <w:rPr>
      <w:i/>
    </w:rPr>
  </w:style>
  <w:style w:type="paragraph" w:styleId="39">
    <w:name w:val="Intense Quote"/>
    <w:basedOn w:val="681"/>
    <w:next w:val="681"/>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81"/>
    <w:link w:val="865"/>
    <w:uiPriority w:val="99"/>
    <w:unhideWhenUsed/>
    <w:pPr>
      <w:spacing w:after="0" w:line="240" w:lineRule="auto"/>
      <w:tabs>
        <w:tab w:val="center" w:pos="7143" w:leader="none"/>
        <w:tab w:val="right" w:pos="14287" w:leader="none"/>
      </w:tabs>
    </w:pPr>
  </w:style>
  <w:style w:type="paragraph" w:styleId="43">
    <w:name w:val="Footer"/>
    <w:basedOn w:val="681"/>
    <w:link w:val="867"/>
    <w:uiPriority w:val="99"/>
    <w:unhideWhenUsed/>
    <w:pPr>
      <w:spacing w:after="0" w:line="240" w:lineRule="auto"/>
      <w:tabs>
        <w:tab w:val="center" w:pos="7143" w:leader="none"/>
        <w:tab w:val="right" w:pos="14287" w:leader="none"/>
      </w:tabs>
    </w:pPr>
  </w:style>
  <w:style w:type="paragraph" w:styleId="45">
    <w:name w:val="Caption"/>
    <w:basedOn w:val="681"/>
    <w:next w:val="68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81"/>
    <w:link w:val="74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81"/>
    <w:link w:val="74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81"/>
    <w:next w:val="681"/>
    <w:uiPriority w:val="39"/>
    <w:unhideWhenUsed/>
    <w:pPr>
      <w:ind w:left="0" w:right="0" w:firstLine="0"/>
      <w:spacing w:after="57"/>
    </w:pPr>
  </w:style>
  <w:style w:type="paragraph" w:styleId="181">
    <w:name w:val="toc 2"/>
    <w:basedOn w:val="681"/>
    <w:next w:val="681"/>
    <w:uiPriority w:val="39"/>
    <w:unhideWhenUsed/>
    <w:pPr>
      <w:ind w:left="283" w:right="0" w:firstLine="0"/>
      <w:spacing w:after="57"/>
    </w:pPr>
  </w:style>
  <w:style w:type="paragraph" w:styleId="182">
    <w:name w:val="toc 3"/>
    <w:basedOn w:val="681"/>
    <w:next w:val="681"/>
    <w:uiPriority w:val="39"/>
    <w:unhideWhenUsed/>
    <w:pPr>
      <w:ind w:left="567" w:right="0" w:firstLine="0"/>
      <w:spacing w:after="57"/>
    </w:pPr>
  </w:style>
  <w:style w:type="paragraph" w:styleId="183">
    <w:name w:val="toc 4"/>
    <w:basedOn w:val="681"/>
    <w:next w:val="681"/>
    <w:uiPriority w:val="39"/>
    <w:unhideWhenUsed/>
    <w:pPr>
      <w:ind w:left="850" w:right="0" w:firstLine="0"/>
      <w:spacing w:after="57"/>
    </w:pPr>
  </w:style>
  <w:style w:type="paragraph" w:styleId="184">
    <w:name w:val="toc 5"/>
    <w:basedOn w:val="681"/>
    <w:next w:val="681"/>
    <w:uiPriority w:val="39"/>
    <w:unhideWhenUsed/>
    <w:pPr>
      <w:ind w:left="1134" w:right="0" w:firstLine="0"/>
      <w:spacing w:after="57"/>
    </w:pPr>
  </w:style>
  <w:style w:type="paragraph" w:styleId="185">
    <w:name w:val="toc 6"/>
    <w:basedOn w:val="681"/>
    <w:next w:val="681"/>
    <w:uiPriority w:val="39"/>
    <w:unhideWhenUsed/>
    <w:pPr>
      <w:ind w:left="1417" w:right="0" w:firstLine="0"/>
      <w:spacing w:after="57"/>
    </w:pPr>
  </w:style>
  <w:style w:type="paragraph" w:styleId="186">
    <w:name w:val="toc 7"/>
    <w:basedOn w:val="681"/>
    <w:next w:val="681"/>
    <w:uiPriority w:val="39"/>
    <w:unhideWhenUsed/>
    <w:pPr>
      <w:ind w:left="1701" w:right="0" w:firstLine="0"/>
      <w:spacing w:after="57"/>
    </w:pPr>
  </w:style>
  <w:style w:type="paragraph" w:styleId="187">
    <w:name w:val="toc 8"/>
    <w:basedOn w:val="681"/>
    <w:next w:val="681"/>
    <w:uiPriority w:val="39"/>
    <w:unhideWhenUsed/>
    <w:pPr>
      <w:ind w:left="1984" w:right="0" w:firstLine="0"/>
      <w:spacing w:after="57"/>
    </w:pPr>
  </w:style>
  <w:style w:type="paragraph" w:styleId="188">
    <w:name w:val="toc 9"/>
    <w:basedOn w:val="681"/>
    <w:next w:val="6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1"/>
    <w:next w:val="681"/>
    <w:uiPriority w:val="99"/>
    <w:unhideWhenUsed/>
    <w:pPr>
      <w:spacing w:after="0" w:afterAutospacing="0"/>
    </w:pPr>
  </w:style>
  <w:style w:type="paragraph" w:styleId="681" w:default="1">
    <w:name w:val="Normal"/>
    <w:next w:val="681"/>
    <w:link w:val="681"/>
    <w:qFormat/>
    <w:pPr>
      <w:jc w:val="both"/>
      <w:widowControl w:val="off"/>
    </w:pPr>
    <w:rPr>
      <w:sz w:val="21"/>
      <w:szCs w:val="21"/>
      <w:lang w:val="en-US" w:eastAsia="zh-CN" w:bidi="ar-SA"/>
    </w:rPr>
  </w:style>
  <w:style w:type="paragraph" w:styleId="682">
    <w:name w:val="标题 1"/>
    <w:basedOn w:val="681"/>
    <w:next w:val="681"/>
    <w:link w:val="681"/>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683">
    <w:name w:val="标题 3"/>
    <w:basedOn w:val="681"/>
    <w:next w:val="681"/>
    <w:link w:val="681"/>
    <w:uiPriority w:val="9"/>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684">
    <w:name w:val="默认段落字体"/>
    <w:next w:val="684"/>
    <w:link w:val="681"/>
    <w:uiPriority w:val="1"/>
    <w:unhideWhenUsed/>
    <w:qFormat/>
  </w:style>
  <w:style w:type="table" w:styleId="685">
    <w:name w:val="普通表格"/>
    <w:next w:val="685"/>
    <w:link w:val="681"/>
    <w:uiPriority w:val="99"/>
    <w:unhideWhenUsed/>
    <w:qFormat/>
    <w:tblPr/>
  </w:style>
  <w:style w:type="paragraph" w:styleId="686">
    <w:name w:val="目录 7"/>
    <w:basedOn w:val="681"/>
    <w:next w:val="681"/>
    <w:link w:val="681"/>
    <w:uiPriority w:val="39"/>
    <w:unhideWhenUsed/>
    <w:qFormat/>
    <w:pPr>
      <w:ind w:left="1701"/>
      <w:spacing w:after="57"/>
    </w:pPr>
  </w:style>
  <w:style w:type="paragraph" w:styleId="687">
    <w:name w:val="批注文字"/>
    <w:basedOn w:val="681"/>
    <w:next w:val="687"/>
    <w:link w:val="688"/>
    <w:uiPriority w:val="99"/>
    <w:unhideWhenUsed/>
    <w:qFormat/>
    <w:pPr>
      <w:jc w:val="left"/>
    </w:pPr>
  </w:style>
  <w:style w:type="character" w:styleId="688">
    <w:name w:val="批注文字 Char1"/>
    <w:next w:val="688"/>
    <w:link w:val="687"/>
    <w:uiPriority w:val="99"/>
    <w:semiHidden/>
    <w:qFormat/>
    <w:rPr>
      <w:sz w:val="21"/>
      <w:szCs w:val="21"/>
    </w:rPr>
  </w:style>
  <w:style w:type="paragraph" w:styleId="689">
    <w:name w:val="正文文本"/>
    <w:basedOn w:val="681"/>
    <w:next w:val="689"/>
    <w:link w:val="681"/>
    <w:qFormat/>
    <w:pPr>
      <w:spacing w:after="120"/>
    </w:pPr>
  </w:style>
  <w:style w:type="paragraph" w:styleId="690">
    <w:name w:val="正文文本缩进"/>
    <w:basedOn w:val="681"/>
    <w:next w:val="681"/>
    <w:link w:val="681"/>
    <w:uiPriority w:val="99"/>
    <w:qFormat/>
    <w:pPr>
      <w:ind w:firstLine="576"/>
    </w:pPr>
    <w:rPr>
      <w:sz w:val="20"/>
    </w:rPr>
  </w:style>
  <w:style w:type="paragraph" w:styleId="691">
    <w:name w:val="索引 4"/>
    <w:basedOn w:val="681"/>
    <w:next w:val="681"/>
    <w:link w:val="681"/>
    <w:uiPriority w:val="99"/>
    <w:qFormat/>
    <w:pPr>
      <w:ind w:left="600"/>
    </w:pPr>
    <w:rPr>
      <w:szCs w:val="24"/>
    </w:rPr>
  </w:style>
  <w:style w:type="paragraph" w:styleId="692">
    <w:name w:val="目录 5"/>
    <w:basedOn w:val="681"/>
    <w:next w:val="681"/>
    <w:link w:val="681"/>
    <w:uiPriority w:val="39"/>
    <w:unhideWhenUsed/>
    <w:qFormat/>
    <w:pPr>
      <w:ind w:left="1134"/>
      <w:spacing w:after="57"/>
    </w:pPr>
  </w:style>
  <w:style w:type="paragraph" w:styleId="693">
    <w:name w:val="目录 3"/>
    <w:basedOn w:val="681"/>
    <w:next w:val="681"/>
    <w:link w:val="681"/>
    <w:uiPriority w:val="39"/>
    <w:unhideWhenUsed/>
    <w:qFormat/>
    <w:pPr>
      <w:ind w:left="567"/>
      <w:spacing w:after="57"/>
    </w:pPr>
  </w:style>
  <w:style w:type="paragraph" w:styleId="694">
    <w:name w:val="目录 8"/>
    <w:basedOn w:val="681"/>
    <w:next w:val="681"/>
    <w:link w:val="681"/>
    <w:uiPriority w:val="39"/>
    <w:unhideWhenUsed/>
    <w:qFormat/>
    <w:pPr>
      <w:ind w:left="1984"/>
      <w:spacing w:after="57"/>
    </w:pPr>
  </w:style>
  <w:style w:type="paragraph" w:styleId="695">
    <w:name w:val="尾注文本"/>
    <w:basedOn w:val="681"/>
    <w:next w:val="695"/>
    <w:link w:val="696"/>
    <w:uiPriority w:val="99"/>
    <w:unhideWhenUsed/>
    <w:qFormat/>
    <w:rPr>
      <w:sz w:val="20"/>
    </w:rPr>
  </w:style>
  <w:style w:type="character" w:styleId="696">
    <w:name w:val="尾注文本 Char1"/>
    <w:next w:val="696"/>
    <w:link w:val="695"/>
    <w:uiPriority w:val="99"/>
    <w:qFormat/>
    <w:rPr>
      <w:sz w:val="20"/>
    </w:rPr>
  </w:style>
  <w:style w:type="paragraph" w:styleId="697">
    <w:name w:val="批注框文本"/>
    <w:basedOn w:val="681"/>
    <w:next w:val="697"/>
    <w:link w:val="698"/>
    <w:uiPriority w:val="99"/>
    <w:unhideWhenUsed/>
    <w:qFormat/>
    <w:rPr>
      <w:sz w:val="18"/>
      <w:szCs w:val="18"/>
    </w:rPr>
  </w:style>
  <w:style w:type="character" w:styleId="698">
    <w:name w:val="批注框文本 Char1"/>
    <w:next w:val="698"/>
    <w:link w:val="697"/>
    <w:uiPriority w:val="99"/>
    <w:semiHidden/>
    <w:qFormat/>
    <w:rPr>
      <w:sz w:val="18"/>
      <w:szCs w:val="18"/>
    </w:rPr>
  </w:style>
  <w:style w:type="paragraph" w:styleId="699">
    <w:name w:val="页脚"/>
    <w:basedOn w:val="681"/>
    <w:next w:val="699"/>
    <w:link w:val="700"/>
    <w:uiPriority w:val="99"/>
    <w:unhideWhenUsed/>
    <w:pPr>
      <w:jc w:val="left"/>
      <w:tabs>
        <w:tab w:val="center" w:pos="4153" w:leader="none"/>
        <w:tab w:val="right" w:pos="8306" w:leader="none"/>
      </w:tabs>
    </w:pPr>
    <w:rPr>
      <w:sz w:val="18"/>
      <w:szCs w:val="18"/>
    </w:rPr>
  </w:style>
  <w:style w:type="character" w:styleId="700">
    <w:name w:val="页脚 Char1"/>
    <w:next w:val="700"/>
    <w:link w:val="699"/>
    <w:uiPriority w:val="99"/>
    <w:rPr>
      <w:sz w:val="18"/>
      <w:szCs w:val="18"/>
    </w:rPr>
  </w:style>
  <w:style w:type="paragraph" w:styleId="701">
    <w:name w:val="页眉"/>
    <w:basedOn w:val="681"/>
    <w:next w:val="701"/>
    <w:link w:val="702"/>
    <w:uiPriority w:val="99"/>
    <w:unhideWhenUsed/>
    <w:pPr>
      <w:jc w:val="center"/>
      <w:tabs>
        <w:tab w:val="center" w:pos="4153" w:leader="none"/>
        <w:tab w:val="right" w:pos="8306" w:leader="none"/>
      </w:tabs>
      <w:pBdr>
        <w:bottom w:val="single" w:color="000000" w:sz="6" w:space="1"/>
      </w:pBdr>
    </w:pPr>
    <w:rPr>
      <w:sz w:val="18"/>
      <w:szCs w:val="18"/>
    </w:rPr>
  </w:style>
  <w:style w:type="character" w:styleId="702">
    <w:name w:val="页眉 Char1"/>
    <w:next w:val="702"/>
    <w:link w:val="701"/>
    <w:uiPriority w:val="99"/>
    <w:rPr>
      <w:sz w:val="18"/>
      <w:szCs w:val="18"/>
    </w:rPr>
  </w:style>
  <w:style w:type="paragraph" w:styleId="703">
    <w:name w:val="目录 1"/>
    <w:basedOn w:val="681"/>
    <w:next w:val="681"/>
    <w:link w:val="681"/>
    <w:uiPriority w:val="39"/>
    <w:unhideWhenUsed/>
    <w:qFormat/>
    <w:pPr>
      <w:spacing w:after="57"/>
    </w:pPr>
  </w:style>
  <w:style w:type="paragraph" w:styleId="704">
    <w:name w:val="目录 4"/>
    <w:basedOn w:val="681"/>
    <w:next w:val="681"/>
    <w:link w:val="681"/>
    <w:uiPriority w:val="39"/>
    <w:unhideWhenUsed/>
    <w:qFormat/>
    <w:pPr>
      <w:ind w:left="850"/>
      <w:spacing w:after="57"/>
    </w:pPr>
  </w:style>
  <w:style w:type="paragraph" w:styleId="705">
    <w:name w:val="副标题"/>
    <w:basedOn w:val="681"/>
    <w:next w:val="681"/>
    <w:link w:val="706"/>
    <w:uiPriority w:val="11"/>
    <w:qFormat/>
    <w:pPr>
      <w:spacing w:before="200" w:after="200"/>
    </w:pPr>
    <w:rPr>
      <w:sz w:val="24"/>
      <w:szCs w:val="24"/>
    </w:rPr>
  </w:style>
  <w:style w:type="character" w:styleId="706">
    <w:name w:val="副标题 Char1"/>
    <w:next w:val="706"/>
    <w:link w:val="705"/>
    <w:uiPriority w:val="11"/>
    <w:qFormat/>
    <w:rPr>
      <w:sz w:val="24"/>
      <w:szCs w:val="24"/>
    </w:rPr>
  </w:style>
  <w:style w:type="paragraph" w:styleId="707">
    <w:name w:val="脚注文本"/>
    <w:basedOn w:val="681"/>
    <w:next w:val="707"/>
    <w:link w:val="708"/>
    <w:uiPriority w:val="99"/>
    <w:unhideWhenUsed/>
    <w:qFormat/>
    <w:pPr>
      <w:spacing w:after="40"/>
    </w:pPr>
    <w:rPr>
      <w:sz w:val="18"/>
    </w:rPr>
  </w:style>
  <w:style w:type="character" w:styleId="708">
    <w:name w:val="脚注文本 Char1"/>
    <w:next w:val="708"/>
    <w:link w:val="707"/>
    <w:uiPriority w:val="99"/>
    <w:qFormat/>
    <w:rPr>
      <w:sz w:val="18"/>
    </w:rPr>
  </w:style>
  <w:style w:type="paragraph" w:styleId="709">
    <w:name w:val="目录 6"/>
    <w:basedOn w:val="681"/>
    <w:next w:val="681"/>
    <w:link w:val="681"/>
    <w:uiPriority w:val="39"/>
    <w:unhideWhenUsed/>
    <w:qFormat/>
    <w:pPr>
      <w:ind w:left="1417"/>
      <w:spacing w:after="57"/>
    </w:pPr>
  </w:style>
  <w:style w:type="paragraph" w:styleId="710">
    <w:name w:val="图表目录"/>
    <w:basedOn w:val="681"/>
    <w:next w:val="681"/>
    <w:link w:val="681"/>
    <w:uiPriority w:val="99"/>
    <w:unhideWhenUsed/>
    <w:qFormat/>
  </w:style>
  <w:style w:type="paragraph" w:styleId="711">
    <w:name w:val="目录 2"/>
    <w:basedOn w:val="681"/>
    <w:next w:val="681"/>
    <w:link w:val="681"/>
    <w:uiPriority w:val="39"/>
    <w:unhideWhenUsed/>
    <w:qFormat/>
    <w:pPr>
      <w:ind w:left="283"/>
      <w:spacing w:after="57"/>
    </w:pPr>
  </w:style>
  <w:style w:type="paragraph" w:styleId="712">
    <w:name w:val="目录 9"/>
    <w:basedOn w:val="681"/>
    <w:next w:val="681"/>
    <w:link w:val="681"/>
    <w:uiPriority w:val="39"/>
    <w:unhideWhenUsed/>
    <w:qFormat/>
    <w:pPr>
      <w:ind w:left="2268"/>
      <w:spacing w:after="57"/>
    </w:pPr>
  </w:style>
  <w:style w:type="paragraph" w:styleId="713">
    <w:name w:val="普通(网站)"/>
    <w:basedOn w:val="681"/>
    <w:next w:val="713"/>
    <w:link w:val="681"/>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14">
    <w:name w:val="标题"/>
    <w:basedOn w:val="681"/>
    <w:next w:val="681"/>
    <w:link w:val="715"/>
    <w:uiPriority w:val="10"/>
    <w:qFormat/>
    <w:pPr>
      <w:contextualSpacing/>
      <w:spacing w:before="300" w:after="200"/>
    </w:pPr>
    <w:rPr>
      <w:sz w:val="48"/>
      <w:szCs w:val="48"/>
    </w:rPr>
  </w:style>
  <w:style w:type="character" w:styleId="715">
    <w:name w:val="标题 Char1"/>
    <w:next w:val="715"/>
    <w:link w:val="714"/>
    <w:uiPriority w:val="10"/>
    <w:qFormat/>
    <w:rPr>
      <w:sz w:val="48"/>
      <w:szCs w:val="48"/>
    </w:rPr>
  </w:style>
  <w:style w:type="paragraph" w:styleId="716">
    <w:name w:val="批注主题"/>
    <w:basedOn w:val="687"/>
    <w:next w:val="687"/>
    <w:link w:val="717"/>
    <w:uiPriority w:val="99"/>
    <w:unhideWhenUsed/>
    <w:qFormat/>
    <w:rPr>
      <w:b/>
      <w:bCs/>
    </w:rPr>
  </w:style>
  <w:style w:type="character" w:styleId="717">
    <w:name w:val="批注主题 Char1"/>
    <w:next w:val="717"/>
    <w:link w:val="716"/>
    <w:uiPriority w:val="99"/>
    <w:semiHidden/>
    <w:qFormat/>
    <w:rPr>
      <w:b/>
      <w:bCs/>
      <w:sz w:val="21"/>
      <w:szCs w:val="21"/>
    </w:rPr>
  </w:style>
  <w:style w:type="paragraph" w:styleId="718">
    <w:name w:val="正文首行缩进 2"/>
    <w:next w:val="718"/>
    <w:link w:val="681"/>
    <w:uiPriority w:val="99"/>
    <w:unhideWhenUsed/>
    <w:qFormat/>
    <w:pPr>
      <w:ind w:firstLine="420"/>
      <w:jc w:val="both"/>
      <w:spacing w:line="360" w:lineRule="auto"/>
      <w:widowControl w:val="off"/>
    </w:pPr>
    <w:rPr>
      <w:rFonts w:ascii="宋体" w:hAnsi="宋体"/>
      <w:sz w:val="32"/>
      <w:szCs w:val="32"/>
      <w:lang w:val="en-US" w:eastAsia="zh-CN" w:bidi="ar-SA"/>
    </w:rPr>
  </w:style>
  <w:style w:type="table" w:styleId="719">
    <w:name w:val="网格型"/>
    <w:next w:val="719"/>
    <w:link w:val="681"/>
    <w:uiPriority w:val="59"/>
    <w:qFormat/>
    <w:rPr>
      <w:lang w:val="en-US" w:eastAsia="zh-CN" w:bidi="ar-SA"/>
    </w:rPr>
    <w:tblPr/>
  </w:style>
  <w:style w:type="character" w:styleId="720">
    <w:name w:val="要点"/>
    <w:next w:val="720"/>
    <w:link w:val="681"/>
    <w:uiPriority w:val="22"/>
    <w:qFormat/>
    <w:rPr>
      <w:b/>
    </w:rPr>
  </w:style>
  <w:style w:type="character" w:styleId="721">
    <w:name w:val="尾注引用"/>
    <w:next w:val="721"/>
    <w:link w:val="681"/>
    <w:uiPriority w:val="99"/>
    <w:unhideWhenUsed/>
    <w:qFormat/>
    <w:rPr>
      <w:vertAlign w:val="superscript"/>
    </w:rPr>
  </w:style>
  <w:style w:type="character" w:styleId="722">
    <w:name w:val="超链接"/>
    <w:next w:val="722"/>
    <w:link w:val="681"/>
    <w:uiPriority w:val="99"/>
    <w:unhideWhenUsed/>
    <w:qFormat/>
    <w:rPr>
      <w:color w:val="0000ff"/>
      <w:u w:val="single"/>
    </w:rPr>
  </w:style>
  <w:style w:type="character" w:styleId="723">
    <w:name w:val="批注引用"/>
    <w:next w:val="723"/>
    <w:link w:val="681"/>
    <w:uiPriority w:val="99"/>
    <w:unhideWhenUsed/>
    <w:qFormat/>
    <w:rPr>
      <w:sz w:val="21"/>
      <w:szCs w:val="21"/>
    </w:rPr>
  </w:style>
  <w:style w:type="character" w:styleId="724">
    <w:name w:val="脚注引用"/>
    <w:next w:val="724"/>
    <w:link w:val="681"/>
    <w:uiPriority w:val="99"/>
    <w:unhideWhenUsed/>
    <w:qFormat/>
    <w:rPr>
      <w:vertAlign w:val="superscript"/>
    </w:rPr>
  </w:style>
  <w:style w:type="paragraph" w:styleId="725">
    <w:name w:val="正文文本11"/>
    <w:basedOn w:val="681"/>
    <w:next w:val="725"/>
    <w:link w:val="681"/>
    <w:qFormat/>
    <w:rPr>
      <w:rFonts w:ascii="仿宋_GB2312" w:eastAsia="仿宋_GB2312"/>
      <w:sz w:val="28"/>
      <w:szCs w:val="20"/>
    </w:rPr>
  </w:style>
  <w:style w:type="paragraph" w:styleId="726">
    <w:name w:val="引文目录1"/>
    <w:basedOn w:val="681"/>
    <w:next w:val="681"/>
    <w:link w:val="681"/>
    <w:qFormat/>
    <w:pPr>
      <w:ind w:left="420" w:firstLine="883"/>
    </w:pPr>
    <w:rPr>
      <w:rFonts w:ascii="仿宋" w:hAnsi="仿宋" w:eastAsia="仿宋" w:cs="仿宋"/>
      <w:sz w:val="24"/>
      <w:szCs w:val="24"/>
    </w:rPr>
  </w:style>
  <w:style w:type="paragraph" w:styleId="727">
    <w:name w:val="正文首行缩进 21"/>
    <w:basedOn w:val="728"/>
    <w:next w:val="727"/>
    <w:link w:val="731"/>
    <w:qFormat/>
    <w:pPr>
      <w:ind w:firstLine="420"/>
      <w:spacing w:line="360" w:lineRule="auto"/>
    </w:pPr>
    <w:rPr>
      <w:rFonts w:ascii="宋体" w:hAnsi="宋体" w:eastAsia="宋体"/>
      <w:szCs w:val="20"/>
    </w:rPr>
  </w:style>
  <w:style w:type="paragraph" w:styleId="728">
    <w:name w:val="正文文本缩进1"/>
    <w:basedOn w:val="681"/>
    <w:next w:val="730"/>
    <w:link w:val="729"/>
    <w:qFormat/>
    <w:pPr>
      <w:ind w:firstLine="645"/>
    </w:pPr>
    <w:rPr>
      <w:rFonts w:ascii="楷体_GB2312" w:eastAsia="楷体_GB2312"/>
      <w:sz w:val="32"/>
      <w:szCs w:val="32"/>
    </w:rPr>
  </w:style>
  <w:style w:type="character" w:styleId="729">
    <w:name w:val="正文文本缩进 Char"/>
    <w:next w:val="729"/>
    <w:link w:val="728"/>
    <w:qFormat/>
    <w:rPr>
      <w:rFonts w:ascii="楷体_GB2312" w:hAnsi="Times New Roman" w:eastAsia="楷体_GB2312" w:cs="Times New Roman"/>
      <w:sz w:val="32"/>
      <w:szCs w:val="32"/>
    </w:rPr>
  </w:style>
  <w:style w:type="paragraph" w:styleId="730">
    <w:name w:val="寄信人地址1"/>
    <w:basedOn w:val="681"/>
    <w:next w:val="730"/>
    <w:link w:val="681"/>
    <w:uiPriority w:val="99"/>
    <w:unhideWhenUsed/>
    <w:qFormat/>
    <w:rPr>
      <w:rFonts w:hint="eastAsia" w:ascii="Arial" w:hAnsi="Arial"/>
      <w:sz w:val="24"/>
    </w:rPr>
  </w:style>
  <w:style w:type="character" w:styleId="731">
    <w:name w:val="正文首行缩进 2 Char"/>
    <w:next w:val="731"/>
    <w:link w:val="727"/>
    <w:qFormat/>
    <w:rPr>
      <w:rFonts w:ascii="宋体" w:hAnsi="宋体" w:eastAsia="宋体" w:cs="Times New Roman"/>
      <w:sz w:val="32"/>
      <w:szCs w:val="20"/>
    </w:rPr>
  </w:style>
  <w:style w:type="paragraph" w:styleId="732">
    <w:name w:val="Heading 4"/>
    <w:basedOn w:val="681"/>
    <w:next w:val="681"/>
    <w:link w:val="733"/>
    <w:uiPriority w:val="9"/>
    <w:unhideWhenUsed/>
    <w:qFormat/>
    <w:pPr>
      <w:keepLines/>
      <w:keepNext/>
      <w:spacing w:before="320" w:after="200"/>
      <w:outlineLvl w:val="3"/>
    </w:pPr>
    <w:rPr>
      <w:rFonts w:ascii="Arial" w:hAnsi="Arial" w:eastAsia="Arial"/>
      <w:b/>
      <w:bCs/>
      <w:sz w:val="26"/>
      <w:szCs w:val="26"/>
    </w:rPr>
  </w:style>
  <w:style w:type="character" w:styleId="733">
    <w:name w:val="标题 4 Char1"/>
    <w:next w:val="733"/>
    <w:link w:val="732"/>
    <w:uiPriority w:val="9"/>
    <w:qFormat/>
    <w:rPr>
      <w:rFonts w:ascii="Arial" w:hAnsi="Arial" w:eastAsia="Arial" w:cs="Arial"/>
      <w:b/>
      <w:bCs/>
      <w:sz w:val="26"/>
      <w:szCs w:val="26"/>
    </w:rPr>
  </w:style>
  <w:style w:type="character" w:styleId="734">
    <w:name w:val="Heading 1 Char"/>
    <w:next w:val="734"/>
    <w:link w:val="681"/>
    <w:uiPriority w:val="9"/>
    <w:rPr>
      <w:rFonts w:ascii="Arial" w:hAnsi="Arial" w:eastAsia="Arial" w:cs="Arial"/>
      <w:sz w:val="40"/>
      <w:szCs w:val="40"/>
    </w:rPr>
  </w:style>
  <w:style w:type="character" w:styleId="735">
    <w:name w:val="Heading 2 Char"/>
    <w:next w:val="735"/>
    <w:link w:val="681"/>
    <w:uiPriority w:val="9"/>
    <w:rPr>
      <w:rFonts w:ascii="Arial" w:hAnsi="Arial" w:eastAsia="Arial" w:cs="Arial"/>
      <w:sz w:val="34"/>
    </w:rPr>
  </w:style>
  <w:style w:type="character" w:styleId="736">
    <w:name w:val="Heading 3 Char"/>
    <w:next w:val="736"/>
    <w:link w:val="681"/>
    <w:uiPriority w:val="9"/>
    <w:rPr>
      <w:rFonts w:ascii="Arial" w:hAnsi="Arial" w:eastAsia="Arial" w:cs="Arial"/>
      <w:sz w:val="30"/>
      <w:szCs w:val="30"/>
    </w:rPr>
  </w:style>
  <w:style w:type="character" w:styleId="737">
    <w:name w:val="Heading 4 Char"/>
    <w:next w:val="737"/>
    <w:link w:val="681"/>
    <w:uiPriority w:val="9"/>
    <w:rPr>
      <w:rFonts w:ascii="Arial" w:hAnsi="Arial" w:eastAsia="Arial" w:cs="Arial"/>
      <w:b/>
      <w:bCs/>
      <w:sz w:val="26"/>
      <w:szCs w:val="26"/>
    </w:rPr>
  </w:style>
  <w:style w:type="character" w:styleId="738">
    <w:name w:val="Heading 5 Char"/>
    <w:next w:val="738"/>
    <w:link w:val="681"/>
    <w:uiPriority w:val="9"/>
    <w:rPr>
      <w:rFonts w:ascii="Arial" w:hAnsi="Arial" w:eastAsia="Arial" w:cs="Arial"/>
      <w:b/>
      <w:bCs/>
      <w:sz w:val="24"/>
      <w:szCs w:val="24"/>
    </w:rPr>
  </w:style>
  <w:style w:type="character" w:styleId="739">
    <w:name w:val="Heading 6 Char"/>
    <w:next w:val="739"/>
    <w:link w:val="681"/>
    <w:uiPriority w:val="9"/>
    <w:rPr>
      <w:rFonts w:ascii="Arial" w:hAnsi="Arial" w:eastAsia="Arial" w:cs="Arial"/>
      <w:b/>
      <w:bCs/>
      <w:sz w:val="22"/>
      <w:szCs w:val="22"/>
    </w:rPr>
  </w:style>
  <w:style w:type="character" w:styleId="740">
    <w:name w:val="Heading 7 Char"/>
    <w:next w:val="740"/>
    <w:link w:val="681"/>
    <w:uiPriority w:val="9"/>
    <w:rPr>
      <w:rFonts w:ascii="Arial" w:hAnsi="Arial" w:eastAsia="Arial" w:cs="Arial"/>
      <w:b/>
      <w:bCs/>
      <w:i/>
      <w:iCs/>
      <w:sz w:val="22"/>
      <w:szCs w:val="22"/>
    </w:rPr>
  </w:style>
  <w:style w:type="character" w:styleId="741">
    <w:name w:val="Heading 8 Char"/>
    <w:next w:val="741"/>
    <w:link w:val="681"/>
    <w:uiPriority w:val="9"/>
    <w:rPr>
      <w:rFonts w:ascii="Arial" w:hAnsi="Arial" w:eastAsia="Arial" w:cs="Arial"/>
      <w:i/>
      <w:iCs/>
      <w:sz w:val="22"/>
      <w:szCs w:val="22"/>
    </w:rPr>
  </w:style>
  <w:style w:type="character" w:styleId="742">
    <w:name w:val="Heading 9 Char"/>
    <w:next w:val="742"/>
    <w:link w:val="681"/>
    <w:uiPriority w:val="9"/>
    <w:rPr>
      <w:rFonts w:ascii="Arial" w:hAnsi="Arial" w:eastAsia="Arial" w:cs="Arial"/>
      <w:i/>
      <w:iCs/>
      <w:sz w:val="21"/>
      <w:szCs w:val="21"/>
    </w:rPr>
  </w:style>
  <w:style w:type="character" w:styleId="743">
    <w:name w:val="Title Char"/>
    <w:next w:val="743"/>
    <w:link w:val="681"/>
    <w:uiPriority w:val="10"/>
    <w:rPr>
      <w:sz w:val="48"/>
      <w:szCs w:val="48"/>
    </w:rPr>
  </w:style>
  <w:style w:type="character" w:styleId="744">
    <w:name w:val="Subtitle Char"/>
    <w:next w:val="744"/>
    <w:link w:val="681"/>
    <w:uiPriority w:val="11"/>
    <w:rPr>
      <w:sz w:val="24"/>
      <w:szCs w:val="24"/>
    </w:rPr>
  </w:style>
  <w:style w:type="character" w:styleId="745">
    <w:name w:val="Quote Char"/>
    <w:next w:val="745"/>
    <w:link w:val="681"/>
    <w:uiPriority w:val="29"/>
    <w:rPr>
      <w:i/>
    </w:rPr>
  </w:style>
  <w:style w:type="character" w:styleId="746">
    <w:name w:val="Intense Quote Char"/>
    <w:next w:val="746"/>
    <w:link w:val="681"/>
    <w:uiPriority w:val="30"/>
    <w:rPr>
      <w:i/>
    </w:rPr>
  </w:style>
  <w:style w:type="character" w:styleId="747">
    <w:name w:val="Footnote Text Char"/>
    <w:next w:val="747"/>
    <w:link w:val="681"/>
    <w:uiPriority w:val="99"/>
    <w:rPr>
      <w:sz w:val="18"/>
    </w:rPr>
  </w:style>
  <w:style w:type="character" w:styleId="748">
    <w:name w:val="Endnote Text Char"/>
    <w:next w:val="748"/>
    <w:link w:val="681"/>
    <w:uiPriority w:val="99"/>
    <w:rPr>
      <w:sz w:val="20"/>
    </w:rPr>
  </w:style>
  <w:style w:type="paragraph" w:styleId="749">
    <w:name w:val="TOC 标题"/>
    <w:next w:val="749"/>
    <w:link w:val="681"/>
    <w:uiPriority w:val="39"/>
    <w:qFormat/>
    <w:rPr>
      <w:lang w:val="en-US" w:eastAsia="zh-CN" w:bidi="ar-SA"/>
    </w:rPr>
  </w:style>
  <w:style w:type="paragraph" w:styleId="750">
    <w:name w:val="Heading 1"/>
    <w:basedOn w:val="681"/>
    <w:next w:val="681"/>
    <w:link w:val="751"/>
    <w:uiPriority w:val="9"/>
    <w:qFormat/>
    <w:pPr>
      <w:keepLines/>
      <w:keepNext/>
      <w:spacing w:before="480" w:after="200"/>
      <w:outlineLvl w:val="0"/>
    </w:pPr>
    <w:rPr>
      <w:rFonts w:ascii="Arial" w:hAnsi="Arial" w:eastAsia="Arial"/>
      <w:sz w:val="40"/>
      <w:szCs w:val="40"/>
    </w:rPr>
  </w:style>
  <w:style w:type="character" w:styleId="751">
    <w:name w:val="标题 1 Char1"/>
    <w:next w:val="751"/>
    <w:link w:val="750"/>
    <w:uiPriority w:val="9"/>
    <w:qFormat/>
    <w:rPr>
      <w:rFonts w:ascii="Arial" w:hAnsi="Arial" w:eastAsia="Arial" w:cs="Arial"/>
      <w:sz w:val="40"/>
      <w:szCs w:val="40"/>
    </w:rPr>
  </w:style>
  <w:style w:type="paragraph" w:styleId="752">
    <w:name w:val="Heading 2"/>
    <w:basedOn w:val="681"/>
    <w:next w:val="681"/>
    <w:link w:val="753"/>
    <w:uiPriority w:val="9"/>
    <w:unhideWhenUsed/>
    <w:qFormat/>
    <w:pPr>
      <w:keepLines/>
      <w:keepNext/>
      <w:spacing w:before="360" w:after="200"/>
      <w:outlineLvl w:val="1"/>
    </w:pPr>
    <w:rPr>
      <w:rFonts w:ascii="Arial" w:hAnsi="Arial" w:eastAsia="Arial"/>
      <w:sz w:val="34"/>
      <w:szCs w:val="20"/>
    </w:rPr>
  </w:style>
  <w:style w:type="character" w:styleId="753">
    <w:name w:val="标题 2 Char1"/>
    <w:next w:val="753"/>
    <w:link w:val="752"/>
    <w:uiPriority w:val="9"/>
    <w:qFormat/>
    <w:rPr>
      <w:rFonts w:ascii="Arial" w:hAnsi="Arial" w:eastAsia="Arial" w:cs="Arial"/>
      <w:sz w:val="34"/>
    </w:rPr>
  </w:style>
  <w:style w:type="paragraph" w:styleId="754">
    <w:name w:val="Heading 3"/>
    <w:basedOn w:val="681"/>
    <w:next w:val="681"/>
    <w:link w:val="755"/>
    <w:uiPriority w:val="9"/>
    <w:unhideWhenUsed/>
    <w:qFormat/>
    <w:pPr>
      <w:keepLines/>
      <w:keepNext/>
      <w:spacing w:before="320" w:after="200"/>
      <w:outlineLvl w:val="2"/>
    </w:pPr>
    <w:rPr>
      <w:rFonts w:ascii="Arial" w:hAnsi="Arial" w:eastAsia="Arial"/>
      <w:sz w:val="30"/>
      <w:szCs w:val="30"/>
    </w:rPr>
  </w:style>
  <w:style w:type="character" w:styleId="755">
    <w:name w:val="标题 3 Char1"/>
    <w:next w:val="755"/>
    <w:link w:val="754"/>
    <w:uiPriority w:val="9"/>
    <w:qFormat/>
    <w:rPr>
      <w:rFonts w:ascii="Arial" w:hAnsi="Arial" w:eastAsia="Arial" w:cs="Arial"/>
      <w:sz w:val="30"/>
      <w:szCs w:val="30"/>
    </w:rPr>
  </w:style>
  <w:style w:type="paragraph" w:styleId="756">
    <w:name w:val="Heading 5"/>
    <w:basedOn w:val="681"/>
    <w:next w:val="681"/>
    <w:link w:val="757"/>
    <w:uiPriority w:val="9"/>
    <w:unhideWhenUsed/>
    <w:qFormat/>
    <w:pPr>
      <w:keepLines/>
      <w:keepNext/>
      <w:spacing w:before="320" w:after="200"/>
      <w:outlineLvl w:val="4"/>
    </w:pPr>
    <w:rPr>
      <w:rFonts w:ascii="Arial" w:hAnsi="Arial" w:eastAsia="Arial"/>
      <w:b/>
      <w:bCs/>
      <w:sz w:val="24"/>
      <w:szCs w:val="24"/>
    </w:rPr>
  </w:style>
  <w:style w:type="character" w:styleId="757">
    <w:name w:val="标题 5 Char1"/>
    <w:next w:val="757"/>
    <w:link w:val="756"/>
    <w:uiPriority w:val="9"/>
    <w:qFormat/>
    <w:rPr>
      <w:rFonts w:ascii="Arial" w:hAnsi="Arial" w:eastAsia="Arial" w:cs="Arial"/>
      <w:b/>
      <w:bCs/>
      <w:sz w:val="24"/>
      <w:szCs w:val="24"/>
    </w:rPr>
  </w:style>
  <w:style w:type="paragraph" w:styleId="758">
    <w:name w:val="Heading 6"/>
    <w:basedOn w:val="681"/>
    <w:next w:val="681"/>
    <w:link w:val="759"/>
    <w:uiPriority w:val="9"/>
    <w:unhideWhenUsed/>
    <w:qFormat/>
    <w:pPr>
      <w:keepLines/>
      <w:keepNext/>
      <w:spacing w:before="320" w:after="200"/>
      <w:outlineLvl w:val="5"/>
    </w:pPr>
    <w:rPr>
      <w:rFonts w:ascii="Arial" w:hAnsi="Arial" w:eastAsia="Arial"/>
      <w:b/>
      <w:bCs/>
      <w:sz w:val="22"/>
      <w:szCs w:val="22"/>
    </w:rPr>
  </w:style>
  <w:style w:type="character" w:styleId="759">
    <w:name w:val="标题 6 Char1"/>
    <w:next w:val="759"/>
    <w:link w:val="758"/>
    <w:uiPriority w:val="9"/>
    <w:qFormat/>
    <w:rPr>
      <w:rFonts w:ascii="Arial" w:hAnsi="Arial" w:eastAsia="Arial" w:cs="Arial"/>
      <w:b/>
      <w:bCs/>
      <w:sz w:val="22"/>
      <w:szCs w:val="22"/>
    </w:rPr>
  </w:style>
  <w:style w:type="paragraph" w:styleId="760">
    <w:name w:val="Heading 7"/>
    <w:basedOn w:val="681"/>
    <w:next w:val="681"/>
    <w:link w:val="761"/>
    <w:uiPriority w:val="9"/>
    <w:unhideWhenUsed/>
    <w:qFormat/>
    <w:pPr>
      <w:keepLines/>
      <w:keepNext/>
      <w:spacing w:before="320" w:after="200"/>
      <w:outlineLvl w:val="6"/>
    </w:pPr>
    <w:rPr>
      <w:rFonts w:ascii="Arial" w:hAnsi="Arial" w:eastAsia="Arial"/>
      <w:b/>
      <w:bCs/>
      <w:i/>
      <w:iCs/>
      <w:sz w:val="22"/>
      <w:szCs w:val="22"/>
    </w:rPr>
  </w:style>
  <w:style w:type="character" w:styleId="761">
    <w:name w:val="标题 7 Char1"/>
    <w:next w:val="761"/>
    <w:link w:val="760"/>
    <w:uiPriority w:val="9"/>
    <w:qFormat/>
    <w:rPr>
      <w:rFonts w:ascii="Arial" w:hAnsi="Arial" w:eastAsia="Arial" w:cs="Arial"/>
      <w:b/>
      <w:bCs/>
      <w:i/>
      <w:iCs/>
      <w:sz w:val="22"/>
      <w:szCs w:val="22"/>
    </w:rPr>
  </w:style>
  <w:style w:type="paragraph" w:styleId="762">
    <w:name w:val="Heading 8"/>
    <w:basedOn w:val="681"/>
    <w:next w:val="681"/>
    <w:link w:val="763"/>
    <w:uiPriority w:val="9"/>
    <w:unhideWhenUsed/>
    <w:qFormat/>
    <w:pPr>
      <w:keepLines/>
      <w:keepNext/>
      <w:spacing w:before="320" w:after="200"/>
      <w:outlineLvl w:val="7"/>
    </w:pPr>
    <w:rPr>
      <w:rFonts w:ascii="Arial" w:hAnsi="Arial" w:eastAsia="Arial"/>
      <w:i/>
      <w:iCs/>
      <w:sz w:val="22"/>
      <w:szCs w:val="22"/>
    </w:rPr>
  </w:style>
  <w:style w:type="character" w:styleId="763">
    <w:name w:val="标题 8 Char1"/>
    <w:next w:val="763"/>
    <w:link w:val="762"/>
    <w:uiPriority w:val="9"/>
    <w:qFormat/>
    <w:rPr>
      <w:rFonts w:ascii="Arial" w:hAnsi="Arial" w:eastAsia="Arial" w:cs="Arial"/>
      <w:i/>
      <w:iCs/>
      <w:sz w:val="22"/>
      <w:szCs w:val="22"/>
    </w:rPr>
  </w:style>
  <w:style w:type="paragraph" w:styleId="764">
    <w:name w:val="Heading 9"/>
    <w:basedOn w:val="681"/>
    <w:next w:val="681"/>
    <w:link w:val="765"/>
    <w:uiPriority w:val="9"/>
    <w:unhideWhenUsed/>
    <w:qFormat/>
    <w:pPr>
      <w:keepLines/>
      <w:keepNext/>
      <w:spacing w:before="320" w:after="200"/>
      <w:outlineLvl w:val="8"/>
    </w:pPr>
    <w:rPr>
      <w:rFonts w:ascii="Arial" w:hAnsi="Arial" w:eastAsia="Arial"/>
      <w:i/>
      <w:iCs/>
    </w:rPr>
  </w:style>
  <w:style w:type="character" w:styleId="765">
    <w:name w:val="标题 9 Char1"/>
    <w:next w:val="765"/>
    <w:link w:val="764"/>
    <w:uiPriority w:val="9"/>
    <w:qFormat/>
    <w:rPr>
      <w:rFonts w:ascii="Arial" w:hAnsi="Arial" w:eastAsia="Arial" w:cs="Arial"/>
      <w:i/>
      <w:iCs/>
      <w:sz w:val="21"/>
      <w:szCs w:val="21"/>
    </w:rPr>
  </w:style>
  <w:style w:type="paragraph" w:styleId="766">
    <w:name w:val="Caption1"/>
    <w:basedOn w:val="681"/>
    <w:next w:val="681"/>
    <w:link w:val="681"/>
    <w:uiPriority w:val="35"/>
    <w:unhideWhenUsed/>
    <w:qFormat/>
    <w:pPr>
      <w:spacing w:line="276" w:lineRule="auto"/>
    </w:pPr>
    <w:rPr>
      <w:b/>
      <w:bCs/>
      <w:color w:val="4f81bd"/>
      <w:sz w:val="18"/>
      <w:szCs w:val="18"/>
    </w:rPr>
  </w:style>
  <w:style w:type="paragraph" w:styleId="767">
    <w:name w:val="Footer1"/>
    <w:basedOn w:val="681"/>
    <w:next w:val="767"/>
    <w:link w:val="681"/>
    <w:uiPriority w:val="99"/>
    <w:unhideWhenUsed/>
    <w:qFormat/>
    <w:pPr>
      <w:tabs>
        <w:tab w:val="center" w:pos="7143" w:leader="none"/>
        <w:tab w:val="right" w:pos="14287" w:leader="none"/>
      </w:tabs>
    </w:pPr>
  </w:style>
  <w:style w:type="paragraph" w:styleId="768">
    <w:name w:val="Header1"/>
    <w:basedOn w:val="681"/>
    <w:next w:val="768"/>
    <w:link w:val="681"/>
    <w:uiPriority w:val="99"/>
    <w:unhideWhenUsed/>
    <w:qFormat/>
    <w:pPr>
      <w:tabs>
        <w:tab w:val="center" w:pos="7143" w:leader="none"/>
        <w:tab w:val="right" w:pos="14287" w:leader="none"/>
      </w:tabs>
    </w:pPr>
  </w:style>
  <w:style w:type="paragraph" w:styleId="769">
    <w:name w:val="列出段落"/>
    <w:basedOn w:val="681"/>
    <w:next w:val="769"/>
    <w:link w:val="681"/>
    <w:uiPriority w:val="34"/>
    <w:qFormat/>
    <w:pPr>
      <w:contextualSpacing/>
      <w:ind w:left="720"/>
    </w:pPr>
  </w:style>
  <w:style w:type="paragraph" w:styleId="770">
    <w:name w:val="无间隔"/>
    <w:next w:val="770"/>
    <w:link w:val="681"/>
    <w:uiPriority w:val="1"/>
    <w:qFormat/>
    <w:rPr>
      <w:lang w:val="en-US" w:eastAsia="zh-CN" w:bidi="ar-SA"/>
    </w:rPr>
  </w:style>
  <w:style w:type="paragraph" w:styleId="771">
    <w:name w:val="引用"/>
    <w:basedOn w:val="681"/>
    <w:next w:val="681"/>
    <w:link w:val="772"/>
    <w:uiPriority w:val="29"/>
    <w:qFormat/>
    <w:pPr>
      <w:ind w:left="720" w:right="720"/>
    </w:pPr>
    <w:rPr>
      <w:i/>
    </w:rPr>
  </w:style>
  <w:style w:type="character" w:styleId="772">
    <w:name w:val="引用 Char1"/>
    <w:next w:val="772"/>
    <w:link w:val="771"/>
    <w:uiPriority w:val="29"/>
    <w:qFormat/>
    <w:rPr>
      <w:i/>
    </w:rPr>
  </w:style>
  <w:style w:type="paragraph" w:styleId="773">
    <w:name w:val="明显引用"/>
    <w:basedOn w:val="681"/>
    <w:next w:val="681"/>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明显引用 Char1"/>
    <w:next w:val="774"/>
    <w:link w:val="773"/>
    <w:uiPriority w:val="30"/>
    <w:qFormat/>
    <w:rPr>
      <w:i/>
    </w:rPr>
  </w:style>
  <w:style w:type="paragraph" w:styleId="775">
    <w:name w:val="TOC 标题1"/>
    <w:next w:val="775"/>
    <w:link w:val="681"/>
    <w:uiPriority w:val="39"/>
    <w:unhideWhenUsed/>
    <w:qFormat/>
    <w:rPr>
      <w:lang w:val="en-US" w:eastAsia="zh-CN" w:bidi="ar-SA"/>
    </w:rPr>
  </w:style>
  <w:style w:type="paragraph" w:styleId="776">
    <w:name w:val="标题 11"/>
    <w:basedOn w:val="681"/>
    <w:next w:val="681"/>
    <w:link w:val="777"/>
    <w:qFormat/>
    <w:pPr>
      <w:jc w:val="center"/>
      <w:keepNext/>
      <w:outlineLvl w:val="0"/>
    </w:pPr>
    <w:rPr>
      <w:rFonts w:ascii="楷体_GB2312" w:eastAsia="楷体_GB2312"/>
      <w:sz w:val="28"/>
      <w:szCs w:val="28"/>
    </w:rPr>
  </w:style>
  <w:style w:type="character" w:styleId="777">
    <w:name w:val="标题 1 Char"/>
    <w:next w:val="777"/>
    <w:link w:val="776"/>
    <w:qFormat/>
    <w:rPr>
      <w:rFonts w:ascii="楷体_GB2312" w:hAnsi="Times New Roman" w:eastAsia="楷体_GB2312" w:cs="Times New Roman"/>
      <w:sz w:val="28"/>
      <w:szCs w:val="28"/>
    </w:rPr>
  </w:style>
  <w:style w:type="paragraph" w:styleId="778">
    <w:name w:val="标题 21"/>
    <w:basedOn w:val="681"/>
    <w:next w:val="780"/>
    <w:link w:val="779"/>
    <w:qFormat/>
    <w:pPr>
      <w:jc w:val="center"/>
      <w:keepLines/>
      <w:keepNext/>
      <w:spacing w:before="260" w:after="260" w:line="416" w:lineRule="auto"/>
      <w:outlineLvl w:val="1"/>
    </w:pPr>
    <w:rPr>
      <w:rFonts w:ascii="Arial" w:hAnsi="Arial" w:eastAsia="幼圆"/>
      <w:b/>
      <w:bCs/>
      <w:sz w:val="44"/>
      <w:szCs w:val="44"/>
    </w:rPr>
  </w:style>
  <w:style w:type="character" w:styleId="779">
    <w:name w:val="标题 2 Char"/>
    <w:next w:val="779"/>
    <w:link w:val="778"/>
    <w:qFormat/>
    <w:rPr>
      <w:rFonts w:ascii="Arial" w:hAnsi="Arial" w:eastAsia="幼圆" w:cs="Arial"/>
      <w:b/>
      <w:bCs/>
      <w:sz w:val="44"/>
      <w:szCs w:val="44"/>
    </w:rPr>
  </w:style>
  <w:style w:type="paragraph" w:styleId="780">
    <w:name w:val="正文缩进1"/>
    <w:basedOn w:val="681"/>
    <w:next w:val="780"/>
    <w:link w:val="781"/>
    <w:qFormat/>
    <w:pPr>
      <w:ind w:firstLine="420"/>
    </w:pPr>
    <w:rPr>
      <w:sz w:val="20"/>
    </w:rPr>
  </w:style>
  <w:style w:type="character" w:styleId="781">
    <w:name w:val="正文缩进 Char"/>
    <w:next w:val="781"/>
    <w:link w:val="780"/>
    <w:qFormat/>
    <w:rPr>
      <w:rFonts w:ascii="Times New Roman" w:hAnsi="Times New Roman" w:eastAsia="宋体" w:cs="Times New Roman"/>
      <w:szCs w:val="21"/>
    </w:rPr>
  </w:style>
  <w:style w:type="paragraph" w:styleId="782">
    <w:name w:val="标题 31"/>
    <w:basedOn w:val="681"/>
    <w:next w:val="780"/>
    <w:link w:val="783"/>
    <w:qFormat/>
    <w:pPr>
      <w:keepLines/>
      <w:keepNext/>
      <w:spacing w:before="260" w:after="260" w:line="416" w:lineRule="auto"/>
      <w:outlineLvl w:val="2"/>
    </w:pPr>
    <w:rPr>
      <w:b/>
      <w:bCs/>
      <w:sz w:val="32"/>
      <w:szCs w:val="32"/>
    </w:rPr>
  </w:style>
  <w:style w:type="character" w:styleId="783">
    <w:name w:val="标题 3 Char"/>
    <w:next w:val="783"/>
    <w:link w:val="782"/>
    <w:qFormat/>
    <w:rPr>
      <w:rFonts w:ascii="Times New Roman" w:hAnsi="Times New Roman" w:eastAsia="宋体" w:cs="Times New Roman"/>
      <w:b/>
      <w:bCs/>
      <w:sz w:val="32"/>
      <w:szCs w:val="32"/>
    </w:rPr>
  </w:style>
  <w:style w:type="paragraph" w:styleId="784">
    <w:name w:val="标题 41"/>
    <w:basedOn w:val="681"/>
    <w:next w:val="780"/>
    <w:link w:val="785"/>
    <w:qFormat/>
    <w:pPr>
      <w:keepLines/>
      <w:keepNext/>
      <w:spacing w:before="280" w:after="290" w:line="376" w:lineRule="auto"/>
      <w:outlineLvl w:val="3"/>
    </w:pPr>
    <w:rPr>
      <w:rFonts w:ascii="Arial" w:hAnsi="Arial" w:eastAsia="黑体"/>
      <w:b/>
      <w:bCs/>
      <w:sz w:val="28"/>
      <w:szCs w:val="28"/>
    </w:rPr>
  </w:style>
  <w:style w:type="character" w:styleId="785">
    <w:name w:val="标题 4 Char"/>
    <w:next w:val="785"/>
    <w:link w:val="784"/>
    <w:qFormat/>
    <w:rPr>
      <w:rFonts w:ascii="Arial" w:hAnsi="Arial" w:eastAsia="黑体" w:cs="Arial"/>
      <w:b/>
      <w:bCs/>
      <w:sz w:val="28"/>
      <w:szCs w:val="28"/>
    </w:rPr>
  </w:style>
  <w:style w:type="paragraph" w:styleId="786">
    <w:name w:val="标题 51"/>
    <w:basedOn w:val="681"/>
    <w:next w:val="780"/>
    <w:link w:val="787"/>
    <w:qFormat/>
    <w:pPr>
      <w:keepNext/>
      <w:outlineLvl w:val="4"/>
    </w:pPr>
    <w:rPr>
      <w:rFonts w:ascii="宋体"/>
      <w:color w:val="000000"/>
      <w:sz w:val="28"/>
      <w:szCs w:val="28"/>
    </w:rPr>
  </w:style>
  <w:style w:type="character" w:styleId="787">
    <w:name w:val="标题 5 Char"/>
    <w:next w:val="787"/>
    <w:link w:val="786"/>
    <w:qFormat/>
    <w:rPr>
      <w:rFonts w:ascii="宋体" w:hAnsi="Times New Roman" w:eastAsia="宋体" w:cs="Times New Roman"/>
      <w:color w:val="000000"/>
      <w:sz w:val="28"/>
      <w:szCs w:val="28"/>
    </w:rPr>
  </w:style>
  <w:style w:type="paragraph" w:styleId="788">
    <w:name w:val="标题 61"/>
    <w:basedOn w:val="681"/>
    <w:next w:val="681"/>
    <w:link w:val="789"/>
    <w:qFormat/>
    <w:pPr>
      <w:numPr>
        <w:ilvl w:val="5"/>
        <w:numId w:val="1"/>
      </w:numPr>
      <w:keepLines/>
      <w:keepNext/>
      <w:spacing w:before="240" w:after="64" w:line="320" w:lineRule="auto"/>
      <w:outlineLvl w:val="5"/>
    </w:pPr>
    <w:rPr>
      <w:rFonts w:ascii="Arial" w:hAnsi="Arial" w:eastAsia="黑体"/>
      <w:b/>
      <w:bCs/>
      <w:sz w:val="24"/>
      <w:szCs w:val="24"/>
    </w:rPr>
  </w:style>
  <w:style w:type="character" w:styleId="789">
    <w:name w:val="标题 6 Char"/>
    <w:next w:val="789"/>
    <w:link w:val="788"/>
    <w:qFormat/>
    <w:rPr>
      <w:rFonts w:ascii="Arial" w:hAnsi="Arial" w:eastAsia="黑体" w:cs="Times New Roman"/>
      <w:b/>
      <w:bCs/>
      <w:sz w:val="24"/>
      <w:szCs w:val="24"/>
    </w:rPr>
  </w:style>
  <w:style w:type="paragraph" w:styleId="790">
    <w:name w:val="标题 71"/>
    <w:basedOn w:val="681"/>
    <w:next w:val="681"/>
    <w:link w:val="791"/>
    <w:qFormat/>
    <w:pPr>
      <w:numPr>
        <w:ilvl w:val="6"/>
        <w:numId w:val="1"/>
      </w:numPr>
      <w:keepLines/>
      <w:keepNext/>
      <w:spacing w:before="240" w:after="64" w:line="320" w:lineRule="auto"/>
      <w:outlineLvl w:val="6"/>
    </w:pPr>
    <w:rPr>
      <w:b/>
      <w:bCs/>
      <w:sz w:val="24"/>
      <w:szCs w:val="24"/>
    </w:rPr>
  </w:style>
  <w:style w:type="character" w:styleId="791">
    <w:name w:val="标题 7 Char"/>
    <w:next w:val="791"/>
    <w:link w:val="790"/>
    <w:qFormat/>
    <w:rPr>
      <w:rFonts w:ascii="Times New Roman" w:hAnsi="Times New Roman" w:eastAsia="宋体" w:cs="Times New Roman"/>
      <w:b/>
      <w:bCs/>
      <w:sz w:val="24"/>
      <w:szCs w:val="24"/>
    </w:rPr>
  </w:style>
  <w:style w:type="paragraph" w:styleId="792">
    <w:name w:val="标题 81"/>
    <w:basedOn w:val="681"/>
    <w:next w:val="681"/>
    <w:link w:val="793"/>
    <w:qFormat/>
    <w:pPr>
      <w:numPr>
        <w:ilvl w:val="7"/>
        <w:numId w:val="1"/>
      </w:numPr>
      <w:keepLines/>
      <w:keepNext/>
      <w:spacing w:before="240" w:after="64" w:line="320" w:lineRule="auto"/>
      <w:outlineLvl w:val="7"/>
    </w:pPr>
    <w:rPr>
      <w:rFonts w:ascii="Arial" w:hAnsi="Arial" w:eastAsia="黑体"/>
      <w:sz w:val="24"/>
      <w:szCs w:val="24"/>
    </w:rPr>
  </w:style>
  <w:style w:type="character" w:styleId="793">
    <w:name w:val="标题 8 Char"/>
    <w:next w:val="793"/>
    <w:link w:val="792"/>
    <w:qFormat/>
    <w:rPr>
      <w:rFonts w:ascii="Arial" w:hAnsi="Arial" w:eastAsia="黑体" w:cs="Times New Roman"/>
      <w:sz w:val="24"/>
      <w:szCs w:val="24"/>
    </w:rPr>
  </w:style>
  <w:style w:type="paragraph" w:styleId="794">
    <w:name w:val="标题 91"/>
    <w:basedOn w:val="681"/>
    <w:next w:val="681"/>
    <w:link w:val="795"/>
    <w:qFormat/>
    <w:pPr>
      <w:numPr>
        <w:ilvl w:val="8"/>
        <w:numId w:val="1"/>
      </w:numPr>
      <w:keepLines/>
      <w:keepNext/>
      <w:spacing w:before="240" w:after="64" w:line="320" w:lineRule="auto"/>
      <w:outlineLvl w:val="8"/>
    </w:pPr>
    <w:rPr>
      <w:rFonts w:ascii="Arial" w:hAnsi="Arial" w:eastAsia="黑体"/>
      <w:sz w:val="20"/>
    </w:rPr>
  </w:style>
  <w:style w:type="character" w:styleId="795">
    <w:name w:val="标题 9 Char"/>
    <w:next w:val="795"/>
    <w:link w:val="794"/>
    <w:qFormat/>
    <w:rPr>
      <w:rFonts w:ascii="Arial" w:hAnsi="Arial" w:eastAsia="黑体" w:cs="Times New Roman"/>
      <w:szCs w:val="21"/>
    </w:rPr>
  </w:style>
  <w:style w:type="character" w:styleId="796">
    <w:name w:val="默认段落字体1"/>
    <w:next w:val="796"/>
    <w:link w:val="681"/>
    <w:uiPriority w:val="1"/>
    <w:unhideWhenUsed/>
    <w:qFormat/>
  </w:style>
  <w:style w:type="table" w:styleId="797">
    <w:name w:val="普通表格1"/>
    <w:next w:val="797"/>
    <w:link w:val="681"/>
    <w:uiPriority w:val="99"/>
    <w:unhideWhenUsed/>
    <w:qFormat/>
    <w:rPr>
      <w:lang w:val="en-US" w:eastAsia="zh-CN" w:bidi="ar-SA"/>
    </w:rPr>
    <w:tblPr/>
  </w:style>
  <w:style w:type="paragraph" w:styleId="798">
    <w:name w:val="列表 31"/>
    <w:basedOn w:val="681"/>
    <w:next w:val="798"/>
    <w:link w:val="681"/>
    <w:qFormat/>
    <w:pPr>
      <w:ind w:left="100" w:hanging="200"/>
    </w:pPr>
  </w:style>
  <w:style w:type="paragraph" w:styleId="799">
    <w:name w:val="目录 71"/>
    <w:basedOn w:val="681"/>
    <w:next w:val="681"/>
    <w:link w:val="681"/>
    <w:semiHidden/>
    <w:qFormat/>
    <w:pPr>
      <w:ind w:left="1260"/>
      <w:jc w:val="left"/>
    </w:pPr>
  </w:style>
  <w:style w:type="paragraph" w:styleId="800">
    <w:name w:val="文档结构图1"/>
    <w:basedOn w:val="681"/>
    <w:next w:val="800"/>
    <w:link w:val="801"/>
    <w:semiHidden/>
    <w:qFormat/>
    <w:pPr>
      <w:shd w:val="clear" w:color="auto" w:fill="000080"/>
    </w:pPr>
    <w:rPr>
      <w:sz w:val="20"/>
    </w:rPr>
  </w:style>
  <w:style w:type="character" w:styleId="801">
    <w:name w:val="文档结构图 Char"/>
    <w:next w:val="801"/>
    <w:link w:val="800"/>
    <w:semiHidden/>
    <w:qFormat/>
    <w:rPr>
      <w:rFonts w:ascii="Times New Roman" w:hAnsi="Times New Roman" w:eastAsia="宋体" w:cs="Times New Roman"/>
      <w:szCs w:val="21"/>
      <w:shd w:val="clear" w:color="auto" w:fill="000080"/>
    </w:rPr>
  </w:style>
  <w:style w:type="paragraph" w:styleId="802">
    <w:name w:val="批注文字1"/>
    <w:basedOn w:val="681"/>
    <w:next w:val="802"/>
    <w:link w:val="803"/>
    <w:qFormat/>
    <w:pPr>
      <w:jc w:val="left"/>
    </w:pPr>
    <w:rPr>
      <w:sz w:val="20"/>
    </w:rPr>
  </w:style>
  <w:style w:type="character" w:styleId="803">
    <w:name w:val="批注文字 Char"/>
    <w:next w:val="803"/>
    <w:link w:val="802"/>
    <w:qFormat/>
    <w:rPr>
      <w:rFonts w:ascii="Times New Roman" w:hAnsi="Times New Roman" w:eastAsia="宋体" w:cs="Times New Roman"/>
      <w:szCs w:val="21"/>
    </w:rPr>
  </w:style>
  <w:style w:type="paragraph" w:styleId="804">
    <w:name w:val="正文文本 31"/>
    <w:basedOn w:val="681"/>
    <w:next w:val="804"/>
    <w:link w:val="805"/>
    <w:qFormat/>
    <w:rPr>
      <w:rFonts w:ascii="仿宋_GB2312" w:hAnsi="Arial" w:eastAsia="仿宋_GB2312"/>
      <w:sz w:val="32"/>
      <w:szCs w:val="32"/>
    </w:rPr>
  </w:style>
  <w:style w:type="character" w:styleId="805">
    <w:name w:val="正文文本 3 Char"/>
    <w:next w:val="805"/>
    <w:link w:val="804"/>
    <w:qFormat/>
    <w:rPr>
      <w:rFonts w:ascii="仿宋_GB2312" w:hAnsi="Arial" w:eastAsia="仿宋_GB2312" w:cs="Times New Roman"/>
      <w:sz w:val="32"/>
      <w:szCs w:val="32"/>
    </w:rPr>
  </w:style>
  <w:style w:type="paragraph" w:styleId="806">
    <w:name w:val="正文文本12"/>
    <w:basedOn w:val="681"/>
    <w:next w:val="806"/>
    <w:link w:val="807"/>
    <w:qFormat/>
    <w:rPr>
      <w:rFonts w:ascii="楷体_GB2312" w:hAnsi="Arial" w:eastAsia="楷体_GB2312"/>
      <w:sz w:val="28"/>
      <w:szCs w:val="28"/>
    </w:rPr>
  </w:style>
  <w:style w:type="character" w:styleId="807">
    <w:name w:val="正文文本 Char"/>
    <w:next w:val="807"/>
    <w:link w:val="806"/>
    <w:qFormat/>
    <w:rPr>
      <w:rFonts w:ascii="楷体_GB2312" w:hAnsi="Arial" w:eastAsia="楷体_GB2312" w:cs="Times New Roman"/>
      <w:sz w:val="28"/>
      <w:szCs w:val="28"/>
    </w:rPr>
  </w:style>
  <w:style w:type="paragraph" w:styleId="808">
    <w:name w:val="列表 21"/>
    <w:basedOn w:val="681"/>
    <w:next w:val="808"/>
    <w:link w:val="681"/>
    <w:qFormat/>
    <w:pPr>
      <w:ind w:left="100" w:hanging="200"/>
    </w:pPr>
  </w:style>
  <w:style w:type="paragraph" w:styleId="809">
    <w:name w:val="目录 51"/>
    <w:basedOn w:val="681"/>
    <w:next w:val="681"/>
    <w:link w:val="681"/>
    <w:semiHidden/>
    <w:qFormat/>
    <w:pPr>
      <w:ind w:left="840"/>
      <w:jc w:val="left"/>
    </w:pPr>
  </w:style>
  <w:style w:type="paragraph" w:styleId="810">
    <w:name w:val="目录 31"/>
    <w:basedOn w:val="681"/>
    <w:next w:val="681"/>
    <w:link w:val="681"/>
    <w:semiHidden/>
    <w:qFormat/>
    <w:pPr>
      <w:ind w:left="420"/>
      <w:jc w:val="left"/>
    </w:pPr>
    <w:rPr>
      <w:i/>
      <w:iCs/>
      <w:szCs w:val="24"/>
    </w:rPr>
  </w:style>
  <w:style w:type="paragraph" w:styleId="811">
    <w:name w:val="纯文本11"/>
    <w:basedOn w:val="681"/>
    <w:next w:val="811"/>
    <w:link w:val="812"/>
    <w:qFormat/>
    <w:rPr>
      <w:rFonts w:ascii="宋体" w:hAnsi="Courier New"/>
      <w:sz w:val="20"/>
    </w:rPr>
  </w:style>
  <w:style w:type="character" w:styleId="812">
    <w:name w:val="纯文本 Char"/>
    <w:next w:val="812"/>
    <w:link w:val="811"/>
    <w:qFormat/>
    <w:rPr>
      <w:rFonts w:ascii="宋体" w:hAnsi="Courier New" w:eastAsia="宋体" w:cs="Courier New"/>
      <w:szCs w:val="21"/>
    </w:rPr>
  </w:style>
  <w:style w:type="paragraph" w:styleId="813">
    <w:name w:val="目录 81"/>
    <w:basedOn w:val="681"/>
    <w:next w:val="681"/>
    <w:link w:val="681"/>
    <w:semiHidden/>
    <w:qFormat/>
    <w:pPr>
      <w:ind w:left="1470"/>
      <w:jc w:val="left"/>
    </w:pPr>
  </w:style>
  <w:style w:type="paragraph" w:styleId="814">
    <w:name w:val="日期1"/>
    <w:basedOn w:val="681"/>
    <w:next w:val="681"/>
    <w:link w:val="815"/>
    <w:qFormat/>
    <w:rPr>
      <w:sz w:val="24"/>
      <w:szCs w:val="24"/>
    </w:rPr>
  </w:style>
  <w:style w:type="character" w:styleId="815">
    <w:name w:val="日期 Char"/>
    <w:next w:val="815"/>
    <w:link w:val="814"/>
    <w:qFormat/>
    <w:rPr>
      <w:rFonts w:ascii="Times New Roman" w:hAnsi="Times New Roman" w:eastAsia="宋体" w:cs="Times New Roman"/>
      <w:sz w:val="24"/>
      <w:szCs w:val="24"/>
    </w:rPr>
  </w:style>
  <w:style w:type="paragraph" w:styleId="816">
    <w:name w:val="正文文本缩进 21"/>
    <w:basedOn w:val="681"/>
    <w:next w:val="816"/>
    <w:link w:val="817"/>
    <w:qFormat/>
    <w:pPr>
      <w:ind w:left="630" w:firstLine="645"/>
    </w:pPr>
    <w:rPr>
      <w:rFonts w:ascii="Arial" w:hAnsi="Arial" w:eastAsia="仿宋_GB2312"/>
      <w:sz w:val="32"/>
      <w:szCs w:val="32"/>
    </w:rPr>
  </w:style>
  <w:style w:type="character" w:styleId="817">
    <w:name w:val="正文文本缩进 2 Char"/>
    <w:next w:val="817"/>
    <w:link w:val="816"/>
    <w:qFormat/>
    <w:rPr>
      <w:rFonts w:ascii="Arial" w:hAnsi="Arial" w:eastAsia="仿宋_GB2312" w:cs="Arial"/>
      <w:sz w:val="32"/>
      <w:szCs w:val="32"/>
    </w:rPr>
  </w:style>
  <w:style w:type="paragraph" w:styleId="818">
    <w:name w:val="尾注文本1"/>
    <w:basedOn w:val="681"/>
    <w:next w:val="818"/>
    <w:link w:val="819"/>
    <w:uiPriority w:val="99"/>
    <w:unhideWhenUsed/>
    <w:qFormat/>
    <w:rPr>
      <w:sz w:val="20"/>
      <w:szCs w:val="20"/>
    </w:rPr>
  </w:style>
  <w:style w:type="character" w:styleId="819">
    <w:name w:val="尾注文本 Char"/>
    <w:next w:val="819"/>
    <w:link w:val="818"/>
    <w:uiPriority w:val="99"/>
    <w:qFormat/>
    <w:rPr>
      <w:sz w:val="20"/>
    </w:rPr>
  </w:style>
  <w:style w:type="paragraph" w:styleId="820">
    <w:name w:val="批注框文本1"/>
    <w:basedOn w:val="681"/>
    <w:next w:val="820"/>
    <w:link w:val="821"/>
    <w:semiHidden/>
    <w:qFormat/>
    <w:rPr>
      <w:sz w:val="18"/>
      <w:szCs w:val="18"/>
    </w:rPr>
  </w:style>
  <w:style w:type="character" w:styleId="821">
    <w:name w:val="批注框文本 Char"/>
    <w:next w:val="821"/>
    <w:link w:val="820"/>
    <w:semiHidden/>
    <w:qFormat/>
    <w:rPr>
      <w:rFonts w:ascii="Times New Roman" w:hAnsi="Times New Roman" w:eastAsia="宋体" w:cs="Times New Roman"/>
      <w:sz w:val="18"/>
      <w:szCs w:val="18"/>
    </w:rPr>
  </w:style>
  <w:style w:type="paragraph" w:styleId="822">
    <w:name w:val="页脚1"/>
    <w:basedOn w:val="681"/>
    <w:next w:val="822"/>
    <w:link w:val="823"/>
    <w:qFormat/>
    <w:pPr>
      <w:jc w:val="left"/>
      <w:tabs>
        <w:tab w:val="center" w:pos="4153" w:leader="none"/>
        <w:tab w:val="right" w:pos="8306" w:leader="none"/>
      </w:tabs>
    </w:pPr>
    <w:rPr>
      <w:sz w:val="18"/>
      <w:szCs w:val="18"/>
    </w:rPr>
  </w:style>
  <w:style w:type="character" w:styleId="823">
    <w:name w:val="页脚 Char"/>
    <w:next w:val="823"/>
    <w:link w:val="822"/>
    <w:qFormat/>
    <w:rPr>
      <w:rFonts w:ascii="Times New Roman" w:hAnsi="Times New Roman" w:eastAsia="宋体" w:cs="Times New Roman"/>
      <w:sz w:val="18"/>
      <w:szCs w:val="18"/>
    </w:rPr>
  </w:style>
  <w:style w:type="paragraph" w:styleId="824">
    <w:name w:val="页眉11"/>
    <w:basedOn w:val="681"/>
    <w:next w:val="824"/>
    <w:link w:val="825"/>
    <w:uiPriority w:val="99"/>
    <w:qFormat/>
    <w:pPr>
      <w:jc w:val="center"/>
      <w:tabs>
        <w:tab w:val="center" w:pos="4153" w:leader="none"/>
        <w:tab w:val="right" w:pos="8306" w:leader="none"/>
      </w:tabs>
      <w:pBdr>
        <w:bottom w:val="single" w:color="000000" w:sz="6" w:space="1"/>
      </w:pBdr>
    </w:pPr>
    <w:rPr>
      <w:sz w:val="18"/>
      <w:szCs w:val="18"/>
    </w:rPr>
  </w:style>
  <w:style w:type="character" w:styleId="825">
    <w:name w:val="页眉 Char"/>
    <w:next w:val="825"/>
    <w:link w:val="824"/>
    <w:uiPriority w:val="99"/>
    <w:qFormat/>
    <w:rPr>
      <w:rFonts w:ascii="Times New Roman" w:hAnsi="Times New Roman" w:eastAsia="宋体" w:cs="Times New Roman"/>
      <w:sz w:val="18"/>
      <w:szCs w:val="18"/>
    </w:rPr>
  </w:style>
  <w:style w:type="paragraph" w:styleId="826">
    <w:name w:val="目录 11"/>
    <w:basedOn w:val="681"/>
    <w:next w:val="681"/>
    <w:link w:val="681"/>
    <w:semiHidden/>
    <w:qFormat/>
    <w:pPr>
      <w:jc w:val="left"/>
      <w:spacing w:before="120" w:after="120" w:line="400" w:lineRule="exact"/>
      <w:tabs>
        <w:tab w:val="right" w:pos="8720" w:leader="dot"/>
      </w:tabs>
    </w:pPr>
    <w:rPr>
      <w:rFonts w:ascii="宋体" w:hAnsi="宋体"/>
      <w:caps/>
      <w:sz w:val="24"/>
      <w:szCs w:val="24"/>
    </w:rPr>
  </w:style>
  <w:style w:type="paragraph" w:styleId="827">
    <w:name w:val="目录 41"/>
    <w:basedOn w:val="681"/>
    <w:next w:val="681"/>
    <w:link w:val="681"/>
    <w:semiHidden/>
    <w:qFormat/>
    <w:pPr>
      <w:ind w:left="630"/>
      <w:jc w:val="left"/>
    </w:pPr>
  </w:style>
  <w:style w:type="paragraph" w:styleId="828">
    <w:name w:val="副标题1"/>
    <w:basedOn w:val="681"/>
    <w:next w:val="681"/>
    <w:link w:val="829"/>
    <w:uiPriority w:val="11"/>
    <w:qFormat/>
    <w:pPr>
      <w:spacing w:before="200" w:after="200"/>
    </w:pPr>
    <w:rPr>
      <w:sz w:val="24"/>
      <w:szCs w:val="24"/>
    </w:rPr>
  </w:style>
  <w:style w:type="character" w:styleId="829">
    <w:name w:val="副标题 Char"/>
    <w:next w:val="829"/>
    <w:link w:val="828"/>
    <w:uiPriority w:val="11"/>
    <w:qFormat/>
    <w:rPr>
      <w:sz w:val="24"/>
      <w:szCs w:val="24"/>
    </w:rPr>
  </w:style>
  <w:style w:type="paragraph" w:styleId="830">
    <w:name w:val="列表11"/>
    <w:basedOn w:val="681"/>
    <w:next w:val="830"/>
    <w:link w:val="681"/>
    <w:qFormat/>
    <w:pPr>
      <w:ind w:left="200" w:hanging="200"/>
    </w:pPr>
  </w:style>
  <w:style w:type="paragraph" w:styleId="831">
    <w:name w:val="脚注文本1"/>
    <w:basedOn w:val="681"/>
    <w:next w:val="831"/>
    <w:link w:val="832"/>
    <w:uiPriority w:val="99"/>
    <w:unhideWhenUsed/>
    <w:qFormat/>
    <w:pPr>
      <w:spacing w:after="40"/>
    </w:pPr>
    <w:rPr>
      <w:sz w:val="18"/>
      <w:szCs w:val="20"/>
    </w:rPr>
  </w:style>
  <w:style w:type="character" w:styleId="832">
    <w:name w:val="脚注文本 Char"/>
    <w:next w:val="832"/>
    <w:link w:val="831"/>
    <w:uiPriority w:val="99"/>
    <w:qFormat/>
    <w:rPr>
      <w:sz w:val="18"/>
    </w:rPr>
  </w:style>
  <w:style w:type="paragraph" w:styleId="833">
    <w:name w:val="目录 61"/>
    <w:basedOn w:val="681"/>
    <w:next w:val="681"/>
    <w:link w:val="681"/>
    <w:semiHidden/>
    <w:qFormat/>
    <w:pPr>
      <w:ind w:left="1050"/>
      <w:jc w:val="left"/>
    </w:pPr>
  </w:style>
  <w:style w:type="paragraph" w:styleId="834">
    <w:name w:val="正文文本缩进 31"/>
    <w:basedOn w:val="681"/>
    <w:next w:val="834"/>
    <w:link w:val="835"/>
    <w:qFormat/>
    <w:pPr>
      <w:ind w:left="645" w:firstLine="645"/>
    </w:pPr>
    <w:rPr>
      <w:rFonts w:ascii="Arial" w:hAnsi="Arial" w:eastAsia="仿宋_GB2312"/>
      <w:color w:val="ffff00"/>
      <w:sz w:val="32"/>
      <w:szCs w:val="32"/>
    </w:rPr>
  </w:style>
  <w:style w:type="character" w:styleId="835">
    <w:name w:val="正文文本缩进 3 Char"/>
    <w:next w:val="835"/>
    <w:link w:val="834"/>
    <w:qFormat/>
    <w:rPr>
      <w:rFonts w:ascii="Arial" w:hAnsi="Arial" w:eastAsia="仿宋_GB2312" w:cs="Arial"/>
      <w:color w:val="ffff00"/>
      <w:sz w:val="32"/>
      <w:szCs w:val="32"/>
    </w:rPr>
  </w:style>
  <w:style w:type="paragraph" w:styleId="836">
    <w:name w:val="图表目录1"/>
    <w:basedOn w:val="681"/>
    <w:next w:val="681"/>
    <w:link w:val="681"/>
    <w:semiHidden/>
    <w:qFormat/>
    <w:pPr>
      <w:ind w:left="840" w:hanging="420"/>
    </w:pPr>
  </w:style>
  <w:style w:type="paragraph" w:styleId="837">
    <w:name w:val="目录 21"/>
    <w:basedOn w:val="681"/>
    <w:next w:val="681"/>
    <w:link w:val="681"/>
    <w:semiHidden/>
    <w:qFormat/>
    <w:pPr>
      <w:ind w:left="210"/>
      <w:jc w:val="left"/>
    </w:pPr>
    <w:rPr>
      <w:smallCaps/>
      <w:szCs w:val="24"/>
    </w:rPr>
  </w:style>
  <w:style w:type="paragraph" w:styleId="838">
    <w:name w:val="目录 91"/>
    <w:basedOn w:val="681"/>
    <w:next w:val="681"/>
    <w:link w:val="681"/>
    <w:semiHidden/>
    <w:qFormat/>
    <w:pPr>
      <w:ind w:left="1680"/>
      <w:jc w:val="left"/>
    </w:pPr>
  </w:style>
  <w:style w:type="paragraph" w:styleId="839">
    <w:name w:val="正文文本 21"/>
    <w:basedOn w:val="681"/>
    <w:next w:val="839"/>
    <w:link w:val="840"/>
    <w:qFormat/>
    <w:pPr>
      <w:jc w:val="center"/>
      <w:widowControl/>
    </w:pPr>
    <w:rPr>
      <w:rFonts w:ascii="楷体_GB2312" w:eastAsia="楷体_GB2312"/>
      <w:sz w:val="28"/>
      <w:szCs w:val="28"/>
    </w:rPr>
  </w:style>
  <w:style w:type="character" w:styleId="840">
    <w:name w:val="正文文本 2 Char"/>
    <w:next w:val="840"/>
    <w:link w:val="839"/>
    <w:qFormat/>
    <w:rPr>
      <w:rFonts w:ascii="楷体_GB2312" w:hAnsi="Times New Roman" w:eastAsia="楷体_GB2312" w:cs="Times New Roman"/>
      <w:sz w:val="28"/>
      <w:szCs w:val="28"/>
    </w:rPr>
  </w:style>
  <w:style w:type="paragraph" w:styleId="841">
    <w:name w:val="普通(网站)1"/>
    <w:basedOn w:val="681"/>
    <w:next w:val="841"/>
    <w:link w:val="681"/>
    <w:qFormat/>
    <w:pPr>
      <w:jc w:val="left"/>
      <w:spacing w:before="100" w:beforeAutospacing="1" w:after="100" w:afterAutospacing="1"/>
      <w:widowControl/>
    </w:pPr>
    <w:rPr>
      <w:rFonts w:ascii="宋体" w:hAnsi="宋体" w:cs="宋体"/>
      <w:sz w:val="24"/>
      <w:szCs w:val="24"/>
    </w:rPr>
  </w:style>
  <w:style w:type="paragraph" w:styleId="842">
    <w:name w:val="索引 11"/>
    <w:basedOn w:val="681"/>
    <w:next w:val="681"/>
    <w:link w:val="681"/>
    <w:semiHidden/>
    <w:qFormat/>
    <w:pPr>
      <w:spacing w:line="240" w:lineRule="atLeast"/>
    </w:pPr>
    <w:rPr>
      <w:b/>
      <w:bCs/>
    </w:rPr>
  </w:style>
  <w:style w:type="paragraph" w:styleId="843">
    <w:name w:val="标题11"/>
    <w:basedOn w:val="681"/>
    <w:next w:val="681"/>
    <w:link w:val="844"/>
    <w:uiPriority w:val="10"/>
    <w:qFormat/>
    <w:pPr>
      <w:contextualSpacing/>
      <w:spacing w:before="300" w:after="200"/>
    </w:pPr>
    <w:rPr>
      <w:sz w:val="48"/>
      <w:szCs w:val="48"/>
    </w:rPr>
  </w:style>
  <w:style w:type="character" w:styleId="844">
    <w:name w:val="标题 Char"/>
    <w:next w:val="844"/>
    <w:link w:val="843"/>
    <w:uiPriority w:val="10"/>
    <w:qFormat/>
    <w:rPr>
      <w:sz w:val="48"/>
      <w:szCs w:val="48"/>
    </w:rPr>
  </w:style>
  <w:style w:type="paragraph" w:styleId="845">
    <w:name w:val="批注主题1"/>
    <w:basedOn w:val="802"/>
    <w:next w:val="802"/>
    <w:link w:val="846"/>
    <w:semiHidden/>
    <w:qFormat/>
    <w:rPr>
      <w:b/>
      <w:bCs/>
    </w:rPr>
  </w:style>
  <w:style w:type="character" w:styleId="846">
    <w:name w:val="批注主题 Char"/>
    <w:next w:val="846"/>
    <w:link w:val="845"/>
    <w:semiHidden/>
    <w:qFormat/>
    <w:rPr>
      <w:rFonts w:ascii="Times New Roman" w:hAnsi="Times New Roman" w:eastAsia="宋体" w:cs="Times New Roman"/>
      <w:b/>
      <w:bCs/>
      <w:szCs w:val="21"/>
    </w:rPr>
  </w:style>
  <w:style w:type="paragraph" w:styleId="847">
    <w:name w:val="正文首行缩进1"/>
    <w:basedOn w:val="681"/>
    <w:next w:val="847"/>
    <w:link w:val="848"/>
    <w:qFormat/>
    <w:pPr>
      <w:ind w:firstLine="200"/>
      <w:spacing w:line="360" w:lineRule="auto"/>
    </w:pPr>
    <w:rPr>
      <w:rFonts w:ascii="仿宋_GB2312" w:eastAsia="仿宋_GB2312"/>
      <w:sz w:val="30"/>
      <w:szCs w:val="30"/>
    </w:rPr>
  </w:style>
  <w:style w:type="character" w:styleId="848">
    <w:name w:val="正文首行缩进 Char"/>
    <w:next w:val="848"/>
    <w:link w:val="847"/>
    <w:qFormat/>
    <w:rPr>
      <w:rFonts w:ascii="仿宋_GB2312" w:hAnsi="Times New Roman" w:eastAsia="仿宋_GB2312" w:cs="Times New Roman"/>
      <w:sz w:val="30"/>
      <w:szCs w:val="30"/>
    </w:rPr>
  </w:style>
  <w:style w:type="table" w:styleId="849">
    <w:name w:val="网格型1"/>
    <w:basedOn w:val="797"/>
    <w:next w:val="849"/>
    <w:link w:val="681"/>
    <w:qFormat/>
    <w:pPr>
      <w:jc w:val="both"/>
      <w:widowControl w:val="off"/>
    </w:pPr>
    <w:tblPr/>
  </w:style>
  <w:style w:type="character" w:styleId="850">
    <w:name w:val="要点1"/>
    <w:next w:val="850"/>
    <w:link w:val="681"/>
    <w:qFormat/>
    <w:rPr>
      <w:b/>
      <w:bCs/>
    </w:rPr>
  </w:style>
  <w:style w:type="character" w:styleId="851">
    <w:name w:val="尾注引用1"/>
    <w:next w:val="851"/>
    <w:link w:val="681"/>
    <w:uiPriority w:val="99"/>
    <w:unhideWhenUsed/>
    <w:qFormat/>
    <w:rPr>
      <w:vertAlign w:val="superscript"/>
    </w:rPr>
  </w:style>
  <w:style w:type="character" w:styleId="852">
    <w:name w:val="页码1"/>
    <w:next w:val="852"/>
    <w:link w:val="681"/>
    <w:qFormat/>
  </w:style>
  <w:style w:type="character" w:styleId="853">
    <w:name w:val="已访问的超链接1"/>
    <w:next w:val="853"/>
    <w:link w:val="681"/>
    <w:qFormat/>
    <w:rPr>
      <w:color w:val="800080"/>
      <w:u w:val="single"/>
    </w:rPr>
  </w:style>
  <w:style w:type="character" w:styleId="854">
    <w:name w:val="HTML 打字机1"/>
    <w:next w:val="854"/>
    <w:link w:val="681"/>
    <w:uiPriority w:val="99"/>
    <w:qFormat/>
    <w:rPr>
      <w:rFonts w:ascii="宋体" w:hAnsi="宋体" w:eastAsia="宋体" w:cs="宋体"/>
      <w:sz w:val="24"/>
      <w:szCs w:val="24"/>
    </w:rPr>
  </w:style>
  <w:style w:type="character" w:styleId="855">
    <w:name w:val="超链接1"/>
    <w:next w:val="855"/>
    <w:link w:val="681"/>
    <w:qFormat/>
    <w:rPr>
      <w:color w:val="0000ff"/>
      <w:u w:val="single"/>
    </w:rPr>
  </w:style>
  <w:style w:type="character" w:styleId="856">
    <w:name w:val="批注引用1"/>
    <w:next w:val="856"/>
    <w:link w:val="681"/>
    <w:qFormat/>
    <w:rPr>
      <w:sz w:val="21"/>
      <w:szCs w:val="21"/>
    </w:rPr>
  </w:style>
  <w:style w:type="character" w:styleId="857">
    <w:name w:val="脚注引用1"/>
    <w:next w:val="857"/>
    <w:link w:val="681"/>
    <w:uiPriority w:val="99"/>
    <w:unhideWhenUsed/>
    <w:qFormat/>
    <w:rPr>
      <w:vertAlign w:val="superscript"/>
    </w:rPr>
  </w:style>
  <w:style w:type="paragraph" w:styleId="858">
    <w:name w:val="列出段落1"/>
    <w:basedOn w:val="681"/>
    <w:next w:val="858"/>
    <w:link w:val="681"/>
    <w:uiPriority w:val="34"/>
    <w:qFormat/>
    <w:pPr>
      <w:contextualSpacing/>
      <w:ind w:left="720"/>
      <w:jc w:val="left"/>
      <w:widowControl/>
    </w:pPr>
    <w:rPr>
      <w:rFonts w:ascii="Calibri" w:hAnsi="Calibri"/>
      <w:sz w:val="24"/>
      <w:szCs w:val="24"/>
      <w:lang w:eastAsia="en-US" w:bidi="en-US"/>
    </w:rPr>
  </w:style>
  <w:style w:type="paragraph" w:styleId="859">
    <w:name w:val="无间隔1"/>
    <w:next w:val="859"/>
    <w:link w:val="681"/>
    <w:uiPriority w:val="99"/>
    <w:qFormat/>
    <w:pPr>
      <w:jc w:val="both"/>
      <w:widowControl w:val="off"/>
    </w:pPr>
    <w:rPr>
      <w:sz w:val="21"/>
      <w:szCs w:val="21"/>
      <w:lang w:val="en-US" w:eastAsia="zh-CN" w:bidi="ar-SA"/>
    </w:rPr>
  </w:style>
  <w:style w:type="paragraph" w:styleId="860">
    <w:name w:val="引用1"/>
    <w:basedOn w:val="681"/>
    <w:next w:val="681"/>
    <w:link w:val="861"/>
    <w:uiPriority w:val="29"/>
    <w:qFormat/>
    <w:pPr>
      <w:ind w:left="720" w:right="720"/>
    </w:pPr>
    <w:rPr>
      <w:i/>
      <w:sz w:val="20"/>
      <w:szCs w:val="20"/>
    </w:rPr>
  </w:style>
  <w:style w:type="character" w:styleId="861">
    <w:name w:val="引用 Char"/>
    <w:next w:val="861"/>
    <w:link w:val="860"/>
    <w:uiPriority w:val="29"/>
    <w:qFormat/>
    <w:rPr>
      <w:i/>
    </w:rPr>
  </w:style>
  <w:style w:type="paragraph" w:styleId="862">
    <w:name w:val="明显引用1"/>
    <w:basedOn w:val="681"/>
    <w:next w:val="681"/>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63">
    <w:name w:val="明显引用 Char"/>
    <w:next w:val="863"/>
    <w:link w:val="862"/>
    <w:uiPriority w:val="30"/>
    <w:qFormat/>
    <w:rPr>
      <w:i/>
    </w:rPr>
  </w:style>
  <w:style w:type="paragraph" w:styleId="864">
    <w:name w:val="Header1"/>
    <w:basedOn w:val="681"/>
    <w:next w:val="864"/>
    <w:link w:val="865"/>
    <w:uiPriority w:val="99"/>
    <w:unhideWhenUsed/>
    <w:qFormat/>
    <w:pPr>
      <w:tabs>
        <w:tab w:val="center" w:pos="7143" w:leader="none"/>
        <w:tab w:val="right" w:pos="14287" w:leader="none"/>
      </w:tabs>
    </w:pPr>
  </w:style>
  <w:style w:type="character" w:styleId="865">
    <w:name w:val="Header Char"/>
    <w:next w:val="865"/>
    <w:link w:val="864"/>
    <w:uiPriority w:val="99"/>
    <w:qFormat/>
  </w:style>
  <w:style w:type="paragraph" w:styleId="866">
    <w:name w:val="Footer1"/>
    <w:basedOn w:val="681"/>
    <w:next w:val="866"/>
    <w:link w:val="867"/>
    <w:uiPriority w:val="99"/>
    <w:unhideWhenUsed/>
    <w:qFormat/>
    <w:pPr>
      <w:tabs>
        <w:tab w:val="center" w:pos="7143" w:leader="none"/>
        <w:tab w:val="right" w:pos="14287" w:leader="none"/>
      </w:tabs>
    </w:pPr>
  </w:style>
  <w:style w:type="character" w:styleId="867">
    <w:name w:val="Caption Char"/>
    <w:next w:val="867"/>
    <w:link w:val="866"/>
    <w:uiPriority w:val="99"/>
    <w:qFormat/>
  </w:style>
  <w:style w:type="character" w:styleId="868">
    <w:name w:val="Footer Char"/>
    <w:next w:val="868"/>
    <w:link w:val="681"/>
    <w:uiPriority w:val="99"/>
    <w:qFormat/>
  </w:style>
  <w:style w:type="paragraph" w:styleId="869">
    <w:name w:val="Caption1"/>
    <w:basedOn w:val="681"/>
    <w:next w:val="681"/>
    <w:link w:val="681"/>
    <w:uiPriority w:val="35"/>
    <w:unhideWhenUsed/>
    <w:qFormat/>
    <w:pPr>
      <w:spacing w:line="276" w:lineRule="auto"/>
    </w:pPr>
    <w:rPr>
      <w:b/>
      <w:bCs/>
      <w:color w:val="4f81bd"/>
      <w:sz w:val="18"/>
      <w:szCs w:val="18"/>
    </w:rPr>
  </w:style>
  <w:style w:type="table" w:styleId="870">
    <w:name w:val="Table Grid Light"/>
    <w:next w:val="870"/>
    <w:link w:val="681"/>
    <w:uiPriority w:val="59"/>
    <w:qFormat/>
    <w:rPr>
      <w:lang w:val="en-US" w:eastAsia="zh-CN" w:bidi="ar-SA"/>
    </w:rPr>
    <w:tblPr/>
  </w:style>
  <w:style w:type="table" w:styleId="871">
    <w:name w:val="Plain Table 1"/>
    <w:next w:val="871"/>
    <w:link w:val="681"/>
    <w:uiPriority w:val="59"/>
    <w:qFormat/>
    <w:rPr>
      <w:lang w:val="en-US" w:eastAsia="zh-CN" w:bidi="ar-SA"/>
    </w:rPr>
    <w:tblPr/>
  </w:style>
  <w:style w:type="table" w:styleId="872">
    <w:name w:val="Plain Table 2"/>
    <w:next w:val="872"/>
    <w:link w:val="681"/>
    <w:uiPriority w:val="59"/>
    <w:qFormat/>
    <w:rPr>
      <w:lang w:val="en-US" w:eastAsia="zh-CN" w:bidi="ar-SA"/>
    </w:rPr>
    <w:tblPr/>
  </w:style>
  <w:style w:type="table" w:styleId="873">
    <w:name w:val="Plain Table 3"/>
    <w:next w:val="873"/>
    <w:link w:val="681"/>
    <w:uiPriority w:val="99"/>
    <w:qFormat/>
    <w:rPr>
      <w:lang w:val="en-US" w:eastAsia="zh-CN" w:bidi="ar-SA"/>
    </w:rPr>
    <w:tblPr/>
  </w:style>
  <w:style w:type="table" w:styleId="874">
    <w:name w:val="Plain Table 4"/>
    <w:next w:val="874"/>
    <w:link w:val="681"/>
    <w:uiPriority w:val="99"/>
    <w:qFormat/>
    <w:rPr>
      <w:lang w:val="en-US" w:eastAsia="zh-CN" w:bidi="ar-SA"/>
    </w:rPr>
    <w:tblPr/>
  </w:style>
  <w:style w:type="table" w:styleId="875">
    <w:name w:val="Plain Table 5"/>
    <w:next w:val="875"/>
    <w:link w:val="681"/>
    <w:uiPriority w:val="99"/>
    <w:qFormat/>
    <w:rPr>
      <w:lang w:val="en-US" w:eastAsia="zh-CN" w:bidi="ar-SA"/>
    </w:rPr>
    <w:tblPr/>
  </w:style>
  <w:style w:type="table" w:styleId="876">
    <w:name w:val="Grid Table 1 Light"/>
    <w:next w:val="876"/>
    <w:link w:val="681"/>
    <w:uiPriority w:val="99"/>
    <w:qFormat/>
    <w:rPr>
      <w:lang w:val="en-US" w:eastAsia="zh-CN" w:bidi="ar-SA"/>
    </w:rPr>
    <w:tblPr/>
  </w:style>
  <w:style w:type="table" w:styleId="877">
    <w:name w:val="Grid Table 1 Light - Accent 1"/>
    <w:next w:val="877"/>
    <w:link w:val="681"/>
    <w:uiPriority w:val="99"/>
    <w:qFormat/>
    <w:rPr>
      <w:lang w:val="en-US" w:eastAsia="zh-CN" w:bidi="ar-SA"/>
    </w:rPr>
    <w:tblPr/>
  </w:style>
  <w:style w:type="table" w:styleId="878">
    <w:name w:val="Grid Table 1 Light - Accent 2"/>
    <w:next w:val="878"/>
    <w:link w:val="681"/>
    <w:uiPriority w:val="99"/>
    <w:qFormat/>
    <w:rPr>
      <w:lang w:val="en-US" w:eastAsia="zh-CN" w:bidi="ar-SA"/>
    </w:rPr>
    <w:tblPr/>
  </w:style>
  <w:style w:type="table" w:styleId="879">
    <w:name w:val="Grid Table 1 Light - Accent 3"/>
    <w:next w:val="879"/>
    <w:link w:val="681"/>
    <w:uiPriority w:val="99"/>
    <w:qFormat/>
    <w:rPr>
      <w:lang w:val="en-US" w:eastAsia="zh-CN" w:bidi="ar-SA"/>
    </w:rPr>
    <w:tblPr/>
  </w:style>
  <w:style w:type="table" w:styleId="880">
    <w:name w:val="Grid Table 1 Light - Accent 4"/>
    <w:next w:val="880"/>
    <w:link w:val="681"/>
    <w:uiPriority w:val="99"/>
    <w:qFormat/>
    <w:rPr>
      <w:lang w:val="en-US" w:eastAsia="zh-CN" w:bidi="ar-SA"/>
    </w:rPr>
    <w:tblPr/>
  </w:style>
  <w:style w:type="table" w:styleId="881">
    <w:name w:val="Grid Table 1 Light - Accent 5"/>
    <w:next w:val="881"/>
    <w:link w:val="681"/>
    <w:uiPriority w:val="99"/>
    <w:qFormat/>
    <w:rPr>
      <w:lang w:val="en-US" w:eastAsia="zh-CN" w:bidi="ar-SA"/>
    </w:rPr>
    <w:tblPr/>
  </w:style>
  <w:style w:type="table" w:styleId="882">
    <w:name w:val="Grid Table 1 Light - Accent 6"/>
    <w:next w:val="882"/>
    <w:link w:val="681"/>
    <w:uiPriority w:val="99"/>
    <w:qFormat/>
    <w:rPr>
      <w:lang w:val="en-US" w:eastAsia="zh-CN" w:bidi="ar-SA"/>
    </w:rPr>
    <w:tblPr/>
  </w:style>
  <w:style w:type="table" w:styleId="883">
    <w:name w:val="Grid Table 2"/>
    <w:next w:val="883"/>
    <w:link w:val="681"/>
    <w:uiPriority w:val="99"/>
    <w:qFormat/>
    <w:rPr>
      <w:lang w:val="en-US" w:eastAsia="zh-CN" w:bidi="ar-SA"/>
    </w:rPr>
    <w:tblPr/>
  </w:style>
  <w:style w:type="table" w:styleId="884">
    <w:name w:val="Grid Table 2 - Accent 1"/>
    <w:next w:val="884"/>
    <w:link w:val="681"/>
    <w:uiPriority w:val="99"/>
    <w:qFormat/>
    <w:rPr>
      <w:lang w:val="en-US" w:eastAsia="zh-CN" w:bidi="ar-SA"/>
    </w:rPr>
    <w:tblPr/>
  </w:style>
  <w:style w:type="table" w:styleId="885">
    <w:name w:val="Grid Table 2 - Accent 2"/>
    <w:next w:val="885"/>
    <w:link w:val="681"/>
    <w:uiPriority w:val="99"/>
    <w:qFormat/>
    <w:rPr>
      <w:lang w:val="en-US" w:eastAsia="zh-CN" w:bidi="ar-SA"/>
    </w:rPr>
    <w:tblPr/>
  </w:style>
  <w:style w:type="table" w:styleId="886">
    <w:name w:val="Grid Table 2 - Accent 3"/>
    <w:next w:val="886"/>
    <w:link w:val="681"/>
    <w:uiPriority w:val="99"/>
    <w:qFormat/>
    <w:rPr>
      <w:lang w:val="en-US" w:eastAsia="zh-CN" w:bidi="ar-SA"/>
    </w:rPr>
    <w:tblPr/>
  </w:style>
  <w:style w:type="table" w:styleId="887">
    <w:name w:val="Grid Table 2 - Accent 4"/>
    <w:next w:val="887"/>
    <w:link w:val="681"/>
    <w:uiPriority w:val="99"/>
    <w:qFormat/>
    <w:rPr>
      <w:lang w:val="en-US" w:eastAsia="zh-CN" w:bidi="ar-SA"/>
    </w:rPr>
    <w:tblPr/>
  </w:style>
  <w:style w:type="table" w:styleId="888">
    <w:name w:val="Grid Table 2 - Accent 5"/>
    <w:next w:val="888"/>
    <w:link w:val="681"/>
    <w:uiPriority w:val="99"/>
    <w:qFormat/>
    <w:rPr>
      <w:lang w:val="en-US" w:eastAsia="zh-CN" w:bidi="ar-SA"/>
    </w:rPr>
    <w:tblPr/>
  </w:style>
  <w:style w:type="table" w:styleId="889">
    <w:name w:val="Grid Table 2 - Accent 6"/>
    <w:next w:val="889"/>
    <w:link w:val="681"/>
    <w:uiPriority w:val="99"/>
    <w:qFormat/>
    <w:rPr>
      <w:lang w:val="en-US" w:eastAsia="zh-CN" w:bidi="ar-SA"/>
    </w:rPr>
    <w:tblPr/>
  </w:style>
  <w:style w:type="table" w:styleId="890">
    <w:name w:val="Grid Table 3"/>
    <w:next w:val="890"/>
    <w:link w:val="681"/>
    <w:uiPriority w:val="99"/>
    <w:qFormat/>
    <w:rPr>
      <w:lang w:val="en-US" w:eastAsia="zh-CN" w:bidi="ar-SA"/>
    </w:rPr>
    <w:tblPr/>
  </w:style>
  <w:style w:type="table" w:styleId="891">
    <w:name w:val="Grid Table 3 - Accent 1"/>
    <w:next w:val="891"/>
    <w:link w:val="681"/>
    <w:uiPriority w:val="99"/>
    <w:qFormat/>
    <w:rPr>
      <w:lang w:val="en-US" w:eastAsia="zh-CN" w:bidi="ar-SA"/>
    </w:rPr>
    <w:tblPr/>
  </w:style>
  <w:style w:type="table" w:styleId="892">
    <w:name w:val="Grid Table 3 - Accent 2"/>
    <w:next w:val="892"/>
    <w:link w:val="681"/>
    <w:uiPriority w:val="99"/>
    <w:qFormat/>
    <w:rPr>
      <w:lang w:val="en-US" w:eastAsia="zh-CN" w:bidi="ar-SA"/>
    </w:rPr>
    <w:tblPr/>
  </w:style>
  <w:style w:type="table" w:styleId="893">
    <w:name w:val="Grid Table 3 - Accent 3"/>
    <w:next w:val="893"/>
    <w:link w:val="681"/>
    <w:uiPriority w:val="99"/>
    <w:qFormat/>
    <w:rPr>
      <w:lang w:val="en-US" w:eastAsia="zh-CN" w:bidi="ar-SA"/>
    </w:rPr>
    <w:tblPr/>
  </w:style>
  <w:style w:type="table" w:styleId="894">
    <w:name w:val="Grid Table 3 - Accent 4"/>
    <w:next w:val="894"/>
    <w:link w:val="681"/>
    <w:uiPriority w:val="99"/>
    <w:qFormat/>
    <w:rPr>
      <w:lang w:val="en-US" w:eastAsia="zh-CN" w:bidi="ar-SA"/>
    </w:rPr>
    <w:tblPr/>
  </w:style>
  <w:style w:type="table" w:styleId="895">
    <w:name w:val="Grid Table 3 - Accent 5"/>
    <w:next w:val="895"/>
    <w:link w:val="681"/>
    <w:uiPriority w:val="99"/>
    <w:qFormat/>
    <w:rPr>
      <w:lang w:val="en-US" w:eastAsia="zh-CN" w:bidi="ar-SA"/>
    </w:rPr>
    <w:tblPr/>
  </w:style>
  <w:style w:type="table" w:styleId="896">
    <w:name w:val="Grid Table 3 - Accent 6"/>
    <w:next w:val="896"/>
    <w:link w:val="681"/>
    <w:uiPriority w:val="99"/>
    <w:qFormat/>
    <w:rPr>
      <w:lang w:val="en-US" w:eastAsia="zh-CN" w:bidi="ar-SA"/>
    </w:rPr>
    <w:tblPr/>
  </w:style>
  <w:style w:type="table" w:styleId="897">
    <w:name w:val="Grid Table 4"/>
    <w:next w:val="897"/>
    <w:link w:val="681"/>
    <w:uiPriority w:val="59"/>
    <w:qFormat/>
    <w:rPr>
      <w:lang w:val="en-US" w:eastAsia="zh-CN" w:bidi="ar-SA"/>
    </w:rPr>
    <w:tblPr/>
  </w:style>
  <w:style w:type="table" w:styleId="898">
    <w:name w:val="Grid Table 4 - Accent 1"/>
    <w:next w:val="898"/>
    <w:link w:val="681"/>
    <w:uiPriority w:val="59"/>
    <w:qFormat/>
    <w:rPr>
      <w:lang w:val="en-US" w:eastAsia="zh-CN" w:bidi="ar-SA"/>
    </w:rPr>
    <w:tblPr/>
  </w:style>
  <w:style w:type="table" w:styleId="899">
    <w:name w:val="Grid Table 4 - Accent 2"/>
    <w:next w:val="899"/>
    <w:link w:val="681"/>
    <w:uiPriority w:val="59"/>
    <w:qFormat/>
    <w:rPr>
      <w:lang w:val="en-US" w:eastAsia="zh-CN" w:bidi="ar-SA"/>
    </w:rPr>
    <w:tblPr/>
  </w:style>
  <w:style w:type="table" w:styleId="900">
    <w:name w:val="Grid Table 4 - Accent 3"/>
    <w:next w:val="900"/>
    <w:link w:val="681"/>
    <w:uiPriority w:val="59"/>
    <w:qFormat/>
    <w:rPr>
      <w:lang w:val="en-US" w:eastAsia="zh-CN" w:bidi="ar-SA"/>
    </w:rPr>
    <w:tblPr/>
  </w:style>
  <w:style w:type="table" w:styleId="901">
    <w:name w:val="Grid Table 4 - Accent 4"/>
    <w:next w:val="901"/>
    <w:link w:val="681"/>
    <w:uiPriority w:val="59"/>
    <w:qFormat/>
    <w:rPr>
      <w:lang w:val="en-US" w:eastAsia="zh-CN" w:bidi="ar-SA"/>
    </w:rPr>
    <w:tblPr/>
  </w:style>
  <w:style w:type="table" w:styleId="902">
    <w:name w:val="Grid Table 4 - Accent 5"/>
    <w:next w:val="902"/>
    <w:link w:val="681"/>
    <w:uiPriority w:val="59"/>
    <w:qFormat/>
    <w:rPr>
      <w:lang w:val="en-US" w:eastAsia="zh-CN" w:bidi="ar-SA"/>
    </w:rPr>
    <w:tblPr/>
  </w:style>
  <w:style w:type="table" w:styleId="903">
    <w:name w:val="Grid Table 4 - Accent 6"/>
    <w:next w:val="903"/>
    <w:link w:val="681"/>
    <w:uiPriority w:val="59"/>
    <w:qFormat/>
    <w:rPr>
      <w:lang w:val="en-US" w:eastAsia="zh-CN" w:bidi="ar-SA"/>
    </w:rPr>
    <w:tblPr/>
  </w:style>
  <w:style w:type="table" w:styleId="904">
    <w:name w:val="Grid Table 5 Dark"/>
    <w:next w:val="904"/>
    <w:link w:val="681"/>
    <w:uiPriority w:val="99"/>
    <w:qFormat/>
    <w:rPr>
      <w:lang w:val="en-US" w:eastAsia="zh-CN" w:bidi="ar-SA"/>
    </w:rPr>
    <w:tblPr/>
  </w:style>
  <w:style w:type="table" w:styleId="905">
    <w:name w:val="Grid Table 5 Dark- Accent 1"/>
    <w:next w:val="905"/>
    <w:link w:val="681"/>
    <w:uiPriority w:val="99"/>
    <w:qFormat/>
    <w:rPr>
      <w:lang w:val="en-US" w:eastAsia="zh-CN" w:bidi="ar-SA"/>
    </w:rPr>
    <w:tblPr/>
  </w:style>
  <w:style w:type="table" w:styleId="906">
    <w:name w:val="Grid Table 5 Dark - Accent 2"/>
    <w:next w:val="906"/>
    <w:link w:val="681"/>
    <w:uiPriority w:val="99"/>
    <w:qFormat/>
    <w:rPr>
      <w:lang w:val="en-US" w:eastAsia="zh-CN" w:bidi="ar-SA"/>
    </w:rPr>
    <w:tblPr/>
  </w:style>
  <w:style w:type="table" w:styleId="907">
    <w:name w:val="Grid Table 5 Dark - Accent 3"/>
    <w:next w:val="907"/>
    <w:link w:val="681"/>
    <w:uiPriority w:val="99"/>
    <w:qFormat/>
    <w:rPr>
      <w:lang w:val="en-US" w:eastAsia="zh-CN" w:bidi="ar-SA"/>
    </w:rPr>
    <w:tblPr/>
  </w:style>
  <w:style w:type="table" w:styleId="908">
    <w:name w:val="Grid Table 5 Dark- Accent 4"/>
    <w:next w:val="908"/>
    <w:link w:val="681"/>
    <w:uiPriority w:val="99"/>
    <w:qFormat/>
    <w:rPr>
      <w:lang w:val="en-US" w:eastAsia="zh-CN" w:bidi="ar-SA"/>
    </w:rPr>
    <w:tblPr/>
  </w:style>
  <w:style w:type="table" w:styleId="909">
    <w:name w:val="Grid Table 5 Dark - Accent 5"/>
    <w:next w:val="909"/>
    <w:link w:val="681"/>
    <w:uiPriority w:val="99"/>
    <w:qFormat/>
    <w:rPr>
      <w:lang w:val="en-US" w:eastAsia="zh-CN" w:bidi="ar-SA"/>
    </w:rPr>
    <w:tblPr/>
  </w:style>
  <w:style w:type="table" w:styleId="910">
    <w:name w:val="Grid Table 5 Dark - Accent 6"/>
    <w:next w:val="910"/>
    <w:link w:val="681"/>
    <w:uiPriority w:val="99"/>
    <w:qFormat/>
    <w:rPr>
      <w:lang w:val="en-US" w:eastAsia="zh-CN" w:bidi="ar-SA"/>
    </w:rPr>
    <w:tblPr/>
  </w:style>
  <w:style w:type="table" w:styleId="911">
    <w:name w:val="Grid Table 6 Colorful"/>
    <w:next w:val="911"/>
    <w:link w:val="681"/>
    <w:uiPriority w:val="99"/>
    <w:qFormat/>
    <w:rPr>
      <w:lang w:val="en-US" w:eastAsia="zh-CN" w:bidi="ar-SA"/>
    </w:rPr>
    <w:tblPr/>
  </w:style>
  <w:style w:type="table" w:styleId="912">
    <w:name w:val="Grid Table 6 Colorful - Accent 1"/>
    <w:next w:val="912"/>
    <w:link w:val="681"/>
    <w:uiPriority w:val="99"/>
    <w:qFormat/>
    <w:rPr>
      <w:lang w:val="en-US" w:eastAsia="zh-CN" w:bidi="ar-SA"/>
    </w:rPr>
    <w:tblPr/>
  </w:style>
  <w:style w:type="table" w:styleId="913">
    <w:name w:val="Grid Table 6 Colorful - Accent 2"/>
    <w:next w:val="913"/>
    <w:link w:val="681"/>
    <w:uiPriority w:val="99"/>
    <w:qFormat/>
    <w:rPr>
      <w:lang w:val="en-US" w:eastAsia="zh-CN" w:bidi="ar-SA"/>
    </w:rPr>
    <w:tblPr/>
  </w:style>
  <w:style w:type="table" w:styleId="914">
    <w:name w:val="Grid Table 6 Colorful - Accent 3"/>
    <w:next w:val="914"/>
    <w:link w:val="681"/>
    <w:uiPriority w:val="99"/>
    <w:qFormat/>
    <w:rPr>
      <w:lang w:val="en-US" w:eastAsia="zh-CN" w:bidi="ar-SA"/>
    </w:rPr>
    <w:tblPr/>
  </w:style>
  <w:style w:type="table" w:styleId="915">
    <w:name w:val="Grid Table 6 Colorful - Accent 4"/>
    <w:next w:val="915"/>
    <w:link w:val="681"/>
    <w:uiPriority w:val="99"/>
    <w:qFormat/>
    <w:rPr>
      <w:lang w:val="en-US" w:eastAsia="zh-CN" w:bidi="ar-SA"/>
    </w:rPr>
    <w:tblPr/>
  </w:style>
  <w:style w:type="table" w:styleId="916">
    <w:name w:val="Grid Table 6 Colorful - Accent 5"/>
    <w:next w:val="916"/>
    <w:link w:val="681"/>
    <w:uiPriority w:val="99"/>
    <w:qFormat/>
    <w:rPr>
      <w:lang w:val="en-US" w:eastAsia="zh-CN" w:bidi="ar-SA"/>
    </w:rPr>
    <w:tblPr/>
  </w:style>
  <w:style w:type="table" w:styleId="917">
    <w:name w:val="Grid Table 6 Colorful - Accent 6"/>
    <w:next w:val="917"/>
    <w:link w:val="681"/>
    <w:uiPriority w:val="99"/>
    <w:qFormat/>
    <w:rPr>
      <w:lang w:val="en-US" w:eastAsia="zh-CN" w:bidi="ar-SA"/>
    </w:rPr>
    <w:tblPr/>
  </w:style>
  <w:style w:type="table" w:styleId="918">
    <w:name w:val="Grid Table 7 Colorful"/>
    <w:next w:val="918"/>
    <w:link w:val="681"/>
    <w:uiPriority w:val="99"/>
    <w:qFormat/>
    <w:rPr>
      <w:lang w:val="en-US" w:eastAsia="zh-CN" w:bidi="ar-SA"/>
    </w:rPr>
    <w:tblPr/>
  </w:style>
  <w:style w:type="table" w:styleId="919">
    <w:name w:val="Grid Table 7 Colorful - Accent 1"/>
    <w:next w:val="919"/>
    <w:link w:val="681"/>
    <w:uiPriority w:val="99"/>
    <w:qFormat/>
    <w:rPr>
      <w:lang w:val="en-US" w:eastAsia="zh-CN" w:bidi="ar-SA"/>
    </w:rPr>
    <w:tblPr/>
  </w:style>
  <w:style w:type="table" w:styleId="920">
    <w:name w:val="Grid Table 7 Colorful - Accent 2"/>
    <w:next w:val="920"/>
    <w:link w:val="681"/>
    <w:uiPriority w:val="99"/>
    <w:qFormat/>
    <w:rPr>
      <w:lang w:val="en-US" w:eastAsia="zh-CN" w:bidi="ar-SA"/>
    </w:rPr>
    <w:tblPr/>
  </w:style>
  <w:style w:type="table" w:styleId="921">
    <w:name w:val="Grid Table 7 Colorful - Accent 3"/>
    <w:next w:val="921"/>
    <w:link w:val="681"/>
    <w:uiPriority w:val="99"/>
    <w:qFormat/>
    <w:rPr>
      <w:lang w:val="en-US" w:eastAsia="zh-CN" w:bidi="ar-SA"/>
    </w:rPr>
    <w:tblPr/>
  </w:style>
  <w:style w:type="table" w:styleId="922">
    <w:name w:val="Grid Table 7 Colorful - Accent 4"/>
    <w:next w:val="922"/>
    <w:link w:val="681"/>
    <w:uiPriority w:val="99"/>
    <w:qFormat/>
    <w:rPr>
      <w:lang w:val="en-US" w:eastAsia="zh-CN" w:bidi="ar-SA"/>
    </w:rPr>
    <w:tblPr/>
  </w:style>
  <w:style w:type="table" w:styleId="923">
    <w:name w:val="Grid Table 7 Colorful - Accent 5"/>
    <w:next w:val="923"/>
    <w:link w:val="681"/>
    <w:uiPriority w:val="99"/>
    <w:qFormat/>
    <w:rPr>
      <w:lang w:val="en-US" w:eastAsia="zh-CN" w:bidi="ar-SA"/>
    </w:rPr>
    <w:tblPr/>
  </w:style>
  <w:style w:type="table" w:styleId="924">
    <w:name w:val="Grid Table 7 Colorful - Accent 6"/>
    <w:next w:val="924"/>
    <w:link w:val="681"/>
    <w:uiPriority w:val="99"/>
    <w:qFormat/>
    <w:rPr>
      <w:lang w:val="en-US" w:eastAsia="zh-CN" w:bidi="ar-SA"/>
    </w:rPr>
    <w:tblPr/>
  </w:style>
  <w:style w:type="table" w:styleId="925">
    <w:name w:val="List Table 1 Light"/>
    <w:next w:val="925"/>
    <w:link w:val="681"/>
    <w:uiPriority w:val="99"/>
    <w:qFormat/>
    <w:rPr>
      <w:lang w:val="en-US" w:eastAsia="zh-CN" w:bidi="ar-SA"/>
    </w:rPr>
    <w:tblPr/>
  </w:style>
  <w:style w:type="table" w:styleId="926">
    <w:name w:val="List Table 1 Light - Accent 1"/>
    <w:next w:val="926"/>
    <w:link w:val="681"/>
    <w:uiPriority w:val="99"/>
    <w:qFormat/>
    <w:rPr>
      <w:lang w:val="en-US" w:eastAsia="zh-CN" w:bidi="ar-SA"/>
    </w:rPr>
    <w:tblPr/>
  </w:style>
  <w:style w:type="table" w:styleId="927">
    <w:name w:val="List Table 1 Light - Accent 2"/>
    <w:next w:val="927"/>
    <w:link w:val="681"/>
    <w:uiPriority w:val="99"/>
    <w:qFormat/>
    <w:rPr>
      <w:lang w:val="en-US" w:eastAsia="zh-CN" w:bidi="ar-SA"/>
    </w:rPr>
    <w:tblPr/>
  </w:style>
  <w:style w:type="table" w:styleId="928">
    <w:name w:val="List Table 1 Light - Accent 3"/>
    <w:next w:val="928"/>
    <w:link w:val="681"/>
    <w:uiPriority w:val="99"/>
    <w:qFormat/>
    <w:rPr>
      <w:lang w:val="en-US" w:eastAsia="zh-CN" w:bidi="ar-SA"/>
    </w:rPr>
    <w:tblPr/>
  </w:style>
  <w:style w:type="table" w:styleId="929">
    <w:name w:val="List Table 1 Light - Accent 4"/>
    <w:next w:val="929"/>
    <w:link w:val="681"/>
    <w:uiPriority w:val="99"/>
    <w:qFormat/>
    <w:rPr>
      <w:lang w:val="en-US" w:eastAsia="zh-CN" w:bidi="ar-SA"/>
    </w:rPr>
    <w:tblPr/>
  </w:style>
  <w:style w:type="table" w:styleId="930">
    <w:name w:val="List Table 1 Light - Accent 5"/>
    <w:next w:val="930"/>
    <w:link w:val="681"/>
    <w:uiPriority w:val="99"/>
    <w:qFormat/>
    <w:rPr>
      <w:lang w:val="en-US" w:eastAsia="zh-CN" w:bidi="ar-SA"/>
    </w:rPr>
    <w:tblPr/>
  </w:style>
  <w:style w:type="table" w:styleId="931">
    <w:name w:val="List Table 1 Light - Accent 6"/>
    <w:next w:val="931"/>
    <w:link w:val="681"/>
    <w:uiPriority w:val="99"/>
    <w:qFormat/>
    <w:rPr>
      <w:lang w:val="en-US" w:eastAsia="zh-CN" w:bidi="ar-SA"/>
    </w:rPr>
    <w:tblPr/>
  </w:style>
  <w:style w:type="table" w:styleId="932">
    <w:name w:val="List Table 2"/>
    <w:next w:val="932"/>
    <w:link w:val="681"/>
    <w:uiPriority w:val="99"/>
    <w:qFormat/>
    <w:rPr>
      <w:lang w:val="en-US" w:eastAsia="zh-CN" w:bidi="ar-SA"/>
    </w:rPr>
    <w:tblPr/>
  </w:style>
  <w:style w:type="table" w:styleId="933">
    <w:name w:val="List Table 2 - Accent 1"/>
    <w:next w:val="933"/>
    <w:link w:val="681"/>
    <w:uiPriority w:val="99"/>
    <w:qFormat/>
    <w:rPr>
      <w:lang w:val="en-US" w:eastAsia="zh-CN" w:bidi="ar-SA"/>
    </w:rPr>
    <w:tblPr/>
  </w:style>
  <w:style w:type="table" w:styleId="934">
    <w:name w:val="List Table 2 - Accent 2"/>
    <w:next w:val="934"/>
    <w:link w:val="681"/>
    <w:uiPriority w:val="99"/>
    <w:qFormat/>
    <w:rPr>
      <w:lang w:val="en-US" w:eastAsia="zh-CN" w:bidi="ar-SA"/>
    </w:rPr>
    <w:tblPr/>
  </w:style>
  <w:style w:type="table" w:styleId="935">
    <w:name w:val="List Table 2 - Accent 3"/>
    <w:next w:val="935"/>
    <w:link w:val="681"/>
    <w:uiPriority w:val="99"/>
    <w:qFormat/>
    <w:rPr>
      <w:lang w:val="en-US" w:eastAsia="zh-CN" w:bidi="ar-SA"/>
    </w:rPr>
    <w:tblPr/>
  </w:style>
  <w:style w:type="table" w:styleId="936">
    <w:name w:val="List Table 2 - Accent 4"/>
    <w:next w:val="936"/>
    <w:link w:val="681"/>
    <w:uiPriority w:val="99"/>
    <w:qFormat/>
    <w:rPr>
      <w:lang w:val="en-US" w:eastAsia="zh-CN" w:bidi="ar-SA"/>
    </w:rPr>
    <w:tblPr/>
  </w:style>
  <w:style w:type="table" w:styleId="937">
    <w:name w:val="List Table 2 - Accent 5"/>
    <w:next w:val="937"/>
    <w:link w:val="681"/>
    <w:uiPriority w:val="99"/>
    <w:qFormat/>
    <w:rPr>
      <w:lang w:val="en-US" w:eastAsia="zh-CN" w:bidi="ar-SA"/>
    </w:rPr>
    <w:tblPr/>
  </w:style>
  <w:style w:type="table" w:styleId="938">
    <w:name w:val="List Table 2 - Accent 6"/>
    <w:next w:val="938"/>
    <w:link w:val="681"/>
    <w:uiPriority w:val="99"/>
    <w:qFormat/>
    <w:rPr>
      <w:lang w:val="en-US" w:eastAsia="zh-CN" w:bidi="ar-SA"/>
    </w:rPr>
    <w:tblPr/>
  </w:style>
  <w:style w:type="table" w:styleId="939">
    <w:name w:val="List Table 3"/>
    <w:next w:val="939"/>
    <w:link w:val="681"/>
    <w:uiPriority w:val="99"/>
    <w:qFormat/>
    <w:rPr>
      <w:lang w:val="en-US" w:eastAsia="zh-CN" w:bidi="ar-SA"/>
    </w:rPr>
    <w:tblPr/>
  </w:style>
  <w:style w:type="table" w:styleId="940">
    <w:name w:val="List Table 3 - Accent 1"/>
    <w:next w:val="940"/>
    <w:link w:val="681"/>
    <w:uiPriority w:val="99"/>
    <w:qFormat/>
    <w:rPr>
      <w:lang w:val="en-US" w:eastAsia="zh-CN" w:bidi="ar-SA"/>
    </w:rPr>
    <w:tblPr/>
  </w:style>
  <w:style w:type="table" w:styleId="941">
    <w:name w:val="List Table 3 - Accent 2"/>
    <w:next w:val="941"/>
    <w:link w:val="681"/>
    <w:uiPriority w:val="99"/>
    <w:qFormat/>
    <w:rPr>
      <w:lang w:val="en-US" w:eastAsia="zh-CN" w:bidi="ar-SA"/>
    </w:rPr>
    <w:tblPr/>
  </w:style>
  <w:style w:type="table" w:styleId="942">
    <w:name w:val="List Table 3 - Accent 3"/>
    <w:next w:val="942"/>
    <w:link w:val="681"/>
    <w:uiPriority w:val="99"/>
    <w:qFormat/>
    <w:rPr>
      <w:lang w:val="en-US" w:eastAsia="zh-CN" w:bidi="ar-SA"/>
    </w:rPr>
    <w:tblPr/>
  </w:style>
  <w:style w:type="table" w:styleId="943">
    <w:name w:val="List Table 3 - Accent 4"/>
    <w:next w:val="943"/>
    <w:link w:val="681"/>
    <w:uiPriority w:val="99"/>
    <w:qFormat/>
    <w:rPr>
      <w:lang w:val="en-US" w:eastAsia="zh-CN" w:bidi="ar-SA"/>
    </w:rPr>
    <w:tblPr/>
  </w:style>
  <w:style w:type="table" w:styleId="944">
    <w:name w:val="List Table 3 - Accent 5"/>
    <w:next w:val="944"/>
    <w:link w:val="681"/>
    <w:uiPriority w:val="99"/>
    <w:qFormat/>
    <w:rPr>
      <w:lang w:val="en-US" w:eastAsia="zh-CN" w:bidi="ar-SA"/>
    </w:rPr>
    <w:tblPr/>
  </w:style>
  <w:style w:type="table" w:styleId="945">
    <w:name w:val="List Table 3 - Accent 6"/>
    <w:next w:val="945"/>
    <w:link w:val="681"/>
    <w:uiPriority w:val="99"/>
    <w:qFormat/>
    <w:rPr>
      <w:lang w:val="en-US" w:eastAsia="zh-CN" w:bidi="ar-SA"/>
    </w:rPr>
    <w:tblPr/>
  </w:style>
  <w:style w:type="table" w:styleId="946">
    <w:name w:val="List Table 4"/>
    <w:next w:val="946"/>
    <w:link w:val="681"/>
    <w:uiPriority w:val="99"/>
    <w:qFormat/>
    <w:rPr>
      <w:lang w:val="en-US" w:eastAsia="zh-CN" w:bidi="ar-SA"/>
    </w:rPr>
    <w:tblPr/>
  </w:style>
  <w:style w:type="table" w:styleId="947">
    <w:name w:val="List Table 4 - Accent 1"/>
    <w:next w:val="947"/>
    <w:link w:val="681"/>
    <w:uiPriority w:val="99"/>
    <w:qFormat/>
    <w:rPr>
      <w:lang w:val="en-US" w:eastAsia="zh-CN" w:bidi="ar-SA"/>
    </w:rPr>
    <w:tblPr/>
  </w:style>
  <w:style w:type="table" w:styleId="948">
    <w:name w:val="List Table 4 - Accent 2"/>
    <w:next w:val="948"/>
    <w:link w:val="681"/>
    <w:uiPriority w:val="99"/>
    <w:qFormat/>
    <w:rPr>
      <w:lang w:val="en-US" w:eastAsia="zh-CN" w:bidi="ar-SA"/>
    </w:rPr>
    <w:tblPr/>
  </w:style>
  <w:style w:type="table" w:styleId="949">
    <w:name w:val="List Table 4 - Accent 3"/>
    <w:next w:val="949"/>
    <w:link w:val="681"/>
    <w:uiPriority w:val="99"/>
    <w:qFormat/>
    <w:rPr>
      <w:lang w:val="en-US" w:eastAsia="zh-CN" w:bidi="ar-SA"/>
    </w:rPr>
    <w:tblPr/>
  </w:style>
  <w:style w:type="table" w:styleId="950">
    <w:name w:val="List Table 4 - Accent 4"/>
    <w:next w:val="950"/>
    <w:link w:val="681"/>
    <w:uiPriority w:val="99"/>
    <w:qFormat/>
    <w:rPr>
      <w:lang w:val="en-US" w:eastAsia="zh-CN" w:bidi="ar-SA"/>
    </w:rPr>
    <w:tblPr/>
  </w:style>
  <w:style w:type="table" w:styleId="951">
    <w:name w:val="List Table 4 - Accent 5"/>
    <w:next w:val="951"/>
    <w:link w:val="681"/>
    <w:uiPriority w:val="99"/>
    <w:qFormat/>
    <w:rPr>
      <w:lang w:val="en-US" w:eastAsia="zh-CN" w:bidi="ar-SA"/>
    </w:rPr>
    <w:tblPr/>
  </w:style>
  <w:style w:type="table" w:styleId="952">
    <w:name w:val="List Table 4 - Accent 6"/>
    <w:next w:val="952"/>
    <w:link w:val="681"/>
    <w:uiPriority w:val="99"/>
    <w:qFormat/>
    <w:rPr>
      <w:lang w:val="en-US" w:eastAsia="zh-CN" w:bidi="ar-SA"/>
    </w:rPr>
    <w:tblPr/>
  </w:style>
  <w:style w:type="table" w:styleId="953">
    <w:name w:val="List Table 5 Dark"/>
    <w:next w:val="953"/>
    <w:link w:val="681"/>
    <w:uiPriority w:val="99"/>
    <w:qFormat/>
    <w:rPr>
      <w:lang w:val="en-US" w:eastAsia="zh-CN" w:bidi="ar-SA"/>
    </w:rPr>
    <w:tblPr/>
  </w:style>
  <w:style w:type="table" w:styleId="954">
    <w:name w:val="List Table 5 Dark - Accent 1"/>
    <w:next w:val="954"/>
    <w:link w:val="681"/>
    <w:uiPriority w:val="99"/>
    <w:qFormat/>
    <w:rPr>
      <w:lang w:val="en-US" w:eastAsia="zh-CN" w:bidi="ar-SA"/>
    </w:rPr>
    <w:tblPr/>
  </w:style>
  <w:style w:type="table" w:styleId="955">
    <w:name w:val="List Table 5 Dark - Accent 2"/>
    <w:next w:val="955"/>
    <w:link w:val="681"/>
    <w:uiPriority w:val="99"/>
    <w:qFormat/>
    <w:rPr>
      <w:lang w:val="en-US" w:eastAsia="zh-CN" w:bidi="ar-SA"/>
    </w:rPr>
    <w:tblPr/>
  </w:style>
  <w:style w:type="table" w:styleId="956">
    <w:name w:val="List Table 5 Dark - Accent 3"/>
    <w:next w:val="956"/>
    <w:link w:val="681"/>
    <w:uiPriority w:val="99"/>
    <w:qFormat/>
    <w:rPr>
      <w:lang w:val="en-US" w:eastAsia="zh-CN" w:bidi="ar-SA"/>
    </w:rPr>
    <w:tblPr/>
  </w:style>
  <w:style w:type="table" w:styleId="957">
    <w:name w:val="List Table 5 Dark - Accent 4"/>
    <w:next w:val="957"/>
    <w:link w:val="681"/>
    <w:uiPriority w:val="99"/>
    <w:qFormat/>
    <w:rPr>
      <w:lang w:val="en-US" w:eastAsia="zh-CN" w:bidi="ar-SA"/>
    </w:rPr>
    <w:tblPr/>
  </w:style>
  <w:style w:type="table" w:styleId="958">
    <w:name w:val="List Table 5 Dark - Accent 5"/>
    <w:next w:val="958"/>
    <w:link w:val="681"/>
    <w:uiPriority w:val="99"/>
    <w:qFormat/>
    <w:rPr>
      <w:lang w:val="en-US" w:eastAsia="zh-CN" w:bidi="ar-SA"/>
    </w:rPr>
    <w:tblPr/>
  </w:style>
  <w:style w:type="table" w:styleId="959">
    <w:name w:val="List Table 5 Dark - Accent 6"/>
    <w:next w:val="959"/>
    <w:link w:val="681"/>
    <w:uiPriority w:val="99"/>
    <w:qFormat/>
    <w:rPr>
      <w:lang w:val="en-US" w:eastAsia="zh-CN" w:bidi="ar-SA"/>
    </w:rPr>
    <w:tblPr/>
  </w:style>
  <w:style w:type="table" w:styleId="960">
    <w:name w:val="List Table 6 Colorful"/>
    <w:next w:val="960"/>
    <w:link w:val="681"/>
    <w:uiPriority w:val="99"/>
    <w:qFormat/>
    <w:rPr>
      <w:lang w:val="en-US" w:eastAsia="zh-CN" w:bidi="ar-SA"/>
    </w:rPr>
    <w:tblPr/>
  </w:style>
  <w:style w:type="table" w:styleId="961">
    <w:name w:val="List Table 6 Colorful - Accent 1"/>
    <w:next w:val="961"/>
    <w:link w:val="681"/>
    <w:uiPriority w:val="99"/>
    <w:qFormat/>
    <w:rPr>
      <w:lang w:val="en-US" w:eastAsia="zh-CN" w:bidi="ar-SA"/>
    </w:rPr>
    <w:tblPr/>
  </w:style>
  <w:style w:type="table" w:styleId="962">
    <w:name w:val="List Table 6 Colorful - Accent 2"/>
    <w:next w:val="962"/>
    <w:link w:val="681"/>
    <w:uiPriority w:val="99"/>
    <w:qFormat/>
    <w:rPr>
      <w:lang w:val="en-US" w:eastAsia="zh-CN" w:bidi="ar-SA"/>
    </w:rPr>
    <w:tblPr/>
  </w:style>
  <w:style w:type="table" w:styleId="963">
    <w:name w:val="List Table 6 Colorful - Accent 3"/>
    <w:next w:val="963"/>
    <w:link w:val="681"/>
    <w:uiPriority w:val="99"/>
    <w:qFormat/>
    <w:rPr>
      <w:lang w:val="en-US" w:eastAsia="zh-CN" w:bidi="ar-SA"/>
    </w:rPr>
    <w:tblPr/>
  </w:style>
  <w:style w:type="table" w:styleId="964">
    <w:name w:val="List Table 6 Colorful - Accent 4"/>
    <w:next w:val="964"/>
    <w:link w:val="681"/>
    <w:uiPriority w:val="99"/>
    <w:qFormat/>
    <w:rPr>
      <w:lang w:val="en-US" w:eastAsia="zh-CN" w:bidi="ar-SA"/>
    </w:rPr>
    <w:tblPr/>
  </w:style>
  <w:style w:type="table" w:styleId="965">
    <w:name w:val="List Table 6 Colorful - Accent 5"/>
    <w:next w:val="965"/>
    <w:link w:val="681"/>
    <w:uiPriority w:val="99"/>
    <w:qFormat/>
    <w:rPr>
      <w:lang w:val="en-US" w:eastAsia="zh-CN" w:bidi="ar-SA"/>
    </w:rPr>
    <w:tblPr/>
  </w:style>
  <w:style w:type="table" w:styleId="966">
    <w:name w:val="List Table 6 Colorful - Accent 6"/>
    <w:next w:val="966"/>
    <w:link w:val="681"/>
    <w:uiPriority w:val="99"/>
    <w:qFormat/>
    <w:rPr>
      <w:lang w:val="en-US" w:eastAsia="zh-CN" w:bidi="ar-SA"/>
    </w:rPr>
    <w:tblPr/>
  </w:style>
  <w:style w:type="table" w:styleId="967">
    <w:name w:val="List Table 7 Colorful"/>
    <w:next w:val="967"/>
    <w:link w:val="681"/>
    <w:uiPriority w:val="99"/>
    <w:qFormat/>
    <w:rPr>
      <w:lang w:val="en-US" w:eastAsia="zh-CN" w:bidi="ar-SA"/>
    </w:rPr>
    <w:tblPr/>
  </w:style>
  <w:style w:type="table" w:styleId="968">
    <w:name w:val="List Table 7 Colorful - Accent 1"/>
    <w:next w:val="968"/>
    <w:link w:val="681"/>
    <w:uiPriority w:val="99"/>
    <w:qFormat/>
    <w:rPr>
      <w:lang w:val="en-US" w:eastAsia="zh-CN" w:bidi="ar-SA"/>
    </w:rPr>
    <w:tblPr/>
  </w:style>
  <w:style w:type="table" w:styleId="969">
    <w:name w:val="List Table 7 Colorful - Accent 2"/>
    <w:next w:val="969"/>
    <w:link w:val="681"/>
    <w:uiPriority w:val="99"/>
    <w:qFormat/>
    <w:rPr>
      <w:lang w:val="en-US" w:eastAsia="zh-CN" w:bidi="ar-SA"/>
    </w:rPr>
    <w:tblPr/>
  </w:style>
  <w:style w:type="table" w:styleId="970">
    <w:name w:val="List Table 7 Colorful - Accent 3"/>
    <w:next w:val="970"/>
    <w:link w:val="681"/>
    <w:uiPriority w:val="99"/>
    <w:qFormat/>
    <w:rPr>
      <w:lang w:val="en-US" w:eastAsia="zh-CN" w:bidi="ar-SA"/>
    </w:rPr>
    <w:tblPr/>
  </w:style>
  <w:style w:type="table" w:styleId="971">
    <w:name w:val="List Table 7 Colorful - Accent 4"/>
    <w:next w:val="971"/>
    <w:link w:val="681"/>
    <w:uiPriority w:val="99"/>
    <w:qFormat/>
    <w:rPr>
      <w:lang w:val="en-US" w:eastAsia="zh-CN" w:bidi="ar-SA"/>
    </w:rPr>
    <w:tblPr/>
  </w:style>
  <w:style w:type="table" w:styleId="972">
    <w:name w:val="List Table 7 Colorful - Accent 5"/>
    <w:next w:val="972"/>
    <w:link w:val="681"/>
    <w:uiPriority w:val="99"/>
    <w:qFormat/>
    <w:rPr>
      <w:lang w:val="en-US" w:eastAsia="zh-CN" w:bidi="ar-SA"/>
    </w:rPr>
    <w:tblPr/>
  </w:style>
  <w:style w:type="table" w:styleId="973">
    <w:name w:val="List Table 7 Colorful - Accent 6"/>
    <w:next w:val="973"/>
    <w:link w:val="681"/>
    <w:uiPriority w:val="99"/>
    <w:qFormat/>
    <w:rPr>
      <w:lang w:val="en-US" w:eastAsia="zh-CN" w:bidi="ar-SA"/>
    </w:rPr>
    <w:tblPr/>
  </w:style>
  <w:style w:type="table" w:styleId="974">
    <w:name w:val="Lined - Accent"/>
    <w:next w:val="974"/>
    <w:link w:val="681"/>
    <w:uiPriority w:val="99"/>
    <w:qFormat/>
    <w:rPr>
      <w:color w:val="404040"/>
      <w:lang w:val="en-US" w:eastAsia="zh-CN" w:bidi="ar-SA"/>
    </w:rPr>
    <w:tblPr/>
  </w:style>
  <w:style w:type="table" w:styleId="975">
    <w:name w:val="Lined - Accent 1"/>
    <w:next w:val="975"/>
    <w:link w:val="681"/>
    <w:uiPriority w:val="99"/>
    <w:qFormat/>
    <w:rPr>
      <w:color w:val="404040"/>
      <w:lang w:val="en-US" w:eastAsia="zh-CN" w:bidi="ar-SA"/>
    </w:rPr>
    <w:tblPr/>
  </w:style>
  <w:style w:type="table" w:styleId="976">
    <w:name w:val="Lined - Accent 2"/>
    <w:next w:val="976"/>
    <w:link w:val="681"/>
    <w:uiPriority w:val="99"/>
    <w:qFormat/>
    <w:rPr>
      <w:color w:val="404040"/>
      <w:lang w:val="en-US" w:eastAsia="zh-CN" w:bidi="ar-SA"/>
    </w:rPr>
    <w:tblPr/>
  </w:style>
  <w:style w:type="table" w:styleId="977">
    <w:name w:val="Lined - Accent 3"/>
    <w:next w:val="977"/>
    <w:link w:val="681"/>
    <w:uiPriority w:val="99"/>
    <w:qFormat/>
    <w:rPr>
      <w:color w:val="404040"/>
      <w:lang w:val="en-US" w:eastAsia="zh-CN" w:bidi="ar-SA"/>
    </w:rPr>
    <w:tblPr/>
  </w:style>
  <w:style w:type="table" w:styleId="978">
    <w:name w:val="Lined - Accent 4"/>
    <w:next w:val="978"/>
    <w:link w:val="681"/>
    <w:uiPriority w:val="99"/>
    <w:qFormat/>
    <w:rPr>
      <w:color w:val="404040"/>
      <w:lang w:val="en-US" w:eastAsia="zh-CN" w:bidi="ar-SA"/>
    </w:rPr>
    <w:tblPr/>
  </w:style>
  <w:style w:type="table" w:styleId="979">
    <w:name w:val="Lined - Accent 5"/>
    <w:next w:val="979"/>
    <w:link w:val="681"/>
    <w:uiPriority w:val="99"/>
    <w:qFormat/>
    <w:rPr>
      <w:color w:val="404040"/>
      <w:lang w:val="en-US" w:eastAsia="zh-CN" w:bidi="ar-SA"/>
    </w:rPr>
    <w:tblPr/>
  </w:style>
  <w:style w:type="table" w:styleId="980">
    <w:name w:val="Lined - Accent 6"/>
    <w:next w:val="980"/>
    <w:link w:val="681"/>
    <w:uiPriority w:val="99"/>
    <w:qFormat/>
    <w:rPr>
      <w:color w:val="404040"/>
      <w:lang w:val="en-US" w:eastAsia="zh-CN" w:bidi="ar-SA"/>
    </w:rPr>
    <w:tblPr/>
  </w:style>
  <w:style w:type="table" w:styleId="981">
    <w:name w:val="Bordered &amp; Lined - Accent"/>
    <w:next w:val="981"/>
    <w:link w:val="681"/>
    <w:uiPriority w:val="99"/>
    <w:qFormat/>
    <w:rPr>
      <w:color w:val="404040"/>
      <w:lang w:val="en-US" w:eastAsia="zh-CN" w:bidi="ar-SA"/>
    </w:rPr>
    <w:tblPr/>
  </w:style>
  <w:style w:type="table" w:styleId="982">
    <w:name w:val="Bordered &amp; Lined - Accent 1"/>
    <w:next w:val="982"/>
    <w:link w:val="681"/>
    <w:uiPriority w:val="99"/>
    <w:qFormat/>
    <w:rPr>
      <w:color w:val="404040"/>
      <w:lang w:val="en-US" w:eastAsia="zh-CN" w:bidi="ar-SA"/>
    </w:rPr>
    <w:tblPr/>
  </w:style>
  <w:style w:type="table" w:styleId="983">
    <w:name w:val="Bordered &amp; Lined - Accent 2"/>
    <w:next w:val="983"/>
    <w:link w:val="681"/>
    <w:uiPriority w:val="99"/>
    <w:qFormat/>
    <w:rPr>
      <w:color w:val="404040"/>
      <w:lang w:val="en-US" w:eastAsia="zh-CN" w:bidi="ar-SA"/>
    </w:rPr>
    <w:tblPr/>
  </w:style>
  <w:style w:type="table" w:styleId="984">
    <w:name w:val="Bordered &amp; Lined - Accent 3"/>
    <w:next w:val="984"/>
    <w:link w:val="681"/>
    <w:uiPriority w:val="99"/>
    <w:qFormat/>
    <w:rPr>
      <w:color w:val="404040"/>
      <w:lang w:val="en-US" w:eastAsia="zh-CN" w:bidi="ar-SA"/>
    </w:rPr>
    <w:tblPr/>
  </w:style>
  <w:style w:type="table" w:styleId="985">
    <w:name w:val="Bordered &amp; Lined - Accent 4"/>
    <w:next w:val="985"/>
    <w:link w:val="681"/>
    <w:uiPriority w:val="99"/>
    <w:qFormat/>
    <w:rPr>
      <w:color w:val="404040"/>
      <w:lang w:val="en-US" w:eastAsia="zh-CN" w:bidi="ar-SA"/>
    </w:rPr>
    <w:tblPr/>
  </w:style>
  <w:style w:type="table" w:styleId="986">
    <w:name w:val="Bordered &amp; Lined - Accent 5"/>
    <w:next w:val="986"/>
    <w:link w:val="681"/>
    <w:uiPriority w:val="99"/>
    <w:qFormat/>
    <w:rPr>
      <w:color w:val="404040"/>
      <w:lang w:val="en-US" w:eastAsia="zh-CN" w:bidi="ar-SA"/>
    </w:rPr>
    <w:tblPr/>
  </w:style>
  <w:style w:type="table" w:styleId="987">
    <w:name w:val="Bordered &amp; Lined - Accent 6"/>
    <w:next w:val="987"/>
    <w:link w:val="681"/>
    <w:uiPriority w:val="99"/>
    <w:qFormat/>
    <w:rPr>
      <w:color w:val="404040"/>
      <w:lang w:val="en-US" w:eastAsia="zh-CN" w:bidi="ar-SA"/>
    </w:rPr>
    <w:tblPr/>
  </w:style>
  <w:style w:type="table" w:styleId="988">
    <w:name w:val="Bordered"/>
    <w:next w:val="988"/>
    <w:link w:val="681"/>
    <w:uiPriority w:val="99"/>
    <w:qFormat/>
    <w:rPr>
      <w:lang w:val="en-US" w:eastAsia="zh-CN" w:bidi="ar-SA"/>
    </w:rPr>
    <w:tblPr/>
  </w:style>
  <w:style w:type="table" w:styleId="989">
    <w:name w:val="Bordered - Accent 1"/>
    <w:next w:val="989"/>
    <w:link w:val="681"/>
    <w:uiPriority w:val="99"/>
    <w:qFormat/>
    <w:rPr>
      <w:lang w:val="en-US" w:eastAsia="zh-CN" w:bidi="ar-SA"/>
    </w:rPr>
    <w:tblPr/>
  </w:style>
  <w:style w:type="table" w:styleId="990">
    <w:name w:val="Bordered - Accent 2"/>
    <w:next w:val="990"/>
    <w:link w:val="681"/>
    <w:uiPriority w:val="99"/>
    <w:qFormat/>
    <w:rPr>
      <w:lang w:val="en-US" w:eastAsia="zh-CN" w:bidi="ar-SA"/>
    </w:rPr>
    <w:tblPr/>
  </w:style>
  <w:style w:type="table" w:styleId="991">
    <w:name w:val="Bordered - Accent 3"/>
    <w:next w:val="991"/>
    <w:link w:val="681"/>
    <w:uiPriority w:val="99"/>
    <w:qFormat/>
    <w:rPr>
      <w:lang w:val="en-US" w:eastAsia="zh-CN" w:bidi="ar-SA"/>
    </w:rPr>
    <w:tblPr/>
  </w:style>
  <w:style w:type="table" w:styleId="992">
    <w:name w:val="Bordered - Accent 4"/>
    <w:next w:val="992"/>
    <w:link w:val="681"/>
    <w:uiPriority w:val="99"/>
    <w:qFormat/>
    <w:rPr>
      <w:lang w:val="en-US" w:eastAsia="zh-CN" w:bidi="ar-SA"/>
    </w:rPr>
    <w:tblPr/>
  </w:style>
  <w:style w:type="table" w:styleId="993">
    <w:name w:val="Bordered - Accent 5"/>
    <w:next w:val="993"/>
    <w:link w:val="681"/>
    <w:uiPriority w:val="99"/>
    <w:qFormat/>
    <w:rPr>
      <w:lang w:val="en-US" w:eastAsia="zh-CN" w:bidi="ar-SA"/>
    </w:rPr>
    <w:tblPr/>
  </w:style>
  <w:style w:type="table" w:styleId="994">
    <w:name w:val="Bordered - Accent 6"/>
    <w:next w:val="994"/>
    <w:link w:val="681"/>
    <w:uiPriority w:val="99"/>
    <w:qFormat/>
    <w:rPr>
      <w:lang w:val="en-US" w:eastAsia="zh-CN" w:bidi="ar-SA"/>
    </w:rPr>
    <w:tblPr/>
  </w:style>
  <w:style w:type="paragraph" w:styleId="995">
    <w:name w:val="TOC 标题2"/>
    <w:next w:val="995"/>
    <w:link w:val="681"/>
    <w:uiPriority w:val="39"/>
    <w:qFormat/>
    <w:rPr>
      <w:lang w:val="en-US" w:eastAsia="zh-CN" w:bidi="ar-SA"/>
    </w:rPr>
  </w:style>
  <w:style w:type="character" w:styleId="996">
    <w:name w:val="font5 Char"/>
    <w:next w:val="996"/>
    <w:link w:val="681"/>
    <w:qFormat/>
    <w:rPr>
      <w:rFonts w:ascii="宋体" w:hAnsi="宋体" w:eastAsia="宋体"/>
      <w:sz w:val="28"/>
      <w:szCs w:val="28"/>
      <w:lang w:val="en-US" w:eastAsia="zh-CN" w:bidi="ar-SA"/>
    </w:rPr>
  </w:style>
  <w:style w:type="character" w:styleId="997">
    <w:name w:val="二级目录 Char"/>
    <w:next w:val="997"/>
    <w:link w:val="998"/>
    <w:qFormat/>
    <w:rPr>
      <w:b/>
      <w:sz w:val="30"/>
      <w:szCs w:val="28"/>
      <w:lang w:val="en-US" w:eastAsia="zh-CN" w:bidi="ar-SA"/>
    </w:rPr>
  </w:style>
  <w:style w:type="paragraph" w:styleId="998">
    <w:name w:val="二级目录"/>
    <w:next w:val="681"/>
    <w:link w:val="997"/>
    <w:qFormat/>
    <w:pPr>
      <w:numPr>
        <w:ilvl w:val="0"/>
        <w:numId w:val="2"/>
      </w:numPr>
      <w:tabs>
        <w:tab w:val="left" w:pos="907" w:leader="none"/>
        <w:tab w:val="left" w:pos="1145" w:leader="none"/>
      </w:tabs>
      <w:outlineLvl w:val="1"/>
    </w:pPr>
    <w:rPr>
      <w:b/>
      <w:sz w:val="30"/>
      <w:szCs w:val="28"/>
      <w:lang w:val="en-US" w:eastAsia="zh-CN" w:bidi="ar-SA"/>
    </w:rPr>
  </w:style>
  <w:style w:type="character" w:styleId="999">
    <w:name w:val="列出段落 Char"/>
    <w:next w:val="999"/>
    <w:link w:val="1000"/>
    <w:qFormat/>
    <w:rPr>
      <w:rFonts w:ascii="Calibri" w:hAnsi="Calibri"/>
      <w:sz w:val="24"/>
      <w:szCs w:val="24"/>
      <w:lang w:eastAsia="en-US" w:bidi="en-US"/>
    </w:rPr>
  </w:style>
  <w:style w:type="paragraph" w:styleId="1000">
    <w:name w:val="列出段落11"/>
    <w:basedOn w:val="681"/>
    <w:next w:val="1000"/>
    <w:link w:val="999"/>
    <w:qFormat/>
    <w:pPr>
      <w:contextualSpacing/>
      <w:ind w:left="720"/>
      <w:jc w:val="left"/>
      <w:widowControl/>
    </w:pPr>
    <w:rPr>
      <w:rFonts w:ascii="Calibri" w:hAnsi="Calibri"/>
      <w:sz w:val="24"/>
      <w:szCs w:val="24"/>
      <w:lang w:eastAsia="en-US" w:bidi="en-US"/>
    </w:rPr>
  </w:style>
  <w:style w:type="paragraph" w:styleId="1001">
    <w:name w:val="Body Text(ch)"/>
    <w:basedOn w:val="681"/>
    <w:next w:val="806"/>
    <w:link w:val="681"/>
    <w:qFormat/>
    <w:pPr>
      <w:spacing w:after="120"/>
    </w:pPr>
    <w:rPr>
      <w:rFonts w:ascii="宋体" w:hAnsi="Arial"/>
      <w:bCs/>
      <w:iCs/>
      <w:szCs w:val="24"/>
    </w:rPr>
  </w:style>
  <w:style w:type="paragraph" w:styleId="1002">
    <w:name w:val="xl27"/>
    <w:basedOn w:val="681"/>
    <w:next w:val="1002"/>
    <w:link w:val="6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name w:val="xl26"/>
    <w:basedOn w:val="681"/>
    <w:next w:val="1003"/>
    <w:link w:val="6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name w:val="Char"/>
    <w:basedOn w:val="681"/>
    <w:next w:val="1004"/>
    <w:link w:val="681"/>
    <w:qFormat/>
    <w:pPr>
      <w:ind w:firstLine="200"/>
      <w:tabs>
        <w:tab w:val="left" w:pos="360" w:leader="none"/>
      </w:tabs>
    </w:pPr>
    <w:rPr>
      <w:sz w:val="28"/>
      <w:szCs w:val="30"/>
    </w:rPr>
  </w:style>
  <w:style w:type="paragraph" w:styleId="1005">
    <w:name w:val="Char1"/>
    <w:basedOn w:val="800"/>
    <w:next w:val="1005"/>
    <w:link w:val="681"/>
    <w:qFormat/>
    <w:rPr>
      <w:rFonts w:ascii="Tahoma" w:hAnsi="Tahoma"/>
      <w:sz w:val="24"/>
      <w:szCs w:val="24"/>
    </w:rPr>
  </w:style>
  <w:style w:type="paragraph" w:styleId="1006">
    <w:name w:val="普通正文"/>
    <w:basedOn w:val="681"/>
    <w:next w:val="1006"/>
    <w:link w:val="681"/>
    <w:qFormat/>
    <w:pPr>
      <w:ind w:firstLine="480"/>
      <w:jc w:val="left"/>
      <w:spacing w:before="120" w:after="120" w:line="360" w:lineRule="auto"/>
    </w:pPr>
    <w:rPr>
      <w:rFonts w:ascii="Arial" w:hAnsi="Arial"/>
      <w:sz w:val="24"/>
      <w:szCs w:val="24"/>
    </w:rPr>
  </w:style>
  <w:style w:type="paragraph" w:styleId="1007">
    <w:name w:val="table_lines"/>
    <w:basedOn w:val="681"/>
    <w:next w:val="1007"/>
    <w:link w:val="681"/>
    <w:qFormat/>
    <w:pPr>
      <w:jc w:val="left"/>
      <w:widowControl/>
    </w:pPr>
    <w:rPr>
      <w:sz w:val="20"/>
      <w:szCs w:val="20"/>
      <w:lang w:val="de-DE" w:eastAsia="de-DE"/>
    </w:rPr>
  </w:style>
  <w:style w:type="paragraph" w:styleId="1008">
    <w:name w:val="附录1"/>
    <w:next w:val="1008"/>
    <w:link w:val="681"/>
    <w:qFormat/>
    <w:pPr>
      <w:ind w:left="907" w:hanging="907"/>
      <w:spacing w:before="240" w:line="600" w:lineRule="atLeast"/>
      <w:tabs>
        <w:tab w:val="left" w:pos="907" w:leader="none"/>
      </w:tabs>
    </w:pPr>
    <w:rPr>
      <w:b/>
      <w:i/>
      <w:sz w:val="28"/>
      <w:lang w:val="en-US" w:eastAsia="zh-CN" w:bidi="ar-SA"/>
    </w:rPr>
  </w:style>
  <w:style w:type="paragraph" w:styleId="1009">
    <w:name w:val="font7"/>
    <w:basedOn w:val="681"/>
    <w:next w:val="1009"/>
    <w:link w:val="681"/>
    <w:qFormat/>
    <w:pPr>
      <w:jc w:val="left"/>
      <w:spacing w:before="100" w:beforeAutospacing="1" w:after="100" w:afterAutospacing="1"/>
      <w:widowControl/>
    </w:pPr>
    <w:rPr>
      <w:rFonts w:hint="eastAsia" w:ascii="宋体" w:hAnsi="宋体"/>
      <w:sz w:val="18"/>
      <w:szCs w:val="18"/>
    </w:rPr>
  </w:style>
  <w:style w:type="paragraph" w:styleId="1010">
    <w:name w:val="Char Char Char Char"/>
    <w:basedOn w:val="800"/>
    <w:next w:val="1010"/>
    <w:link w:val="681"/>
    <w:qFormat/>
    <w:pPr>
      <w:spacing w:line="360" w:lineRule="auto"/>
    </w:pPr>
    <w:rPr>
      <w:rFonts w:ascii="Tahoma" w:hAnsi="Tahoma"/>
      <w:sz w:val="24"/>
      <w:szCs w:val="24"/>
    </w:rPr>
  </w:style>
  <w:style w:type="paragraph" w:styleId="1011">
    <w:name w:val="4"/>
    <w:basedOn w:val="681"/>
    <w:next w:val="834"/>
    <w:link w:val="681"/>
    <w:qFormat/>
    <w:pPr>
      <w:ind w:firstLine="420"/>
      <w:spacing w:line="360" w:lineRule="auto"/>
    </w:pPr>
    <w:rPr>
      <w:color w:val="ff0000"/>
      <w:sz w:val="24"/>
      <w:szCs w:val="24"/>
    </w:rPr>
  </w:style>
  <w:style w:type="paragraph" w:styleId="1012">
    <w:name w:val="普通 (Web)"/>
    <w:basedOn w:val="681"/>
    <w:next w:val="1012"/>
    <w:link w:val="681"/>
    <w:qFormat/>
    <w:pPr>
      <w:jc w:val="left"/>
      <w:spacing w:before="100" w:beforeAutospacing="1" w:after="100" w:afterAutospacing="1"/>
      <w:widowControl/>
    </w:pPr>
    <w:rPr>
      <w:rFonts w:ascii="宋体" w:hAnsi="宋体"/>
      <w:sz w:val="24"/>
      <w:szCs w:val="24"/>
    </w:rPr>
  </w:style>
  <w:style w:type="paragraph" w:styleId="1013">
    <w:name w:val="Char Char Char Char Char Char Char Char Char Char"/>
    <w:basedOn w:val="681"/>
    <w:next w:val="1013"/>
    <w:link w:val="681"/>
    <w:qFormat/>
    <w:pPr>
      <w:spacing w:line="360" w:lineRule="auto"/>
    </w:pPr>
    <w:rPr>
      <w:sz w:val="24"/>
      <w:szCs w:val="20"/>
    </w:rPr>
  </w:style>
  <w:style w:type="paragraph" w:styleId="1014">
    <w:name w:val="样式1"/>
    <w:basedOn w:val="681"/>
    <w:next w:val="1014"/>
    <w:link w:val="681"/>
    <w:qFormat/>
    <w:pPr>
      <w:numPr>
        <w:ilvl w:val="0"/>
        <w:numId w:val="3"/>
      </w:numPr>
      <w:tabs>
        <w:tab w:val="left" w:pos="709" w:leader="none"/>
      </w:tabs>
    </w:pPr>
    <w:rPr>
      <w:rFonts w:ascii="宋体" w:hAnsi="宋体"/>
    </w:rPr>
  </w:style>
  <w:style w:type="paragraph" w:styleId="1015">
    <w:name w:val="font6"/>
    <w:basedOn w:val="681"/>
    <w:next w:val="1015"/>
    <w:link w:val="681"/>
    <w:qFormat/>
    <w:pPr>
      <w:jc w:val="left"/>
      <w:spacing w:before="100" w:beforeAutospacing="1" w:after="100" w:afterAutospacing="1"/>
      <w:widowControl/>
    </w:pPr>
    <w:rPr>
      <w:rFonts w:hint="eastAsia" w:ascii="宋体" w:hAnsi="宋体"/>
      <w:sz w:val="28"/>
      <w:szCs w:val="28"/>
      <w:u w:val="single"/>
    </w:rPr>
  </w:style>
  <w:style w:type="paragraph" w:styleId="1016">
    <w:name w:val="xl25"/>
    <w:basedOn w:val="681"/>
    <w:next w:val="1016"/>
    <w:link w:val="68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name w:val="图标"/>
    <w:basedOn w:val="681"/>
    <w:next w:val="681"/>
    <w:link w:val="68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name w:val="标题3"/>
    <w:basedOn w:val="681"/>
    <w:next w:val="681"/>
    <w:link w:val="681"/>
    <w:qFormat/>
    <w:pPr>
      <w:ind w:firstLine="624"/>
      <w:spacing w:line="590" w:lineRule="atLeast"/>
    </w:pPr>
    <w:rPr>
      <w:rFonts w:ascii="方正黑体_GBK" w:eastAsia="方正黑体_GBK"/>
      <w:sz w:val="32"/>
      <w:szCs w:val="32"/>
    </w:rPr>
  </w:style>
  <w:style w:type="paragraph" w:styleId="1019">
    <w:name w:val="xl24"/>
    <w:basedOn w:val="681"/>
    <w:next w:val="1019"/>
    <w:link w:val="6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name w:val="xl29"/>
    <w:basedOn w:val="681"/>
    <w:next w:val="1020"/>
    <w:link w:val="68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name w:val="Char Char Char Char Char Char Char Char"/>
    <w:basedOn w:val="681"/>
    <w:next w:val="1021"/>
    <w:link w:val="681"/>
    <w:qFormat/>
    <w:pPr>
      <w:jc w:val="left"/>
      <w:spacing w:after="160" w:line="240" w:lineRule="exact"/>
      <w:widowControl/>
    </w:pPr>
    <w:rPr>
      <w:rFonts w:ascii="Verdana" w:hAnsi="Verdana"/>
      <w:sz w:val="20"/>
      <w:szCs w:val="20"/>
      <w:lang w:eastAsia="en-US"/>
    </w:rPr>
  </w:style>
  <w:style w:type="paragraph" w:styleId="1022">
    <w:name w:val="xl28"/>
    <w:basedOn w:val="681"/>
    <w:next w:val="1022"/>
    <w:link w:val="68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name w:val="Char Char Char Char Char Char Char Char1"/>
    <w:basedOn w:val="681"/>
    <w:next w:val="1023"/>
    <w:link w:val="681"/>
    <w:qFormat/>
    <w:pPr>
      <w:jc w:val="left"/>
      <w:spacing w:after="160" w:line="240" w:lineRule="exact"/>
      <w:widowControl/>
    </w:pPr>
    <w:rPr>
      <w:rFonts w:ascii="Verdana" w:hAnsi="Verdana"/>
      <w:sz w:val="20"/>
      <w:szCs w:val="20"/>
      <w:lang w:eastAsia="en-US"/>
    </w:rPr>
  </w:style>
  <w:style w:type="paragraph" w:styleId="1024">
    <w:name w:val="xl30"/>
    <w:basedOn w:val="681"/>
    <w:next w:val="1024"/>
    <w:link w:val="681"/>
    <w:qFormat/>
    <w:pPr>
      <w:jc w:val="center"/>
      <w:spacing w:before="100" w:beforeAutospacing="1" w:after="100" w:afterAutospacing="1"/>
      <w:widowControl/>
    </w:pPr>
    <w:rPr>
      <w:rFonts w:ascii="宋体" w:hAnsi="宋体"/>
      <w:b/>
      <w:bCs/>
      <w:sz w:val="36"/>
      <w:szCs w:val="36"/>
    </w:rPr>
  </w:style>
  <w:style w:type="paragraph" w:styleId="1025">
    <w:name w:val="Char Char Char Char1"/>
    <w:basedOn w:val="800"/>
    <w:next w:val="1025"/>
    <w:link w:val="681"/>
    <w:qFormat/>
    <w:pPr>
      <w:spacing w:line="360" w:lineRule="auto"/>
    </w:pPr>
    <w:rPr>
      <w:rFonts w:ascii="Tahoma" w:hAnsi="Tahoma"/>
      <w:sz w:val="24"/>
      <w:szCs w:val="24"/>
    </w:rPr>
  </w:style>
  <w:style w:type="paragraph" w:styleId="1026">
    <w:name w:val="table_1stline"/>
    <w:basedOn w:val="681"/>
    <w:next w:val="1026"/>
    <w:link w:val="681"/>
    <w:qFormat/>
    <w:pPr>
      <w:jc w:val="left"/>
      <w:spacing w:before="120"/>
      <w:widowControl/>
    </w:pPr>
    <w:rPr>
      <w:bCs/>
      <w:sz w:val="20"/>
      <w:szCs w:val="20"/>
      <w:lang w:val="de-DE" w:eastAsia="de-DE"/>
    </w:rPr>
  </w:style>
  <w:style w:type="paragraph" w:styleId="1027">
    <w:name w:val="font5"/>
    <w:basedOn w:val="681"/>
    <w:next w:val="1027"/>
    <w:link w:val="681"/>
    <w:qFormat/>
    <w:pPr>
      <w:jc w:val="left"/>
      <w:spacing w:before="100" w:beforeAutospacing="1" w:after="100" w:afterAutospacing="1"/>
      <w:widowControl/>
    </w:pPr>
    <w:rPr>
      <w:rFonts w:hint="eastAsia" w:ascii="宋体" w:hAnsi="宋体"/>
      <w:sz w:val="28"/>
      <w:szCs w:val="28"/>
    </w:rPr>
  </w:style>
  <w:style w:type="paragraph" w:styleId="1028">
    <w:name w:val="标题1"/>
    <w:basedOn w:val="681"/>
    <w:next w:val="681"/>
    <w:link w:val="68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name w:val="修订1"/>
    <w:next w:val="1029"/>
    <w:link w:val="681"/>
    <w:uiPriority w:val="99"/>
    <w:semiHidden/>
    <w:qFormat/>
    <w:rPr>
      <w:sz w:val="21"/>
      <w:szCs w:val="21"/>
      <w:lang w:val="en-US" w:eastAsia="zh-CN" w:bidi="ar-SA"/>
    </w:rPr>
  </w:style>
  <w:style w:type="paragraph" w:styleId="1030">
    <w:name w:val="普通文字"/>
    <w:basedOn w:val="681"/>
    <w:next w:val="681"/>
    <w:link w:val="681"/>
    <w:uiPriority w:val="99"/>
    <w:qFormat/>
    <w:rPr>
      <w:rFonts w:ascii="宋体"/>
      <w:sz w:val="24"/>
      <w:szCs w:val="20"/>
    </w:rPr>
  </w:style>
  <w:style w:type="paragraph" w:styleId="1031">
    <w:name w:val="目录 111"/>
    <w:basedOn w:val="681"/>
    <w:next w:val="681"/>
    <w:link w:val="681"/>
    <w:uiPriority w:val="39"/>
    <w:unhideWhenUsed/>
    <w:qFormat/>
    <w:pPr>
      <w:jc w:val="left"/>
      <w:spacing w:after="100" w:line="259" w:lineRule="auto"/>
      <w:widowControl/>
    </w:pPr>
    <w:rPr>
      <w:rFonts w:ascii="Calibri" w:hAnsi="Calibri"/>
      <w:sz w:val="22"/>
      <w:szCs w:val="22"/>
    </w:rPr>
  </w:style>
  <w:style w:type="paragraph" w:styleId="1032">
    <w:name w:val="表格文字"/>
    <w:basedOn w:val="681"/>
    <w:next w:val="1032"/>
    <w:link w:val="681"/>
    <w:qFormat/>
    <w:pPr>
      <w:jc w:val="center"/>
    </w:pPr>
    <w:rPr>
      <w:rFonts w:ascii="宋体" w:hAnsi="宋体" w:cs="宋体"/>
      <w:szCs w:val="20"/>
    </w:rPr>
  </w:style>
  <w:style w:type="paragraph" w:styleId="1033">
    <w:name w:val="p0"/>
    <w:basedOn w:val="681"/>
    <w:next w:val="1033"/>
    <w:link w:val="681"/>
    <w:qFormat/>
    <w:pPr>
      <w:jc w:val="left"/>
      <w:spacing w:before="100" w:beforeAutospacing="1" w:after="100" w:afterAutospacing="1"/>
      <w:widowControl/>
    </w:pPr>
    <w:rPr>
      <w:rFonts w:ascii="宋体" w:hAnsi="宋体" w:cs="宋体"/>
      <w:sz w:val="24"/>
      <w:szCs w:val="24"/>
    </w:rPr>
  </w:style>
  <w:style w:type="paragraph" w:styleId="1034">
    <w:name w:val="普通(网站) New"/>
    <w:basedOn w:val="681"/>
    <w:next w:val="1034"/>
    <w:link w:val="681"/>
    <w:qFormat/>
    <w:pPr>
      <w:jc w:val="left"/>
      <w:spacing w:before="100" w:beforeAutospacing="1" w:after="100" w:afterAutospacing="1"/>
      <w:widowControl/>
    </w:pPr>
    <w:rPr>
      <w:rFonts w:ascii="宋体" w:hAnsi="宋体" w:cs="宋体"/>
      <w:sz w:val="24"/>
      <w:szCs w:val="24"/>
    </w:rPr>
  </w:style>
  <w:style w:type="character" w:styleId="1035">
    <w:name w:val="NormalCharacter1"/>
    <w:next w:val="1035"/>
    <w:link w:val="681"/>
    <w:semiHidden/>
    <w:qFormat/>
  </w:style>
  <w:style w:type="character" w:styleId="1036">
    <w:name w:val="font41"/>
    <w:next w:val="1036"/>
    <w:link w:val="681"/>
    <w:qFormat/>
    <w:rPr>
      <w:rFonts w:hint="eastAsia" w:ascii="宋体" w:hAnsi="宋体" w:eastAsia="宋体" w:cs="宋体"/>
      <w:color w:val="000000"/>
      <w:sz w:val="20"/>
      <w:szCs w:val="20"/>
      <w:u w:val="none"/>
    </w:rPr>
  </w:style>
  <w:style w:type="character" w:styleId="1037">
    <w:name w:val="font31"/>
    <w:next w:val="1037"/>
    <w:link w:val="681"/>
    <w:qFormat/>
    <w:rPr>
      <w:rFonts w:hint="eastAsia" w:ascii="宋体" w:hAnsi="宋体" w:eastAsia="宋体" w:cs="宋体"/>
      <w:color w:val="000000"/>
      <w:sz w:val="20"/>
      <w:szCs w:val="20"/>
      <w:u w:val="none"/>
    </w:rPr>
  </w:style>
  <w:style w:type="character" w:styleId="1038">
    <w:name w:val="font51"/>
    <w:next w:val="1038"/>
    <w:link w:val="681"/>
    <w:qFormat/>
    <w:rPr>
      <w:rFonts w:hint="eastAsia" w:ascii="宋体" w:hAnsi="宋体" w:eastAsia="宋体" w:cs="宋体"/>
      <w:color w:val="000000"/>
      <w:sz w:val="21"/>
      <w:szCs w:val="21"/>
      <w:u w:val="none"/>
    </w:rPr>
  </w:style>
  <w:style w:type="character" w:styleId="1039">
    <w:name w:val="font81"/>
    <w:next w:val="1039"/>
    <w:link w:val="681"/>
    <w:qFormat/>
    <w:rPr>
      <w:rFonts w:hint="eastAsia" w:ascii="宋体" w:hAnsi="宋体" w:eastAsia="宋体" w:cs="宋体"/>
      <w:color w:val="000000"/>
      <w:sz w:val="18"/>
      <w:szCs w:val="18"/>
      <w:u w:val="none"/>
    </w:rPr>
  </w:style>
  <w:style w:type="character" w:styleId="1040">
    <w:name w:val="font112"/>
    <w:next w:val="1040"/>
    <w:link w:val="681"/>
    <w:qFormat/>
    <w:rPr>
      <w:rFonts w:hint="eastAsia" w:ascii="宋体" w:hAnsi="宋体" w:eastAsia="宋体" w:cs="宋体"/>
      <w:color w:val="000000"/>
      <w:sz w:val="18"/>
      <w:szCs w:val="18"/>
      <w:u w:val="single"/>
    </w:rPr>
  </w:style>
  <w:style w:type="character" w:styleId="1041">
    <w:name w:val="font61"/>
    <w:next w:val="1041"/>
    <w:link w:val="681"/>
    <w:qFormat/>
    <w:rPr>
      <w:rFonts w:hint="eastAsia" w:ascii="宋体" w:hAnsi="宋体" w:eastAsia="宋体" w:cs="宋体"/>
      <w:color w:val="000000"/>
      <w:sz w:val="21"/>
      <w:szCs w:val="21"/>
      <w:u w:val="none"/>
    </w:rPr>
  </w:style>
  <w:style w:type="paragraph" w:styleId="1042">
    <w:name w:val="列表1"/>
    <w:basedOn w:val="681"/>
    <w:next w:val="1042"/>
    <w:link w:val="681"/>
    <w:qFormat/>
    <w:pPr>
      <w:numPr>
        <w:ilvl w:val="0"/>
        <w:numId w:val="4"/>
      </w:numPr>
      <w:spacing w:after="20" w:line="288" w:lineRule="auto"/>
      <w:tabs>
        <w:tab w:val="left" w:pos="420" w:leader="none"/>
      </w:tabs>
    </w:pPr>
    <w:rPr>
      <w:szCs w:val="20"/>
      <w:lang w:val="en-GB"/>
    </w:rPr>
  </w:style>
  <w:style w:type="paragraph" w:styleId="1043">
    <w:name w:val="列表段落"/>
    <w:basedOn w:val="681"/>
    <w:next w:val="1043"/>
    <w:link w:val="681"/>
    <w:uiPriority w:val="34"/>
    <w:qFormat/>
    <w:pPr>
      <w:ind w:firstLine="420"/>
    </w:pPr>
  </w:style>
  <w:style w:type="paragraph" w:styleId="1044">
    <w:name w:val="纯文本1"/>
    <w:basedOn w:val="681"/>
    <w:next w:val="681"/>
    <w:link w:val="681"/>
    <w:qFormat/>
    <w:rPr>
      <w:rFonts w:ascii="宋体" w:hAnsi="Courier New"/>
    </w:rPr>
  </w:style>
  <w:style w:type="paragraph" w:styleId="1045">
    <w:name w:val="页眉1"/>
    <w:basedOn w:val="681"/>
    <w:next w:val="1045"/>
    <w:link w:val="681"/>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46">
    <w:name w:val="font21"/>
    <w:next w:val="1046"/>
    <w:link w:val="681"/>
    <w:qFormat/>
    <w:rPr>
      <w:rFonts w:ascii="Times New Roman" w:hAnsi="Times New Roman" w:cs="Times New Roman"/>
      <w:b/>
      <w:bCs/>
      <w:color w:val="000000"/>
      <w:sz w:val="18"/>
      <w:szCs w:val="18"/>
      <w:u w:val="none"/>
    </w:rPr>
  </w:style>
  <w:style w:type="character" w:styleId="1047">
    <w:name w:val="font71"/>
    <w:next w:val="1047"/>
    <w:link w:val="681"/>
    <w:qFormat/>
    <w:rPr>
      <w:rFonts w:hint="eastAsia" w:ascii="宋体" w:hAnsi="宋体" w:eastAsia="宋体" w:cs="宋体"/>
      <w:color w:val="000000"/>
      <w:sz w:val="20"/>
      <w:szCs w:val="20"/>
      <w:u w:val="none"/>
    </w:rPr>
  </w:style>
  <w:style w:type="paragraph" w:styleId="1048">
    <w:name w:val="正文文本1"/>
    <w:basedOn w:val="681"/>
    <w:next w:val="1042"/>
    <w:link w:val="681"/>
    <w:qFormat/>
    <w:rPr>
      <w:rFonts w:ascii="楷体_GB2312" w:hAnsi="Arial" w:eastAsia="楷体_GB2312"/>
      <w:sz w:val="28"/>
      <w:szCs w:val="28"/>
    </w:rPr>
  </w:style>
  <w:style w:type="character" w:styleId="1049">
    <w:name w:val="15"/>
    <w:next w:val="1049"/>
    <w:link w:val="681"/>
    <w:qFormat/>
    <w:rPr>
      <w:rFonts w:ascii="Times New Roman" w:hAnsi="Times New Roman" w:cs="Times New Roman"/>
    </w:rPr>
  </w:style>
  <w:style w:type="character" w:styleId="1050">
    <w:name w:val="font141"/>
    <w:next w:val="1050"/>
    <w:link w:val="681"/>
    <w:rPr>
      <w:rFonts w:hint="eastAsia" w:ascii="宋体" w:hAnsi="宋体" w:eastAsia="宋体" w:cs="宋体"/>
      <w:color w:val="000000"/>
      <w:sz w:val="20"/>
      <w:szCs w:val="20"/>
      <w:u w:val="none"/>
    </w:rPr>
  </w:style>
  <w:style w:type="character" w:styleId="1051">
    <w:name w:val="font212"/>
    <w:next w:val="1051"/>
    <w:link w:val="681"/>
    <w:rPr>
      <w:rFonts w:hint="eastAsia" w:ascii="宋体" w:hAnsi="宋体" w:eastAsia="宋体" w:cs="宋体"/>
      <w:i/>
      <w:iCs/>
      <w:color w:val="000000"/>
      <w:sz w:val="20"/>
      <w:szCs w:val="20"/>
      <w:u w:val="none"/>
    </w:rPr>
  </w:style>
  <w:style w:type="character" w:styleId="1052">
    <w:name w:val="font221"/>
    <w:next w:val="1052"/>
    <w:link w:val="681"/>
    <w:rPr>
      <w:rFonts w:hint="eastAsia" w:ascii="宋体" w:hAnsi="宋体" w:eastAsia="宋体" w:cs="宋体"/>
      <w:color w:val="000000"/>
      <w:sz w:val="20"/>
      <w:szCs w:val="20"/>
      <w:u w:val="none"/>
      <w:vertAlign w:val="superscript"/>
    </w:rPr>
  </w:style>
  <w:style w:type="character" w:styleId="1053">
    <w:name w:val="font131"/>
    <w:next w:val="1053"/>
    <w:link w:val="681"/>
    <w:rPr>
      <w:rFonts w:hint="eastAsia" w:ascii="宋体" w:hAnsi="宋体" w:eastAsia="宋体" w:cs="宋体"/>
      <w:color w:val="000000"/>
      <w:sz w:val="20"/>
      <w:szCs w:val="20"/>
      <w:u w:val="none"/>
    </w:rPr>
  </w:style>
  <w:style w:type="character" w:styleId="1054">
    <w:name w:val="font231"/>
    <w:next w:val="1054"/>
    <w:link w:val="681"/>
    <w:rPr>
      <w:rFonts w:ascii="Times New Roman" w:hAnsi="Times New Roman" w:cs="Times New Roman"/>
      <w:color w:val="000000"/>
      <w:sz w:val="20"/>
      <w:szCs w:val="20"/>
      <w:u w:val="none"/>
    </w:rPr>
  </w:style>
  <w:style w:type="character" w:styleId="1055">
    <w:name w:val="font121"/>
    <w:next w:val="1055"/>
    <w:link w:val="681"/>
    <w:rPr>
      <w:rFonts w:ascii="Times New Roman" w:hAnsi="Times New Roman" w:cs="Times New Roman"/>
      <w:color w:val="000000"/>
      <w:sz w:val="22"/>
      <w:szCs w:val="22"/>
      <w:u w:val="none"/>
    </w:rPr>
  </w:style>
  <w:style w:type="paragraph" w:styleId="1056">
    <w:name w:val="正文文本2"/>
    <w:basedOn w:val="681"/>
    <w:next w:val="1056"/>
    <w:link w:val="681"/>
    <w:qFormat/>
    <w:rPr>
      <w:rFonts w:ascii="仿宋_GB2312" w:eastAsia="仿宋_GB2312"/>
      <w:sz w:val="28"/>
      <w:szCs w:val="20"/>
    </w:rPr>
  </w:style>
  <w:style w:type="paragraph" w:styleId="1057">
    <w:name w:val="彩色列表1"/>
    <w:basedOn w:val="681"/>
    <w:next w:val="1057"/>
    <w:link w:val="681"/>
    <w:uiPriority w:val="99"/>
    <w:qFormat/>
    <w:pPr>
      <w:ind w:firstLine="420"/>
    </w:pPr>
    <w:rPr>
      <w:szCs w:val="24"/>
    </w:rPr>
  </w:style>
  <w:style w:type="character" w:styleId="12271" w:default="1">
    <w:name w:val="Default Paragraph Font"/>
    <w:uiPriority w:val="1"/>
    <w:semiHidden/>
    <w:unhideWhenUsed/>
  </w:style>
  <w:style w:type="numbering" w:styleId="12272" w:default="1">
    <w:name w:val="No List"/>
    <w:uiPriority w:val="99"/>
    <w:semiHidden/>
    <w:unhideWhenUsed/>
  </w:style>
  <w:style w:type="table" w:styleId="12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dc:creator>
  <cp:lastModifiedBy>任昊</cp:lastModifiedBy>
  <cp:revision>4</cp:revision>
  <dcterms:created xsi:type="dcterms:W3CDTF">2026-03-11T08:51:00Z</dcterms:created>
  <dcterms:modified xsi:type="dcterms:W3CDTF">2026-06-17T03:46:39Z</dcterms:modified>
</cp:coreProperties>
</file>