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仿宋_GB2312" w:eastAsia="仿宋_GB2312"/>
          <w:sz w:val="32"/>
          <w:szCs w:val="32"/>
        </w:rPr>
      </w:pPr>
      <w:r>
        <w:rPr>
          <w:rFonts w:ascii="仿宋_GB2312" w:eastAsia="仿宋_GB2312"/>
          <w:sz w:val="32"/>
          <w:szCs w:val="32"/>
        </w:rPr>
      </w:r>
      <w:r/>
    </w:p>
    <w:p>
      <w:pPr>
        <w:rPr>
          <w:rFonts w:ascii="仿宋_GB2312" w:eastAsia="仿宋_GB2312"/>
          <w:sz w:val="32"/>
          <w:szCs w:val="32"/>
        </w:rPr>
      </w:pPr>
      <w:r>
        <w:rPr>
          <w:rFonts w:ascii="仿宋_GB2312" w:eastAsia="仿宋_GB2312"/>
          <w:sz w:val="32"/>
          <w:szCs w:val="32"/>
        </w:rPr>
      </w:r>
      <w:r/>
    </w:p>
    <w:p>
      <w:pPr>
        <w:jc w:val="center"/>
        <w:rPr>
          <w:rFonts w:hint="eastAsia" w:ascii="宋体" w:hAnsi="宋体"/>
          <w:sz w:val="96"/>
          <w:szCs w:val="84"/>
        </w:rPr>
      </w:pPr>
      <w:r>
        <w:rPr>
          <w:rFonts w:hint="eastAsia" w:ascii="宋体" w:hAnsi="宋体"/>
          <w:sz w:val="96"/>
          <w:szCs w:val="84"/>
        </w:rPr>
        <w:t xml:space="preserve">招 标 文 件</w:t>
      </w:r>
      <w:r/>
    </w:p>
    <w:p>
      <w:pPr>
        <w:jc w:val="center"/>
        <w:rPr>
          <w:rFonts w:ascii="仿宋_GB2312" w:eastAsia="仿宋_GB2312"/>
          <w:sz w:val="36"/>
        </w:rPr>
      </w:pPr>
      <w:r>
        <w:rPr>
          <w:rFonts w:ascii="仿宋_GB2312" w:eastAsia="仿宋_GB2312"/>
          <w:sz w:val="36"/>
        </w:rPr>
      </w:r>
      <w:r/>
    </w:p>
    <w:p>
      <w:pPr>
        <w:jc w:val="center"/>
        <w:rPr>
          <w:rFonts w:ascii="仿宋_GB2312" w:eastAsia="仿宋_GB2312"/>
          <w:sz w:val="36"/>
        </w:rPr>
      </w:pPr>
      <w:r>
        <w:rPr>
          <w:rFonts w:ascii="仿宋_GB2312" w:eastAsia="仿宋_GB2312"/>
          <w:sz w:val="36"/>
        </w:rPr>
      </w:r>
      <w:r/>
    </w:p>
    <w:p>
      <w:pPr>
        <w:jc w:val="center"/>
        <w:rPr>
          <w:rFonts w:ascii="仿宋_GB2312" w:eastAsia="仿宋_GB2312"/>
          <w:sz w:val="36"/>
        </w:rPr>
      </w:pPr>
      <w:r>
        <w:rPr>
          <w:rFonts w:ascii="仿宋_GB2312" w:eastAsia="仿宋_GB2312"/>
          <w:sz w:val="36"/>
        </w:rPr>
      </w:r>
      <w:r/>
    </w:p>
    <w:p>
      <w:pPr>
        <w:jc w:val="center"/>
        <w:rPr>
          <w:rFonts w:ascii="仿宋_GB2312" w:eastAsia="仿宋_GB2312"/>
          <w:sz w:val="36"/>
        </w:rPr>
      </w:pPr>
      <w:r>
        <w:rPr>
          <w:rFonts w:ascii="仿宋_GB2312" w:eastAsia="仿宋_GB2312"/>
          <w:sz w:val="36"/>
        </w:rPr>
      </w:r>
      <w:r/>
    </w:p>
    <w:p>
      <w:pPr>
        <w:ind w:left="3837" w:hanging="2042"/>
        <w:spacing w:after="144"/>
        <w:rPr>
          <w:rFonts w:hint="eastAsia" w:ascii="楷体" w:hAnsi="楷体" w:eastAsia="楷体"/>
          <w:b/>
          <w:bCs/>
          <w:sz w:val="36"/>
        </w:rPr>
      </w:pPr>
      <w:r/>
      <w:bookmarkStart w:id="0" w:name="OLE_LINK31"/>
      <w:r>
        <w:rPr>
          <w:rFonts w:hint="eastAsia" w:ascii="楷体" w:hAnsi="楷体" w:eastAsia="楷体"/>
          <w:b/>
          <w:bCs/>
          <w:sz w:val="36"/>
        </w:rPr>
        <w:t xml:space="preserve">项目名称：</w:t>
      </w:r>
      <w:bookmarkStart w:id="1" w:name="_Hlk147667432"/>
      <w:r>
        <w:rPr>
          <w:rFonts w:hint="eastAsia" w:ascii="楷体" w:hAnsi="楷体" w:eastAsia="楷体"/>
          <w:b/>
          <w:bCs/>
          <w:sz w:val="36"/>
        </w:rPr>
        <w:t xml:space="preserve">理化生实验室设备采购 </w:t>
      </w:r>
      <w:bookmarkEnd w:id="1"/>
      <w:r/>
      <w:r/>
    </w:p>
    <w:p>
      <w:pPr>
        <w:ind w:firstLine="1872"/>
        <w:spacing w:after="144"/>
        <w:rPr>
          <w:rFonts w:hint="eastAsia" w:ascii="楷体" w:hAnsi="楷体" w:eastAsia="楷体"/>
          <w:b/>
          <w:bCs/>
          <w:sz w:val="36"/>
        </w:rPr>
      </w:pPr>
      <w:r>
        <w:rPr>
          <w:rFonts w:hint="eastAsia" w:ascii="楷体" w:hAnsi="楷体" w:eastAsia="楷体"/>
          <w:b/>
          <w:bCs/>
          <w:sz w:val="36"/>
        </w:rPr>
        <w:t xml:space="preserve">项目编号：</w:t>
      </w:r>
      <w:bookmarkStart w:id="2" w:name="_Hlk135061173"/>
      <w:r>
        <w:rPr>
          <w:rFonts w:ascii="楷体" w:hAnsi="楷体" w:eastAsia="楷体"/>
          <w:b/>
          <w:bCs/>
          <w:sz w:val="36"/>
        </w:rPr>
        <w:t xml:space="preserve">JSZC-321281-THZX-G202</w:t>
      </w:r>
      <w:r>
        <w:rPr>
          <w:rFonts w:hint="eastAsia" w:ascii="楷体" w:hAnsi="楷体" w:eastAsia="楷体"/>
          <w:b/>
          <w:bCs/>
          <w:sz w:val="36"/>
        </w:rPr>
        <w:t xml:space="preserve">6</w:t>
      </w:r>
      <w:r>
        <w:rPr>
          <w:rFonts w:ascii="楷体" w:hAnsi="楷体" w:eastAsia="楷体"/>
          <w:b/>
          <w:bCs/>
          <w:sz w:val="36"/>
        </w:rPr>
        <w:t xml:space="preserve">-00</w:t>
      </w:r>
      <w:r>
        <w:rPr>
          <w:rFonts w:hint="eastAsia" w:ascii="楷体" w:hAnsi="楷体" w:eastAsia="楷体"/>
          <w:b/>
          <w:bCs/>
          <w:sz w:val="36"/>
        </w:rPr>
        <w:t xml:space="preserve">22</w:t>
      </w:r>
      <w:r>
        <w:rPr>
          <w:rFonts w:hint="eastAsia" w:ascii="楷体" w:hAnsi="楷体" w:eastAsia="楷体"/>
          <w:b/>
          <w:bCs/>
          <w:sz w:val="36"/>
        </w:rPr>
        <w:t xml:space="preserve">号</w:t>
      </w:r>
      <w:bookmarkEnd w:id="2"/>
      <w:r/>
      <w:r/>
    </w:p>
    <w:p>
      <w:pPr>
        <w:ind w:firstLine="1872"/>
        <w:spacing w:after="144"/>
        <w:rPr>
          <w:rFonts w:hint="eastAsia" w:ascii="楷体" w:hAnsi="楷体" w:eastAsia="楷体"/>
          <w:b/>
          <w:bCs/>
          <w:sz w:val="36"/>
          <w:szCs w:val="36"/>
        </w:rPr>
      </w:pPr>
      <w:r>
        <w:rPr>
          <w:rFonts w:hint="eastAsia" w:ascii="楷体" w:hAnsi="楷体" w:eastAsia="楷体"/>
          <w:b/>
          <w:bCs/>
          <w:sz w:val="36"/>
        </w:rPr>
        <w:t xml:space="preserve">采 购 人：兴化市楚水实验学校 </w:t>
      </w:r>
      <w:r>
        <w:rPr>
          <w:rFonts w:hint="eastAsia" w:ascii="楷体" w:hAnsi="楷体" w:eastAsia="楷体"/>
          <w:b/>
          <w:sz w:val="36"/>
          <w:szCs w:val="36"/>
        </w:rPr>
        <w:t xml:space="preserve"> </w:t>
      </w:r>
      <w:bookmarkEnd w:id="0"/>
      <w:r/>
      <w:r/>
    </w:p>
    <w:p>
      <w:pPr>
        <w:jc w:val="both"/>
        <w:rPr>
          <w:rFonts w:ascii="仿宋_GB2312" w:eastAsia="仿宋_GB2312"/>
          <w:sz w:val="36"/>
        </w:rPr>
      </w:pPr>
      <w:r>
        <w:rPr>
          <w:rFonts w:ascii="仿宋_GB2312" w:eastAsia="仿宋_GB2312"/>
          <w:sz w:val="36"/>
        </w:rPr>
      </w:r>
      <w:r/>
    </w:p>
    <w:p>
      <w:pPr>
        <w:pStyle w:val="1179"/>
        <w:ind w:left="0"/>
        <w:jc w:val="center"/>
        <w:tabs>
          <w:tab w:val="left" w:pos="7182" w:leader="none"/>
        </w:tabs>
        <w:rPr>
          <w:color w:val="auto"/>
          <w:sz w:val="36"/>
        </w:rPr>
      </w:pPr>
      <w:r>
        <w:rPr>
          <w:color w:val="auto"/>
          <w:sz w:val="36"/>
        </w:rPr>
      </w:r>
      <w:r/>
    </w:p>
    <w:p>
      <w:pPr>
        <w:pStyle w:val="1179"/>
        <w:ind w:left="0"/>
        <w:jc w:val="center"/>
        <w:tabs>
          <w:tab w:val="left" w:pos="7182" w:leader="none"/>
        </w:tabs>
        <w:rPr>
          <w:rFonts w:hint="eastAsia" w:ascii="黑体" w:hAnsi="黑体" w:eastAsia="黑体"/>
          <w:color w:val="auto"/>
          <w:sz w:val="36"/>
        </w:rPr>
      </w:pPr>
      <w:r>
        <w:rPr>
          <w:rFonts w:hint="eastAsia" w:ascii="黑体" w:hAnsi="黑体" w:eastAsia="黑体"/>
          <w:color w:val="auto"/>
          <w:sz w:val="36"/>
        </w:rPr>
        <w:t xml:space="preserve">江苏泰禾房地产土地造价咨询评估有限公司</w:t>
      </w:r>
      <w:r/>
    </w:p>
    <w:p>
      <w:pPr>
        <w:pStyle w:val="1179"/>
        <w:ind w:left="89"/>
        <w:jc w:val="center"/>
        <w:rPr>
          <w:rFonts w:hint="eastAsia" w:ascii="黑体" w:hAnsi="黑体" w:eastAsia="黑体"/>
          <w:color w:val="auto"/>
          <w:sz w:val="36"/>
        </w:rPr>
      </w:pPr>
      <w:r>
        <w:rPr>
          <w:rFonts w:hint="eastAsia" w:ascii="黑体" w:hAnsi="黑体" w:eastAsia="黑体"/>
          <w:color w:val="auto"/>
          <w:sz w:val="36"/>
        </w:rPr>
        <w:t xml:space="preserve">二○二六年六月</w:t>
      </w:r>
      <w:r/>
    </w:p>
    <w:p>
      <w:pPr>
        <w:jc w:val="center"/>
        <w:rPr>
          <w:rFonts w:ascii="仿宋_GB2312" w:eastAsia="仿宋_GB2312"/>
          <w:b/>
          <w:sz w:val="44"/>
        </w:rPr>
      </w:pPr>
      <w:r>
        <w:br w:type="page" w:clear="all"/>
      </w:r>
      <w:r/>
    </w:p>
    <w:p>
      <w:pPr>
        <w:ind w:firstLine="56"/>
        <w:jc w:val="center"/>
        <w:spacing w:after="867"/>
        <w:rPr>
          <w:rFonts w:hint="eastAsia" w:ascii="仿宋" w:hAnsi="仿宋" w:eastAsia="仿宋"/>
          <w:b/>
          <w:sz w:val="64"/>
          <w:szCs w:val="64"/>
        </w:rPr>
      </w:pPr>
      <w:r>
        <w:rPr>
          <w:rFonts w:hint="eastAsia" w:ascii="仿宋" w:hAnsi="仿宋" w:eastAsia="仿宋"/>
          <w:b/>
          <w:sz w:val="64"/>
          <w:szCs w:val="64"/>
        </w:rPr>
        <w:t xml:space="preserve">目   录</w:t>
      </w:r>
      <w:r/>
    </w:p>
    <w:p>
      <w:pPr>
        <w:ind w:firstLine="775"/>
        <w:spacing w:after="144"/>
        <w:rPr>
          <w:rFonts w:hint="eastAsia" w:ascii="仿宋" w:hAnsi="仿宋" w:eastAsia="仿宋"/>
          <w:b/>
          <w:sz w:val="32"/>
          <w:szCs w:val="32"/>
        </w:rPr>
      </w:pPr>
      <w:r>
        <w:rPr>
          <w:rFonts w:hint="eastAsia" w:ascii="仿宋" w:hAnsi="仿宋" w:eastAsia="仿宋"/>
          <w:b/>
          <w:sz w:val="32"/>
          <w:szCs w:val="32"/>
        </w:rPr>
        <w:t xml:space="preserve">第一部分  投标供应商须知</w:t>
      </w:r>
      <w:r/>
    </w:p>
    <w:p>
      <w:pPr>
        <w:ind w:firstLine="775"/>
        <w:spacing w:after="144"/>
        <w:rPr>
          <w:rFonts w:hint="eastAsia" w:ascii="仿宋" w:hAnsi="仿宋" w:eastAsia="仿宋"/>
          <w:sz w:val="32"/>
          <w:szCs w:val="32"/>
        </w:rPr>
      </w:pPr>
      <w:r>
        <w:rPr>
          <w:rFonts w:hint="eastAsia" w:ascii="仿宋" w:hAnsi="仿宋" w:eastAsia="仿宋"/>
          <w:b/>
          <w:sz w:val="32"/>
          <w:szCs w:val="32"/>
        </w:rPr>
        <w:t xml:space="preserve">    </w:t>
      </w:r>
      <w:r>
        <w:rPr>
          <w:rFonts w:hint="eastAsia" w:ascii="仿宋" w:hAnsi="仿宋" w:eastAsia="仿宋"/>
          <w:sz w:val="32"/>
          <w:szCs w:val="32"/>
        </w:rPr>
        <w:t xml:space="preserve">前附表</w:t>
      </w:r>
      <w:r/>
    </w:p>
    <w:p>
      <w:pPr>
        <w:ind w:firstLine="771"/>
        <w:spacing w:after="144"/>
        <w:rPr>
          <w:rFonts w:hint="eastAsia" w:ascii="仿宋" w:hAnsi="仿宋" w:eastAsia="仿宋"/>
          <w:sz w:val="32"/>
          <w:szCs w:val="32"/>
        </w:rPr>
      </w:pPr>
      <w:r>
        <w:rPr>
          <w:rFonts w:hint="eastAsia" w:ascii="仿宋" w:hAnsi="仿宋" w:eastAsia="仿宋"/>
          <w:sz w:val="32"/>
          <w:szCs w:val="32"/>
        </w:rPr>
        <w:t xml:space="preserve">    一、总 则</w:t>
      </w:r>
      <w:r/>
    </w:p>
    <w:p>
      <w:pPr>
        <w:ind w:firstLine="1363"/>
        <w:spacing w:after="144"/>
        <w:rPr>
          <w:rFonts w:hint="eastAsia" w:ascii="仿宋" w:hAnsi="仿宋" w:eastAsia="仿宋"/>
          <w:sz w:val="32"/>
          <w:szCs w:val="32"/>
        </w:rPr>
      </w:pPr>
      <w:r>
        <w:rPr>
          <w:rFonts w:hint="eastAsia" w:ascii="仿宋" w:hAnsi="仿宋" w:eastAsia="仿宋"/>
          <w:sz w:val="32"/>
          <w:szCs w:val="32"/>
        </w:rPr>
        <w:t xml:space="preserve">二、招标文件</w:t>
      </w:r>
      <w:r/>
    </w:p>
    <w:p>
      <w:pPr>
        <w:ind w:firstLine="1363"/>
        <w:spacing w:after="144"/>
        <w:rPr>
          <w:rFonts w:hint="eastAsia" w:ascii="仿宋" w:hAnsi="仿宋" w:eastAsia="仿宋"/>
          <w:sz w:val="32"/>
          <w:szCs w:val="32"/>
        </w:rPr>
      </w:pPr>
      <w:r>
        <w:rPr>
          <w:rFonts w:hint="eastAsia" w:ascii="仿宋" w:hAnsi="仿宋" w:eastAsia="仿宋"/>
          <w:sz w:val="32"/>
          <w:szCs w:val="32"/>
        </w:rPr>
        <w:t xml:space="preserve">三、投标报价</w:t>
      </w:r>
      <w:r/>
    </w:p>
    <w:p>
      <w:pPr>
        <w:ind w:firstLine="1363"/>
        <w:spacing w:after="144"/>
        <w:rPr>
          <w:rFonts w:hint="eastAsia" w:ascii="仿宋" w:hAnsi="仿宋" w:eastAsia="仿宋"/>
          <w:sz w:val="32"/>
          <w:szCs w:val="32"/>
        </w:rPr>
      </w:pPr>
      <w:r>
        <w:rPr>
          <w:rFonts w:hint="eastAsia" w:ascii="仿宋" w:hAnsi="仿宋" w:eastAsia="仿宋"/>
          <w:sz w:val="32"/>
          <w:szCs w:val="32"/>
        </w:rPr>
        <w:t xml:space="preserve">四、投标文件的编制</w:t>
      </w:r>
      <w:r/>
    </w:p>
    <w:p>
      <w:pPr>
        <w:ind w:firstLine="1363"/>
        <w:spacing w:after="144"/>
        <w:rPr>
          <w:rFonts w:hint="eastAsia" w:ascii="仿宋" w:hAnsi="仿宋" w:eastAsia="仿宋"/>
          <w:sz w:val="32"/>
          <w:szCs w:val="32"/>
        </w:rPr>
      </w:pPr>
      <w:r>
        <w:rPr>
          <w:rFonts w:hint="eastAsia" w:ascii="仿宋" w:hAnsi="仿宋" w:eastAsia="仿宋"/>
          <w:sz w:val="32"/>
          <w:szCs w:val="32"/>
        </w:rPr>
        <w:t xml:space="preserve">五、投标截止时间、开标时间</w:t>
      </w:r>
      <w:r/>
    </w:p>
    <w:p>
      <w:pPr>
        <w:ind w:firstLine="1363"/>
        <w:spacing w:after="144"/>
        <w:rPr>
          <w:rFonts w:hint="eastAsia" w:ascii="仿宋" w:hAnsi="仿宋" w:eastAsia="仿宋"/>
          <w:sz w:val="32"/>
          <w:szCs w:val="32"/>
        </w:rPr>
      </w:pPr>
      <w:r>
        <w:rPr>
          <w:rFonts w:hint="eastAsia" w:ascii="仿宋" w:hAnsi="仿宋" w:eastAsia="仿宋"/>
          <w:sz w:val="32"/>
          <w:szCs w:val="32"/>
        </w:rPr>
        <w:t xml:space="preserve">六、开标、评标</w:t>
      </w:r>
      <w:r/>
    </w:p>
    <w:p>
      <w:pPr>
        <w:ind w:firstLine="1363"/>
        <w:spacing w:after="144"/>
        <w:rPr>
          <w:rFonts w:hint="eastAsia" w:ascii="仿宋" w:hAnsi="仿宋" w:eastAsia="仿宋"/>
          <w:sz w:val="32"/>
          <w:szCs w:val="32"/>
        </w:rPr>
      </w:pPr>
      <w:r>
        <w:rPr>
          <w:rFonts w:hint="eastAsia" w:ascii="仿宋" w:hAnsi="仿宋" w:eastAsia="仿宋"/>
          <w:sz w:val="32"/>
          <w:szCs w:val="32"/>
        </w:rPr>
        <w:t xml:space="preserve">七、定 标</w:t>
      </w:r>
      <w:r/>
    </w:p>
    <w:p>
      <w:pPr>
        <w:ind w:firstLine="1363"/>
        <w:spacing w:after="144"/>
        <w:rPr>
          <w:rFonts w:hint="eastAsia" w:ascii="仿宋" w:hAnsi="仿宋" w:eastAsia="仿宋"/>
          <w:sz w:val="32"/>
          <w:szCs w:val="32"/>
        </w:rPr>
      </w:pPr>
      <w:r>
        <w:rPr>
          <w:rFonts w:hint="eastAsia" w:ascii="仿宋" w:hAnsi="仿宋" w:eastAsia="仿宋"/>
          <w:sz w:val="32"/>
          <w:szCs w:val="32"/>
        </w:rPr>
        <w:t xml:space="preserve">八、签订、履行合同</w:t>
      </w:r>
      <w:r/>
    </w:p>
    <w:p>
      <w:pPr>
        <w:spacing w:after="144"/>
        <w:rPr>
          <w:rFonts w:hint="eastAsia" w:ascii="仿宋" w:hAnsi="仿宋" w:eastAsia="仿宋"/>
          <w:b/>
          <w:sz w:val="32"/>
          <w:szCs w:val="32"/>
        </w:rPr>
      </w:pPr>
      <w:r>
        <w:rPr>
          <w:rFonts w:hint="eastAsia" w:ascii="仿宋" w:hAnsi="仿宋" w:eastAsia="仿宋"/>
          <w:b/>
          <w:sz w:val="32"/>
          <w:szCs w:val="32"/>
        </w:rPr>
        <w:t xml:space="preserve">    第二部分  采购需求</w:t>
      </w:r>
      <w:r/>
    </w:p>
    <w:p>
      <w:pPr>
        <w:ind w:firstLine="600"/>
        <w:spacing w:after="144"/>
        <w:rPr>
          <w:rFonts w:hint="eastAsia" w:ascii="仿宋" w:hAnsi="仿宋" w:eastAsia="仿宋"/>
          <w:b/>
          <w:sz w:val="32"/>
          <w:szCs w:val="32"/>
        </w:rPr>
      </w:pPr>
      <w:r>
        <w:rPr>
          <w:rFonts w:hint="eastAsia" w:ascii="仿宋" w:hAnsi="仿宋" w:eastAsia="仿宋"/>
          <w:b/>
          <w:sz w:val="32"/>
          <w:szCs w:val="32"/>
        </w:rPr>
        <w:t xml:space="preserve">第三部分  政府采购合同</w:t>
      </w:r>
      <w:r/>
    </w:p>
    <w:p>
      <w:pPr>
        <w:ind w:firstLine="600"/>
        <w:spacing w:after="144"/>
        <w:rPr>
          <w:rFonts w:hint="eastAsia" w:ascii="仿宋" w:hAnsi="仿宋" w:eastAsia="仿宋"/>
          <w:sz w:val="32"/>
          <w:szCs w:val="32"/>
        </w:rPr>
      </w:pPr>
      <w:r>
        <w:rPr>
          <w:rFonts w:hint="eastAsia" w:ascii="仿宋" w:hAnsi="仿宋" w:eastAsia="仿宋"/>
          <w:b/>
          <w:sz w:val="32"/>
          <w:szCs w:val="32"/>
        </w:rPr>
        <w:t xml:space="preserve">   </w:t>
      </w:r>
      <w:r>
        <w:rPr>
          <w:rFonts w:hint="eastAsia" w:ascii="仿宋" w:hAnsi="仿宋" w:eastAsia="仿宋"/>
          <w:sz w:val="32"/>
          <w:szCs w:val="32"/>
        </w:rPr>
        <w:t xml:space="preserve">  一、合同条款</w:t>
      </w:r>
      <w:r/>
    </w:p>
    <w:p>
      <w:pPr>
        <w:ind w:firstLine="600"/>
        <w:spacing w:after="144"/>
        <w:rPr>
          <w:rFonts w:hint="eastAsia" w:ascii="仿宋" w:hAnsi="仿宋" w:eastAsia="仿宋"/>
          <w:sz w:val="32"/>
          <w:szCs w:val="32"/>
        </w:rPr>
      </w:pPr>
      <w:r>
        <w:rPr>
          <w:rFonts w:hint="eastAsia" w:ascii="仿宋" w:hAnsi="仿宋" w:eastAsia="仿宋"/>
          <w:sz w:val="32"/>
          <w:szCs w:val="32"/>
        </w:rPr>
        <w:t xml:space="preserve">     二、政府采购合同（参考）</w:t>
      </w:r>
      <w:r/>
    </w:p>
    <w:p>
      <w:pPr>
        <w:ind w:firstLine="600"/>
        <w:spacing w:after="144"/>
        <w:rPr>
          <w:rFonts w:hint="eastAsia" w:ascii="仿宋" w:hAnsi="仿宋" w:eastAsia="仿宋"/>
          <w:b/>
          <w:sz w:val="32"/>
          <w:szCs w:val="32"/>
        </w:rPr>
      </w:pPr>
      <w:r>
        <w:rPr>
          <w:rFonts w:hint="eastAsia" w:ascii="仿宋" w:hAnsi="仿宋" w:eastAsia="仿宋"/>
          <w:b/>
          <w:sz w:val="32"/>
          <w:szCs w:val="32"/>
        </w:rPr>
        <w:t xml:space="preserve">第四部分  投标文件格式</w:t>
      </w:r>
      <w:r/>
    </w:p>
    <w:p>
      <w:pPr>
        <w:ind w:firstLine="38"/>
        <w:jc w:val="center"/>
        <w:rPr>
          <w:rFonts w:hint="eastAsia" w:ascii="仿宋" w:hAnsi="仿宋" w:eastAsia="仿宋"/>
          <w:b/>
          <w:sz w:val="44"/>
          <w:szCs w:val="44"/>
        </w:rPr>
      </w:pPr>
      <w:r>
        <w:rPr>
          <w:rFonts w:hint="eastAsia" w:ascii="仿宋" w:hAnsi="仿宋" w:eastAsia="仿宋"/>
          <w:b/>
          <w:sz w:val="44"/>
          <w:szCs w:val="44"/>
        </w:rPr>
      </w:r>
      <w:r/>
    </w:p>
    <w:p>
      <w:pPr>
        <w:jc w:val="center"/>
        <w:rPr>
          <w:rFonts w:hint="eastAsia" w:ascii="方正小标宋简体" w:hAnsi="方正小标宋_GBK" w:eastAsia="方正小标宋简体"/>
          <w:sz w:val="36"/>
          <w:szCs w:val="36"/>
        </w:rPr>
      </w:pPr>
      <w:r>
        <w:rPr>
          <w:rFonts w:hint="eastAsia" w:ascii="方正小标宋简体" w:hAnsi="方正小标宋_GBK" w:eastAsia="方正小标宋简体"/>
          <w:sz w:val="36"/>
          <w:szCs w:val="36"/>
        </w:rPr>
      </w:r>
      <w:r>
        <w:rPr>
          <w:rFonts w:hint="eastAsia" w:ascii="方正小标宋简体" w:hAnsi="方正小标宋_GBK" w:eastAsia="方正小标宋简体"/>
          <w:sz w:val="36"/>
          <w:szCs w:val="36"/>
        </w:rPr>
      </w:r>
    </w:p>
    <w:p>
      <w:pPr>
        <w:jc w:val="center"/>
        <w:rPr>
          <w:rFonts w:hint="eastAsia" w:ascii="方正小标宋简体" w:hAnsi="方正小标宋_GBK" w:eastAsia="方正小标宋简体"/>
          <w:sz w:val="36"/>
          <w:szCs w:val="36"/>
        </w:rPr>
      </w:pPr>
      <w:r>
        <w:rPr>
          <w:rFonts w:hint="eastAsia" w:ascii="方正小标宋简体" w:hAnsi="方正小标宋_GBK" w:eastAsia="方正小标宋简体"/>
          <w:sz w:val="36"/>
          <w:szCs w:val="36"/>
        </w:rPr>
      </w:r>
      <w:r>
        <w:rPr>
          <w:rFonts w:hint="eastAsia" w:ascii="方正小标宋简体" w:hAnsi="方正小标宋_GBK" w:eastAsia="方正小标宋简体"/>
          <w:sz w:val="36"/>
          <w:szCs w:val="36"/>
        </w:rPr>
      </w:r>
    </w:p>
    <w:p>
      <w:pPr>
        <w:jc w:val="center"/>
        <w:rPr>
          <w:rFonts w:hint="eastAsia" w:ascii="方正小标宋简体" w:hAnsi="方正小标宋_GBK" w:eastAsia="方正小标宋简体"/>
          <w:sz w:val="36"/>
          <w:szCs w:val="36"/>
        </w:rPr>
      </w:pPr>
      <w:r>
        <w:rPr>
          <w:rFonts w:hint="eastAsia" w:ascii="方正小标宋简体" w:hAnsi="方正小标宋_GBK" w:eastAsia="方正小标宋简体"/>
          <w:sz w:val="36"/>
          <w:szCs w:val="36"/>
        </w:rPr>
      </w:r>
      <w:r>
        <w:rPr>
          <w:rFonts w:hint="eastAsia" w:ascii="方正小标宋简体" w:hAnsi="方正小标宋_GBK" w:eastAsia="方正小标宋简体"/>
          <w:sz w:val="36"/>
          <w:szCs w:val="36"/>
        </w:rPr>
      </w:r>
    </w:p>
    <w:p>
      <w:pPr>
        <w:jc w:val="center"/>
        <w:rPr>
          <w:rFonts w:hint="eastAsia" w:ascii="方正小标宋简体" w:hAnsi="方正小标宋_GBK" w:eastAsia="方正小标宋简体"/>
          <w:sz w:val="36"/>
          <w:szCs w:val="36"/>
        </w:rPr>
      </w:pPr>
      <w:r>
        <w:rPr>
          <w:rFonts w:hint="eastAsia" w:ascii="方正小标宋简体" w:hAnsi="方正小标宋_GBK" w:eastAsia="方正小标宋简体"/>
          <w:sz w:val="36"/>
          <w:szCs w:val="36"/>
        </w:rPr>
      </w:r>
      <w:r>
        <w:rPr>
          <w:rFonts w:hint="eastAsia" w:ascii="方正小标宋简体" w:hAnsi="方正小标宋_GBK" w:eastAsia="方正小标宋简体"/>
          <w:sz w:val="36"/>
          <w:szCs w:val="36"/>
        </w:rPr>
      </w:r>
    </w:p>
    <w:p>
      <w:pPr>
        <w:jc w:val="center"/>
        <w:rPr>
          <w:rFonts w:hint="eastAsia" w:ascii="方正小标宋简体" w:hAnsi="方正小标宋_GBK" w:eastAsia="方正小标宋简体"/>
          <w:sz w:val="36"/>
          <w:szCs w:val="36"/>
        </w:rPr>
      </w:pPr>
      <w:r>
        <w:rPr>
          <w:rFonts w:hint="eastAsia" w:ascii="方正小标宋简体" w:hAnsi="方正小标宋_GBK" w:eastAsia="方正小标宋简体"/>
          <w:sz w:val="36"/>
          <w:szCs w:val="36"/>
        </w:rPr>
      </w:r>
      <w:r>
        <w:rPr>
          <w:rFonts w:hint="eastAsia" w:ascii="方正小标宋简体" w:hAnsi="方正小标宋_GBK" w:eastAsia="方正小标宋简体"/>
          <w:sz w:val="36"/>
          <w:szCs w:val="36"/>
        </w:rPr>
      </w:r>
    </w:p>
    <w:p>
      <w:pPr>
        <w:jc w:val="center"/>
        <w:rPr>
          <w:rFonts w:hint="eastAsia" w:ascii="方正小标宋简体" w:hAnsi="方正小标宋_GBK" w:eastAsia="方正小标宋简体"/>
          <w:sz w:val="36"/>
          <w:szCs w:val="36"/>
        </w:rPr>
      </w:pPr>
      <w:r>
        <w:rPr>
          <w:rFonts w:hint="eastAsia" w:ascii="方正小标宋简体" w:hAnsi="方正小标宋_GBK" w:eastAsia="方正小标宋简体"/>
          <w:sz w:val="36"/>
          <w:szCs w:val="36"/>
        </w:rPr>
      </w:r>
      <w:r>
        <w:rPr>
          <w:rFonts w:hint="eastAsia" w:ascii="方正小标宋简体" w:hAnsi="方正小标宋_GBK" w:eastAsia="方正小标宋简体"/>
          <w:sz w:val="36"/>
          <w:szCs w:val="36"/>
        </w:rPr>
      </w:r>
    </w:p>
    <w:p>
      <w:pPr>
        <w:jc w:val="center"/>
        <w:rPr>
          <w:rFonts w:hint="eastAsia" w:ascii="方正小标宋简体" w:hAnsi="方正小标宋_GBK" w:eastAsia="方正小标宋简体"/>
          <w:sz w:val="36"/>
          <w:szCs w:val="36"/>
        </w:rPr>
      </w:pPr>
      <w:r>
        <w:rPr>
          <w:rFonts w:hint="eastAsia" w:ascii="方正小标宋简体" w:hAnsi="方正小标宋_GBK" w:eastAsia="方正小标宋简体"/>
          <w:sz w:val="36"/>
          <w:szCs w:val="36"/>
        </w:rPr>
      </w:r>
      <w:r>
        <w:rPr>
          <w:rFonts w:hint="eastAsia" w:ascii="方正小标宋简体" w:hAnsi="方正小标宋_GBK" w:eastAsia="方正小标宋简体"/>
          <w:sz w:val="36"/>
          <w:szCs w:val="36"/>
        </w:rPr>
      </w:r>
    </w:p>
    <w:p>
      <w:pPr>
        <w:jc w:val="center"/>
        <w:rPr>
          <w:rFonts w:hint="eastAsia" w:ascii="方正小标宋简体" w:hAnsi="方正小标宋_GBK" w:eastAsia="方正小标宋简体"/>
          <w:sz w:val="36"/>
          <w:szCs w:val="36"/>
        </w:rPr>
      </w:pPr>
      <w:r>
        <w:rPr>
          <w:rFonts w:hint="eastAsia" w:ascii="方正小标宋简体" w:hAnsi="方正小标宋_GBK" w:eastAsia="方正小标宋简体"/>
          <w:sz w:val="36"/>
          <w:szCs w:val="36"/>
        </w:rPr>
        <w:t xml:space="preserve">兴化市</w:t>
      </w:r>
      <w:r>
        <w:rPr>
          <w:rFonts w:ascii="方正小标宋简体" w:hAnsi="方正小标宋_GBK" w:eastAsia="方正小标宋简体"/>
          <w:sz w:val="36"/>
          <w:szCs w:val="36"/>
        </w:rPr>
        <w:t xml:space="preserve">政府采购</w:t>
      </w:r>
      <w:r>
        <w:rPr>
          <w:rFonts w:hint="eastAsia" w:ascii="方正小标宋简体" w:hAnsi="方正小标宋_GBK" w:eastAsia="方正小标宋简体"/>
          <w:sz w:val="36"/>
          <w:szCs w:val="36"/>
        </w:rPr>
        <w:t xml:space="preserve">不见面交易相关提醒</w:t>
      </w:r>
      <w:r/>
    </w:p>
    <w:p>
      <w:pPr>
        <w:spacing w:line="520" w:lineRule="exact"/>
        <w:rPr>
          <w:rFonts w:hint="eastAsia" w:ascii="宋体" w:hAnsi="宋体" w:cs="宋体"/>
          <w:b/>
          <w:bCs/>
          <w:spacing w:val="-3"/>
          <w:sz w:val="32"/>
          <w:szCs w:val="32"/>
        </w:rPr>
      </w:pPr>
      <w:r>
        <w:rPr>
          <w:rFonts w:hint="eastAsia" w:ascii="宋体" w:hAnsi="宋体" w:cs="宋体"/>
          <w:b/>
          <w:bCs/>
          <w:sz w:val="32"/>
          <w:szCs w:val="32"/>
        </w:rPr>
        <w:t xml:space="preserve">一、政府采购线上合同信用融资功能告知提醒</w:t>
      </w:r>
      <w:r/>
    </w:p>
    <w:p>
      <w:pPr>
        <w:ind w:firstLine="522"/>
        <w:spacing w:line="400" w:lineRule="exact"/>
        <w:rPr>
          <w:rFonts w:hint="eastAsia" w:ascii="仿宋" w:hAnsi="仿宋" w:eastAsia="仿宋" w:cs="仿宋"/>
          <w:spacing w:val="1"/>
          <w:sz w:val="28"/>
          <w:szCs w:val="28"/>
        </w:rPr>
      </w:pPr>
      <w:r>
        <w:rPr>
          <w:rFonts w:hint="eastAsia" w:ascii="仿宋" w:hAnsi="仿宋" w:eastAsia="仿宋" w:cs="仿宋"/>
          <w:spacing w:val="1"/>
          <w:sz w:val="28"/>
          <w:szCs w:val="28"/>
        </w:rPr>
        <w:t xml:space="preserve">今年我市已正式启用“苏采云”系统，目前已全面开</w:t>
      </w:r>
      <w:r>
        <w:rPr>
          <w:rFonts w:hint="eastAsia" w:ascii="仿宋" w:hAnsi="仿宋" w:eastAsia="仿宋" w:cs="仿宋"/>
          <w:spacing w:val="11"/>
          <w:sz w:val="28"/>
          <w:szCs w:val="28"/>
        </w:rPr>
        <w:t xml:space="preserve">通</w:t>
      </w:r>
      <w:r>
        <w:rPr>
          <w:rFonts w:hint="eastAsia" w:ascii="仿宋" w:hAnsi="仿宋" w:eastAsia="仿宋" w:cs="仿宋"/>
          <w:spacing w:val="1"/>
          <w:sz w:val="28"/>
          <w:szCs w:val="28"/>
        </w:rPr>
        <w:t xml:space="preserve">政府采购线上合同信用融资（以下简称“政采贷”）功能。成交供应商可凭政府采购合同在中征平台发起贷款申请贷款。</w:t>
      </w:r>
      <w:r/>
    </w:p>
    <w:p>
      <w:pPr>
        <w:pStyle w:val="1201"/>
        <w:ind w:left="640" w:firstLine="518"/>
        <w:jc w:val="both"/>
        <w:spacing w:beforeAutospacing="0" w:afterAutospacing="0" w:line="400" w:lineRule="exact"/>
        <w:rPr>
          <w:rFonts w:hint="eastAsia" w:ascii="仿宋" w:hAnsi="仿宋" w:eastAsia="仿宋" w:cs="仿宋"/>
          <w:b/>
          <w:bCs/>
          <w:sz w:val="28"/>
          <w:szCs w:val="28"/>
        </w:rPr>
      </w:pPr>
      <w:r>
        <w:rPr>
          <w:rFonts w:hint="eastAsia" w:ascii="仿宋" w:hAnsi="仿宋" w:eastAsia="仿宋" w:cs="仿宋"/>
          <w:b/>
          <w:bCs/>
          <w:sz w:val="28"/>
          <w:szCs w:val="28"/>
        </w:rPr>
        <w:t xml:space="preserve">1.“政采贷”业务流程</w:t>
      </w:r>
      <w:r/>
    </w:p>
    <w:p>
      <w:pPr>
        <w:pStyle w:val="1201"/>
        <w:ind w:firstLine="520"/>
        <w:jc w:val="both"/>
        <w:spacing w:beforeAutospacing="0" w:afterAutospacing="0"/>
        <w:rPr>
          <w:rFonts w:hint="eastAsia" w:ascii="仿宋" w:hAnsi="仿宋" w:eastAsia="仿宋" w:cs="仿宋"/>
          <w:sz w:val="28"/>
          <w:szCs w:val="28"/>
        </w:rPr>
      </w:pPr>
      <w:r>
        <w:rPr>
          <w:rFonts w:ascii="仿宋" w:hAnsi="仿宋" w:eastAsia="仿宋" w:cs="仿宋"/>
          <w:sz w:val="28"/>
          <w:szCs w:val="28"/>
        </w:rPr>
        <mc:AlternateContent>
          <mc:Choice Requires="wpg">
            <w:drawing>
              <wp:inline xmlns:wp="http://schemas.openxmlformats.org/drawingml/2006/wordprocessingDrawing" distT="0" distB="0" distL="0" distR="0">
                <wp:extent cx="5290185" cy="1567815"/>
                <wp:effectExtent l="0" t="0" r="5715" b="0"/>
                <wp:docPr id="10" name="图片 1" descr="1675992174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1377424" name="图片 1" descr="1675992174522"/>
                        <pic:cNvPicPr>
                          <a:picLocks noChangeAspect="1"/>
                        </pic:cNvPicPr>
                        <pic:nvPr/>
                      </pic:nvPicPr>
                      <pic:blipFill>
                        <a:blip r:embed="rId18"/>
                        <a:stretch/>
                      </pic:blipFill>
                      <pic:spPr bwMode="auto">
                        <a:xfrm>
                          <a:off x="0" y="0"/>
                          <a:ext cx="5290185" cy="15678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416.5pt;height:123.4pt;mso-wrap-distance-left:0.0pt;mso-wrap-distance-top:0.0pt;mso-wrap-distance-right:0.0pt;mso-wrap-distance-bottom:0.0pt;" stroked="f">
                <v:path textboxrect="0,0,0,0"/>
                <v:imagedata r:id="rId18" o:title=""/>
              </v:shape>
            </w:pict>
          </mc:Fallback>
        </mc:AlternateContent>
      </w:r>
      <w:r/>
    </w:p>
    <w:p>
      <w:pPr>
        <w:pStyle w:val="1201"/>
        <w:ind w:left="640" w:firstLine="518"/>
        <w:jc w:val="both"/>
        <w:spacing w:beforeAutospacing="0" w:afterAutospacing="0" w:line="400" w:lineRule="exact"/>
        <w:rPr>
          <w:rFonts w:hint="eastAsia" w:ascii="仿宋" w:hAnsi="仿宋" w:eastAsia="仿宋" w:cs="仿宋"/>
          <w:b/>
          <w:bCs/>
          <w:sz w:val="28"/>
          <w:szCs w:val="28"/>
        </w:rPr>
      </w:pPr>
      <w:r>
        <w:rPr>
          <w:rFonts w:hint="eastAsia" w:ascii="仿宋" w:hAnsi="仿宋" w:eastAsia="仿宋" w:cs="仿宋"/>
          <w:b/>
          <w:bCs/>
          <w:sz w:val="28"/>
          <w:szCs w:val="28"/>
        </w:rPr>
        <w:t xml:space="preserve">2.操作流程</w:t>
      </w:r>
      <w:r/>
    </w:p>
    <w:p>
      <w:pPr>
        <w:pStyle w:val="1201"/>
        <w:ind w:firstLine="520"/>
        <w:jc w:val="both"/>
        <w:spacing w:beforeAutospacing="0" w:afterAutospacing="0" w:line="400" w:lineRule="exact"/>
        <w:rPr>
          <w:rFonts w:hint="eastAsia" w:ascii="仿宋" w:hAnsi="仿宋" w:eastAsia="仿宋" w:cs="仿宋"/>
          <w:sz w:val="28"/>
          <w:szCs w:val="28"/>
        </w:rPr>
      </w:pPr>
      <w:r>
        <w:rPr>
          <w:rFonts w:hint="eastAsia" w:ascii="仿宋" w:hAnsi="仿宋" w:eastAsia="仿宋" w:cs="仿宋"/>
          <w:sz w:val="28"/>
          <w:szCs w:val="28"/>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p>
    <w:p>
      <w:pPr>
        <w:pStyle w:val="1201"/>
        <w:ind w:left="640" w:firstLine="518"/>
        <w:jc w:val="both"/>
        <w:spacing w:beforeAutospacing="0" w:afterAutospacing="0" w:line="400" w:lineRule="exact"/>
        <w:rPr>
          <w:rFonts w:hint="eastAsia" w:ascii="仿宋" w:hAnsi="仿宋" w:eastAsia="仿宋" w:cs="仿宋"/>
          <w:b/>
          <w:bCs/>
          <w:sz w:val="28"/>
          <w:szCs w:val="28"/>
        </w:rPr>
      </w:pPr>
      <w:r>
        <w:rPr>
          <w:rFonts w:hint="eastAsia" w:ascii="仿宋" w:hAnsi="仿宋" w:eastAsia="仿宋" w:cs="仿宋"/>
          <w:b/>
          <w:bCs/>
          <w:sz w:val="28"/>
          <w:szCs w:val="28"/>
        </w:rPr>
        <w:t xml:space="preserve">3.常见问题</w:t>
      </w:r>
      <w:r/>
    </w:p>
    <w:p>
      <w:pPr>
        <w:pStyle w:val="1201"/>
        <w:ind w:firstLine="520"/>
        <w:jc w:val="both"/>
        <w:spacing w:beforeAutospacing="0" w:afterAutospacing="0" w:line="400" w:lineRule="exact"/>
        <w:rPr>
          <w:rFonts w:hint="eastAsia" w:ascii="仿宋" w:hAnsi="仿宋" w:eastAsia="仿宋" w:cs="仿宋"/>
          <w:sz w:val="28"/>
          <w:szCs w:val="28"/>
        </w:rPr>
      </w:pPr>
      <w:r>
        <w:rPr>
          <w:rFonts w:hint="eastAsia" w:ascii="仿宋" w:hAnsi="仿宋" w:eastAsia="仿宋" w:cs="仿宋"/>
          <w:sz w:val="28"/>
          <w:szCs w:val="28"/>
        </w:rPr>
        <w:t xml:space="preserve">Q1：哪些企业能申请“政采贷”？</w:t>
      </w:r>
      <w:r/>
    </w:p>
    <w:p>
      <w:pPr>
        <w:pStyle w:val="1201"/>
        <w:ind w:firstLine="520"/>
        <w:jc w:val="both"/>
        <w:spacing w:beforeAutospacing="0" w:afterAutospacing="0" w:line="400" w:lineRule="exact"/>
        <w:rPr>
          <w:rFonts w:hint="eastAsia" w:ascii="仿宋" w:hAnsi="仿宋" w:eastAsia="仿宋" w:cs="仿宋"/>
          <w:sz w:val="28"/>
          <w:szCs w:val="28"/>
        </w:rPr>
      </w:pPr>
      <w:r>
        <w:rPr>
          <w:rFonts w:hint="eastAsia" w:ascii="仿宋" w:hAnsi="仿宋" w:eastAsia="仿宋" w:cs="仿宋"/>
          <w:sz w:val="28"/>
          <w:szCs w:val="28"/>
        </w:rPr>
        <w:t xml:space="preserve">答：江苏省内采用国库集中支付的政府采购项目的中标供应商，可凭政府采购合同申请"政采贷"。</w:t>
      </w:r>
      <w:r/>
    </w:p>
    <w:p>
      <w:pPr>
        <w:pStyle w:val="1201"/>
        <w:ind w:firstLine="520"/>
        <w:jc w:val="both"/>
        <w:spacing w:beforeAutospacing="0" w:afterAutospacing="0" w:line="400" w:lineRule="exact"/>
        <w:rPr>
          <w:rFonts w:hint="eastAsia" w:ascii="仿宋" w:hAnsi="仿宋" w:eastAsia="仿宋" w:cs="仿宋"/>
          <w:sz w:val="28"/>
          <w:szCs w:val="28"/>
        </w:rPr>
      </w:pPr>
      <w:r>
        <w:rPr>
          <w:rFonts w:hint="eastAsia" w:ascii="仿宋" w:hAnsi="仿宋" w:eastAsia="仿宋" w:cs="仿宋"/>
          <w:sz w:val="28"/>
          <w:szCs w:val="28"/>
        </w:rPr>
        <w:t xml:space="preserve">Q2：供应商在哪里申请“政采贷”？</w:t>
      </w:r>
      <w:r/>
    </w:p>
    <w:p>
      <w:pPr>
        <w:pStyle w:val="1201"/>
        <w:ind w:firstLine="520"/>
        <w:jc w:val="both"/>
        <w:spacing w:beforeAutospacing="0" w:afterAutospacing="0" w:line="400" w:lineRule="exact"/>
        <w:rPr>
          <w:rFonts w:hint="eastAsia" w:ascii="仿宋" w:hAnsi="仿宋" w:eastAsia="仿宋" w:cs="仿宋"/>
          <w:sz w:val="28"/>
          <w:szCs w:val="28"/>
        </w:rPr>
      </w:pPr>
      <w:r>
        <w:rPr>
          <w:rFonts w:hint="eastAsia" w:ascii="仿宋" w:hAnsi="仿宋" w:eastAsia="仿宋" w:cs="仿宋"/>
          <w:sz w:val="28"/>
          <w:szCs w:val="28"/>
        </w:rPr>
        <w:t xml:space="preserve">答：中标供应商在“中征应收账款融资服务平台”（简称“中征平台”）上向意向银行发起融资申请</w:t>
      </w:r>
      <w:r/>
    </w:p>
    <w:p>
      <w:pPr>
        <w:pStyle w:val="1201"/>
        <w:ind w:firstLine="520"/>
        <w:jc w:val="both"/>
        <w:spacing w:beforeAutospacing="0" w:afterAutospacing="0" w:line="400" w:lineRule="exact"/>
        <w:rPr>
          <w:rFonts w:hint="eastAsia" w:ascii="仿宋" w:hAnsi="仿宋" w:eastAsia="仿宋" w:cs="仿宋"/>
          <w:sz w:val="28"/>
          <w:szCs w:val="28"/>
        </w:rPr>
      </w:pPr>
      <w:r>
        <w:rPr>
          <w:rFonts w:hint="eastAsia" w:ascii="仿宋" w:hAnsi="仿宋" w:eastAsia="仿宋" w:cs="仿宋"/>
          <w:sz w:val="28"/>
          <w:szCs w:val="28"/>
        </w:rPr>
        <w:t xml:space="preserve">Q3：中标供应商要注意什么？</w:t>
      </w:r>
      <w:r/>
    </w:p>
    <w:p>
      <w:pPr>
        <w:pStyle w:val="1201"/>
        <w:ind w:firstLine="520"/>
        <w:jc w:val="both"/>
        <w:spacing w:beforeAutospacing="0" w:afterAutospacing="0" w:line="400" w:lineRule="exact"/>
        <w:rPr>
          <w:rFonts w:hint="eastAsia" w:ascii="仿宋" w:hAnsi="仿宋" w:eastAsia="仿宋" w:cs="仿宋"/>
          <w:sz w:val="28"/>
          <w:szCs w:val="28"/>
        </w:rPr>
      </w:pPr>
      <w:r>
        <w:rPr>
          <w:rFonts w:hint="eastAsia" w:ascii="仿宋" w:hAnsi="仿宋" w:eastAsia="仿宋" w:cs="仿宋"/>
          <w:sz w:val="28"/>
          <w:szCs w:val="28"/>
        </w:rPr>
        <w:t xml:space="preserve">答：中标供应商要加强和采购单位的沟通协调，尽早确定融资需求。需要“政采贷”融资的，政府采购合同付款账号应当空置。</w:t>
      </w:r>
      <w:r/>
    </w:p>
    <w:p>
      <w:pPr>
        <w:pStyle w:val="1201"/>
        <w:ind w:firstLine="520"/>
        <w:jc w:val="both"/>
        <w:spacing w:beforeAutospacing="0" w:afterAutospacing="0" w:line="400" w:lineRule="exact"/>
        <w:rPr>
          <w:rFonts w:hint="eastAsia" w:ascii="仿宋" w:hAnsi="仿宋" w:eastAsia="仿宋" w:cs="仿宋"/>
          <w:sz w:val="28"/>
          <w:szCs w:val="28"/>
        </w:rPr>
      </w:pPr>
      <w:r>
        <w:rPr>
          <w:rFonts w:hint="eastAsia" w:ascii="仿宋" w:hAnsi="仿宋" w:eastAsia="仿宋" w:cs="仿宋"/>
          <w:sz w:val="28"/>
          <w:szCs w:val="28"/>
        </w:rPr>
        <w:t xml:space="preserve">Q4：采购单位要做什么？</w:t>
      </w:r>
      <w:r/>
    </w:p>
    <w:p>
      <w:pPr>
        <w:pStyle w:val="1201"/>
        <w:ind w:firstLine="520"/>
        <w:jc w:val="both"/>
        <w:spacing w:beforeAutospacing="0" w:afterAutospacing="0" w:line="400" w:lineRule="exact"/>
        <w:rPr>
          <w:rFonts w:hint="eastAsia" w:ascii="仿宋" w:hAnsi="仿宋" w:eastAsia="仿宋" w:cs="仿宋"/>
          <w:sz w:val="28"/>
          <w:szCs w:val="28"/>
        </w:rPr>
      </w:pPr>
      <w:r>
        <w:rPr>
          <w:rFonts w:hint="eastAsia" w:ascii="仿宋" w:hAnsi="仿宋" w:eastAsia="仿宋" w:cs="仿宋"/>
          <w:sz w:val="28"/>
          <w:szCs w:val="28"/>
        </w:rPr>
        <w:t xml:space="preserve">答：采购单位在“苏采云”系统中公示政府采购合同时，要勾选融资标识，为中标供应商融资提供便利。如后续融资失败，采购单位要及时维护中标供应商相关账号信息，按时支付款项。</w:t>
      </w:r>
      <w:r/>
    </w:p>
    <w:p>
      <w:pPr>
        <w:pStyle w:val="1201"/>
        <w:ind w:firstLine="520"/>
        <w:jc w:val="both"/>
        <w:spacing w:beforeAutospacing="0" w:afterAutospacing="0" w:line="400" w:lineRule="exact"/>
        <w:rPr>
          <w:rFonts w:hint="eastAsia" w:ascii="仿宋" w:hAnsi="仿宋" w:eastAsia="仿宋" w:cs="仿宋"/>
          <w:sz w:val="28"/>
          <w:szCs w:val="28"/>
        </w:rPr>
      </w:pPr>
      <w:r>
        <w:rPr>
          <w:rFonts w:hint="eastAsia" w:ascii="仿宋" w:hAnsi="仿宋" w:eastAsia="仿宋" w:cs="仿宋"/>
          <w:sz w:val="28"/>
          <w:szCs w:val="28"/>
        </w:rPr>
        <w:t xml:space="preserve">Q5：“政采贷”融资失败怎么办？</w:t>
      </w:r>
      <w:r/>
    </w:p>
    <w:p>
      <w:pPr>
        <w:pStyle w:val="1201"/>
        <w:ind w:firstLine="520"/>
        <w:jc w:val="both"/>
        <w:spacing w:beforeAutospacing="0" w:afterAutospacing="0" w:line="400" w:lineRule="exact"/>
        <w:rPr>
          <w:rFonts w:hint="eastAsia" w:ascii="仿宋" w:hAnsi="仿宋" w:eastAsia="仿宋" w:cs="仿宋"/>
          <w:sz w:val="28"/>
          <w:szCs w:val="28"/>
        </w:rPr>
      </w:pPr>
      <w:r>
        <w:rPr>
          <w:rFonts w:hint="eastAsia" w:ascii="仿宋" w:hAnsi="仿宋" w:eastAsia="仿宋" w:cs="仿宋"/>
          <w:sz w:val="28"/>
          <w:szCs w:val="28"/>
        </w:rPr>
        <w:t xml:space="preserve">答：经合作银行审核后不予放款，或者贷款审核时间超过10个工作日的，视为融资失败，该项目回到财政预算管理一体化系统中支付资金。融资失败的，无法重新线上申请“政采贷”。</w:t>
      </w:r>
      <w:r/>
    </w:p>
    <w:p>
      <w:pPr>
        <w:pStyle w:val="1201"/>
        <w:ind w:left="640" w:firstLine="518"/>
        <w:jc w:val="both"/>
        <w:spacing w:beforeAutospacing="0" w:afterAutospacing="0" w:line="400" w:lineRule="exact"/>
        <w:rPr>
          <w:rFonts w:hint="eastAsia" w:ascii="仿宋" w:hAnsi="仿宋" w:eastAsia="仿宋" w:cs="仿宋"/>
          <w:b/>
          <w:bCs/>
          <w:sz w:val="28"/>
          <w:szCs w:val="28"/>
        </w:rPr>
      </w:pPr>
      <w:r>
        <w:rPr>
          <w:rFonts w:hint="eastAsia" w:ascii="仿宋" w:hAnsi="仿宋" w:eastAsia="仿宋" w:cs="仿宋"/>
          <w:b/>
          <w:bCs/>
          <w:sz w:val="28"/>
          <w:szCs w:val="28"/>
        </w:rPr>
        <w:t xml:space="preserve">3.网址及联系方式</w:t>
      </w:r>
      <w:r/>
    </w:p>
    <w:p>
      <w:pPr>
        <w:jc w:val="left"/>
        <w:spacing w:line="400" w:lineRule="exact"/>
        <w:rPr>
          <w:rFonts w:hint="eastAsia" w:ascii="仿宋" w:hAnsi="仿宋" w:eastAsia="仿宋" w:cs="仿宋"/>
          <w:spacing w:val="1"/>
          <w:sz w:val="28"/>
          <w:szCs w:val="28"/>
        </w:rPr>
      </w:pPr>
      <w:r>
        <w:rPr>
          <w:rFonts w:hint="eastAsia" w:ascii="仿宋" w:hAnsi="仿宋" w:eastAsia="仿宋" w:cs="仿宋"/>
          <w:spacing w:val="1"/>
          <w:sz w:val="28"/>
          <w:szCs w:val="28"/>
        </w:rPr>
        <w:t xml:space="preserve">政采贷：</w:t>
      </w:r>
      <w:hyperlink r:id="rId19" w:tooltip="http://www.ccgp-jiangsu.gov.cn/jiangsu/paying.html" w:history="1">
        <w:r>
          <w:rPr>
            <w:rStyle w:val="1213"/>
            <w:rFonts w:hint="eastAsia" w:ascii="仿宋" w:hAnsi="仿宋" w:eastAsia="仿宋" w:cs="仿宋"/>
            <w:spacing w:val="1"/>
            <w:sz w:val="28"/>
            <w:szCs w:val="28"/>
          </w:rPr>
          <w:t xml:space="preserve">http://www.ccgp-jiangsu.gov.cn/jiangsu/paying.html</w:t>
        </w:r>
      </w:hyperlink>
      <w:r/>
      <w:r/>
    </w:p>
    <w:p>
      <w:pPr>
        <w:jc w:val="left"/>
        <w:spacing w:line="400" w:lineRule="exact"/>
        <w:rPr>
          <w:rFonts w:hint="eastAsia" w:ascii="仿宋" w:hAnsi="仿宋" w:eastAsia="仿宋" w:cs="仿宋"/>
          <w:spacing w:val="1"/>
          <w:sz w:val="28"/>
          <w:szCs w:val="28"/>
        </w:rPr>
      </w:pPr>
      <w:r>
        <w:rPr>
          <w:rFonts w:hint="eastAsia" w:ascii="仿宋" w:hAnsi="仿宋" w:eastAsia="仿宋" w:cs="仿宋"/>
          <w:spacing w:val="1"/>
          <w:sz w:val="28"/>
          <w:szCs w:val="28"/>
        </w:rPr>
        <w:t xml:space="preserve">中征平台：</w:t>
      </w:r>
      <w:hyperlink r:id="rId20" w:tooltip="https://www.crcrfsp.com/" w:history="1">
        <w:r>
          <w:rPr>
            <w:rStyle w:val="1213"/>
            <w:rFonts w:hint="eastAsia" w:ascii="仿宋" w:hAnsi="仿宋" w:eastAsia="仿宋" w:cs="仿宋"/>
            <w:spacing w:val="1"/>
            <w:sz w:val="28"/>
            <w:szCs w:val="28"/>
          </w:rPr>
          <w:t xml:space="preserve">https://www.crcrfsp.com/</w:t>
        </w:r>
      </w:hyperlink>
      <w:r/>
      <w:r/>
    </w:p>
    <w:p>
      <w:pPr>
        <w:jc w:val="left"/>
        <w:spacing w:line="400" w:lineRule="exact"/>
        <w:rPr>
          <w:rFonts w:hint="eastAsia" w:ascii="仿宋" w:hAnsi="仿宋" w:eastAsia="仿宋" w:cs="仿宋"/>
          <w:spacing w:val="1"/>
          <w:sz w:val="28"/>
          <w:szCs w:val="28"/>
        </w:rPr>
      </w:pPr>
      <w:r>
        <w:rPr>
          <w:rFonts w:hint="eastAsia" w:ascii="仿宋" w:hAnsi="仿宋" w:eastAsia="仿宋" w:cs="仿宋"/>
          <w:spacing w:val="1"/>
          <w:sz w:val="28"/>
          <w:szCs w:val="28"/>
        </w:rPr>
        <w:t xml:space="preserve">联系人：张女士           联系电话：0523-82020605</w:t>
      </w:r>
      <w:r/>
    </w:p>
    <w:p>
      <w:pPr>
        <w:jc w:val="left"/>
        <w:spacing w:line="400" w:lineRule="exact"/>
        <w:rPr>
          <w:rFonts w:hint="eastAsia" w:ascii="仿宋" w:hAnsi="仿宋" w:eastAsia="仿宋" w:cs="仿宋"/>
          <w:spacing w:val="1"/>
          <w:sz w:val="28"/>
          <w:szCs w:val="28"/>
        </w:rPr>
      </w:pPr>
      <w:r>
        <w:rPr>
          <w:rFonts w:hint="eastAsia" w:ascii="仿宋" w:hAnsi="仿宋" w:eastAsia="仿宋" w:cs="仿宋"/>
          <w:spacing w:val="1"/>
          <w:sz w:val="28"/>
          <w:szCs w:val="28"/>
        </w:rPr>
      </w:r>
      <w:r/>
    </w:p>
    <w:p>
      <w:pPr>
        <w:ind w:firstLine="600"/>
        <w:spacing w:line="520" w:lineRule="exact"/>
        <w:rPr>
          <w:rFonts w:hint="eastAsia" w:ascii="宋体" w:hAnsi="宋体" w:cs="宋体"/>
          <w:b/>
          <w:bCs/>
          <w:sz w:val="32"/>
          <w:szCs w:val="32"/>
        </w:rPr>
      </w:pPr>
      <w:r>
        <w:rPr>
          <w:rFonts w:hint="eastAsia" w:ascii="宋体" w:hAnsi="宋体" w:cs="宋体"/>
          <w:b/>
          <w:bCs/>
          <w:sz w:val="32"/>
          <w:szCs w:val="32"/>
        </w:rPr>
        <w:t xml:space="preserve">二、不见面交易投标文件制作提交说明</w:t>
      </w:r>
      <w:r/>
    </w:p>
    <w:p>
      <w:pPr>
        <w:ind w:firstLine="520"/>
        <w:jc w:val="left"/>
        <w:spacing w:line="520" w:lineRule="exact"/>
        <w:rPr>
          <w:rFonts w:hint="eastAsia"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1.业务流程：</w:t>
      </w:r>
      <w:r>
        <w:rPr>
          <w:rFonts w:hint="eastAsia" w:ascii="仿宋" w:hAnsi="仿宋" w:eastAsia="仿宋" w:cs="宋体"/>
          <w:sz w:val="28"/>
          <w:szCs w:val="28"/>
          <w:shd w:val="clear" w:color="auto" w:fill="ffffff"/>
          <w:lang w:bidi="ar"/>
        </w:rPr>
        <w:t xml:space="preserve">潜在供应商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20"/>
        <w:jc w:val="left"/>
        <w:spacing w:line="520" w:lineRule="exact"/>
        <w:rPr>
          <w:rFonts w:hint="eastAsia"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2.苏采云资料：</w:t>
      </w:r>
      <w:r>
        <w:rPr>
          <w:rFonts w:hint="eastAsia" w:ascii="仿宋" w:hAnsi="仿宋" w:eastAsia="仿宋" w:cs="宋体"/>
          <w:sz w:val="28"/>
          <w:szCs w:val="28"/>
          <w:shd w:val="clear" w:color="auto" w:fill="ffffff"/>
          <w:lang w:bidi="ar"/>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hyperlink r:id="rId21" w:tooltip="苏采云系统操作手册（供应商）" w:history="1">
        <w:r>
          <w:rPr>
            <w:rStyle w:val="1213"/>
            <w:rFonts w:hint="eastAsia" w:ascii="仿宋" w:hAnsi="仿宋" w:eastAsia="仿宋" w:cs="宋体"/>
            <w:sz w:val="28"/>
            <w:szCs w:val="28"/>
            <w:shd w:val="clear" w:color="auto" w:fill="ffffff"/>
          </w:rPr>
          <w:t xml:space="preserve">苏采云系统操作手册（供应商）</w:t>
        </w:r>
      </w:hyperlink>
      <w:r>
        <w:rPr>
          <w:rFonts w:hint="eastAsia" w:ascii="仿宋" w:hAnsi="仿宋" w:eastAsia="仿宋" w:cs="宋体"/>
          <w:sz w:val="28"/>
          <w:szCs w:val="28"/>
          <w:shd w:val="clear" w:color="auto" w:fill="ffffff"/>
          <w:lang w:bidi="ar"/>
        </w:rPr>
        <w:t xml:space="preserve">”，进行下载。</w:t>
      </w:r>
      <w:r/>
    </w:p>
    <w:p>
      <w:pPr>
        <w:spacing w:line="4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省网最新要求，投标人需重新办理CA锁，不再使国信C</w:t>
      </w:r>
      <w:r>
        <w:rPr>
          <w:rFonts w:ascii="仿宋" w:hAnsi="仿宋" w:eastAsia="仿宋"/>
          <w:bCs/>
          <w:color w:val="000000"/>
          <w:sz w:val="28"/>
          <w:szCs w:val="28"/>
        </w:rPr>
        <w:t xml:space="preserve">A,</w:t>
      </w:r>
      <w:r>
        <w:rPr>
          <w:rFonts w:hint="eastAsia" w:ascii="仿宋" w:hAnsi="仿宋" w:eastAsia="仿宋"/>
          <w:bCs/>
          <w:color w:val="000000"/>
          <w:sz w:val="28"/>
          <w:szCs w:val="28"/>
        </w:rPr>
        <w:t xml:space="preserve">网址</w:t>
      </w:r>
      <w:r/>
    </w:p>
    <w:p>
      <w:pPr>
        <w:spacing w:line="400" w:lineRule="exact"/>
        <w:rPr>
          <w:rFonts w:hint="eastAsia" w:ascii="仿宋" w:hAnsi="仿宋" w:eastAsia="仿宋"/>
          <w:bCs/>
          <w:color w:val="ff0000"/>
          <w:sz w:val="28"/>
          <w:szCs w:val="28"/>
        </w:rPr>
      </w:pPr>
      <w:r>
        <w:rPr>
          <w:rFonts w:ascii="仿宋" w:hAnsi="仿宋" w:eastAsia="仿宋"/>
          <w:bCs/>
          <w:color w:val="ff0000"/>
          <w:sz w:val="28"/>
          <w:szCs w:val="28"/>
        </w:rPr>
        <w:t xml:space="preserve">http://www.ccgp-jiangsu.gov.cn/jiangsu/zlxz/ee/ee3a4bc5a3454aa2b0d9312230633ce9.html</w:t>
      </w:r>
      <w:r>
        <w:rPr>
          <w:rFonts w:hint="eastAsia" w:ascii="仿宋" w:hAnsi="仿宋" w:eastAsia="仿宋"/>
          <w:bCs/>
          <w:color w:val="ff0000"/>
          <w:sz w:val="28"/>
          <w:szCs w:val="28"/>
        </w:rPr>
        <w:t xml:space="preserve">。</w:t>
      </w:r>
      <w:r/>
    </w:p>
    <w:p>
      <w:pPr>
        <w:ind w:left="503"/>
        <w:jc w:val="left"/>
        <w:spacing w:line="520" w:lineRule="exact"/>
        <w:rPr>
          <w:rFonts w:hint="eastAsia"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3.视频参考资料：</w:t>
      </w:r>
      <w:r>
        <w:rPr>
          <w:rFonts w:hint="eastAsia" w:ascii="仿宋" w:hAnsi="仿宋" w:eastAsia="仿宋" w:cs="宋体"/>
          <w:sz w:val="28"/>
          <w:szCs w:val="28"/>
          <w:shd w:val="clear" w:color="auto" w:fill="ffffff"/>
          <w:lang w:bidi="ar"/>
        </w:rPr>
        <w:t xml:space="preserve">http://czj.xz.gov.cn/Home/HomeDetails?type=13&amp;articleid=1d984549-f767-40c7-8647-cbbd55af52da</w:t>
      </w:r>
      <w:r/>
    </w:p>
    <w:p>
      <w:pPr>
        <w:ind w:left="503"/>
        <w:jc w:val="left"/>
        <w:spacing w:line="520" w:lineRule="exact"/>
        <w:rPr>
          <w:rFonts w:hint="eastAsia" w:ascii="仿宋" w:hAnsi="仿宋" w:eastAsia="仿宋" w:cs="宋体"/>
          <w:sz w:val="28"/>
          <w:szCs w:val="28"/>
          <w:shd w:val="clear" w:color="auto" w:fill="ffffff"/>
          <w:lang w:bidi="ar"/>
        </w:rPr>
      </w:pPr>
      <w:r>
        <w:rPr>
          <w:rFonts w:hint="eastAsia" w:ascii="仿宋" w:hAnsi="仿宋" w:eastAsia="仿宋" w:cs="宋体"/>
          <w:sz w:val="28"/>
          <w:szCs w:val="28"/>
          <w:shd w:val="clear" w:color="auto" w:fill="ffffff"/>
          <w:lang w:bidi="ar"/>
        </w:rPr>
        <w:t xml:space="preserve">技术服务联系电话：0523-82020605，0523-87633965</w:t>
      </w:r>
      <w:r/>
    </w:p>
    <w:p>
      <w:pPr>
        <w:ind w:firstLine="600"/>
        <w:spacing w:line="520" w:lineRule="exact"/>
        <w:rPr>
          <w:rFonts w:hint="eastAsia" w:ascii="宋体" w:hAnsi="宋体" w:cs="宋体"/>
          <w:b/>
          <w:bCs/>
          <w:sz w:val="32"/>
          <w:szCs w:val="32"/>
        </w:rPr>
      </w:pPr>
      <w:r>
        <w:rPr>
          <w:rFonts w:hint="eastAsia" w:ascii="宋体" w:hAnsi="宋体" w:cs="宋体"/>
          <w:b/>
          <w:bCs/>
          <w:sz w:val="32"/>
          <w:szCs w:val="32"/>
        </w:rPr>
        <w:t xml:space="preserve">三、竞争性磋商、磋商不见面交易注意事项</w:t>
      </w:r>
      <w:r/>
    </w:p>
    <w:p>
      <w:pPr>
        <w:ind w:firstLine="520"/>
        <w:jc w:val="left"/>
        <w:spacing w:line="520" w:lineRule="exact"/>
        <w:rPr>
          <w:rFonts w:hint="eastAsia" w:ascii="仿宋" w:hAnsi="仿宋" w:eastAsia="仿宋" w:cs="仿宋"/>
          <w:b/>
          <w:bCs/>
          <w:color w:val="ff0000"/>
          <w:sz w:val="28"/>
          <w:szCs w:val="28"/>
          <w:lang w:bidi="ar"/>
        </w:rPr>
      </w:pPr>
      <w:r>
        <w:rPr>
          <w:rFonts w:hint="eastAsia" w:ascii="仿宋" w:hAnsi="仿宋" w:eastAsia="仿宋" w:cs="仿宋"/>
          <w:b/>
          <w:bCs/>
          <w:color w:val="ff0000"/>
          <w:sz w:val="28"/>
          <w:szCs w:val="28"/>
          <w:lang w:bidi="ar"/>
        </w:rPr>
        <w:t xml:space="preserve">1.安装调试音视频设备。</w:t>
      </w:r>
      <w:r>
        <w:rPr>
          <w:rFonts w:hint="eastAsia" w:ascii="仿宋" w:hAnsi="仿宋" w:eastAsia="仿宋" w:cs="宋体"/>
          <w:color w:val="ff0000"/>
          <w:sz w:val="28"/>
          <w:szCs w:val="28"/>
          <w:shd w:val="clear" w:color="auto" w:fill="ffffff"/>
          <w:lang w:bidi="ar"/>
        </w:rPr>
        <w:t xml:space="preserve">各供应商在投标前按照要求装好耳麦、摄像头等通讯工具。</w:t>
      </w:r>
      <w:r/>
    </w:p>
    <w:p>
      <w:pPr>
        <w:ind w:firstLine="520"/>
        <w:jc w:val="left"/>
        <w:spacing w:line="520" w:lineRule="exact"/>
        <w:rPr>
          <w:rFonts w:hint="eastAsia"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2.确保音视频畅通。</w:t>
      </w:r>
      <w:r>
        <w:rPr>
          <w:rFonts w:hint="eastAsia" w:ascii="仿宋" w:hAnsi="仿宋" w:eastAsia="仿宋" w:cs="宋体"/>
          <w:sz w:val="28"/>
          <w:szCs w:val="28"/>
          <w:shd w:val="clear" w:color="auto" w:fill="ffffff"/>
          <w:lang w:bidi="ar"/>
        </w:rPr>
        <w:t xml:space="preserve">竞争性磋商、磋商项目需要进行磋商、磋商程序，请各供应商在投标前按照要求对耳麦、摄像头等通讯工具进行最终调试，可以利用微信或qq等相关软件进行测试，确保在磋商、磋商过程可以正常进行。</w:t>
      </w:r>
      <w:r/>
    </w:p>
    <w:p>
      <w:pPr>
        <w:ind w:firstLine="520"/>
        <w:jc w:val="left"/>
        <w:spacing w:line="520" w:lineRule="exact"/>
        <w:rPr>
          <w:rFonts w:hint="eastAsia"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3.及时完成最终报价。</w:t>
      </w:r>
      <w:r>
        <w:rPr>
          <w:rFonts w:hint="eastAsia" w:ascii="仿宋" w:hAnsi="仿宋" w:eastAsia="仿宋" w:cs="宋体"/>
          <w:sz w:val="28"/>
          <w:szCs w:val="28"/>
          <w:shd w:val="clear" w:color="auto" w:fill="ffffff"/>
          <w:lang w:bidi="ar"/>
        </w:rPr>
        <w:t xml:space="preserve">竞争性磋商、磋商项目需要供应商进行最终报价，请各供应商在项目评标结束之前不要擅自离开“苏采云”交易系统开标大厅，待评审专家开启最终报价程序后，及时准确完成最终报价。</w:t>
      </w:r>
      <w:r/>
    </w:p>
    <w:p>
      <w:pPr>
        <w:ind w:firstLine="600"/>
        <w:spacing w:line="520" w:lineRule="exact"/>
        <w:rPr>
          <w:rFonts w:hint="eastAsia" w:ascii="宋体" w:hAnsi="宋体" w:cs="宋体"/>
          <w:b/>
          <w:bCs/>
          <w:sz w:val="32"/>
          <w:szCs w:val="32"/>
        </w:rPr>
      </w:pPr>
      <w:r>
        <w:rPr>
          <w:rFonts w:hint="eastAsia" w:ascii="宋体" w:hAnsi="宋体" w:cs="宋体"/>
          <w:b/>
          <w:bCs/>
          <w:sz w:val="32"/>
          <w:szCs w:val="32"/>
        </w:rPr>
        <w:t xml:space="preserve">四、供应商相关法律责任提醒</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相关法律法规：</w:t>
      </w:r>
      <w:r/>
    </w:p>
    <w:p>
      <w:pPr>
        <w:ind w:firstLine="520"/>
        <w:spacing w:line="520" w:lineRule="exact"/>
        <w:rPr>
          <w:rFonts w:hint="eastAsia" w:ascii="仿宋" w:hAnsi="仿宋" w:eastAsia="仿宋" w:cs="仿宋"/>
          <w:sz w:val="28"/>
          <w:szCs w:val="28"/>
        </w:rPr>
      </w:pPr>
      <w:r>
        <w:rPr>
          <w:rFonts w:hint="eastAsia" w:ascii="仿宋" w:hAnsi="仿宋" w:eastAsia="仿宋" w:cs="仿宋"/>
          <w:b/>
          <w:bCs/>
          <w:sz w:val="28"/>
          <w:szCs w:val="28"/>
        </w:rPr>
        <w:t xml:space="preserve">《政府采购法》</w:t>
      </w:r>
      <w:r>
        <w:rPr>
          <w:rFonts w:hint="eastAsia" w:ascii="仿宋" w:hAnsi="仿宋" w:eastAsia="仿宋" w:cs="仿宋"/>
          <w:sz w:val="28"/>
          <w:szCs w:val="28"/>
        </w:rPr>
        <w:t xml:space="preserve">第七十七条　供应商有下列情形之一的，</w:t>
      </w:r>
      <w:r>
        <w:rPr>
          <w:rFonts w:hint="eastAsia" w:ascii="仿宋" w:hAnsi="仿宋" w:eastAsia="仿宋" w:cs="仿宋"/>
          <w:color w:val="ff0000"/>
          <w:sz w:val="28"/>
          <w:szCs w:val="28"/>
        </w:rPr>
        <w:t xml:space="preserve">处以采购金额千分之五以上千分之十以下的罚款，列入不良行为记录名单，在一至三年内禁止参加政府采购活动</w:t>
      </w:r>
      <w:r>
        <w:rPr>
          <w:rFonts w:hint="eastAsia" w:ascii="仿宋" w:hAnsi="仿宋" w:eastAsia="仿宋" w:cs="仿宋"/>
          <w:sz w:val="28"/>
          <w:szCs w:val="28"/>
        </w:rPr>
        <w:t xml:space="preserve">，有违法所得的，并处没收违法所得，情节严重的，由工商行政管理机关吊销营业执照；构成犯罪的，依法追究刑事责任：</w:t>
      </w:r>
      <w:r/>
    </w:p>
    <w:p>
      <w:pPr>
        <w:ind w:firstLine="518"/>
        <w:spacing w:line="520" w:lineRule="exact"/>
        <w:rPr>
          <w:rFonts w:hint="eastAsia" w:ascii="仿宋" w:hAnsi="仿宋" w:eastAsia="仿宋" w:cs="仿宋"/>
          <w:color w:val="ff0000"/>
          <w:sz w:val="28"/>
          <w:szCs w:val="28"/>
        </w:rPr>
      </w:pPr>
      <w:r>
        <w:rPr>
          <w:rFonts w:hint="eastAsia" w:ascii="仿宋" w:hAnsi="仿宋" w:eastAsia="仿宋" w:cs="仿宋"/>
          <w:color w:val="ff0000"/>
          <w:sz w:val="28"/>
          <w:szCs w:val="28"/>
        </w:rPr>
        <w:t xml:space="preserve">（一）提供虚假材料谋取中标、成交的；</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（二）采取不正当手段诋毁、排挤其他供应商的；</w:t>
      </w:r>
      <w:r/>
    </w:p>
    <w:p>
      <w:pPr>
        <w:ind w:firstLine="518"/>
        <w:spacing w:line="520" w:lineRule="exact"/>
        <w:rPr>
          <w:rFonts w:hint="eastAsia" w:ascii="仿宋" w:hAnsi="仿宋" w:eastAsia="仿宋" w:cs="仿宋"/>
          <w:color w:val="ff0000"/>
          <w:sz w:val="28"/>
          <w:szCs w:val="28"/>
        </w:rPr>
      </w:pPr>
      <w:r>
        <w:rPr>
          <w:rFonts w:hint="eastAsia" w:ascii="仿宋" w:hAnsi="仿宋" w:eastAsia="仿宋" w:cs="仿宋"/>
          <w:color w:val="ff0000"/>
          <w:sz w:val="28"/>
          <w:szCs w:val="28"/>
        </w:rPr>
        <w:t xml:space="preserve">（三）与采购人、其他供应商或者采购代理机构恶意串通的；</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（四）向采购人、采购代理机构行贿或者提供其他不正当利益的；</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（五）在招标采购过程中与采购人进行协商磋商的；</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（六）拒绝有关部门监督检查或者提供虚假情况的。</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供应商有前款第（一）至（五）项情形之一的，中标、成交无效。</w:t>
      </w:r>
      <w:r/>
    </w:p>
    <w:p>
      <w:pPr>
        <w:ind w:firstLine="520"/>
        <w:spacing w:line="520" w:lineRule="exact"/>
        <w:rPr>
          <w:rFonts w:hint="eastAsia" w:ascii="仿宋" w:hAnsi="仿宋" w:eastAsia="仿宋" w:cs="仿宋"/>
          <w:sz w:val="28"/>
          <w:szCs w:val="28"/>
        </w:rPr>
      </w:pPr>
      <w:r>
        <w:rPr>
          <w:rFonts w:hint="eastAsia" w:ascii="仿宋" w:hAnsi="仿宋" w:eastAsia="仿宋" w:cs="仿宋"/>
          <w:b/>
          <w:bCs/>
          <w:sz w:val="28"/>
          <w:szCs w:val="28"/>
        </w:rPr>
        <w:t xml:space="preserve">《政府采购法实施条例》</w:t>
      </w:r>
      <w:r>
        <w:rPr>
          <w:rFonts w:hint="eastAsia" w:ascii="仿宋" w:hAnsi="仿宋" w:eastAsia="仿宋" w:cs="仿宋"/>
          <w:sz w:val="28"/>
          <w:szCs w:val="28"/>
        </w:rPr>
        <w:t xml:space="preserve">第七十二条　供应商有下列情形之一的，</w:t>
      </w:r>
      <w:r>
        <w:rPr>
          <w:rFonts w:hint="eastAsia" w:ascii="仿宋" w:hAnsi="仿宋" w:eastAsia="仿宋" w:cs="仿宋"/>
          <w:color w:val="ff0000"/>
          <w:sz w:val="28"/>
          <w:szCs w:val="28"/>
        </w:rPr>
        <w:t xml:space="preserve">依照政府采购</w:t>
      </w:r>
      <w:r>
        <w:rPr>
          <w:rFonts w:hint="eastAsia" w:ascii="仿宋" w:hAnsi="仿宋" w:eastAsia="仿宋" w:cs="仿宋"/>
          <w:color w:val="ff0000"/>
          <w:sz w:val="28"/>
          <w:szCs w:val="28"/>
        </w:rPr>
        <w:t xml:space="preserve">法第七十七条第一款的规定追究法律责任</w:t>
      </w:r>
      <w:r>
        <w:rPr>
          <w:rFonts w:hint="eastAsia" w:ascii="仿宋" w:hAnsi="仿宋" w:eastAsia="仿宋" w:cs="仿宋"/>
          <w:sz w:val="28"/>
          <w:szCs w:val="28"/>
        </w:rPr>
        <w:t xml:space="preserve">：</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（一）向评标委员会、竞争性磋商小组或者询价小组成员行贿或者提供其他不正当利益；</w:t>
      </w:r>
      <w:r/>
    </w:p>
    <w:p>
      <w:pPr>
        <w:ind w:firstLine="518"/>
        <w:spacing w:line="520" w:lineRule="exact"/>
        <w:rPr>
          <w:rFonts w:hint="eastAsia" w:ascii="仿宋" w:hAnsi="仿宋" w:eastAsia="仿宋" w:cs="仿宋"/>
          <w:color w:val="ff0000"/>
          <w:sz w:val="28"/>
          <w:szCs w:val="28"/>
        </w:rPr>
      </w:pPr>
      <w:r>
        <w:rPr>
          <w:rFonts w:hint="eastAsia" w:ascii="仿宋" w:hAnsi="仿宋" w:eastAsia="仿宋" w:cs="仿宋"/>
          <w:color w:val="ff0000"/>
          <w:sz w:val="28"/>
          <w:szCs w:val="28"/>
        </w:rPr>
        <w:t xml:space="preserve">（二）中标或者成交后无正当理由拒不与采购人签订政府采购合同；</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（三）未按照采购文件确定的事项签订政府采购合同；</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（四）将政府采购合同转包；</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（五）提供假冒伪劣产品；</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（六）擅自变更、中止或者终止政府采购合同。</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pStyle w:val="1142"/>
      </w:pPr>
      <w:r/>
      <w:r/>
    </w:p>
    <w:p>
      <w:pPr>
        <w:ind w:firstLine="518"/>
        <w:spacing w:line="520" w:lineRule="exact"/>
        <w:rPr>
          <w:rFonts w:hint="eastAsia" w:ascii="仿宋" w:hAnsi="仿宋" w:eastAsia="仿宋" w:cs="仿宋"/>
          <w:sz w:val="28"/>
          <w:szCs w:val="28"/>
        </w:rPr>
      </w:pPr>
      <w:r/>
      <w:bookmarkStart w:id="3" w:name="_Toc103848531"/>
      <w:r/>
      <w:bookmarkStart w:id="4" w:name="_Toc104560842"/>
      <w:r/>
      <w:bookmarkStart w:id="5" w:name="_Toc107246218"/>
      <w:r>
        <w:rPr>
          <w:rFonts w:hint="eastAsia" w:ascii="仿宋" w:hAnsi="仿宋" w:eastAsia="仿宋" w:cs="仿宋"/>
          <w:sz w:val="28"/>
          <w:szCs w:val="28"/>
        </w:rPr>
        <w:t xml:space="preserve">五</w:t>
      </w:r>
      <w:r>
        <w:rPr>
          <w:rFonts w:ascii="仿宋" w:hAnsi="仿宋" w:eastAsia="仿宋" w:cs="仿宋"/>
          <w:sz w:val="28"/>
          <w:szCs w:val="28"/>
        </w:rPr>
        <w:t xml:space="preserve">.</w:t>
      </w:r>
      <w:bookmarkEnd w:id="3"/>
      <w:r>
        <w:rPr>
          <w:rFonts w:hint="eastAsia" w:ascii="仿宋" w:hAnsi="仿宋" w:eastAsia="仿宋" w:cs="仿宋"/>
          <w:sz w:val="28"/>
          <w:szCs w:val="28"/>
        </w:rPr>
        <w:t xml:space="preserve">政府采购政策（包括但不限于下列具体政策要求）</w:t>
      </w:r>
      <w:bookmarkEnd w:id="4"/>
      <w:r/>
      <w:bookmarkEnd w:id="5"/>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w:t>
      </w:r>
      <w:r>
        <w:rPr>
          <w:rFonts w:hint="eastAsia" w:ascii="仿宋" w:hAnsi="仿宋" w:eastAsia="仿宋" w:cs="仿宋"/>
          <w:sz w:val="28"/>
          <w:szCs w:val="28"/>
        </w:rPr>
        <w:t xml:space="preserve">中小企业、监狱企业及残疾人福利性单位</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w:t>
      </w:r>
      <w:r>
        <w:rPr>
          <w:rFonts w:hint="eastAsia" w:ascii="仿宋" w:hAnsi="仿宋" w:eastAsia="仿宋" w:cs="仿宋"/>
          <w:sz w:val="28"/>
          <w:szCs w:val="28"/>
        </w:rPr>
        <w:t xml:space="preserve">中小企业定义：</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.1.1.1</w:t>
      </w:r>
      <w:r>
        <w:rPr>
          <w:rFonts w:hint="eastAsia" w:ascii="仿宋" w:hAnsi="仿宋" w:eastAsia="仿宋" w:cs="仿宋"/>
          <w:sz w:val="28"/>
          <w:szCs w:val="28"/>
        </w:rPr>
        <w:t xml:space="preserve">中小企业是</w:t>
      </w:r>
      <w:r>
        <w:rPr>
          <w:rFonts w:hint="eastAsia" w:ascii="仿宋" w:hAnsi="仿宋" w:eastAsia="仿宋" w:cs="仿宋"/>
          <w:sz w:val="28"/>
          <w:szCs w:val="28"/>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.1.1.2</w:t>
      </w:r>
      <w:r>
        <w:rPr>
          <w:rFonts w:hint="eastAsia" w:ascii="仿宋" w:hAnsi="仿宋" w:eastAsia="仿宋" w:cs="仿宋"/>
          <w:sz w:val="28"/>
          <w:szCs w:val="28"/>
        </w:rPr>
        <w:t xml:space="preserve">投标人提供的货物、工程或者服务符合下列情形的，享受中小企业扶持政策：</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（1）在货物采购项目中，货物由中小企业制造，即货物由中小企业生产且使用该中小企业商号或者注册商标；</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（2）在工程采购项目中，工程由中小企业承建，即工程施工单位为中小企业；</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（3）在服务采购项目中，服务由中小企业承接，即提供服务的人员为中小企业依照《中华人民共和国劳动合同法》订立劳动合同的从业人员。</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.1.1.3</w:t>
      </w:r>
      <w:r>
        <w:rPr>
          <w:rFonts w:hint="eastAsia" w:ascii="仿宋" w:hAnsi="仿宋" w:eastAsia="仿宋" w:cs="仿宋"/>
          <w:sz w:val="28"/>
          <w:szCs w:val="28"/>
        </w:rPr>
        <w:t xml:space="preserve">在货物采购项目中，投标人提供的货物既有中小企业制造货物，也有大型企业制造货物的，不享受中小企业扶持政策。</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.1.1.4</w:t>
      </w:r>
      <w:r>
        <w:rPr>
          <w:rFonts w:hint="eastAsia" w:ascii="仿宋" w:hAnsi="仿宋" w:eastAsia="仿宋" w:cs="仿宋"/>
          <w:sz w:val="28"/>
          <w:szCs w:val="28"/>
        </w:rPr>
        <w:t xml:space="preserve">以联合体形式参加政府采购活动，联合体各方均为中小企业的，联合体视同中小企业。其中，联合体各方均为小微企业的，联合体视同小微企业。</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.1.2</w:t>
      </w:r>
      <w:r>
        <w:rPr>
          <w:rFonts w:hint="eastAsia" w:ascii="仿宋" w:hAnsi="仿宋" w:eastAsia="仿宋" w:cs="仿宋"/>
          <w:sz w:val="28"/>
          <w:szCs w:val="28"/>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.1.3</w:t>
      </w:r>
      <w:r>
        <w:rPr>
          <w:rFonts w:hint="eastAsia" w:ascii="仿宋" w:hAnsi="仿宋" w:eastAsia="仿宋" w:cs="仿宋"/>
          <w:sz w:val="28"/>
          <w:szCs w:val="28"/>
        </w:rPr>
        <w:t xml:space="preserve">残疾人福利单位定义：享受政府采购支持政策的残疾人福利性单位应当同时满足以下条件：</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（1）安置的残疾人占本单位在职职工人数的比例不低于25%（含25%），并且安置的残疾人人数不少于10 人（含10 人）；</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（2）依法与安置的每位残疾人签订了一年以上（含一年）的劳动合同或服务协议；</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（3）为安置的每位残疾人按月足额缴纳了基本养老保险、基本医疗保险、失业保险、工伤保险和生育保险等社会保险费；</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（4）通过银行等金融机构向安置的每位残疾人，按月支付了不低于单位所在区县适用的经省级人民政府批准的月最低工资标准的工资；</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（5）提供本单位制造的货物、承担的工程或者服务（以下简称产品），或者提供其他残疾人福利性单位制造的货物（不包括使用非残疾人福利性单位注册商标的货物）；</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w:t>
      </w:r>
      <w:r>
        <w:rPr>
          <w:rFonts w:hint="eastAsia" w:ascii="仿宋" w:hAnsi="仿宋" w:eastAsia="仿宋" w:cs="仿宋"/>
          <w:sz w:val="28"/>
          <w:szCs w:val="28"/>
        </w:rPr>
        <w:t xml:space="preserve">.</w:t>
      </w:r>
      <w:r>
        <w:rPr>
          <w:rFonts w:ascii="仿宋" w:hAnsi="仿宋" w:eastAsia="仿宋" w:cs="仿宋"/>
          <w:sz w:val="28"/>
          <w:szCs w:val="28"/>
        </w:rPr>
        <w:t xml:space="preserve">4</w:t>
      </w:r>
      <w:r>
        <w:rPr>
          <w:rFonts w:hint="eastAsia" w:ascii="仿宋" w:hAnsi="仿宋" w:eastAsia="仿宋" w:cs="仿宋"/>
          <w:sz w:val="28"/>
          <w:szCs w:val="28"/>
        </w:rPr>
        <w:t xml:space="preserve">小微企业价格评审优惠的政策调整：见《评标方法与评标标准》（如涉及）。</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w:t>
      </w:r>
      <w:r>
        <w:rPr>
          <w:rFonts w:hint="eastAsia" w:ascii="仿宋" w:hAnsi="仿宋" w:eastAsia="仿宋" w:cs="仿宋"/>
          <w:sz w:val="28"/>
          <w:szCs w:val="28"/>
        </w:rPr>
        <w:t xml:space="preserve">政府采购节能产品、环境标志产品</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.2.1</w:t>
      </w:r>
      <w:r>
        <w:rPr>
          <w:rFonts w:hint="eastAsia" w:ascii="仿宋" w:hAnsi="仿宋" w:eastAsia="仿宋" w:cs="仿宋"/>
          <w:sz w:val="28"/>
          <w:szCs w:val="28"/>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.2.2</w:t>
      </w:r>
      <w:r>
        <w:rPr>
          <w:rFonts w:hint="eastAsia" w:ascii="仿宋" w:hAnsi="仿宋" w:eastAsia="仿宋" w:cs="仿宋"/>
          <w:sz w:val="28"/>
          <w:szCs w:val="28"/>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.2.3</w:t>
      </w:r>
      <w:r>
        <w:rPr>
          <w:rFonts w:hint="eastAsia" w:ascii="仿宋" w:hAnsi="仿宋" w:eastAsia="仿宋" w:cs="仿宋"/>
          <w:sz w:val="28"/>
          <w:szCs w:val="28"/>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.2.4</w:t>
      </w:r>
      <w:r>
        <w:rPr>
          <w:rFonts w:hint="eastAsia" w:ascii="仿宋" w:hAnsi="仿宋" w:eastAsia="仿宋" w:cs="仿宋"/>
          <w:sz w:val="28"/>
          <w:szCs w:val="28"/>
        </w:rPr>
        <w:t xml:space="preserve">非政府强制采购的节能产品或环境标志产品，依据品目清单和认证证书实施政府优先采购。优先采购的具体规定见第五章《评标方法与评标标准》（如涉及）。</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5.3商品包装、快递包装</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根据财政部就联合生态环境部、国家邮政局三部门对外发布《关于印发&lt;商品包装政府采购需求标准（试行）&gt;、&lt;快递包装政府采购需求标准（试行）&gt;的通知》，对于项目中所涉及商品和快递包装的，参考招标文件中的项目需求对产品进行绿色包装。</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5.5绿色数据中心</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根据财政部 生态环境部 工业和信息化部关于印发《绿色数据中心政府采购需求标准（试行）》的通知（</w:t>
      </w:r>
      <w:r>
        <w:rPr>
          <w:rFonts w:ascii="Calibri" w:hAnsi="Calibri" w:eastAsia="仿宋" w:cs="Calibri"/>
          <w:sz w:val="28"/>
          <w:szCs w:val="28"/>
        </w:rPr>
        <w:t xml:space="preserve"> </w:t>
      </w:r>
      <w:bookmarkStart w:id="6" w:name="sendNo"/>
      <w:r>
        <w:rPr>
          <w:rFonts w:hint="eastAsia" w:ascii="仿宋" w:hAnsi="仿宋" w:eastAsia="仿宋" w:cs="仿宋"/>
          <w:sz w:val="28"/>
          <w:szCs w:val="28"/>
        </w:rPr>
        <w:t xml:space="preserve">财库〔2023〕7号</w:t>
      </w:r>
      <w:bookmarkEnd w:id="6"/>
      <w:r>
        <w:rPr>
          <w:rFonts w:hint="eastAsia" w:ascii="仿宋" w:hAnsi="仿宋" w:eastAsia="仿宋" w:cs="仿宋"/>
          <w:sz w:val="28"/>
          <w:szCs w:val="28"/>
        </w:rPr>
        <w:t xml:space="preserve">）要求，</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5.5.1采购人采购数据中心相关设备、运维服务，应当有利于节约能源、环境保护和资源循环利用，按照《需求标准》实施相关采购活动。</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5.5.2采购人应当加强采购需求管理，根据《需求标准》提出的指标编制数据中心</w:t>
      </w:r>
      <w:r>
        <w:rPr>
          <w:rFonts w:hint="eastAsia" w:ascii="仿宋" w:hAnsi="仿宋" w:eastAsia="仿宋" w:cs="仿宋"/>
          <w:sz w:val="28"/>
          <w:szCs w:val="28"/>
        </w:rPr>
        <w:t xml:space="preserve">相关设备、运维服务政府采购项目的采购文件，并在合同中明确对相关指标的验收方式和违约责任。</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5.5.3采购人在项目的投标、响应环节，原则上不对数据中心相关设备、服务进行检测、认证，也不要求供应商提供检测报告、认证报告，供应商出具符合相关要求的承诺函可视为符合规定。</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5.5.4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5.5.5对于供应商未按合同约定提供设备或服务的，采购人应当依法追究其违约责任。对于供应商提供虚假材料谋取中标、成交的，依法予以处理。</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6信息安全产品</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6</w:t>
      </w:r>
      <w:r>
        <w:rPr>
          <w:rFonts w:ascii="仿宋" w:hAnsi="仿宋" w:eastAsia="仿宋" w:cs="仿宋"/>
          <w:sz w:val="28"/>
          <w:szCs w:val="28"/>
        </w:rPr>
        <w:t xml:space="preserve">.1</w:t>
      </w:r>
      <w:r>
        <w:rPr>
          <w:rFonts w:hint="eastAsia" w:ascii="仿宋" w:hAnsi="仿宋" w:eastAsia="仿宋" w:cs="仿宋"/>
          <w:sz w:val="28"/>
          <w:szCs w:val="28"/>
        </w:rPr>
        <w:t xml:space="preserve">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6</w:t>
      </w:r>
      <w:r>
        <w:rPr>
          <w:rFonts w:ascii="仿宋" w:hAnsi="仿宋" w:eastAsia="仿宋" w:cs="仿宋"/>
          <w:sz w:val="28"/>
          <w:szCs w:val="28"/>
        </w:rPr>
        <w:t xml:space="preserve">.</w:t>
      </w:r>
      <w:r>
        <w:rPr>
          <w:rFonts w:hint="eastAsia" w:ascii="仿宋" w:hAnsi="仿宋" w:eastAsia="仿宋" w:cs="仿宋"/>
          <w:sz w:val="28"/>
          <w:szCs w:val="28"/>
        </w:rPr>
        <w:t xml:space="preserve">2未</w:t>
      </w:r>
      <w:r>
        <w:rPr>
          <w:rFonts w:ascii="仿宋" w:hAnsi="仿宋" w:eastAsia="仿宋" w:cs="仿宋"/>
          <w:sz w:val="28"/>
          <w:szCs w:val="28"/>
        </w:rPr>
        <w:t xml:space="preserve">按要求提供相关材料的，不享受相关政策。</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5.7 </w:t>
      </w:r>
      <w:r>
        <w:rPr>
          <w:rFonts w:ascii="仿宋" w:hAnsi="仿宋" w:eastAsia="仿宋" w:cs="仿宋"/>
          <w:sz w:val="28"/>
          <w:szCs w:val="28"/>
        </w:rPr>
        <w:t xml:space="preserve">电子履约保函(保险)</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根据兴化市财政局、地方金融监督管理局转发《江苏省财政厅 国家金融监督管理总局江苏监管局 江苏省地方金融监督管理局关于在全省政府采购领域推行电子履约保函（保险）的通知》（</w:t>
      </w:r>
      <w:r>
        <w:rPr>
          <w:rFonts w:ascii="仿宋" w:hAnsi="仿宋" w:eastAsia="仿宋" w:cs="仿宋"/>
          <w:sz w:val="28"/>
          <w:szCs w:val="28"/>
        </w:rPr>
        <w:t xml:space="preserve">兴财购〔2023〕</w:t>
      </w:r>
      <w:r>
        <w:rPr>
          <w:rFonts w:hint="eastAsia" w:ascii="仿宋" w:hAnsi="仿宋" w:eastAsia="仿宋" w:cs="仿宋"/>
          <w:sz w:val="28"/>
          <w:szCs w:val="28"/>
        </w:rPr>
        <w:t xml:space="preserve">2</w:t>
      </w:r>
      <w:r>
        <w:rPr>
          <w:rFonts w:ascii="仿宋" w:hAnsi="仿宋" w:eastAsia="仿宋" w:cs="仿宋"/>
          <w:sz w:val="28"/>
          <w:szCs w:val="28"/>
        </w:rPr>
        <w:t xml:space="preserve">5号</w:t>
      </w:r>
      <w:r>
        <w:rPr>
          <w:rFonts w:hint="eastAsia" w:ascii="仿宋" w:hAnsi="仿宋" w:eastAsia="仿宋" w:cs="仿宋"/>
          <w:sz w:val="28"/>
          <w:szCs w:val="28"/>
        </w:rPr>
        <w:t xml:space="preserve">）要求，</w:t>
      </w:r>
      <w:r>
        <w:rPr>
          <w:rFonts w:ascii="仿宋" w:hAnsi="仿宋" w:eastAsia="仿宋" w:cs="仿宋"/>
          <w:sz w:val="28"/>
          <w:szCs w:val="28"/>
        </w:rPr>
        <w:t xml:space="preserve">为优化政府采购营商环境，进一步降低供应商参与政府采购成本，</w:t>
      </w:r>
      <w:r>
        <w:rPr>
          <w:rFonts w:hint="eastAsia" w:ascii="仿宋" w:hAnsi="仿宋" w:eastAsia="仿宋" w:cs="仿宋"/>
          <w:sz w:val="28"/>
          <w:szCs w:val="28"/>
        </w:rPr>
        <w:t xml:space="preserve">我市全面启用政府采购履约保函（保险）。</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省财政厅通过政府采购流程确定开鑫科技有限公司为“政府采购电子履约保函（保</w:t>
      </w:r>
      <w:r>
        <w:rPr>
          <w:rFonts w:hint="eastAsia" w:ascii="仿宋" w:hAnsi="仿宋" w:eastAsia="仿宋" w:cs="仿宋"/>
          <w:sz w:val="28"/>
          <w:szCs w:val="28"/>
        </w:rPr>
        <w:t xml:space="preserve">险）平台”提供系统技术服务，符合条件的第三方机构与该司进行技术对接。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供应商可登录江苏政府采购网“资料下载”栏目（网址：</w:t>
      </w:r>
      <w:hyperlink r:id="rId22" w:tooltip="www.ccgp-jiangsu.gov.cn/jiangsu/zlxz）下载" w:history="1">
        <w:r>
          <w:rPr>
            <w:rFonts w:hint="eastAsia" w:ascii="仿宋" w:hAnsi="仿宋" w:eastAsia="仿宋" w:cs="仿宋"/>
            <w:sz w:val="28"/>
            <w:szCs w:val="28"/>
          </w:rPr>
          <w:t xml:space="preserve">www.ccgp-jiangsu.gov.cn/jiangsu/zlxz）下载“政府采购电子履约</w:t>
        </w:r>
      </w:hyperlink>
      <w:r>
        <w:rPr>
          <w:rFonts w:hint="eastAsia" w:ascii="仿宋" w:hAnsi="仿宋" w:eastAsia="仿宋" w:cs="仿宋"/>
          <w:sz w:val="28"/>
          <w:szCs w:val="28"/>
        </w:rPr>
        <w:t xml:space="preserve">保函（保险）操作手册”。</w:t>
      </w:r>
      <w:r/>
    </w:p>
    <w:p>
      <w:pPr>
        <w:pStyle w:val="1142"/>
      </w:pPr>
      <w:r/>
      <w:r/>
    </w:p>
    <w:p>
      <w:pPr>
        <w:pStyle w:val="1142"/>
      </w:pPr>
      <w:r/>
      <w:r/>
    </w:p>
    <w:p>
      <w:r/>
      <w:r/>
    </w:p>
    <w:p>
      <w:pPr>
        <w:pStyle w:val="1142"/>
      </w:pPr>
      <w:r/>
      <w:r/>
    </w:p>
    <w:p>
      <w:r/>
      <w:r/>
    </w:p>
    <w:p>
      <w:r/>
      <w:r/>
    </w:p>
    <w:p>
      <w:pPr>
        <w:ind w:firstLine="38"/>
        <w:jc w:val="center"/>
        <w:rPr>
          <w:rFonts w:hint="eastAsia" w:ascii="仿宋" w:hAnsi="仿宋" w:eastAsia="仿宋"/>
          <w:b/>
          <w:sz w:val="44"/>
          <w:szCs w:val="44"/>
        </w:rPr>
      </w:pPr>
      <w:r>
        <w:rPr>
          <w:rFonts w:hint="eastAsia" w:ascii="仿宋" w:hAnsi="仿宋" w:eastAsia="仿宋"/>
          <w:b/>
          <w:sz w:val="44"/>
          <w:szCs w:val="44"/>
        </w:rPr>
        <w:t xml:space="preserve">第一部分   投标供应商须知</w:t>
      </w:r>
      <w:r/>
    </w:p>
    <w:p>
      <w:pPr>
        <w:ind w:firstLine="23"/>
        <w:jc w:val="center"/>
        <w:rPr>
          <w:rFonts w:hint="eastAsia" w:ascii="仿宋" w:hAnsi="仿宋" w:eastAsia="仿宋"/>
          <w:b/>
          <w:sz w:val="44"/>
          <w:szCs w:val="44"/>
        </w:rPr>
      </w:pPr>
      <w:r>
        <w:rPr>
          <w:rFonts w:hint="eastAsia" w:ascii="仿宋" w:hAnsi="仿宋" w:eastAsia="仿宋"/>
          <w:sz w:val="28"/>
          <w:szCs w:val="28"/>
        </w:rPr>
        <w:t xml:space="preserve">（前附表）</w:t>
      </w:r>
      <w:r/>
    </w:p>
    <w:tbl>
      <w:tblPr>
        <w:tblW w:w="9684" w:type="dxa"/>
        <w:jc w:val="center"/>
        <w:tblBorders>
          <w:top w:val="single" w:color="000000" w:sz="8" w:space="0"/>
          <w:left w:val="single" w:color="000000" w:sz="8" w:space="0"/>
          <w:right w:val="single" w:color="000000" w:sz="8" w:space="0"/>
        </w:tblBorders>
        <w:tblLayout w:type="fixed"/>
        <w:tblLook w:val="04A0" w:firstRow="1" w:lastRow="0" w:firstColumn="1" w:lastColumn="0" w:noHBand="0" w:noVBand="1"/>
      </w:tblPr>
      <w:tblGrid>
        <w:gridCol w:w="774"/>
        <w:gridCol w:w="8910"/>
      </w:tblGrid>
      <w:tr>
        <w:trPr>
          <w:cantSplit/>
          <w:jc w:val="center"/>
          <w:trHeight w:val="309"/>
        </w:trPr>
        <w:tc>
          <w:tcPr>
            <w:tcBorders>
              <w:bottom w:val="single" w:color="000000" w:sz="4" w:space="0"/>
              <w:right w:val="single" w:color="000000" w:sz="4" w:space="0"/>
            </w:tcBorders>
            <w:tcW w:w="774" w:type="dxa"/>
            <w:vAlign w:val="center"/>
            <w:textDirection w:val="lrTb"/>
            <w:noWrap w:val="false"/>
          </w:tcPr>
          <w:p>
            <w:pPr>
              <w:jc w:val="center"/>
              <w:spacing w:line="360" w:lineRule="exact"/>
              <w:rPr>
                <w:rFonts w:hint="eastAsia" w:ascii="仿宋" w:hAnsi="仿宋" w:eastAsia="仿宋"/>
                <w:b/>
                <w:sz w:val="28"/>
                <w:szCs w:val="28"/>
              </w:rPr>
            </w:pPr>
            <w:r>
              <w:rPr>
                <w:rFonts w:hint="eastAsia" w:ascii="仿宋" w:hAnsi="仿宋" w:eastAsia="仿宋"/>
                <w:b/>
                <w:sz w:val="28"/>
                <w:szCs w:val="28"/>
              </w:rPr>
              <w:t xml:space="preserve">序号</w:t>
            </w:r>
            <w:r/>
          </w:p>
        </w:tc>
        <w:tc>
          <w:tcPr>
            <w:tcBorders>
              <w:bottom w:val="single" w:color="000000" w:sz="4" w:space="0"/>
              <w:right w:val="single" w:color="000000" w:sz="4" w:space="0"/>
            </w:tcBorders>
            <w:tcW w:w="8910" w:type="dxa"/>
            <w:vAlign w:val="center"/>
            <w:textDirection w:val="lrTb"/>
            <w:noWrap w:val="false"/>
          </w:tcPr>
          <w:p>
            <w:pPr>
              <w:jc w:val="center"/>
              <w:spacing w:line="360" w:lineRule="exact"/>
              <w:rPr>
                <w:rFonts w:hint="eastAsia" w:ascii="仿宋" w:hAnsi="仿宋" w:eastAsia="仿宋"/>
                <w:b/>
                <w:sz w:val="28"/>
                <w:szCs w:val="28"/>
              </w:rPr>
            </w:pPr>
            <w:r>
              <w:rPr>
                <w:rFonts w:hint="eastAsia" w:ascii="仿宋" w:hAnsi="仿宋" w:eastAsia="仿宋"/>
                <w:b/>
                <w:sz w:val="28"/>
                <w:szCs w:val="28"/>
              </w:rPr>
              <w:t xml:space="preserve">内                        容</w:t>
            </w:r>
            <w:r/>
          </w:p>
        </w:tc>
      </w:tr>
      <w:tr>
        <w:trPr>
          <w:cantSplit/>
          <w:jc w:val="center"/>
          <w:trHeight w:val="792"/>
        </w:trPr>
        <w:tc>
          <w:tcPr>
            <w:tcBorders>
              <w:bottom w:val="single" w:color="000000" w:sz="4" w:space="0"/>
              <w:right w:val="single" w:color="000000" w:sz="4" w:space="0"/>
            </w:tcBorders>
            <w:tcW w:w="774" w:type="dxa"/>
            <w:vAlign w:val="center"/>
            <w:textDirection w:val="lrTb"/>
            <w:noWrap w:val="false"/>
          </w:tcPr>
          <w:p>
            <w:pPr>
              <w:jc w:val="center"/>
              <w:spacing w:line="360" w:lineRule="exact"/>
              <w:rPr>
                <w:rFonts w:hint="eastAsia" w:ascii="仿宋" w:hAnsi="仿宋" w:eastAsia="仿宋"/>
                <w:sz w:val="28"/>
                <w:szCs w:val="28"/>
              </w:rPr>
            </w:pPr>
            <w:r>
              <w:rPr>
                <w:rFonts w:hint="eastAsia" w:ascii="仿宋" w:hAnsi="仿宋" w:eastAsia="仿宋"/>
                <w:sz w:val="28"/>
                <w:szCs w:val="28"/>
              </w:rPr>
              <w:t xml:space="preserve">1</w:t>
            </w:r>
            <w:r/>
          </w:p>
        </w:tc>
        <w:tc>
          <w:tcPr>
            <w:tcBorders>
              <w:bottom w:val="single" w:color="000000" w:sz="4" w:space="0"/>
              <w:right w:val="single" w:color="000000" w:sz="4" w:space="0"/>
            </w:tcBorders>
            <w:tcW w:w="8910" w:type="dxa"/>
            <w:vAlign w:val="center"/>
            <w:textDirection w:val="lrTb"/>
            <w:noWrap w:val="false"/>
          </w:tcPr>
          <w:p>
            <w:pPr>
              <w:spacing w:line="32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项目名称：理化生实验室设备采购</w:t>
            </w:r>
            <w:r/>
          </w:p>
          <w:p>
            <w:pPr>
              <w:spacing w:line="32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项目编号：</w:t>
            </w:r>
            <w:r>
              <w:rPr>
                <w:rFonts w:ascii="仿宋" w:hAnsi="仿宋" w:eastAsia="仿宋"/>
                <w:bCs/>
                <w:color w:val="000000"/>
                <w:sz w:val="28"/>
                <w:szCs w:val="28"/>
              </w:rPr>
              <w:t xml:space="preserve">JSZC-321281-THZX-G202</w:t>
            </w:r>
            <w:r>
              <w:rPr>
                <w:rFonts w:hint="eastAsia" w:ascii="仿宋" w:hAnsi="仿宋" w:eastAsia="仿宋"/>
                <w:bCs/>
                <w:color w:val="000000"/>
                <w:sz w:val="28"/>
                <w:szCs w:val="28"/>
              </w:rPr>
              <w:t xml:space="preserve">6</w:t>
            </w:r>
            <w:r>
              <w:rPr>
                <w:rFonts w:ascii="仿宋" w:hAnsi="仿宋" w:eastAsia="仿宋"/>
                <w:bCs/>
                <w:color w:val="000000"/>
                <w:sz w:val="28"/>
                <w:szCs w:val="28"/>
              </w:rPr>
              <w:t xml:space="preserve">-00</w:t>
            </w:r>
            <w:r>
              <w:rPr>
                <w:rFonts w:hint="eastAsia" w:ascii="仿宋" w:hAnsi="仿宋" w:eastAsia="仿宋"/>
                <w:bCs/>
                <w:color w:val="000000"/>
                <w:sz w:val="28"/>
                <w:szCs w:val="28"/>
              </w:rPr>
              <w:t xml:space="preserve">22</w:t>
            </w:r>
            <w:r>
              <w:rPr>
                <w:rFonts w:hint="eastAsia" w:ascii="仿宋" w:hAnsi="仿宋" w:eastAsia="仿宋"/>
                <w:bCs/>
                <w:color w:val="000000"/>
                <w:sz w:val="28"/>
                <w:szCs w:val="28"/>
              </w:rPr>
              <w:t xml:space="preserve">号</w:t>
            </w:r>
            <w:r/>
          </w:p>
          <w:p>
            <w:pPr>
              <w:spacing w:line="32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采购方式：公开招标</w:t>
            </w:r>
            <w:r/>
          </w:p>
        </w:tc>
      </w:tr>
      <w:tr>
        <w:trPr>
          <w:cantSplit/>
          <w:jc w:val="center"/>
          <w:trHeight w:val="321"/>
        </w:trPr>
        <w:tc>
          <w:tcPr>
            <w:tcBorders>
              <w:bottom w:val="single" w:color="000000" w:sz="4" w:space="0"/>
              <w:right w:val="single" w:color="000000" w:sz="4" w:space="0"/>
            </w:tcBorders>
            <w:tcW w:w="774" w:type="dxa"/>
            <w:vAlign w:val="center"/>
            <w:textDirection w:val="lrTb"/>
            <w:noWrap w:val="false"/>
          </w:tcPr>
          <w:p>
            <w:pPr>
              <w:jc w:val="center"/>
              <w:spacing w:line="360" w:lineRule="exact"/>
              <w:rPr>
                <w:rFonts w:hint="eastAsia" w:ascii="仿宋" w:hAnsi="仿宋" w:eastAsia="仿宋"/>
                <w:sz w:val="28"/>
                <w:szCs w:val="28"/>
              </w:rPr>
            </w:pPr>
            <w:r>
              <w:rPr>
                <w:rFonts w:hint="eastAsia" w:ascii="仿宋" w:hAnsi="仿宋" w:eastAsia="仿宋"/>
                <w:sz w:val="28"/>
                <w:szCs w:val="28"/>
              </w:rPr>
              <w:t xml:space="preserve">2</w:t>
            </w:r>
            <w:r/>
          </w:p>
        </w:tc>
        <w:tc>
          <w:tcPr>
            <w:tcBorders>
              <w:bottom w:val="single" w:color="000000" w:sz="4" w:space="0"/>
              <w:right w:val="single" w:color="000000" w:sz="4" w:space="0"/>
            </w:tcBorders>
            <w:tcW w:w="8910" w:type="dxa"/>
            <w:vAlign w:val="center"/>
            <w:textDirection w:val="lrTb"/>
            <w:noWrap w:val="false"/>
          </w:tcPr>
          <w:p>
            <w:pPr>
              <w:spacing w:line="32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本项目不收取投标保证金</w:t>
            </w:r>
            <w:r/>
          </w:p>
        </w:tc>
      </w:tr>
      <w:tr>
        <w:trPr>
          <w:cantSplit/>
          <w:jc w:val="center"/>
          <w:trHeight w:val="2725"/>
        </w:trPr>
        <w:tc>
          <w:tcPr>
            <w:tcBorders>
              <w:bottom w:val="single" w:color="000000" w:sz="4" w:space="0"/>
              <w:right w:val="single" w:color="000000" w:sz="4" w:space="0"/>
            </w:tcBorders>
            <w:tcW w:w="774" w:type="dxa"/>
            <w:vAlign w:val="center"/>
            <w:textDirection w:val="lrTb"/>
            <w:noWrap w:val="false"/>
          </w:tcPr>
          <w:p>
            <w:pPr>
              <w:jc w:val="center"/>
              <w:spacing w:line="360" w:lineRule="exact"/>
              <w:rPr>
                <w:rFonts w:hint="eastAsia" w:ascii="仿宋" w:hAnsi="仿宋" w:eastAsia="仿宋"/>
                <w:sz w:val="28"/>
                <w:szCs w:val="28"/>
              </w:rPr>
            </w:pPr>
            <w:r>
              <w:rPr>
                <w:rFonts w:hint="eastAsia" w:ascii="仿宋" w:hAnsi="仿宋" w:eastAsia="仿宋"/>
                <w:sz w:val="28"/>
                <w:szCs w:val="28"/>
              </w:rPr>
              <w:t xml:space="preserve">3</w:t>
            </w:r>
            <w:r/>
          </w:p>
        </w:tc>
        <w:tc>
          <w:tcPr>
            <w:tcBorders>
              <w:bottom w:val="single" w:color="000000" w:sz="4" w:space="0"/>
              <w:right w:val="single" w:color="000000" w:sz="4" w:space="0"/>
            </w:tcBorders>
            <w:tcW w:w="8910" w:type="dxa"/>
            <w:vAlign w:val="center"/>
            <w:textDirection w:val="lrTb"/>
            <w:noWrap w:val="false"/>
          </w:tcPr>
          <w:p>
            <w:pPr>
              <w:spacing w:line="36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履约保证金：由采购人按成交金额的10% 在双方签订合时自行收取，合同履行后按合同付款比例无息退还。</w:t>
            </w:r>
            <w:r/>
          </w:p>
          <w:p>
            <w:pPr>
              <w:spacing w:line="32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缴纳方式为</w:t>
            </w:r>
            <w:r>
              <w:rPr>
                <w:rFonts w:ascii="Segoe UI Symbol" w:hAnsi="Segoe UI Symbol" w:eastAsia="仿宋" w:cs="Segoe UI Symbol"/>
                <w:bCs/>
                <w:color w:val="000000"/>
                <w:sz w:val="28"/>
                <w:szCs w:val="28"/>
              </w:rPr>
              <w:t xml:space="preserve">☑</w:t>
            </w:r>
            <w:r>
              <w:rPr>
                <w:rFonts w:hint="eastAsia" w:ascii="仿宋" w:hAnsi="仿宋" w:eastAsia="仿宋"/>
                <w:bCs/>
                <w:color w:val="000000"/>
                <w:sz w:val="28"/>
                <w:szCs w:val="28"/>
              </w:rPr>
              <w:t xml:space="preserve">银行保函或者</w:t>
            </w:r>
            <w:r>
              <w:rPr>
                <w:rFonts w:ascii="Segoe UI Symbol" w:hAnsi="Segoe UI Symbol" w:eastAsia="仿宋" w:cs="Segoe UI Symbol"/>
                <w:bCs/>
                <w:color w:val="000000"/>
                <w:sz w:val="28"/>
                <w:szCs w:val="28"/>
              </w:rPr>
              <w:t xml:space="preserve">☑</w:t>
            </w:r>
            <w:r>
              <w:rPr>
                <w:rFonts w:hint="eastAsia" w:ascii="仿宋" w:hAnsi="仿宋" w:eastAsia="仿宋"/>
                <w:bCs/>
                <w:color w:val="000000"/>
                <w:sz w:val="28"/>
                <w:szCs w:val="28"/>
              </w:rPr>
              <w:t xml:space="preserve">银行电汇或网上银行支付或者</w:t>
            </w:r>
            <w:r>
              <w:rPr>
                <w:rFonts w:ascii="Segoe UI Symbol" w:hAnsi="Segoe UI Symbol" w:eastAsia="仿宋" w:cs="Segoe UI Symbol"/>
                <w:bCs/>
                <w:color w:val="000000"/>
                <w:sz w:val="28"/>
                <w:szCs w:val="28"/>
              </w:rPr>
              <w:t xml:space="preserve">☑</w:t>
            </w:r>
            <w:r>
              <w:rPr>
                <w:rFonts w:hint="eastAsia" w:ascii="仿宋" w:hAnsi="仿宋" w:eastAsia="仿宋"/>
                <w:bCs/>
                <w:color w:val="000000"/>
                <w:sz w:val="28"/>
                <w:szCs w:val="28"/>
              </w:rPr>
              <w:t xml:space="preserve">专业担保公司担保或综合保险的保证担保。</w:t>
            </w:r>
            <w:r/>
          </w:p>
          <w:p>
            <w:pPr>
              <w:spacing w:line="360" w:lineRule="exact"/>
              <w:rPr>
                <w:rFonts w:hint="eastAsia" w:ascii="仿宋" w:hAnsi="仿宋" w:eastAsia="仿宋"/>
                <w:bCs/>
                <w:color w:val="ff0000"/>
                <w:sz w:val="28"/>
                <w:szCs w:val="28"/>
              </w:rPr>
            </w:pPr>
            <w:r>
              <w:rPr>
                <w:rFonts w:hint="eastAsia" w:ascii="仿宋" w:hAnsi="仿宋" w:eastAsia="仿宋"/>
                <w:bCs/>
                <w:color w:val="ff0000"/>
                <w:sz w:val="28"/>
                <w:szCs w:val="28"/>
              </w:rPr>
              <w:t xml:space="preserve">江苏省政府采购网：http://www.ccgp-jiangsu.gov.cn/</w:t>
            </w:r>
            <w:r/>
          </w:p>
          <w:p>
            <w:pPr>
              <w:spacing w:line="360" w:lineRule="exact"/>
              <w:rPr>
                <w:rFonts w:hint="eastAsia" w:ascii="仿宋" w:hAnsi="仿宋" w:eastAsia="仿宋"/>
                <w:bCs/>
                <w:color w:val="ff0000"/>
                <w:sz w:val="28"/>
                <w:szCs w:val="28"/>
              </w:rPr>
            </w:pPr>
            <w:r>
              <w:rPr>
                <w:rFonts w:hint="eastAsia" w:ascii="仿宋" w:hAnsi="仿宋" w:eastAsia="仿宋"/>
                <w:bCs/>
                <w:color w:val="ff0000"/>
                <w:sz w:val="28"/>
                <w:szCs w:val="28"/>
              </w:rPr>
              <w:t xml:space="preserve">电子履约保函办理网址：https://jsdzbh.com/webSite/bHIndex</w:t>
            </w:r>
            <w:r/>
          </w:p>
          <w:p>
            <w:pPr>
              <w:spacing w:line="360" w:lineRule="exact"/>
              <w:rPr>
                <w:rFonts w:hint="eastAsia" w:ascii="仿宋" w:hAnsi="仿宋" w:eastAsia="仿宋"/>
                <w:color w:val="000000"/>
                <w:szCs w:val="28"/>
              </w:rPr>
            </w:pPr>
            <w:r>
              <w:rPr>
                <w:rFonts w:hint="eastAsia" w:ascii="仿宋" w:hAnsi="仿宋" w:eastAsia="仿宋"/>
                <w:bCs/>
                <w:color w:val="ff0000"/>
                <w:sz w:val="28"/>
                <w:szCs w:val="28"/>
              </w:rPr>
              <w:t xml:space="preserve">手续费：0.8%（如：履约保证金10万，电子保函手续费约800元，具体详见电子保函平台）</w:t>
            </w:r>
            <w:r/>
          </w:p>
        </w:tc>
      </w:tr>
      <w:tr>
        <w:trPr>
          <w:cantSplit/>
          <w:jc w:val="center"/>
          <w:trHeight w:val="279"/>
        </w:trPr>
        <w:tc>
          <w:tcPr>
            <w:tcBorders>
              <w:bottom w:val="single" w:color="000000" w:sz="4" w:space="0"/>
              <w:right w:val="single" w:color="000000" w:sz="4" w:space="0"/>
            </w:tcBorders>
            <w:tcW w:w="774" w:type="dxa"/>
            <w:vAlign w:val="center"/>
            <w:textDirection w:val="lrTb"/>
            <w:noWrap w:val="false"/>
          </w:tcPr>
          <w:p>
            <w:pPr>
              <w:jc w:val="center"/>
              <w:spacing w:line="360" w:lineRule="exact"/>
              <w:rPr>
                <w:rFonts w:hint="eastAsia" w:ascii="仿宋" w:hAnsi="仿宋" w:eastAsia="仿宋"/>
                <w:sz w:val="28"/>
                <w:szCs w:val="28"/>
              </w:rPr>
            </w:pPr>
            <w:r>
              <w:rPr>
                <w:rFonts w:hint="eastAsia" w:ascii="仿宋" w:hAnsi="仿宋" w:eastAsia="仿宋"/>
                <w:sz w:val="28"/>
                <w:szCs w:val="28"/>
              </w:rPr>
              <w:t xml:space="preserve">4</w:t>
            </w:r>
            <w:r/>
          </w:p>
        </w:tc>
        <w:tc>
          <w:tcPr>
            <w:tcBorders>
              <w:bottom w:val="single" w:color="000000" w:sz="4" w:space="0"/>
              <w:right w:val="single" w:color="000000" w:sz="4" w:space="0"/>
            </w:tcBorders>
            <w:tcW w:w="8910" w:type="dxa"/>
            <w:vAlign w:val="center"/>
            <w:textDirection w:val="lrTb"/>
            <w:noWrap w:val="false"/>
          </w:tcPr>
          <w:p>
            <w:pPr>
              <w:spacing w:line="320" w:lineRule="exact"/>
              <w:rPr>
                <w:rFonts w:hint="eastAsia" w:ascii="仿宋" w:hAnsi="仿宋" w:eastAsia="仿宋"/>
                <w:sz w:val="28"/>
                <w:szCs w:val="28"/>
              </w:rPr>
            </w:pPr>
            <w:r>
              <w:rPr>
                <w:rFonts w:hint="eastAsia" w:ascii="仿宋" w:hAnsi="仿宋" w:eastAsia="仿宋"/>
                <w:b/>
                <w:bCs/>
                <w:sz w:val="28"/>
                <w:szCs w:val="28"/>
              </w:rPr>
              <w:t xml:space="preserve">投标有效期</w:t>
            </w:r>
            <w:r>
              <w:rPr>
                <w:rFonts w:hint="eastAsia" w:ascii="仿宋" w:hAnsi="仿宋" w:eastAsia="仿宋"/>
                <w:sz w:val="28"/>
                <w:szCs w:val="28"/>
              </w:rPr>
              <w:t xml:space="preserve">：开标后60日内</w:t>
            </w:r>
            <w:r/>
          </w:p>
        </w:tc>
      </w:tr>
      <w:tr>
        <w:trPr>
          <w:cantSplit/>
          <w:jc w:val="center"/>
          <w:trHeight w:val="1489"/>
        </w:trPr>
        <w:tc>
          <w:tcPr>
            <w:tcBorders>
              <w:bottom w:val="single" w:color="000000" w:sz="4" w:space="0"/>
              <w:right w:val="single" w:color="000000" w:sz="4" w:space="0"/>
            </w:tcBorders>
            <w:tcW w:w="774" w:type="dxa"/>
            <w:vAlign w:val="center"/>
            <w:textDirection w:val="lrTb"/>
            <w:noWrap w:val="false"/>
          </w:tcPr>
          <w:p>
            <w:pPr>
              <w:jc w:val="center"/>
              <w:spacing w:line="360" w:lineRule="exact"/>
              <w:rPr>
                <w:rFonts w:hint="eastAsia" w:ascii="仿宋" w:hAnsi="仿宋" w:eastAsia="仿宋"/>
                <w:sz w:val="28"/>
                <w:szCs w:val="28"/>
              </w:rPr>
            </w:pPr>
            <w:r>
              <w:rPr>
                <w:rFonts w:hint="eastAsia" w:ascii="仿宋" w:hAnsi="仿宋" w:eastAsia="仿宋"/>
                <w:sz w:val="28"/>
                <w:szCs w:val="28"/>
              </w:rPr>
              <w:t xml:space="preserve">5</w:t>
            </w:r>
            <w:r/>
          </w:p>
        </w:tc>
        <w:tc>
          <w:tcPr>
            <w:tcBorders>
              <w:bottom w:val="single" w:color="000000" w:sz="4" w:space="0"/>
              <w:right w:val="single" w:color="000000" w:sz="4" w:space="0"/>
            </w:tcBorders>
            <w:tcW w:w="8910" w:type="dxa"/>
            <w:vAlign w:val="center"/>
            <w:textDirection w:val="lrTb"/>
            <w:noWrap w:val="false"/>
          </w:tcPr>
          <w:p>
            <w:pPr>
              <w:spacing w:line="4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本项目通过“苏采云”系统进行电子采购，即供应商响应文件从政府采购客户端工具制作并通过“苏采云”系统提交。</w:t>
            </w:r>
            <w:r/>
          </w:p>
          <w:p>
            <w:pPr>
              <w:spacing w:line="4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供应商应当通过“苏采云”系统提交数据电文形式的响应文件（即电子投标）。未进行线上响应文件提交并解密(因“苏采云”系统导致解密失败的除外)的供应商，响应无效。</w:t>
            </w:r>
            <w:r/>
          </w:p>
          <w:p>
            <w:pPr>
              <w:spacing w:line="4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“CA数字证书”的获取：供应商需办理CA锁</w:t>
            </w:r>
            <w:r/>
          </w:p>
          <w:p>
            <w:pPr>
              <w:spacing w:line="4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“CA数字证书”的获取： </w:t>
            </w:r>
            <w:r/>
          </w:p>
          <w:p>
            <w:pPr>
              <w:spacing w:line="400" w:lineRule="exact"/>
              <w:rPr>
                <w:rFonts w:hint="eastAsia" w:ascii="仿宋" w:hAnsi="仿宋" w:eastAsia="仿宋"/>
                <w:bCs/>
                <w:color w:val="ff0000"/>
                <w:szCs w:val="21"/>
              </w:rPr>
            </w:pPr>
            <w:r>
              <w:rPr>
                <w:rFonts w:ascii="仿宋" w:hAnsi="仿宋" w:eastAsia="仿宋"/>
                <w:bCs/>
                <w:color w:val="ff0000"/>
                <w:szCs w:val="21"/>
              </w:rPr>
              <w:t xml:space="preserve">http://www.ccgp-jiangsu.gov.cn/jiangsu/zlxz/ee/ee3a4bc5a3454aa2b0d9312230633ce9.html</w:t>
            </w:r>
            <w:r>
              <w:rPr>
                <w:rFonts w:hint="eastAsia" w:ascii="仿宋" w:hAnsi="仿宋" w:eastAsia="仿宋"/>
                <w:bCs/>
                <w:color w:val="ff0000"/>
                <w:szCs w:val="21"/>
              </w:rPr>
              <w:t xml:space="preserve">。</w:t>
            </w:r>
            <w:r/>
          </w:p>
          <w:p>
            <w:pPr>
              <w:spacing w:line="4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使用需要第三方认证的电子签名、数据电文，通过互联网方式提交首次响应文件。即：使用“电子签名认证证书（CA数字证书）”登录“苏采云”系统（网址：</w:t>
            </w:r>
            <w:hyperlink r:id="rId23" w:tooltip="http://jszfcg.jsczt.cn/" w:history="1">
              <w:r>
                <w:rPr>
                  <w:rFonts w:hint="eastAsia" w:ascii="仿宋" w:hAnsi="仿宋" w:eastAsia="仿宋"/>
                  <w:bCs/>
                  <w:color w:val="000000"/>
                  <w:sz w:val="28"/>
                  <w:szCs w:val="28"/>
                </w:rPr>
                <w:t xml:space="preserve">http://jszfcg.jsczt.cn/</w:t>
              </w:r>
            </w:hyperlink>
            <w:r>
              <w:rPr>
                <w:rFonts w:hint="eastAsia" w:ascii="仿宋" w:hAnsi="仿宋" w:eastAsia="仿宋"/>
                <w:bCs/>
                <w:color w:val="000000"/>
                <w:sz w:val="28"/>
                <w:szCs w:val="28"/>
              </w:rPr>
              <w:t xml:space="preserve">），按照要求通过互联网方式提交首次响应文件。</w:t>
            </w:r>
            <w:r/>
          </w:p>
          <w:p>
            <w:pPr>
              <w:spacing w:line="4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“苏采云”系统使用要求：</w:t>
            </w:r>
            <w:r/>
          </w:p>
          <w:p>
            <w:pPr>
              <w:spacing w:line="4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使用谷歌浏览器参与不见面开标及磋商环节。</w:t>
            </w:r>
            <w:r/>
          </w:p>
          <w:p>
            <w:pPr>
              <w:spacing w:line="4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电脑需提前准备好麦克风、音响，摄像头，提前检查保证能够正常使用。</w:t>
            </w:r>
            <w:r/>
          </w:p>
          <w:p>
            <w:pPr>
              <w:spacing w:line="40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操作系统至少win7以上，建议使用win10操作系统。</w:t>
            </w:r>
            <w:r/>
          </w:p>
          <w:p>
            <w:pPr>
              <w:spacing w:line="400" w:lineRule="exact"/>
              <w:rPr>
                <w:rFonts w:hint="eastAsia" w:ascii="仿宋" w:hAnsi="仿宋" w:eastAsia="仿宋"/>
                <w:color w:val="000000"/>
                <w:sz w:val="28"/>
                <w:szCs w:val="28"/>
              </w:rPr>
            </w:pPr>
            <w:r>
              <w:rPr>
                <w:rFonts w:hint="eastAsia" w:ascii="仿宋" w:hAnsi="仿宋" w:eastAsia="仿宋"/>
                <w:color w:val="000000"/>
                <w:sz w:val="28"/>
                <w:szCs w:val="28"/>
              </w:rPr>
              <w:t xml:space="preserve">投标</w:t>
            </w:r>
            <w:r>
              <w:rPr>
                <w:rFonts w:hint="eastAsia" w:ascii="仿宋" w:hAnsi="仿宋" w:eastAsia="仿宋"/>
                <w:bCs/>
                <w:color w:val="000000"/>
                <w:sz w:val="28"/>
                <w:szCs w:val="28"/>
              </w:rPr>
              <w:t xml:space="preserve">响应文件递交截止时间</w:t>
            </w:r>
            <w:r>
              <w:rPr>
                <w:rFonts w:hint="eastAsia" w:ascii="仿宋" w:hAnsi="仿宋" w:eastAsia="仿宋"/>
                <w:color w:val="000000"/>
                <w:sz w:val="28"/>
                <w:szCs w:val="28"/>
              </w:rPr>
              <w:t xml:space="preserve">：2026年</w:t>
            </w:r>
            <w:r>
              <w:rPr>
                <w:rFonts w:hint="eastAsia" w:ascii="仿宋" w:hAnsi="仿宋" w:eastAsia="仿宋"/>
                <w:color w:val="000000"/>
                <w:sz w:val="28"/>
                <w:szCs w:val="28"/>
              </w:rPr>
              <w:t xml:space="preserve">7</w:t>
            </w:r>
            <w:r>
              <w:rPr>
                <w:rFonts w:hint="eastAsia" w:ascii="仿宋" w:hAnsi="仿宋" w:eastAsia="仿宋"/>
                <w:color w:val="000000"/>
                <w:sz w:val="28"/>
                <w:szCs w:val="28"/>
              </w:rPr>
              <w:t xml:space="preserve">月</w:t>
            </w:r>
            <w:r>
              <w:rPr>
                <w:rFonts w:hint="eastAsia" w:ascii="仿宋" w:hAnsi="仿宋" w:eastAsia="仿宋"/>
                <w:color w:val="000000"/>
                <w:sz w:val="28"/>
                <w:szCs w:val="28"/>
              </w:rPr>
              <w:t xml:space="preserve">16</w:t>
            </w:r>
            <w:r>
              <w:rPr>
                <w:rFonts w:hint="eastAsia" w:ascii="仿宋" w:hAnsi="仿宋" w:eastAsia="仿宋"/>
                <w:color w:val="000000"/>
                <w:sz w:val="28"/>
                <w:szCs w:val="28"/>
              </w:rPr>
              <w:t xml:space="preserve">日09 :30（北京时间）</w:t>
            </w:r>
            <w:r/>
          </w:p>
          <w:p>
            <w:pPr>
              <w:spacing w:line="400" w:lineRule="exact"/>
              <w:rPr>
                <w:rFonts w:hint="eastAsia" w:ascii="仿宋" w:hAnsi="仿宋" w:eastAsia="仿宋"/>
                <w:bCs/>
                <w:color w:val="000000"/>
                <w:sz w:val="28"/>
                <w:szCs w:val="28"/>
              </w:rPr>
            </w:pPr>
            <w:r>
              <w:rPr>
                <w:rFonts w:hint="eastAsia" w:ascii="仿宋" w:hAnsi="仿宋" w:eastAsia="仿宋"/>
                <w:color w:val="000000"/>
                <w:sz w:val="28"/>
                <w:szCs w:val="28"/>
              </w:rPr>
              <w:t xml:space="preserve">开标</w:t>
            </w:r>
            <w:r>
              <w:rPr>
                <w:rFonts w:hint="eastAsia" w:ascii="仿宋" w:hAnsi="仿宋" w:eastAsia="仿宋"/>
                <w:bCs/>
                <w:color w:val="000000"/>
                <w:sz w:val="28"/>
                <w:szCs w:val="28"/>
              </w:rPr>
              <w:t xml:space="preserve">时间:2026年</w:t>
            </w:r>
            <w:r>
              <w:rPr>
                <w:rFonts w:hint="eastAsia" w:ascii="仿宋" w:hAnsi="仿宋" w:eastAsia="仿宋"/>
                <w:bCs/>
                <w:color w:val="000000"/>
                <w:sz w:val="28"/>
                <w:szCs w:val="28"/>
              </w:rPr>
              <w:t xml:space="preserve">7</w:t>
            </w:r>
            <w:r>
              <w:rPr>
                <w:rFonts w:hint="eastAsia" w:ascii="仿宋" w:hAnsi="仿宋" w:eastAsia="仿宋"/>
                <w:bCs/>
                <w:color w:val="000000"/>
                <w:sz w:val="28"/>
                <w:szCs w:val="28"/>
              </w:rPr>
              <w:t xml:space="preserve">月</w:t>
            </w:r>
            <w:r>
              <w:rPr>
                <w:rFonts w:hint="eastAsia" w:ascii="仿宋" w:hAnsi="仿宋" w:eastAsia="仿宋"/>
                <w:bCs/>
                <w:color w:val="000000"/>
                <w:sz w:val="28"/>
                <w:szCs w:val="28"/>
              </w:rPr>
              <w:t xml:space="preserve">16</w:t>
            </w:r>
            <w:r>
              <w:rPr>
                <w:rFonts w:hint="eastAsia" w:ascii="仿宋" w:hAnsi="仿宋" w:eastAsia="仿宋"/>
                <w:bCs/>
                <w:color w:val="000000"/>
                <w:sz w:val="28"/>
                <w:szCs w:val="28"/>
              </w:rPr>
              <w:t xml:space="preserve">日09 :30(北京时间)</w:t>
            </w:r>
            <w:r/>
          </w:p>
          <w:p>
            <w:pPr>
              <w:spacing w:line="320" w:lineRule="exact"/>
              <w:rPr>
                <w:rFonts w:hint="eastAsia" w:ascii="仿宋" w:hAnsi="仿宋" w:eastAsia="仿宋"/>
                <w:sz w:val="28"/>
                <w:szCs w:val="28"/>
              </w:rPr>
            </w:pPr>
            <w:r>
              <w:rPr>
                <w:rFonts w:hint="eastAsia" w:ascii="仿宋" w:hAnsi="仿宋" w:eastAsia="仿宋"/>
                <w:color w:val="000000"/>
                <w:sz w:val="28"/>
                <w:szCs w:val="28"/>
              </w:rPr>
              <w:t xml:space="preserve">开标</w:t>
            </w:r>
            <w:r>
              <w:rPr>
                <w:rFonts w:hint="eastAsia" w:ascii="仿宋" w:hAnsi="仿宋" w:eastAsia="仿宋"/>
                <w:bCs/>
                <w:color w:val="000000"/>
                <w:sz w:val="28"/>
                <w:szCs w:val="28"/>
              </w:rPr>
              <w:t xml:space="preserve">地点</w:t>
            </w:r>
            <w:r>
              <w:rPr>
                <w:rFonts w:hint="eastAsia" w:ascii="仿宋" w:hAnsi="仿宋" w:eastAsia="仿宋"/>
                <w:color w:val="000000"/>
                <w:sz w:val="28"/>
                <w:szCs w:val="28"/>
              </w:rPr>
              <w:t xml:space="preserve">：</w:t>
            </w:r>
            <w:r>
              <w:rPr>
                <w:rFonts w:hint="eastAsia" w:ascii="仿宋" w:hAnsi="仿宋" w:eastAsia="仿宋"/>
                <w:b/>
                <w:color w:val="000000"/>
                <w:sz w:val="28"/>
                <w:szCs w:val="28"/>
              </w:rPr>
              <w:t xml:space="preserve">“苏采云”系统（网址：http://jszfcg.jsczt.cn/）“开标大厅，点击“苏采云”进入系统“开标大厅”。</w:t>
            </w:r>
            <w:r/>
          </w:p>
        </w:tc>
      </w:tr>
      <w:tr>
        <w:trPr>
          <w:cantSplit/>
          <w:jc w:val="center"/>
          <w:trHeight w:val="558"/>
        </w:trPr>
        <w:tc>
          <w:tcPr>
            <w:tcBorders>
              <w:bottom w:val="single" w:color="000000" w:sz="4" w:space="0"/>
              <w:right w:val="single" w:color="000000" w:sz="4" w:space="0"/>
            </w:tcBorders>
            <w:tcW w:w="774" w:type="dxa"/>
            <w:vAlign w:val="center"/>
            <w:textDirection w:val="lrTb"/>
            <w:noWrap w:val="false"/>
          </w:tcPr>
          <w:p>
            <w:pPr>
              <w:jc w:val="center"/>
              <w:spacing w:line="360" w:lineRule="exact"/>
              <w:rPr>
                <w:rFonts w:hint="eastAsia" w:ascii="仿宋" w:hAnsi="仿宋" w:eastAsia="仿宋"/>
                <w:sz w:val="28"/>
                <w:szCs w:val="28"/>
              </w:rPr>
            </w:pPr>
            <w:r>
              <w:rPr>
                <w:rFonts w:hint="eastAsia" w:ascii="仿宋" w:hAnsi="仿宋" w:eastAsia="仿宋"/>
                <w:sz w:val="28"/>
                <w:szCs w:val="28"/>
              </w:rPr>
              <w:t xml:space="preserve">6</w:t>
            </w:r>
            <w:r/>
          </w:p>
        </w:tc>
        <w:tc>
          <w:tcPr>
            <w:tcBorders>
              <w:bottom w:val="single" w:color="000000" w:sz="4" w:space="0"/>
              <w:right w:val="single" w:color="000000" w:sz="4" w:space="0"/>
            </w:tcBorders>
            <w:tcW w:w="8910" w:type="dxa"/>
            <w:vAlign w:val="center"/>
            <w:textDirection w:val="lrTb"/>
            <w:noWrap w:val="false"/>
          </w:tcPr>
          <w:p>
            <w:pPr>
              <w:spacing w:line="320" w:lineRule="exact"/>
              <w:rPr>
                <w:rFonts w:hint="eastAsia" w:ascii="仿宋" w:hAnsi="仿宋" w:eastAsia="仿宋"/>
                <w:bCs/>
                <w:sz w:val="28"/>
                <w:szCs w:val="28"/>
              </w:rPr>
            </w:pPr>
            <w:r>
              <w:rPr>
                <w:rFonts w:hint="eastAsia" w:ascii="仿宋" w:hAnsi="仿宋" w:eastAsia="仿宋"/>
                <w:b/>
                <w:sz w:val="28"/>
                <w:szCs w:val="28"/>
              </w:rPr>
              <w:t xml:space="preserve">供应商如认为</w:t>
            </w:r>
            <w:r>
              <w:rPr>
                <w:rFonts w:hint="eastAsia" w:ascii="仿宋" w:hAnsi="仿宋" w:eastAsia="仿宋"/>
                <w:b/>
                <w:sz w:val="28"/>
                <w:szCs w:val="28"/>
              </w:rPr>
              <w:t xml:space="preserve">招标文件</w:t>
            </w:r>
            <w:r>
              <w:rPr>
                <w:rFonts w:hint="eastAsia" w:ascii="仿宋" w:hAnsi="仿宋" w:eastAsia="仿宋"/>
                <w:b/>
                <w:color w:val="000000"/>
                <w:sz w:val="28"/>
                <w:szCs w:val="28"/>
              </w:rPr>
              <w:t xml:space="preserve">使自己的权益受到损害的，可以在知道或者应知其权益受到损害之日起7个工作日内，以书面形式向采购人、采购代理机构提出质疑，</w:t>
            </w:r>
            <w:r>
              <w:rPr>
                <w:rFonts w:hint="eastAsia" w:ascii="仿宋" w:hAnsi="仿宋" w:eastAsia="仿宋"/>
                <w:b/>
                <w:sz w:val="28"/>
                <w:szCs w:val="28"/>
              </w:rPr>
              <w:t xml:space="preserve">否则视为认同。</w:t>
            </w:r>
            <w:r/>
          </w:p>
        </w:tc>
      </w:tr>
      <w:tr>
        <w:trPr>
          <w:cantSplit/>
          <w:jc w:val="center"/>
          <w:trHeight w:val="388"/>
        </w:trPr>
        <w:tc>
          <w:tcPr>
            <w:tcBorders>
              <w:bottom w:val="single" w:color="000000" w:sz="4" w:space="0"/>
              <w:right w:val="single" w:color="000000" w:sz="4" w:space="0"/>
            </w:tcBorders>
            <w:tcW w:w="774" w:type="dxa"/>
            <w:vAlign w:val="center"/>
            <w:textDirection w:val="lrTb"/>
            <w:noWrap w:val="false"/>
          </w:tcPr>
          <w:p>
            <w:pPr>
              <w:jc w:val="center"/>
              <w:spacing w:line="360" w:lineRule="exact"/>
              <w:rPr>
                <w:rFonts w:hint="eastAsia" w:ascii="仿宋" w:hAnsi="仿宋" w:eastAsia="仿宋"/>
                <w:sz w:val="28"/>
                <w:szCs w:val="28"/>
              </w:rPr>
            </w:pPr>
            <w:r>
              <w:rPr>
                <w:rFonts w:hint="eastAsia" w:ascii="仿宋" w:hAnsi="仿宋" w:eastAsia="仿宋"/>
                <w:sz w:val="28"/>
                <w:szCs w:val="28"/>
              </w:rPr>
              <w:t xml:space="preserve">7</w:t>
            </w:r>
            <w:r/>
          </w:p>
        </w:tc>
        <w:tc>
          <w:tcPr>
            <w:tcBorders>
              <w:bottom w:val="single" w:color="000000" w:sz="4" w:space="0"/>
              <w:right w:val="single" w:color="000000" w:sz="4" w:space="0"/>
            </w:tcBorders>
            <w:tcW w:w="8910" w:type="dxa"/>
            <w:vAlign w:val="center"/>
            <w:textDirection w:val="lrTb"/>
            <w:noWrap w:val="false"/>
          </w:tcPr>
          <w:p>
            <w:pPr>
              <w:spacing w:line="320" w:lineRule="exact"/>
              <w:rPr>
                <w:rFonts w:hint="eastAsia" w:ascii="仿宋" w:hAnsi="仿宋" w:eastAsia="仿宋"/>
                <w:b/>
                <w:bCs/>
                <w:sz w:val="28"/>
                <w:szCs w:val="28"/>
              </w:rPr>
            </w:pPr>
            <w:r/>
            <w:bookmarkStart w:id="7" w:name="OLE_LINK6"/>
            <w:r>
              <w:rPr>
                <w:rFonts w:hint="eastAsia" w:ascii="仿宋" w:hAnsi="仿宋" w:eastAsia="仿宋"/>
                <w:bCs/>
                <w:color w:val="ff0000"/>
                <w:sz w:val="28"/>
                <w:szCs w:val="28"/>
              </w:rPr>
              <w:t xml:space="preserve">本项目专门面向中小企业。</w:t>
            </w:r>
            <w:bookmarkEnd w:id="7"/>
            <w:r/>
            <w:r/>
          </w:p>
        </w:tc>
      </w:tr>
      <w:tr>
        <w:trPr>
          <w:cantSplit/>
          <w:jc w:val="center"/>
          <w:trHeight w:val="563"/>
        </w:trPr>
        <w:tc>
          <w:tcPr>
            <w:tcBorders>
              <w:top w:val="single" w:color="auto" w:sz="4" w:space="0"/>
              <w:bottom w:val="single" w:color="auto" w:sz="4" w:space="0"/>
              <w:right w:val="single" w:color="000000" w:sz="4" w:space="0"/>
            </w:tcBorders>
            <w:tcW w:w="774" w:type="dxa"/>
            <w:vAlign w:val="center"/>
            <w:textDirection w:val="lrTb"/>
            <w:noWrap w:val="false"/>
          </w:tcPr>
          <w:p>
            <w:pPr>
              <w:jc w:val="center"/>
              <w:spacing w:line="360" w:lineRule="exact"/>
              <w:rPr>
                <w:rFonts w:hint="eastAsia" w:ascii="仿宋" w:hAnsi="仿宋" w:eastAsia="仿宋"/>
                <w:sz w:val="28"/>
                <w:szCs w:val="28"/>
              </w:rPr>
            </w:pPr>
            <w:r>
              <w:rPr>
                <w:rFonts w:hint="eastAsia" w:ascii="仿宋" w:hAnsi="仿宋" w:eastAsia="仿宋"/>
                <w:sz w:val="28"/>
                <w:szCs w:val="28"/>
              </w:rPr>
              <w:t xml:space="preserve">8</w:t>
            </w:r>
            <w:r/>
          </w:p>
        </w:tc>
        <w:tc>
          <w:tcPr>
            <w:tcBorders>
              <w:top w:val="single" w:color="auto" w:sz="4" w:space="0"/>
              <w:bottom w:val="single" w:color="auto" w:sz="4" w:space="0"/>
              <w:right w:val="single" w:color="000000" w:sz="4" w:space="0"/>
            </w:tcBorders>
            <w:tcW w:w="8910" w:type="dxa"/>
            <w:vAlign w:val="center"/>
            <w:textDirection w:val="lrTb"/>
            <w:noWrap w:val="false"/>
          </w:tcPr>
          <w:p>
            <w:pPr>
              <w:spacing w:line="320" w:lineRule="exact"/>
              <w:rPr>
                <w:rFonts w:hint="eastAsia" w:ascii="仿宋" w:hAnsi="仿宋" w:eastAsia="仿宋"/>
                <w:bCs/>
                <w:sz w:val="28"/>
                <w:szCs w:val="28"/>
              </w:rPr>
            </w:pPr>
            <w:r>
              <w:rPr>
                <w:rFonts w:hint="eastAsia" w:ascii="仿宋" w:hAnsi="仿宋" w:eastAsia="仿宋"/>
                <w:bCs/>
                <w:sz w:val="28"/>
                <w:szCs w:val="28"/>
              </w:rPr>
              <w:t xml:space="preserve">本招标文件共</w:t>
            </w:r>
            <w:r>
              <w:rPr>
                <w:rFonts w:hint="eastAsia" w:ascii="仿宋" w:hAnsi="仿宋" w:eastAsia="仿宋"/>
                <w:bCs/>
                <w:sz w:val="28"/>
                <w:szCs w:val="28"/>
              </w:rPr>
              <w:t xml:space="preserve">108</w:t>
            </w:r>
            <w:r>
              <w:rPr>
                <w:rFonts w:hint="eastAsia" w:ascii="仿宋" w:hAnsi="仿宋" w:eastAsia="仿宋"/>
                <w:bCs/>
                <w:sz w:val="28"/>
                <w:szCs w:val="28"/>
              </w:rPr>
              <w:t xml:space="preserve">页；请仔细查阅，如有漏、错页或字迹不清等问题，请主动与江苏泰禾联系调换或补正。</w:t>
            </w:r>
            <w:r/>
          </w:p>
        </w:tc>
      </w:tr>
    </w:tbl>
    <w:p>
      <w:pPr>
        <w:jc w:val="center"/>
        <w:spacing w:line="480" w:lineRule="exact"/>
        <w:rPr>
          <w:rFonts w:ascii="黑体" w:eastAsia="黑体"/>
          <w:b/>
          <w:bCs/>
          <w:color w:val="000000"/>
          <w:sz w:val="32"/>
        </w:rPr>
      </w:pPr>
      <w:r>
        <w:rPr>
          <w:rFonts w:hint="eastAsia" w:ascii="黑体" w:eastAsia="黑体"/>
          <w:b/>
          <w:bCs/>
          <w:color w:val="000000"/>
          <w:sz w:val="32"/>
        </w:rPr>
        <w:t xml:space="preserve">一、招标公告</w:t>
      </w:r>
      <w:r/>
    </w:p>
    <w:p>
      <w:pPr>
        <w:pStyle w:val="1201"/>
        <w:ind w:firstLine="518"/>
        <w:spacing w:before="0" w:beforeAutospacing="0" w:after="0" w:afterAutospacing="0" w:line="560" w:lineRule="exact"/>
        <w:rPr>
          <w:rFonts w:hint="eastAsia" w:ascii="仿宋" w:hAnsi="仿宋" w:eastAsia="仿宋"/>
          <w:sz w:val="28"/>
          <w:szCs w:val="28"/>
        </w:rPr>
      </w:pPr>
      <w:r>
        <w:rPr>
          <w:rFonts w:hint="eastAsia" w:ascii="仿宋" w:hAnsi="仿宋" w:eastAsia="仿宋"/>
          <w:sz w:val="28"/>
          <w:szCs w:val="28"/>
        </w:rPr>
        <w:t xml:space="preserve">项目概况</w:t>
      </w:r>
      <w:r/>
    </w:p>
    <w:p>
      <w:pPr>
        <w:pStyle w:val="1201"/>
        <w:ind w:firstLine="518"/>
        <w:jc w:val="both"/>
        <w:spacing w:before="0" w:beforeAutospacing="0" w:after="0" w:afterAutospacing="0" w:line="560" w:lineRule="exact"/>
        <w:rPr>
          <w:rFonts w:hint="eastAsia" w:ascii="仿宋" w:hAnsi="仿宋" w:eastAsia="仿宋"/>
          <w:sz w:val="28"/>
          <w:szCs w:val="28"/>
        </w:rPr>
      </w:pPr>
      <w:r>
        <w:rPr>
          <w:rFonts w:hint="eastAsia" w:ascii="仿宋" w:hAnsi="仿宋" w:eastAsia="仿宋"/>
          <w:sz w:val="28"/>
          <w:szCs w:val="28"/>
          <w:u w:val="single"/>
        </w:rPr>
        <w:t xml:space="preserve">理化生实验室设备采购</w:t>
      </w:r>
      <w:r>
        <w:rPr>
          <w:rFonts w:hint="eastAsia" w:ascii="仿宋" w:hAnsi="仿宋" w:eastAsia="仿宋"/>
          <w:sz w:val="28"/>
          <w:szCs w:val="28"/>
        </w:rPr>
        <w:t xml:space="preserve">项目的潜在供应商应在</w:t>
      </w:r>
      <w:r>
        <w:rPr>
          <w:rFonts w:hint="eastAsia" w:ascii="仿宋" w:hAnsi="仿宋" w:eastAsia="仿宋"/>
          <w:color w:val="333333"/>
          <w:sz w:val="28"/>
          <w:szCs w:val="28"/>
          <w:u w:val="single"/>
          <w:shd w:val="clear" w:color="auto" w:fill="ffffff"/>
        </w:rPr>
        <w:t xml:space="preserve">江苏政府采购“苏采云”系统</w:t>
      </w:r>
      <w:r>
        <w:rPr>
          <w:rFonts w:hint="eastAsia" w:ascii="仿宋" w:hAnsi="仿宋" w:eastAsia="仿宋"/>
          <w:sz w:val="28"/>
          <w:szCs w:val="28"/>
          <w:u w:val="single"/>
        </w:rPr>
        <w:t xml:space="preserve">（</w:t>
      </w:r>
      <w:hyperlink r:id="rId24" w:tooltip="http://jszfcg.jsczt.cn/）获取采购文件，并于2026年" w:history="1">
        <w:r>
          <w:rPr>
            <w:rStyle w:val="1213"/>
            <w:rFonts w:hint="eastAsia" w:ascii="仿宋" w:hAnsi="仿宋" w:eastAsia="仿宋"/>
            <w:sz w:val="28"/>
            <w:szCs w:val="28"/>
          </w:rPr>
          <w:t xml:space="preserve">http://jszfcg.jsczt.cn/）获取采购文件，并于2026年</w:t>
        </w:r>
      </w:hyperlink>
      <w:r>
        <w:rPr>
          <w:rStyle w:val="1213"/>
          <w:rFonts w:ascii="仿宋" w:hAnsi="仿宋" w:eastAsia="仿宋"/>
          <w:sz w:val="28"/>
          <w:szCs w:val="28"/>
        </w:rPr>
        <w:t xml:space="preserve">7</w:t>
      </w:r>
      <w:r>
        <w:rPr>
          <w:rStyle w:val="1213"/>
          <w:rFonts w:hint="eastAsia" w:ascii="仿宋" w:hAnsi="仿宋" w:eastAsia="仿宋"/>
          <w:sz w:val="28"/>
          <w:szCs w:val="28"/>
        </w:rPr>
        <w:t xml:space="preserve"> </w:t>
      </w:r>
      <w:r>
        <w:rPr>
          <w:rStyle w:val="1213"/>
          <w:rFonts w:hint="eastAsia" w:ascii="仿宋" w:hAnsi="仿宋" w:eastAsia="仿宋"/>
          <w:sz w:val="28"/>
          <w:szCs w:val="28"/>
        </w:rPr>
        <w:t xml:space="preserve">月</w:t>
      </w:r>
      <w:r>
        <w:rPr>
          <w:rStyle w:val="1213"/>
          <w:rFonts w:hint="eastAsia" w:ascii="仿宋" w:hAnsi="仿宋" w:eastAsia="仿宋"/>
          <w:sz w:val="28"/>
          <w:szCs w:val="28"/>
        </w:rPr>
        <w:t xml:space="preserve">16</w:t>
      </w:r>
      <w:r>
        <w:rPr>
          <w:rStyle w:val="1213"/>
          <w:rFonts w:hint="eastAsia" w:ascii="仿宋" w:hAnsi="仿宋" w:eastAsia="仿宋"/>
          <w:sz w:val="28"/>
          <w:szCs w:val="28"/>
        </w:rPr>
        <w:t xml:space="preserve"> </w:t>
      </w:r>
      <w:r>
        <w:rPr>
          <w:rStyle w:val="1213"/>
          <w:rFonts w:hint="eastAsia" w:ascii="仿宋" w:hAnsi="仿宋" w:eastAsia="仿宋"/>
          <w:sz w:val="28"/>
          <w:szCs w:val="28"/>
        </w:rPr>
        <w:t xml:space="preserve">日 09:30</w:t>
      </w:r>
      <w:r>
        <w:rPr>
          <w:rFonts w:hint="eastAsia" w:ascii="仿宋" w:hAnsi="仿宋" w:eastAsia="仿宋"/>
          <w:bCs/>
          <w:sz w:val="28"/>
          <w:szCs w:val="28"/>
        </w:rPr>
        <w:t xml:space="preserve">（北京时间）前提交投标响应</w:t>
      </w:r>
      <w:r>
        <w:rPr>
          <w:rFonts w:ascii="仿宋" w:hAnsi="仿宋" w:eastAsia="仿宋"/>
          <w:bCs/>
          <w:sz w:val="28"/>
          <w:szCs w:val="28"/>
        </w:rPr>
        <w:t xml:space="preserve">文件</w:t>
      </w:r>
      <w:r/>
    </w:p>
    <w:p>
      <w:pPr>
        <w:pStyle w:val="1201"/>
        <w:ind w:firstLine="520"/>
        <w:jc w:val="both"/>
        <w:spacing w:before="0" w:beforeAutospacing="0" w:after="0" w:afterAutospacing="0" w:line="560" w:lineRule="exact"/>
        <w:rPr>
          <w:rFonts w:hint="eastAsia" w:ascii="仿宋" w:hAnsi="仿宋" w:eastAsia="仿宋"/>
          <w:bCs/>
          <w:sz w:val="28"/>
          <w:szCs w:val="28"/>
        </w:rPr>
      </w:pPr>
      <w:r>
        <w:rPr>
          <w:rFonts w:hint="eastAsia" w:ascii="仿宋" w:hAnsi="仿宋" w:eastAsia="仿宋"/>
          <w:bCs/>
          <w:sz w:val="28"/>
          <w:szCs w:val="28"/>
        </w:rPr>
        <w:t xml:space="preserve">一、项目基本情况</w:t>
      </w:r>
      <w:r/>
    </w:p>
    <w:p>
      <w:pPr>
        <w:pStyle w:val="1201"/>
        <w:ind w:firstLine="518"/>
        <w:jc w:val="both"/>
        <w:spacing w:before="0" w:beforeAutospacing="0" w:after="0" w:afterAutospacing="0" w:line="560" w:lineRule="exact"/>
        <w:rPr>
          <w:rFonts w:hint="eastAsia" w:ascii="仿宋" w:hAnsi="仿宋" w:eastAsia="仿宋"/>
          <w:sz w:val="28"/>
          <w:szCs w:val="28"/>
        </w:rPr>
      </w:pPr>
      <w:r>
        <w:rPr>
          <w:rFonts w:hint="eastAsia" w:ascii="仿宋" w:hAnsi="仿宋" w:eastAsia="仿宋"/>
          <w:sz w:val="28"/>
          <w:szCs w:val="28"/>
        </w:rPr>
        <w:t xml:space="preserve">项目编号：</w:t>
      </w:r>
      <w:bookmarkStart w:id="8" w:name="_Hlk127878261"/>
      <w:r>
        <w:rPr>
          <w:rFonts w:ascii="仿宋" w:hAnsi="仿宋" w:eastAsia="仿宋"/>
          <w:sz w:val="28"/>
          <w:szCs w:val="28"/>
        </w:rPr>
        <w:t xml:space="preserve">JSZC-321281-THZX-G202</w:t>
      </w:r>
      <w:bookmarkEnd w:id="8"/>
      <w:r>
        <w:rPr>
          <w:rFonts w:hint="eastAsia" w:ascii="仿宋" w:hAnsi="仿宋" w:eastAsia="仿宋"/>
          <w:sz w:val="28"/>
          <w:szCs w:val="28"/>
        </w:rPr>
        <w:t xml:space="preserve">6</w:t>
      </w:r>
      <w:r>
        <w:rPr>
          <w:rFonts w:ascii="仿宋" w:hAnsi="仿宋" w:eastAsia="仿宋"/>
          <w:sz w:val="28"/>
          <w:szCs w:val="28"/>
        </w:rPr>
        <w:t xml:space="preserve">-00</w:t>
      </w:r>
      <w:r>
        <w:rPr>
          <w:rFonts w:hint="eastAsia" w:ascii="仿宋" w:hAnsi="仿宋" w:eastAsia="仿宋"/>
          <w:sz w:val="28"/>
          <w:szCs w:val="28"/>
        </w:rPr>
        <w:t xml:space="preserve">22</w:t>
      </w:r>
      <w:r>
        <w:rPr>
          <w:rFonts w:hint="eastAsia" w:ascii="仿宋" w:hAnsi="仿宋" w:eastAsia="仿宋"/>
          <w:sz w:val="28"/>
          <w:szCs w:val="28"/>
        </w:rPr>
        <w:t xml:space="preserve">号</w:t>
      </w:r>
      <w:r/>
    </w:p>
    <w:p>
      <w:pPr>
        <w:pStyle w:val="1201"/>
        <w:ind w:firstLine="520"/>
        <w:jc w:val="both"/>
        <w:spacing w:before="0" w:beforeAutospacing="0" w:after="0" w:afterAutospacing="0" w:line="560" w:lineRule="exact"/>
        <w:rPr>
          <w:rFonts w:hint="eastAsia" w:ascii="仿宋" w:hAnsi="仿宋" w:eastAsia="仿宋"/>
          <w:sz w:val="28"/>
          <w:szCs w:val="28"/>
        </w:rPr>
      </w:pPr>
      <w:r>
        <w:rPr>
          <w:rFonts w:hint="eastAsia" w:ascii="仿宋" w:hAnsi="仿宋" w:eastAsia="仿宋"/>
          <w:sz w:val="28"/>
          <w:szCs w:val="28"/>
        </w:rPr>
        <w:t xml:space="preserve">项目名称：理化生实验室设备采购</w:t>
      </w:r>
      <w:r/>
    </w:p>
    <w:p>
      <w:pPr>
        <w:pStyle w:val="1437"/>
        <w:ind w:firstLine="518"/>
        <w:spacing w:before="0" w:beforeAutospacing="0" w:after="0" w:afterAutospacing="0" w:line="520" w:lineRule="exact"/>
        <w:rPr>
          <w:rFonts w:hint="eastAsia" w:ascii="仿宋" w:hAnsi="仿宋" w:eastAsia="仿宋"/>
          <w:b/>
          <w:bCs/>
          <w:color w:val="000000" w:themeColor="text1"/>
          <w:sz w:val="28"/>
          <w:szCs w:val="28"/>
        </w:rPr>
      </w:pPr>
      <w:r>
        <w:rPr>
          <w:rFonts w:hint="eastAsia" w:ascii="仿宋" w:hAnsi="仿宋" w:eastAsia="仿宋"/>
          <w:color w:val="000000" w:themeColor="text1"/>
          <w:sz w:val="28"/>
          <w:szCs w:val="28"/>
        </w:rPr>
        <w:t xml:space="preserve">预算金额：</w:t>
      </w:r>
      <w:bookmarkStart w:id="9" w:name="_Hlk134691773"/>
      <w:r/>
      <w:bookmarkStart w:id="10" w:name="_Hlk142580539"/>
      <w:r>
        <w:rPr>
          <w:rFonts w:hint="eastAsia" w:ascii="仿宋" w:hAnsi="仿宋" w:eastAsia="仿宋"/>
          <w:color w:val="000000" w:themeColor="text1"/>
          <w:sz w:val="28"/>
          <w:szCs w:val="28"/>
        </w:rPr>
        <w:t xml:space="preserve">人民币壹佰肆拾万元整 （￥：1400000.00</w:t>
      </w:r>
      <w:r>
        <w:rPr>
          <w:rFonts w:hint="eastAsia" w:ascii="仿宋" w:hAnsi="仿宋" w:eastAsia="仿宋"/>
          <w:color w:val="000000" w:themeColor="text1"/>
          <w:sz w:val="28"/>
          <w:szCs w:val="28"/>
        </w:rPr>
        <w:t xml:space="preserve"> </w:t>
      </w:r>
      <w:r>
        <w:rPr>
          <w:rFonts w:hint="eastAsia" w:ascii="仿宋" w:hAnsi="仿宋" w:eastAsia="仿宋"/>
          <w:color w:val="000000" w:themeColor="text1"/>
          <w:sz w:val="28"/>
          <w:szCs w:val="28"/>
        </w:rPr>
        <w:t xml:space="preserve">元</w:t>
      </w:r>
      <w:r>
        <w:rPr>
          <w:rFonts w:ascii="仿宋" w:hAnsi="仿宋" w:eastAsia="仿宋"/>
          <w:color w:val="000000" w:themeColor="text1"/>
          <w:sz w:val="28"/>
          <w:szCs w:val="28"/>
        </w:rPr>
        <w:t xml:space="preserve"> </w:t>
      </w:r>
      <w:r>
        <w:rPr>
          <w:rFonts w:hint="eastAsia" w:ascii="仿宋" w:hAnsi="仿宋" w:eastAsia="仿宋"/>
          <w:color w:val="000000" w:themeColor="text1"/>
          <w:sz w:val="28"/>
          <w:szCs w:val="28"/>
        </w:rPr>
        <w:t xml:space="preserve">）,</w:t>
      </w:r>
      <w:r>
        <w:rPr>
          <w:rFonts w:hint="eastAsia" w:ascii="仿宋" w:hAnsi="仿宋" w:eastAsia="仿宋"/>
          <w:b/>
          <w:bCs/>
          <w:color w:val="000000" w:themeColor="text1"/>
          <w:sz w:val="28"/>
          <w:szCs w:val="28"/>
        </w:rPr>
        <w:t xml:space="preserve">响应报价高于采购预算的，将被判定为无效响应文件。</w:t>
      </w:r>
      <w:bookmarkEnd w:id="9"/>
      <w:r/>
      <w:bookmarkEnd w:id="10"/>
      <w:r/>
      <w:r/>
    </w:p>
    <w:p>
      <w:pPr>
        <w:pStyle w:val="1201"/>
        <w:ind w:firstLine="635"/>
        <w:spacing w:before="0" w:beforeAutospacing="0" w:after="0" w:afterAutospacing="0" w:line="560" w:lineRule="exact"/>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采购需求：</w:t>
      </w:r>
      <w:bookmarkStart w:id="11" w:name="_Hlk134691785"/>
      <w:r>
        <w:rPr>
          <w:rFonts w:hint="eastAsia" w:ascii="仿宋" w:hAnsi="仿宋" w:eastAsia="仿宋"/>
          <w:color w:val="000000" w:themeColor="text1"/>
          <w:sz w:val="28"/>
          <w:szCs w:val="28"/>
        </w:rPr>
        <w:t xml:space="preserve">理化生实验室设备采购等 </w:t>
      </w:r>
      <w:r>
        <w:rPr>
          <w:rFonts w:hint="eastAsia" w:ascii="仿宋_GB2312" w:hAnsi="仿宋" w:eastAsia="仿宋_GB2312" w:cs="仿宋_GB2312"/>
          <w:color w:val="000000" w:themeColor="text1"/>
          <w:sz w:val="28"/>
          <w:szCs w:val="28"/>
        </w:rPr>
        <w:t xml:space="preserve">，</w:t>
      </w:r>
      <w:r>
        <w:rPr>
          <w:rFonts w:hint="eastAsia" w:ascii="仿宋" w:hAnsi="仿宋" w:eastAsia="仿宋"/>
          <w:color w:val="000000" w:themeColor="text1"/>
          <w:sz w:val="28"/>
          <w:szCs w:val="28"/>
        </w:rPr>
        <w:t xml:space="preserve">详见招标文件采购需求。</w:t>
      </w:r>
      <w:bookmarkEnd w:id="11"/>
      <w:r/>
      <w:r/>
    </w:p>
    <w:p>
      <w:pPr>
        <w:pStyle w:val="1168"/>
        <w:ind w:firstLine="518"/>
        <w:spacing w:line="520" w:lineRule="exact"/>
        <w:rPr>
          <w:rFonts w:hint="eastAsia" w:ascii="黑体" w:hAnsi="黑体" w:eastAsia="黑体" w:cs="黑体"/>
          <w:i/>
          <w:iCs/>
          <w:color w:val="000000" w:themeColor="text1"/>
          <w:szCs w:val="28"/>
        </w:rPr>
      </w:pPr>
      <w:r>
        <w:rPr>
          <w:rFonts w:hint="eastAsia" w:ascii="仿宋" w:hAnsi="仿宋" w:eastAsia="仿宋"/>
          <w:color w:val="000000" w:themeColor="text1"/>
          <w:szCs w:val="28"/>
        </w:rPr>
        <w:t xml:space="preserve">合同履行期限：采购合同签订后20 天供货并安装完成。</w:t>
      </w:r>
      <w:r>
        <w:rPr>
          <w:rFonts w:hint="eastAsia" w:ascii="黑体" w:hAnsi="黑体" w:eastAsia="黑体" w:cs="黑体"/>
          <w:i/>
          <w:iCs/>
          <w:color w:val="000000" w:themeColor="text1"/>
          <w:szCs w:val="28"/>
        </w:rPr>
        <w:t xml:space="preserve"> </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本项目不接受联合体投标，本项目采用资格后审方式。</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二、申请人的资格要求</w:t>
      </w:r>
      <w:r/>
    </w:p>
    <w:p>
      <w:pPr>
        <w:ind w:firstLine="518"/>
        <w:spacing w:line="560" w:lineRule="exact"/>
        <w:rPr>
          <w:rFonts w:hint="eastAsia" w:ascii="仿宋" w:hAnsi="仿宋" w:eastAsia="仿宋"/>
          <w:color w:val="000000"/>
          <w:sz w:val="28"/>
          <w:szCs w:val="28"/>
        </w:rPr>
      </w:pPr>
      <w:r>
        <w:rPr>
          <w:rFonts w:hint="eastAsia" w:ascii="仿宋" w:hAnsi="仿宋" w:eastAsia="仿宋"/>
          <w:sz w:val="28"/>
          <w:szCs w:val="28"/>
        </w:rPr>
        <w:t xml:space="preserve">1.满足《中华人民共和国政府采购法》第二十二条规定</w:t>
      </w:r>
      <w:r>
        <w:rPr>
          <w:rFonts w:hint="eastAsia" w:ascii="仿宋" w:hAnsi="仿宋" w:eastAsia="仿宋"/>
          <w:color w:val="000000"/>
          <w:sz w:val="28"/>
          <w:szCs w:val="28"/>
        </w:rPr>
        <w:t xml:space="preserve">：</w:t>
      </w:r>
      <w:r/>
    </w:p>
    <w:p>
      <w:pPr>
        <w:ind w:firstLine="518"/>
        <w:spacing w:line="560" w:lineRule="exact"/>
        <w:rPr>
          <w:rFonts w:hint="eastAsia"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）具有独立承担民事责任的能力；</w:t>
      </w:r>
      <w:r/>
    </w:p>
    <w:p>
      <w:pPr>
        <w:ind w:firstLine="518"/>
        <w:spacing w:line="560" w:lineRule="exact"/>
        <w:rPr>
          <w:rFonts w:hint="eastAsia"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2</w:t>
      </w:r>
      <w:r>
        <w:rPr>
          <w:rFonts w:ascii="仿宋" w:hAnsi="仿宋" w:eastAsia="仿宋"/>
          <w:sz w:val="28"/>
          <w:szCs w:val="28"/>
        </w:rPr>
        <w:t xml:space="preserve">）具有良好的商业信誉和健全的财务会计制度；</w:t>
      </w:r>
      <w:r/>
    </w:p>
    <w:p>
      <w:pPr>
        <w:ind w:firstLine="518"/>
        <w:spacing w:line="560" w:lineRule="exact"/>
        <w:rPr>
          <w:rFonts w:hint="eastAsia"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3</w:t>
      </w:r>
      <w:r>
        <w:rPr>
          <w:rFonts w:ascii="仿宋" w:hAnsi="仿宋" w:eastAsia="仿宋"/>
          <w:sz w:val="28"/>
          <w:szCs w:val="28"/>
        </w:rPr>
        <w:t xml:space="preserve">）具有履行合同所必需的设备和专业技术能力；</w:t>
      </w:r>
      <w:r/>
    </w:p>
    <w:p>
      <w:pPr>
        <w:ind w:firstLine="518"/>
        <w:spacing w:line="560" w:lineRule="exact"/>
        <w:rPr>
          <w:rFonts w:hint="eastAsia"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4</w:t>
      </w:r>
      <w:r>
        <w:rPr>
          <w:rFonts w:ascii="仿宋" w:hAnsi="仿宋" w:eastAsia="仿宋"/>
          <w:sz w:val="28"/>
          <w:szCs w:val="28"/>
        </w:rPr>
        <w:t xml:space="preserve">）有依法缴纳税收和社会保障资金的良好记录；</w:t>
      </w:r>
      <w:r/>
    </w:p>
    <w:p>
      <w:pPr>
        <w:ind w:firstLine="518"/>
        <w:spacing w:line="560" w:lineRule="exact"/>
        <w:rPr>
          <w:rFonts w:hint="eastAsia"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5</w:t>
      </w:r>
      <w:r>
        <w:rPr>
          <w:rFonts w:ascii="仿宋" w:hAnsi="仿宋" w:eastAsia="仿宋"/>
          <w:sz w:val="28"/>
          <w:szCs w:val="28"/>
        </w:rPr>
        <w:t xml:space="preserve">）参加政府采购活动前三年内，在经营活动中没有重大违法记录；</w:t>
      </w:r>
      <w:r/>
    </w:p>
    <w:p>
      <w:pPr>
        <w:ind w:firstLine="518"/>
        <w:spacing w:line="560" w:lineRule="exact"/>
        <w:rPr>
          <w:rFonts w:hint="eastAsia"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6</w:t>
      </w:r>
      <w:r>
        <w:rPr>
          <w:rFonts w:ascii="仿宋" w:hAnsi="仿宋" w:eastAsia="仿宋"/>
          <w:sz w:val="28"/>
          <w:szCs w:val="28"/>
        </w:rPr>
        <w:t xml:space="preserve">）法律、行政法规规定的其他条件。</w:t>
      </w:r>
      <w:r/>
    </w:p>
    <w:p>
      <w:pPr>
        <w:ind w:firstLine="518"/>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2.未被“信用中国”网站（www.creditchina.gov.cn）列入失信被执行人、重大税收违法案件当事人名单、政府采购严重失信行为记录名单。</w:t>
      </w:r>
      <w:r/>
    </w:p>
    <w:p>
      <w:pPr>
        <w:ind w:firstLine="508"/>
        <w:spacing w:line="520" w:lineRule="exact"/>
        <w:rPr>
          <w:rFonts w:hint="eastAsia" w:ascii="仿宋" w:hAnsi="仿宋" w:eastAsia="仿宋"/>
          <w:sz w:val="28"/>
          <w:szCs w:val="28"/>
        </w:rPr>
      </w:pPr>
      <w:r>
        <w:rPr>
          <w:rFonts w:hint="eastAsia" w:ascii="仿宋" w:hAnsi="仿宋" w:eastAsia="仿宋"/>
          <w:color w:val="000000"/>
          <w:sz w:val="28"/>
          <w:szCs w:val="28"/>
        </w:rPr>
        <w:t xml:space="preserve">3.落实政府采购政策需满足的资格要求：</w:t>
      </w:r>
      <w:bookmarkStart w:id="12" w:name="OLE_LINK16"/>
      <w:r>
        <w:rPr>
          <w:rFonts w:hint="eastAsia" w:ascii="仿宋" w:hAnsi="仿宋" w:eastAsia="仿宋"/>
          <w:color w:val="000000"/>
          <w:sz w:val="28"/>
          <w:szCs w:val="28"/>
        </w:rPr>
        <w:t xml:space="preserve">本项目专门面向中小企业采购</w:t>
      </w:r>
      <w:bookmarkEnd w:id="12"/>
      <w:r>
        <w:rPr>
          <w:rFonts w:hint="eastAsia" w:ascii="仿宋" w:hAnsi="仿宋" w:eastAsia="仿宋"/>
          <w:color w:val="000000"/>
          <w:sz w:val="28"/>
          <w:szCs w:val="28"/>
        </w:rPr>
        <w:t xml:space="preserve">,</w:t>
      </w:r>
      <w:r>
        <w:rPr>
          <w:rFonts w:hint="eastAsia" w:ascii="仿宋" w:hAnsi="仿宋" w:eastAsia="仿宋"/>
          <w:sz w:val="28"/>
          <w:szCs w:val="28"/>
        </w:rPr>
        <w:t xml:space="preserve"> 供应商应为中小微企业或监狱企业或残疾人福利性单位。</w:t>
      </w:r>
      <w:r/>
    </w:p>
    <w:p>
      <w:pPr>
        <w:ind w:firstLine="508"/>
        <w:spacing w:line="520" w:lineRule="exact"/>
        <w:rPr>
          <w:rFonts w:hint="eastAsia" w:ascii="仿宋" w:hAnsi="仿宋" w:eastAsia="仿宋"/>
          <w:color w:val="ff0000"/>
          <w:sz w:val="28"/>
          <w:szCs w:val="28"/>
        </w:rPr>
      </w:pPr>
      <w:r>
        <w:rPr>
          <w:rFonts w:hint="eastAsia" w:ascii="仿宋" w:hAnsi="仿宋" w:eastAsia="仿宋"/>
          <w:color w:val="000000"/>
          <w:sz w:val="28"/>
          <w:szCs w:val="28"/>
        </w:rPr>
        <w:t xml:space="preserve">4.本项目的特定资格要求：</w:t>
      </w:r>
      <w:r>
        <w:rPr>
          <w:rFonts w:hint="eastAsia" w:ascii="仿宋" w:hAnsi="仿宋" w:eastAsia="仿宋"/>
          <w:sz w:val="28"/>
          <w:szCs w:val="28"/>
        </w:rPr>
        <w:t xml:space="preserve">无。 </w:t>
      </w:r>
      <w:r/>
    </w:p>
    <w:p>
      <w:pPr>
        <w:ind w:firstLine="508"/>
        <w:spacing w:line="520" w:lineRule="exact"/>
        <w:rPr>
          <w:rFonts w:hint="eastAsia" w:ascii="仿宋" w:hAnsi="仿宋" w:eastAsia="仿宋" w:cs="仿宋_GB2312"/>
          <w:bCs/>
          <w:sz w:val="28"/>
          <w:szCs w:val="28"/>
        </w:rPr>
      </w:pPr>
      <w:r>
        <w:rPr>
          <w:rFonts w:hint="eastAsia" w:ascii="仿宋" w:hAnsi="仿宋" w:eastAsia="仿宋" w:cs="仿宋_GB2312"/>
          <w:bCs/>
          <w:sz w:val="28"/>
          <w:szCs w:val="28"/>
        </w:rPr>
        <w:t xml:space="preserve">本项目不接受供应商以联合体的身份参考，本项目采用资格后审方式。</w:t>
      </w:r>
      <w:r/>
    </w:p>
    <w:p>
      <w:pPr>
        <w:pStyle w:val="1437"/>
        <w:ind w:left="378" w:firstLine="456"/>
        <w:spacing w:before="0" w:beforeAutospacing="0" w:after="0" w:afterAutospacing="0" w:line="560" w:lineRule="exact"/>
        <w:rPr>
          <w:rFonts w:hint="eastAsia" w:ascii="仿宋" w:hAnsi="仿宋" w:eastAsia="仿宋"/>
          <w:bCs/>
          <w:sz w:val="28"/>
          <w:szCs w:val="28"/>
        </w:rPr>
      </w:pPr>
      <w:r>
        <w:rPr>
          <w:rFonts w:hint="eastAsia" w:ascii="仿宋" w:hAnsi="仿宋" w:eastAsia="仿宋"/>
          <w:bCs/>
          <w:sz w:val="28"/>
          <w:szCs w:val="28"/>
        </w:rPr>
        <w:t xml:space="preserve">三、获取招标文件</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（一）时间：2026年</w:t>
      </w:r>
      <w:r>
        <w:rPr>
          <w:rFonts w:hint="eastAsia" w:ascii="仿宋" w:hAnsi="仿宋" w:eastAsia="仿宋" w:cs="宋体"/>
          <w:sz w:val="28"/>
          <w:szCs w:val="28"/>
        </w:rPr>
        <w:t xml:space="preserve">6</w:t>
      </w:r>
      <w:r>
        <w:rPr>
          <w:rFonts w:hint="eastAsia" w:ascii="仿宋" w:hAnsi="仿宋" w:eastAsia="仿宋" w:cs="宋体"/>
          <w:sz w:val="28"/>
          <w:szCs w:val="28"/>
        </w:rPr>
        <w:t xml:space="preserve">月</w:t>
      </w:r>
      <w:r>
        <w:rPr>
          <w:rFonts w:hint="eastAsia" w:ascii="仿宋" w:hAnsi="仿宋" w:eastAsia="仿宋" w:cs="宋体"/>
          <w:sz w:val="28"/>
          <w:szCs w:val="28"/>
        </w:rPr>
        <w:t xml:space="preserve">25</w:t>
      </w:r>
      <w:r>
        <w:rPr>
          <w:rFonts w:hint="eastAsia" w:ascii="仿宋" w:hAnsi="仿宋" w:eastAsia="仿宋" w:cs="宋体"/>
          <w:sz w:val="28"/>
          <w:szCs w:val="28"/>
        </w:rPr>
        <w:t xml:space="preserve">日至2026年 </w:t>
      </w:r>
      <w:r>
        <w:rPr>
          <w:rFonts w:hint="eastAsia" w:ascii="仿宋" w:hAnsi="仿宋" w:eastAsia="仿宋" w:cs="宋体"/>
          <w:sz w:val="28"/>
          <w:szCs w:val="28"/>
        </w:rPr>
        <w:t xml:space="preserve">7</w:t>
      </w:r>
      <w:r>
        <w:rPr>
          <w:rFonts w:hint="eastAsia" w:ascii="仿宋" w:hAnsi="仿宋" w:eastAsia="仿宋" w:cs="宋体"/>
          <w:sz w:val="28"/>
          <w:szCs w:val="28"/>
        </w:rPr>
        <w:t xml:space="preserve"> 月</w:t>
      </w:r>
      <w:r>
        <w:rPr>
          <w:rFonts w:hint="eastAsia" w:ascii="仿宋" w:hAnsi="仿宋" w:eastAsia="仿宋" w:cs="宋体"/>
          <w:sz w:val="28"/>
          <w:szCs w:val="28"/>
        </w:rPr>
        <w:t xml:space="preserve">02</w:t>
      </w:r>
      <w:r>
        <w:rPr>
          <w:rFonts w:hint="eastAsia" w:ascii="仿宋" w:hAnsi="仿宋" w:eastAsia="仿宋" w:cs="宋体"/>
          <w:sz w:val="28"/>
          <w:szCs w:val="28"/>
        </w:rPr>
        <w:t xml:space="preserve">日。</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（二）获取方式：</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1.地点：网上注册登记成功后系统内免费下载。</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2.获取方式：本项目采用网上注册登记方式。</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3.潜在供应商访问电子招标投标交易平台的网络地址和方法：</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1）潜在供应商访问电子招标投标交易平台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（2）潜在供应商访问“苏采云”系统的网络地址和方法：“苏采云”系统的网址：http://jszfcg.jsczt.cn/，点击“苏采云”进入系统。</w:t>
      </w:r>
      <w:r/>
    </w:p>
    <w:p>
      <w:pPr>
        <w:ind w:firstLine="259"/>
        <w:spacing w:line="400" w:lineRule="exact"/>
        <w:rPr>
          <w:rFonts w:hint="eastAsia" w:ascii="仿宋" w:hAnsi="仿宋" w:eastAsia="仿宋"/>
          <w:bCs/>
          <w:color w:val="000000"/>
          <w:sz w:val="28"/>
          <w:szCs w:val="28"/>
        </w:rPr>
      </w:pPr>
      <w:r>
        <w:rPr>
          <w:rFonts w:hint="eastAsia" w:ascii="仿宋" w:hAnsi="仿宋" w:eastAsia="仿宋" w:cs="宋体"/>
          <w:sz w:val="28"/>
          <w:szCs w:val="28"/>
        </w:rPr>
        <w:t xml:space="preserve">（3）“CA数字证书”的获取：</w:t>
      </w:r>
      <w:r>
        <w:rPr>
          <w:rFonts w:hint="eastAsia" w:ascii="仿宋" w:hAnsi="仿宋" w:eastAsia="仿宋"/>
          <w:bCs/>
          <w:color w:val="000000"/>
          <w:sz w:val="28"/>
          <w:szCs w:val="28"/>
        </w:rPr>
        <w:t xml:space="preserve">投标人需办理CA锁：网址：</w:t>
      </w:r>
      <w:r>
        <w:rPr>
          <w:rFonts w:ascii="仿宋" w:hAnsi="仿宋" w:eastAsia="仿宋"/>
          <w:bCs/>
          <w:color w:val="ff0000"/>
          <w:sz w:val="28"/>
          <w:szCs w:val="28"/>
        </w:rPr>
        <w:t xml:space="preserve">http://www.ccgp-jiangsu.gov.cn/jiangsu/zlxz/ee/ee3a4bc5a3454aa2b0d9312230633ce9.html</w:t>
      </w:r>
      <w:r>
        <w:rPr>
          <w:rFonts w:hint="eastAsia" w:ascii="仿宋" w:hAnsi="仿宋" w:eastAsia="仿宋"/>
          <w:bCs/>
          <w:color w:val="ff0000"/>
          <w:sz w:val="28"/>
          <w:szCs w:val="28"/>
        </w:rPr>
        <w:t xml:space="preserve">。</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4）采购文件（后缀名为“.kedt”）、供应商操作手册及政府采购客户端工具可通过“苏采云”系统--已报名项目--报名详情页面内相应链接进行下载；供应商操作手册及政府采购客户端工具可通过泰州政府采购网</w:t>
      </w:r>
      <w:r>
        <w:rPr>
          <w:rFonts w:ascii="仿宋" w:hAnsi="仿宋" w:eastAsia="仿宋" w:cs="宋体"/>
          <w:sz w:val="28"/>
          <w:szCs w:val="28"/>
        </w:rPr>
        <w:t xml:space="preserve">—</w:t>
      </w:r>
      <w:r>
        <w:rPr>
          <w:rFonts w:hint="eastAsia" w:ascii="仿宋" w:hAnsi="仿宋" w:eastAsia="仿宋" w:cs="宋体"/>
          <w:sz w:val="28"/>
          <w:szCs w:val="28"/>
        </w:rPr>
        <w:t xml:space="preserve">服务指南--下载中心，点击进入“</w:t>
      </w:r>
      <w:hyperlink r:id="rId25" w:tooltip="苏采云系统操作手册（供应商）" w:history="1">
        <w:r>
          <w:rPr>
            <w:rFonts w:ascii="仿宋" w:hAnsi="仿宋" w:eastAsia="仿宋" w:cs="宋体"/>
            <w:sz w:val="28"/>
            <w:szCs w:val="28"/>
          </w:rPr>
          <w:t xml:space="preserve">苏采云系统操作手册（供应商）</w:t>
        </w:r>
      </w:hyperlink>
      <w:r>
        <w:rPr>
          <w:rFonts w:hint="eastAsia" w:ascii="仿宋" w:hAnsi="仿宋" w:eastAsia="仿宋" w:cs="宋体"/>
          <w:sz w:val="28"/>
          <w:szCs w:val="28"/>
        </w:rPr>
        <w:t xml:space="preserve">”，进行下载。</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（5）招标代理机构（采购代理机构）将数据电文形式的招标文件加载至“苏采云”系统，供潜在供应商下载或者查阅。</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（6）苏采云系统使用谷歌浏览器参与不见面开标。</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（7）有关本次采购的事项若存在变动或修改，敬请及时关注“江苏政府采购网”发布的更正公告。</w:t>
      </w:r>
      <w:r/>
    </w:p>
    <w:p>
      <w:pPr>
        <w:pStyle w:val="1201"/>
        <w:ind w:firstLine="520"/>
        <w:jc w:val="both"/>
        <w:spacing w:before="0" w:beforeAutospacing="0" w:after="0" w:afterAutospacing="0" w:line="560" w:lineRule="exact"/>
        <w:shd w:val="clear" w:color="auto" w:fill="ffffff"/>
        <w:rPr>
          <w:rFonts w:hint="eastAsia" w:ascii="仿宋" w:hAnsi="仿宋" w:eastAsia="仿宋"/>
          <w:color w:val="333333"/>
          <w:sz w:val="28"/>
          <w:szCs w:val="28"/>
        </w:rPr>
      </w:pPr>
      <w:r>
        <w:rPr>
          <w:rFonts w:hint="eastAsia" w:ascii="仿宋" w:hAnsi="仿宋" w:eastAsia="仿宋"/>
          <w:sz w:val="28"/>
          <w:szCs w:val="28"/>
        </w:rPr>
        <w:t xml:space="preserve">如潜在供应商未按上述要求操作，将自行承担所产生的风险。</w:t>
      </w:r>
      <w:r/>
    </w:p>
    <w:p>
      <w:pPr>
        <w:pStyle w:val="1142"/>
        <w:spacing w:line="560" w:lineRule="exact"/>
        <w:rPr>
          <w:rFonts w:hint="eastAsia" w:ascii="仿宋" w:hAnsi="仿宋" w:eastAsia="仿宋" w:cs="宋体"/>
          <w:b/>
          <w:szCs w:val="28"/>
        </w:rPr>
      </w:pPr>
      <w:r>
        <w:rPr>
          <w:rFonts w:hint="eastAsia" w:ascii="仿宋" w:hAnsi="仿宋" w:eastAsia="仿宋" w:cs="宋体"/>
          <w:b/>
          <w:szCs w:val="28"/>
        </w:rPr>
        <w:t xml:space="preserve">四、提交投标文件截止时间、开标时间和地点</w:t>
      </w:r>
      <w:r/>
    </w:p>
    <w:p>
      <w:pPr>
        <w:ind w:firstLine="518"/>
        <w:rPr>
          <w:rFonts w:hint="eastAsia" w:ascii="仿宋" w:hAnsi="仿宋" w:eastAsia="仿宋"/>
          <w:color w:val="000000"/>
          <w:sz w:val="28"/>
          <w:szCs w:val="28"/>
        </w:rPr>
      </w:pPr>
      <w:r>
        <w:rPr>
          <w:rFonts w:hint="eastAsia" w:ascii="仿宋" w:hAnsi="仿宋" w:eastAsia="仿宋"/>
          <w:color w:val="000000"/>
          <w:sz w:val="28"/>
          <w:szCs w:val="28"/>
        </w:rPr>
        <w:t xml:space="preserve">投标响应文件递交截止时间：2026年 </w:t>
      </w:r>
      <w:r>
        <w:rPr>
          <w:rFonts w:hint="eastAsia" w:ascii="仿宋" w:hAnsi="仿宋" w:eastAsia="仿宋"/>
          <w:color w:val="000000"/>
          <w:sz w:val="28"/>
          <w:szCs w:val="28"/>
        </w:rPr>
        <w:t xml:space="preserve">7</w:t>
      </w:r>
      <w:r>
        <w:rPr>
          <w:rFonts w:hint="eastAsia" w:ascii="仿宋" w:hAnsi="仿宋" w:eastAsia="仿宋"/>
          <w:color w:val="000000"/>
          <w:sz w:val="28"/>
          <w:szCs w:val="28"/>
        </w:rPr>
        <w:t xml:space="preserve">月</w:t>
      </w:r>
      <w:r>
        <w:rPr>
          <w:rFonts w:hint="eastAsia" w:ascii="仿宋" w:hAnsi="仿宋" w:eastAsia="仿宋"/>
          <w:color w:val="000000"/>
          <w:sz w:val="28"/>
          <w:szCs w:val="28"/>
        </w:rPr>
        <w:t xml:space="preserve">16</w:t>
      </w:r>
      <w:r>
        <w:rPr>
          <w:rFonts w:hint="eastAsia" w:ascii="仿宋" w:hAnsi="仿宋" w:eastAsia="仿宋"/>
          <w:color w:val="000000"/>
          <w:sz w:val="28"/>
          <w:szCs w:val="28"/>
        </w:rPr>
        <w:t xml:space="preserve"> 日09:30（北京时间）（自招标文件开始发出之日起至供应商提交投标文件截止之日止，不得少于20日）</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开标时间：2026年</w:t>
      </w:r>
      <w:r>
        <w:rPr>
          <w:rFonts w:hint="eastAsia" w:ascii="仿宋" w:hAnsi="仿宋" w:eastAsia="仿宋" w:cs="宋体"/>
          <w:sz w:val="28"/>
          <w:szCs w:val="28"/>
        </w:rPr>
        <w:t xml:space="preserve">7</w:t>
      </w:r>
      <w:r>
        <w:rPr>
          <w:rFonts w:hint="eastAsia" w:ascii="仿宋" w:hAnsi="仿宋" w:eastAsia="仿宋" w:cs="宋体"/>
          <w:sz w:val="28"/>
          <w:szCs w:val="28"/>
        </w:rPr>
        <w:t xml:space="preserve"> 月</w:t>
      </w:r>
      <w:r>
        <w:rPr>
          <w:rFonts w:hint="eastAsia" w:ascii="仿宋" w:hAnsi="仿宋" w:eastAsia="仿宋" w:cs="宋体"/>
          <w:sz w:val="28"/>
          <w:szCs w:val="28"/>
        </w:rPr>
        <w:t xml:space="preserve">16</w:t>
      </w:r>
      <w:r>
        <w:rPr>
          <w:rFonts w:hint="eastAsia" w:ascii="仿宋" w:hAnsi="仿宋" w:eastAsia="仿宋" w:cs="宋体"/>
          <w:sz w:val="28"/>
          <w:szCs w:val="28"/>
        </w:rPr>
        <w:t xml:space="preserve"> 日 09 :30(北京时间)</w:t>
      </w:r>
      <w:r/>
    </w:p>
    <w:p>
      <w:pPr>
        <w:ind w:firstLine="540"/>
        <w:spacing w:line="560" w:lineRule="exact"/>
        <w:rPr>
          <w:rFonts w:hint="eastAsia" w:ascii="仿宋" w:hAnsi="仿宋" w:eastAsia="仿宋" w:cs="宋体"/>
          <w:sz w:val="28"/>
          <w:szCs w:val="28"/>
        </w:rPr>
      </w:pPr>
      <w:r>
        <w:rPr>
          <w:rFonts w:hint="eastAsia" w:ascii="仿宋" w:hAnsi="仿宋" w:eastAsia="仿宋" w:cs="宋体"/>
          <w:sz w:val="28"/>
          <w:szCs w:val="28"/>
        </w:rPr>
        <w:t xml:space="preserve">开标地点：“苏采云”系统（网址：http://jszfcg.jsczt.cn/）“开标大厅，点击“苏采云”进入系统“开标大厅”。</w:t>
      </w:r>
      <w:r/>
    </w:p>
    <w:p>
      <w:pPr>
        <w:pStyle w:val="1142"/>
        <w:spacing w:line="560" w:lineRule="exact"/>
        <w:rPr>
          <w:rFonts w:hint="eastAsia" w:ascii="仿宋" w:hAnsi="仿宋" w:eastAsia="仿宋" w:cs="宋体"/>
          <w:b/>
          <w:szCs w:val="28"/>
        </w:rPr>
      </w:pPr>
      <w:r>
        <w:rPr>
          <w:rFonts w:hint="eastAsia" w:ascii="仿宋" w:hAnsi="仿宋" w:eastAsia="仿宋" w:cs="宋体"/>
          <w:b/>
          <w:szCs w:val="28"/>
        </w:rPr>
        <w:t xml:space="preserve">五、公告期限</w:t>
      </w:r>
      <w:r/>
    </w:p>
    <w:p>
      <w:pPr>
        <w:pStyle w:val="1201"/>
        <w:ind w:firstLine="647"/>
        <w:spacing w:before="0" w:beforeAutospacing="0" w:after="0" w:afterAutospacing="0" w:line="560" w:lineRule="exact"/>
        <w:shd w:val="clear" w:color="auto" w:fill="ffffff"/>
        <w:rPr>
          <w:rFonts w:hint="eastAsia" w:ascii="仿宋" w:hAnsi="仿宋" w:eastAsia="仿宋"/>
          <w:sz w:val="28"/>
          <w:szCs w:val="28"/>
        </w:rPr>
      </w:pPr>
      <w:r>
        <w:rPr>
          <w:rFonts w:hint="eastAsia" w:ascii="仿宋" w:hAnsi="仿宋" w:eastAsia="仿宋"/>
          <w:sz w:val="28"/>
          <w:szCs w:val="28"/>
        </w:rPr>
        <w:t xml:space="preserve">自本公告发布之日起</w:t>
      </w:r>
      <w:r>
        <w:rPr>
          <w:rFonts w:ascii="仿宋" w:hAnsi="仿宋" w:eastAsia="仿宋"/>
          <w:sz w:val="28"/>
          <w:szCs w:val="28"/>
        </w:rPr>
        <w:t xml:space="preserve">5</w:t>
      </w:r>
      <w:r>
        <w:rPr>
          <w:rFonts w:hint="eastAsia" w:ascii="仿宋" w:hAnsi="仿宋" w:eastAsia="仿宋"/>
          <w:sz w:val="28"/>
          <w:szCs w:val="28"/>
        </w:rPr>
        <w:t xml:space="preserve">个工作日。</w:t>
      </w:r>
      <w:r/>
    </w:p>
    <w:p>
      <w:pPr>
        <w:pStyle w:val="1201"/>
        <w:ind w:firstLine="520"/>
        <w:spacing w:before="0" w:beforeAutospacing="0" w:after="0" w:afterAutospacing="0" w:line="560" w:lineRule="exact"/>
        <w:shd w:val="clear" w:color="auto" w:fill="ffffff"/>
        <w:rPr>
          <w:rFonts w:hint="eastAsia" w:ascii="仿宋" w:hAnsi="仿宋" w:eastAsia="仿宋"/>
          <w:bCs/>
          <w:sz w:val="28"/>
          <w:szCs w:val="28"/>
        </w:rPr>
      </w:pPr>
      <w:r>
        <w:rPr>
          <w:rFonts w:hint="eastAsia" w:ascii="仿宋" w:hAnsi="仿宋" w:eastAsia="仿宋"/>
          <w:bCs/>
          <w:sz w:val="28"/>
          <w:szCs w:val="28"/>
        </w:rPr>
        <w:t xml:space="preserve">六、其他补充事宜</w:t>
      </w:r>
      <w:r/>
    </w:p>
    <w:p>
      <w:pPr>
        <w:pStyle w:val="1201"/>
        <w:ind w:firstLine="518"/>
        <w:jc w:val="both"/>
        <w:spacing w:before="0" w:beforeAutospacing="0" w:after="0" w:afterAutospacing="0" w:line="560" w:lineRule="exact"/>
        <w:shd w:val="clear" w:color="auto" w:fill="ffffff"/>
        <w:rPr>
          <w:rFonts w:hint="eastAsia" w:ascii="仿宋" w:hAnsi="仿宋" w:eastAsia="仿宋"/>
          <w:sz w:val="28"/>
          <w:szCs w:val="28"/>
        </w:rPr>
      </w:pPr>
      <w:r>
        <w:rPr>
          <w:rFonts w:hint="eastAsia" w:ascii="仿宋" w:hAnsi="仿宋" w:eastAsia="仿宋"/>
          <w:sz w:val="28"/>
          <w:szCs w:val="28"/>
        </w:rPr>
        <w:t xml:space="preserve">如在报名中或者制作电子投标文件中有任何疑问，请拨打电子化政府采购技术支持电话:智先生:0523-86897512:张先生:0523-87633965。客服QQ:1195486789，709339244。</w:t>
      </w:r>
      <w:r/>
    </w:p>
    <w:p>
      <w:pPr>
        <w:pStyle w:val="1201"/>
        <w:ind w:firstLine="520"/>
        <w:jc w:val="both"/>
        <w:spacing w:before="0" w:beforeAutospacing="0" w:after="0" w:afterAutospacing="0" w:line="560" w:lineRule="exact"/>
        <w:shd w:val="clear" w:color="auto" w:fill="ffffff"/>
        <w:rPr>
          <w:rFonts w:hint="eastAsia" w:ascii="仿宋" w:hAnsi="仿宋" w:eastAsia="仿宋"/>
          <w:bCs/>
          <w:sz w:val="28"/>
          <w:szCs w:val="28"/>
        </w:rPr>
      </w:pPr>
      <w:r>
        <w:rPr>
          <w:rFonts w:hint="eastAsia" w:ascii="仿宋" w:hAnsi="仿宋" w:eastAsia="仿宋"/>
          <w:bCs/>
          <w:sz w:val="28"/>
          <w:szCs w:val="28"/>
        </w:rPr>
        <w:t xml:space="preserve">七、对本次采购提出询问，请按以下方式联系。</w:t>
      </w:r>
      <w:r/>
    </w:p>
    <w:p>
      <w:pPr>
        <w:pStyle w:val="1201"/>
        <w:ind w:firstLine="520"/>
        <w:spacing w:before="0" w:beforeAutospacing="0" w:after="0" w:afterAutospacing="0" w:line="560" w:lineRule="exact"/>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1.采购人信息</w:t>
      </w:r>
      <w:r/>
    </w:p>
    <w:p>
      <w:pPr>
        <w:pStyle w:val="1201"/>
        <w:ind w:firstLine="520"/>
        <w:spacing w:before="0" w:beforeAutospacing="0" w:after="0" w:afterAutospacing="0" w:line="560" w:lineRule="exact"/>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名 称：兴化市楚水实验学校</w:t>
      </w:r>
      <w:r/>
    </w:p>
    <w:p>
      <w:pPr>
        <w:pStyle w:val="1201"/>
        <w:ind w:firstLine="518"/>
        <w:spacing w:before="0" w:beforeAutospacing="0" w:after="0" w:afterAutospacing="0" w:line="560" w:lineRule="exact"/>
        <w:rPr>
          <w:rFonts w:hint="eastAsia" w:ascii="仿宋" w:hAnsi="仿宋" w:eastAsia="仿宋" w:cs="仿宋"/>
          <w:sz w:val="28"/>
          <w:szCs w:val="28"/>
        </w:rPr>
      </w:pPr>
      <w:r>
        <w:rPr>
          <w:rFonts w:hint="eastAsia" w:ascii="仿宋" w:hAnsi="仿宋" w:eastAsia="仿宋"/>
          <w:color w:val="333333"/>
          <w:sz w:val="28"/>
          <w:szCs w:val="28"/>
          <w:shd w:val="clear" w:color="auto" w:fill="ffffff"/>
        </w:rPr>
        <w:t xml:space="preserve">地址：</w:t>
      </w:r>
      <w:r>
        <w:rPr>
          <w:rFonts w:hint="eastAsia" w:ascii="仿宋" w:hAnsi="仿宋" w:eastAsia="仿宋" w:cs="仿宋"/>
          <w:color w:val="000000" w:themeColor="text1"/>
          <w:sz w:val="28"/>
          <w:szCs w:val="28"/>
        </w:rPr>
        <w:t xml:space="preserve"> </w:t>
      </w:r>
      <w:r>
        <w:rPr>
          <w:rFonts w:hint="eastAsia" w:ascii="仿宋" w:hAnsi="仿宋" w:eastAsia="仿宋" w:cs="仿宋"/>
          <w:sz w:val="28"/>
          <w:szCs w:val="28"/>
        </w:rPr>
        <w:t xml:space="preserve">兴化市昭阳路360号</w:t>
      </w:r>
      <w:r/>
    </w:p>
    <w:p>
      <w:pPr>
        <w:pStyle w:val="1201"/>
        <w:ind w:firstLine="520"/>
        <w:spacing w:before="0" w:beforeAutospacing="0" w:after="0" w:afterAutospacing="0" w:line="560" w:lineRule="exact"/>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联系方式：祝先生  </w:t>
      </w:r>
      <w:bookmarkStart w:id="13" w:name="OLE_LINK11"/>
      <w:r/>
      <w:bookmarkStart w:id="14" w:name="OLE_LINK20"/>
      <w:r>
        <w:rPr>
          <w:rFonts w:hint="eastAsia" w:ascii="仿宋" w:hAnsi="仿宋" w:eastAsia="仿宋"/>
          <w:color w:val="333333"/>
          <w:sz w:val="28"/>
          <w:szCs w:val="28"/>
          <w:shd w:val="clear" w:color="auto" w:fill="ffffff"/>
        </w:rPr>
        <w:t xml:space="preserve">18036801929 </w:t>
      </w:r>
      <w:bookmarkEnd w:id="13"/>
      <w:r/>
      <w:bookmarkEnd w:id="14"/>
      <w:r/>
      <w:r/>
    </w:p>
    <w:p>
      <w:pPr>
        <w:pStyle w:val="1201"/>
        <w:ind w:firstLine="520"/>
        <w:spacing w:before="0" w:beforeAutospacing="0" w:after="0" w:afterAutospacing="0" w:line="560" w:lineRule="exact"/>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2.采购代理机构信息</w:t>
      </w:r>
      <w:r/>
    </w:p>
    <w:p>
      <w:pPr>
        <w:pStyle w:val="1201"/>
        <w:ind w:firstLine="520"/>
        <w:spacing w:before="0" w:beforeAutospacing="0" w:after="0" w:afterAutospacing="0" w:line="560" w:lineRule="exact"/>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名 称：江苏泰禾房地产土地造价咨询评估有限公司</w:t>
      </w:r>
      <w:r/>
    </w:p>
    <w:p>
      <w:pPr>
        <w:pStyle w:val="1201"/>
        <w:ind w:firstLine="520"/>
        <w:spacing w:before="0" w:beforeAutospacing="0" w:after="0" w:afterAutospacing="0" w:line="560" w:lineRule="exact"/>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地 址：</w:t>
      </w:r>
      <w:bookmarkStart w:id="15" w:name="OLE_LINK2"/>
      <w:r/>
      <w:bookmarkStart w:id="16" w:name="OLE_LINK12"/>
      <w:r>
        <w:rPr>
          <w:rFonts w:hint="eastAsia" w:ascii="仿宋" w:hAnsi="仿宋" w:eastAsia="仿宋"/>
          <w:color w:val="333333"/>
          <w:sz w:val="28"/>
          <w:szCs w:val="28"/>
          <w:shd w:val="clear" w:color="auto" w:fill="ffffff"/>
        </w:rPr>
        <w:t xml:space="preserve">兴化市五里东路1</w:t>
      </w:r>
      <w:r>
        <w:rPr>
          <w:rFonts w:ascii="仿宋" w:hAnsi="仿宋" w:eastAsia="仿宋"/>
          <w:color w:val="333333"/>
          <w:sz w:val="28"/>
          <w:szCs w:val="28"/>
          <w:shd w:val="clear" w:color="auto" w:fill="ffffff"/>
        </w:rPr>
        <w:t xml:space="preserve">81</w:t>
      </w:r>
      <w:r>
        <w:rPr>
          <w:rFonts w:hint="eastAsia" w:ascii="仿宋" w:hAnsi="仿宋" w:eastAsia="仿宋"/>
          <w:color w:val="333333"/>
          <w:sz w:val="28"/>
          <w:szCs w:val="28"/>
          <w:shd w:val="clear" w:color="auto" w:fill="ffffff"/>
        </w:rPr>
        <w:t xml:space="preserve">号城投8号公馆1</w:t>
      </w:r>
      <w:r>
        <w:rPr>
          <w:rFonts w:ascii="仿宋" w:hAnsi="仿宋" w:eastAsia="仿宋"/>
          <w:color w:val="333333"/>
          <w:sz w:val="28"/>
          <w:szCs w:val="28"/>
          <w:shd w:val="clear" w:color="auto" w:fill="ffffff"/>
        </w:rPr>
        <w:t xml:space="preserve">6</w:t>
      </w:r>
      <w:r>
        <w:rPr>
          <w:rFonts w:hint="eastAsia" w:ascii="仿宋" w:hAnsi="仿宋" w:eastAsia="仿宋"/>
          <w:color w:val="333333"/>
          <w:sz w:val="28"/>
          <w:szCs w:val="28"/>
          <w:shd w:val="clear" w:color="auto" w:fill="ffffff"/>
        </w:rPr>
        <w:t xml:space="preserve">层</w:t>
      </w:r>
      <w:bookmarkEnd w:id="15"/>
      <w:r/>
      <w:bookmarkEnd w:id="16"/>
      <w:r/>
      <w:r/>
    </w:p>
    <w:p>
      <w:pPr>
        <w:pStyle w:val="1201"/>
        <w:ind w:firstLine="520"/>
        <w:spacing w:before="0" w:beforeAutospacing="0" w:after="0" w:afterAutospacing="0" w:line="560" w:lineRule="exact"/>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联系方式：陈女士  </w:t>
      </w:r>
      <w:r>
        <w:rPr>
          <w:rFonts w:ascii="仿宋" w:hAnsi="仿宋" w:eastAsia="仿宋"/>
          <w:color w:val="333333"/>
          <w:sz w:val="28"/>
          <w:szCs w:val="28"/>
          <w:shd w:val="clear" w:color="auto" w:fill="ffffff"/>
        </w:rPr>
        <w:t xml:space="preserve">13961069761</w:t>
      </w:r>
      <w:r/>
    </w:p>
    <w:p>
      <w:pPr>
        <w:pStyle w:val="1201"/>
        <w:ind w:firstLine="520"/>
        <w:spacing w:before="0" w:beforeAutospacing="0" w:after="0" w:afterAutospacing="0" w:line="560" w:lineRule="exact"/>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3.项目联系方式</w:t>
      </w:r>
      <w:r/>
    </w:p>
    <w:p>
      <w:pPr>
        <w:pStyle w:val="1201"/>
        <w:ind w:firstLine="520"/>
        <w:spacing w:before="0" w:beforeAutospacing="0" w:after="0" w:afterAutospacing="0" w:line="560" w:lineRule="exact"/>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项目联系人： 祝先生      陈女士</w:t>
      </w:r>
      <w:r/>
    </w:p>
    <w:p>
      <w:pPr>
        <w:pStyle w:val="1201"/>
        <w:ind w:firstLine="520"/>
        <w:spacing w:before="0" w:beforeAutospacing="0" w:after="0" w:afterAutospacing="0" w:line="560" w:lineRule="exact"/>
        <w:rPr>
          <w:rFonts w:hint="eastAsia"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电 话：18036801929       </w:t>
      </w:r>
      <w:r>
        <w:rPr>
          <w:rFonts w:ascii="仿宋" w:hAnsi="仿宋" w:eastAsia="仿宋" w:cs="仿宋"/>
          <w:sz w:val="28"/>
          <w:szCs w:val="28"/>
        </w:rPr>
        <w:t xml:space="preserve"> </w:t>
      </w:r>
      <w:r>
        <w:rPr>
          <w:rFonts w:ascii="仿宋" w:hAnsi="仿宋" w:eastAsia="仿宋"/>
          <w:color w:val="333333"/>
          <w:sz w:val="28"/>
          <w:szCs w:val="28"/>
          <w:shd w:val="clear" w:color="auto" w:fill="ffffff"/>
        </w:rPr>
        <w:t xml:space="preserve">13961069761</w:t>
      </w:r>
      <w:r/>
    </w:p>
    <w:p>
      <w:pPr>
        <w:spacing w:line="560" w:lineRule="exact"/>
        <w:rPr>
          <w:rFonts w:hint="eastAsia" w:ascii="仿宋" w:hAnsi="仿宋" w:eastAsia="仿宋"/>
          <w:b/>
          <w:bCs/>
          <w:sz w:val="32"/>
        </w:rPr>
      </w:pPr>
      <w:r>
        <w:rPr>
          <w:rFonts w:hint="eastAsia" w:ascii="仿宋" w:hAnsi="仿宋" w:eastAsia="仿宋"/>
          <w:b/>
          <w:bCs/>
          <w:sz w:val="32"/>
        </w:rPr>
      </w:r>
      <w:r/>
    </w:p>
    <w:p>
      <w:pPr>
        <w:spacing w:line="560" w:lineRule="exact"/>
        <w:rPr>
          <w:rFonts w:hint="eastAsia" w:ascii="仿宋" w:hAnsi="仿宋" w:eastAsia="仿宋"/>
          <w:b/>
          <w:bCs/>
          <w:sz w:val="32"/>
        </w:rPr>
      </w:pPr>
      <w:r>
        <w:rPr>
          <w:rFonts w:hint="eastAsia" w:ascii="仿宋" w:hAnsi="仿宋" w:eastAsia="仿宋"/>
          <w:b/>
          <w:bCs/>
          <w:sz w:val="32"/>
        </w:rPr>
      </w:r>
      <w:r/>
    </w:p>
    <w:p>
      <w:pPr>
        <w:jc w:val="center"/>
        <w:spacing w:line="560" w:lineRule="exact"/>
        <w:rPr>
          <w:rFonts w:hint="eastAsia" w:ascii="仿宋" w:hAnsi="仿宋" w:eastAsia="仿宋"/>
          <w:b/>
          <w:bCs/>
          <w:sz w:val="32"/>
        </w:rPr>
      </w:pPr>
      <w:r>
        <w:rPr>
          <w:rFonts w:hint="eastAsia" w:ascii="仿宋" w:hAnsi="仿宋" w:eastAsia="仿宋"/>
          <w:b/>
          <w:bCs/>
          <w:sz w:val="32"/>
        </w:rPr>
        <w:t xml:space="preserve">一、总  则</w:t>
      </w:r>
      <w:r/>
    </w:p>
    <w:p>
      <w:pPr>
        <w:ind w:firstLine="520"/>
        <w:jc w:val="left"/>
        <w:spacing w:line="560" w:lineRule="exact"/>
        <w:rPr>
          <w:rFonts w:hint="eastAsia" w:ascii="仿宋" w:hAnsi="仿宋" w:eastAsia="仿宋"/>
          <w:b/>
          <w:bCs/>
          <w:sz w:val="28"/>
          <w:szCs w:val="28"/>
        </w:rPr>
      </w:pPr>
      <w:r>
        <w:rPr>
          <w:rFonts w:hint="eastAsia" w:ascii="仿宋" w:hAnsi="仿宋" w:eastAsia="仿宋"/>
          <w:b/>
          <w:bCs/>
          <w:sz w:val="28"/>
          <w:szCs w:val="28"/>
        </w:rPr>
        <w:t xml:space="preserve">1、适用范围</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（1）本招标文件仅适用于江苏泰禾房地产土地造价咨询评估有限公司(以下简称江苏泰禾)组织的本次招标活动。</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（2）本次招标</w:t>
      </w:r>
      <w:r>
        <w:rPr>
          <w:rFonts w:hint="eastAsia" w:ascii="仿宋" w:hAnsi="仿宋" w:eastAsia="仿宋"/>
          <w:sz w:val="28"/>
          <w:szCs w:val="28"/>
        </w:rPr>
        <w:t xml:space="preserve">由江苏泰禾组织</w:t>
      </w:r>
      <w:r>
        <w:rPr>
          <w:rFonts w:hint="eastAsia" w:ascii="仿宋" w:hAnsi="仿宋" w:eastAsia="仿宋"/>
          <w:sz w:val="28"/>
          <w:szCs w:val="28"/>
        </w:rPr>
        <w:t xml:space="preserve">,采取公开招标方式</w:t>
      </w:r>
      <w:r>
        <w:rPr>
          <w:rFonts w:hint="eastAsia" w:ascii="仿宋" w:hAnsi="仿宋" w:eastAsia="仿宋"/>
          <w:sz w:val="28"/>
          <w:szCs w:val="28"/>
        </w:rPr>
        <w:t xml:space="preserve">。</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（3）本次招标活动及本次招标产生的合同受中国法律的约束和保护。</w:t>
      </w:r>
      <w:r/>
    </w:p>
    <w:p>
      <w:pPr>
        <w:ind w:firstLine="518"/>
        <w:jc w:val="left"/>
        <w:spacing w:line="560" w:lineRule="exact"/>
        <w:tabs>
          <w:tab w:val="left" w:pos="1568" w:leader="none"/>
        </w:tabs>
        <w:rPr>
          <w:rFonts w:hint="eastAsia" w:ascii="仿宋" w:hAnsi="仿宋" w:eastAsia="仿宋"/>
          <w:b/>
          <w:bCs/>
          <w:sz w:val="28"/>
          <w:szCs w:val="28"/>
        </w:rPr>
      </w:pPr>
      <w:r>
        <w:rPr>
          <w:rFonts w:hint="eastAsia" w:ascii="仿宋" w:hAnsi="仿宋" w:eastAsia="仿宋"/>
          <w:sz w:val="28"/>
          <w:szCs w:val="28"/>
        </w:rPr>
        <w:t xml:space="preserve">（4）投标供应商一旦参加投标，即视为自愿接受了本招标文件中所有条件和规定。</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（5）投标供应商</w:t>
      </w:r>
      <w:r>
        <w:rPr>
          <w:rFonts w:hint="eastAsia" w:ascii="仿宋" w:hAnsi="仿宋" w:eastAsia="仿宋"/>
          <w:sz w:val="28"/>
          <w:szCs w:val="28"/>
        </w:rPr>
        <w:t xml:space="preserve">必须</w:t>
      </w:r>
      <w:r>
        <w:rPr>
          <w:rFonts w:hint="eastAsia" w:ascii="仿宋" w:hAnsi="仿宋" w:eastAsia="仿宋"/>
          <w:sz w:val="28"/>
          <w:szCs w:val="28"/>
        </w:rPr>
        <w:t xml:space="preserve">遵守国家有关的法律、法规和政策，有能力提供所采购的货物和服务，具有进入兴化市政府采购市场资格的供应商，</w:t>
      </w:r>
      <w:r>
        <w:rPr>
          <w:rFonts w:hint="eastAsia" w:ascii="仿宋" w:hAnsi="仿宋" w:eastAsia="仿宋"/>
          <w:sz w:val="28"/>
          <w:szCs w:val="28"/>
        </w:rPr>
        <w:t xml:space="preserve">同时必须承认和履行招标文件中的各项规定。</w:t>
      </w:r>
      <w:r/>
    </w:p>
    <w:p>
      <w:pPr>
        <w:ind w:firstLine="520"/>
        <w:jc w:val="left"/>
        <w:spacing w:line="560" w:lineRule="exact"/>
        <w:rPr>
          <w:rFonts w:hint="eastAsia" w:ascii="仿宋" w:hAnsi="仿宋" w:eastAsia="仿宋"/>
          <w:sz w:val="28"/>
          <w:szCs w:val="28"/>
        </w:rPr>
      </w:pPr>
      <w:r>
        <w:rPr>
          <w:rFonts w:ascii="仿宋" w:hAnsi="仿宋" w:eastAsia="仿宋"/>
          <w:b/>
          <w:sz w:val="28"/>
          <w:szCs w:val="28"/>
        </w:rPr>
        <w:t xml:space="preserve">2</w:t>
      </w:r>
      <w:r>
        <w:rPr>
          <w:rFonts w:hint="eastAsia" w:ascii="仿宋" w:hAnsi="仿宋" w:eastAsia="仿宋"/>
          <w:b/>
          <w:sz w:val="28"/>
          <w:szCs w:val="28"/>
        </w:rPr>
        <w:t xml:space="preserve">、供应商资格要求</w:t>
      </w:r>
      <w:r/>
    </w:p>
    <w:p>
      <w:pPr>
        <w:ind w:firstLine="510"/>
        <w:spacing w:line="520" w:lineRule="exact"/>
        <w:rPr>
          <w:rFonts w:hint="eastAsia" w:ascii="仿宋" w:hAnsi="仿宋" w:eastAsia="仿宋" w:cs="Arial"/>
          <w:sz w:val="28"/>
          <w:szCs w:val="28"/>
        </w:rPr>
      </w:pPr>
      <w:r/>
      <w:bookmarkStart w:id="17" w:name="OLE_LINK18"/>
      <w:r>
        <w:rPr>
          <w:rFonts w:hint="eastAsia" w:ascii="仿宋" w:hAnsi="仿宋" w:eastAsia="仿宋"/>
          <w:b/>
          <w:sz w:val="28"/>
          <w:szCs w:val="28"/>
        </w:rPr>
        <w:t xml:space="preserve">供应商应符合的基本资格条件</w:t>
      </w:r>
      <w:r>
        <w:rPr>
          <w:rFonts w:hint="eastAsia" w:ascii="仿宋" w:hAnsi="仿宋" w:eastAsia="仿宋"/>
          <w:b/>
          <w:sz w:val="28"/>
          <w:szCs w:val="28"/>
        </w:rPr>
        <w:t xml:space="preserve">：</w:t>
      </w:r>
      <w:r>
        <w:rPr>
          <w:rFonts w:hint="eastAsia" w:ascii="仿宋" w:hAnsi="仿宋" w:eastAsia="仿宋"/>
          <w:sz w:val="28"/>
          <w:szCs w:val="28"/>
        </w:rPr>
        <w:t xml:space="preserve">（1）具有独立承担民事责任的能力；（2）具有良好的商业信誉和健全的财务会计制度；（3）具有履行合同所必须的设备和专业技术能力；（4）有依法缴纳税收和社会保障资金的良好记录；（5）在参加政府采购活动前三年内,在经营活动中没有重大违法记录；</w:t>
      </w:r>
      <w:r>
        <w:rPr>
          <w:rFonts w:hint="eastAsia" w:ascii="仿宋" w:hAnsi="仿宋" w:eastAsia="仿宋" w:cs="宋体"/>
          <w:sz w:val="28"/>
          <w:szCs w:val="28"/>
        </w:rPr>
        <w:t xml:space="preserve">（6）</w:t>
      </w:r>
      <w:r>
        <w:rPr>
          <w:rFonts w:hint="eastAsia" w:ascii="仿宋" w:hAnsi="仿宋" w:eastAsia="仿宋" w:cs="Arial"/>
          <w:sz w:val="28"/>
          <w:szCs w:val="28"/>
        </w:rPr>
        <w:t xml:space="preserve">未被“信用中国”网站（www.creditchina.gov.cn）列入失信被执行人、重大税收违法案件当事人名单、政府</w:t>
      </w:r>
      <w:r>
        <w:rPr>
          <w:rFonts w:hint="eastAsia" w:ascii="仿宋" w:hAnsi="仿宋" w:eastAsia="仿宋" w:cs="Arial"/>
          <w:sz w:val="28"/>
          <w:szCs w:val="28"/>
        </w:rPr>
        <w:t xml:space="preserve">采购严重失信行为记录名单。</w:t>
      </w:r>
      <w:bookmarkEnd w:id="17"/>
      <w:r/>
      <w:r/>
    </w:p>
    <w:p>
      <w:pPr>
        <w:ind w:firstLine="520"/>
        <w:jc w:val="left"/>
        <w:spacing w:line="560" w:lineRule="exact"/>
        <w:rPr>
          <w:rFonts w:hint="eastAsia" w:ascii="仿宋" w:hAnsi="仿宋" w:eastAsia="仿宋" w:cs="Arial"/>
          <w:sz w:val="28"/>
          <w:szCs w:val="28"/>
        </w:rPr>
      </w:pPr>
      <w:r>
        <w:rPr>
          <w:rFonts w:hint="eastAsia" w:ascii="仿宋" w:hAnsi="仿宋" w:eastAsia="仿宋"/>
          <w:b/>
          <w:sz w:val="28"/>
          <w:szCs w:val="28"/>
        </w:rPr>
        <w:t xml:space="preserve">供应商须符合的特定资格条件：</w:t>
      </w:r>
      <w:r>
        <w:rPr>
          <w:rFonts w:hint="eastAsia" w:ascii="仿宋" w:hAnsi="仿宋" w:eastAsia="仿宋" w:cs="Arial"/>
          <w:sz w:val="28"/>
          <w:szCs w:val="28"/>
        </w:rPr>
        <w:t xml:space="preserve">无。</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本项目不接受供应商以联合体的身份参与，本项目采用资格后审方式。</w:t>
      </w:r>
      <w:r/>
    </w:p>
    <w:p>
      <w:pPr>
        <w:jc w:val="center"/>
        <w:spacing w:line="560" w:lineRule="exact"/>
        <w:rPr>
          <w:rFonts w:hint="eastAsia" w:ascii="仿宋" w:hAnsi="仿宋" w:eastAsia="仿宋"/>
          <w:b/>
          <w:sz w:val="32"/>
          <w:szCs w:val="32"/>
        </w:rPr>
      </w:pPr>
      <w:r/>
      <w:bookmarkStart w:id="18" w:name="_Toc177870544"/>
      <w:r/>
      <w:r/>
    </w:p>
    <w:p>
      <w:pPr>
        <w:jc w:val="center"/>
        <w:spacing w:line="560" w:lineRule="exact"/>
        <w:rPr>
          <w:rFonts w:hint="eastAsia" w:ascii="仿宋" w:hAnsi="仿宋" w:eastAsia="仿宋"/>
          <w:b/>
          <w:sz w:val="32"/>
          <w:szCs w:val="32"/>
        </w:rPr>
      </w:pPr>
      <w:r>
        <w:rPr>
          <w:rFonts w:hint="eastAsia" w:ascii="仿宋" w:hAnsi="仿宋" w:eastAsia="仿宋"/>
          <w:b/>
          <w:sz w:val="32"/>
          <w:szCs w:val="32"/>
        </w:rPr>
        <w:t xml:space="preserve">二、招标文件</w:t>
      </w:r>
      <w:bookmarkEnd w:id="18"/>
      <w:r/>
      <w:r/>
    </w:p>
    <w:p>
      <w:pPr>
        <w:ind w:firstLine="520"/>
        <w:spacing w:line="560" w:lineRule="exact"/>
        <w:rPr>
          <w:rFonts w:hint="eastAsia" w:ascii="仿宋" w:hAnsi="仿宋" w:eastAsia="仿宋"/>
          <w:b/>
          <w:sz w:val="28"/>
          <w:szCs w:val="28"/>
        </w:rPr>
      </w:pPr>
      <w:r>
        <w:rPr>
          <w:rFonts w:hint="eastAsia" w:ascii="仿宋" w:hAnsi="仿宋" w:eastAsia="仿宋"/>
          <w:b/>
          <w:sz w:val="28"/>
          <w:szCs w:val="28"/>
        </w:rPr>
        <w:t xml:space="preserve">招标文件构成</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1、招标公告</w:t>
      </w:r>
      <w:r/>
    </w:p>
    <w:p>
      <w:pPr>
        <w:ind w:firstLine="518"/>
        <w:spacing w:line="560" w:lineRule="exact"/>
        <w:tabs>
          <w:tab w:val="left" w:pos="3990" w:leader="none"/>
        </w:tabs>
        <w:rPr>
          <w:rFonts w:hint="eastAsia" w:ascii="仿宋" w:hAnsi="仿宋" w:eastAsia="仿宋"/>
          <w:sz w:val="28"/>
          <w:szCs w:val="28"/>
        </w:rPr>
      </w:pPr>
      <w:r>
        <w:rPr>
          <w:rFonts w:hint="eastAsia" w:ascii="仿宋" w:hAnsi="仿宋" w:eastAsia="仿宋"/>
          <w:sz w:val="28"/>
          <w:szCs w:val="28"/>
        </w:rPr>
        <w:t xml:space="preserve">2、投标供应商须知</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3、采购需求</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4、政府采购合同（参考）</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5、投标文件格式</w:t>
      </w:r>
      <w:r/>
    </w:p>
    <w:p>
      <w:pPr>
        <w:ind w:firstLine="520"/>
        <w:spacing w:line="560" w:lineRule="exact"/>
        <w:rPr>
          <w:rFonts w:hint="eastAsia" w:ascii="仿宋" w:hAnsi="仿宋" w:eastAsia="仿宋"/>
          <w:b/>
          <w:bCs/>
          <w:sz w:val="28"/>
          <w:szCs w:val="28"/>
        </w:rPr>
      </w:pPr>
      <w:r>
        <w:rPr>
          <w:rFonts w:hint="eastAsia" w:ascii="仿宋" w:hAnsi="仿宋" w:eastAsia="仿宋"/>
          <w:b/>
          <w:bCs/>
          <w:sz w:val="28"/>
          <w:szCs w:val="28"/>
        </w:rPr>
        <w:t xml:space="preserve">招标文件的澄清和修改</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1、投标供应商在下载招标文件后，如有疑问需要澄清，须按</w:t>
      </w:r>
      <w:r>
        <w:rPr>
          <w:rFonts w:hint="eastAsia" w:ascii="仿宋" w:hAnsi="仿宋" w:eastAsia="仿宋"/>
          <w:b/>
          <w:sz w:val="28"/>
          <w:szCs w:val="28"/>
        </w:rPr>
        <w:t xml:space="preserve">“投标供应商须知前附表”</w:t>
      </w:r>
      <w:r>
        <w:rPr>
          <w:rFonts w:hint="eastAsia" w:ascii="仿宋" w:hAnsi="仿宋" w:eastAsia="仿宋"/>
          <w:sz w:val="28"/>
          <w:szCs w:val="28"/>
        </w:rPr>
        <w:t xml:space="preserve">内容中规定的时间前</w:t>
      </w:r>
      <w:r>
        <w:rPr>
          <w:rFonts w:hint="eastAsia" w:ascii="仿宋" w:hAnsi="仿宋" w:eastAsia="仿宋"/>
          <w:sz w:val="28"/>
          <w:szCs w:val="28"/>
        </w:rPr>
        <w:t xml:space="preserve">以书面形式向采购人提出，江苏泰禾将根据采购人的答复内容在“</w:t>
      </w:r>
      <w:r>
        <w:rPr>
          <w:rFonts w:hint="eastAsia" w:ascii="仿宋" w:hAnsi="仿宋" w:eastAsia="仿宋" w:cs="宋体"/>
          <w:sz w:val="28"/>
          <w:szCs w:val="28"/>
        </w:rPr>
        <w:t xml:space="preserve">江苏政府采购网”</w:t>
      </w:r>
      <w:r>
        <w:rPr>
          <w:rFonts w:hint="eastAsia" w:ascii="仿宋" w:hAnsi="仿宋" w:eastAsia="仿宋"/>
          <w:sz w:val="28"/>
          <w:szCs w:val="28"/>
        </w:rPr>
        <w:t xml:space="preserve">答复包括所提问题，但不包括问题的来源。</w:t>
      </w:r>
      <w:r>
        <w:rPr>
          <w:rFonts w:hint="eastAsia" w:ascii="仿宋" w:hAnsi="仿宋" w:eastAsia="仿宋"/>
          <w:sz w:val="28"/>
          <w:szCs w:val="28"/>
        </w:rPr>
        <w:t xml:space="preserve">补充（更正）公告将作为招标文件的组成部分,与招标文件具有同等法律效力。敬请投标供应商关注</w:t>
      </w:r>
      <w:r>
        <w:rPr>
          <w:rFonts w:hint="eastAsia" w:ascii="仿宋" w:hAnsi="仿宋" w:eastAsia="仿宋"/>
          <w:color w:val="000000"/>
          <w:sz w:val="28"/>
        </w:rPr>
        <w:t xml:space="preserve">“</w:t>
      </w:r>
      <w:r>
        <w:rPr>
          <w:rFonts w:hint="eastAsia" w:ascii="仿宋" w:hAnsi="仿宋" w:eastAsia="仿宋" w:cs="宋体"/>
          <w:sz w:val="28"/>
          <w:szCs w:val="28"/>
        </w:rPr>
        <w:t xml:space="preserve">江苏政府采购网</w:t>
      </w:r>
      <w:r>
        <w:rPr>
          <w:rFonts w:hint="eastAsia" w:ascii="仿宋" w:hAnsi="仿宋" w:eastAsia="仿宋"/>
          <w:color w:val="000000"/>
          <w:sz w:val="28"/>
        </w:rPr>
        <w:t xml:space="preserve">”</w:t>
      </w:r>
      <w:r>
        <w:rPr>
          <w:rFonts w:hint="eastAsia" w:ascii="仿宋" w:hAnsi="仿宋" w:eastAsia="仿宋"/>
          <w:sz w:val="28"/>
          <w:szCs w:val="28"/>
        </w:rPr>
        <w:t xml:space="preserve">发布的相关信息，</w:t>
      </w:r>
      <w:r>
        <w:rPr>
          <w:rFonts w:hint="eastAsia" w:ascii="仿宋" w:hAnsi="仿宋" w:eastAsia="仿宋"/>
          <w:b/>
          <w:bCs/>
          <w:sz w:val="28"/>
          <w:szCs w:val="28"/>
        </w:rPr>
        <w:t xml:space="preserve">特别是在投标文件定稿前，应主动查阅是否有本项目的变更信息。</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rPr>
        <w:t xml:space="preserve">投标供应商</w:t>
      </w:r>
      <w:r>
        <w:rPr>
          <w:rFonts w:hint="eastAsia" w:ascii="仿宋" w:hAnsi="仿宋" w:eastAsia="仿宋"/>
          <w:sz w:val="28"/>
          <w:szCs w:val="28"/>
        </w:rPr>
        <w:t xml:space="preserve">对招标文件自行所做出的判断、推论、解释和结论，并由此所造成的后果，均由</w:t>
      </w:r>
      <w:r>
        <w:rPr>
          <w:rFonts w:hint="eastAsia" w:ascii="仿宋" w:hAnsi="仿宋" w:eastAsia="仿宋"/>
          <w:sz w:val="28"/>
          <w:szCs w:val="28"/>
        </w:rPr>
        <w:t xml:space="preserve">投标供应商</w:t>
      </w:r>
      <w:r>
        <w:rPr>
          <w:rFonts w:hint="eastAsia" w:ascii="仿宋" w:hAnsi="仿宋" w:eastAsia="仿宋"/>
          <w:sz w:val="28"/>
          <w:szCs w:val="28"/>
        </w:rPr>
        <w:t xml:space="preserve">自负。</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3、在投标截止十五日前，江苏泰禾可主动地或在解答投标供应商提出的澄清问题时对招标文件进行修改。</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4、为使投标供应商有充分的时间对招标文件的修改部分进行分析、研究，采购人可以根据规定延长投标截止日期和开标日期，并将此变更情况在“江苏政府采购</w:t>
      </w:r>
      <w:r>
        <w:rPr>
          <w:rFonts w:hint="eastAsia" w:ascii="仿宋" w:hAnsi="仿宋" w:eastAsia="仿宋"/>
          <w:sz w:val="28"/>
          <w:szCs w:val="28"/>
        </w:rPr>
        <w:t xml:space="preserve">网”、上发布，请各投标供应商主动点击查询，江苏泰禾将以电话或短信方式告知所有已报名的投标供应商。</w:t>
      </w:r>
      <w:r/>
    </w:p>
    <w:p>
      <w:pPr>
        <w:jc w:val="center"/>
        <w:spacing w:line="560" w:lineRule="exact"/>
        <w:rPr>
          <w:rFonts w:hint="eastAsia" w:ascii="仿宋" w:hAnsi="仿宋" w:eastAsia="仿宋"/>
          <w:b/>
          <w:bCs/>
          <w:sz w:val="32"/>
        </w:rPr>
      </w:pPr>
      <w:r>
        <w:rPr>
          <w:rFonts w:hint="eastAsia" w:ascii="仿宋" w:hAnsi="仿宋" w:eastAsia="仿宋"/>
          <w:b/>
          <w:bCs/>
          <w:sz w:val="32"/>
        </w:rPr>
        <w:t xml:space="preserve">三、投标报价</w:t>
      </w:r>
      <w:r/>
    </w:p>
    <w:p>
      <w:pPr>
        <w:ind w:firstLine="520"/>
        <w:jc w:val="left"/>
        <w:spacing w:line="560" w:lineRule="exact"/>
        <w:rPr>
          <w:rFonts w:hint="eastAsia" w:ascii="仿宋" w:hAnsi="仿宋" w:eastAsia="仿宋"/>
          <w:b/>
          <w:bCs/>
          <w:sz w:val="28"/>
          <w:szCs w:val="28"/>
        </w:rPr>
      </w:pPr>
      <w:r>
        <w:rPr>
          <w:rFonts w:hint="eastAsia" w:ascii="仿宋" w:hAnsi="仿宋" w:eastAsia="仿宋"/>
          <w:b/>
          <w:bCs/>
          <w:sz w:val="28"/>
          <w:szCs w:val="28"/>
        </w:rPr>
        <w:t xml:space="preserve">开标一览表</w:t>
      </w:r>
      <w:r/>
    </w:p>
    <w:p>
      <w:pPr>
        <w:ind w:firstLine="518"/>
        <w:jc w:val="left"/>
        <w:spacing w:line="560" w:lineRule="exact"/>
        <w:rPr>
          <w:rFonts w:hint="eastAsia" w:ascii="仿宋" w:hAnsi="仿宋" w:eastAsia="仿宋"/>
          <w:b/>
          <w:bCs/>
          <w:sz w:val="28"/>
          <w:szCs w:val="28"/>
        </w:rPr>
      </w:pPr>
      <w:r>
        <w:rPr>
          <w:rFonts w:hint="eastAsia" w:ascii="仿宋" w:hAnsi="仿宋" w:eastAsia="仿宋"/>
          <w:sz w:val="28"/>
          <w:szCs w:val="28"/>
        </w:rPr>
        <w:t xml:space="preserve">投标供应商应认真填写开标一览表（格式见附件一）并与投标文件中的投标报价表中总报价相一致，投标报价表上应标明提供服务的内容、单价、计量单位、数量及投标总报价。</w:t>
      </w:r>
      <w:r/>
    </w:p>
    <w:p>
      <w:pPr>
        <w:ind w:firstLine="520"/>
        <w:jc w:val="left"/>
        <w:spacing w:line="560" w:lineRule="exact"/>
        <w:rPr>
          <w:rFonts w:hint="eastAsia" w:ascii="仿宋" w:hAnsi="仿宋" w:eastAsia="仿宋"/>
          <w:b/>
          <w:bCs/>
          <w:sz w:val="28"/>
          <w:szCs w:val="28"/>
        </w:rPr>
      </w:pPr>
      <w:r>
        <w:rPr>
          <w:rFonts w:hint="eastAsia" w:ascii="仿宋" w:hAnsi="仿宋" w:eastAsia="仿宋"/>
          <w:b/>
          <w:bCs/>
          <w:sz w:val="28"/>
          <w:szCs w:val="28"/>
        </w:rPr>
        <w:t xml:space="preserve">投标货币</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投标文件中的所有报价均为人民币，以元为计价单位。</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投标费用</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1、该项目的的报价应包括制造该产品所需的生产制造费、原辅材料费、运输费、保险费、包装费、各类税金、产品检（测）验费、技术培训费、招标代理服务费及其它应付的费用等。</w:t>
      </w:r>
      <w:r/>
    </w:p>
    <w:p>
      <w:pPr>
        <w:ind w:firstLine="259"/>
        <w:spacing w:line="520" w:lineRule="exact"/>
        <w:rPr>
          <w:rFonts w:hint="eastAsia" w:ascii="仿宋" w:hAnsi="仿宋" w:eastAsia="仿宋" w:cs="仿宋_GB2312"/>
          <w:color w:val="ee0000"/>
          <w:sz w:val="28"/>
          <w:szCs w:val="28"/>
          <w:lang w:bidi="ar"/>
        </w:rPr>
      </w:pPr>
      <w:r>
        <w:rPr>
          <w:rFonts w:hint="eastAsia" w:ascii="仿宋" w:hAnsi="仿宋" w:eastAsia="仿宋"/>
          <w:sz w:val="28"/>
          <w:szCs w:val="28"/>
        </w:rPr>
        <w:t xml:space="preserve">2</w:t>
      </w:r>
      <w:r>
        <w:rPr>
          <w:rFonts w:ascii="仿宋" w:hAnsi="仿宋" w:eastAsia="仿宋"/>
          <w:sz w:val="28"/>
          <w:szCs w:val="28"/>
        </w:rPr>
        <w:t xml:space="preserve">、</w:t>
      </w:r>
      <w:r>
        <w:rPr>
          <w:rFonts w:hint="eastAsia" w:ascii="仿宋" w:hAnsi="仿宋" w:eastAsia="仿宋"/>
          <w:sz w:val="28"/>
          <w:szCs w:val="28"/>
        </w:rPr>
        <w:t xml:space="preserve">本项目招标代理服务费参照“《江苏省政府采购代理服务收费指导意见》的通知（苏政采协【2024】20号）”文件收费标准收取（差额累进），</w:t>
      </w:r>
      <w:r>
        <w:rPr>
          <w:rFonts w:hint="eastAsia" w:ascii="仿宋" w:hAnsi="仿宋" w:eastAsia="仿宋" w:cs="仿宋_GB2312"/>
          <w:color w:val="ee0000"/>
          <w:sz w:val="28"/>
          <w:szCs w:val="28"/>
          <w:lang w:bidi="ar"/>
        </w:rPr>
        <w:t xml:space="preserve">由采购人在招标项目结束后支付。</w:t>
      </w:r>
      <w:r/>
    </w:p>
    <w:tbl>
      <w:tblPr>
        <w:tblW w:w="5692" w:type="dxa"/>
        <w:jc w:val="center"/>
        <w:tblBorders>
          <w:left w:val="single" w:color="auto" w:sz="4" w:space="0"/>
          <w:bottom w:val="single" w:color="auto" w:sz="4" w:space="0"/>
          <w:right w:val="single" w:color="auto" w:sz="4" w:space="0"/>
          <w:insideH w:val="single" w:color="auto" w:sz="4" w:space="0"/>
          <w:insideV w:val="single" w:color="auto" w:sz="4" w:space="0"/>
        </w:tblBorders>
        <w:tblLayout w:type="fixed"/>
        <w:tblCellMar>
          <w:left w:w="85" w:type="dxa"/>
          <w:right w:w="85" w:type="dxa"/>
        </w:tblCellMar>
        <w:tblLook w:val="04A0" w:firstRow="1" w:lastRow="0" w:firstColumn="1" w:lastColumn="0" w:noHBand="0" w:noVBand="1"/>
      </w:tblPr>
      <w:tblGrid>
        <w:gridCol w:w="4133"/>
        <w:gridCol w:w="1559"/>
      </w:tblGrid>
      <w:tr>
        <w:trPr>
          <w:jc w:val="center"/>
          <w:trHeight w:val="397"/>
        </w:trPr>
        <w:tc>
          <w:tcPr>
            <w:tcBorders>
              <w:top w:val="single" w:color="000000" w:sz="4" w:space="0"/>
            </w:tcBorders>
            <w:tcW w:w="4133" w:type="dxa"/>
            <w:vAlign w:val="center"/>
            <w:textDirection w:val="lrTb"/>
            <w:noWrap/>
          </w:tcPr>
          <w:p>
            <w:pPr>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中标金额</w:t>
            </w:r>
            <w:r/>
          </w:p>
        </w:tc>
        <w:tc>
          <w:tcPr>
            <w:tcBorders>
              <w:top w:val="single" w:color="000000" w:sz="4" w:space="0"/>
            </w:tcBorders>
            <w:tcW w:w="1559" w:type="dxa"/>
            <w:vAlign w:val="center"/>
            <w:textDirection w:val="lrTb"/>
            <w:noWrap/>
          </w:tcPr>
          <w:p>
            <w:pPr>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费率</w:t>
            </w:r>
            <w:r/>
          </w:p>
        </w:tc>
      </w:tr>
      <w:tr>
        <w:trPr>
          <w:jc w:val="center"/>
          <w:trHeight w:val="397"/>
        </w:trPr>
        <w:tc>
          <w:tcPr>
            <w:tcBorders>
              <w:top w:val="single" w:color="000000" w:sz="4" w:space="0"/>
            </w:tcBorders>
            <w:tcW w:w="4133" w:type="dxa"/>
            <w:vAlign w:val="center"/>
            <w:textDirection w:val="lrTb"/>
            <w:noWrap/>
          </w:tcPr>
          <w:p>
            <w:pPr>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最低收费金额（每个委托项目）</w:t>
            </w:r>
            <w:r/>
          </w:p>
        </w:tc>
        <w:tc>
          <w:tcPr>
            <w:tcBorders>
              <w:top w:val="single" w:color="000000" w:sz="4" w:space="0"/>
            </w:tcBorders>
            <w:tcW w:w="1559" w:type="dxa"/>
            <w:vAlign w:val="center"/>
            <w:textDirection w:val="lrTb"/>
            <w:noWrap/>
          </w:tcPr>
          <w:p>
            <w:pPr>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5000元</w:t>
            </w:r>
            <w:r/>
          </w:p>
        </w:tc>
      </w:tr>
      <w:tr>
        <w:trPr>
          <w:jc w:val="center"/>
          <w:trHeight w:val="397"/>
        </w:trPr>
        <w:tc>
          <w:tcPr>
            <w:tcW w:w="4133" w:type="dxa"/>
            <w:vAlign w:val="center"/>
            <w:textDirection w:val="lrTb"/>
            <w:noWrap/>
          </w:tcPr>
          <w:p>
            <w:pPr>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50万元以下（含50万元）</w:t>
            </w:r>
            <w:r/>
          </w:p>
        </w:tc>
        <w:tc>
          <w:tcPr>
            <w:tcW w:w="1559" w:type="dxa"/>
            <w:vAlign w:val="center"/>
            <w:textDirection w:val="lrTb"/>
            <w:noWrap/>
          </w:tcPr>
          <w:p>
            <w:pPr>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1.6%</w:t>
            </w:r>
            <w:r/>
          </w:p>
        </w:tc>
      </w:tr>
      <w:tr>
        <w:trPr>
          <w:jc w:val="center"/>
          <w:trHeight w:val="397"/>
        </w:trPr>
        <w:tc>
          <w:tcPr>
            <w:tcW w:w="4133" w:type="dxa"/>
            <w:vAlign w:val="center"/>
            <w:textDirection w:val="lrTb"/>
            <w:noWrap/>
          </w:tcPr>
          <w:p>
            <w:pPr>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50万元</w:t>
            </w:r>
            <w:r>
              <w:rPr>
                <w:rFonts w:hint="eastAsia" w:ascii="仿宋" w:hAnsi="仿宋" w:eastAsia="仿宋" w:cs="Arial"/>
                <w:color w:val="333333"/>
                <w:sz w:val="24"/>
              </w:rPr>
              <w:t xml:space="preserve">-</w:t>
            </w:r>
            <w:r>
              <w:rPr>
                <w:rFonts w:hint="eastAsia" w:ascii="仿宋" w:hAnsi="仿宋" w:eastAsia="仿宋" w:cs="宋体"/>
                <w:color w:val="000000"/>
                <w:sz w:val="24"/>
              </w:rPr>
              <w:t xml:space="preserve">400万元（含400万元）</w:t>
            </w:r>
            <w:r/>
          </w:p>
        </w:tc>
        <w:tc>
          <w:tcPr>
            <w:tcW w:w="1559" w:type="dxa"/>
            <w:vAlign w:val="center"/>
            <w:textDirection w:val="lrTb"/>
            <w:noWrap/>
          </w:tcPr>
          <w:p>
            <w:pPr>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1.5%</w:t>
            </w:r>
            <w:r/>
          </w:p>
        </w:tc>
      </w:tr>
      <w:tr>
        <w:trPr>
          <w:jc w:val="center"/>
          <w:trHeight w:val="397"/>
        </w:trPr>
        <w:tc>
          <w:tcPr>
            <w:tcW w:w="4133" w:type="dxa"/>
            <w:vAlign w:val="center"/>
            <w:textDirection w:val="lrTb"/>
            <w:noWrap/>
          </w:tcPr>
          <w:p>
            <w:pPr>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400</w:t>
            </w:r>
            <w:r>
              <w:rPr>
                <w:rFonts w:hint="eastAsia" w:ascii="仿宋" w:hAnsi="仿宋" w:eastAsia="仿宋" w:cs="Arial"/>
                <w:color w:val="333333"/>
                <w:sz w:val="24"/>
              </w:rPr>
              <w:t xml:space="preserve">-1</w:t>
            </w:r>
            <w:r>
              <w:rPr>
                <w:rFonts w:hint="eastAsia" w:ascii="仿宋" w:hAnsi="仿宋" w:eastAsia="仿宋" w:cs="宋体"/>
                <w:color w:val="000000"/>
                <w:sz w:val="24"/>
              </w:rPr>
              <w:t xml:space="preserve">000万元（含1000万元）</w:t>
            </w:r>
            <w:r/>
          </w:p>
        </w:tc>
        <w:tc>
          <w:tcPr>
            <w:tcW w:w="1559" w:type="dxa"/>
            <w:vAlign w:val="center"/>
            <w:textDirection w:val="lrTb"/>
            <w:noWrap/>
          </w:tcPr>
          <w:p>
            <w:pPr>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1.1%</w:t>
            </w:r>
            <w:r/>
          </w:p>
        </w:tc>
      </w:tr>
      <w:tr>
        <w:trPr>
          <w:jc w:val="center"/>
          <w:trHeight w:val="397"/>
        </w:trPr>
        <w:tc>
          <w:tcPr>
            <w:tcW w:w="4133" w:type="dxa"/>
            <w:vAlign w:val="center"/>
            <w:textDirection w:val="lrTb"/>
            <w:noWrap/>
          </w:tcPr>
          <w:p>
            <w:pPr>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1000-5000万元（含5000万元）</w:t>
            </w:r>
            <w:r/>
          </w:p>
        </w:tc>
        <w:tc>
          <w:tcPr>
            <w:tcW w:w="1559" w:type="dxa"/>
            <w:vAlign w:val="center"/>
            <w:textDirection w:val="lrTb"/>
            <w:noWrap/>
          </w:tcPr>
          <w:p>
            <w:pPr>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0.8%</w:t>
            </w:r>
            <w:r/>
          </w:p>
        </w:tc>
      </w:tr>
      <w:tr>
        <w:trPr>
          <w:jc w:val="center"/>
          <w:trHeight w:val="397"/>
        </w:trPr>
        <w:tc>
          <w:tcPr>
            <w:tcW w:w="4133" w:type="dxa"/>
            <w:vAlign w:val="center"/>
            <w:textDirection w:val="lrTb"/>
            <w:noWrap/>
          </w:tcPr>
          <w:p>
            <w:pPr>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5000万元</w:t>
            </w:r>
            <w:r>
              <w:rPr>
                <w:rFonts w:hint="eastAsia" w:ascii="仿宋" w:hAnsi="仿宋" w:eastAsia="仿宋" w:cs="Arial"/>
                <w:color w:val="333333"/>
                <w:sz w:val="24"/>
              </w:rPr>
              <w:t xml:space="preserve">-</w:t>
            </w:r>
            <w:r>
              <w:rPr>
                <w:rFonts w:hint="eastAsia" w:ascii="仿宋" w:hAnsi="仿宋" w:eastAsia="仿宋" w:cs="宋体"/>
                <w:color w:val="000000"/>
                <w:sz w:val="24"/>
              </w:rPr>
              <w:t xml:space="preserve">l亿元（含1亿元）</w:t>
            </w:r>
            <w:r/>
          </w:p>
        </w:tc>
        <w:tc>
          <w:tcPr>
            <w:tcW w:w="1559" w:type="dxa"/>
            <w:vAlign w:val="center"/>
            <w:textDirection w:val="lrTb"/>
            <w:noWrap/>
          </w:tcPr>
          <w:p>
            <w:pPr>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0.25%</w:t>
            </w:r>
            <w:r/>
          </w:p>
        </w:tc>
      </w:tr>
      <w:tr>
        <w:trPr>
          <w:jc w:val="center"/>
          <w:trHeight w:val="397"/>
        </w:trPr>
        <w:tc>
          <w:tcPr>
            <w:tcW w:w="4133" w:type="dxa"/>
            <w:vAlign w:val="center"/>
            <w:textDirection w:val="lrTb"/>
            <w:noWrap/>
          </w:tcPr>
          <w:p>
            <w:pPr>
              <w:jc w:val="center"/>
              <w:spacing w:line="300" w:lineRule="exact"/>
              <w:rPr>
                <w:rFonts w:hint="eastAsia" w:ascii="仿宋" w:hAnsi="仿宋" w:eastAsia="仿宋" w:cs="宋体"/>
                <w:color w:val="000000"/>
                <w:sz w:val="24"/>
              </w:rPr>
            </w:pPr>
            <w:r>
              <w:rPr>
                <w:rFonts w:ascii="仿宋" w:hAnsi="仿宋" w:eastAsia="仿宋" w:cs="宋体"/>
                <w:color w:val="000000"/>
                <w:sz w:val="24"/>
              </w:rPr>
              <w:t xml:space="preserve">1</w:t>
            </w:r>
            <w:r>
              <w:rPr>
                <w:rFonts w:hint="eastAsia" w:ascii="仿宋" w:hAnsi="仿宋" w:eastAsia="仿宋" w:cs="宋体"/>
                <w:color w:val="000000"/>
                <w:sz w:val="24"/>
              </w:rPr>
              <w:t xml:space="preserve">-10</w:t>
            </w:r>
            <w:r>
              <w:rPr>
                <w:rFonts w:ascii="仿宋" w:hAnsi="仿宋" w:eastAsia="仿宋" w:cs="宋体"/>
                <w:color w:val="000000"/>
                <w:sz w:val="24"/>
              </w:rPr>
              <w:t xml:space="preserve">亿</w:t>
            </w:r>
            <w:r>
              <w:rPr>
                <w:rFonts w:hint="eastAsia" w:ascii="仿宋" w:hAnsi="仿宋" w:eastAsia="仿宋" w:cs="宋体"/>
                <w:color w:val="000000"/>
                <w:sz w:val="24"/>
              </w:rPr>
              <w:t xml:space="preserve">元（含10亿元）</w:t>
            </w:r>
            <w:r/>
          </w:p>
        </w:tc>
        <w:tc>
          <w:tcPr>
            <w:tcW w:w="1559" w:type="dxa"/>
            <w:vAlign w:val="center"/>
            <w:textDirection w:val="lrTb"/>
            <w:noWrap/>
          </w:tcPr>
          <w:p>
            <w:pPr>
              <w:jc w:val="center"/>
              <w:spacing w:line="300" w:lineRule="exact"/>
              <w:rPr>
                <w:rFonts w:hint="eastAsia" w:ascii="仿宋" w:hAnsi="仿宋" w:eastAsia="仿宋" w:cs="宋体"/>
                <w:color w:val="000000"/>
                <w:sz w:val="24"/>
              </w:rPr>
            </w:pPr>
            <w:r>
              <w:rPr>
                <w:rFonts w:ascii="仿宋" w:hAnsi="仿宋" w:eastAsia="仿宋" w:cs="宋体"/>
                <w:color w:val="000000"/>
                <w:sz w:val="24"/>
              </w:rPr>
              <w:t xml:space="preserve">0.05%</w:t>
            </w:r>
            <w:r/>
          </w:p>
        </w:tc>
      </w:tr>
      <w:tr>
        <w:trPr>
          <w:jc w:val="center"/>
          <w:trHeight w:val="397"/>
        </w:trPr>
        <w:tc>
          <w:tcPr>
            <w:tcW w:w="4133" w:type="dxa"/>
            <w:vAlign w:val="center"/>
            <w:textDirection w:val="lrTb"/>
            <w:noWrap/>
          </w:tcPr>
          <w:p>
            <w:pPr>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10-50</w:t>
            </w:r>
            <w:r>
              <w:rPr>
                <w:rFonts w:ascii="仿宋" w:hAnsi="仿宋" w:eastAsia="仿宋" w:cs="宋体"/>
                <w:color w:val="000000"/>
                <w:sz w:val="24"/>
              </w:rPr>
              <w:t xml:space="preserve">亿</w:t>
            </w:r>
            <w:r>
              <w:rPr>
                <w:rFonts w:hint="eastAsia" w:ascii="仿宋" w:hAnsi="仿宋" w:eastAsia="仿宋" w:cs="宋体"/>
                <w:color w:val="000000"/>
                <w:sz w:val="24"/>
              </w:rPr>
              <w:t xml:space="preserve">元（含50亿元）</w:t>
            </w:r>
            <w:r/>
          </w:p>
        </w:tc>
        <w:tc>
          <w:tcPr>
            <w:tcW w:w="1559" w:type="dxa"/>
            <w:vAlign w:val="center"/>
            <w:textDirection w:val="lrTb"/>
            <w:noWrap/>
          </w:tcPr>
          <w:p>
            <w:pPr>
              <w:jc w:val="center"/>
              <w:spacing w:line="300" w:lineRule="exact"/>
              <w:rPr>
                <w:rFonts w:hint="eastAsia" w:ascii="仿宋" w:hAnsi="仿宋" w:eastAsia="仿宋" w:cs="宋体"/>
                <w:color w:val="000000"/>
                <w:sz w:val="24"/>
              </w:rPr>
            </w:pPr>
            <w:r>
              <w:rPr>
                <w:rFonts w:ascii="仿宋" w:hAnsi="仿宋" w:eastAsia="仿宋" w:cs="宋体"/>
                <w:color w:val="000000"/>
                <w:sz w:val="24"/>
              </w:rPr>
              <w:t xml:space="preserve">0.</w:t>
            </w:r>
            <w:r>
              <w:rPr>
                <w:rFonts w:hint="eastAsia" w:ascii="仿宋" w:hAnsi="仿宋" w:eastAsia="仿宋" w:cs="宋体"/>
                <w:color w:val="000000"/>
                <w:sz w:val="24"/>
              </w:rPr>
              <w:t xml:space="preserve">01</w:t>
            </w:r>
            <w:r>
              <w:rPr>
                <w:rFonts w:ascii="仿宋" w:hAnsi="仿宋" w:eastAsia="仿宋" w:cs="宋体"/>
                <w:color w:val="000000"/>
                <w:sz w:val="24"/>
              </w:rPr>
              <w:t xml:space="preserve">%</w:t>
            </w:r>
            <w:r/>
          </w:p>
        </w:tc>
      </w:tr>
      <w:tr>
        <w:trPr>
          <w:jc w:val="center"/>
          <w:trHeight w:val="397"/>
        </w:trPr>
        <w:tc>
          <w:tcPr>
            <w:tcW w:w="4133" w:type="dxa"/>
            <w:vAlign w:val="center"/>
            <w:textDirection w:val="lrTb"/>
            <w:noWrap/>
          </w:tcPr>
          <w:p>
            <w:pPr>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50亿元以上</w:t>
            </w:r>
            <w:r/>
          </w:p>
        </w:tc>
        <w:tc>
          <w:tcPr>
            <w:tcW w:w="1559" w:type="dxa"/>
            <w:vAlign w:val="center"/>
            <w:textDirection w:val="lrTb"/>
            <w:noWrap/>
          </w:tcPr>
          <w:p>
            <w:pPr>
              <w:jc w:val="center"/>
              <w:spacing w:line="300" w:lineRule="exact"/>
              <w:rPr>
                <w:rFonts w:hint="eastAsia" w:ascii="仿宋" w:hAnsi="仿宋" w:eastAsia="仿宋" w:cs="宋体"/>
                <w:color w:val="000000"/>
                <w:sz w:val="24"/>
              </w:rPr>
            </w:pPr>
            <w:r>
              <w:rPr>
                <w:rFonts w:hint="eastAsia" w:ascii="仿宋" w:hAnsi="仿宋" w:eastAsia="仿宋" w:cs="宋体"/>
                <w:color w:val="000000"/>
                <w:sz w:val="24"/>
              </w:rPr>
              <w:t xml:space="preserve">0.005%</w:t>
            </w:r>
            <w:r/>
          </w:p>
        </w:tc>
      </w:tr>
    </w:tbl>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3</w:t>
      </w:r>
      <w:r>
        <w:rPr>
          <w:rFonts w:ascii="仿宋" w:hAnsi="仿宋" w:eastAsia="仿宋"/>
          <w:sz w:val="28"/>
          <w:szCs w:val="28"/>
        </w:rPr>
        <w:t xml:space="preserve">、最终投标总报价是指上述费用的总和。</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4</w:t>
      </w:r>
      <w:r>
        <w:rPr>
          <w:rFonts w:ascii="仿宋" w:hAnsi="仿宋" w:eastAsia="仿宋"/>
          <w:sz w:val="28"/>
          <w:szCs w:val="28"/>
        </w:rPr>
        <w:t xml:space="preserve">、投标供应商承担其编制、递交投标文件及参加投标所涉及的一切费用。</w:t>
      </w:r>
      <w:r/>
    </w:p>
    <w:p>
      <w:pPr>
        <w:jc w:val="center"/>
        <w:spacing w:line="560" w:lineRule="exact"/>
        <w:rPr>
          <w:rFonts w:hint="eastAsia" w:ascii="仿宋" w:hAnsi="仿宋" w:eastAsia="仿宋"/>
          <w:sz w:val="28"/>
          <w:szCs w:val="28"/>
        </w:rPr>
      </w:pPr>
      <w:r>
        <w:rPr>
          <w:rFonts w:hint="eastAsia" w:ascii="仿宋" w:hAnsi="仿宋" w:eastAsia="仿宋"/>
          <w:sz w:val="28"/>
          <w:szCs w:val="28"/>
        </w:rPr>
        <w:t xml:space="preserve">四、投标文件的编制</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投标文件的构成</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1、投标文件应包括下列部分：</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商务、技术部分</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（1）开标一览表（附件一）；</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（2）投标函（附件二）； </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（3）投标报价明细表（附件四）；</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（4）技术参数响应及偏离表（附件五）； </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（5）属于正偏离技术参数的有效证明材料原件扫描件；</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（6）“采购需求”部分要求提供或评分办法中涉及评审事项的证书、承诺、材料等原件扫描件；</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7）企业声明函（附件八），货物全部由符合政策要求的中小企业承接。提供《中小企业声明函》（填写完整，加盖电子签章格式见《招标文件》附件八）如不填写完整，视为无效）。《中小企业声明函》查询渠道参考工业和信息化部发布的中小企业规模自测小程序。监狱企业和残疾人福利性单位等同于小微企业；</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（8）残疾人福利性单位声明函（附件九）（如有）；</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（9） 关于符合本国产品标准的声明函（附件十）；</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（10）项目组织实施方案（如需要）；</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（11）质保、服务承诺及培训计划等；</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（12）招标文件要求或供应商认为需要提供的其他资料；</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资信部分</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（13）</w:t>
      </w:r>
      <w:bookmarkStart w:id="19" w:name="OLE_LINK3"/>
      <w:r>
        <w:rPr>
          <w:rFonts w:hint="eastAsia" w:ascii="仿宋" w:hAnsi="仿宋" w:eastAsia="仿宋"/>
          <w:sz w:val="28"/>
          <w:szCs w:val="28"/>
        </w:rPr>
        <w:t xml:space="preserve">供应商合法有效的法人的营业执照扫描件，或事业单位法人证书扫描件，或民办非企业单位登记证书扫描件；</w:t>
      </w:r>
      <w:bookmarkEnd w:id="19"/>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（14）</w:t>
      </w:r>
      <w:bookmarkStart w:id="20" w:name="OLE_LINK4"/>
      <w:r>
        <w:rPr>
          <w:rFonts w:hint="eastAsia" w:ascii="仿宋" w:hAnsi="仿宋" w:eastAsia="仿宋"/>
          <w:sz w:val="28"/>
          <w:szCs w:val="28"/>
        </w:rPr>
        <w:t xml:space="preserve">近六个月中任意一个月的财务状况报告（资产负债表和利润表）原件扫描件，或经会计师事务所出具的近两年中任意一个年度的审计报告原件扫描件，或本年度基本开户银行出具的资信证明原件扫描件</w:t>
      </w:r>
      <w:bookmarkStart w:id="21" w:name="OLE_LINK9"/>
      <w:r>
        <w:rPr>
          <w:rFonts w:hint="eastAsia" w:ascii="仿宋" w:hAnsi="仿宋" w:eastAsia="仿宋"/>
          <w:sz w:val="28"/>
          <w:szCs w:val="28"/>
        </w:rPr>
        <w:t xml:space="preserve">（成立不满一年不需提供）</w:t>
      </w:r>
      <w:bookmarkEnd w:id="21"/>
      <w:r>
        <w:rPr>
          <w:rFonts w:hint="eastAsia" w:ascii="仿宋" w:hAnsi="仿宋" w:eastAsia="仿宋"/>
          <w:sz w:val="28"/>
          <w:szCs w:val="28"/>
        </w:rPr>
        <w:t xml:space="preserve">；</w:t>
      </w:r>
      <w:bookmarkEnd w:id="20"/>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（15）</w:t>
      </w:r>
      <w:bookmarkStart w:id="22" w:name="OLE_LINK5"/>
      <w:r>
        <w:rPr>
          <w:rFonts w:hint="eastAsia" w:ascii="仿宋" w:hAnsi="仿宋" w:eastAsia="仿宋"/>
          <w:sz w:val="28"/>
          <w:szCs w:val="28"/>
        </w:rPr>
        <w:t xml:space="preserve">近六个月中任意一个月缴纳税收和社会保险的凭据原件扫描件（依法免税或不需要缴纳社会保障资金的，提供相应证明文件原件扫描件）；</w:t>
      </w:r>
      <w:bookmarkEnd w:id="22"/>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（16）具备履行合同所必需的设备和专业技术能力的声明；（附件六）</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（17）无重大违法记录声明（附件七）；</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8）招标文件中规定的资格特定条件证明材料：无。</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本项目不接受供应商以联合体的身份参与，本项目采用资格后审方式。</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注：以上资信部分材料原件扫描件提供不全或无效的，将被判定为无效投标。</w:t>
      </w:r>
      <w:r/>
    </w:p>
    <w:p>
      <w:pPr>
        <w:numPr>
          <w:ilvl w:val="0"/>
          <w:numId w:val="18"/>
        </w:numPr>
        <w:ind w:firstLine="518"/>
        <w:spacing w:line="560" w:lineRule="exact"/>
        <w:rPr>
          <w:rFonts w:hint="eastAsia" w:ascii="仿宋" w:hAnsi="仿宋" w:eastAsia="仿宋"/>
          <w:sz w:val="28"/>
          <w:szCs w:val="28"/>
        </w:rPr>
      </w:pPr>
      <w:r>
        <w:rPr>
          <w:rFonts w:hint="eastAsia" w:ascii="仿宋" w:hAnsi="仿宋" w:eastAsia="仿宋"/>
          <w:sz w:val="28"/>
          <w:szCs w:val="28"/>
        </w:rPr>
        <w:t xml:space="preserve">投标供应商必须认真仔细研究招标文件所有内容，按招标文件规定的格式完整、清晰、正确地填写，编制好投标文件。</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投标的语言及计量单位</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1、投标供应商提交的投标文件以及投标供应商与江苏泰禾就有关投标的所有来往函电均应使用法定简体中文。</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2、除招标文件中另有规定外，投标文件所使用的计量单位，均须采用国家法定计量单位。</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投标函格式</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投标供应商须完整地填写招标文件中的投标函格式。</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投标资格、技术要求、设计要求和基本服务要求的响应</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1、投标文件必须对招标文件中的供应商投标资格要求逐项作出实质性响应；</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2、投标文件必须对招标文件中的技术要求逐项作出实质性响应；</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3、投标文件必须对招标文件中的设计要求逐项作出实质性响应；</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4、投标供应商的服务承诺必须按不低于招标文件中基本服务要求的标准作出实</w:t>
      </w:r>
      <w:r>
        <w:rPr>
          <w:rFonts w:hint="eastAsia" w:ascii="仿宋" w:hAnsi="仿宋" w:eastAsia="仿宋"/>
          <w:sz w:val="28"/>
          <w:szCs w:val="28"/>
        </w:rPr>
        <w:t xml:space="preserve">质性响应；</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5、未按招标文件要求作实质性响应的投标文件，原则上，经评标委员会确认后按无效投标处理。</w:t>
      </w:r>
      <w:r/>
    </w:p>
    <w:p>
      <w:pPr>
        <w:jc w:val="center"/>
        <w:spacing w:line="560" w:lineRule="exact"/>
        <w:rPr>
          <w:rFonts w:hint="eastAsia" w:ascii="仿宋" w:hAnsi="仿宋" w:eastAsia="仿宋"/>
          <w:sz w:val="28"/>
          <w:szCs w:val="28"/>
        </w:rPr>
      </w:pPr>
      <w:r>
        <w:rPr>
          <w:rFonts w:hint="eastAsia" w:ascii="仿宋" w:hAnsi="仿宋" w:eastAsia="仿宋"/>
          <w:sz w:val="28"/>
          <w:szCs w:val="28"/>
        </w:rPr>
        <w:t xml:space="preserve">五、投标截止时间、开标时间</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投标截止时间及地点</w:t>
      </w:r>
      <w:r/>
    </w:p>
    <w:p>
      <w:pPr>
        <w:ind w:firstLine="500"/>
        <w:jc w:val="left"/>
        <w:spacing w:line="560" w:lineRule="exact"/>
        <w:rPr>
          <w:rFonts w:hint="eastAsia" w:ascii="仿宋" w:hAnsi="仿宋" w:eastAsia="仿宋"/>
          <w:sz w:val="28"/>
          <w:szCs w:val="28"/>
        </w:rPr>
      </w:pPr>
      <w:r>
        <w:rPr>
          <w:rFonts w:hint="eastAsia" w:ascii="仿宋" w:hAnsi="仿宋" w:eastAsia="仿宋"/>
          <w:sz w:val="28"/>
          <w:szCs w:val="28"/>
        </w:rPr>
        <w:t xml:space="preserve">1、江苏泰禾收到投标文件的时间不得迟于“投标供应商须知前附表”中（第11页第5项）规定的投标文件递交截止时间，不接受邮寄、传真、电子邮件等方式的投标，超过投标截止时间递交的投标文件一律拒收。</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2、开标时间：2026年 </w:t>
      </w:r>
      <w:r>
        <w:rPr>
          <w:rFonts w:hint="eastAsia" w:ascii="仿宋" w:hAnsi="仿宋" w:eastAsia="仿宋"/>
          <w:sz w:val="28"/>
          <w:szCs w:val="28"/>
        </w:rPr>
        <w:t xml:space="preserve">7</w:t>
      </w:r>
      <w:r>
        <w:rPr>
          <w:rFonts w:hint="eastAsia" w:ascii="仿宋" w:hAnsi="仿宋" w:eastAsia="仿宋"/>
          <w:sz w:val="28"/>
          <w:szCs w:val="28"/>
        </w:rPr>
        <w:t xml:space="preserve"> 月</w:t>
      </w:r>
      <w:r>
        <w:rPr>
          <w:rFonts w:hint="eastAsia" w:ascii="仿宋" w:hAnsi="仿宋" w:eastAsia="仿宋"/>
          <w:sz w:val="28"/>
          <w:szCs w:val="28"/>
        </w:rPr>
        <w:t xml:space="preserve">16</w:t>
      </w:r>
      <w:r>
        <w:rPr>
          <w:rFonts w:hint="eastAsia" w:ascii="仿宋" w:hAnsi="仿宋" w:eastAsia="仿宋"/>
          <w:sz w:val="28"/>
          <w:szCs w:val="28"/>
        </w:rPr>
        <w:t xml:space="preserve"> 日09:30 (北京时间)。</w:t>
      </w:r>
      <w:r/>
    </w:p>
    <w:p>
      <w:pPr>
        <w:ind w:firstLine="518"/>
        <w:spacing w:line="560" w:lineRule="exact"/>
        <w:rPr>
          <w:rFonts w:hint="eastAsia" w:ascii="仿宋" w:hAnsi="仿宋" w:eastAsia="仿宋"/>
          <w:b/>
          <w:bCs/>
          <w:color w:val="ff0000"/>
          <w:sz w:val="28"/>
          <w:szCs w:val="28"/>
        </w:rPr>
      </w:pPr>
      <w:r>
        <w:rPr>
          <w:rFonts w:hint="eastAsia" w:ascii="仿宋" w:hAnsi="仿宋" w:eastAsia="仿宋"/>
          <w:sz w:val="28"/>
          <w:szCs w:val="28"/>
        </w:rPr>
        <w:t xml:space="preserve">3、投标、开标地点：</w:t>
      </w:r>
      <w:r>
        <w:rPr>
          <w:rFonts w:hint="eastAsia" w:ascii="仿宋" w:hAnsi="仿宋" w:eastAsia="仿宋"/>
          <w:b/>
          <w:bCs/>
          <w:color w:val="ff0000"/>
          <w:sz w:val="28"/>
          <w:szCs w:val="28"/>
        </w:rPr>
        <w:t xml:space="preserve">“苏采云”系统（网址：http://jszfcg.jsczt.cn/）“开标大厅”，点击“苏采云”进入系统“开标大厅”。</w:t>
      </w:r>
      <w:r/>
    </w:p>
    <w:p>
      <w:pPr>
        <w:ind w:firstLine="500"/>
        <w:jc w:val="left"/>
        <w:spacing w:line="560" w:lineRule="exact"/>
        <w:rPr>
          <w:rFonts w:hint="eastAsia" w:ascii="仿宋" w:hAnsi="仿宋" w:eastAsia="仿宋"/>
          <w:sz w:val="28"/>
          <w:szCs w:val="28"/>
        </w:rPr>
      </w:pPr>
      <w:r>
        <w:rPr>
          <w:rFonts w:hint="eastAsia" w:ascii="仿宋" w:hAnsi="仿宋" w:eastAsia="仿宋"/>
          <w:sz w:val="28"/>
          <w:szCs w:val="28"/>
        </w:rPr>
        <w:t xml:space="preserve">供应商在投标文件提交的截止时间前，可以对所提交的投标文件进行补充、修改或者撤回。补充、修改的内容作为投标文件的组成部分。补充、修改的内容与投标文件不一致的，以补充、修改的内容为准。在投标截止时间之后，投标供应商不得对其投标文件做任何修改。</w:t>
      </w:r>
      <w:r/>
    </w:p>
    <w:p>
      <w:pPr>
        <w:ind w:firstLine="500"/>
        <w:jc w:val="left"/>
        <w:spacing w:line="560" w:lineRule="exact"/>
        <w:rPr>
          <w:rFonts w:hint="eastAsia" w:ascii="仿宋" w:hAnsi="仿宋" w:eastAsia="仿宋"/>
          <w:sz w:val="28"/>
          <w:szCs w:val="28"/>
        </w:rPr>
      </w:pPr>
      <w:r>
        <w:rPr>
          <w:rFonts w:hint="eastAsia" w:ascii="仿宋" w:hAnsi="仿宋" w:eastAsia="仿宋"/>
          <w:sz w:val="28"/>
          <w:szCs w:val="28"/>
        </w:rPr>
        <w:t xml:space="preserve">4、不接受不按要求加盖公章（电子签章）的投标文件。电子签章相关要求见“苏采云”系统。</w:t>
      </w:r>
      <w:r/>
    </w:p>
    <w:p>
      <w:pPr>
        <w:ind w:firstLine="500"/>
        <w:jc w:val="left"/>
        <w:spacing w:line="560" w:lineRule="exact"/>
        <w:rPr>
          <w:rFonts w:hint="eastAsia" w:ascii="仿宋" w:hAnsi="仿宋" w:eastAsia="仿宋"/>
          <w:sz w:val="28"/>
          <w:szCs w:val="28"/>
        </w:rPr>
      </w:pPr>
      <w:r>
        <w:rPr>
          <w:rFonts w:hint="eastAsia" w:ascii="仿宋" w:hAnsi="仿宋" w:eastAsia="仿宋"/>
          <w:sz w:val="28"/>
          <w:szCs w:val="28"/>
        </w:rPr>
        <w:t xml:space="preserve">5、投标文件解密：到达开启时间，“苏采云”系统自动提取所有投标文件，供应商按采购文件规定方式按时在线解密。本项目采购文件规定的供应商按时在线解密方式：开启时间后30分钟内，通过“苏采云”系统（使用“CA数字证书”）解密。</w:t>
      </w:r>
      <w:r/>
    </w:p>
    <w:p>
      <w:pPr>
        <w:ind w:firstLine="500"/>
        <w:jc w:val="left"/>
        <w:spacing w:line="560" w:lineRule="exact"/>
        <w:rPr>
          <w:rFonts w:hint="eastAsia" w:ascii="仿宋" w:hAnsi="仿宋" w:eastAsia="仿宋"/>
          <w:sz w:val="28"/>
          <w:szCs w:val="28"/>
        </w:rPr>
      </w:pPr>
      <w:r>
        <w:rPr>
          <w:rFonts w:hint="eastAsia" w:ascii="仿宋" w:hAnsi="仿宋" w:eastAsia="仿宋"/>
          <w:sz w:val="28"/>
          <w:szCs w:val="28"/>
        </w:rPr>
        <w:t xml:space="preserve">6、采购文件（后缀名为“.kedt”）、供应商操作手册及政府采购客户端工具可通过“苏采云”系统（网址：http://jszfcg.jsczt.cn/）--已报名项目--报名详情页面内相应链接进行下载；供应商操作手册及政府采购客户端工具可通过泰州政府采购网—服务指南--下载中心，点击进入“苏采云系统操作手册（供应商）”，进行下</w:t>
      </w:r>
      <w:r>
        <w:rPr>
          <w:rFonts w:hint="eastAsia" w:ascii="仿宋" w:hAnsi="仿宋" w:eastAsia="仿宋"/>
          <w:sz w:val="28"/>
          <w:szCs w:val="28"/>
        </w:rPr>
        <w:t xml:space="preserve">载。</w:t>
      </w:r>
      <w:r/>
    </w:p>
    <w:p>
      <w:pPr>
        <w:ind w:firstLine="259"/>
        <w:jc w:val="left"/>
        <w:spacing w:line="560" w:lineRule="exact"/>
        <w:rPr>
          <w:rFonts w:hint="eastAsia" w:ascii="仿宋" w:hAnsi="仿宋" w:eastAsia="仿宋"/>
          <w:sz w:val="28"/>
          <w:szCs w:val="28"/>
        </w:rPr>
      </w:pPr>
      <w:r>
        <w:rPr>
          <w:rFonts w:ascii="仿宋" w:hAnsi="仿宋" w:eastAsia="仿宋"/>
          <w:sz w:val="28"/>
          <w:szCs w:val="28"/>
        </w:rPr>
        <w:t xml:space="preserve">7</w:t>
      </w:r>
      <w:r>
        <w:rPr>
          <w:rFonts w:hint="eastAsia" w:ascii="仿宋" w:hAnsi="仿宋" w:eastAsia="仿宋"/>
          <w:sz w:val="28"/>
          <w:szCs w:val="28"/>
        </w:rPr>
        <w:t xml:space="preserve">、相关说明: 供应商在“苏采云”系统中提交首次响应文件的时间即为数据电文（响应文件，下同）的发送时间和接收时间。</w:t>
      </w:r>
      <w:r/>
    </w:p>
    <w:p>
      <w:pPr>
        <w:ind w:firstLine="259"/>
        <w:spacing w:line="560" w:lineRule="exact"/>
        <w:rPr>
          <w:rFonts w:hint="eastAsia" w:ascii="仿宋" w:hAnsi="仿宋" w:eastAsia="仿宋"/>
          <w:sz w:val="28"/>
          <w:szCs w:val="28"/>
        </w:rPr>
      </w:pPr>
      <w:r>
        <w:rPr>
          <w:rFonts w:ascii="仿宋" w:hAnsi="仿宋" w:eastAsia="仿宋"/>
          <w:sz w:val="28"/>
          <w:szCs w:val="28"/>
        </w:rPr>
        <w:t xml:space="preserve">8</w:t>
      </w:r>
      <w:r>
        <w:rPr>
          <w:rFonts w:hint="eastAsia" w:ascii="仿宋" w:hAnsi="仿宋" w:eastAsia="仿宋"/>
          <w:sz w:val="28"/>
          <w:szCs w:val="28"/>
        </w:rPr>
        <w:t xml:space="preserve">、江苏泰禾可以通过修改招标文件决定酌情延长投标截止日期。在此情况下，招标文件取得者和投标供应商的所有权利和义务以及投标供应商受制的截止日期均应以延长后新的截止日期为准。</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投标有效期</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1、自开标之日起60日内为投标有效期。</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2、在特殊情况下，江苏泰禾有权在原投标有效期满前延长投标有效期，并及时在 </w:t>
      </w:r>
      <w:bookmarkStart w:id="23" w:name="_Hlk135833450"/>
      <w:r>
        <w:rPr>
          <w:rFonts w:hint="eastAsia" w:ascii="仿宋" w:hAnsi="仿宋" w:eastAsia="仿宋"/>
          <w:sz w:val="28"/>
          <w:szCs w:val="28"/>
        </w:rPr>
        <w:t xml:space="preserve">““江苏政府采购网”（</w:t>
      </w:r>
      <w:r>
        <w:rPr>
          <w:rFonts w:ascii="仿宋" w:hAnsi="仿宋" w:eastAsia="仿宋"/>
          <w:sz w:val="28"/>
          <w:szCs w:val="28"/>
        </w:rPr>
        <w:t xml:space="preserve">http://jszfcg.jsczt.cn/</w:t>
      </w:r>
      <w:r>
        <w:rPr>
          <w:rFonts w:hint="eastAsia" w:ascii="仿宋" w:hAnsi="仿宋" w:eastAsia="仿宋"/>
          <w:sz w:val="28"/>
          <w:szCs w:val="28"/>
        </w:rPr>
        <w:t xml:space="preserve">）</w:t>
      </w:r>
      <w:bookmarkEnd w:id="23"/>
      <w:r>
        <w:rPr>
          <w:rFonts w:hint="eastAsia" w:ascii="仿宋" w:hAnsi="仿宋" w:eastAsia="仿宋"/>
          <w:sz w:val="28"/>
          <w:szCs w:val="28"/>
        </w:rPr>
        <w:t xml:space="preserve">上公布。投标供应商可以拒绝延长投标有效期，且不被没收投标保证金。同意延长投标有效期的投标供应商既不能要求也不被允许修改其投标文件。有关投标保证金没收和退还的规定在延长期内继续有效。</w:t>
      </w:r>
      <w:r/>
    </w:p>
    <w:p>
      <w:pPr>
        <w:jc w:val="center"/>
        <w:spacing w:line="560" w:lineRule="exact"/>
        <w:rPr>
          <w:rFonts w:hint="eastAsia" w:ascii="仿宋" w:hAnsi="仿宋" w:eastAsia="仿宋"/>
          <w:sz w:val="28"/>
          <w:szCs w:val="28"/>
        </w:rPr>
      </w:pPr>
      <w:r>
        <w:rPr>
          <w:rFonts w:hint="eastAsia" w:ascii="仿宋" w:hAnsi="仿宋" w:eastAsia="仿宋"/>
          <w:sz w:val="28"/>
          <w:szCs w:val="28"/>
        </w:rPr>
        <w:t xml:space="preserve">六、开标、询标与评标</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开标</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1、江苏泰禾将在“投标供应商须知前附表”中（第11页第5项）规定的时间和地点组织开标。</w:t>
      </w:r>
      <w:r/>
    </w:p>
    <w:p>
      <w:pPr>
        <w:ind w:firstLine="518"/>
        <w:jc w:val="left"/>
        <w:spacing w:line="560" w:lineRule="exact"/>
        <w:rPr>
          <w:rFonts w:hint="eastAsia"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、供应商代表对开标过程和开标记录有疑义，以及认为采购人、江苏泰禾相关工作人员需要回避情形的，应当场提出询问或者回避申请。</w:t>
      </w:r>
      <w:r/>
    </w:p>
    <w:p>
      <w:pPr>
        <w:ind w:firstLine="518"/>
        <w:jc w:val="left"/>
        <w:spacing w:line="560" w:lineRule="exact"/>
        <w:rPr>
          <w:rFonts w:hint="eastAsia" w:ascii="仿宋" w:hAnsi="仿宋" w:eastAsia="仿宋"/>
          <w:sz w:val="28"/>
          <w:szCs w:val="28"/>
        </w:rPr>
      </w:pPr>
      <w:r>
        <w:rPr>
          <w:rFonts w:ascii="仿宋" w:hAnsi="仿宋" w:eastAsia="仿宋"/>
          <w:sz w:val="28"/>
          <w:szCs w:val="28"/>
        </w:rPr>
        <w:t xml:space="preserve">3</w:t>
      </w:r>
      <w:r>
        <w:rPr>
          <w:rFonts w:hint="eastAsia" w:ascii="仿宋" w:hAnsi="仿宋" w:eastAsia="仿宋"/>
          <w:sz w:val="28"/>
          <w:szCs w:val="28"/>
        </w:rPr>
        <w:t xml:space="preserve">、供应商未参加开标的，视同认可开标结果。</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评标委员会</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1、开标后,江苏泰禾将组织评标委员会进行评标;</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2、评标委员会由5人或以上单数组成,其中技术、经济专家不少于三分之二;</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3、评标委员会独立开展工作,负责评审所有的投标文件并推荐中标候选供应商;</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4、评标委员会将对投标供应商的商业秘密予以保密。</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评标过程的保密性</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1、开标后，直至向中标供应商授予合同时止，凡是与审查、澄清、评价和比较投标的有关资料以及定标建议等，均不得向投标供应商及与评标无关的其他人员透露。</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2、在评标过程中，如果投标供应商试图在投标文件审查、澄清、比较及授予合同等方面向江苏泰禾和参与评标的人员施加任何影响，都将会导致其投标被作为无效投标处理。</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投标文件的初审</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1、在详细评标之前，采购人、评标委员会将首先对投标文件的资格性、符合性进行审查，确定不合格投标供应商和进入详细评审阶段的供应商名单。其内容主要包括：①投标报价是否均超过采购预算 ②投标供应商的资格是否符合招标文件中的要求 ③投标供应商所投产品是否符合招标文件的要求 ④投标文件内容是否齐全 ⑤投标文件签署情况 ⑥对货物技术、服务、交货时间的响应情况。</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2、存在重大偏离的投标文件为无效投标。所谓重大偏离是指明显不能满足招标文件规定的供货期、供货数量、质量、性能及技术参数、服务等要求。不能满足招标文件要求重大偏离的认定须经评标委员2/3以上同意。评标委员会认定投标文件的响应性只根据投标文件本身的内容，而不寻求外部的证据。对非实质性响应的投标文件，供应商不能通过修正或撤消不符之处，而使其成为实质性响应文件。</w:t>
      </w:r>
      <w:r/>
    </w:p>
    <w:p>
      <w:r/>
      <w:r/>
    </w:p>
    <w:p>
      <w:pPr>
        <w:spacing w:after="144" w:line="34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资格性审查资料表如下：</w:t>
      </w:r>
      <w:r/>
    </w:p>
    <w:tbl>
      <w:tblPr>
        <w:tblW w:w="0" w:type="auto"/>
        <w:tblInd w:w="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40"/>
        <w:gridCol w:w="3943"/>
        <w:gridCol w:w="5062"/>
      </w:tblGrid>
      <w:tr>
        <w:trPr>
          <w:trHeight w:val="503"/>
        </w:trPr>
        <w:tc>
          <w:tcPr>
            <w:tcW w:w="840" w:type="dxa"/>
            <w:vAlign w:val="center"/>
            <w:textDirection w:val="lrTb"/>
            <w:noWrap w:val="false"/>
          </w:tcPr>
          <w:p>
            <w:pPr>
              <w:spacing w:line="52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序号</w:t>
            </w:r>
            <w:r/>
          </w:p>
        </w:tc>
        <w:tc>
          <w:tcPr>
            <w:tcW w:w="3943" w:type="dxa"/>
            <w:vAlign w:val="center"/>
            <w:textDirection w:val="lrTb"/>
            <w:noWrap w:val="false"/>
          </w:tcPr>
          <w:p>
            <w:pPr>
              <w:jc w:val="center"/>
              <w:spacing w:line="52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检查因素</w:t>
            </w:r>
            <w:r/>
          </w:p>
        </w:tc>
        <w:tc>
          <w:tcPr>
            <w:tcW w:w="5062" w:type="dxa"/>
            <w:vAlign w:val="center"/>
            <w:textDirection w:val="lrTb"/>
            <w:noWrap w:val="false"/>
          </w:tcPr>
          <w:p>
            <w:pPr>
              <w:ind w:right="560"/>
              <w:jc w:val="center"/>
              <w:spacing w:line="52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检查内容</w:t>
            </w:r>
            <w:r/>
          </w:p>
        </w:tc>
      </w:tr>
      <w:tr>
        <w:trPr>
          <w:trHeight w:val="374"/>
        </w:trPr>
        <w:tc>
          <w:tcPr>
            <w:tcW w:w="840" w:type="dxa"/>
            <w:vAlign w:val="center"/>
            <w:textDirection w:val="lrTb"/>
            <w:noWrap w:val="false"/>
          </w:tcPr>
          <w:p>
            <w:pPr>
              <w:jc w:val="cente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1</w:t>
            </w:r>
            <w:r/>
          </w:p>
        </w:tc>
        <w:tc>
          <w:tcPr>
            <w:tcW w:w="3943" w:type="dxa"/>
            <w:vAlign w:val="center"/>
            <w:textDirection w:val="lrTb"/>
            <w:noWrap w:val="false"/>
          </w:tcPr>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供应商应符合的基本资格条件</w:t>
            </w:r>
            <w:r/>
          </w:p>
        </w:tc>
        <w:tc>
          <w:tcPr>
            <w:tcW w:w="5062" w:type="dxa"/>
            <w:vAlign w:val="center"/>
            <w:textDirection w:val="lrTb"/>
            <w:noWrap w:val="false"/>
          </w:tcPr>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1、供应商合法有效的法人的营业执照扫描件，或事业单位法人证书扫描件，或民办非企业单位登记证书扫描件；</w:t>
            </w:r>
            <w:r/>
          </w:p>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2、近六个月中任意一个月的财务状况报告</w:t>
            </w:r>
            <w:r>
              <w:rPr>
                <w:rFonts w:hint="eastAsia" w:ascii="仿宋" w:hAnsi="仿宋" w:eastAsia="仿宋"/>
                <w:sz w:val="28"/>
                <w:szCs w:val="28"/>
              </w:rPr>
              <w:t xml:space="preserve">（资产负债表和利润表）原件扫描件，或经会计师事务所出具的近两年中任意一个年度的审计报告原件扫描件，或本年度基本开户银行出具的资信证明原件扫描件（成立不满一年不需提供）；</w:t>
            </w:r>
            <w:r/>
          </w:p>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3、近六个月中任意一个月缴纳税收和社会保险的凭据原件扫描件（依法免税或不需要缴纳社会保障资金的，提供相应证明文件原件扫描件）；</w:t>
            </w:r>
            <w:r/>
          </w:p>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4、法定代表人身份证明</w:t>
            </w:r>
            <w:r/>
          </w:p>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5、参加本项目采购活动前三年内无重大违法记录声明(见投标文件格式附件六)；</w:t>
            </w:r>
            <w:r/>
          </w:p>
          <w:p>
            <w:pPr>
              <w:jc w:val="left"/>
              <w:spacing w:line="400" w:lineRule="exact"/>
              <w:rPr>
                <w:rFonts w:hint="eastAsia" w:ascii="仿宋" w:hAnsi="仿宋" w:eastAsia="仿宋"/>
                <w:sz w:val="28"/>
                <w:szCs w:val="28"/>
              </w:rPr>
            </w:pPr>
            <w:r>
              <w:rPr>
                <w:rFonts w:hint="eastAsia" w:ascii="仿宋" w:hAnsi="仿宋" w:eastAsia="仿宋"/>
                <w:sz w:val="28"/>
                <w:szCs w:val="28"/>
              </w:rPr>
              <w:t xml:space="preserve">6、未被列入失信被执行人、重大税收违法案件当事人名单、政府采购严重失信行为记录名单：</w:t>
            </w:r>
            <w:r/>
          </w:p>
          <w:p>
            <w:pPr>
              <w:jc w:val="left"/>
              <w:spacing w:line="400" w:lineRule="exact"/>
              <w:rPr>
                <w:rFonts w:hint="eastAsia" w:ascii="仿宋" w:hAnsi="仿宋" w:eastAsia="仿宋"/>
                <w:sz w:val="28"/>
                <w:szCs w:val="28"/>
              </w:rPr>
            </w:pPr>
            <w:r>
              <w:rPr>
                <w:rFonts w:hint="eastAsia" w:ascii="仿宋" w:hAnsi="仿宋" w:eastAsia="仿宋"/>
                <w:sz w:val="28"/>
                <w:szCs w:val="28"/>
              </w:rPr>
              <w:t xml:space="preserve">（1）信用查询渠道：“信用中国”网站（</w:t>
            </w:r>
            <w:hyperlink r:id="rId26" w:tooltip="http://www.creditchina.gov.cn" w:history="1">
              <w:r>
                <w:rPr>
                  <w:rFonts w:hint="eastAsia" w:ascii="仿宋" w:hAnsi="仿宋" w:eastAsia="仿宋"/>
                </w:rPr>
                <w:t xml:space="preserve">www.creditchina.gov.cn</w:t>
              </w:r>
            </w:hyperlink>
            <w:r>
              <w:rPr>
                <w:rFonts w:hint="eastAsia" w:ascii="仿宋" w:hAnsi="仿宋" w:eastAsia="仿宋"/>
                <w:sz w:val="28"/>
                <w:szCs w:val="28"/>
              </w:rPr>
              <w:t xml:space="preserve">）；</w:t>
            </w:r>
            <w:r/>
          </w:p>
          <w:p>
            <w:pPr>
              <w:jc w:val="left"/>
              <w:spacing w:line="400" w:lineRule="exact"/>
              <w:rPr>
                <w:rFonts w:hint="eastAsia" w:ascii="仿宋" w:hAnsi="仿宋" w:eastAsia="仿宋"/>
                <w:sz w:val="28"/>
                <w:szCs w:val="28"/>
              </w:rPr>
            </w:pPr>
            <w:r>
              <w:rPr>
                <w:rFonts w:hint="eastAsia" w:ascii="仿宋" w:hAnsi="仿宋" w:eastAsia="仿宋"/>
                <w:sz w:val="28"/>
                <w:szCs w:val="28"/>
              </w:rPr>
              <w:t xml:space="preserve">（2）查询截止时点：开标结束后，采购代理机构进行资格审查时；</w:t>
            </w:r>
            <w:r/>
          </w:p>
          <w:p>
            <w:pPr>
              <w:jc w:val="left"/>
              <w:spacing w:line="400" w:lineRule="exact"/>
              <w:rPr>
                <w:rFonts w:hint="eastAsia" w:ascii="仿宋" w:hAnsi="仿宋" w:eastAsia="仿宋"/>
                <w:sz w:val="28"/>
                <w:szCs w:val="28"/>
              </w:rPr>
            </w:pPr>
            <w:r>
              <w:rPr>
                <w:rFonts w:hint="eastAsia" w:ascii="仿宋" w:hAnsi="仿宋" w:eastAsia="仿宋"/>
                <w:sz w:val="28"/>
                <w:szCs w:val="28"/>
              </w:rPr>
              <w:t xml:space="preserve">（3）信用信息查询记录和证据留存的具体方式：采购代理机构通过信用查询渠道查询打印，经供应商法定代表人或其授权代表签字确认，作为投标文件的组成部分；</w:t>
            </w:r>
            <w:r/>
          </w:p>
          <w:p>
            <w:pPr>
              <w:jc w:val="left"/>
              <w:spacing w:line="400" w:lineRule="exact"/>
              <w:rPr>
                <w:rFonts w:hint="eastAsia" w:ascii="仿宋" w:hAnsi="仿宋" w:eastAsia="仿宋"/>
                <w:sz w:val="28"/>
                <w:szCs w:val="28"/>
              </w:rPr>
            </w:pPr>
            <w:r>
              <w:rPr>
                <w:rFonts w:hint="eastAsia" w:ascii="仿宋" w:hAnsi="仿宋" w:eastAsia="仿宋"/>
                <w:sz w:val="28"/>
                <w:szCs w:val="28"/>
              </w:rPr>
              <w:t xml:space="preserve">（4）信息信用的使用规则：仅用于参加本项目政府采购活动。</w:t>
            </w:r>
            <w:r/>
          </w:p>
        </w:tc>
      </w:tr>
      <w:tr>
        <w:trPr>
          <w:trHeight w:val="808"/>
        </w:trPr>
        <w:tc>
          <w:tcPr>
            <w:tcW w:w="840" w:type="dxa"/>
            <w:vAlign w:val="center"/>
            <w:textDirection w:val="lrTb"/>
            <w:noWrap w:val="false"/>
          </w:tcPr>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2</w:t>
            </w:r>
            <w:r/>
          </w:p>
        </w:tc>
        <w:tc>
          <w:tcPr>
            <w:tcW w:w="3943" w:type="dxa"/>
            <w:vAlign w:val="center"/>
            <w:textDirection w:val="lrTb"/>
            <w:noWrap w:val="false"/>
          </w:tcPr>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供应商须符合的特定资格条件</w:t>
            </w:r>
            <w:r/>
          </w:p>
        </w:tc>
        <w:tc>
          <w:tcPr>
            <w:tcW w:w="5062" w:type="dxa"/>
            <w:vAlign w:val="center"/>
            <w:textDirection w:val="lrTb"/>
            <w:noWrap w:val="false"/>
          </w:tcPr>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无，本项目不接受供应商以联合体的身份参与，本项目采用资格后审方式。</w:t>
            </w:r>
            <w:r/>
          </w:p>
        </w:tc>
      </w:tr>
    </w:tbl>
    <w:p>
      <w:pPr>
        <w:ind w:firstLine="119"/>
        <w:spacing w:before="144" w:after="144"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符合性审查资料表如下：</w:t>
      </w:r>
      <w:r/>
    </w:p>
    <w:tbl>
      <w:tblPr>
        <w:tblW w:w="0" w:type="auto"/>
        <w:tblInd w:w="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40"/>
        <w:gridCol w:w="1680"/>
        <w:gridCol w:w="2310"/>
        <w:gridCol w:w="5015"/>
      </w:tblGrid>
      <w:tr>
        <w:trPr>
          <w:trHeight w:val="477"/>
        </w:trPr>
        <w:tc>
          <w:tcPr>
            <w:tcW w:w="840" w:type="dxa"/>
            <w:vAlign w:val="center"/>
            <w:textDirection w:val="lrTb"/>
            <w:noWrap w:val="false"/>
          </w:tcPr>
          <w:p>
            <w:pPr>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序号</w:t>
            </w:r>
            <w:r/>
          </w:p>
        </w:tc>
        <w:tc>
          <w:tcPr>
            <w:gridSpan w:val="2"/>
            <w:tcW w:w="3990" w:type="dxa"/>
            <w:vAlign w:val="center"/>
            <w:textDirection w:val="lrTb"/>
            <w:noWrap w:val="false"/>
          </w:tcPr>
          <w:p>
            <w:pPr>
              <w:jc w:val="cente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评审因素</w:t>
            </w:r>
            <w:r/>
          </w:p>
        </w:tc>
        <w:tc>
          <w:tcPr>
            <w:tcW w:w="5015" w:type="dxa"/>
            <w:vAlign w:val="center"/>
            <w:textDirection w:val="lrTb"/>
            <w:noWrap w:val="false"/>
          </w:tcPr>
          <w:p>
            <w:pPr>
              <w:jc w:val="cente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评审标准</w:t>
            </w:r>
            <w:r/>
          </w:p>
        </w:tc>
      </w:tr>
      <w:tr>
        <w:trPr>
          <w:trHeight w:val="853"/>
        </w:trPr>
        <w:tc>
          <w:tcPr>
            <w:tcW w:w="840" w:type="dxa"/>
            <w:vAlign w:val="center"/>
            <w:vMerge w:val="restart"/>
            <w:textDirection w:val="lrTb"/>
            <w:noWrap w:val="false"/>
          </w:tcPr>
          <w:p>
            <w:pPr>
              <w:jc w:val="cente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1</w:t>
            </w:r>
            <w:r/>
          </w:p>
        </w:tc>
        <w:tc>
          <w:tcPr>
            <w:tcW w:w="1680" w:type="dxa"/>
            <w:vAlign w:val="center"/>
            <w:vMerge w:val="restart"/>
            <w:textDirection w:val="lrTb"/>
            <w:noWrap w:val="false"/>
          </w:tcPr>
          <w:p>
            <w:pPr>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有效性审查</w:t>
            </w:r>
            <w:r/>
          </w:p>
        </w:tc>
        <w:tc>
          <w:tcPr>
            <w:tcW w:w="2310" w:type="dxa"/>
            <w:vAlign w:val="center"/>
            <w:textDirection w:val="lrTb"/>
            <w:noWrap w:val="false"/>
          </w:tcPr>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投标文件签署</w:t>
            </w:r>
            <w:r/>
          </w:p>
        </w:tc>
        <w:tc>
          <w:tcPr>
            <w:tcW w:w="5015" w:type="dxa"/>
            <w:vAlign w:val="center"/>
            <w:textDirection w:val="lrTb"/>
            <w:noWrap w:val="false"/>
          </w:tcPr>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投标文件上法定代表人或其授权代表人的签字齐全 </w:t>
            </w:r>
            <w:r/>
          </w:p>
        </w:tc>
      </w:tr>
      <w:tr>
        <w:trPr>
          <w:trHeight w:val="538"/>
        </w:trPr>
        <w:tc>
          <w:tcPr>
            <w:tcW w:w="840" w:type="dxa"/>
            <w:vAlign w:val="center"/>
            <w:vMerge w:val="continue"/>
            <w:textDirection w:val="lrTb"/>
            <w:noWrap w:val="false"/>
          </w:tcPr>
          <w:p>
            <w:pPr>
              <w:ind w:firstLine="578"/>
              <w:jc w:val="cente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r>
            <w:r/>
          </w:p>
        </w:tc>
        <w:tc>
          <w:tcPr>
            <w:tcW w:w="1680" w:type="dxa"/>
            <w:vAlign w:val="center"/>
            <w:vMerge w:val="continue"/>
            <w:textDirection w:val="lrTb"/>
            <w:noWrap w:val="false"/>
          </w:tcPr>
          <w:p>
            <w:pPr>
              <w:ind w:firstLine="578"/>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r>
            <w:r/>
          </w:p>
        </w:tc>
        <w:tc>
          <w:tcPr>
            <w:tcW w:w="2310" w:type="dxa"/>
            <w:vAlign w:val="center"/>
            <w:textDirection w:val="lrTb"/>
            <w:noWrap w:val="false"/>
          </w:tcPr>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投标方案</w:t>
            </w:r>
            <w:r/>
          </w:p>
        </w:tc>
        <w:tc>
          <w:tcPr>
            <w:tcW w:w="5015" w:type="dxa"/>
            <w:vAlign w:val="center"/>
            <w:textDirection w:val="lrTb"/>
            <w:noWrap w:val="false"/>
          </w:tcPr>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只能有一个方案投标</w:t>
            </w:r>
            <w:r/>
          </w:p>
        </w:tc>
      </w:tr>
      <w:tr>
        <w:trPr>
          <w:trHeight w:val="1425"/>
        </w:trPr>
        <w:tc>
          <w:tcPr>
            <w:tcW w:w="840" w:type="dxa"/>
            <w:vAlign w:val="center"/>
            <w:vMerge w:val="continue"/>
            <w:textDirection w:val="lrTb"/>
            <w:noWrap w:val="false"/>
          </w:tcPr>
          <w:p>
            <w:pPr>
              <w:ind w:firstLine="578"/>
              <w:jc w:val="cente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r>
            <w:r/>
          </w:p>
        </w:tc>
        <w:tc>
          <w:tcPr>
            <w:tcW w:w="1680" w:type="dxa"/>
            <w:vAlign w:val="center"/>
            <w:vMerge w:val="continue"/>
            <w:textDirection w:val="lrTb"/>
            <w:noWrap w:val="false"/>
          </w:tcPr>
          <w:p>
            <w:pPr>
              <w:ind w:firstLine="578"/>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r>
            <w:r/>
          </w:p>
        </w:tc>
        <w:tc>
          <w:tcPr>
            <w:tcW w:w="2310" w:type="dxa"/>
            <w:vAlign w:val="center"/>
            <w:textDirection w:val="lrTb"/>
            <w:noWrap w:val="false"/>
          </w:tcPr>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报价唯一</w:t>
            </w:r>
            <w:r/>
          </w:p>
        </w:tc>
        <w:tc>
          <w:tcPr>
            <w:tcW w:w="5015" w:type="dxa"/>
            <w:vAlign w:val="center"/>
            <w:textDirection w:val="lrTb"/>
            <w:noWrap w:val="false"/>
          </w:tcPr>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只能在采购预算内报价，只能有一个有效报价，不得提交选择性报价</w:t>
            </w:r>
            <w:r/>
          </w:p>
        </w:tc>
      </w:tr>
      <w:tr>
        <w:trPr>
          <w:trHeight w:val="465"/>
        </w:trPr>
        <w:tc>
          <w:tcPr>
            <w:tcW w:w="840" w:type="dxa"/>
            <w:vAlign w:val="center"/>
            <w:vMerge w:val="restart"/>
            <w:textDirection w:val="lrTb"/>
            <w:noWrap w:val="false"/>
          </w:tcPr>
          <w:p>
            <w:pPr>
              <w:jc w:val="cente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2</w:t>
            </w:r>
            <w:r/>
          </w:p>
        </w:tc>
        <w:tc>
          <w:tcPr>
            <w:tcW w:w="1680" w:type="dxa"/>
            <w:vAlign w:val="center"/>
            <w:vMerge w:val="restart"/>
            <w:textDirection w:val="lrTb"/>
            <w:noWrap w:val="false"/>
          </w:tcPr>
          <w:p>
            <w:pPr>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完整性审查</w:t>
            </w:r>
            <w:r/>
          </w:p>
        </w:tc>
        <w:tc>
          <w:tcPr>
            <w:tcW w:w="2310" w:type="dxa"/>
            <w:vAlign w:val="center"/>
            <w:textDirection w:val="lrTb"/>
            <w:noWrap w:val="false"/>
          </w:tcPr>
          <w:p>
            <w:pPr>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投标文件份数</w:t>
            </w:r>
            <w:r/>
          </w:p>
        </w:tc>
        <w:tc>
          <w:tcPr>
            <w:tcW w:w="5015" w:type="dxa"/>
            <w:vAlign w:val="center"/>
            <w:textDirection w:val="lrTb"/>
            <w:noWrap w:val="false"/>
          </w:tcPr>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投标文件正本、副本数量符合招标文件要求</w:t>
            </w:r>
            <w:r/>
          </w:p>
        </w:tc>
      </w:tr>
      <w:tr>
        <w:trPr>
          <w:trHeight w:val="543"/>
        </w:trPr>
        <w:tc>
          <w:tcPr>
            <w:tcW w:w="840" w:type="dxa"/>
            <w:vAlign w:val="center"/>
            <w:vMerge w:val="continue"/>
            <w:textDirection w:val="lrTb"/>
            <w:noWrap w:val="false"/>
          </w:tcPr>
          <w:p>
            <w:pPr>
              <w:ind w:firstLine="578"/>
              <w:jc w:val="cente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r>
            <w:r/>
          </w:p>
        </w:tc>
        <w:tc>
          <w:tcPr>
            <w:tcW w:w="1680" w:type="dxa"/>
            <w:vAlign w:val="center"/>
            <w:vMerge w:val="continue"/>
            <w:textDirection w:val="lrTb"/>
            <w:noWrap w:val="false"/>
          </w:tcPr>
          <w:p>
            <w:pPr>
              <w:ind w:firstLine="578"/>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r>
            <w:r/>
          </w:p>
        </w:tc>
        <w:tc>
          <w:tcPr>
            <w:tcW w:w="2310" w:type="dxa"/>
            <w:vAlign w:val="center"/>
            <w:textDirection w:val="lrTb"/>
            <w:noWrap w:val="false"/>
          </w:tcPr>
          <w:p>
            <w:pPr>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投标文件内容</w:t>
            </w:r>
            <w:r/>
          </w:p>
        </w:tc>
        <w:tc>
          <w:tcPr>
            <w:tcW w:w="5015" w:type="dxa"/>
            <w:vAlign w:val="center"/>
            <w:textDirection w:val="lrTb"/>
            <w:noWrap w:val="false"/>
          </w:tcPr>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投标文件内容齐全、无遗漏</w:t>
            </w:r>
            <w:r/>
          </w:p>
        </w:tc>
      </w:tr>
      <w:tr>
        <w:trPr>
          <w:trHeight w:val="848"/>
        </w:trPr>
        <w:tc>
          <w:tcPr>
            <w:tcW w:w="840" w:type="dxa"/>
            <w:vAlign w:val="center"/>
            <w:vMerge w:val="restart"/>
            <w:textDirection w:val="lrTb"/>
            <w:noWrap w:val="false"/>
          </w:tcPr>
          <w:p>
            <w:pPr>
              <w:jc w:val="cente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3</w:t>
            </w:r>
            <w:r/>
          </w:p>
        </w:tc>
        <w:tc>
          <w:tcPr>
            <w:tcW w:w="1680" w:type="dxa"/>
            <w:vAlign w:val="center"/>
            <w:vMerge w:val="restart"/>
            <w:textDirection w:val="lrTb"/>
            <w:noWrap w:val="false"/>
          </w:tcPr>
          <w:p>
            <w:pPr>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招标文件的响应程度审查</w:t>
            </w:r>
            <w:r/>
          </w:p>
        </w:tc>
        <w:tc>
          <w:tcPr>
            <w:tcW w:w="2310" w:type="dxa"/>
            <w:vAlign w:val="center"/>
            <w:textDirection w:val="lrTb"/>
            <w:noWrap w:val="false"/>
          </w:tcPr>
          <w:p>
            <w:pPr>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质量、性能、技术参数及服务等</w:t>
            </w:r>
            <w:r/>
          </w:p>
        </w:tc>
        <w:tc>
          <w:tcPr>
            <w:tcW w:w="5015" w:type="dxa"/>
            <w:vAlign w:val="center"/>
            <w:textDirection w:val="lrTb"/>
            <w:noWrap w:val="false"/>
          </w:tcPr>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满足招标文件提出的实质性要求</w:t>
            </w:r>
            <w:r/>
          </w:p>
        </w:tc>
      </w:tr>
      <w:tr>
        <w:trPr>
          <w:trHeight w:val="807"/>
        </w:trPr>
        <w:tc>
          <w:tcPr>
            <w:tcW w:w="840" w:type="dxa"/>
            <w:vAlign w:val="center"/>
            <w:vMerge w:val="continue"/>
            <w:textDirection w:val="lrTb"/>
            <w:noWrap w:val="false"/>
          </w:tcPr>
          <w:p>
            <w:pPr>
              <w:ind w:firstLine="578"/>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r>
            <w:r/>
          </w:p>
        </w:tc>
        <w:tc>
          <w:tcPr>
            <w:tcW w:w="1680" w:type="dxa"/>
            <w:vAlign w:val="center"/>
            <w:vMerge w:val="continue"/>
            <w:textDirection w:val="lrTb"/>
            <w:noWrap w:val="false"/>
          </w:tcPr>
          <w:p>
            <w:pPr>
              <w:ind w:firstLine="578"/>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r>
            <w:r/>
          </w:p>
        </w:tc>
        <w:tc>
          <w:tcPr>
            <w:tcW w:w="2310" w:type="dxa"/>
            <w:vAlign w:val="center"/>
            <w:textDirection w:val="lrTb"/>
            <w:noWrap w:val="false"/>
          </w:tcPr>
          <w:p>
            <w:pPr>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完成期限</w:t>
            </w:r>
            <w:r/>
          </w:p>
        </w:tc>
        <w:tc>
          <w:tcPr>
            <w:tcW w:w="5015" w:type="dxa"/>
            <w:vAlign w:val="center"/>
            <w:textDirection w:val="lrTb"/>
            <w:noWrap w:val="false"/>
          </w:tcPr>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满足招标文件要求</w:t>
            </w:r>
            <w:r/>
          </w:p>
        </w:tc>
      </w:tr>
      <w:tr>
        <w:trPr>
          <w:trHeight w:val="558"/>
        </w:trPr>
        <w:tc>
          <w:tcPr>
            <w:tcW w:w="840" w:type="dxa"/>
            <w:vAlign w:val="center"/>
            <w:vMerge w:val="continue"/>
            <w:textDirection w:val="lrTb"/>
            <w:noWrap w:val="false"/>
          </w:tcPr>
          <w:p>
            <w:pPr>
              <w:ind w:firstLine="578"/>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r>
            <w:r/>
          </w:p>
        </w:tc>
        <w:tc>
          <w:tcPr>
            <w:tcW w:w="1680" w:type="dxa"/>
            <w:vAlign w:val="center"/>
            <w:vMerge w:val="continue"/>
            <w:textDirection w:val="lrTb"/>
            <w:noWrap w:val="false"/>
          </w:tcPr>
          <w:p>
            <w:pPr>
              <w:ind w:firstLine="578"/>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r>
            <w:r/>
          </w:p>
        </w:tc>
        <w:tc>
          <w:tcPr>
            <w:tcW w:w="2310" w:type="dxa"/>
            <w:vAlign w:val="center"/>
            <w:textDirection w:val="lrTb"/>
            <w:noWrap w:val="false"/>
          </w:tcPr>
          <w:p>
            <w:pPr>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质保、售后服务、培训计划等</w:t>
            </w:r>
            <w:r/>
          </w:p>
        </w:tc>
        <w:tc>
          <w:tcPr>
            <w:tcW w:w="5015" w:type="dxa"/>
            <w:vAlign w:val="center"/>
            <w:textDirection w:val="lrTb"/>
            <w:noWrap w:val="false"/>
          </w:tcPr>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满足招标文件要求</w:t>
            </w:r>
            <w:r/>
          </w:p>
        </w:tc>
      </w:tr>
      <w:tr>
        <w:trPr>
          <w:trHeight w:val="944"/>
        </w:trPr>
        <w:tc>
          <w:tcPr>
            <w:tcW w:w="840" w:type="dxa"/>
            <w:vAlign w:val="center"/>
            <w:vMerge w:val="continue"/>
            <w:textDirection w:val="lrTb"/>
            <w:noWrap w:val="false"/>
          </w:tcPr>
          <w:p>
            <w:pPr>
              <w:ind w:firstLine="578"/>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r>
            <w:r/>
          </w:p>
        </w:tc>
        <w:tc>
          <w:tcPr>
            <w:tcW w:w="1680" w:type="dxa"/>
            <w:vAlign w:val="center"/>
            <w:vMerge w:val="continue"/>
            <w:textDirection w:val="lrTb"/>
            <w:noWrap w:val="false"/>
          </w:tcPr>
          <w:p>
            <w:pPr>
              <w:ind w:firstLine="578"/>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r>
            <w:r/>
          </w:p>
        </w:tc>
        <w:tc>
          <w:tcPr>
            <w:tcW w:w="2310" w:type="dxa"/>
            <w:vAlign w:val="center"/>
            <w:textDirection w:val="lrTb"/>
            <w:noWrap w:val="false"/>
          </w:tcPr>
          <w:p>
            <w:pPr>
              <w:jc w:val="left"/>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其 他</w:t>
            </w:r>
            <w:r/>
          </w:p>
        </w:tc>
        <w:tc>
          <w:tcPr>
            <w:tcW w:w="5015" w:type="dxa"/>
            <w:vAlign w:val="center"/>
            <w:textDirection w:val="lrTb"/>
            <w:noWrap w:val="false"/>
          </w:tcPr>
          <w:p>
            <w:pPr>
              <w:spacing w:line="400" w:lineRule="exact"/>
              <w:tabs>
                <w:tab w:val="left" w:pos="-1980" w:leader="none"/>
                <w:tab w:val="left" w:pos="360" w:leader="none"/>
              </w:tabs>
              <w:rPr>
                <w:rFonts w:hint="eastAsia" w:ascii="仿宋" w:hAnsi="仿宋" w:eastAsia="仿宋"/>
                <w:sz w:val="28"/>
                <w:szCs w:val="28"/>
              </w:rPr>
            </w:pPr>
            <w:r>
              <w:rPr>
                <w:rFonts w:hint="eastAsia" w:ascii="仿宋" w:hAnsi="仿宋" w:eastAsia="仿宋"/>
                <w:sz w:val="28"/>
                <w:szCs w:val="28"/>
              </w:rPr>
              <w:t xml:space="preserve">见招标文件无效投标条款及招标文件中规定的被视为无效投标的其它条款的</w:t>
            </w:r>
            <w:r/>
          </w:p>
        </w:tc>
      </w:tr>
    </w:tbl>
    <w:p>
      <w:pPr>
        <w:ind w:firstLine="635"/>
        <w:jc w:val="left"/>
        <w:spacing w:before="144" w:line="560" w:lineRule="exact"/>
        <w:rPr>
          <w:rFonts w:hint="eastAsia" w:ascii="仿宋" w:hAnsi="仿宋" w:eastAsia="仿宋"/>
          <w:sz w:val="28"/>
          <w:szCs w:val="28"/>
        </w:rPr>
      </w:pPr>
      <w:r>
        <w:rPr>
          <w:rFonts w:hint="eastAsia" w:ascii="仿宋" w:hAnsi="仿宋" w:eastAsia="仿宋"/>
          <w:sz w:val="28"/>
          <w:szCs w:val="28"/>
        </w:rPr>
        <w:t xml:space="preserve">3、如果投标文件出现下列情况之一视为无效投标:</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）投标文件中授权委托书无供应商法定代表人的印鉴(或签字)或非原件的；</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（2）资信证明文件不全或无效导致评标委员会无法评判的，或者不符合招标文件标明的资格要求的；</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（3）投标文件未按规定的数量、格式、内容和要求编制或投标文件字迹潦草、模糊、无法辩认的；</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（4）投标文件报价高于采购预算或者最高限价的；</w:t>
      </w:r>
      <w:r/>
    </w:p>
    <w:p>
      <w:pPr>
        <w:pStyle w:val="1192"/>
        <w:ind w:firstLine="518"/>
        <w:spacing w:line="560" w:lineRule="exact"/>
        <w:rPr>
          <w:rFonts w:hint="eastAsia" w:ascii="仿宋" w:hAnsi="仿宋" w:eastAsia="仿宋"/>
          <w:b w:val="0"/>
          <w:bCs w:val="0"/>
          <w:color w:val="auto"/>
          <w:sz w:val="28"/>
          <w:szCs w:val="28"/>
          <w:u w:val="none"/>
        </w:rPr>
      </w:pPr>
      <w:r>
        <w:rPr>
          <w:rFonts w:hint="eastAsia" w:ascii="仿宋" w:hAnsi="仿宋" w:eastAsia="仿宋"/>
          <w:b w:val="0"/>
          <w:bCs w:val="0"/>
          <w:color w:val="auto"/>
          <w:sz w:val="28"/>
          <w:szCs w:val="28"/>
          <w:u w:val="none"/>
        </w:rPr>
        <w:t xml:space="preserve">（5）对招标文件未能作出全部实质性响应或对招标文件进行实质性修改的；</w:t>
      </w:r>
      <w:r/>
    </w:p>
    <w:p>
      <w:pPr>
        <w:pStyle w:val="1192"/>
        <w:ind w:firstLine="518"/>
        <w:spacing w:line="560" w:lineRule="exact"/>
        <w:rPr>
          <w:rFonts w:hint="eastAsia" w:ascii="仿宋" w:hAnsi="仿宋" w:eastAsia="仿宋"/>
          <w:b w:val="0"/>
          <w:bCs w:val="0"/>
          <w:color w:val="auto"/>
          <w:sz w:val="28"/>
          <w:szCs w:val="28"/>
          <w:u w:val="none"/>
        </w:rPr>
      </w:pPr>
      <w:r>
        <w:rPr>
          <w:rFonts w:hint="eastAsia" w:ascii="仿宋" w:hAnsi="仿宋" w:eastAsia="仿宋"/>
          <w:b w:val="0"/>
          <w:bCs w:val="0"/>
          <w:color w:val="auto"/>
          <w:sz w:val="28"/>
          <w:szCs w:val="28"/>
          <w:u w:val="none"/>
        </w:rPr>
        <w:t xml:space="preserve">（6）投标文件含有采购人不能接受的附加条件的；</w:t>
      </w:r>
      <w:r/>
    </w:p>
    <w:p>
      <w:pPr>
        <w:pStyle w:val="1192"/>
        <w:ind w:firstLine="518"/>
        <w:spacing w:line="560" w:lineRule="exact"/>
        <w:rPr>
          <w:rFonts w:hint="eastAsia" w:ascii="仿宋" w:hAnsi="仿宋" w:eastAsia="仿宋"/>
          <w:b w:val="0"/>
          <w:bCs w:val="0"/>
          <w:color w:val="auto"/>
          <w:sz w:val="28"/>
          <w:szCs w:val="28"/>
          <w:u w:val="none"/>
        </w:rPr>
      </w:pPr>
      <w:r>
        <w:rPr>
          <w:rFonts w:hint="eastAsia" w:ascii="仿宋" w:hAnsi="仿宋" w:eastAsia="仿宋"/>
          <w:b w:val="0"/>
          <w:bCs w:val="0"/>
          <w:color w:val="auto"/>
          <w:sz w:val="28"/>
          <w:szCs w:val="28"/>
          <w:u w:val="none"/>
        </w:rPr>
        <w:t xml:space="preserve">（7）不同供应商投标文件相互混装的；</w:t>
      </w:r>
      <w:r/>
    </w:p>
    <w:p>
      <w:pPr>
        <w:pStyle w:val="1192"/>
        <w:ind w:firstLine="518"/>
        <w:spacing w:line="520" w:lineRule="exact"/>
        <w:rPr>
          <w:rFonts w:hint="eastAsia" w:ascii="仿宋" w:hAnsi="仿宋" w:eastAsia="仿宋"/>
          <w:b w:val="0"/>
          <w:bCs w:val="0"/>
          <w:color w:val="auto"/>
          <w:sz w:val="28"/>
          <w:szCs w:val="28"/>
          <w:u w:val="none"/>
        </w:rPr>
      </w:pPr>
      <w:r>
        <w:rPr>
          <w:rFonts w:hint="eastAsia" w:ascii="仿宋" w:hAnsi="仿宋" w:eastAsia="仿宋"/>
          <w:b w:val="0"/>
          <w:bCs w:val="0"/>
          <w:color w:val="auto"/>
          <w:sz w:val="28"/>
          <w:szCs w:val="28"/>
          <w:u w:val="none"/>
        </w:rPr>
        <w:t xml:space="preserve">（8）单位负责人为同一人或存在管理、控股关系的不同供应商参加同一合同下采购活动的；</w:t>
      </w:r>
      <w:r/>
    </w:p>
    <w:p>
      <w:pPr>
        <w:pStyle w:val="1192"/>
        <w:ind w:firstLine="518"/>
        <w:spacing w:line="520" w:lineRule="exact"/>
        <w:rPr>
          <w:rFonts w:hint="eastAsia" w:ascii="仿宋" w:hAnsi="仿宋" w:eastAsia="仿宋"/>
          <w:b w:val="0"/>
          <w:bCs w:val="0"/>
          <w:color w:val="auto"/>
          <w:sz w:val="28"/>
          <w:szCs w:val="28"/>
          <w:u w:val="none"/>
        </w:rPr>
      </w:pPr>
      <w:r>
        <w:rPr>
          <w:rFonts w:hint="eastAsia" w:ascii="仿宋" w:hAnsi="仿宋" w:eastAsia="仿宋"/>
          <w:b w:val="0"/>
          <w:bCs w:val="0"/>
          <w:color w:val="auto"/>
          <w:sz w:val="28"/>
          <w:szCs w:val="28"/>
          <w:u w:val="none"/>
        </w:rPr>
        <w:t xml:space="preserve">（9）为采购项目提供整体设计、规范编制或者项目管理、监理、检测等服务的供应商参加该采购项目活动的；</w:t>
      </w:r>
      <w:r/>
    </w:p>
    <w:p>
      <w:pPr>
        <w:pStyle w:val="1192"/>
        <w:ind w:firstLine="518"/>
        <w:spacing w:line="560" w:lineRule="exact"/>
        <w:rPr>
          <w:rFonts w:hint="eastAsia" w:ascii="仿宋" w:hAnsi="仿宋" w:eastAsia="仿宋"/>
          <w:b w:val="0"/>
          <w:bCs w:val="0"/>
          <w:color w:val="auto"/>
          <w:sz w:val="28"/>
          <w:szCs w:val="28"/>
          <w:u w:val="none"/>
        </w:rPr>
      </w:pPr>
      <w:r>
        <w:rPr>
          <w:rFonts w:hint="eastAsia" w:ascii="仿宋" w:hAnsi="仿宋" w:eastAsia="仿宋"/>
          <w:b w:val="0"/>
          <w:bCs w:val="0"/>
          <w:color w:val="auto"/>
          <w:sz w:val="28"/>
          <w:szCs w:val="28"/>
          <w:u w:val="none"/>
        </w:rPr>
        <w:t xml:space="preserve">（10）不同供应商投标文件中的相关人员出现同一人的；</w:t>
      </w:r>
      <w:r/>
    </w:p>
    <w:p>
      <w:pPr>
        <w:pStyle w:val="1192"/>
        <w:ind w:firstLine="518"/>
        <w:spacing w:line="560" w:lineRule="exact"/>
        <w:rPr>
          <w:rFonts w:hint="eastAsia" w:ascii="仿宋" w:hAnsi="仿宋" w:eastAsia="仿宋"/>
          <w:b w:val="0"/>
          <w:bCs w:val="0"/>
          <w:color w:val="auto"/>
          <w:sz w:val="28"/>
          <w:szCs w:val="28"/>
          <w:u w:val="none"/>
        </w:rPr>
      </w:pPr>
      <w:r>
        <w:rPr>
          <w:rFonts w:hint="eastAsia" w:ascii="仿宋" w:hAnsi="仿宋" w:eastAsia="仿宋"/>
          <w:b w:val="0"/>
          <w:bCs w:val="0"/>
          <w:color w:val="auto"/>
          <w:sz w:val="28"/>
          <w:szCs w:val="28"/>
          <w:u w:val="none"/>
        </w:rPr>
        <w:t xml:space="preserve">（11）不同供应商投标文件中内容出现非正常一致的；</w:t>
      </w:r>
      <w:r/>
    </w:p>
    <w:p>
      <w:pPr>
        <w:pStyle w:val="1192"/>
        <w:ind w:firstLine="518"/>
        <w:spacing w:line="560" w:lineRule="exact"/>
        <w:rPr>
          <w:rFonts w:hint="eastAsia" w:ascii="仿宋" w:hAnsi="仿宋" w:eastAsia="仿宋"/>
          <w:b w:val="0"/>
          <w:bCs w:val="0"/>
          <w:color w:val="auto"/>
          <w:sz w:val="28"/>
          <w:szCs w:val="28"/>
          <w:u w:val="none"/>
        </w:rPr>
      </w:pPr>
      <w:r>
        <w:rPr>
          <w:rFonts w:hint="eastAsia" w:ascii="仿宋" w:hAnsi="仿宋" w:eastAsia="仿宋"/>
          <w:b w:val="0"/>
          <w:bCs w:val="0"/>
          <w:color w:val="auto"/>
          <w:sz w:val="28"/>
          <w:szCs w:val="28"/>
          <w:u w:val="none"/>
        </w:rPr>
        <w:t xml:space="preserve">（12）不同供应商报价表呈明显规律性变化，故意哄抬价格或压价等其它恶意串通行为的；</w:t>
      </w:r>
      <w:r/>
    </w:p>
    <w:p>
      <w:pPr>
        <w:pStyle w:val="1192"/>
        <w:ind w:firstLine="518"/>
        <w:spacing w:line="560" w:lineRule="exact"/>
        <w:rPr>
          <w:rFonts w:hint="eastAsia" w:ascii="仿宋" w:hAnsi="仿宋" w:eastAsia="仿宋"/>
          <w:b w:val="0"/>
          <w:bCs w:val="0"/>
          <w:color w:val="auto"/>
          <w:sz w:val="28"/>
          <w:szCs w:val="28"/>
          <w:u w:val="none"/>
        </w:rPr>
      </w:pPr>
      <w:r>
        <w:rPr>
          <w:rFonts w:hint="eastAsia" w:ascii="仿宋" w:hAnsi="仿宋" w:eastAsia="仿宋"/>
          <w:b w:val="0"/>
          <w:bCs w:val="0"/>
          <w:color w:val="auto"/>
          <w:sz w:val="28"/>
          <w:szCs w:val="28"/>
          <w:u w:val="none"/>
        </w:rPr>
        <w:t xml:space="preserve">（13）投标文件中提供虚假资料的；</w:t>
      </w:r>
      <w:r/>
    </w:p>
    <w:p>
      <w:pPr>
        <w:pStyle w:val="1192"/>
        <w:ind w:firstLine="518"/>
        <w:spacing w:line="560" w:lineRule="exact"/>
        <w:rPr>
          <w:rFonts w:hint="eastAsia" w:ascii="仿宋" w:hAnsi="仿宋" w:eastAsia="仿宋"/>
          <w:b w:val="0"/>
          <w:bCs w:val="0"/>
          <w:color w:val="auto"/>
          <w:sz w:val="28"/>
          <w:szCs w:val="28"/>
          <w:u w:val="none"/>
        </w:rPr>
      </w:pPr>
      <w:r>
        <w:rPr>
          <w:rFonts w:hint="eastAsia" w:ascii="仿宋" w:hAnsi="仿宋" w:eastAsia="仿宋"/>
          <w:b w:val="0"/>
          <w:bCs w:val="0"/>
          <w:color w:val="auto"/>
          <w:sz w:val="28"/>
          <w:szCs w:val="28"/>
          <w:u w:val="none"/>
        </w:rPr>
        <w:t xml:space="preserve">（14）投标报价明显低于其他通过符合性审查供应商的报价，不能证明其报价合理性的；</w:t>
      </w:r>
      <w:r/>
    </w:p>
    <w:p>
      <w:pPr>
        <w:pStyle w:val="1192"/>
        <w:ind w:firstLine="518"/>
        <w:spacing w:line="560" w:lineRule="exact"/>
        <w:rPr>
          <w:rFonts w:hint="eastAsia" w:ascii="仿宋" w:hAnsi="仿宋" w:eastAsia="仿宋"/>
          <w:b w:val="0"/>
          <w:bCs w:val="0"/>
          <w:color w:val="ee0000"/>
          <w:sz w:val="28"/>
          <w:szCs w:val="28"/>
          <w:u w:val="none"/>
        </w:rPr>
      </w:pPr>
      <w:r>
        <w:rPr>
          <w:rFonts w:hint="eastAsia" w:ascii="仿宋" w:hAnsi="仿宋" w:eastAsia="仿宋"/>
          <w:b w:val="0"/>
          <w:bCs w:val="0"/>
          <w:color w:val="ee0000"/>
          <w:sz w:val="28"/>
          <w:szCs w:val="28"/>
          <w:u w:val="none"/>
        </w:rPr>
        <w:t xml:space="preserve">(15)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1192"/>
        <w:ind w:firstLine="518"/>
        <w:spacing w:line="560" w:lineRule="exact"/>
        <w:rPr>
          <w:rFonts w:hint="eastAsia" w:ascii="仿宋" w:hAnsi="仿宋" w:eastAsia="仿宋"/>
          <w:b w:val="0"/>
          <w:bCs w:val="0"/>
          <w:color w:val="auto"/>
          <w:sz w:val="28"/>
          <w:szCs w:val="28"/>
          <w:u w:val="none"/>
        </w:rPr>
      </w:pPr>
      <w:r>
        <w:rPr>
          <w:rFonts w:hint="eastAsia" w:ascii="仿宋" w:hAnsi="仿宋" w:eastAsia="仿宋"/>
          <w:b w:val="0"/>
          <w:bCs w:val="0"/>
          <w:color w:val="auto"/>
          <w:sz w:val="28"/>
          <w:szCs w:val="28"/>
          <w:u w:val="none"/>
        </w:rPr>
        <w:t xml:space="preserve">(16) 投标文件未按照招标文件要求加盖CA电子公章的。</w:t>
      </w:r>
      <w:r/>
    </w:p>
    <w:p>
      <w:pPr>
        <w:pStyle w:val="1192"/>
        <w:ind w:firstLine="518"/>
        <w:spacing w:line="560" w:lineRule="exact"/>
        <w:rPr>
          <w:rFonts w:hint="eastAsia" w:ascii="仿宋" w:hAnsi="仿宋" w:eastAsia="仿宋"/>
          <w:b w:val="0"/>
          <w:bCs w:val="0"/>
          <w:color w:val="ee0000"/>
          <w:sz w:val="28"/>
          <w:szCs w:val="28"/>
          <w:u w:val="none"/>
        </w:rPr>
      </w:pPr>
      <w:r>
        <w:rPr>
          <w:rFonts w:hint="eastAsia" w:ascii="仿宋" w:hAnsi="仿宋" w:eastAsia="仿宋"/>
          <w:b w:val="0"/>
          <w:bCs w:val="0"/>
          <w:color w:val="ee0000"/>
          <w:sz w:val="28"/>
          <w:szCs w:val="28"/>
          <w:u w:val="none"/>
        </w:rPr>
        <w:t xml:space="preserve">(17)投标人所投标产品不符合招标文件中所列国家强制性标准的。</w:t>
      </w:r>
      <w:r/>
    </w:p>
    <w:p>
      <w:pPr>
        <w:pStyle w:val="1192"/>
        <w:ind w:firstLine="518"/>
        <w:spacing w:line="560" w:lineRule="exact"/>
        <w:rPr>
          <w:rFonts w:hint="eastAsia" w:ascii="仿宋" w:hAnsi="仿宋" w:eastAsia="仿宋"/>
          <w:b w:val="0"/>
          <w:bCs w:val="0"/>
          <w:color w:val="auto"/>
          <w:sz w:val="28"/>
          <w:szCs w:val="28"/>
          <w:u w:val="none"/>
        </w:rPr>
      </w:pPr>
      <w:r>
        <w:rPr>
          <w:rFonts w:hint="eastAsia" w:ascii="仿宋" w:hAnsi="仿宋" w:eastAsia="仿宋"/>
          <w:b w:val="0"/>
          <w:bCs w:val="0"/>
          <w:color w:val="auto"/>
          <w:sz w:val="28"/>
          <w:szCs w:val="28"/>
          <w:u w:val="none"/>
        </w:rPr>
        <w:t xml:space="preserve">（18）有欺诈行为或隐瞒自身违规问题的；</w:t>
      </w:r>
      <w:r/>
    </w:p>
    <w:p>
      <w:pPr>
        <w:pStyle w:val="1192"/>
        <w:ind w:firstLine="518"/>
        <w:spacing w:line="560" w:lineRule="exact"/>
        <w:rPr>
          <w:rFonts w:hint="eastAsia" w:ascii="仿宋" w:hAnsi="仿宋" w:eastAsia="仿宋"/>
          <w:b w:val="0"/>
          <w:bCs w:val="0"/>
          <w:color w:val="auto"/>
          <w:sz w:val="28"/>
          <w:szCs w:val="28"/>
          <w:u w:val="none"/>
        </w:rPr>
      </w:pPr>
      <w:r>
        <w:rPr>
          <w:rFonts w:hint="eastAsia" w:ascii="仿宋" w:hAnsi="仿宋" w:eastAsia="仿宋"/>
          <w:b w:val="0"/>
          <w:bCs w:val="0"/>
          <w:color w:val="auto"/>
          <w:sz w:val="28"/>
          <w:szCs w:val="28"/>
          <w:u w:val="none"/>
        </w:rPr>
        <w:t xml:space="preserve">（19）违反法律、法规或损害国家及采购人利益的。</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4、恶意串通行为的认定</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（1）供应商直接或间接从采购人或采购代理机构处获得其他供应商的响应情况，并修改其响投标文件；</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（2）评审活动开始前供应商直接或间接从采购人、采购代理机构或监管部门处获得评标委员会组成人员情况；</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（3）供应商接受采购人或采购代理机构授意撤换、修改投标文件；</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（4）供应商之间协商报价、技术方案等实质性内容；</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（5）属于同一集团、协会、商会等组织成员的供应商按照该组织要求协同投标；</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（6）供应商之间事先约定由某一特定供应商中标；</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（7）供应商之间商定部分供应商放弃参与或者放弃中标；</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（8）供应商与采购人或采购代理机构之间、供应商相互之间为谋求特定供应商中标或者排斥其他供应商的其他串通行为；</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（9）不同供应商的投标文件由同一单位或者个人编制；</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（10）不同供应商委托同一单位或者个人办理投标事宜；</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（11）不同供应商投标文件相互混装的；</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（12）不同供应商投标文件中的相关人员出现同一人的；</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（13）不同供应商投标文件中内容出现异常一致或者投标报价呈规律性差异的；</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（14）不同供应商的投标文件载明的项目管理人员或者联系人员为同一人的；</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5、评标委员会将对确定为实质性响应的投标文件进行进一步的审核，看其在报价中是否有计算上或累加上的算术错误，修正错误的原则如下：</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（1）投标文件中开标一览表内容与投标文件中投标报价明细表内容不一致的，以开标一览表为准；</w:t>
      </w:r>
      <w:r/>
    </w:p>
    <w:p>
      <w:pPr>
        <w:ind w:left="438"/>
        <w:spacing w:line="560" w:lineRule="exact"/>
        <w:rPr>
          <w:rFonts w:hint="eastAsia" w:ascii="仿宋" w:hAnsi="仿宋" w:eastAsia="仿宋"/>
          <w:sz w:val="28"/>
          <w:szCs w:val="28"/>
        </w:rPr>
      </w:pPr>
      <w:r>
        <w:rPr>
          <w:rFonts w:hint="eastAsia" w:ascii="仿宋" w:hAnsi="仿宋" w:eastAsia="仿宋"/>
          <w:sz w:val="28"/>
          <w:szCs w:val="28"/>
        </w:rPr>
        <w:t xml:space="preserve">（2）大写金额和小写金额不一致时，以大写金额为准进行；</w:t>
      </w:r>
      <w:r/>
    </w:p>
    <w:p>
      <w:pPr>
        <w:ind w:left="438"/>
        <w:spacing w:line="560" w:lineRule="exact"/>
        <w:rPr>
          <w:rFonts w:hint="eastAsia" w:ascii="仿宋" w:hAnsi="仿宋" w:eastAsia="仿宋"/>
          <w:sz w:val="28"/>
          <w:szCs w:val="28"/>
        </w:rPr>
      </w:pPr>
      <w:r>
        <w:rPr>
          <w:rFonts w:hint="eastAsia" w:ascii="仿宋" w:hAnsi="仿宋" w:eastAsia="仿宋"/>
          <w:sz w:val="28"/>
          <w:szCs w:val="28"/>
        </w:rPr>
        <w:t xml:space="preserve">（3）单价金额小数点或者百分比有明显错位的，以开标一览表的总价为准，并修改单价； </w:t>
      </w:r>
      <w:r/>
    </w:p>
    <w:p>
      <w:pPr>
        <w:ind w:left="438"/>
        <w:spacing w:line="560" w:lineRule="exact"/>
        <w:rPr>
          <w:rFonts w:hint="eastAsia" w:ascii="仿宋" w:hAnsi="仿宋" w:eastAsia="仿宋"/>
          <w:sz w:val="28"/>
          <w:szCs w:val="28"/>
        </w:rPr>
      </w:pPr>
      <w:r>
        <w:rPr>
          <w:rFonts w:hint="eastAsia" w:ascii="仿宋" w:hAnsi="仿宋" w:eastAsia="仿宋"/>
          <w:sz w:val="28"/>
          <w:szCs w:val="28"/>
        </w:rPr>
        <w:t xml:space="preserve">（4）总价金额与按单价汇总金额不一致的，以单价金额计算结果为准；</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评标委员会将按上述修正错误的方法调整投标文件中的投标报价，同时出现两种以上不一致的，按照前款规定的顺序修正。修正后的报价按规定经供应商确认后产生约束力，供应商不确认的，其投标无效。</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6、评标委员会将允许投标供应商修正投标文件中不构成重大偏离的、微小的、非正规的、不一致的或不规则的非实质性内容，但这些修改不能影响评标结果的名次排列。</w:t>
      </w:r>
      <w:r/>
    </w:p>
    <w:p>
      <w:pPr>
        <w:ind w:firstLine="518"/>
        <w:spacing w:line="560" w:lineRule="exact"/>
        <w:rPr>
          <w:rFonts w:hint="eastAsia" w:ascii="仿宋" w:hAnsi="仿宋" w:eastAsia="仿宋"/>
          <w:sz w:val="28"/>
          <w:szCs w:val="28"/>
        </w:rPr>
      </w:pPr>
      <w:r/>
      <w:bookmarkStart w:id="24" w:name="_Toc20823304"/>
      <w:r/>
      <w:bookmarkStart w:id="25" w:name="_Toc16938548"/>
      <w:r/>
      <w:bookmarkStart w:id="26" w:name="_Toc513029232"/>
      <w:r>
        <w:rPr>
          <w:rFonts w:hint="eastAsia" w:ascii="仿宋" w:hAnsi="仿宋" w:eastAsia="仿宋"/>
          <w:sz w:val="28"/>
          <w:szCs w:val="28"/>
        </w:rPr>
        <w:t xml:space="preserve">评审过程的澄清</w:t>
      </w:r>
      <w:bookmarkEnd w:id="24"/>
      <w:r/>
      <w:bookmarkEnd w:id="25"/>
      <w:r/>
      <w:bookmarkEnd w:id="26"/>
      <w:r>
        <w:rPr>
          <w:rFonts w:hint="eastAsia" w:ascii="仿宋" w:hAnsi="仿宋" w:eastAsia="仿宋"/>
          <w:sz w:val="28"/>
          <w:szCs w:val="28"/>
        </w:rPr>
        <w:t xml:space="preserve">、说明和更正</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评标委员会在对投标文件的有效性、完整性和响应程度进行审查时，可以要求供应商对投标文件中含义不明确、同类问题表述不一致或者有明显文字和计算错误的内容等作出必要的澄清、说明或者更正。供应商的澄清、说明或者更正不得超出投标文件的范围或者改变投标文件的实质性内容。</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接到评标委员会要求的供应商应派人按评标委员会通知的时间做出书面澄清、说明或更正。供应商为法人的，供应商的澄清、说明或者更正应当由法定代表人或授权代表签字或者加盖公章；由授权代表签字的，应当附法人授权书。供应商为其他组织的，应当由其负责人或授权代表签字或者加盖公章；由授权代表签字的，应当附负责人授权书。供应商为自然人的，应当由本人签字并附身份证明。</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 接到评标委员会澄清要求的供应商如未按规定或在合理时间内做出澄清，其风险由供应商自行承担。</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提供相同品牌产品的不同供应商参加同一合同项下投标的认定。</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采用最低评标价法的采购项目，以其中通过资格审查、符合性审查且报价最低的供应商参加评标；报价相同的，采取随机抽取方式确定，其他投标无效。</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使用综合评分法的采购项目，提供相同品牌产品且通过资格审查、符合性审查的不同供应商参加同一合同项下投标的，按一家供应商计算，评审后得分最高的同品牌供应商获得中标人推荐资格；评审得分相同的，采取随机抽取方式确定，其他同品牌供应商不作为预中标候选人。</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非单一产品采购项目，采购人根据采购项目技术构成、产品价格比重等合理确定核心产品，并在招标文件中载明。多家供应商提供的核心产品品牌相同的，按前两款规定处理。</w:t>
      </w:r>
      <w:r/>
    </w:p>
    <w:p>
      <w:pPr>
        <w:ind w:firstLine="518"/>
        <w:jc w:val="left"/>
        <w:spacing w:line="560" w:lineRule="exact"/>
        <w:rPr>
          <w:rFonts w:hint="eastAsia" w:ascii="仿宋" w:hAnsi="仿宋" w:eastAsia="仿宋"/>
          <w:sz w:val="28"/>
          <w:szCs w:val="28"/>
        </w:rPr>
      </w:pPr>
      <w:r>
        <w:rPr>
          <w:rFonts w:hint="eastAsia" w:ascii="仿宋" w:hAnsi="仿宋" w:eastAsia="仿宋"/>
          <w:sz w:val="28"/>
          <w:szCs w:val="28"/>
        </w:rPr>
        <w:t xml:space="preserve">投标文件的比较和评价</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评标委员会仅对确定为实质性响应招标文件要求的投标进行比较和评价。</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评标委员会认为供应商的报价明显低于其他通过符合性审查供应商的报价，有可</w:t>
      </w:r>
      <w:r>
        <w:rPr>
          <w:rFonts w:hint="eastAsia" w:ascii="仿宋" w:hAnsi="仿宋" w:eastAsia="仿宋"/>
          <w:sz w:val="28"/>
          <w:szCs w:val="28"/>
        </w:rPr>
        <w:t xml:space="preserve">能影响产品质量或者不能诚信履约的，应当要求其在评标现场规定的时间内提供书面说明，必要时提交相关证明材料；若该供应商拒绝说明或未在规定时间内提供书面说明，或虽有书面说明但仍无法证明其报价合理性的，评标委员会应当将其作为无效投标处理。</w:t>
      </w:r>
      <w:r/>
    </w:p>
    <w:p>
      <w:pPr>
        <w:ind w:firstLine="518"/>
        <w:spacing w:line="560" w:lineRule="exact"/>
        <w:rPr>
          <w:rFonts w:hint="eastAsia" w:ascii="仿宋" w:hAnsi="仿宋" w:eastAsia="仿宋"/>
          <w:sz w:val="28"/>
          <w:szCs w:val="28"/>
        </w:rPr>
      </w:pPr>
      <w:r>
        <w:rPr>
          <w:rFonts w:ascii="Calibri" w:hAnsi="Calibri" w:eastAsia="仿宋" w:cs="Calibri"/>
          <w:sz w:val="28"/>
          <w:szCs w:val="28"/>
        </w:rPr>
        <w:t xml:space="preserve"> </w:t>
      </w:r>
      <w:r>
        <w:rPr>
          <w:rFonts w:hint="eastAsia" w:ascii="仿宋" w:hAnsi="仿宋" w:eastAsia="仿宋"/>
          <w:sz w:val="28"/>
          <w:szCs w:val="28"/>
        </w:rPr>
        <w:t xml:space="preserve">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r/>
    </w:p>
    <w:p>
      <w:pPr>
        <w:ind w:firstLine="260"/>
        <w:spacing w:line="560" w:lineRule="exact"/>
        <w:rPr>
          <w:rFonts w:ascii="仿宋_GB2312" w:eastAsia="仿宋_GB2312"/>
          <w:b/>
          <w:color w:val="ee0000"/>
          <w:sz w:val="28"/>
          <w:szCs w:val="28"/>
        </w:rPr>
      </w:pPr>
      <w:r>
        <w:rPr>
          <w:rFonts w:hint="eastAsia" w:ascii="仿宋_GB2312" w:eastAsia="仿宋_GB2312"/>
          <w:b/>
          <w:color w:val="ee0000"/>
          <w:sz w:val="28"/>
          <w:szCs w:val="28"/>
        </w:rPr>
        <w:t xml:space="preserve">强化政府采购异常低价审查</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(一)采购人应当在采购文件中明确，政府采购评审中出现下列情形之一的，评审委员会应当启动异常低价投标(响应)审查程序:</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1.投标(响应)报价低于全部通过符合性审查供应商投标(响应)报价平均值50%的，即投标(响应)报价&lt;全部通过符合性审查供应商投标(响应)报价平均值X50%;</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2.投标(响应)报价低于通过符合性审查的次低报价供应商投标(响应)报价50%的，即投标(响应)报价〈通过符合性审查的次低报价供应商投标(响应)报价X50%;</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3.投标(响应)报价低于采购项目最高限价45%的，即投标(响应)报价&lt;采购项目最高限价X45%;</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4.评审委员会基于专业判断，认为供应商报价过低，有可能影响产品质量或者不能诚信履约的其他情形。</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采购人可以结合具体项目实际情况，提高上述第1项至第3项中启动异常低价投标(响应)审查的数值标准，但是最高不得超过65%。</w:t>
      </w:r>
      <w:r/>
    </w:p>
    <w:p>
      <w:pPr>
        <w:ind w:firstLine="518"/>
        <w:spacing w:line="560" w:lineRule="exact"/>
        <w:rPr>
          <w:rFonts w:hint="eastAsia" w:ascii="仿宋" w:hAnsi="仿宋" w:eastAsia="仿宋"/>
          <w:sz w:val="28"/>
          <w:szCs w:val="28"/>
        </w:rPr>
      </w:pPr>
      <w:r>
        <w:rPr>
          <w:rFonts w:hint="eastAsia" w:ascii="仿宋" w:hAnsi="仿宋" w:eastAsia="仿宋"/>
          <w:sz w:val="28"/>
          <w:szCs w:val="28"/>
        </w:rPr>
        <w:t xml:space="preserve">相关法律法规对供应商报价有规定的，从其规定。</w:t>
      </w:r>
      <w:r/>
    </w:p>
    <w:p>
      <w:pPr>
        <w:ind w:firstLine="520"/>
        <w:spacing w:line="560" w:lineRule="exact"/>
        <w:rPr>
          <w:rFonts w:ascii="仿宋_GB2312" w:eastAsia="仿宋_GB2312"/>
          <w:b/>
          <w:sz w:val="28"/>
          <w:szCs w:val="28"/>
        </w:rPr>
      </w:pPr>
      <w:r>
        <w:rPr>
          <w:rFonts w:hint="eastAsia" w:ascii="仿宋_GB2312" w:eastAsia="仿宋_GB2312"/>
          <w:b/>
          <w:sz w:val="28"/>
          <w:szCs w:val="28"/>
        </w:rPr>
        <w:t xml:space="preserve">评标办法和标准</w:t>
      </w:r>
      <w:r/>
    </w:p>
    <w:p>
      <w:pPr>
        <w:ind w:firstLine="520"/>
        <w:jc w:val="left"/>
        <w:spacing w:line="560" w:lineRule="exact"/>
        <w:shd w:val="clear" w:color="auto" w:fill="ffffff"/>
        <w:widowControl/>
        <w:rPr>
          <w:rFonts w:hint="eastAsia" w:ascii="仿宋" w:hAnsi="仿宋" w:eastAsia="仿宋"/>
          <w:b/>
          <w:sz w:val="28"/>
          <w:szCs w:val="28"/>
        </w:rPr>
      </w:pPr>
      <w:r>
        <w:rPr>
          <w:rFonts w:hint="eastAsia" w:ascii="仿宋" w:hAnsi="仿宋" w:eastAsia="仿宋"/>
          <w:b/>
          <w:sz w:val="28"/>
          <w:szCs w:val="28"/>
        </w:rPr>
        <w:t xml:space="preserve">1、政府采购履约资金扶持政策</w:t>
      </w:r>
      <w:r/>
    </w:p>
    <w:p>
      <w:pPr>
        <w:ind w:firstLine="520"/>
        <w:jc w:val="left"/>
        <w:spacing w:line="560" w:lineRule="exact"/>
        <w:shd w:val="clear" w:color="auto" w:fill="ffffff"/>
        <w:widowControl/>
        <w:rPr>
          <w:rFonts w:hint="eastAsia" w:ascii="仿宋" w:hAnsi="仿宋" w:eastAsia="仿宋"/>
          <w:b/>
          <w:sz w:val="28"/>
          <w:szCs w:val="28"/>
        </w:rPr>
      </w:pPr>
      <w:r>
        <w:rPr>
          <w:rFonts w:hint="eastAsia" w:ascii="仿宋" w:hAnsi="仿宋" w:eastAsia="仿宋"/>
          <w:b/>
          <w:sz w:val="28"/>
          <w:szCs w:val="28"/>
        </w:rPr>
        <w:t xml:space="preserve">中标供应商可凭政府采购合同办理融资贷款。</w:t>
      </w:r>
      <w:r/>
    </w:p>
    <w:p>
      <w:pPr>
        <w:ind w:firstLine="520"/>
        <w:jc w:val="left"/>
        <w:spacing w:line="560" w:lineRule="exact"/>
        <w:shd w:val="clear" w:color="auto" w:fill="ffffff"/>
        <w:widowControl/>
      </w:pPr>
      <w:r>
        <w:rPr>
          <w:rFonts w:hint="eastAsia" w:ascii="仿宋" w:hAnsi="仿宋" w:eastAsia="仿宋"/>
          <w:b/>
          <w:sz w:val="28"/>
          <w:szCs w:val="28"/>
        </w:rPr>
        <w:t xml:space="preserve">咨询电话：张女士，0523-82020605。</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2、针对中小微企业的评审优惠：</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根据财政部、工业和信息化部《政府采购促进中小企业发展管理办法》（财库〔2020〕46号）、江苏省财政厅《关于新冠肺炎疫情防控期间加大政府采购支持中小微企业力度的通知》（苏财购〔2020〕19号）的通知规定，对属于中小微企业单位给予评审优惠。</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在政府采购活动中，供应商提供的货物、工程或者服务符合下列情形的，享受本办法规定的中小企业扶持政策：</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（一）在货物采购项目中，货物由中小企业制造，即货物由中小企业生产且使用该中小企业商号或者注册商标；</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（二）在工程采购项目中，工程由中小企业承建，即工程施工单位为中小企业；</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（三）在服务采购项目中，服务由中小企业承接，即提供服务的人员为中小企业依照《中华人民共和国劳动合同法》订立劳动合同的从业人员。</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在货物采购项目中，供应商提供的货物既有中小企业制造货物，也有大型企业制造货物的，不享受本办法规定的中小企业扶持政策。</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联合体形式参加政府采购活动，联合体各方均为中小企业的，联合体视同中小企业。其中，联合体各方均为小微企业的，联合体视同小微企业。</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供应商根据情况在投标响应文件中提供的《中小企业声明函》（详见本招标文件附件七），企业标准请参照《关于印发中小企业划型标准规定的通知》（工信部联企业[2011]300号）文件规定自行填写。</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为方便广大中小企业、政府部门和社会公众识别企业规模类型，各单位参照国务院APP小微企业扶持政策查询或工信部http://202.106.120.146/baosong/appweb/orgScale.html网站查询。广大中小企业和各类社会机构填写企业所属的行业和指标数据自动生成企业规模类型测试结果。</w:t>
      </w:r>
      <w:r/>
    </w:p>
    <w:p>
      <w:pPr>
        <w:pStyle w:val="1142"/>
      </w:pPr>
      <w:r>
        <w:rPr>
          <w:rFonts w:ascii="宋体"/>
          <w:color w:val="000000"/>
          <w:sz w:val="24"/>
        </w:rPr>
        <mc:AlternateContent>
          <mc:Choice Requires="wpg">
            <w:drawing>
              <wp:inline xmlns:wp="http://schemas.openxmlformats.org/drawingml/2006/wordprocessingDrawing" distT="0" distB="0" distL="0" distR="0">
                <wp:extent cx="1692275" cy="1997075"/>
                <wp:effectExtent l="0" t="0" r="3175" b="3175"/>
                <wp:docPr id="11" name="图片 2"/>
                <wp:cNvGraphicFramePr/>
                <a:graphic xmlns:a="http://schemas.openxmlformats.org/drawingml/2006/main">
                  <a:graphicData uri="http://schemas.openxmlformats.org/drawingml/2006/picture">
                    <pic:pic xmlns:pic="http://schemas.openxmlformats.org/drawingml/2006/picture">
                      <pic:nvPicPr>
                        <pic:cNvPr id="63" name="图片 2"/>
                        <pic:cNvPicPr/>
                        <pic:nvPr/>
                      </pic:nvPicPr>
                      <pic:blipFill>
                        <a:blip r:embed="rId27"/>
                        <a:stretch/>
                      </pic:blipFill>
                      <pic:spPr bwMode="auto">
                        <a:xfrm>
                          <a:off x="0" y="0"/>
                          <a:ext cx="1710698" cy="2018413"/>
                        </a:xfrm>
                        <a:prstGeom prst="rect">
                          <a:avLst/>
                        </a:prstGeom>
                        <a:noFill/>
                        <a:ln w="9525" cap="flat" cmpd="sng">
                          <a:noFill/>
                          <a:prstDash val="solid"/>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133.2pt;height:157.2pt;mso-wrap-distance-left:0.0pt;mso-wrap-distance-top:0.0pt;mso-wrap-distance-right:0.0pt;mso-wrap-distance-bottom:0.0pt;" stroked="f" strokeweight="0.75pt">
                <v:path textboxrect="0,0,0,0"/>
                <v:imagedata r:id="rId27" o:title=""/>
              </v:shape>
            </w:pict>
          </mc:Fallback>
        </mc:AlternateContent>
      </w:r>
      <w:r/>
    </w:p>
    <w:p>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如供应商符合上述规定的，对中小企业的报价给予10%的扣除，用扣除后的价格参与评审，如扣除后的价格为最低价的，则作为评标基准价，成交金额则以实际响应报价为准。</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未按要求填写《中小企业声明函》（详见本招标文件附件八）或相关内容表述不清的，不得享受价格扣除。</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供应商提供相关资料弄虚作假的，将按相关法律法规及招标（采购）文件规定进行处理。</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3、残疾人福利单位价格扣除</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（1）本项目对残疾人福利性单位视同小型、微型企业，给予10%的价格扣除，用扣除后的价格参与评审。</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（2）残疾人福利单位需按照采购文件的要求提供《残疾人福利性单位声明函》。</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（3）残疾人福利单位标准请参照《关于促进残疾人就业政府采购政策的通知》（财库〔2017〕141号）。</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4、监狱和戒毒企业价格扣除</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（1）本项目对监狱和戒毒企业（简称监狱企业）视同小型、微型企业，给予10%的价格扣除，用扣除后的价格参与评审。</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（3）监狱企业标准请参照《关于政府采购支持监狱企业发展有关问题的通知》（财库[2014]68号）。</w:t>
      </w:r>
      <w:r/>
    </w:p>
    <w:p>
      <w:pPr>
        <w:ind w:firstLine="508"/>
        <w:spacing w:line="520" w:lineRule="exact"/>
        <w:rPr>
          <w:rFonts w:hint="eastAsia" w:ascii="仿宋" w:hAnsi="仿宋" w:eastAsia="仿宋"/>
          <w:sz w:val="28"/>
          <w:szCs w:val="28"/>
        </w:rPr>
      </w:pPr>
      <w:r>
        <w:rPr>
          <w:rFonts w:hint="eastAsia" w:ascii="仿宋" w:hAnsi="仿宋" w:eastAsia="仿宋"/>
          <w:sz w:val="28"/>
          <w:szCs w:val="28"/>
        </w:rPr>
        <w:t xml:space="preserve">5、残疾人福利单位、监狱企业属于小型、微型企业的，不重复享受政策。</w:t>
      </w:r>
      <w:r/>
    </w:p>
    <w:p>
      <w:pPr>
        <w:ind w:firstLine="518"/>
        <w:spacing w:line="560" w:lineRule="exact"/>
        <w:rPr>
          <w:rFonts w:hint="eastAsia" w:ascii="仿宋" w:hAnsi="仿宋" w:eastAsia="仿宋" w:cs="Arial"/>
          <w:color w:val="000000"/>
          <w:sz w:val="28"/>
          <w:szCs w:val="28"/>
          <w:shd w:val="clear" w:color="auto" w:fill="ffffff"/>
        </w:rPr>
      </w:pPr>
      <w:r>
        <w:rPr>
          <w:rFonts w:hint="eastAsia" w:ascii="仿宋" w:hAnsi="仿宋" w:eastAsia="仿宋" w:cs="Arial"/>
          <w:color w:val="000000"/>
          <w:sz w:val="28"/>
          <w:szCs w:val="28"/>
          <w:shd w:val="clear" w:color="auto" w:fill="ffffff"/>
        </w:rPr>
        <w:t xml:space="preserve">附：《中华人民共和国政府采购法》第七十七条</w:t>
      </w:r>
      <w:r/>
    </w:p>
    <w:p>
      <w:pPr>
        <w:ind w:firstLine="518"/>
        <w:spacing w:line="560" w:lineRule="exact"/>
        <w:rPr>
          <w:rFonts w:hint="eastAsia" w:ascii="仿宋" w:hAnsi="仿宋" w:eastAsia="仿宋" w:cs="Arial"/>
          <w:color w:val="000000"/>
          <w:sz w:val="28"/>
          <w:szCs w:val="28"/>
          <w:shd w:val="clear" w:color="auto" w:fill="ffffff"/>
        </w:rPr>
      </w:pPr>
      <w:r>
        <w:rPr>
          <w:rFonts w:hint="eastAsia" w:ascii="仿宋" w:hAnsi="仿宋" w:eastAsia="仿宋" w:cs="Arial"/>
          <w:color w:val="000000"/>
          <w:sz w:val="28"/>
          <w:szCs w:val="28"/>
          <w:shd w:val="clear" w:color="auto" w:fill="ffffff"/>
        </w:rPr>
        <w:t xml:space="preserve">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508"/>
        <w:spacing w:line="520" w:lineRule="exact"/>
        <w:rPr>
          <w:rFonts w:hint="eastAsia" w:ascii="仿宋" w:hAnsi="仿宋" w:eastAsia="仿宋"/>
          <w:sz w:val="28"/>
          <w:szCs w:val="28"/>
        </w:rPr>
      </w:pPr>
      <w:r>
        <w:rPr>
          <w:rFonts w:hint="eastAsia" w:ascii="仿宋" w:hAnsi="仿宋" w:eastAsia="仿宋"/>
          <w:color w:val="000000"/>
          <w:sz w:val="28"/>
          <w:szCs w:val="28"/>
        </w:rPr>
        <w:t xml:space="preserve">6、</w:t>
      </w:r>
      <w:r>
        <w:rPr>
          <w:rFonts w:hint="eastAsia" w:ascii="仿宋" w:hAnsi="仿宋" w:eastAsia="仿宋"/>
          <w:sz w:val="28"/>
          <w:szCs w:val="28"/>
        </w:rPr>
        <w:t xml:space="preserve">政府采购中实施本国产品标准及相关政策</w:t>
      </w:r>
      <w:r/>
    </w:p>
    <w:p>
      <w:pPr>
        <w:ind w:firstLine="508"/>
        <w:spacing w:line="520" w:lineRule="exact"/>
        <w:rPr>
          <w:rFonts w:hint="eastAsia" w:ascii="仿宋" w:hAnsi="仿宋" w:eastAsia="仿宋"/>
          <w:color w:val="ee0000"/>
          <w:sz w:val="28"/>
          <w:szCs w:val="28"/>
        </w:rPr>
      </w:pPr>
      <w:r>
        <w:rPr>
          <w:rFonts w:hint="eastAsia" w:ascii="仿宋" w:hAnsi="仿宋" w:eastAsia="仿宋"/>
          <w:color w:val="ee0000"/>
          <w:sz w:val="28"/>
          <w:szCs w:val="28"/>
        </w:rPr>
        <w:t xml:space="preserve">（1）本项目对采购本国产品给予政策支持。 </w:t>
      </w:r>
      <w:r/>
    </w:p>
    <w:p>
      <w:pPr>
        <w:ind w:firstLine="508"/>
        <w:spacing w:line="520" w:lineRule="exact"/>
        <w:rPr>
          <w:rFonts w:hint="eastAsia" w:ascii="仿宋" w:hAnsi="仿宋" w:eastAsia="仿宋"/>
          <w:color w:val="ee0000"/>
          <w:sz w:val="28"/>
          <w:szCs w:val="28"/>
        </w:rPr>
      </w:pPr>
      <w:r>
        <w:rPr>
          <w:rFonts w:hint="eastAsia" w:ascii="仿宋" w:hAnsi="仿宋" w:eastAsia="仿宋"/>
          <w:color w:val="ee0000"/>
          <w:sz w:val="28"/>
          <w:szCs w:val="28"/>
        </w:rPr>
        <w:t xml:space="preserve">1）采购本国产品的支持政策</w:t>
      </w:r>
      <w:r/>
    </w:p>
    <w:p>
      <w:pPr>
        <w:ind w:firstLine="508"/>
        <w:spacing w:line="520" w:lineRule="exact"/>
        <w:rPr>
          <w:rFonts w:hint="eastAsia" w:ascii="仿宋" w:hAnsi="仿宋" w:eastAsia="仿宋"/>
          <w:color w:val="ee0000"/>
          <w:sz w:val="28"/>
          <w:szCs w:val="28"/>
        </w:rPr>
      </w:pPr>
      <w:r>
        <w:rPr>
          <w:rFonts w:hint="eastAsia" w:ascii="仿宋" w:hAnsi="仿宋" w:eastAsia="仿宋"/>
          <w:color w:val="ee0000"/>
          <w:sz w:val="28"/>
          <w:szCs w:val="28"/>
        </w:rPr>
        <w:t xml:space="preserve">① 本项目政府采购活动中既有本国产品又有非本国产品参与竞争的，依法对本国产品给予价格评审优惠，对本国产品的报价给予 20%的价格扣除，用扣除后的价格参与评审。</w:t>
      </w:r>
      <w:r/>
    </w:p>
    <w:p>
      <w:pPr>
        <w:ind w:firstLine="508"/>
        <w:spacing w:line="520" w:lineRule="exact"/>
        <w:rPr>
          <w:rFonts w:hint="eastAsia" w:ascii="仿宋" w:hAnsi="仿宋" w:eastAsia="仿宋"/>
          <w:color w:val="ee0000"/>
          <w:sz w:val="28"/>
          <w:szCs w:val="28"/>
        </w:rPr>
      </w:pPr>
      <w:r>
        <w:rPr>
          <w:rFonts w:hint="eastAsia" w:ascii="仿宋" w:hAnsi="仿宋" w:eastAsia="仿宋"/>
          <w:color w:val="ee0000"/>
          <w:sz w:val="28"/>
          <w:szCs w:val="28"/>
        </w:rPr>
        <w:t xml:space="preserve">②当采购项目或者采购包中含有多种产品，供应商为该采购项目或者采购包提供的符合本国产品标准的产品成本之和占该供应商提供的全部产品成本之和的比例达到80%以上时（供应商需在“第四部分 投标文件格式”的“附件4投标报价明细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08"/>
        <w:spacing w:line="520" w:lineRule="exact"/>
        <w:rPr>
          <w:rFonts w:hint="eastAsia" w:ascii="仿宋" w:hAnsi="仿宋" w:eastAsia="仿宋"/>
          <w:color w:val="ee0000"/>
          <w:sz w:val="28"/>
          <w:szCs w:val="28"/>
        </w:rPr>
      </w:pPr>
      <w:r>
        <w:rPr>
          <w:rFonts w:hint="eastAsia" w:ascii="仿宋" w:hAnsi="仿宋" w:eastAsia="仿宋"/>
          <w:color w:val="ee0000"/>
          <w:sz w:val="28"/>
          <w:szCs w:val="28"/>
        </w:rPr>
        <w:t xml:space="preserve">③ 供应商需按照招标文件的要求提供《关于符合本国产品标准的声明函》（以下简称《声明函》），如不提供将不享受本国产品价格评审优惠。</w:t>
      </w:r>
      <w:r/>
    </w:p>
    <w:p>
      <w:pPr>
        <w:ind w:firstLine="508"/>
        <w:spacing w:line="520" w:lineRule="exact"/>
        <w:rPr>
          <w:rFonts w:hint="eastAsia" w:ascii="仿宋" w:hAnsi="仿宋" w:eastAsia="仿宋"/>
          <w:color w:val="ee0000"/>
          <w:sz w:val="28"/>
          <w:szCs w:val="28"/>
        </w:rPr>
      </w:pPr>
      <w:r>
        <w:rPr>
          <w:rFonts w:hint="eastAsia" w:ascii="仿宋" w:hAnsi="仿宋" w:eastAsia="仿宋"/>
          <w:color w:val="ee0000"/>
          <w:sz w:val="28"/>
          <w:szCs w:val="28"/>
        </w:rPr>
        <w:t xml:space="preserve">④ 供应商需在《声明函》中逐一、</w:t>
      </w:r>
      <w:r>
        <w:rPr>
          <w:rFonts w:ascii="仿宋" w:hAnsi="仿宋" w:eastAsia="仿宋"/>
          <w:color w:val="ee0000"/>
          <w:sz w:val="28"/>
          <w:szCs w:val="28"/>
        </w:rPr>
        <w:t xml:space="preserve">准确</w:t>
      </w:r>
      <w:r>
        <w:rPr>
          <w:rFonts w:hint="eastAsia" w:ascii="仿宋" w:hAnsi="仿宋" w:eastAsia="仿宋"/>
          <w:color w:val="ee0000"/>
          <w:sz w:val="28"/>
          <w:szCs w:val="28"/>
        </w:rPr>
        <w:t xml:space="preserve">填写产品名称、厂名、生产厂址三项信息（《声明函》中用斜线划除的地方无需填写），三</w:t>
      </w:r>
      <w:r>
        <w:rPr>
          <w:rFonts w:ascii="仿宋" w:hAnsi="仿宋" w:eastAsia="仿宋"/>
          <w:color w:val="ee0000"/>
          <w:sz w:val="28"/>
          <w:szCs w:val="28"/>
        </w:rPr>
        <w:t xml:space="preserve">项信息中</w:t>
      </w:r>
      <w:r>
        <w:rPr>
          <w:rFonts w:hint="eastAsia" w:ascii="仿宋" w:hAnsi="仿宋" w:eastAsia="仿宋"/>
          <w:color w:val="ee0000"/>
          <w:sz w:val="28"/>
          <w:szCs w:val="28"/>
        </w:rPr>
        <w:t xml:space="preserve">任意一项未填写的视为该项产品不符合本国产品标准，不享受本国产品价格评审优惠。</w:t>
      </w:r>
      <w:r/>
    </w:p>
    <w:p>
      <w:pPr>
        <w:ind w:firstLine="508"/>
        <w:spacing w:line="520" w:lineRule="exact"/>
        <w:rPr>
          <w:rFonts w:hint="eastAsia" w:ascii="仿宋" w:hAnsi="仿宋" w:eastAsia="仿宋"/>
          <w:color w:val="ee0000"/>
          <w:sz w:val="28"/>
          <w:szCs w:val="28"/>
        </w:rPr>
      </w:pPr>
      <w:r>
        <w:rPr>
          <w:rFonts w:hint="eastAsia" w:ascii="仿宋" w:hAnsi="仿宋" w:eastAsia="仿宋"/>
          <w:color w:val="ee0000"/>
          <w:sz w:val="28"/>
          <w:szCs w:val="28"/>
        </w:rPr>
        <w:t xml:space="preserve">⑤ 评标过程中，如发现供应商在《声明函》内容</w:t>
      </w:r>
      <w:r>
        <w:rPr>
          <w:rFonts w:ascii="仿宋" w:hAnsi="仿宋" w:eastAsia="仿宋"/>
          <w:color w:val="ee0000"/>
          <w:sz w:val="28"/>
          <w:szCs w:val="28"/>
        </w:rPr>
        <w:t xml:space="preserve">含义不明确、同类事项与投</w:t>
      </w:r>
      <w:r>
        <w:rPr>
          <w:rFonts w:hint="eastAsia" w:ascii="仿宋" w:hAnsi="仿宋" w:eastAsia="仿宋"/>
          <w:color w:val="ee0000"/>
          <w:sz w:val="28"/>
          <w:szCs w:val="28"/>
        </w:rPr>
        <w:t xml:space="preserve">标</w:t>
      </w:r>
      <w:r>
        <w:rPr>
          <w:rFonts w:ascii="仿宋" w:hAnsi="仿宋" w:eastAsia="仿宋"/>
          <w:color w:val="ee0000"/>
          <w:sz w:val="28"/>
          <w:szCs w:val="28"/>
        </w:rPr>
        <w:t xml:space="preserve">（</w:t>
      </w:r>
      <w:r>
        <w:rPr>
          <w:rFonts w:hint="eastAsia" w:ascii="仿宋" w:hAnsi="仿宋" w:eastAsia="仿宋"/>
          <w:color w:val="ee0000"/>
          <w:sz w:val="28"/>
          <w:szCs w:val="28"/>
        </w:rPr>
        <w:t xml:space="preserve">响</w:t>
      </w:r>
      <w:r>
        <w:rPr>
          <w:rFonts w:hint="eastAsia" w:ascii="仿宋" w:hAnsi="仿宋" w:eastAsia="仿宋"/>
          <w:color w:val="ee0000"/>
          <w:sz w:val="28"/>
          <w:szCs w:val="28"/>
        </w:rPr>
        <w:t xml:space="preserve">应</w:t>
      </w:r>
      <w:r>
        <w:rPr>
          <w:rFonts w:ascii="仿宋" w:hAnsi="仿宋" w:eastAsia="仿宋"/>
          <w:color w:val="ee0000"/>
          <w:sz w:val="28"/>
          <w:szCs w:val="28"/>
        </w:rPr>
        <w:t xml:space="preserve">）</w:t>
      </w:r>
      <w:r>
        <w:rPr>
          <w:rFonts w:hint="eastAsia" w:ascii="仿宋" w:hAnsi="仿宋" w:eastAsia="仿宋"/>
          <w:color w:val="ee0000"/>
          <w:sz w:val="28"/>
          <w:szCs w:val="28"/>
        </w:rPr>
        <w:t xml:space="preserve">文件</w:t>
      </w:r>
      <w:r>
        <w:rPr>
          <w:rFonts w:ascii="仿宋" w:hAnsi="仿宋" w:eastAsia="仿宋"/>
          <w:color w:val="ee0000"/>
          <w:sz w:val="28"/>
          <w:szCs w:val="28"/>
        </w:rPr>
        <w:t xml:space="preserve">表述不一致或者有</w:t>
      </w:r>
      <w:r>
        <w:rPr>
          <w:rFonts w:hint="eastAsia" w:ascii="仿宋" w:hAnsi="仿宋" w:eastAsia="仿宋"/>
          <w:color w:val="ee0000"/>
          <w:sz w:val="28"/>
          <w:szCs w:val="28"/>
        </w:rPr>
        <w:t xml:space="preserve">明显</w:t>
      </w:r>
      <w:r>
        <w:rPr>
          <w:rFonts w:ascii="仿宋" w:hAnsi="仿宋" w:eastAsia="仿宋"/>
          <w:color w:val="ee0000"/>
          <w:sz w:val="28"/>
          <w:szCs w:val="28"/>
        </w:rPr>
        <w:t xml:space="preserve">文字错误等情况的</w:t>
      </w:r>
      <w:r>
        <w:rPr>
          <w:rFonts w:hint="eastAsia" w:ascii="仿宋" w:hAnsi="仿宋" w:eastAsia="仿宋"/>
          <w:color w:val="ee0000"/>
          <w:sz w:val="28"/>
          <w:szCs w:val="28"/>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508"/>
        <w:spacing w:line="520" w:lineRule="exact"/>
        <w:rPr>
          <w:rFonts w:hint="eastAsia" w:ascii="仿宋" w:hAnsi="仿宋" w:eastAsia="仿宋"/>
          <w:color w:val="ee0000"/>
          <w:sz w:val="28"/>
          <w:szCs w:val="28"/>
        </w:rPr>
      </w:pPr>
      <w:r>
        <w:rPr>
          <w:rFonts w:hint="eastAsia" w:ascii="仿宋" w:hAnsi="仿宋" w:eastAsia="仿宋"/>
          <w:color w:val="ee0000"/>
          <w:sz w:val="28"/>
          <w:szCs w:val="28"/>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08"/>
        <w:spacing w:line="520" w:lineRule="exact"/>
        <w:rPr>
          <w:rFonts w:hint="eastAsia" w:ascii="仿宋" w:hAnsi="仿宋" w:eastAsia="仿宋"/>
          <w:color w:val="ee0000"/>
          <w:sz w:val="28"/>
          <w:szCs w:val="28"/>
        </w:rPr>
      </w:pPr>
      <w:r>
        <w:rPr>
          <w:rFonts w:hint="eastAsia" w:ascii="仿宋" w:hAnsi="仿宋" w:eastAsia="仿宋"/>
          <w:color w:val="ee0000"/>
          <w:sz w:val="28"/>
          <w:szCs w:val="28"/>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259"/>
        <w:spacing w:line="520" w:lineRule="exact"/>
        <w:rPr>
          <w:rFonts w:hint="eastAsia" w:ascii="仿宋" w:hAnsi="仿宋" w:eastAsia="仿宋"/>
          <w:color w:val="000000"/>
          <w:sz w:val="28"/>
          <w:szCs w:val="28"/>
        </w:rPr>
      </w:pPr>
      <w:r>
        <w:rPr>
          <w:rFonts w:ascii="仿宋" w:hAnsi="仿宋" w:eastAsia="仿宋"/>
          <w:color w:val="000000"/>
          <w:sz w:val="28"/>
          <w:szCs w:val="28"/>
        </w:rPr>
        <w:t xml:space="preserve">(</w:t>
      </w:r>
      <w:r>
        <w:rPr>
          <w:rFonts w:hint="eastAsia" w:ascii="仿宋" w:hAnsi="仿宋" w:eastAsia="仿宋"/>
          <w:color w:val="000000"/>
          <w:sz w:val="28"/>
          <w:szCs w:val="28"/>
        </w:rPr>
        <w:t xml:space="preserve">一）提供虚假材料谋取中标、成交的；</w:t>
      </w:r>
      <w:r/>
    </w:p>
    <w:p>
      <w:pPr>
        <w:spacing w:line="560" w:lineRule="exact"/>
        <w:rPr>
          <w:rFonts w:hint="eastAsia" w:ascii="仿宋" w:hAnsi="仿宋" w:eastAsia="仿宋"/>
          <w:color w:val="ff0000"/>
          <w:sz w:val="28"/>
          <w:szCs w:val="28"/>
        </w:rPr>
      </w:pPr>
      <w:r>
        <w:rPr>
          <w:rFonts w:hint="eastAsia" w:ascii="仿宋" w:hAnsi="仿宋" w:eastAsia="仿宋"/>
          <w:color w:val="ff0000"/>
          <w:sz w:val="28"/>
          <w:szCs w:val="28"/>
        </w:rPr>
        <w:t xml:space="preserve">（二）“根据《中华人民共和国政府采购法》及实施条例等相关规定，中标或者成交供应商放弃中标或者成交项目的，中标或者成交后无正当理由拒不与采购人签订政府采购合同，将依照政府采购法第七十七条第一款的规定追究法律责任，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518"/>
        <w:spacing w:line="560" w:lineRule="exact"/>
        <w:rPr>
          <w:rFonts w:hint="eastAsia" w:ascii="仿宋" w:hAnsi="仿宋" w:eastAsia="仿宋" w:cs="Arial"/>
          <w:color w:val="000000"/>
          <w:sz w:val="28"/>
          <w:szCs w:val="28"/>
          <w:shd w:val="clear" w:color="auto" w:fill="ffffff"/>
        </w:rPr>
      </w:pPr>
      <w:r>
        <w:rPr>
          <w:rFonts w:hint="eastAsia" w:ascii="仿宋" w:hAnsi="仿宋" w:eastAsia="仿宋" w:cs="Arial"/>
          <w:color w:val="000000"/>
          <w:sz w:val="28"/>
          <w:szCs w:val="28"/>
          <w:shd w:val="clear" w:color="auto" w:fill="ffffff"/>
        </w:rPr>
        <w:t xml:space="preserve">1、本次评标采用综合评分法，由评标委员会根据评分办法规定的各项因素综合评定打分，按照最终得分由高到低的顺序排列。最终得分相同的，按照投标报价由低到高顺序排列。得分相同且投标报价相同的，由采购人采取随机抽取的方式确定排名顺序。</w:t>
      </w:r>
      <w:r/>
    </w:p>
    <w:p>
      <w:pPr>
        <w:ind w:firstLine="518"/>
        <w:spacing w:line="560" w:lineRule="exact"/>
        <w:rPr>
          <w:rFonts w:hint="eastAsia" w:ascii="仿宋" w:hAnsi="仿宋" w:eastAsia="仿宋" w:cs="Arial"/>
          <w:color w:val="000000"/>
          <w:sz w:val="28"/>
          <w:szCs w:val="28"/>
          <w:shd w:val="clear" w:color="auto" w:fill="ffffff"/>
        </w:rPr>
      </w:pPr>
      <w:r>
        <w:rPr>
          <w:rFonts w:hint="eastAsia" w:ascii="仿宋" w:hAnsi="仿宋" w:eastAsia="仿宋" w:cs="Arial"/>
          <w:color w:val="000000"/>
          <w:sz w:val="28"/>
          <w:szCs w:val="28"/>
          <w:shd w:val="clear" w:color="auto" w:fill="ffffff"/>
        </w:rPr>
        <w:t xml:space="preserve">2、最终得分=综合得分*（1±数值%）</w:t>
      </w:r>
      <w:r/>
    </w:p>
    <w:p>
      <w:pPr>
        <w:ind w:firstLine="518"/>
        <w:rPr>
          <w:rFonts w:hint="eastAsia" w:ascii="仿宋" w:hAnsi="仿宋" w:eastAsia="仿宋" w:cs="Arial"/>
          <w:color w:val="000000"/>
          <w:sz w:val="28"/>
          <w:szCs w:val="28"/>
          <w:shd w:val="clear" w:color="auto" w:fill="ffffff"/>
        </w:rPr>
      </w:pPr>
      <w:r>
        <w:rPr>
          <w:rFonts w:hint="eastAsia" w:ascii="仿宋" w:hAnsi="仿宋" w:eastAsia="仿宋" w:cs="Arial"/>
          <w:color w:val="000000"/>
          <w:sz w:val="28"/>
          <w:szCs w:val="28"/>
          <w:shd w:val="clear" w:color="auto" w:fill="ffffff"/>
        </w:rPr>
        <w:t xml:space="preserve">3、采购人确定最终得分最高且排名第一的供应商为中标供应商。</w:t>
      </w:r>
      <w:r/>
    </w:p>
    <w:p>
      <w:pPr>
        <w:ind w:firstLine="518"/>
        <w:spacing w:line="560" w:lineRule="exact"/>
        <w:rPr>
          <w:rFonts w:hint="eastAsia" w:ascii="仿宋" w:hAnsi="仿宋" w:eastAsia="仿宋" w:cs="Arial"/>
          <w:color w:val="000000"/>
          <w:sz w:val="28"/>
          <w:szCs w:val="28"/>
          <w:shd w:val="clear" w:color="auto" w:fill="ffffff"/>
        </w:rPr>
      </w:pPr>
      <w:r>
        <w:rPr>
          <w:rFonts w:hint="eastAsia" w:ascii="仿宋" w:hAnsi="仿宋" w:eastAsia="仿宋" w:cs="Arial"/>
          <w:color w:val="000000"/>
          <w:sz w:val="28"/>
          <w:szCs w:val="28"/>
          <w:shd w:val="clear" w:color="auto" w:fill="ffffff"/>
        </w:rPr>
        <w:t xml:space="preserve">评标时,评标委员会各成员应当独立对每个有效投标供应商的标书进行评价打分，然后汇总每个投标供应商每项评分因素的得分。</w:t>
      </w:r>
      <w:r/>
    </w:p>
    <w:p>
      <w:pPr>
        <w:ind w:firstLine="520"/>
        <w:spacing w:line="560" w:lineRule="exact"/>
        <w:rPr>
          <w:rFonts w:hint="eastAsia" w:ascii="仿宋" w:hAnsi="仿宋" w:eastAsia="仿宋" w:cs="仿宋"/>
          <w:b/>
          <w:bCs/>
          <w:sz w:val="28"/>
          <w:szCs w:val="28"/>
        </w:rPr>
      </w:pPr>
      <w:r/>
      <w:bookmarkStart w:id="27" w:name="_Hlk177935305"/>
      <w:r>
        <w:rPr>
          <w:rFonts w:hint="eastAsia" w:ascii="仿宋" w:hAnsi="仿宋" w:eastAsia="仿宋" w:cs="仿宋"/>
          <w:b/>
          <w:bCs/>
          <w:sz w:val="28"/>
          <w:szCs w:val="28"/>
        </w:rPr>
        <w:t xml:space="preserve">（附评分办法）</w:t>
      </w:r>
      <w:bookmarkEnd w:id="27"/>
      <w:r/>
      <w:r/>
    </w:p>
    <w:p>
      <w:pPr>
        <w:ind w:firstLine="520"/>
        <w:spacing w:line="560" w:lineRule="exact"/>
        <w:rPr>
          <w:rFonts w:hint="eastAsia" w:ascii="仿宋" w:hAnsi="仿宋" w:eastAsia="仿宋"/>
          <w:b/>
          <w:color w:val="000000"/>
          <w:sz w:val="28"/>
          <w:szCs w:val="28"/>
          <w14:textFill>
            <w14:gradFill>
              <w14:gsLst>
                <w14:gs w14:pos="0">
                  <w14:srgbClr w14:val="03BEC1"/>
                </w14:gs>
                <w14:gs w14:pos="50000">
                  <w14:srgbClr w14:val="3474CB"/>
                </w14:gs>
                <w14:gs w14:pos="100000">
                  <w14:srgbClr w14:val="8E52DF"/>
                </w14:gs>
              </w14:gsLst>
              <w14:lin w14:ang="5400000" w14:scaled="1"/>
            </w14:gradFill>
          </w14:textFill>
        </w:rPr>
      </w:pPr>
      <w:r>
        <w:rPr>
          <w:rFonts w:hint="eastAsia" w:ascii="仿宋" w:hAnsi="仿宋" w:eastAsia="仿宋" w:cs="仿宋"/>
          <w:b/>
          <w:bCs/>
          <w:sz w:val="28"/>
          <w:szCs w:val="28"/>
        </w:rPr>
        <w:t xml:space="preserve">一、价格F1（35分）</w:t>
      </w:r>
      <w:r/>
    </w:p>
    <w:p>
      <w:pPr>
        <w:ind w:firstLine="518"/>
        <w:spacing w:line="560" w:lineRule="exact"/>
        <w:rPr>
          <w:rFonts w:hint="eastAsia" w:ascii="仿宋" w:hAnsi="仿宋" w:eastAsia="仿宋" w:cs="Arial"/>
          <w:color w:val="000000"/>
          <w:sz w:val="28"/>
          <w:szCs w:val="28"/>
          <w:shd w:val="clear" w:color="auto" w:fill="ffffff"/>
        </w:rPr>
      </w:pPr>
      <w:r/>
      <w:bookmarkStart w:id="28" w:name="OLE_LINK19"/>
      <w:r>
        <w:rPr>
          <w:rFonts w:hint="eastAsia" w:ascii="仿宋" w:hAnsi="仿宋" w:eastAsia="仿宋" w:cs="Arial"/>
          <w:color w:val="000000"/>
          <w:sz w:val="28"/>
          <w:szCs w:val="28"/>
          <w:shd w:val="clear" w:color="auto" w:fill="ffffff"/>
        </w:rPr>
        <w:t xml:space="preserve">满足招标文件要求且投标价格最低的投标报价为评标基准价，其价格分为满分 35分。其他供应商的价格分按下列公式计算：投标报价得分=（评标基准价/投标报价）×35 %×100。</w:t>
      </w:r>
      <w:bookmarkEnd w:id="28"/>
      <w:r/>
      <w:r/>
    </w:p>
    <w:p>
      <w:pPr>
        <w:ind w:firstLine="520"/>
        <w:spacing w:line="560" w:lineRule="exact"/>
        <w:rPr>
          <w:rFonts w:hint="eastAsia" w:ascii="仿宋" w:hAnsi="仿宋" w:eastAsia="仿宋"/>
          <w:b/>
          <w:color w:val="000000"/>
          <w:sz w:val="28"/>
          <w:szCs w:val="28"/>
          <w14:textFill>
            <w14:gradFill>
              <w14:gsLst>
                <w14:gs w14:pos="0">
                  <w14:srgbClr w14:val="03BEC1"/>
                </w14:gs>
                <w14:gs w14:pos="50000">
                  <w14:srgbClr w14:val="3474CB"/>
                </w14:gs>
                <w14:gs w14:pos="100000">
                  <w14:srgbClr w14:val="8E52DF"/>
                </w14:gs>
              </w14:gsLst>
              <w14:lin w14:ang="5400000" w14:scaled="1"/>
            </w14:gradFill>
          </w14:textFill>
        </w:rPr>
      </w:pPr>
      <w:r>
        <w:rPr>
          <w:rFonts w:hint="eastAsia" w:ascii="仿宋" w:hAnsi="仿宋" w:eastAsia="仿宋" w:cs="仿宋"/>
          <w:b/>
          <w:bCs/>
          <w:sz w:val="28"/>
          <w:szCs w:val="28"/>
        </w:rPr>
        <w:t xml:space="preserve">二、企业综合实力F2（9分）</w:t>
      </w:r>
      <w:r/>
    </w:p>
    <w:p>
      <w:pPr>
        <w:ind w:firstLine="518"/>
        <w:spacing w:line="560" w:lineRule="exact"/>
        <w:rPr>
          <w:rFonts w:hint="eastAsia" w:ascii="仿宋" w:hAnsi="仿宋" w:eastAsia="仿宋" w:cs="仿宋"/>
          <w:color w:val="000000" w:themeColor="text1"/>
          <w:sz w:val="28"/>
          <w:szCs w:val="28"/>
        </w:rPr>
      </w:pPr>
      <w:r>
        <w:rPr>
          <w:rFonts w:hint="eastAsia" w:ascii="仿宋" w:hAnsi="仿宋" w:eastAsia="仿宋"/>
          <w:color w:val="000000"/>
          <w:sz w:val="28"/>
          <w:szCs w:val="28"/>
          <w14:textFill>
            <w14:gradFill>
              <w14:gsLst>
                <w14:gs w14:pos="0">
                  <w14:srgbClr w14:val="03BEC1"/>
                </w14:gs>
                <w14:gs w14:pos="50000">
                  <w14:srgbClr w14:val="3474CB"/>
                </w14:gs>
                <w14:gs w14:pos="100000">
                  <w14:srgbClr w14:val="8E52DF"/>
                </w14:gs>
              </w14:gsLst>
              <w14:lin w14:ang="5400000" w14:scaled="1"/>
            </w14:gradFill>
          </w14:textFill>
        </w:rPr>
        <w:t xml:space="preserve">1</w:t>
      </w:r>
      <w:r>
        <w:rPr>
          <w:rFonts w:hint="eastAsia" w:ascii="仿宋" w:hAnsi="仿宋" w:eastAsia="仿宋" w:cs="仿宋"/>
          <w:color w:val="000000" w:themeColor="text1"/>
          <w:sz w:val="28"/>
          <w:szCs w:val="28"/>
        </w:rPr>
        <w:t xml:space="preserve">.供应商具有质量管理体系认证证书、企业标准管理体系认证、职业健康安全管理体系认证证书证书的，有一项得1分，最高得3分。</w:t>
      </w:r>
      <w:r/>
    </w:p>
    <w:p>
      <w:pPr>
        <w:ind w:firstLine="518"/>
        <w:spacing w:line="560" w:lineRule="exact"/>
        <w:rPr>
          <w:rFonts w:hint="eastAsia" w:ascii="仿宋" w:hAnsi="仿宋" w:eastAsia="仿宋"/>
          <w:color w:val="000000"/>
          <w:sz w:val="28"/>
          <w:szCs w:val="28"/>
          <w14:textFill>
            <w14:gradFill>
              <w14:gsLst>
                <w14:gs w14:pos="0">
                  <w14:srgbClr w14:val="03BEC1"/>
                </w14:gs>
                <w14:gs w14:pos="50000">
                  <w14:srgbClr w14:val="3474CB"/>
                </w14:gs>
                <w14:gs w14:pos="100000">
                  <w14:srgbClr w14:val="8E52DF"/>
                </w14:gs>
              </w14:gsLst>
              <w14:lin w14:ang="5400000" w14:scaled="1"/>
            </w14:gradFill>
          </w14:textFill>
        </w:rPr>
      </w:pPr>
      <w:r>
        <w:rPr>
          <w:rFonts w:hint="eastAsia" w:ascii="仿宋" w:hAnsi="仿宋" w:eastAsia="仿宋" w:cs="仿宋"/>
          <w:color w:val="000000" w:themeColor="text1"/>
          <w:sz w:val="28"/>
          <w:szCs w:val="28"/>
        </w:rPr>
        <w:t xml:space="preserve">以上证书均须提供认证证书复印件及国家认证认可监督管理委员会平台（http://cx.cnca.cn/CertECloud/result/skipResultList）查询截图加盖供应商公章，不提供不得分。</w:t>
      </w:r>
      <w:r/>
    </w:p>
    <w:p>
      <w:pPr>
        <w:ind w:firstLine="518"/>
        <w:spacing w:line="560" w:lineRule="exact"/>
        <w:rPr>
          <w:rFonts w:hint="eastAsia" w:ascii="仿宋" w:hAnsi="仿宋" w:eastAsia="仿宋"/>
          <w:color w:val="0000ff"/>
          <w:sz w:val="28"/>
          <w:szCs w:val="28"/>
        </w:rPr>
      </w:pPr>
      <w:r>
        <w:rPr>
          <w:rFonts w:hint="eastAsia" w:ascii="仿宋" w:hAnsi="仿宋" w:eastAsia="仿宋" w:cs="仿宋"/>
          <w:color w:val="000000" w:themeColor="text1"/>
          <w:sz w:val="28"/>
          <w:szCs w:val="28"/>
        </w:rPr>
        <w:t xml:space="preserve">2、</w:t>
      </w:r>
      <w:bookmarkStart w:id="29" w:name="OLE_LINK15"/>
      <w:r/>
      <w:bookmarkStart w:id="30" w:name="OLE_LINK21"/>
      <w:r>
        <w:rPr>
          <w:rFonts w:hint="eastAsia" w:ascii="仿宋" w:hAnsi="仿宋" w:eastAsia="仿宋" w:cs="仿宋"/>
          <w:color w:val="000000" w:themeColor="text1"/>
          <w:sz w:val="28"/>
          <w:szCs w:val="28"/>
        </w:rPr>
        <w:t xml:space="preserve">业绩（6分）：</w:t>
      </w:r>
      <w:bookmarkEnd w:id="29"/>
      <w:r>
        <w:rPr>
          <w:rFonts w:hint="eastAsia" w:ascii="仿宋" w:hAnsi="仿宋" w:eastAsia="仿宋" w:cs="仿宋_GB2312"/>
          <w:color w:val="000000"/>
          <w:sz w:val="28"/>
          <w:szCs w:val="28"/>
        </w:rPr>
        <w:t xml:space="preserve">投标人或所投产品制造商提供自2023年1月1日（以合同签订时间为准）以来承担的类似项目的业绩，每提供一份合同资料得2分，最多得6分。</w:t>
      </w:r>
      <w:r>
        <w:rPr>
          <w:rFonts w:ascii="仿宋" w:hAnsi="仿宋" w:eastAsia="仿宋" w:cs="仿宋_GB2312"/>
          <w:color w:val="000000"/>
          <w:sz w:val="28"/>
          <w:szCs w:val="28"/>
        </w:rPr>
        <w:t xml:space="preserve">(</w:t>
      </w:r>
      <w:r>
        <w:rPr>
          <w:rFonts w:hint="eastAsia" w:ascii="仿宋" w:hAnsi="仿宋" w:eastAsia="仿宋" w:cs="仿宋_GB2312"/>
          <w:color w:val="000000"/>
          <w:sz w:val="28"/>
          <w:szCs w:val="28"/>
        </w:rPr>
        <w:t xml:space="preserve">需同时提供合同原件扫描件和项目联系人及联系方式并加盖投标人电子签章)</w:t>
      </w:r>
      <w:r>
        <w:rPr>
          <w:rFonts w:hint="eastAsia" w:ascii="仿宋" w:hAnsi="仿宋" w:eastAsia="仿宋"/>
          <w:color w:val="0000ff"/>
          <w:sz w:val="28"/>
          <w:szCs w:val="28"/>
        </w:rPr>
        <w:t xml:space="preserve">。</w:t>
      </w:r>
      <w:bookmarkEnd w:id="30"/>
      <w:r/>
      <w:r/>
    </w:p>
    <w:p>
      <w:pPr>
        <w:ind w:firstLine="520"/>
        <w:spacing w:line="560" w:lineRule="exact"/>
        <w:rPr>
          <w:rFonts w:hint="eastAsia" w:ascii="仿宋" w:hAnsi="仿宋" w:eastAsia="仿宋"/>
          <w:b/>
          <w:bCs/>
          <w:color w:val="000000"/>
          <w:sz w:val="28"/>
          <w:szCs w:val="28"/>
          <w14:textFill>
            <w14:gradFill>
              <w14:gsLst>
                <w14:gs w14:pos="0">
                  <w14:srgbClr w14:val="03BEC1"/>
                </w14:gs>
                <w14:gs w14:pos="50000">
                  <w14:srgbClr w14:val="3474CB"/>
                </w14:gs>
                <w14:gs w14:pos="100000">
                  <w14:srgbClr w14:val="8E52DF"/>
                </w14:gs>
              </w14:gsLst>
              <w14:lin w14:ang="5400000" w14:scaled="1"/>
            </w14:gradFill>
          </w14:textFill>
        </w:rPr>
      </w:pPr>
      <w:r>
        <w:rPr>
          <w:rFonts w:hint="eastAsia" w:ascii="仿宋" w:hAnsi="仿宋" w:eastAsia="仿宋" w:cs="仿宋"/>
          <w:b/>
          <w:bCs/>
          <w:sz w:val="28"/>
          <w:szCs w:val="28"/>
        </w:rPr>
        <w:t xml:space="preserve">三、人员、技术能力F3（8分）</w:t>
      </w:r>
      <w:r/>
    </w:p>
    <w:p>
      <w:pPr>
        <w:ind w:firstLine="518"/>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1.项目经理（4分）：针对本项目配备一名项目经理，项目经理本人具有机电工程一级建造师、安全员B证、系统集成项目管理工程师、信息安全工程师，以上证书每提供一个得1分，本项最高得4分。</w:t>
      </w:r>
      <w:r/>
    </w:p>
    <w:p>
      <w:pPr>
        <w:ind w:firstLine="518"/>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2.</w:t>
      </w:r>
      <w:bookmarkStart w:id="31" w:name="OLE_LINK23"/>
      <w:r>
        <w:rPr>
          <w:rFonts w:hint="eastAsia" w:ascii="仿宋" w:hAnsi="仿宋" w:eastAsia="仿宋" w:cs="仿宋"/>
          <w:color w:val="000000" w:themeColor="text1"/>
          <w:sz w:val="28"/>
          <w:szCs w:val="28"/>
        </w:rPr>
        <w:t xml:space="preserve">技术负责人（4分）：针对本项目配备一名技术负责人和一名项目成员，技术负责人本人具有机电工程一级建造师、安全员B证，项目成员具有设备安装质量员、安全员C证，以上证书每提供一个得1分，本项最高得4分。</w:t>
      </w:r>
      <w:bookmarkEnd w:id="31"/>
      <w:r/>
      <w:r/>
    </w:p>
    <w:p>
      <w:pPr>
        <w:ind w:firstLine="518"/>
        <w:rPr>
          <w:rFonts w:hint="eastAsia"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【以上</w:t>
      </w:r>
      <w:bookmarkStart w:id="32" w:name="OLE_LINK22"/>
      <w:r>
        <w:rPr>
          <w:rFonts w:hint="eastAsia" w:ascii="仿宋" w:hAnsi="仿宋" w:eastAsia="仿宋" w:cs="仿宋"/>
          <w:color w:val="000000" w:themeColor="text1"/>
          <w:sz w:val="28"/>
          <w:szCs w:val="28"/>
        </w:rPr>
        <w:t xml:space="preserve">人员不可重复，提供相关证书的原件复印件加盖公章及提供人员近六个月</w:t>
      </w:r>
      <w:r>
        <w:rPr>
          <w:rFonts w:hint="eastAsia" w:ascii="仿宋" w:hAnsi="仿宋" w:eastAsia="仿宋" w:cs="仿宋"/>
          <w:color w:val="000000" w:themeColor="text1"/>
          <w:sz w:val="28"/>
          <w:szCs w:val="28"/>
        </w:rPr>
        <w:t xml:space="preserve">任意一个月由供应商为其缴纳的社保证明复印件加盖公章，否则不得分</w:t>
      </w:r>
      <w:bookmarkEnd w:id="32"/>
      <w:r>
        <w:rPr>
          <w:rFonts w:hint="eastAsia" w:ascii="仿宋" w:hAnsi="仿宋" w:eastAsia="仿宋" w:cs="仿宋"/>
          <w:color w:val="000000" w:themeColor="text1"/>
          <w:sz w:val="28"/>
          <w:szCs w:val="28"/>
        </w:rPr>
        <w:t xml:space="preserve">】</w:t>
      </w:r>
      <w:r/>
    </w:p>
    <w:p>
      <w:pPr>
        <w:ind w:firstLine="520"/>
        <w:rPr>
          <w:rFonts w:hint="eastAsia" w:ascii="仿宋" w:hAnsi="仿宋" w:eastAsia="仿宋"/>
          <w:b/>
          <w:bCs/>
          <w:color w:val="000000" w:themeColor="text1"/>
          <w:sz w:val="28"/>
          <w:szCs w:val="28"/>
        </w:rPr>
      </w:pPr>
      <w:r>
        <w:rPr>
          <w:rFonts w:hint="eastAsia" w:ascii="仿宋" w:hAnsi="仿宋" w:eastAsia="仿宋"/>
          <w:b/>
          <w:bCs/>
          <w:color w:val="000000" w:themeColor="text1"/>
          <w:sz w:val="28"/>
          <w:szCs w:val="28"/>
        </w:rPr>
        <w:t xml:space="preserve">四、质量、技术要求及实施方案F3（40分）</w:t>
      </w:r>
      <w:r/>
    </w:p>
    <w:p>
      <w:pPr>
        <w:ind w:firstLine="520"/>
        <w:spacing w:line="520" w:lineRule="exact"/>
        <w:rPr>
          <w:rFonts w:hint="eastAsia" w:ascii="仿宋" w:hAnsi="仿宋" w:eastAsia="仿宋" w:cs="仿宋"/>
          <w:color w:val="000000"/>
          <w:sz w:val="28"/>
          <w:szCs w:val="28"/>
        </w:rPr>
      </w:pPr>
      <w:r>
        <w:rPr>
          <w:rFonts w:hint="eastAsia" w:ascii="仿宋" w:hAnsi="仿宋" w:eastAsia="仿宋" w:cs="仿宋"/>
          <w:color w:val="000000" w:themeColor="text1"/>
          <w:sz w:val="28"/>
          <w:szCs w:val="28"/>
        </w:rPr>
        <w:t xml:space="preserve">1</w:t>
      </w:r>
      <w:bookmarkStart w:id="33" w:name="OLE_LINK24"/>
      <w:r>
        <w:rPr>
          <w:rFonts w:hint="eastAsia" w:ascii="仿宋" w:hAnsi="仿宋" w:eastAsia="仿宋" w:cs="仿宋"/>
          <w:color w:val="000000" w:themeColor="text1"/>
          <w:sz w:val="28"/>
          <w:szCs w:val="28"/>
        </w:rPr>
        <w:t xml:space="preserve">、</w:t>
      </w:r>
      <w:bookmarkStart w:id="34" w:name="OLE_LINK7"/>
      <w:r>
        <w:rPr>
          <w:rFonts w:hint="eastAsia" w:ascii="仿宋" w:hAnsi="仿宋" w:eastAsia="仿宋" w:cs="仿宋"/>
          <w:color w:val="000000" w:themeColor="text1"/>
          <w:sz w:val="28"/>
          <w:szCs w:val="28"/>
        </w:rPr>
        <w:t xml:space="preserve">技术参数（20分）：</w:t>
      </w:r>
      <w:bookmarkEnd w:id="34"/>
      <w:r>
        <w:rPr>
          <w:rFonts w:hint="eastAsia" w:ascii="仿宋" w:hAnsi="仿宋" w:eastAsia="仿宋" w:cs="仿宋"/>
          <w:color w:val="000000"/>
          <w:sz w:val="28"/>
          <w:szCs w:val="28"/>
        </w:rPr>
        <w:t xml:space="preserve">严格按照招标文件中采购货物要求进行评定，投标人所提供产品详细技术指标及综合性能、技术参数、稳定性、操作性等方面完全响应招标文件实质性要求的得20分。具有★标注的重要指标每有一项负偏离扣1分；其他技术参数出现负偏离有一项扣0.5分，扣完为止。打“★”的技术参数需提供有资质的检测机构出具的有效期内的检测报告等相关证明材料，未提供视为负偏离。</w:t>
      </w:r>
      <w:bookmarkEnd w:id="33"/>
      <w:r/>
      <w:r/>
    </w:p>
    <w:p>
      <w:pPr>
        <w:ind w:firstLine="518"/>
        <w:jc w:val="left"/>
        <w:spacing w:line="560" w:lineRule="exact"/>
        <w:widowControl/>
        <w:rPr>
          <w:rFonts w:hint="eastAsia" w:ascii="仿宋" w:hAnsi="仿宋" w:eastAsia="仿宋" w:cs="仿宋"/>
          <w:sz w:val="28"/>
          <w:szCs w:val="28"/>
        </w:rPr>
      </w:pPr>
      <w:r>
        <w:rPr>
          <w:rFonts w:hint="eastAsia" w:ascii="仿宋" w:hAnsi="仿宋" w:eastAsia="仿宋" w:cs="仿宋"/>
          <w:sz w:val="28"/>
          <w:szCs w:val="28"/>
        </w:rPr>
        <w:t xml:space="preserve">2、</w:t>
      </w:r>
      <w:bookmarkStart w:id="35" w:name="OLE_LINK25"/>
      <w:r>
        <w:rPr>
          <w:rFonts w:hint="eastAsia" w:ascii="仿宋" w:hAnsi="仿宋" w:eastAsia="仿宋"/>
          <w:color w:val="000000"/>
          <w:sz w:val="28"/>
        </w:rPr>
        <w:t xml:space="preserve">项目整体实施方案、进度计划安排</w:t>
      </w:r>
      <w:r>
        <w:rPr>
          <w:rFonts w:hint="eastAsia" w:ascii="仿宋" w:hAnsi="仿宋" w:eastAsia="仿宋" w:cs="仿宋"/>
          <w:sz w:val="28"/>
          <w:szCs w:val="28"/>
        </w:rPr>
        <w:t xml:space="preserve">（6分）：根据供应商投标响应文件中提供的针对本项目特点制定的</w:t>
      </w:r>
      <w:r>
        <w:rPr>
          <w:rFonts w:hint="eastAsia" w:ascii="仿宋" w:hAnsi="仿宋" w:eastAsia="仿宋"/>
          <w:color w:val="000000"/>
          <w:sz w:val="28"/>
        </w:rPr>
        <w:t xml:space="preserve">项目整体实施方案、进度计划安排</w:t>
      </w:r>
      <w:r>
        <w:rPr>
          <w:rFonts w:hint="eastAsia" w:ascii="仿宋" w:hAnsi="仿宋" w:eastAsia="仿宋" w:cs="仿宋"/>
          <w:sz w:val="28"/>
          <w:szCs w:val="28"/>
        </w:rPr>
        <w:t xml:space="preserve">，方案优于采购需求的得6分，符合采购需求的得3分，未提供或不符合不得分。</w:t>
      </w:r>
      <w:bookmarkEnd w:id="35"/>
      <w:r/>
      <w:r/>
    </w:p>
    <w:p>
      <w:pPr>
        <w:ind w:firstLine="518"/>
        <w:jc w:val="left"/>
        <w:spacing w:line="560" w:lineRule="exact"/>
        <w:widowControl/>
        <w:rPr>
          <w:rFonts w:hint="eastAsia" w:ascii="仿宋" w:hAnsi="仿宋" w:eastAsia="仿宋" w:cs="仿宋"/>
          <w:sz w:val="28"/>
          <w:szCs w:val="28"/>
        </w:rPr>
      </w:pPr>
      <w:r>
        <w:rPr>
          <w:rFonts w:hint="eastAsia" w:ascii="仿宋" w:hAnsi="仿宋" w:eastAsia="仿宋" w:cs="仿宋"/>
          <w:sz w:val="28"/>
          <w:szCs w:val="28"/>
        </w:rPr>
        <w:t xml:space="preserve">3、</w:t>
      </w:r>
      <w:bookmarkStart w:id="36" w:name="OLE_LINK26"/>
      <w:r>
        <w:rPr>
          <w:rFonts w:hint="eastAsia" w:ascii="仿宋" w:hAnsi="仿宋" w:eastAsia="仿宋" w:cs="仿宋"/>
          <w:sz w:val="28"/>
          <w:szCs w:val="28"/>
        </w:rPr>
        <w:t xml:space="preserve">质量保证措施（6分）：根据供应商投标响应文件中提供的质量保证措施进行评分，方案优于磋商文件采购需求的得6分，符合磋商文件采购需求的得3分，不符合或者未提供不得分。</w:t>
      </w:r>
      <w:bookmarkEnd w:id="36"/>
      <w:r/>
      <w:r/>
    </w:p>
    <w:p>
      <w:pPr>
        <w:ind w:firstLine="518"/>
        <w:jc w:val="left"/>
        <w:spacing w:line="560" w:lineRule="exact"/>
        <w:widowControl/>
        <w:rPr>
          <w:rFonts w:hint="eastAsia" w:ascii="仿宋" w:hAnsi="仿宋" w:eastAsia="仿宋" w:cs="仿宋"/>
          <w:sz w:val="28"/>
          <w:szCs w:val="28"/>
        </w:rPr>
      </w:pPr>
      <w:r>
        <w:rPr>
          <w:rFonts w:hint="eastAsia" w:ascii="仿宋" w:hAnsi="仿宋" w:eastAsia="仿宋" w:cs="仿宋"/>
          <w:sz w:val="28"/>
          <w:szCs w:val="28"/>
        </w:rPr>
        <w:t xml:space="preserve">4、</w:t>
      </w:r>
      <w:bookmarkStart w:id="37" w:name="OLE_LINK27"/>
      <w:r>
        <w:rPr>
          <w:rFonts w:hint="eastAsia" w:ascii="仿宋" w:hAnsi="仿宋" w:eastAsia="仿宋" w:cs="仿宋"/>
          <w:sz w:val="28"/>
          <w:szCs w:val="28"/>
        </w:rPr>
        <w:t xml:space="preserve">软件著作权（8分）：供应商或所投产品制造商具备</w:t>
      </w:r>
      <w:r>
        <w:rPr>
          <w:rFonts w:ascii="仿宋" w:hAnsi="仿宋" w:eastAsia="仿宋" w:cs="仿宋"/>
          <w:sz w:val="28"/>
          <w:szCs w:val="28"/>
        </w:rPr>
        <w:t xml:space="preserve">实验室</w:t>
      </w:r>
      <w:r>
        <w:rPr>
          <w:rFonts w:hint="eastAsia" w:ascii="仿宋" w:hAnsi="仿宋" w:eastAsia="仿宋" w:cs="仿宋"/>
          <w:sz w:val="28"/>
          <w:szCs w:val="28"/>
        </w:rPr>
        <w:t xml:space="preserve">相关软件著作权（名称需包含实验室）的，每有一个得2分，最高得8分。需提供软件著作权证书原件扫描件并加盖公章，不提供不得分。</w:t>
      </w:r>
      <w:bookmarkEnd w:id="37"/>
      <w:r/>
      <w:r/>
    </w:p>
    <w:p>
      <w:pPr>
        <w:ind w:firstLine="520"/>
        <w:spacing w:line="520" w:lineRule="exact"/>
        <w:rPr>
          <w:rFonts w:hint="eastAsia" w:ascii="仿宋" w:hAnsi="仿宋" w:eastAsia="仿宋"/>
          <w:b/>
          <w:bCs/>
          <w:color w:val="000000" w:themeColor="text1"/>
          <w:sz w:val="28"/>
          <w:szCs w:val="28"/>
        </w:rPr>
      </w:pPr>
      <w:r>
        <w:rPr>
          <w:rFonts w:hint="eastAsia" w:ascii="仿宋" w:hAnsi="仿宋" w:eastAsia="仿宋"/>
          <w:b/>
          <w:bCs/>
          <w:color w:val="000000" w:themeColor="text1"/>
          <w:sz w:val="28"/>
          <w:szCs w:val="28"/>
        </w:rPr>
        <w:t xml:space="preserve">五、</w:t>
      </w:r>
      <w:r>
        <w:rPr>
          <w:rFonts w:hint="eastAsia" w:ascii="仿宋" w:hAnsi="仿宋" w:eastAsia="仿宋" w:cs="仿宋"/>
          <w:b/>
          <w:bCs/>
          <w:sz w:val="28"/>
          <w:szCs w:val="28"/>
        </w:rPr>
        <w:t xml:space="preserve">培训及售后服务</w:t>
      </w:r>
      <w:r>
        <w:rPr>
          <w:rFonts w:hint="eastAsia" w:ascii="仿宋" w:hAnsi="仿宋" w:eastAsia="仿宋"/>
          <w:b/>
          <w:bCs/>
          <w:color w:val="000000" w:themeColor="text1"/>
          <w:sz w:val="28"/>
          <w:szCs w:val="28"/>
        </w:rPr>
        <w:t xml:space="preserve">F4（8分）</w:t>
      </w:r>
      <w:r/>
    </w:p>
    <w:p>
      <w:pPr>
        <w:ind w:firstLine="518"/>
        <w:spacing w:line="520" w:lineRule="exact"/>
        <w:rPr>
          <w:rFonts w:hint="eastAsia" w:ascii="仿宋" w:hAnsi="仿宋" w:eastAsia="仿宋" w:cs="仿宋"/>
          <w:color w:val="000000"/>
          <w:sz w:val="28"/>
          <w:szCs w:val="28"/>
        </w:rPr>
      </w:pPr>
      <w:r>
        <w:rPr>
          <w:rFonts w:ascii="仿宋" w:hAnsi="仿宋" w:eastAsia="仿宋" w:cs="仿宋"/>
          <w:color w:val="000000"/>
          <w:sz w:val="28"/>
          <w:szCs w:val="28"/>
        </w:rPr>
        <w:t xml:space="preserve">1</w:t>
      </w:r>
      <w:r>
        <w:rPr>
          <w:rFonts w:hint="eastAsia" w:ascii="仿宋" w:hAnsi="仿宋" w:eastAsia="仿宋" w:cs="仿宋"/>
          <w:color w:val="000000"/>
          <w:sz w:val="28"/>
          <w:szCs w:val="28"/>
        </w:rPr>
        <w:t xml:space="preserve">、</w:t>
      </w:r>
      <w:bookmarkStart w:id="38" w:name="OLE_LINK28"/>
      <w:r>
        <w:rPr>
          <w:rFonts w:hint="eastAsia" w:ascii="仿宋" w:hAnsi="仿宋" w:eastAsia="仿宋" w:cs="仿宋"/>
          <w:color w:val="000000"/>
          <w:sz w:val="28"/>
          <w:szCs w:val="28"/>
        </w:rPr>
        <w:t xml:space="preserve">技术培训方案（4分）：根据供应商投标响应文件中提供的技术培训方案进行评分，方案优于磋商文件采购需求的得4分，符合磋商文件采购需求的得2分，不符合或者未提供不得分。</w:t>
      </w:r>
      <w:bookmarkEnd w:id="38"/>
      <w:r/>
      <w:r/>
    </w:p>
    <w:p>
      <w:pPr>
        <w:ind w:firstLine="518"/>
        <w:spacing w:line="520" w:lineRule="exact"/>
        <w:rPr>
          <w:rFonts w:hint="eastAsia" w:ascii="仿宋" w:hAnsi="仿宋" w:eastAsia="仿宋" w:cs="仿宋"/>
          <w:color w:val="000000"/>
          <w:sz w:val="28"/>
          <w:szCs w:val="28"/>
        </w:rPr>
      </w:pPr>
      <w:r>
        <w:rPr>
          <w:rFonts w:ascii="仿宋" w:hAnsi="仿宋" w:eastAsia="仿宋" w:cs="仿宋"/>
          <w:color w:val="000000"/>
          <w:sz w:val="28"/>
          <w:szCs w:val="28"/>
        </w:rPr>
        <w:t xml:space="preserve">2</w:t>
      </w:r>
      <w:r>
        <w:rPr>
          <w:rFonts w:hint="eastAsia" w:ascii="仿宋" w:hAnsi="仿宋" w:eastAsia="仿宋" w:cs="仿宋"/>
          <w:color w:val="000000"/>
          <w:sz w:val="28"/>
          <w:szCs w:val="28"/>
        </w:rPr>
        <w:t xml:space="preserve">、</w:t>
      </w:r>
      <w:bookmarkStart w:id="39" w:name="OLE_LINK29"/>
      <w:r>
        <w:rPr>
          <w:rFonts w:hint="eastAsia" w:ascii="仿宋" w:hAnsi="仿宋" w:eastAsia="仿宋" w:cs="仿宋"/>
          <w:color w:val="000000"/>
          <w:sz w:val="28"/>
          <w:szCs w:val="28"/>
        </w:rPr>
        <w:t xml:space="preserve">售后服务方案（4分）：根据供应商投标响应文件中提供的售后服务方案进行评分，方案优于磋商文件采购需求的得4分，符合磋商文件采购需求的得2分，不符合或者未提供不得分。</w:t>
      </w:r>
      <w:bookmarkEnd w:id="39"/>
      <w:r/>
      <w:r/>
    </w:p>
    <w:p>
      <w:pPr>
        <w:ind w:firstLine="518"/>
        <w:spacing w:line="52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综合得分＝F1+F2+F3+F4+F5</w:t>
      </w:r>
      <w:r/>
    </w:p>
    <w:p>
      <w:pPr>
        <w:jc w:val="center"/>
        <w:spacing w:line="560" w:lineRule="exact"/>
        <w:rPr>
          <w:rFonts w:hint="eastAsia" w:ascii="仿宋" w:hAnsi="仿宋" w:eastAsia="仿宋"/>
          <w:b/>
          <w:bCs/>
          <w:sz w:val="32"/>
          <w:szCs w:val="32"/>
        </w:rPr>
      </w:pPr>
      <w:r>
        <w:rPr>
          <w:rFonts w:hint="eastAsia" w:ascii="仿宋" w:hAnsi="仿宋" w:eastAsia="仿宋"/>
          <w:b/>
          <w:bCs/>
          <w:sz w:val="32"/>
          <w:szCs w:val="32"/>
        </w:rPr>
        <w:t xml:space="preserve">七、定    标</w:t>
      </w:r>
      <w:r/>
    </w:p>
    <w:p>
      <w:pPr>
        <w:jc w:val="left"/>
        <w:spacing w:line="560" w:lineRule="exact"/>
        <w:rPr>
          <w:rFonts w:hint="eastAsia" w:ascii="仿宋" w:hAnsi="仿宋" w:eastAsia="仿宋"/>
          <w:b/>
          <w:bCs/>
          <w:sz w:val="28"/>
          <w:szCs w:val="28"/>
        </w:rPr>
      </w:pPr>
      <w:r>
        <w:rPr>
          <w:rFonts w:hint="eastAsia" w:ascii="仿宋" w:hAnsi="仿宋" w:eastAsia="仿宋"/>
          <w:b/>
          <w:bCs/>
          <w:sz w:val="28"/>
          <w:szCs w:val="28"/>
        </w:rPr>
        <w:t xml:space="preserve">    </w:t>
      </w:r>
      <w:r>
        <w:rPr>
          <w:rFonts w:hint="eastAsia" w:ascii="仿宋" w:hAnsi="仿宋" w:eastAsia="仿宋"/>
          <w:b/>
          <w:bCs/>
          <w:sz w:val="28"/>
          <w:szCs w:val="28"/>
        </w:rPr>
        <w:t xml:space="preserve">废标</w:t>
      </w:r>
      <w:r/>
    </w:p>
    <w:p>
      <w:pPr>
        <w:ind w:firstLine="518"/>
        <w:spacing w:line="360" w:lineRule="auto"/>
        <w:rPr>
          <w:rFonts w:hint="eastAsia" w:ascii="仿宋" w:hAnsi="仿宋" w:eastAsia="仿宋"/>
          <w:bCs/>
          <w:sz w:val="28"/>
          <w:szCs w:val="28"/>
        </w:rPr>
      </w:pPr>
      <w:r>
        <w:rPr>
          <w:rFonts w:hint="eastAsia" w:ascii="仿宋" w:hAnsi="仿宋" w:eastAsia="仿宋"/>
          <w:bCs/>
          <w:sz w:val="28"/>
          <w:szCs w:val="28"/>
        </w:rPr>
        <w:t xml:space="preserve">在招标采购中，出现下列情况之一的，应予废标：</w:t>
      </w:r>
      <w:r/>
    </w:p>
    <w:p>
      <w:pPr>
        <w:ind w:left="570"/>
        <w:spacing w:line="360" w:lineRule="auto"/>
        <w:tabs>
          <w:tab w:val="left" w:pos="525" w:leader="none"/>
          <w:tab w:val="left" w:pos="945" w:leader="none"/>
          <w:tab w:val="left" w:pos="1260" w:leader="none"/>
        </w:tabs>
        <w:rPr>
          <w:rFonts w:hint="eastAsia" w:ascii="仿宋" w:hAnsi="仿宋" w:eastAsia="仿宋"/>
          <w:bCs/>
          <w:sz w:val="28"/>
          <w:szCs w:val="28"/>
        </w:rPr>
      </w:pPr>
      <w:r>
        <w:rPr>
          <w:rFonts w:hint="eastAsia" w:ascii="仿宋" w:hAnsi="仿宋" w:eastAsia="仿宋"/>
          <w:bCs/>
          <w:sz w:val="28"/>
          <w:szCs w:val="28"/>
        </w:rPr>
        <w:t xml:space="preserve">1.符合专业条件的供应商或者对招标文件作出实质性响应的供应商不足三家；</w:t>
      </w:r>
      <w:r/>
    </w:p>
    <w:p>
      <w:pPr>
        <w:ind w:left="525"/>
        <w:spacing w:line="360" w:lineRule="auto"/>
        <w:tabs>
          <w:tab w:val="left" w:pos="525" w:leader="none"/>
          <w:tab w:val="left" w:pos="945" w:leader="none"/>
          <w:tab w:val="left" w:pos="1260" w:leader="none"/>
        </w:tabs>
        <w:rPr>
          <w:rFonts w:hint="eastAsia" w:ascii="仿宋" w:hAnsi="仿宋" w:eastAsia="仿宋"/>
          <w:bCs/>
          <w:sz w:val="28"/>
          <w:szCs w:val="28"/>
        </w:rPr>
      </w:pPr>
      <w:r>
        <w:rPr>
          <w:rFonts w:hint="eastAsia" w:ascii="仿宋" w:hAnsi="仿宋" w:eastAsia="仿宋"/>
          <w:bCs/>
          <w:sz w:val="28"/>
          <w:szCs w:val="28"/>
        </w:rPr>
        <w:t xml:space="preserve">2.出现影响采购公正的违法、违规行为；</w:t>
      </w:r>
      <w:r/>
    </w:p>
    <w:p>
      <w:pPr>
        <w:ind w:left="525"/>
        <w:spacing w:line="360" w:lineRule="auto"/>
        <w:tabs>
          <w:tab w:val="left" w:pos="525" w:leader="none"/>
          <w:tab w:val="left" w:pos="945" w:leader="none"/>
          <w:tab w:val="left" w:pos="1260" w:leader="none"/>
        </w:tabs>
        <w:rPr>
          <w:rFonts w:hint="eastAsia" w:ascii="仿宋" w:hAnsi="仿宋" w:eastAsia="仿宋"/>
          <w:bCs/>
          <w:sz w:val="28"/>
          <w:szCs w:val="28"/>
        </w:rPr>
      </w:pPr>
      <w:r>
        <w:rPr>
          <w:rFonts w:hint="eastAsia" w:ascii="仿宋" w:hAnsi="仿宋" w:eastAsia="仿宋"/>
          <w:bCs/>
          <w:sz w:val="28"/>
          <w:szCs w:val="28"/>
        </w:rPr>
        <w:t xml:space="preserve">3.供应商的报价均超过采购预算，采购人不能支付的；</w:t>
      </w:r>
      <w:r/>
    </w:p>
    <w:p>
      <w:pPr>
        <w:ind w:left="525"/>
        <w:spacing w:line="360" w:lineRule="auto"/>
        <w:tabs>
          <w:tab w:val="right" w:pos="180" w:leader="none"/>
          <w:tab w:val="left" w:pos="525" w:leader="none"/>
          <w:tab w:val="left" w:pos="945" w:leader="none"/>
          <w:tab w:val="left" w:pos="1260" w:leader="none"/>
        </w:tabs>
        <w:rPr>
          <w:rFonts w:hint="eastAsia" w:ascii="仿宋" w:hAnsi="仿宋" w:eastAsia="仿宋"/>
          <w:bCs/>
          <w:sz w:val="28"/>
          <w:szCs w:val="28"/>
        </w:rPr>
      </w:pPr>
      <w:r>
        <w:rPr>
          <w:rFonts w:hint="eastAsia" w:ascii="仿宋" w:hAnsi="仿宋" w:eastAsia="仿宋"/>
          <w:bCs/>
          <w:sz w:val="28"/>
          <w:szCs w:val="28"/>
        </w:rPr>
        <w:t xml:space="preserve">4.因重大变故，采购任务取消。</w:t>
      </w:r>
      <w:r/>
    </w:p>
    <w:p>
      <w:pPr>
        <w:ind w:left="525"/>
        <w:spacing w:line="360" w:lineRule="auto"/>
        <w:tabs>
          <w:tab w:val="right" w:pos="180" w:leader="none"/>
          <w:tab w:val="left" w:pos="525" w:leader="none"/>
          <w:tab w:val="left" w:pos="945" w:leader="none"/>
          <w:tab w:val="left" w:pos="1260" w:leader="none"/>
        </w:tabs>
        <w:rPr>
          <w:rFonts w:hint="eastAsia" w:ascii="仿宋" w:hAnsi="仿宋" w:eastAsia="仿宋"/>
          <w:bCs/>
          <w:sz w:val="28"/>
          <w:szCs w:val="28"/>
        </w:rPr>
      </w:pPr>
      <w:r>
        <w:rPr>
          <w:rFonts w:hint="eastAsia" w:ascii="仿宋" w:hAnsi="仿宋" w:eastAsia="仿宋"/>
          <w:bCs/>
          <w:sz w:val="28"/>
          <w:szCs w:val="28"/>
        </w:rPr>
        <w:t xml:space="preserve">5.因</w:t>
      </w:r>
      <w:r>
        <w:rPr>
          <w:rFonts w:hint="eastAsia" w:ascii="仿宋" w:hAnsi="仿宋" w:eastAsia="仿宋"/>
          <w:sz w:val="28"/>
          <w:szCs w:val="28"/>
        </w:rPr>
        <w:t xml:space="preserve">“江苏政府采购苏采云系统”</w:t>
      </w:r>
      <w:r>
        <w:rPr>
          <w:rFonts w:hint="eastAsia" w:ascii="仿宋" w:hAnsi="仿宋" w:eastAsia="仿宋"/>
          <w:bCs/>
          <w:sz w:val="28"/>
          <w:szCs w:val="28"/>
        </w:rPr>
        <w:t xml:space="preserve">重大故障原因无法继续开评标的。</w:t>
      </w:r>
      <w:r/>
    </w:p>
    <w:p>
      <w:pPr>
        <w:spacing w:line="360" w:lineRule="auto"/>
        <w:tabs>
          <w:tab w:val="left" w:pos="525" w:leader="none"/>
          <w:tab w:val="left" w:pos="945" w:leader="none"/>
        </w:tabs>
        <w:rPr>
          <w:rFonts w:hint="eastAsia" w:ascii="仿宋" w:hAnsi="仿宋" w:eastAsia="仿宋"/>
          <w:b/>
          <w:bCs/>
          <w:sz w:val="28"/>
          <w:szCs w:val="28"/>
        </w:rPr>
      </w:pPr>
      <w:r>
        <w:rPr>
          <w:rFonts w:hint="eastAsia" w:ascii="仿宋" w:hAnsi="仿宋" w:eastAsia="仿宋"/>
          <w:bCs/>
          <w:sz w:val="28"/>
          <w:szCs w:val="28"/>
        </w:rPr>
        <w:t xml:space="preserve">  </w:t>
      </w:r>
      <w:r>
        <w:rPr>
          <w:rFonts w:hint="eastAsia" w:ascii="仿宋" w:hAnsi="仿宋" w:eastAsia="仿宋"/>
          <w:b/>
          <w:bCs/>
          <w:sz w:val="28"/>
          <w:szCs w:val="28"/>
        </w:rPr>
        <w:t xml:space="preserve">  中标</w:t>
      </w:r>
      <w:r/>
    </w:p>
    <w:p>
      <w:pPr>
        <w:spacing w:line="360" w:lineRule="auto"/>
        <w:tabs>
          <w:tab w:val="left" w:pos="525" w:leader="none"/>
          <w:tab w:val="left" w:pos="945" w:leader="none"/>
        </w:tabs>
        <w:rPr>
          <w:rFonts w:hint="eastAsia" w:ascii="仿宋" w:hAnsi="仿宋" w:eastAsia="仿宋"/>
          <w:bCs/>
          <w:sz w:val="28"/>
          <w:szCs w:val="28"/>
        </w:rPr>
      </w:pPr>
      <w:r>
        <w:rPr>
          <w:rFonts w:hint="eastAsia" w:ascii="仿宋" w:hAnsi="仿宋" w:eastAsia="仿宋"/>
          <w:bCs/>
          <w:sz w:val="28"/>
          <w:szCs w:val="28"/>
        </w:rPr>
        <w:t xml:space="preserve">    评标委员会根据招标文件规定的评标方法和评标标准进行评审，按招标文件的要求依法确定中标供应商。江苏泰禾房地产土地造价咨询评估有限公司将在江苏省政府采购网发布中标公告。</w:t>
      </w:r>
      <w:r/>
    </w:p>
    <w:p>
      <w:pPr>
        <w:spacing w:line="360" w:lineRule="auto"/>
        <w:tabs>
          <w:tab w:val="left" w:pos="525" w:leader="none"/>
          <w:tab w:val="left" w:pos="945" w:leader="none"/>
        </w:tabs>
        <w:rPr>
          <w:rFonts w:hint="eastAsia" w:ascii="仿宋" w:hAnsi="仿宋" w:eastAsia="仿宋"/>
          <w:bCs/>
          <w:sz w:val="28"/>
          <w:szCs w:val="28"/>
        </w:rPr>
      </w:pPr>
      <w:r>
        <w:rPr>
          <w:rFonts w:hint="eastAsia" w:ascii="仿宋" w:hAnsi="仿宋" w:eastAsia="仿宋"/>
          <w:bCs/>
          <w:sz w:val="28"/>
          <w:szCs w:val="28"/>
        </w:rPr>
        <w:t xml:space="preserve">    江苏泰禾和评标委员会对未中标原因不做解释。如有质疑，应在法定质疑期限内，即中标公告期限届满之日起7个工作日内，以书面形式（原件）送达江苏泰禾，并且针对同一采购程序环节的质疑，须在法定质疑期内一次性提出。质疑函的质疑事项应具体、明确，并有必要的事实依据和法律依据（格式详见中国政府采购网《</w:t>
      </w:r>
      <w:hyperlink r:id="rId28" w:tooltip="http://download.ccgp.gov.cn/2018/zhiyihanfanben.zip" w:history="1">
        <w:r>
          <w:rPr>
            <w:rFonts w:hint="eastAsia" w:ascii="仿宋" w:hAnsi="仿宋" w:eastAsia="仿宋"/>
            <w:bCs/>
            <w:sz w:val="28"/>
            <w:szCs w:val="28"/>
          </w:rPr>
          <w:t xml:space="preserve">政府采购供应商质疑函范本</w:t>
        </w:r>
      </w:hyperlink>
      <w:r>
        <w:rPr>
          <w:rFonts w:hint="eastAsia" w:ascii="仿宋" w:hAnsi="仿宋" w:eastAsia="仿宋"/>
          <w:bCs/>
          <w:sz w:val="28"/>
          <w:szCs w:val="28"/>
        </w:rPr>
        <w:t xml:space="preserve">》）。江苏泰禾将在收到符合上述要求的书面质疑后七个工作日内，对质疑内容做出答复。供应商在法定质疑期限外送达的质疑函或法定质疑期限内送达的质疑函不符合上述要求的均为无效质疑，江苏泰禾对无效质疑不予受理。</w:t>
      </w:r>
      <w:r/>
    </w:p>
    <w:p>
      <w:pPr>
        <w:spacing w:line="360" w:lineRule="auto"/>
        <w:tabs>
          <w:tab w:val="left" w:pos="525" w:leader="none"/>
          <w:tab w:val="left" w:pos="945" w:leader="none"/>
        </w:tabs>
        <w:rPr>
          <w:rFonts w:hint="eastAsia" w:ascii="仿宋" w:hAnsi="仿宋" w:eastAsia="仿宋"/>
          <w:bCs/>
          <w:sz w:val="28"/>
          <w:szCs w:val="28"/>
        </w:rPr>
      </w:pPr>
      <w:r>
        <w:rPr>
          <w:rFonts w:hint="eastAsia" w:ascii="仿宋" w:hAnsi="仿宋" w:eastAsia="仿宋"/>
          <w:bCs/>
          <w:sz w:val="28"/>
          <w:szCs w:val="28"/>
        </w:rPr>
        <w:t xml:space="preserve">    如质疑查无实据或供应商捏造事实，提供虚假材料进行恶意举报，不配合或采用不正当手段干扰政府采购质疑的，江苏泰禾有权依据政府采购的有关规定，报请政府采购监管部门对该供应商进行相应的行政处罚和记录该供应商的失信信息。</w:t>
      </w:r>
      <w:r/>
    </w:p>
    <w:p>
      <w:pPr>
        <w:spacing w:line="360" w:lineRule="auto"/>
        <w:tabs>
          <w:tab w:val="left" w:pos="525" w:leader="none"/>
          <w:tab w:val="left" w:pos="945" w:leader="none"/>
        </w:tabs>
        <w:rPr>
          <w:rFonts w:hint="eastAsia" w:ascii="仿宋" w:hAnsi="仿宋" w:eastAsia="仿宋"/>
          <w:bCs/>
          <w:sz w:val="28"/>
          <w:szCs w:val="28"/>
        </w:rPr>
      </w:pPr>
      <w:r>
        <w:rPr>
          <w:rFonts w:hint="eastAsia" w:ascii="仿宋" w:hAnsi="仿宋" w:eastAsia="仿宋"/>
          <w:bCs/>
          <w:sz w:val="28"/>
          <w:szCs w:val="28"/>
        </w:rPr>
        <w:t xml:space="preserve">    江苏泰禾向中标供应商发中标通知书。</w:t>
      </w:r>
      <w:r/>
    </w:p>
    <w:p>
      <w:pPr>
        <w:ind w:firstLine="520"/>
        <w:jc w:val="left"/>
        <w:spacing w:line="360" w:lineRule="auto"/>
        <w:tabs>
          <w:tab w:val="left" w:pos="945" w:leader="none"/>
        </w:tabs>
        <w:rPr>
          <w:rFonts w:hint="eastAsia" w:ascii="仿宋" w:hAnsi="仿宋" w:eastAsia="仿宋"/>
          <w:b/>
          <w:bCs/>
          <w:sz w:val="28"/>
          <w:szCs w:val="28"/>
        </w:rPr>
      </w:pPr>
      <w:r>
        <w:rPr>
          <w:rFonts w:hint="eastAsia" w:ascii="仿宋" w:hAnsi="仿宋" w:eastAsia="仿宋"/>
          <w:b/>
          <w:bCs/>
          <w:sz w:val="28"/>
          <w:szCs w:val="28"/>
        </w:rPr>
        <w:t xml:space="preserve">中标通知书将是合同的一个组成部分。对采购人和中标供应商均具有法律效力。中标通知书发出后，采购人改变中标结果的，或者中标供应商放弃中标项目的，应当</w:t>
      </w:r>
      <w:r>
        <w:rPr>
          <w:rFonts w:hint="eastAsia" w:ascii="仿宋" w:hAnsi="仿宋" w:eastAsia="仿宋"/>
          <w:b/>
          <w:bCs/>
          <w:sz w:val="28"/>
          <w:szCs w:val="28"/>
        </w:rPr>
        <w:t xml:space="preserve">依法承担法律责任。</w:t>
      </w:r>
      <w:r/>
    </w:p>
    <w:p>
      <w:pPr>
        <w:ind w:firstLine="520"/>
        <w:spacing w:line="360" w:lineRule="auto"/>
        <w:tabs>
          <w:tab w:val="left" w:pos="945" w:leader="none"/>
        </w:tabs>
        <w:rPr>
          <w:rFonts w:hint="eastAsia" w:ascii="仿宋" w:hAnsi="仿宋" w:eastAsia="仿宋"/>
          <w:b/>
          <w:bCs/>
          <w:sz w:val="28"/>
          <w:szCs w:val="28"/>
        </w:rPr>
      </w:pPr>
      <w:r>
        <w:rPr>
          <w:rFonts w:hint="eastAsia" w:ascii="仿宋" w:hAnsi="仿宋" w:eastAsia="仿宋"/>
          <w:b/>
          <w:bCs/>
          <w:sz w:val="28"/>
          <w:szCs w:val="28"/>
        </w:rPr>
        <w:t xml:space="preserve">中标无效</w:t>
      </w:r>
      <w:r/>
    </w:p>
    <w:p>
      <w:pPr>
        <w:ind w:left="477"/>
        <w:spacing w:line="360" w:lineRule="auto"/>
        <w:tabs>
          <w:tab w:val="left" w:pos="420" w:leader="none"/>
          <w:tab w:val="left" w:pos="945" w:leader="none"/>
          <w:tab w:val="left" w:pos="1155" w:leader="none"/>
        </w:tabs>
        <w:rPr>
          <w:rFonts w:hint="eastAsia" w:ascii="仿宋" w:hAnsi="仿宋" w:eastAsia="仿宋"/>
          <w:bCs/>
          <w:sz w:val="28"/>
          <w:szCs w:val="28"/>
        </w:rPr>
      </w:pPr>
      <w:r>
        <w:rPr>
          <w:rFonts w:hint="eastAsia" w:ascii="仿宋" w:hAnsi="仿宋" w:eastAsia="仿宋"/>
          <w:bCs/>
          <w:sz w:val="28"/>
          <w:szCs w:val="28"/>
        </w:rPr>
        <w:t xml:space="preserve">（1）提供虚假材料谋取中标的；</w:t>
      </w:r>
      <w:r/>
    </w:p>
    <w:p>
      <w:pPr>
        <w:ind w:left="477"/>
        <w:spacing w:line="360" w:lineRule="auto"/>
        <w:tabs>
          <w:tab w:val="left" w:pos="420" w:leader="none"/>
          <w:tab w:val="left" w:pos="945" w:leader="none"/>
          <w:tab w:val="left" w:pos="1155" w:leader="none"/>
        </w:tabs>
        <w:rPr>
          <w:rFonts w:hint="eastAsia" w:ascii="仿宋" w:hAnsi="仿宋" w:eastAsia="仿宋"/>
          <w:bCs/>
          <w:sz w:val="28"/>
          <w:szCs w:val="28"/>
        </w:rPr>
      </w:pPr>
      <w:r>
        <w:rPr>
          <w:rFonts w:hint="eastAsia" w:ascii="仿宋" w:hAnsi="仿宋" w:eastAsia="仿宋"/>
          <w:bCs/>
          <w:sz w:val="28"/>
          <w:szCs w:val="28"/>
        </w:rPr>
        <w:t xml:space="preserve">（2）采取不正当手段诋毁、排挤其他供应商的；</w:t>
      </w:r>
      <w:r/>
    </w:p>
    <w:p>
      <w:pPr>
        <w:ind w:left="477"/>
        <w:spacing w:line="360" w:lineRule="auto"/>
        <w:tabs>
          <w:tab w:val="left" w:pos="420" w:leader="none"/>
          <w:tab w:val="left" w:pos="945" w:leader="none"/>
          <w:tab w:val="left" w:pos="1155" w:leader="none"/>
        </w:tabs>
        <w:rPr>
          <w:rFonts w:hint="eastAsia" w:ascii="仿宋" w:hAnsi="仿宋" w:eastAsia="仿宋"/>
          <w:bCs/>
          <w:sz w:val="28"/>
          <w:szCs w:val="28"/>
        </w:rPr>
      </w:pPr>
      <w:r>
        <w:rPr>
          <w:rFonts w:hint="eastAsia" w:ascii="仿宋" w:hAnsi="仿宋" w:eastAsia="仿宋"/>
          <w:bCs/>
          <w:sz w:val="28"/>
          <w:szCs w:val="28"/>
        </w:rPr>
        <w:t xml:space="preserve">（3）与招标采购单位、其他供应商恶意串通的；</w:t>
      </w:r>
      <w:r/>
    </w:p>
    <w:p>
      <w:pPr>
        <w:ind w:left="477"/>
        <w:spacing w:line="360" w:lineRule="auto"/>
        <w:tabs>
          <w:tab w:val="left" w:pos="420" w:leader="none"/>
          <w:tab w:val="left" w:pos="945" w:leader="none"/>
          <w:tab w:val="left" w:pos="1155" w:leader="none"/>
        </w:tabs>
        <w:rPr>
          <w:rFonts w:hint="eastAsia" w:ascii="仿宋" w:hAnsi="仿宋" w:eastAsia="仿宋"/>
          <w:bCs/>
          <w:sz w:val="28"/>
          <w:szCs w:val="28"/>
        </w:rPr>
      </w:pPr>
      <w:r>
        <w:rPr>
          <w:rFonts w:hint="eastAsia" w:ascii="仿宋" w:hAnsi="仿宋" w:eastAsia="仿宋"/>
          <w:bCs/>
          <w:sz w:val="28"/>
          <w:szCs w:val="28"/>
        </w:rPr>
        <w:t xml:space="preserve">（4）向招标采购单位行贿或者提供其他不正当利益的；</w:t>
      </w:r>
      <w:r/>
    </w:p>
    <w:p>
      <w:pPr>
        <w:ind w:left="523"/>
        <w:spacing w:line="360" w:lineRule="auto"/>
        <w:tabs>
          <w:tab w:val="left" w:pos="420" w:leader="none"/>
          <w:tab w:val="left" w:pos="945" w:leader="none"/>
          <w:tab w:val="left" w:pos="1155" w:leader="none"/>
        </w:tabs>
        <w:rPr>
          <w:rFonts w:hint="eastAsia" w:ascii="仿宋" w:hAnsi="仿宋" w:eastAsia="仿宋"/>
          <w:bCs/>
          <w:sz w:val="28"/>
          <w:szCs w:val="28"/>
        </w:rPr>
      </w:pPr>
      <w:r>
        <w:rPr>
          <w:rFonts w:hint="eastAsia" w:ascii="仿宋" w:hAnsi="仿宋" w:eastAsia="仿宋"/>
          <w:bCs/>
          <w:sz w:val="28"/>
          <w:szCs w:val="28"/>
        </w:rPr>
        <w:t xml:space="preserve">（5）在招标过程中与招标采购单位进行协商谈判、不按照招标文件和中标供应商的投标文件订立合同，或者与采购人另行订立背离合同实质性内容的协议的；</w:t>
      </w:r>
      <w:r/>
    </w:p>
    <w:p>
      <w:pPr>
        <w:ind w:left="523"/>
        <w:spacing w:line="360" w:lineRule="auto"/>
        <w:tabs>
          <w:tab w:val="left" w:pos="420" w:leader="none"/>
          <w:tab w:val="left" w:pos="945" w:leader="none"/>
          <w:tab w:val="left" w:pos="1155" w:leader="none"/>
        </w:tabs>
        <w:rPr>
          <w:rFonts w:hint="eastAsia" w:ascii="仿宋" w:hAnsi="仿宋" w:eastAsia="仿宋"/>
          <w:bCs/>
          <w:sz w:val="28"/>
          <w:szCs w:val="28"/>
        </w:rPr>
      </w:pPr>
      <w:r>
        <w:rPr>
          <w:rFonts w:hint="eastAsia" w:ascii="仿宋" w:hAnsi="仿宋" w:eastAsia="仿宋"/>
          <w:bCs/>
          <w:sz w:val="28"/>
          <w:szCs w:val="28"/>
        </w:rPr>
        <w:t xml:space="preserve">（6）拒绝有关部门监督检查或者提供虚假情况的。</w:t>
      </w:r>
      <w:r/>
    </w:p>
    <w:p>
      <w:pPr>
        <w:ind w:firstLine="520"/>
        <w:spacing w:line="360" w:lineRule="auto"/>
        <w:tabs>
          <w:tab w:val="left" w:pos="945" w:leader="none"/>
        </w:tabs>
        <w:rPr>
          <w:rFonts w:hint="eastAsia" w:ascii="仿宋" w:hAnsi="仿宋" w:eastAsia="仿宋"/>
          <w:b/>
          <w:bCs/>
          <w:sz w:val="28"/>
          <w:szCs w:val="28"/>
        </w:rPr>
      </w:pPr>
      <w:r>
        <w:rPr>
          <w:rFonts w:hint="eastAsia" w:ascii="仿宋" w:hAnsi="仿宋" w:eastAsia="仿宋"/>
          <w:b/>
          <w:bCs/>
          <w:sz w:val="28"/>
          <w:szCs w:val="28"/>
        </w:rPr>
        <w:t xml:space="preserve">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pStyle w:val="1330"/>
        <w:ind w:right="25" w:firstLine="480"/>
        <w:spacing w:line="560" w:lineRule="exact"/>
        <w:rPr>
          <w:rFonts w:hint="eastAsia" w:ascii="仿宋" w:hAnsi="仿宋" w:eastAsia="仿宋"/>
          <w:b/>
          <w:bCs/>
          <w:sz w:val="28"/>
          <w:szCs w:val="28"/>
        </w:rPr>
      </w:pPr>
      <w:r>
        <w:rPr>
          <w:rFonts w:hint="eastAsia" w:ascii="仿宋" w:hAnsi="仿宋" w:eastAsia="仿宋"/>
          <w:b/>
          <w:bCs/>
          <w:sz w:val="28"/>
          <w:szCs w:val="28"/>
        </w:rPr>
        <w:t xml:space="preserve">根据《中华人民共和国政府采购法》及实施条例等相关规定，中标或者成交供应商放弃中标或者成交项目的，中标或者成交后无正当理由拒不与采购人签订政府采购合同，将依照政府采购法第七十七条第一款的规定追究法律责任，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1142"/>
      </w:pPr>
      <w:r/>
      <w:r/>
    </w:p>
    <w:p>
      <w:pPr>
        <w:jc w:val="center"/>
        <w:spacing w:line="560" w:lineRule="exact"/>
        <w:rPr>
          <w:rFonts w:hint="eastAsia" w:ascii="仿宋" w:hAnsi="仿宋" w:eastAsia="仿宋"/>
          <w:b/>
          <w:bCs/>
          <w:sz w:val="32"/>
          <w:szCs w:val="32"/>
        </w:rPr>
      </w:pPr>
      <w:r>
        <w:rPr>
          <w:rFonts w:hint="eastAsia" w:ascii="仿宋" w:hAnsi="仿宋" w:eastAsia="仿宋"/>
          <w:b/>
          <w:bCs/>
          <w:sz w:val="32"/>
          <w:szCs w:val="32"/>
        </w:rPr>
        <w:t xml:space="preserve">八、签订、履行合同</w:t>
      </w:r>
      <w:r/>
    </w:p>
    <w:p>
      <w:pPr>
        <w:ind w:firstLine="520"/>
        <w:jc w:val="left"/>
        <w:spacing w:line="560" w:lineRule="exact"/>
        <w:rPr>
          <w:rFonts w:hint="eastAsia" w:ascii="仿宋" w:hAnsi="仿宋" w:eastAsia="仿宋"/>
          <w:b/>
          <w:bCs/>
          <w:sz w:val="28"/>
          <w:szCs w:val="28"/>
        </w:rPr>
      </w:pPr>
      <w:r>
        <w:rPr>
          <w:rFonts w:hint="eastAsia" w:ascii="仿宋" w:hAnsi="仿宋" w:eastAsia="仿宋"/>
          <w:b/>
          <w:bCs/>
          <w:sz w:val="28"/>
          <w:szCs w:val="28"/>
        </w:rPr>
        <w:t xml:space="preserve">签订合同</w:t>
      </w:r>
      <w:r/>
    </w:p>
    <w:p>
      <w:pPr>
        <w:ind w:left="132" w:firstLine="518"/>
        <w:spacing w:line="360" w:lineRule="auto"/>
        <w:tabs>
          <w:tab w:val="left" w:pos="525" w:leader="none"/>
          <w:tab w:val="left" w:pos="945" w:leader="none"/>
          <w:tab w:val="left" w:pos="1050" w:leader="none"/>
        </w:tabs>
        <w:rPr>
          <w:rFonts w:hint="eastAsia" w:ascii="仿宋" w:hAnsi="仿宋" w:eastAsia="仿宋"/>
          <w:bCs/>
          <w:sz w:val="28"/>
          <w:szCs w:val="28"/>
        </w:rPr>
      </w:pPr>
      <w:r>
        <w:rPr>
          <w:rFonts w:hint="eastAsia" w:ascii="仿宋" w:hAnsi="仿宋" w:eastAsia="仿宋"/>
          <w:bCs/>
          <w:sz w:val="28"/>
          <w:szCs w:val="28"/>
        </w:rPr>
        <w:t xml:space="preserve">1.采购人应当自中标通知书发出之日起十五日内，按照招标文件和中标供应商投</w:t>
      </w:r>
      <w:r>
        <w:rPr>
          <w:rFonts w:hint="eastAsia" w:ascii="仿宋" w:hAnsi="仿宋" w:eastAsia="仿宋"/>
          <w:bCs/>
          <w:sz w:val="28"/>
          <w:szCs w:val="28"/>
        </w:rPr>
        <w:t xml:space="preserve">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合同经江苏泰禾见证后生效。</w:t>
      </w:r>
      <w:r/>
    </w:p>
    <w:p>
      <w:pPr>
        <w:ind w:left="132" w:firstLine="518"/>
        <w:spacing w:line="360" w:lineRule="auto"/>
        <w:tabs>
          <w:tab w:val="left" w:pos="525" w:leader="none"/>
          <w:tab w:val="left" w:pos="945" w:leader="none"/>
          <w:tab w:val="left" w:pos="1050" w:leader="none"/>
        </w:tabs>
        <w:rPr>
          <w:rFonts w:hint="eastAsia" w:ascii="仿宋" w:hAnsi="仿宋" w:eastAsia="仿宋"/>
          <w:bCs/>
          <w:sz w:val="28"/>
          <w:szCs w:val="28"/>
        </w:rPr>
      </w:pPr>
      <w:r>
        <w:rPr>
          <w:rFonts w:hint="eastAsia" w:ascii="仿宋" w:hAnsi="仿宋" w:eastAsia="仿宋"/>
          <w:bCs/>
          <w:sz w:val="28"/>
          <w:szCs w:val="28"/>
        </w:rPr>
        <w:t xml:space="preserve">2.中标供应商非因不可抗力未履行招、投标文件和合同规定的义务，一经查实，江苏泰禾将根据具体情况提请政府采购管理部门作出相应处理。</w:t>
      </w:r>
      <w:r/>
    </w:p>
    <w:p>
      <w:pPr>
        <w:ind w:left="132"/>
        <w:spacing w:line="360" w:lineRule="auto"/>
        <w:tabs>
          <w:tab w:val="left" w:pos="525" w:leader="none"/>
          <w:tab w:val="left" w:pos="945" w:leader="none"/>
          <w:tab w:val="left" w:pos="1050" w:leader="none"/>
        </w:tabs>
        <w:rPr>
          <w:rFonts w:hint="eastAsia" w:ascii="仿宋" w:hAnsi="仿宋" w:eastAsia="仿宋"/>
          <w:bCs/>
          <w:sz w:val="28"/>
          <w:szCs w:val="28"/>
        </w:rPr>
      </w:pPr>
      <w:r>
        <w:rPr>
          <w:rFonts w:hint="eastAsia" w:ascii="仿宋" w:hAnsi="仿宋" w:eastAsia="仿宋"/>
          <w:b/>
          <w:bCs/>
          <w:sz w:val="28"/>
          <w:szCs w:val="28"/>
        </w:rPr>
        <w:t xml:space="preserve">    3.履约保证金</w:t>
      </w:r>
      <w:r/>
    </w:p>
    <w:p>
      <w:pPr>
        <w:ind w:left="132"/>
        <w:spacing w:line="360" w:lineRule="auto"/>
        <w:tabs>
          <w:tab w:val="left" w:pos="525" w:leader="none"/>
          <w:tab w:val="left" w:pos="945" w:leader="none"/>
          <w:tab w:val="left" w:pos="1050" w:leader="none"/>
        </w:tabs>
        <w:rPr>
          <w:rFonts w:hint="eastAsia" w:ascii="仿宋" w:hAnsi="仿宋" w:eastAsia="仿宋"/>
          <w:bCs/>
          <w:sz w:val="28"/>
          <w:szCs w:val="28"/>
        </w:rPr>
      </w:pPr>
      <w:r>
        <w:rPr>
          <w:rFonts w:hint="eastAsia" w:ascii="仿宋" w:hAnsi="仿宋" w:eastAsia="仿宋"/>
          <w:bCs/>
          <w:sz w:val="28"/>
          <w:szCs w:val="28"/>
        </w:rPr>
        <w:t xml:space="preserve">    中标供应商向采购人缴纳的履约保证金不超过政府采购合同金额的10%。收取履约保证金的，采购人应当与中标供应商在采购合同中约定履约保证金退还的方式、时间、条件和不予退还的情形，明确逾期退还履约保证金的违约责任。</w:t>
      </w:r>
      <w:r/>
    </w:p>
    <w:p>
      <w:pPr>
        <w:jc w:val="center"/>
        <w:spacing w:line="560" w:lineRule="exact"/>
        <w:rPr>
          <w:rFonts w:ascii="黑体" w:eastAsia="黑体"/>
          <w:color w:val="000000"/>
          <w:sz w:val="28"/>
          <w:szCs w:val="28"/>
        </w:rPr>
      </w:pPr>
      <w:r>
        <w:rPr>
          <w:rFonts w:hint="eastAsia" w:ascii="仿宋" w:hAnsi="仿宋" w:eastAsia="仿宋"/>
          <w:b/>
          <w:bCs/>
          <w:sz w:val="32"/>
          <w:szCs w:val="32"/>
        </w:rPr>
        <w:t xml:space="preserve">九、项目验收</w:t>
      </w:r>
      <w:r/>
    </w:p>
    <w:p>
      <w:pPr>
        <w:ind w:firstLine="508"/>
        <w:spacing w:line="52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9.1 甲方可依法组织履约验收工作。</w:t>
      </w:r>
      <w:r/>
    </w:p>
    <w:p>
      <w:pPr>
        <w:ind w:firstLine="508"/>
        <w:spacing w:line="52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9.2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508"/>
        <w:spacing w:line="52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9.3 对于实际使用人和甲方分离的项目，甲方邀请实际使用人参与验收。</w:t>
      </w:r>
      <w:r/>
    </w:p>
    <w:p>
      <w:pPr>
        <w:ind w:firstLine="508"/>
        <w:spacing w:line="52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9.4如有必要，甲方邀请参加本项目的其他供应商或第三方专业机构及专家参与验收，相关意见将作为验收书的参考资料。</w:t>
      </w:r>
      <w:r/>
    </w:p>
    <w:p>
      <w:pPr>
        <w:ind w:firstLine="508"/>
        <w:spacing w:line="520" w:lineRule="exact"/>
        <w:rPr>
          <w:rFonts w:hint="eastAsia" w:ascii="仿宋" w:hAnsi="仿宋" w:eastAsia="仿宋" w:cs="宋体"/>
          <w:color w:val="000000"/>
          <w:sz w:val="28"/>
          <w:szCs w:val="28"/>
        </w:rPr>
      </w:pPr>
      <w:r>
        <w:rPr>
          <w:rFonts w:hint="eastAsia" w:ascii="仿宋" w:hAnsi="仿宋" w:eastAsia="仿宋" w:cs="宋体"/>
          <w:color w:val="000000"/>
          <w:sz w:val="28"/>
          <w:szCs w:val="28"/>
        </w:rPr>
        <w:t xml:space="preserve">9.5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518"/>
        <w:rPr>
          <w:rFonts w:hint="eastAsia" w:ascii="黑体" w:hAnsi="宋体" w:eastAsia="黑体"/>
          <w:b/>
          <w:bCs/>
          <w:color w:val="000000"/>
          <w:sz w:val="28"/>
          <w:szCs w:val="28"/>
        </w:rPr>
      </w:pPr>
      <w:r>
        <w:rPr>
          <w:rFonts w:hint="eastAsia" w:ascii="仿宋" w:hAnsi="仿宋" w:eastAsia="仿宋" w:cs="宋体"/>
          <w:color w:val="000000"/>
          <w:sz w:val="28"/>
          <w:szCs w:val="28"/>
        </w:rPr>
        <w:t xml:space="preserve">9.6 验收合格的项目,甲方根据采购合同的约定及时向乙方支付合同款项、退还履约保证金。验收不合格的项目，甲方依法及时处理。采购合同的履行、违约责任和解</w:t>
      </w:r>
      <w:r>
        <w:rPr>
          <w:rFonts w:hint="eastAsia" w:ascii="仿宋" w:hAnsi="仿宋" w:eastAsia="仿宋" w:cs="宋体"/>
          <w:color w:val="000000"/>
          <w:sz w:val="28"/>
          <w:szCs w:val="28"/>
        </w:rPr>
        <w:t xml:space="preserve">决争议的方式等适用《中华人民共和国民法典》。乙方在履约过程中有政府采购法律法规规定的违法违规情形的,甲方将及时报告本级财政部门。</w:t>
      </w:r>
      <w:r/>
    </w:p>
    <w:p>
      <w:pPr>
        <w:spacing w:line="560" w:lineRule="exact"/>
        <w:rPr>
          <w:rFonts w:hint="eastAsia" w:ascii="仿宋" w:hAnsi="仿宋" w:eastAsia="仿宋"/>
          <w:b/>
          <w:sz w:val="44"/>
          <w:szCs w:val="44"/>
        </w:rPr>
      </w:pPr>
      <w:r/>
      <w:bookmarkStart w:id="40" w:name="_Hlk177935333"/>
      <w:r/>
      <w:r/>
    </w:p>
    <w:p>
      <w:pPr>
        <w:ind w:firstLine="841"/>
        <w:jc w:val="center"/>
        <w:spacing w:line="560" w:lineRule="exact"/>
        <w:rPr>
          <w:rFonts w:hint="eastAsia" w:ascii="仿宋" w:hAnsi="仿宋" w:eastAsia="仿宋"/>
          <w:b/>
          <w:sz w:val="44"/>
          <w:szCs w:val="44"/>
        </w:rPr>
      </w:pPr>
      <w:r>
        <w:rPr>
          <w:rFonts w:hint="eastAsia" w:ascii="仿宋" w:hAnsi="仿宋" w:eastAsia="仿宋"/>
          <w:b/>
          <w:sz w:val="44"/>
          <w:szCs w:val="44"/>
        </w:rPr>
      </w:r>
      <w:r/>
    </w:p>
    <w:p>
      <w:pPr>
        <w:ind w:firstLine="841"/>
        <w:jc w:val="center"/>
        <w:spacing w:line="560" w:lineRule="exact"/>
        <w:rPr>
          <w:rFonts w:hint="eastAsia" w:ascii="仿宋" w:hAnsi="仿宋" w:eastAsia="仿宋"/>
          <w:b/>
          <w:bCs/>
          <w:szCs w:val="21"/>
        </w:rPr>
      </w:pPr>
      <w:r/>
      <w:bookmarkStart w:id="41" w:name="OLE_LINK8"/>
      <w:r>
        <w:rPr>
          <w:rFonts w:hint="eastAsia" w:ascii="仿宋" w:hAnsi="仿宋" w:eastAsia="仿宋"/>
          <w:b/>
          <w:sz w:val="44"/>
          <w:szCs w:val="44"/>
        </w:rPr>
        <w:t xml:space="preserve">第二部分   </w:t>
      </w:r>
      <w:r>
        <w:rPr>
          <w:rFonts w:hint="eastAsia" w:ascii="仿宋" w:hAnsi="仿宋" w:eastAsia="仿宋"/>
          <w:b/>
          <w:sz w:val="44"/>
          <w:szCs w:val="44"/>
        </w:rPr>
        <w:t xml:space="preserve">招标需求</w:t>
      </w:r>
      <w:r/>
    </w:p>
    <w:p>
      <w:pPr>
        <w:pStyle w:val="1437"/>
        <w:ind w:firstLine="510"/>
        <w:spacing w:before="0" w:beforeAutospacing="0" w:after="0" w:afterAutospacing="0" w:line="580" w:lineRule="exact"/>
        <w:rPr>
          <w:rFonts w:hint="eastAsia" w:ascii="仿宋" w:hAnsi="仿宋" w:eastAsia="仿宋"/>
          <w:b/>
          <w:color w:val="000000"/>
          <w:sz w:val="28"/>
          <w:szCs w:val="28"/>
        </w:rPr>
      </w:pPr>
      <w:r>
        <w:rPr>
          <w:rFonts w:hint="eastAsia" w:ascii="仿宋" w:hAnsi="仿宋" w:eastAsia="仿宋"/>
          <w:b/>
          <w:color w:val="000000"/>
          <w:sz w:val="28"/>
          <w:szCs w:val="28"/>
        </w:rPr>
        <w:t xml:space="preserve">1、采购技术要求（对不允许偏离的实质性要求和条件，以黑体加斜体方式提示）</w:t>
      </w:r>
      <w:r/>
    </w:p>
    <w:p>
      <w:pPr>
        <w:pStyle w:val="1437"/>
        <w:ind w:firstLine="518"/>
        <w:spacing w:before="0" w:beforeAutospacing="0" w:after="0" w:afterAutospacing="0"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sz w:val="28"/>
          <w:szCs w:val="28"/>
        </w:rPr>
        <w:t xml:space="preserve">本次采购范围</w:t>
      </w:r>
      <w:r>
        <w:rPr>
          <w:rFonts w:hint="eastAsia" w:ascii="仿宋" w:hAnsi="仿宋" w:eastAsia="仿宋"/>
          <w:color w:val="000000"/>
          <w:sz w:val="28"/>
          <w:szCs w:val="28"/>
        </w:rPr>
        <w:t xml:space="preserve">为</w:t>
      </w:r>
      <w:bookmarkStart w:id="42" w:name="_Hlk157930898"/>
      <w:r>
        <w:rPr>
          <w:rFonts w:ascii="仿宋" w:hAnsi="仿宋" w:eastAsia="仿宋"/>
          <w:color w:val="000000"/>
          <w:sz w:val="28"/>
          <w:szCs w:val="28"/>
        </w:rPr>
        <w:t xml:space="preserve">理化生实验室设备采购</w:t>
      </w:r>
      <w:r>
        <w:rPr>
          <w:rFonts w:hint="eastAsia" w:ascii="仿宋" w:hAnsi="仿宋" w:eastAsia="仿宋"/>
          <w:color w:val="000000"/>
          <w:sz w:val="28"/>
          <w:szCs w:val="28"/>
        </w:rPr>
        <w:t xml:space="preserve">等</w:t>
      </w:r>
      <w:bookmarkEnd w:id="42"/>
      <w:r>
        <w:rPr>
          <w:rFonts w:hint="eastAsia" w:ascii="仿宋" w:hAnsi="仿宋" w:eastAsia="仿宋"/>
          <w:color w:val="000000"/>
          <w:sz w:val="28"/>
          <w:szCs w:val="28"/>
        </w:rPr>
        <w:t xml:space="preserve">，其中物理电学实验室56座2间，物理力学实验室56座1间，危化品室1间，化学上通风实验室56座2间，生物实验室56座2间。</w:t>
      </w:r>
      <w:r/>
    </w:p>
    <w:p>
      <w:pPr>
        <w:pStyle w:val="1437"/>
        <w:ind w:firstLine="518"/>
        <w:spacing w:before="0" w:beforeAutospacing="0" w:after="0" w:afterAutospacing="0" w:line="560" w:lineRule="exact"/>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3、本项目采购预算金额：人民币壹佰肆拾万元整  （￥：1400000</w:t>
      </w:r>
      <w:r>
        <w:rPr>
          <w:rFonts w:ascii="仿宋" w:hAnsi="仿宋" w:eastAsia="仿宋"/>
          <w:color w:val="000000" w:themeColor="text1"/>
          <w:sz w:val="28"/>
          <w:szCs w:val="28"/>
        </w:rPr>
        <w:t xml:space="preserve">.00</w:t>
      </w:r>
      <w:r>
        <w:rPr>
          <w:rFonts w:hint="eastAsia" w:ascii="仿宋" w:hAnsi="仿宋" w:eastAsia="仿宋"/>
          <w:color w:val="000000" w:themeColor="text1"/>
          <w:sz w:val="28"/>
          <w:szCs w:val="28"/>
        </w:rPr>
        <w:t xml:space="preserve">元）；最后响应报价高于采购预算的，将被判定为无效响应文件。</w:t>
      </w:r>
      <w:r/>
    </w:p>
    <w:p>
      <w:pPr>
        <w:pStyle w:val="1437"/>
        <w:ind w:firstLine="520"/>
        <w:spacing w:before="0" w:beforeAutospacing="0" w:after="0" w:afterAutospacing="0" w:line="560" w:lineRule="exact"/>
        <w:rPr>
          <w:rFonts w:hint="eastAsia" w:ascii="仿宋" w:hAnsi="仿宋" w:eastAsia="仿宋"/>
          <w:b/>
          <w:bCs/>
          <w:sz w:val="28"/>
          <w:szCs w:val="28"/>
        </w:rPr>
      </w:pPr>
      <w:r>
        <w:rPr>
          <w:rFonts w:hint="eastAsia" w:ascii="仿宋" w:hAnsi="仿宋" w:eastAsia="仿宋"/>
          <w:b/>
          <w:bCs/>
          <w:sz w:val="28"/>
          <w:szCs w:val="28"/>
        </w:rPr>
        <w:t xml:space="preserve">4、采购需求： </w:t>
      </w:r>
      <w:r/>
    </w:p>
    <w:p>
      <w:pPr>
        <w:ind w:firstLine="259"/>
        <w:jc w:val="left"/>
        <w:rPr>
          <w:rFonts w:hint="eastAsia" w:ascii="仿宋" w:hAnsi="仿宋" w:eastAsia="仿宋"/>
          <w:sz w:val="28"/>
          <w:szCs w:val="28"/>
        </w:rPr>
      </w:pPr>
      <w:r>
        <w:rPr>
          <w:rFonts w:hint="eastAsia" w:ascii="仿宋" w:hAnsi="仿宋" w:eastAsia="仿宋"/>
          <w:sz w:val="28"/>
          <w:szCs w:val="28"/>
        </w:rPr>
        <w:t xml:space="preserve">（一）采购明细： </w:t>
      </w:r>
      <w:r/>
    </w:p>
    <w:p>
      <w:pPr>
        <w:tabs>
          <w:tab w:val="left" w:pos="821" w:leader="none"/>
        </w:tabs>
        <w:rPr>
          <w:rFonts w:hint="eastAsia" w:ascii="仿宋" w:hAnsi="仿宋" w:eastAsia="仿宋"/>
          <w:sz w:val="28"/>
          <w:szCs w:val="28"/>
        </w:rPr>
      </w:pPr>
      <w:r>
        <w:rPr>
          <w:rFonts w:hint="eastAsia" w:ascii="仿宋" w:hAnsi="仿宋" w:eastAsia="仿宋"/>
          <w:sz w:val="28"/>
          <w:szCs w:val="28"/>
        </w:rPr>
        <w:tab/>
      </w:r>
      <w:bookmarkStart w:id="43" w:name="OLE_LINK10"/>
      <w:r>
        <w:rPr>
          <w:rFonts w:hint="eastAsia" w:ascii="仿宋" w:hAnsi="仿宋" w:eastAsia="仿宋"/>
          <w:sz w:val="28"/>
          <w:szCs w:val="28"/>
        </w:rPr>
        <w:t xml:space="preserve">(1)物理电学实验室</w:t>
      </w:r>
      <w:r>
        <w:rPr>
          <w:rFonts w:ascii="仿宋" w:hAnsi="仿宋" w:eastAsia="仿宋"/>
          <w:sz w:val="28"/>
          <w:szCs w:val="28"/>
        </w:rPr>
        <w:t xml:space="preserve">56座</w:t>
      </w:r>
      <w:r>
        <w:rPr>
          <w:rFonts w:hint="eastAsia" w:ascii="仿宋" w:hAnsi="仿宋" w:eastAsia="仿宋"/>
          <w:sz w:val="28"/>
          <w:szCs w:val="28"/>
        </w:rPr>
        <w:t xml:space="preserve">2间，物理力学实验室</w:t>
      </w:r>
      <w:r>
        <w:rPr>
          <w:rFonts w:ascii="仿宋" w:hAnsi="仿宋" w:eastAsia="仿宋"/>
          <w:sz w:val="28"/>
          <w:szCs w:val="28"/>
        </w:rPr>
        <w:t xml:space="preserve">56座</w:t>
      </w:r>
      <w:r>
        <w:rPr>
          <w:rFonts w:hint="eastAsia" w:ascii="仿宋" w:hAnsi="仿宋" w:eastAsia="仿宋"/>
          <w:sz w:val="28"/>
          <w:szCs w:val="28"/>
        </w:rPr>
        <w:t xml:space="preserve">1间</w:t>
      </w:r>
      <w:bookmarkStart w:id="44" w:name="OLE_LINK14"/>
      <w:r>
        <w:rPr>
          <w:rFonts w:hint="eastAsia" w:ascii="仿宋" w:hAnsi="仿宋" w:eastAsia="仿宋"/>
          <w:sz w:val="28"/>
          <w:szCs w:val="28"/>
        </w:rPr>
        <w:t xml:space="preserve">详细采购清单及技术参数</w:t>
      </w:r>
      <w:bookmarkEnd w:id="44"/>
      <w:r/>
      <w:bookmarkEnd w:id="43"/>
      <w:r/>
      <w:r/>
    </w:p>
    <w:tbl>
      <w:tblPr>
        <w:tblW w:w="9356"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45"/>
        <w:gridCol w:w="1298"/>
        <w:gridCol w:w="6379"/>
        <w:gridCol w:w="567"/>
        <w:gridCol w:w="567"/>
      </w:tblGrid>
      <w:tr>
        <w:trPr>
          <w:trHeight w:val="800"/>
        </w:trPr>
        <w:tc>
          <w:tcPr>
            <w:gridSpan w:val="5"/>
            <w:tcW w:w="9356" w:type="dxa"/>
            <w:vAlign w:val="center"/>
            <w:textDirection w:val="lrTb"/>
            <w:noWrap w:val="false"/>
          </w:tcPr>
          <w:p>
            <w:pPr>
              <w:jc w:val="center"/>
              <w:widowControl/>
              <w:rPr>
                <w:rFonts w:hint="eastAsia" w:ascii="仿宋" w:hAnsi="仿宋" w:eastAsia="仿宋"/>
                <w:sz w:val="28"/>
                <w:szCs w:val="28"/>
              </w:rPr>
            </w:pPr>
            <w:r>
              <w:rPr>
                <w:rFonts w:ascii="仿宋" w:hAnsi="仿宋" w:eastAsia="仿宋"/>
                <w:sz w:val="28"/>
                <w:szCs w:val="28"/>
              </w:rPr>
              <w:t xml:space="preserve">物理电学实验室56座</w:t>
            </w:r>
            <w:r>
              <w:rPr>
                <w:rFonts w:hint="eastAsia" w:ascii="仿宋" w:hAnsi="仿宋" w:eastAsia="仿宋"/>
                <w:sz w:val="28"/>
                <w:szCs w:val="28"/>
              </w:rPr>
              <w:t xml:space="preserve">(2间)、物理力学实验室56座（1间）</w:t>
            </w:r>
            <w:r/>
          </w:p>
        </w:tc>
      </w:tr>
      <w:tr>
        <w:trPr>
          <w:trHeight w:val="340"/>
        </w:trPr>
        <w:tc>
          <w:tcPr>
            <w:shd w:val="clear" w:color="auto" w:fill="ffffff" w:themeFill="background1"/>
            <w:tcW w:w="545" w:type="dxa"/>
            <w:vAlign w:val="center"/>
            <w:textDirection w:val="lrTb"/>
            <w:noWrap w:val="false"/>
          </w:tcPr>
          <w:p>
            <w:pPr>
              <w:jc w:val="center"/>
              <w:widowControl/>
              <w:rPr>
                <w:rFonts w:hint="eastAsia" w:ascii="仿宋" w:hAnsi="仿宋" w:eastAsia="仿宋" w:cs="宋体"/>
                <w:b/>
                <w:bCs/>
                <w:sz w:val="24"/>
                <w:szCs w:val="24"/>
              </w:rPr>
            </w:pPr>
            <w:r>
              <w:rPr>
                <w:rFonts w:ascii="仿宋" w:hAnsi="仿宋" w:eastAsia="仿宋" w:cs="宋体"/>
                <w:b/>
                <w:bCs/>
                <w:sz w:val="24"/>
                <w:szCs w:val="24"/>
              </w:rPr>
              <w:t xml:space="preserve">序号</w:t>
            </w:r>
            <w:r/>
          </w:p>
        </w:tc>
        <w:tc>
          <w:tcPr>
            <w:shd w:val="clear" w:color="auto" w:fill="ffffff" w:themeFill="background1"/>
            <w:tcW w:w="1298" w:type="dxa"/>
            <w:vAlign w:val="center"/>
            <w:textDirection w:val="lrTb"/>
            <w:noWrap w:val="false"/>
          </w:tcPr>
          <w:p>
            <w:pPr>
              <w:jc w:val="center"/>
              <w:widowControl/>
              <w:rPr>
                <w:rFonts w:hint="eastAsia" w:ascii="仿宋" w:hAnsi="仿宋" w:eastAsia="仿宋" w:cs="宋体"/>
                <w:b/>
                <w:bCs/>
                <w:sz w:val="24"/>
                <w:szCs w:val="24"/>
              </w:rPr>
            </w:pPr>
            <w:r>
              <w:rPr>
                <w:rFonts w:ascii="仿宋" w:hAnsi="仿宋" w:eastAsia="仿宋" w:cs="宋体"/>
                <w:b/>
                <w:bCs/>
                <w:sz w:val="24"/>
                <w:szCs w:val="24"/>
              </w:rPr>
              <w:t xml:space="preserve">设备名称</w:t>
            </w:r>
            <w:r/>
          </w:p>
        </w:tc>
        <w:tc>
          <w:tcPr>
            <w:shd w:val="clear" w:color="auto" w:fill="ffffff" w:themeFill="background1"/>
            <w:tcW w:w="6379" w:type="dxa"/>
            <w:vAlign w:val="center"/>
            <w:textDirection w:val="lrTb"/>
            <w:noWrap w:val="false"/>
          </w:tcPr>
          <w:p>
            <w:pPr>
              <w:jc w:val="center"/>
              <w:widowControl/>
              <w:rPr>
                <w:rFonts w:hint="eastAsia" w:ascii="仿宋" w:hAnsi="仿宋" w:eastAsia="仿宋" w:cs="宋体"/>
                <w:b/>
                <w:bCs/>
                <w:sz w:val="24"/>
                <w:szCs w:val="24"/>
              </w:rPr>
            </w:pPr>
            <w:r>
              <w:rPr>
                <w:rFonts w:ascii="仿宋" w:hAnsi="仿宋" w:eastAsia="仿宋" w:cs="宋体"/>
                <w:b/>
                <w:bCs/>
                <w:sz w:val="24"/>
                <w:szCs w:val="24"/>
              </w:rPr>
              <w:t xml:space="preserve">技术参数</w:t>
            </w:r>
            <w:r/>
          </w:p>
        </w:tc>
        <w:tc>
          <w:tcPr>
            <w:shd w:val="clear" w:color="auto" w:fill="ffffff" w:themeFill="background1"/>
            <w:tcW w:w="567" w:type="dxa"/>
            <w:vAlign w:val="center"/>
            <w:textDirection w:val="lrTb"/>
            <w:noWrap w:val="false"/>
          </w:tcPr>
          <w:p>
            <w:pPr>
              <w:jc w:val="center"/>
              <w:widowControl/>
              <w:rPr>
                <w:rFonts w:hint="eastAsia" w:ascii="仿宋" w:hAnsi="仿宋" w:eastAsia="仿宋" w:cs="宋体"/>
                <w:b/>
                <w:bCs/>
                <w:sz w:val="24"/>
                <w:szCs w:val="24"/>
              </w:rPr>
            </w:pPr>
            <w:r>
              <w:rPr>
                <w:rFonts w:ascii="仿宋" w:hAnsi="仿宋" w:eastAsia="仿宋" w:cs="宋体"/>
                <w:b/>
                <w:bCs/>
                <w:sz w:val="24"/>
                <w:szCs w:val="24"/>
              </w:rPr>
              <w:t xml:space="preserve">单位</w:t>
            </w:r>
            <w:r/>
          </w:p>
        </w:tc>
        <w:tc>
          <w:tcPr>
            <w:shd w:val="clear" w:color="auto" w:fill="ffffff" w:themeFill="background1"/>
            <w:tcW w:w="567" w:type="dxa"/>
            <w:vAlign w:val="center"/>
            <w:textDirection w:val="lrTb"/>
            <w:noWrap w:val="false"/>
          </w:tcPr>
          <w:p>
            <w:pPr>
              <w:jc w:val="center"/>
              <w:widowControl/>
              <w:rPr>
                <w:rFonts w:hint="eastAsia" w:ascii="仿宋" w:hAnsi="仿宋" w:eastAsia="仿宋" w:cs="宋体"/>
                <w:b/>
                <w:bCs/>
                <w:sz w:val="24"/>
                <w:szCs w:val="24"/>
              </w:rPr>
            </w:pPr>
            <w:r>
              <w:rPr>
                <w:rFonts w:ascii="仿宋" w:hAnsi="仿宋" w:eastAsia="仿宋" w:cs="宋体"/>
                <w:b/>
                <w:bCs/>
                <w:sz w:val="24"/>
                <w:szCs w:val="24"/>
              </w:rPr>
              <w:t xml:space="preserve">数量</w:t>
            </w:r>
            <w:r/>
          </w:p>
        </w:tc>
      </w:tr>
      <w:tr>
        <w:trPr>
          <w:trHeight w:val="3789"/>
        </w:trPr>
        <w:tc>
          <w:tcPr>
            <w:tcW w:w="545" w:type="dxa"/>
            <w:vAlign w:val="center"/>
            <w:textDirection w:val="lrTb"/>
            <w:noWrap w:val="false"/>
          </w:tcPr>
          <w:p>
            <w:pPr>
              <w:jc w:val="cente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1</w:t>
            </w:r>
            <w:r/>
          </w:p>
        </w:tc>
        <w:tc>
          <w:tcPr>
            <w:tcW w:w="1298" w:type="dxa"/>
            <w:vAlign w:val="center"/>
            <w:textDirection w:val="lrTb"/>
            <w:noWrap w:val="false"/>
          </w:tcPr>
          <w:p>
            <w:pPr>
              <w:jc w:val="center"/>
              <w:widowControl/>
              <w:rPr>
                <w:rFonts w:hint="eastAsia" w:ascii="仿宋" w:hAnsi="仿宋" w:eastAsia="仿宋" w:cs="宋体"/>
                <w:color w:val="000000" w:themeColor="text1"/>
                <w:sz w:val="24"/>
                <w:szCs w:val="24"/>
              </w:rPr>
            </w:pPr>
            <w:r/>
            <w:bookmarkStart w:id="45" w:name="OLE_LINK1"/>
            <w:r>
              <w:rPr>
                <w:rFonts w:ascii="仿宋" w:hAnsi="仿宋" w:eastAsia="仿宋" w:cs="宋体"/>
                <w:color w:val="000000" w:themeColor="text1"/>
                <w:sz w:val="24"/>
                <w:szCs w:val="24"/>
              </w:rPr>
              <w:t xml:space="preserve">教师演示台</w:t>
            </w:r>
            <w:bookmarkEnd w:id="45"/>
            <w:r/>
            <w:r/>
          </w:p>
        </w:tc>
        <w:tc>
          <w:tcPr>
            <w:tcW w:w="6379" w:type="dxa"/>
            <w:vAlign w:val="center"/>
            <w:textDirection w:val="lrTb"/>
            <w:noWrap w:val="false"/>
          </w:tcPr>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1.</w:t>
            </w:r>
            <w:r>
              <w:rPr>
                <w:rFonts w:ascii="仿宋" w:hAnsi="仿宋" w:eastAsia="仿宋" w:cs="宋体"/>
                <w:color w:val="000000" w:themeColor="text1"/>
                <w:sz w:val="24"/>
                <w:szCs w:val="24"/>
              </w:rPr>
              <w:t xml:space="preserve">规格：2400×700×850mm</w:t>
            </w:r>
            <w:r>
              <w:rPr>
                <w:rFonts w:ascii="仿宋" w:hAnsi="仿宋" w:eastAsia="仿宋" w:cs="宋体"/>
                <w:color w:val="000000" w:themeColor="text1"/>
                <w:sz w:val="24"/>
                <w:szCs w:val="24"/>
              </w:rPr>
              <w:br w:type="page" w:clear="all"/>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2.</w:t>
            </w:r>
            <w:r>
              <w:rPr>
                <w:rFonts w:ascii="仿宋" w:hAnsi="仿宋" w:eastAsia="仿宋" w:cs="宋体"/>
                <w:color w:val="000000" w:themeColor="text1"/>
                <w:sz w:val="24"/>
                <w:szCs w:val="24"/>
              </w:rPr>
              <w:t xml:space="preserve">★台面：采用25mm厚金属树脂高能理化板，且满足如下参数要求：</w:t>
            </w:r>
            <w:r>
              <w:rPr>
                <w:rFonts w:ascii="仿宋" w:hAnsi="仿宋" w:eastAsia="仿宋" w:cs="宋体"/>
                <w:color w:val="000000" w:themeColor="text1"/>
                <w:sz w:val="24"/>
                <w:szCs w:val="24"/>
              </w:rPr>
              <w:br w:type="page" w:clear="all"/>
            </w:r>
            <w:r/>
          </w:p>
          <w:p>
            <w:pP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（1）化学性能检测：台面依据GB/T 17657-2022 《人造板及饰面人造板理化性能试验方法》标准，耐污染性能不少于130项试验污染物的检测，且包含：98%硫酸、65%硝酸、40%氢氧化钠、37%盐酸、石脑油、苯酚等试剂，覆盖玻璃盖板和未覆盖玻璃盖板检验结果均为5级：无明显变化。</w:t>
            </w:r>
            <w:r/>
          </w:p>
          <w:p>
            <w:pP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br w:type="page" w:clear="all"/>
              <w:t xml:space="preserve">（2）物理性能检测：台面依据GB/T 17657-2022 《人造板及饰面人造板理化性能试验方法》标准，满足：弹性模量≥9700MPa； 含水率：≤0.9%；尺寸稳定性：横向≤0.11%、纵向≤0.08%；表面耐磨性能：≥1200r,未出现磨损点;表面耐湿热性能：五级：无明显变化；浸渍剥离性能：贴面层与基材之间的胶层无剥离和分层现象；耐光色牢度性能:&gt;4级;漆膜附着力：六级：切割边缘完全平滑，网格内无脱落等不低于16项检测。</w:t>
            </w:r>
            <w:r>
              <w:rPr>
                <w:rFonts w:ascii="仿宋" w:hAnsi="仿宋" w:eastAsia="仿宋" w:cs="宋体"/>
                <w:color w:val="000000" w:themeColor="text1"/>
                <w:sz w:val="24"/>
                <w:szCs w:val="24"/>
              </w:rPr>
              <w:br w:type="page" w:clear="all"/>
            </w:r>
            <w:r/>
          </w:p>
          <w:p>
            <w:pP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（3）环保性能检测：台面依据GB 18580-2017《室内装饰装修材料人造板及其制品中甲醛释放限量》标准，满足甲醛释放量&lt;0.005 mg/M3；同时台面参照GB 18584-2001《室内装饰装修材料木家具中有害物质限量》标准，满足4种重金属含量mg/kg（可溶性铅≤2.2、镉：≤0.1、铬≤0.2、汞：未检出）。</w:t>
            </w:r>
            <w:r/>
          </w:p>
          <w:p>
            <w:pP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br w:type="page" w:clear="all"/>
              <w:t xml:space="preserve">（4）抗菌性能检测：台面依据JC/T2039-2010标准，满足：大肠杆菌、金黄色葡萄球菌、肺炎克雷伯氏菌、鼠伤寒沙门氏菌、表皮葡萄球菌、铜绿假单胞菌、宋氏志贺氏菌、白色葡萄球菌、粪肠球菌；耐甲氧西林金黄色葡萄球菌、单核细胞增生李斯特氏菌、变异库克菌、溶血性链球菌等不少于 13 种的菌种检测，且抗菌率≥95%。</w:t>
            </w:r>
            <w:r>
              <w:rPr>
                <w:rFonts w:ascii="仿宋" w:hAnsi="仿宋" w:eastAsia="仿宋" w:cs="宋体"/>
                <w:color w:val="000000" w:themeColor="text1"/>
                <w:sz w:val="24"/>
                <w:szCs w:val="24"/>
              </w:rPr>
              <w:br w:type="page" w:clear="all"/>
            </w:r>
            <w:r/>
          </w:p>
          <w:p>
            <w:pP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（5）防霉性能检测：台面依据JC/T2039-2010标准，满足：黑曲霉、土曲霉、球毛壳霉、宛氏拟青霉、绳状青霉、出芽短梗霉等不少于10种的霉菌检测，且防霉等级为0级。</w:t>
            </w:r>
            <w:r>
              <w:rPr>
                <w:rFonts w:ascii="仿宋" w:hAnsi="仿宋" w:eastAsia="仿宋" w:cs="宋体"/>
                <w:color w:val="000000" w:themeColor="text1"/>
                <w:sz w:val="24"/>
                <w:szCs w:val="24"/>
              </w:rPr>
              <w:br w:type="page" w:clear="all"/>
            </w:r>
            <w:r/>
          </w:p>
          <w:p>
            <w:pP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（6）燃烧性能检测：台面依据GB/T 2408-2021《塑料 燃烧性能的测定 水平法和垂直法》标准，满足：水平燃烧符合HB级；垂直燃烧符合V-0级；台面参照GB8624-2012《建筑材料及制品燃烧性能分级》标准，满足：燃烧性能等级B1级；产烟特性等级S1级；燃烧滴落物/微粒等级d0级。</w:t>
            </w:r>
            <w:r>
              <w:rPr>
                <w:rFonts w:ascii="仿宋" w:hAnsi="仿宋" w:eastAsia="仿宋" w:cs="宋体"/>
                <w:color w:val="000000" w:themeColor="text1"/>
                <w:sz w:val="24"/>
                <w:szCs w:val="24"/>
              </w:rPr>
              <w:br w:type="page" w:clear="all"/>
            </w:r>
            <w:r/>
          </w:p>
          <w:p>
            <w:pP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（7）抗老化性检测：台面依据GB/T24508-2020标准：48小时无开裂、无鼓泡、无粉化。</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★以上（1）</w:t>
            </w:r>
            <w:r>
              <w:rPr>
                <w:rFonts w:ascii="仿宋" w:hAnsi="仿宋" w:eastAsia="仿宋" w:cs="宋体"/>
                <w:color w:val="000000" w:themeColor="text1"/>
                <w:sz w:val="24"/>
                <w:szCs w:val="24"/>
              </w:rPr>
              <w:br w:type="page" w:clear="all"/>
            </w:r>
            <w:r>
              <w:rPr>
                <w:rFonts w:hint="eastAsia" w:ascii="仿宋" w:hAnsi="仿宋" w:eastAsia="仿宋" w:cs="宋体"/>
                <w:color w:val="000000" w:themeColor="text1"/>
                <w:sz w:val="24"/>
                <w:szCs w:val="24"/>
              </w:rPr>
              <w:t xml:space="preserve">-（7）</w:t>
            </w:r>
            <w:r>
              <w:rPr>
                <w:rFonts w:ascii="仿宋" w:hAnsi="仿宋" w:eastAsia="仿宋" w:cs="宋体"/>
                <w:color w:val="000000" w:themeColor="text1"/>
                <w:sz w:val="24"/>
                <w:szCs w:val="24"/>
              </w:rPr>
              <w:t xml:space="preserve">投标人</w:t>
            </w:r>
            <w:r>
              <w:rPr>
                <w:rFonts w:hint="eastAsia" w:ascii="仿宋" w:hAnsi="仿宋" w:eastAsia="仿宋" w:cs="宋体"/>
                <w:color w:val="000000" w:themeColor="text1"/>
                <w:sz w:val="24"/>
                <w:szCs w:val="24"/>
              </w:rPr>
              <w:t xml:space="preserve">或产品</w:t>
            </w:r>
            <w:r>
              <w:rPr>
                <w:rFonts w:ascii="仿宋" w:hAnsi="仿宋" w:eastAsia="仿宋" w:cs="宋体"/>
                <w:color w:val="000000" w:themeColor="text1"/>
                <w:sz w:val="24"/>
                <w:szCs w:val="24"/>
              </w:rPr>
              <w:t xml:space="preserve">制造商</w:t>
            </w:r>
            <w:r>
              <w:rPr>
                <w:rFonts w:hint="eastAsia" w:ascii="仿宋" w:hAnsi="仿宋" w:eastAsia="仿宋" w:cs="宋体"/>
                <w:color w:val="000000" w:themeColor="text1"/>
                <w:sz w:val="24"/>
                <w:szCs w:val="24"/>
              </w:rPr>
              <w:t xml:space="preserve">需提供有效期内第三方权威机构出具的</w:t>
            </w:r>
            <w:r>
              <w:rPr>
                <w:rFonts w:ascii="仿宋" w:hAnsi="仿宋" w:eastAsia="仿宋" w:cs="宋体"/>
                <w:color w:val="000000" w:themeColor="text1"/>
                <w:sz w:val="24"/>
                <w:szCs w:val="24"/>
              </w:rPr>
              <w:t xml:space="preserve">检测报告</w:t>
            </w:r>
            <w:r>
              <w:rPr>
                <w:rFonts w:hint="eastAsia" w:ascii="仿宋" w:hAnsi="仿宋" w:eastAsia="仿宋" w:cs="宋体"/>
                <w:color w:val="000000" w:themeColor="text1"/>
                <w:sz w:val="24"/>
                <w:szCs w:val="24"/>
              </w:rPr>
              <w:t xml:space="preserve">原件扫描件</w:t>
            </w:r>
            <w:r>
              <w:rPr>
                <w:rFonts w:ascii="仿宋" w:hAnsi="仿宋" w:eastAsia="仿宋" w:cs="宋体"/>
                <w:color w:val="000000" w:themeColor="text1"/>
                <w:sz w:val="24"/>
                <w:szCs w:val="24"/>
              </w:rPr>
              <w:t xml:space="preserve">。</w:t>
            </w:r>
            <w:r/>
          </w:p>
          <w:p>
            <w:pP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br w:type="page" w:clear="all"/>
            </w:r>
            <w:r>
              <w:rPr>
                <w:rFonts w:hint="eastAsia" w:ascii="仿宋" w:hAnsi="仿宋" w:eastAsia="仿宋" w:cs="宋体"/>
                <w:color w:val="000000" w:themeColor="text1"/>
                <w:sz w:val="24"/>
                <w:szCs w:val="24"/>
              </w:rPr>
              <w:t xml:space="preserve">3.</w:t>
            </w:r>
            <w:r>
              <w:rPr>
                <w:rFonts w:ascii="仿宋" w:hAnsi="仿宋" w:eastAsia="仿宋" w:cs="宋体"/>
                <w:color w:val="000000" w:themeColor="text1"/>
                <w:sz w:val="24"/>
                <w:szCs w:val="24"/>
              </w:rPr>
              <w:t xml:space="preserve">结构：全钢独立柜体结构，无需安装；演示台设有储物柜，中间为演示台，设置电源主控系统、多媒体设备（主机、显示器、中控、功放、交换机）的位置预留。</w:t>
            </w:r>
            <w:r/>
          </w:p>
          <w:p>
            <w:pP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br w:type="page" w:clear="all"/>
            </w:r>
            <w:r>
              <w:rPr>
                <w:rFonts w:hint="eastAsia" w:ascii="仿宋" w:hAnsi="仿宋" w:eastAsia="仿宋" w:cs="宋体"/>
                <w:color w:val="000000" w:themeColor="text1"/>
                <w:sz w:val="24"/>
                <w:szCs w:val="24"/>
              </w:rPr>
              <w:t xml:space="preserve">4.</w:t>
            </w:r>
            <w:r>
              <w:rPr>
                <w:rFonts w:ascii="仿宋" w:hAnsi="仿宋" w:eastAsia="仿宋" w:cs="宋体"/>
                <w:color w:val="000000" w:themeColor="text1"/>
                <w:sz w:val="24"/>
                <w:szCs w:val="24"/>
              </w:rPr>
              <w:t xml:space="preserve">柜身主体背板、吊板及所有板材均采用采用1.0优质一级冷轧钢板（SPCCT）经CNC机压成型，满焊无缝焊接工艺，表面经磷化、环氧树脂静电粉末涂装处理。</w:t>
            </w:r>
            <w:r/>
          </w:p>
          <w:p>
            <w:pP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br w:type="page" w:clear="all"/>
            </w:r>
            <w:r>
              <w:rPr>
                <w:rFonts w:hint="eastAsia" w:ascii="仿宋" w:hAnsi="仿宋" w:eastAsia="仿宋" w:cs="宋体"/>
                <w:color w:val="000000" w:themeColor="text1"/>
                <w:sz w:val="24"/>
                <w:szCs w:val="24"/>
              </w:rPr>
              <w:t xml:space="preserve">5.</w:t>
            </w:r>
            <w:r>
              <w:rPr>
                <w:rFonts w:ascii="仿宋" w:hAnsi="仿宋" w:eastAsia="仿宋" w:cs="宋体"/>
                <w:color w:val="000000" w:themeColor="text1"/>
                <w:sz w:val="24"/>
                <w:szCs w:val="24"/>
              </w:rPr>
              <w:t xml:space="preserve">柜门：双包结构。</w:t>
            </w:r>
            <w:r/>
          </w:p>
          <w:p>
            <w:pP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br w:type="page" w:clear="all"/>
            </w:r>
            <w:r>
              <w:rPr>
                <w:rFonts w:hint="eastAsia" w:ascii="仿宋" w:hAnsi="仿宋" w:eastAsia="仿宋" w:cs="宋体"/>
                <w:color w:val="000000" w:themeColor="text1"/>
                <w:sz w:val="24"/>
                <w:szCs w:val="24"/>
              </w:rPr>
              <w:t xml:space="preserve">6.</w:t>
            </w:r>
            <w:r>
              <w:rPr>
                <w:rFonts w:ascii="仿宋" w:hAnsi="仿宋" w:eastAsia="仿宋" w:cs="宋体"/>
                <w:color w:val="000000" w:themeColor="text1"/>
                <w:sz w:val="24"/>
                <w:szCs w:val="24"/>
              </w:rPr>
              <w:t xml:space="preserve">门铰：采用锌合金铰链。自闭式，与柜体面水平角度&lt;15度时，柜门即可自行关闭，使用过程中无噪音，可开关十万次。</w:t>
            </w:r>
            <w:r/>
          </w:p>
          <w:p>
            <w:pP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br w:type="page" w:clear="all"/>
            </w:r>
            <w:r>
              <w:rPr>
                <w:rFonts w:hint="eastAsia" w:ascii="仿宋" w:hAnsi="仿宋" w:eastAsia="仿宋" w:cs="宋体"/>
                <w:color w:val="000000" w:themeColor="text1"/>
                <w:sz w:val="24"/>
                <w:szCs w:val="24"/>
              </w:rPr>
              <w:t xml:space="preserve">7.</w:t>
            </w:r>
            <w:r>
              <w:rPr>
                <w:rFonts w:ascii="仿宋" w:hAnsi="仿宋" w:eastAsia="仿宋" w:cs="宋体"/>
                <w:color w:val="000000" w:themeColor="text1"/>
                <w:sz w:val="24"/>
                <w:szCs w:val="24"/>
              </w:rPr>
              <w:t xml:space="preserve">滑轨：三节静音滑轨，承重性强、滑动性能良好、无噪音开合十万次不变形。</w:t>
            </w:r>
            <w:r/>
          </w:p>
          <w:p>
            <w:pP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br w:type="page" w:clear="all"/>
            </w:r>
            <w:r>
              <w:rPr>
                <w:rFonts w:hint="eastAsia" w:ascii="仿宋" w:hAnsi="仿宋" w:eastAsia="仿宋" w:cs="宋体"/>
                <w:color w:val="000000" w:themeColor="text1"/>
                <w:sz w:val="24"/>
                <w:szCs w:val="24"/>
              </w:rPr>
              <w:t xml:space="preserve">8.</w:t>
            </w:r>
            <w:r>
              <w:rPr>
                <w:rFonts w:ascii="仿宋" w:hAnsi="仿宋" w:eastAsia="仿宋" w:cs="宋体"/>
                <w:color w:val="000000" w:themeColor="text1"/>
                <w:sz w:val="24"/>
                <w:szCs w:val="24"/>
              </w:rPr>
              <w:t xml:space="preserve">拉手：一字内隐藏拉手，与门板抽屉连为一体，造型独特美观。</w:t>
            </w:r>
            <w:r/>
          </w:p>
          <w:p>
            <w:pP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br w:type="page" w:clear="all"/>
            </w:r>
            <w:r>
              <w:rPr>
                <w:rFonts w:hint="eastAsia" w:ascii="仿宋" w:hAnsi="仿宋" w:eastAsia="仿宋" w:cs="宋体"/>
                <w:color w:val="000000" w:themeColor="text1"/>
                <w:sz w:val="24"/>
                <w:szCs w:val="24"/>
              </w:rPr>
              <w:t xml:space="preserve">9.</w:t>
            </w:r>
            <w:r>
              <w:rPr>
                <w:rFonts w:ascii="仿宋" w:hAnsi="仿宋" w:eastAsia="仿宋" w:cs="宋体"/>
                <w:color w:val="000000" w:themeColor="text1"/>
                <w:sz w:val="24"/>
                <w:szCs w:val="24"/>
              </w:rPr>
              <w:t xml:space="preserve">脚垫：ABS注塑专用垫，具有高度可调、耐磨、防潮、耐腐蚀等特点。</w:t>
            </w:r>
            <w:r/>
          </w:p>
          <w:p>
            <w:pP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br w:type="page" w:clear="all"/>
            </w:r>
            <w:r>
              <w:rPr>
                <w:rFonts w:hint="eastAsia" w:ascii="仿宋" w:hAnsi="仿宋" w:eastAsia="仿宋" w:cs="宋体"/>
                <w:color w:val="000000" w:themeColor="text1"/>
                <w:sz w:val="24"/>
                <w:szCs w:val="24"/>
              </w:rPr>
              <w:t xml:space="preserve">10.</w:t>
            </w:r>
            <w:r>
              <w:rPr>
                <w:rFonts w:ascii="仿宋" w:hAnsi="仿宋" w:eastAsia="仿宋" w:cs="宋体"/>
                <w:color w:val="000000" w:themeColor="text1"/>
                <w:sz w:val="24"/>
                <w:szCs w:val="24"/>
              </w:rPr>
              <w:t xml:space="preserve">抽屉下垂度≤20，抽屉摆动度≤15；</w:t>
            </w:r>
            <w:r/>
          </w:p>
          <w:p>
            <w:pP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br w:type="page" w:clear="all"/>
            </w:r>
            <w:r>
              <w:rPr>
                <w:rFonts w:hint="eastAsia" w:ascii="仿宋" w:hAnsi="仿宋" w:eastAsia="仿宋" w:cs="宋体"/>
                <w:color w:val="000000" w:themeColor="text1"/>
                <w:sz w:val="24"/>
                <w:szCs w:val="24"/>
              </w:rPr>
              <w:t xml:space="preserve">11.</w:t>
            </w:r>
            <w:r>
              <w:rPr>
                <w:rFonts w:ascii="仿宋" w:hAnsi="仿宋" w:eastAsia="仿宋" w:cs="宋体"/>
                <w:color w:val="000000" w:themeColor="text1"/>
                <w:sz w:val="24"/>
                <w:szCs w:val="24"/>
              </w:rPr>
              <w:t xml:space="preserve">金属喷漆（塑）涂层理化性能：硬度：≥H,冲击强度：冲击高度400MM，无剥落、裂纹、皱纹；耐腐蚀：100h后，无锈迹、剥落、起皱、变色和失光等现象；</w:t>
            </w:r>
            <w:r/>
          </w:p>
        </w:tc>
        <w:tc>
          <w:tcPr>
            <w:tcW w:w="567" w:type="dxa"/>
            <w:vAlign w:val="center"/>
            <w:textDirection w:val="lrTb"/>
            <w:noWrap w:val="false"/>
          </w:tcPr>
          <w:p>
            <w:pPr>
              <w:jc w:val="cente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张</w:t>
            </w:r>
            <w:r/>
          </w:p>
        </w:tc>
        <w:tc>
          <w:tcPr>
            <w:tcW w:w="567" w:type="dxa"/>
            <w:vAlign w:val="center"/>
            <w:textDirection w:val="lrTb"/>
            <w:noWrap w:val="false"/>
          </w:tcPr>
          <w:p>
            <w:pPr>
              <w:jc w:val="cente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3</w:t>
            </w:r>
            <w:r/>
          </w:p>
        </w:tc>
      </w:tr>
      <w:tr>
        <w:trPr>
          <w:trHeight w:val="1379"/>
        </w:trPr>
        <w:tc>
          <w:tcPr>
            <w:tcW w:w="545" w:type="dxa"/>
            <w:vAlign w:val="center"/>
            <w:textDirection w:val="lrTb"/>
            <w:noWrap w:val="false"/>
          </w:tcPr>
          <w:p>
            <w:pPr>
              <w:jc w:val="cente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2</w:t>
            </w:r>
            <w:r/>
          </w:p>
        </w:tc>
        <w:tc>
          <w:tcPr>
            <w:tcW w:w="1298" w:type="dxa"/>
            <w:vAlign w:val="center"/>
            <w:textDirection w:val="lrTb"/>
            <w:noWrap w:val="false"/>
          </w:tcPr>
          <w:p>
            <w:pPr>
              <w:jc w:val="cente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实验室智能控制系统（智能控制箱）</w:t>
            </w:r>
            <w:r/>
          </w:p>
        </w:tc>
        <w:tc>
          <w:tcPr>
            <w:tcW w:w="6379" w:type="dxa"/>
            <w:vAlign w:val="center"/>
            <w:textDirection w:val="lrTb"/>
            <w:noWrap w:val="false"/>
          </w:tcPr>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按教育行业标准电源主控台分为控制板和主机两部分，控制板采用机械抽屉式，控制显示屏采用7寸彩色液晶屏+触摸屏，人性化全触控界面，直观操作，显示多媒体教室图片、windows界面图片，画面清晰，在各个界面上显示时钟，主菜单分为4部分为：多媒体控制、学生低压控制、学生高压控制和操作使用说明书，便于操作；触摸屏输入功能指示、密码开机、定时关机，220V分四组控制学生电源，在获得权限后可任意修改密码和定时关机时间；具有多媒体设备控制和操作功能，满</w:t>
            </w:r>
            <w:r>
              <w:rPr>
                <w:rFonts w:hint="eastAsia" w:ascii="仿宋" w:hAnsi="仿宋" w:eastAsia="仿宋" w:cs="宋体"/>
                <w:color w:val="000000" w:themeColor="text1"/>
                <w:sz w:val="24"/>
                <w:szCs w:val="24"/>
              </w:rPr>
              <w:t xml:space="preserve">足多媒体教学需要；通过数字键盘可直接选取并控制学生低压交直流电源；交流低压输出0－30V，直流低压输出0－30V，直流高压输出240V-300V/100Ma，直流稳压输出0-18V/3A、18-30V/3A，教学部分交流低压输出0-18V/4A、18-30V/3A，通过数字键盘直接选择。短时间大电流输出9V/40A±10A（≤10S 自动关闭），直流9V 输出，每启动一次，输出时间为10 秒。交直流低压输出均设有过载保护。电源主控台需与教师演示台一体化。工作要求交流220V 电源通过变压器变压，供下述电源；</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1、交流低压输出：由主机面板触摸屏选择，得到可变得交流低压，供教师和学生使用。</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2、直流低压输出：由主机操作面触摸屏开关选择，供教师和学生使用。</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3、直流9V、40A/8s 大电流短时输出：由主机触摸屏界面选择，经桥式电流后得到脉动的直流大电流。输出电流为40A ±10A，试验时，输出电流＞10A，工作时间在8S 自动关断。9V、40A/8S 电流仅供教师使用。</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4、直流高压240V-300V 电压输出，由主机点击选择后输出孔直接送出，直流高压240V-300V 电压输出，电流为100mA。</w:t>
            </w:r>
            <w:r/>
          </w:p>
          <w:p>
            <w:pPr>
              <w:pStyle w:val="1142"/>
              <w:ind w:firstLine="0"/>
              <w:rPr>
                <w:rFonts w:eastAsia="仿宋"/>
                <w:color w:val="000000" w:themeColor="text1"/>
              </w:rPr>
            </w:pPr>
            <w:r>
              <w:rPr>
                <w:rFonts w:hint="eastAsia" w:ascii="仿宋" w:hAnsi="仿宋" w:eastAsia="仿宋" w:cs="宋体"/>
                <w:color w:val="000000" w:themeColor="text1"/>
                <w:sz w:val="24"/>
                <w:szCs w:val="24"/>
              </w:rPr>
              <w:t xml:space="preserve">★</w:t>
            </w:r>
            <w:r>
              <w:rPr>
                <w:rFonts w:hint="eastAsia" w:ascii="仿宋" w:hAnsi="仿宋" w:eastAsia="仿宋" w:cs="宋体"/>
                <w:color w:val="000000" w:themeColor="text1"/>
                <w:sz w:val="24"/>
                <w:szCs w:val="24"/>
              </w:rPr>
              <w:t xml:space="preserve">5、提供电源控制箱低压电器3C证明；</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w:t>
            </w:r>
            <w:r>
              <w:rPr>
                <w:rFonts w:hint="eastAsia" w:ascii="仿宋" w:hAnsi="仿宋" w:eastAsia="仿宋" w:cs="宋体"/>
                <w:color w:val="000000" w:themeColor="text1"/>
                <w:sz w:val="24"/>
                <w:szCs w:val="24"/>
              </w:rPr>
              <w:t xml:space="preserve">技术要求：</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根据GB 4943.1-2022中5.7要求：初级可触及接地零部件，接触电流限值≤ 7.07mA；</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根据GB 4943.1-2022中5.4.8湿热试验要求：在不工作条件下，受试样品进行40℃ 93%R.H. 120h湿热处理，试验后根据GB </w:t>
            </w:r>
            <w:r>
              <w:rPr>
                <w:rFonts w:hint="eastAsia" w:ascii="仿宋" w:hAnsi="仿宋" w:eastAsia="仿宋" w:cs="宋体"/>
                <w:color w:val="000000" w:themeColor="text1"/>
                <w:sz w:val="24"/>
                <w:szCs w:val="24"/>
              </w:rPr>
              <w:t xml:space="preserve">4943.1-2022中5.4.9要求：对受试样品进行初级-次级不接地部件4000VDC/1min抗电强度测试，绝缘应不击穿。</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加</w:t>
            </w:r>
            <w:r>
              <w:rPr>
                <w:rFonts w:ascii="仿宋" w:hAnsi="仿宋" w:eastAsia="仿宋" w:cs="宋体"/>
                <w:color w:val="000000" w:themeColor="text1"/>
                <w:sz w:val="24"/>
                <w:szCs w:val="24"/>
              </w:rPr>
              <w:t xml:space="preserve">“</w:t>
            </w:r>
            <w:r>
              <w:rPr>
                <w:rFonts w:hint="eastAsia" w:ascii="仿宋" w:hAnsi="仿宋" w:eastAsia="仿宋" w:cs="宋体"/>
                <w:color w:val="000000" w:themeColor="text1"/>
                <w:sz w:val="24"/>
                <w:szCs w:val="24"/>
              </w:rPr>
              <w:t xml:space="preserve">★</w:t>
            </w:r>
            <w:r>
              <w:rPr>
                <w:rFonts w:ascii="仿宋" w:hAnsi="仿宋" w:eastAsia="仿宋" w:cs="宋体"/>
                <w:color w:val="000000" w:themeColor="text1"/>
                <w:sz w:val="24"/>
                <w:szCs w:val="24"/>
              </w:rPr>
              <w:t xml:space="preserve">”投标人</w:t>
            </w:r>
            <w:r>
              <w:rPr>
                <w:rFonts w:hint="eastAsia" w:ascii="仿宋" w:hAnsi="仿宋" w:eastAsia="仿宋" w:cs="宋体"/>
                <w:color w:val="000000" w:themeColor="text1"/>
                <w:sz w:val="24"/>
                <w:szCs w:val="24"/>
              </w:rPr>
              <w:t xml:space="preserve">或产品</w:t>
            </w:r>
            <w:r>
              <w:rPr>
                <w:rFonts w:ascii="仿宋" w:hAnsi="仿宋" w:eastAsia="仿宋" w:cs="宋体"/>
                <w:color w:val="000000" w:themeColor="text1"/>
                <w:sz w:val="24"/>
                <w:szCs w:val="24"/>
              </w:rPr>
              <w:t xml:space="preserve">制造商</w:t>
            </w:r>
            <w:r>
              <w:rPr>
                <w:rFonts w:hint="eastAsia" w:ascii="仿宋" w:hAnsi="仿宋" w:eastAsia="仿宋" w:cs="宋体"/>
                <w:color w:val="000000" w:themeColor="text1"/>
                <w:sz w:val="24"/>
                <w:szCs w:val="24"/>
              </w:rPr>
              <w:t xml:space="preserve">需提供有效期内第三方权威机构出具的</w:t>
            </w:r>
            <w:r>
              <w:rPr>
                <w:rFonts w:ascii="仿宋" w:hAnsi="仿宋" w:eastAsia="仿宋" w:cs="宋体"/>
                <w:color w:val="000000" w:themeColor="text1"/>
                <w:sz w:val="24"/>
                <w:szCs w:val="24"/>
              </w:rPr>
              <w:t xml:space="preserve">检测报告</w:t>
            </w:r>
            <w:r>
              <w:rPr>
                <w:rFonts w:hint="eastAsia" w:ascii="仿宋" w:hAnsi="仿宋" w:eastAsia="仿宋" w:cs="宋体"/>
                <w:color w:val="000000" w:themeColor="text1"/>
                <w:sz w:val="24"/>
                <w:szCs w:val="24"/>
              </w:rPr>
              <w:t xml:space="preserve">原件扫描件</w:t>
            </w:r>
            <w:r>
              <w:rPr>
                <w:rFonts w:ascii="仿宋" w:hAnsi="仿宋" w:eastAsia="仿宋" w:cs="宋体"/>
                <w:color w:val="000000" w:themeColor="text1"/>
                <w:sz w:val="24"/>
                <w:szCs w:val="24"/>
              </w:rPr>
              <w:t xml:space="preserve">。</w:t>
            </w:r>
            <w:r/>
          </w:p>
        </w:tc>
        <w:tc>
          <w:tcPr>
            <w:tcW w:w="567" w:type="dxa"/>
            <w:vAlign w:val="center"/>
            <w:textDirection w:val="lrTb"/>
            <w:noWrap w:val="false"/>
          </w:tcPr>
          <w:p>
            <w:pPr>
              <w:jc w:val="cente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台</w:t>
            </w:r>
            <w:r/>
          </w:p>
        </w:tc>
        <w:tc>
          <w:tcPr>
            <w:tcW w:w="567" w:type="dxa"/>
            <w:vAlign w:val="center"/>
            <w:textDirection w:val="lrTb"/>
            <w:noWrap w:val="false"/>
          </w:tcPr>
          <w:p>
            <w:pPr>
              <w:jc w:val="cente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3</w:t>
            </w:r>
            <w:r/>
          </w:p>
        </w:tc>
      </w:tr>
      <w:tr>
        <w:trPr>
          <w:trHeight w:val="558"/>
        </w:trPr>
        <w:tc>
          <w:tcPr>
            <w:tcW w:w="545" w:type="dxa"/>
            <w:vAlign w:val="center"/>
            <w:textDirection w:val="lrTb"/>
            <w:noWrap w:val="false"/>
          </w:tcPr>
          <w:p>
            <w:pPr>
              <w:jc w:val="cente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3</w:t>
            </w:r>
            <w:r/>
          </w:p>
        </w:tc>
        <w:tc>
          <w:tcPr>
            <w:tcW w:w="1298" w:type="dxa"/>
            <w:vAlign w:val="center"/>
            <w:textDirection w:val="lrTb"/>
            <w:noWrap w:val="false"/>
          </w:tcPr>
          <w:p>
            <w:pPr>
              <w:jc w:val="cente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教师椅</w:t>
            </w:r>
            <w:r/>
          </w:p>
        </w:tc>
        <w:tc>
          <w:tcPr>
            <w:tcW w:w="6379" w:type="dxa"/>
            <w:vAlign w:val="center"/>
            <w:textDirection w:val="lrTb"/>
            <w:noWrap w:val="false"/>
          </w:tcPr>
          <w:p>
            <w:pP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1.规格：≥500*600*1100-1300mm。</w:t>
            </w:r>
            <w:r/>
          </w:p>
          <w:p>
            <w:pP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br w:type="page" w:clear="all"/>
              <w:t xml:space="preserve">2.靠背带有可上下前后调节腰靠。椅面、靠背选用优质网布面料，透气性强、无异味，靠背可≥130度后仰。</w:t>
            </w:r>
            <w:r/>
          </w:p>
          <w:p>
            <w:pP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br w:type="page" w:clear="all"/>
              <w:t xml:space="preserve">3.带有可上下及俯仰角度调节头枕，上下调整高度≥15cm适配大范围主流身高。</w:t>
            </w:r>
            <w:r>
              <w:rPr>
                <w:rFonts w:ascii="仿宋" w:hAnsi="仿宋" w:eastAsia="仿宋" w:cs="宋体"/>
                <w:color w:val="000000" w:themeColor="text1"/>
                <w:sz w:val="24"/>
                <w:szCs w:val="24"/>
              </w:rPr>
              <w:br w:type="page" w:clear="all"/>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4</w:t>
            </w:r>
            <w:r>
              <w:rPr>
                <w:rFonts w:ascii="仿宋" w:hAnsi="仿宋" w:eastAsia="仿宋" w:cs="宋体"/>
                <w:color w:val="000000" w:themeColor="text1"/>
                <w:sz w:val="24"/>
                <w:szCs w:val="24"/>
              </w:rPr>
              <w:t xml:space="preserve">.座垫采用高密度发泡成型棉，回弹性好、不易变形，不老化，依人体坐姿特别设计，符合人体工学。</w:t>
            </w:r>
            <w:r/>
          </w:p>
          <w:p>
            <w:pP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br w:type="page" w:clear="all"/>
            </w:r>
            <w:r>
              <w:rPr>
                <w:rFonts w:hint="eastAsia" w:ascii="仿宋" w:hAnsi="仿宋" w:eastAsia="仿宋" w:cs="宋体"/>
                <w:color w:val="000000" w:themeColor="text1"/>
                <w:sz w:val="24"/>
                <w:szCs w:val="24"/>
              </w:rPr>
              <w:t xml:space="preserve">5</w:t>
            </w:r>
            <w:r>
              <w:rPr>
                <w:rFonts w:ascii="仿宋" w:hAnsi="仿宋" w:eastAsia="仿宋" w:cs="宋体"/>
                <w:color w:val="000000" w:themeColor="text1"/>
                <w:sz w:val="24"/>
                <w:szCs w:val="24"/>
              </w:rPr>
              <w:t xml:space="preserve">.配有扶手，优质圆五星脚配活动脚轮，气压调节座位高度。</w:t>
            </w:r>
            <w:r/>
          </w:p>
        </w:tc>
        <w:tc>
          <w:tcPr>
            <w:tcW w:w="567" w:type="dxa"/>
            <w:vAlign w:val="center"/>
            <w:textDirection w:val="lrTb"/>
            <w:noWrap w:val="false"/>
          </w:tcPr>
          <w:p>
            <w:pPr>
              <w:jc w:val="cente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个</w:t>
            </w:r>
            <w:r/>
          </w:p>
        </w:tc>
        <w:tc>
          <w:tcPr>
            <w:tcW w:w="567" w:type="dxa"/>
            <w:vAlign w:val="center"/>
            <w:textDirection w:val="lrTb"/>
            <w:noWrap w:val="false"/>
          </w:tcPr>
          <w:p>
            <w:pPr>
              <w:jc w:val="cente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3</w:t>
            </w:r>
            <w:r/>
          </w:p>
        </w:tc>
      </w:tr>
      <w:tr>
        <w:trPr>
          <w:trHeight w:val="1147"/>
        </w:trPr>
        <w:tc>
          <w:tcPr>
            <w:tcW w:w="545" w:type="dxa"/>
            <w:vAlign w:val="center"/>
            <w:textDirection w:val="lrTb"/>
            <w:noWrap w:val="false"/>
          </w:tcPr>
          <w:p>
            <w:pPr>
              <w:jc w:val="cente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4</w:t>
            </w:r>
            <w:r/>
          </w:p>
        </w:tc>
        <w:tc>
          <w:tcPr>
            <w:tcW w:w="1298" w:type="dxa"/>
            <w:vAlign w:val="center"/>
            <w:textDirection w:val="lrTb"/>
            <w:noWrap w:val="false"/>
          </w:tcPr>
          <w:p>
            <w:pPr>
              <w:jc w:val="cente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实验台</w:t>
            </w:r>
            <w:r/>
          </w:p>
        </w:tc>
        <w:tc>
          <w:tcPr>
            <w:tcW w:w="6379" w:type="dxa"/>
            <w:vAlign w:val="center"/>
            <w:textDirection w:val="lrTb"/>
            <w:noWrap w:val="false"/>
          </w:tcPr>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1、规格：1200*600*780</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★2、采用20mm厚无甲醛新型环保陶瓷台面，台面表面为实验室专业耐腐蚀、耐污染、抗冲击釉面。坯体一体实芯，釉面和坯体经高温一体烧结而成。</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(1)外观要求：外观为五面坯体，表面釉面为烧成颜色；坯体敲碎后，无空洞、无直径2mm以上气泡、无杂色，为一体实芯坯体；釉面与坯体之间无脱层，釉面与坯体呈一体结构，釉面为烧成颜色，非坯体颜色。</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(2)耐化学腐蚀性能：为保证台面耐化学腐蚀的稳定性，台面耐化学腐蚀性不低于GLA级。</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(3)、抗冲击性能：为保证台面使用的安全性，台面抗冲击性（恢复系数）不低于0.841。</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(4)、防潮要求：为保证台面防潮、防霉的性能，参照GB/T4100-2015（陶瓷砖）附录G标准，台面吸水率测试平均值≤0.05％。</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(5)、放射性核素限量要求：参照GB6566-2010《建筑材料放射性核素限量》标准，检测结果：内照射指数≤0.4。</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(6)、颜色稳定性：为保证台面的美观度，参照GB/T17657-2022标准,耐光色牢度不低于4级。</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以上（4）-（6）技术要求，</w:t>
            </w:r>
            <w:r>
              <w:rPr>
                <w:rFonts w:ascii="仿宋" w:hAnsi="仿宋" w:eastAsia="仿宋" w:cs="宋体"/>
                <w:color w:val="000000" w:themeColor="text1"/>
                <w:sz w:val="24"/>
                <w:szCs w:val="24"/>
              </w:rPr>
              <w:t xml:space="preserve">投标人</w:t>
            </w:r>
            <w:r>
              <w:rPr>
                <w:rFonts w:hint="eastAsia" w:ascii="仿宋" w:hAnsi="仿宋" w:eastAsia="仿宋" w:cs="宋体"/>
                <w:color w:val="000000" w:themeColor="text1"/>
                <w:sz w:val="24"/>
                <w:szCs w:val="24"/>
              </w:rPr>
              <w:t xml:space="preserve">或产品</w:t>
            </w:r>
            <w:r>
              <w:rPr>
                <w:rFonts w:ascii="仿宋" w:hAnsi="仿宋" w:eastAsia="仿宋" w:cs="宋体"/>
                <w:color w:val="000000" w:themeColor="text1"/>
                <w:sz w:val="24"/>
                <w:szCs w:val="24"/>
              </w:rPr>
              <w:t xml:space="preserve">制造商</w:t>
            </w:r>
            <w:r>
              <w:rPr>
                <w:rFonts w:hint="eastAsia" w:ascii="仿宋" w:hAnsi="仿宋" w:eastAsia="仿宋" w:cs="宋体"/>
                <w:color w:val="000000" w:themeColor="text1"/>
                <w:sz w:val="24"/>
                <w:szCs w:val="24"/>
              </w:rPr>
              <w:t xml:space="preserve">需提供有效期内第三方权威机构出具的</w:t>
            </w:r>
            <w:r>
              <w:rPr>
                <w:rFonts w:ascii="仿宋" w:hAnsi="仿宋" w:eastAsia="仿宋" w:cs="宋体"/>
                <w:color w:val="000000" w:themeColor="text1"/>
                <w:sz w:val="24"/>
                <w:szCs w:val="24"/>
              </w:rPr>
              <w:t xml:space="preserve">检测报告</w:t>
            </w:r>
            <w:r>
              <w:rPr>
                <w:rFonts w:hint="eastAsia" w:ascii="仿宋" w:hAnsi="仿宋" w:eastAsia="仿宋" w:cs="宋体"/>
                <w:color w:val="000000" w:themeColor="text1"/>
                <w:sz w:val="24"/>
                <w:szCs w:val="24"/>
              </w:rPr>
              <w:t xml:space="preserve">原件扫描件</w:t>
            </w:r>
            <w:r>
              <w:rPr>
                <w:rFonts w:ascii="仿宋" w:hAnsi="仿宋" w:eastAsia="仿宋" w:cs="宋体"/>
                <w:color w:val="000000" w:themeColor="text1"/>
                <w:sz w:val="24"/>
                <w:szCs w:val="24"/>
              </w:rPr>
              <w:t xml:space="preserve">。</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3、台身结构：新型塑铝结构，学生位镂空式，符合人体工程学设计，美观大方。</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桌身：由桌腿、立柱、大横梁、前横梁、中横梁、后横梁组成。</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桌腿：采用工字型压铸铝一次成型，三段链接。</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上腿规格：≥长590*宽55*高110mm，部分壁厚≥3.5mm，内侧设有凹槽。</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下腿规格：≥长540*宽55*高105mm，部分壁厚≥3.5mm，下脚正面设有塑料卡盖，组装完成后更加美观。</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立柱：采用≥120*55mm，壁厚≥2.0mm。立柱两端内部有2个铸铝成型的螺丝链接位。</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前横梁：≥37*30mm，壁厚≥1.5mm。中横梁：≥40*30mm，壁厚≥1.5mm。</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后横梁：≥37*30mm,壁厚≥1.5mm。后横梁上侧设50MM挡水板，防止物品滑落，挡水板两侧有塑料堵头圆角处理安全不刮伤。</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加强横支撑件：采用60*30mm椭圆管，壁厚≥1.5mm。表面经高压静电喷涂环氧树脂防护层，耐酸碱，耐腐蚀处理。</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4、书包斗:420*260*155MM，采用环保型PP材料一次性注塑成型，上面设计有可悬挂凳子的圆形孔，镂空独特造型，简洁时尚。两个书包斗中间设有电源盒，方便使用。产品特点：零甲醛、零污染、易擦洗、耐老化、环保、回收率高。  </w:t>
            </w:r>
            <w:r/>
          </w:p>
        </w:tc>
        <w:tc>
          <w:tcPr>
            <w:tcW w:w="567" w:type="dxa"/>
            <w:vAlign w:val="center"/>
            <w:textDirection w:val="lrTb"/>
            <w:noWrap w:val="false"/>
          </w:tcPr>
          <w:p>
            <w:pPr>
              <w:jc w:val="cente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张</w:t>
            </w:r>
            <w:r/>
          </w:p>
        </w:tc>
        <w:tc>
          <w:tcPr>
            <w:tcW w:w="567" w:type="dxa"/>
            <w:vAlign w:val="center"/>
            <w:textDirection w:val="lrTb"/>
            <w:noWrap w:val="false"/>
          </w:tcPr>
          <w:p>
            <w:pPr>
              <w:jc w:val="cente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84</w:t>
            </w:r>
            <w:r/>
          </w:p>
        </w:tc>
      </w:tr>
      <w:tr>
        <w:trPr>
          <w:trHeight w:val="953"/>
        </w:trPr>
        <w:tc>
          <w:tcPr>
            <w:tcW w:w="545" w:type="dxa"/>
            <w:vAlign w:val="center"/>
            <w:textDirection w:val="lrTb"/>
            <w:noWrap w:val="false"/>
          </w:tcPr>
          <w:p>
            <w:pPr>
              <w:jc w:val="cente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5</w:t>
            </w:r>
            <w:r/>
          </w:p>
        </w:tc>
        <w:tc>
          <w:tcPr>
            <w:tcW w:w="1298" w:type="dxa"/>
            <w:vAlign w:val="center"/>
            <w:textDirection w:val="lrTb"/>
            <w:noWrap w:val="false"/>
          </w:tcPr>
          <w:p>
            <w:pPr>
              <w:jc w:val="cente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多功能柱</w:t>
            </w:r>
            <w:r/>
          </w:p>
        </w:tc>
        <w:tc>
          <w:tcPr>
            <w:tcW w:w="6379" w:type="dxa"/>
            <w:vAlign w:val="center"/>
            <w:textDirection w:val="lrTb"/>
            <w:noWrap w:val="false"/>
          </w:tcPr>
          <w:p>
            <w:pP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功能柱：</w:t>
            </w:r>
            <w:r>
              <w:rPr>
                <w:rFonts w:ascii="仿宋" w:hAnsi="仿宋" w:eastAsia="仿宋" w:cs="宋体"/>
                <w:color w:val="000000" w:themeColor="text1"/>
                <w:sz w:val="24"/>
                <w:szCs w:val="24"/>
              </w:rPr>
              <w:br w:type="page" w:clear="all"/>
              <w:t xml:space="preserve">1.尺寸（长×宽×高）：≥350*230*725mm，采用ABS工程塑料一次性注塑成型，圆弧形设计，表面沙面和光面相结合处理。</w:t>
            </w:r>
            <w:r/>
          </w:p>
          <w:p>
            <w:pP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br w:type="page" w:clear="all"/>
              <w:t xml:space="preserve">2.两侧设有黑色钣金固定装饰，尺寸长≥480mm，宽33≥mm，厚≥1mm，造型美观。</w:t>
            </w:r>
            <w:r/>
          </w:p>
          <w:p>
            <w:pP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br w:type="page" w:clear="all"/>
              <w:t xml:space="preserve">3.主要功能是保护学生通风管道及电线电缆作用，配套于学生桌。</w:t>
            </w:r>
            <w:r/>
          </w:p>
        </w:tc>
        <w:tc>
          <w:tcPr>
            <w:tcW w:w="567" w:type="dxa"/>
            <w:vAlign w:val="center"/>
            <w:textDirection w:val="lrTb"/>
            <w:noWrap w:val="false"/>
          </w:tcPr>
          <w:p>
            <w:pPr>
              <w:jc w:val="cente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个</w:t>
            </w:r>
            <w:r/>
          </w:p>
        </w:tc>
        <w:tc>
          <w:tcPr>
            <w:tcW w:w="567" w:type="dxa"/>
            <w:vAlign w:val="center"/>
            <w:textDirection w:val="lrTb"/>
            <w:noWrap w:val="false"/>
          </w:tcPr>
          <w:p>
            <w:pPr>
              <w:jc w:val="cente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84</w:t>
            </w:r>
            <w:r/>
          </w:p>
        </w:tc>
      </w:tr>
      <w:tr>
        <w:trPr>
          <w:trHeight w:val="557"/>
        </w:trPr>
        <w:tc>
          <w:tcPr>
            <w:tcW w:w="545" w:type="dxa"/>
            <w:vAlign w:val="center"/>
            <w:textDirection w:val="lrTb"/>
            <w:noWrap w:val="false"/>
          </w:tcPr>
          <w:p>
            <w:pPr>
              <w:jc w:val="cente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6</w:t>
            </w:r>
            <w:r>
              <w:rPr>
                <w:rFonts w:hint="eastAsia" w:ascii="仿宋" w:hAnsi="仿宋" w:eastAsia="仿宋" w:cs="宋体"/>
                <w:color w:val="000000" w:themeColor="text1"/>
                <w:sz w:val="24"/>
                <w:szCs w:val="24"/>
              </w:rPr>
              <w:t xml:space="preserve">.1</w:t>
            </w:r>
            <w:r/>
          </w:p>
        </w:tc>
        <w:tc>
          <w:tcPr>
            <w:tcW w:w="1298" w:type="dxa"/>
            <w:vAlign w:val="center"/>
            <w:textDirection w:val="lrTb"/>
            <w:noWrap w:val="false"/>
          </w:tcPr>
          <w:p>
            <w:pPr>
              <w:jc w:val="cente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学生操作终端（智能学生终端）</w:t>
            </w:r>
            <w:r>
              <w:rPr>
                <w:rFonts w:hint="eastAsia" w:ascii="仿宋" w:hAnsi="仿宋" w:eastAsia="仿宋" w:cs="宋体"/>
                <w:color w:val="000000" w:themeColor="text1"/>
                <w:sz w:val="24"/>
                <w:szCs w:val="24"/>
              </w:rPr>
              <w:t xml:space="preserve">---</w:t>
            </w:r>
            <w:r>
              <w:rPr>
                <w:rFonts w:ascii="仿宋" w:hAnsi="仿宋" w:eastAsia="仿宋" w:cs="宋体"/>
                <w:color w:val="000000" w:themeColor="text1"/>
                <w:sz w:val="24"/>
                <w:szCs w:val="24"/>
              </w:rPr>
              <w:t xml:space="preserve">物理电学实验室56座(2间)</w:t>
            </w:r>
            <w:r/>
          </w:p>
        </w:tc>
        <w:tc>
          <w:tcPr>
            <w:tcW w:w="6379" w:type="dxa"/>
            <w:vAlign w:val="center"/>
            <w:textDirection w:val="lrTb"/>
            <w:noWrap w:val="false"/>
          </w:tcPr>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1.学生电源采用耐磨、耐腐蚀、耐高温（≤140℃）的PC亮光薄膜面板，学生电源的控制采用“电容式”触摸数字键盘，贴片元件生产技术，微电脑控制，采用1.54寸液晶显示电源学生交直流电压，</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2. 学生交流电源通过数字键盘直接选取1～30V电压，最小调节单元可达1V,额定电流2A，具有过载保护智能检测功能（电流高于过载点则自动保护，电流低于过载点则自动恢复至设定值）；</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3.学生直流电源也是通过数字键盘直接选取，调节范围为1.5～30V，分辨率可达0.1V,额定电流2A，亦具有过载保护智能检测功能（同上，略）；</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4. 学生低压电源都可接收老师发送的锁定信号，在锁定指示灯点亮后，学生只能接收老师输送的设定电源电压，学生自己无法操作，这样可避免学生的误操作，当然，如果老师没有送锁定信号，学生就可以自己动手，随意操作；</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5.两边分别配置：0.6-3A电流表2个、3-15V直流电压测试表2个、灵敏电流计测试表2个。还具有举手功能，当学生需要提问时，学生按举手时，教师主控应该有语音播报哪组哪桌。</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6. 220V交流输出为新国标五孔插座，带过载保护；铝合金外框按放于桌面。</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★技术要求：</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根据GB 4943.1-2022中5.7要求：初级可触及接地零部件，接触电流限值≤ 7.07mA；</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根据GB 4943.1-2022中5.4.8湿热试验要求：在不工作条件下，受试样品进行40℃ 93%R.H. 120h湿热处理，试验后根据GB 4943.1-2022中5.4.9要求：对受试样品进行初级-次级不接地部件4000VDC/1min抗电强度测试，绝缘应不击穿。</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加</w:t>
            </w:r>
            <w:r>
              <w:rPr>
                <w:rFonts w:ascii="仿宋" w:hAnsi="仿宋" w:eastAsia="仿宋" w:cs="宋体"/>
                <w:color w:val="000000" w:themeColor="text1"/>
                <w:sz w:val="24"/>
                <w:szCs w:val="24"/>
              </w:rPr>
              <w:t xml:space="preserve">“</w:t>
            </w:r>
            <w:r>
              <w:rPr>
                <w:rFonts w:hint="eastAsia" w:ascii="仿宋" w:hAnsi="仿宋" w:eastAsia="仿宋" w:cs="宋体"/>
                <w:color w:val="000000" w:themeColor="text1"/>
                <w:sz w:val="24"/>
                <w:szCs w:val="24"/>
              </w:rPr>
              <w:t xml:space="preserve">★</w:t>
            </w:r>
            <w:r>
              <w:rPr>
                <w:rFonts w:ascii="仿宋" w:hAnsi="仿宋" w:eastAsia="仿宋" w:cs="宋体"/>
                <w:color w:val="000000" w:themeColor="text1"/>
                <w:sz w:val="24"/>
                <w:szCs w:val="24"/>
              </w:rPr>
              <w:t xml:space="preserve">”投标人</w:t>
            </w:r>
            <w:r>
              <w:rPr>
                <w:rFonts w:hint="eastAsia" w:ascii="仿宋" w:hAnsi="仿宋" w:eastAsia="仿宋" w:cs="宋体"/>
                <w:color w:val="000000" w:themeColor="text1"/>
                <w:sz w:val="24"/>
                <w:szCs w:val="24"/>
              </w:rPr>
              <w:t xml:space="preserve">或产品</w:t>
            </w:r>
            <w:r>
              <w:rPr>
                <w:rFonts w:ascii="仿宋" w:hAnsi="仿宋" w:eastAsia="仿宋" w:cs="宋体"/>
                <w:color w:val="000000" w:themeColor="text1"/>
                <w:sz w:val="24"/>
                <w:szCs w:val="24"/>
              </w:rPr>
              <w:t xml:space="preserve">制造商</w:t>
            </w:r>
            <w:r>
              <w:rPr>
                <w:rFonts w:hint="eastAsia" w:ascii="仿宋" w:hAnsi="仿宋" w:eastAsia="仿宋" w:cs="宋体"/>
                <w:color w:val="000000" w:themeColor="text1"/>
                <w:sz w:val="24"/>
                <w:szCs w:val="24"/>
              </w:rPr>
              <w:t xml:space="preserve">需提供有效期内第三方权威机构出具的</w:t>
            </w:r>
            <w:r>
              <w:rPr>
                <w:rFonts w:ascii="仿宋" w:hAnsi="仿宋" w:eastAsia="仿宋" w:cs="宋体"/>
                <w:color w:val="000000" w:themeColor="text1"/>
                <w:sz w:val="24"/>
                <w:szCs w:val="24"/>
              </w:rPr>
              <w:t xml:space="preserve">检测报告</w:t>
            </w:r>
            <w:r>
              <w:rPr>
                <w:rFonts w:hint="eastAsia" w:ascii="仿宋" w:hAnsi="仿宋" w:eastAsia="仿宋" w:cs="宋体"/>
                <w:color w:val="000000" w:themeColor="text1"/>
                <w:sz w:val="24"/>
                <w:szCs w:val="24"/>
              </w:rPr>
              <w:t xml:space="preserve">原件扫描件</w:t>
            </w:r>
            <w:r>
              <w:rPr>
                <w:rFonts w:ascii="仿宋" w:hAnsi="仿宋" w:eastAsia="仿宋" w:cs="宋体"/>
                <w:color w:val="000000" w:themeColor="text1"/>
                <w:sz w:val="24"/>
                <w:szCs w:val="24"/>
              </w:rPr>
              <w:t xml:space="preserve">。</w:t>
            </w:r>
            <w:r/>
          </w:p>
        </w:tc>
        <w:tc>
          <w:tcPr>
            <w:tcW w:w="567" w:type="dxa"/>
            <w:vAlign w:val="center"/>
            <w:textDirection w:val="lrTb"/>
            <w:noWrap w:val="false"/>
          </w:tcPr>
          <w:p>
            <w:pPr>
              <w:jc w:val="cente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台</w:t>
            </w:r>
            <w:r/>
          </w:p>
        </w:tc>
        <w:tc>
          <w:tcPr>
            <w:tcW w:w="567" w:type="dxa"/>
            <w:vAlign w:val="center"/>
            <w:textDirection w:val="lrTb"/>
            <w:noWrap w:val="false"/>
          </w:tcPr>
          <w:p>
            <w:pPr>
              <w:jc w:val="cente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56</w:t>
            </w:r>
            <w:r/>
          </w:p>
        </w:tc>
      </w:tr>
      <w:tr>
        <w:trPr>
          <w:trHeight w:val="557"/>
        </w:trPr>
        <w:tc>
          <w:tcPr>
            <w:tcW w:w="545" w:type="dxa"/>
            <w:vAlign w:val="center"/>
            <w:textDirection w:val="lrTb"/>
            <w:noWrap w:val="false"/>
          </w:tcPr>
          <w:p>
            <w:pPr>
              <w:jc w:val="cente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6.2</w:t>
            </w:r>
            <w:r/>
          </w:p>
        </w:tc>
        <w:tc>
          <w:tcPr>
            <w:tcW w:w="1298" w:type="dxa"/>
            <w:vAlign w:val="center"/>
            <w:textDirection w:val="lrTb"/>
            <w:noWrap w:val="false"/>
          </w:tcPr>
          <w:p>
            <w:pPr>
              <w:jc w:val="cente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学生操作终端（智</w:t>
            </w:r>
            <w:r>
              <w:rPr>
                <w:rFonts w:ascii="仿宋" w:hAnsi="仿宋" w:eastAsia="仿宋" w:cs="宋体"/>
                <w:color w:val="000000" w:themeColor="text1"/>
                <w:sz w:val="24"/>
                <w:szCs w:val="24"/>
              </w:rPr>
              <w:t xml:space="preserve">能学生终端）</w:t>
            </w:r>
            <w:r>
              <w:rPr>
                <w:rFonts w:hint="eastAsia" w:ascii="仿宋" w:hAnsi="仿宋" w:eastAsia="仿宋" w:cs="宋体"/>
                <w:color w:val="000000" w:themeColor="text1"/>
                <w:sz w:val="24"/>
                <w:szCs w:val="24"/>
              </w:rPr>
              <w:t xml:space="preserve">---</w:t>
            </w:r>
            <w:r>
              <w:rPr>
                <w:rFonts w:ascii="仿宋" w:hAnsi="仿宋" w:eastAsia="仿宋" w:cs="宋体"/>
                <w:color w:val="000000" w:themeColor="text1"/>
                <w:sz w:val="24"/>
                <w:szCs w:val="24"/>
              </w:rPr>
              <w:t xml:space="preserve">物流力学实验室56座（1间）</w:t>
            </w:r>
            <w:r/>
          </w:p>
        </w:tc>
        <w:tc>
          <w:tcPr>
            <w:tcW w:w="6379" w:type="dxa"/>
            <w:vAlign w:val="center"/>
            <w:textDirection w:val="lrTb"/>
            <w:noWrap w:val="false"/>
          </w:tcPr>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1、ABS翻转式电源盒，数字表显示，置于书包盒中间。     </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2、上下键调节电压电流</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3、学生交流2V到24V输出，电流2A，自动过载保护，自动恢复。电压2V每档，由教师集中供电控制。</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4、学生直流2V到24V输出，电流2A，自动过载保护，自动恢复。由教师集中供电控制</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5、配置1组220V国标5孔插座，保险丝保护，工作指示。具有火线关断开关。</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6、电源具有工作，过载状态指示，能清楚的判断，</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7、电源采用耐磨、耐腐蚀、耐高温（≤140℃）的面板，标识清楚。</w:t>
            </w:r>
            <w:r/>
          </w:p>
        </w:tc>
        <w:tc>
          <w:tcPr>
            <w:tcW w:w="567" w:type="dxa"/>
            <w:vAlign w:val="center"/>
            <w:textDirection w:val="lrTb"/>
            <w:noWrap w:val="false"/>
          </w:tcPr>
          <w:p>
            <w:pPr>
              <w:jc w:val="cente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台</w:t>
            </w:r>
            <w:r/>
          </w:p>
        </w:tc>
        <w:tc>
          <w:tcPr>
            <w:tcW w:w="567" w:type="dxa"/>
            <w:vAlign w:val="center"/>
            <w:textDirection w:val="lrTb"/>
            <w:noWrap w:val="false"/>
          </w:tcPr>
          <w:p>
            <w:pPr>
              <w:jc w:val="cente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28</w:t>
            </w:r>
            <w:r/>
          </w:p>
        </w:tc>
      </w:tr>
      <w:tr>
        <w:trPr>
          <w:trHeight w:val="1692"/>
        </w:trPr>
        <w:tc>
          <w:tcPr>
            <w:tcW w:w="545" w:type="dxa"/>
            <w:vAlign w:val="center"/>
            <w:textDirection w:val="lrTb"/>
            <w:noWrap w:val="false"/>
          </w:tcPr>
          <w:p>
            <w:pPr>
              <w:jc w:val="cente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7</w:t>
            </w:r>
            <w:r/>
          </w:p>
        </w:tc>
        <w:tc>
          <w:tcPr>
            <w:tcW w:w="1298" w:type="dxa"/>
            <w:vAlign w:val="center"/>
            <w:textDirection w:val="lrTb"/>
            <w:noWrap w:val="false"/>
          </w:tcPr>
          <w:p>
            <w:pPr>
              <w:jc w:val="cente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实验凳</w:t>
            </w:r>
            <w:r/>
          </w:p>
        </w:tc>
        <w:tc>
          <w:tcPr>
            <w:tcW w:w="6379" w:type="dxa"/>
            <w:vAlign w:val="center"/>
            <w:textDirection w:val="lrTb"/>
            <w:noWrap w:val="false"/>
          </w:tcPr>
          <w:p>
            <w:pP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1.规格尺寸：≥Φ310mm×450mm。</w:t>
            </w:r>
            <w:r/>
          </w:p>
          <w:p>
            <w:pP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br w:type="page" w:clear="all"/>
              <w:t xml:space="preserve">2.四爪升降凳，带固定器，及防脱落设计，整体美观结实，牢固耐用。</w:t>
            </w:r>
            <w:r/>
          </w:p>
          <w:p>
            <w:pP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br w:type="page" w:clear="all"/>
              <w:t xml:space="preserve">3.凳面：采用ABS工程塑料一次性注塑成型，表面细纹咬花，防滑不发光。</w:t>
            </w:r>
            <w:r/>
          </w:p>
          <w:p>
            <w:pP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br w:type="page" w:clear="all"/>
              <w:t xml:space="preserve">4.脚垫：采用优质PP材料一次注塑成型。</w:t>
            </w:r>
            <w:r>
              <w:rPr>
                <w:rFonts w:ascii="仿宋" w:hAnsi="仿宋" w:eastAsia="仿宋" w:cs="宋体"/>
                <w:color w:val="000000" w:themeColor="text1"/>
                <w:sz w:val="24"/>
                <w:szCs w:val="24"/>
              </w:rPr>
              <w:br w:type="page" w:clear="all"/>
            </w:r>
            <w:r/>
          </w:p>
          <w:p>
            <w:pP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5.脚钢架：椭圆形无缝钢管焊接而成，结构牢固，经高温粉体烤漆处理，长时间使用也不会产生表面烤漆剥落现象。</w:t>
            </w:r>
            <w:r/>
          </w:p>
          <w:p>
            <w:pP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br w:type="page" w:clear="all"/>
              <w:t xml:space="preserve">6.凳面可通过旋转螺杆来升降凳子高度,可调高度不少于5cm。</w:t>
            </w:r>
            <w:r/>
          </w:p>
        </w:tc>
        <w:tc>
          <w:tcPr>
            <w:tcW w:w="567" w:type="dxa"/>
            <w:vAlign w:val="center"/>
            <w:textDirection w:val="lrTb"/>
            <w:noWrap w:val="false"/>
          </w:tcPr>
          <w:p>
            <w:pPr>
              <w:jc w:val="cente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只</w:t>
            </w:r>
            <w:r/>
          </w:p>
        </w:tc>
        <w:tc>
          <w:tcPr>
            <w:tcW w:w="567" w:type="dxa"/>
            <w:vAlign w:val="center"/>
            <w:textDirection w:val="lrTb"/>
            <w:noWrap w:val="false"/>
          </w:tcPr>
          <w:p>
            <w:pPr>
              <w:jc w:val="cente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168</w:t>
            </w:r>
            <w:r/>
          </w:p>
        </w:tc>
      </w:tr>
      <w:tr>
        <w:trPr>
          <w:trHeight w:val="800"/>
        </w:trPr>
        <w:tc>
          <w:tcPr>
            <w:tcW w:w="545" w:type="dxa"/>
            <w:vAlign w:val="center"/>
            <w:textDirection w:val="lrTb"/>
            <w:noWrap w:val="false"/>
          </w:tcPr>
          <w:p>
            <w:pPr>
              <w:jc w:val="cente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8</w:t>
            </w:r>
            <w:r/>
          </w:p>
        </w:tc>
        <w:tc>
          <w:tcPr>
            <w:tcW w:w="1298" w:type="dxa"/>
            <w:vAlign w:val="center"/>
            <w:textDirection w:val="lrTb"/>
            <w:noWrap w:val="false"/>
          </w:tcPr>
          <w:p>
            <w:pPr>
              <w:jc w:val="cente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墙面、顶面出白</w:t>
            </w:r>
            <w:r/>
          </w:p>
        </w:tc>
        <w:tc>
          <w:tcPr>
            <w:tcW w:w="6379" w:type="dxa"/>
            <w:vAlign w:val="center"/>
            <w:textDirection w:val="lrTb"/>
            <w:noWrap w:val="false"/>
          </w:tcPr>
          <w:p>
            <w:pP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铲除墙面腻子、涂料，上墙固重新出白在抹灰面上批901胶混合腻子2遍、刷乳胶漆2遍</w:t>
            </w:r>
            <w:r/>
          </w:p>
        </w:tc>
        <w:tc>
          <w:tcPr>
            <w:tcW w:w="567" w:type="dxa"/>
            <w:vAlign w:val="center"/>
            <w:textDirection w:val="lrTb"/>
            <w:noWrap w:val="false"/>
          </w:tcPr>
          <w:p>
            <w:pPr>
              <w:jc w:val="cente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平</w:t>
            </w:r>
            <w:r/>
          </w:p>
        </w:tc>
        <w:tc>
          <w:tcPr>
            <w:tcW w:w="567" w:type="dxa"/>
            <w:vAlign w:val="center"/>
            <w:textDirection w:val="lrTb"/>
            <w:noWrap w:val="false"/>
          </w:tcPr>
          <w:p>
            <w:pPr>
              <w:jc w:val="cente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555</w:t>
            </w:r>
            <w:r/>
          </w:p>
        </w:tc>
      </w:tr>
      <w:tr>
        <w:trPr>
          <w:trHeight w:val="940"/>
        </w:trPr>
        <w:tc>
          <w:tcPr>
            <w:tcW w:w="545" w:type="dxa"/>
            <w:vAlign w:val="center"/>
            <w:textDirection w:val="lrTb"/>
            <w:noWrap w:val="false"/>
          </w:tcPr>
          <w:p>
            <w:pPr>
              <w:jc w:val="cente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9</w:t>
            </w:r>
            <w:r/>
          </w:p>
        </w:tc>
        <w:tc>
          <w:tcPr>
            <w:tcW w:w="1298" w:type="dxa"/>
            <w:vAlign w:val="center"/>
            <w:textDirection w:val="lrTb"/>
            <w:noWrap w:val="false"/>
          </w:tcPr>
          <w:p>
            <w:pPr>
              <w:jc w:val="cente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PVC地板</w:t>
            </w:r>
            <w:r/>
          </w:p>
        </w:tc>
        <w:tc>
          <w:tcPr>
            <w:tcW w:w="6379" w:type="dxa"/>
            <w:vAlign w:val="center"/>
            <w:textDirection w:val="lrTb"/>
            <w:noWrap w:val="false"/>
          </w:tcPr>
          <w:p>
            <w:pP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1.刷瓷砖专用界面剂1遍</w:t>
            </w:r>
            <w:r>
              <w:rPr>
                <w:rFonts w:ascii="仿宋" w:hAnsi="仿宋" w:eastAsia="仿宋" w:cs="宋体"/>
                <w:color w:val="000000" w:themeColor="text1"/>
                <w:sz w:val="24"/>
                <w:szCs w:val="24"/>
              </w:rPr>
              <w:br/>
              <w:t xml:space="preserve">2.水泥基自流平砂浆楼地面厚4mm</w:t>
            </w:r>
            <w:r>
              <w:rPr>
                <w:rFonts w:ascii="仿宋" w:hAnsi="仿宋" w:eastAsia="仿宋" w:cs="宋体"/>
                <w:color w:val="000000" w:themeColor="text1"/>
                <w:sz w:val="24"/>
                <w:szCs w:val="24"/>
              </w:rPr>
              <w:br/>
              <w:t xml:space="preserve">3.PVC地板厚2.0mm（卷材）</w:t>
            </w:r>
            <w:r/>
          </w:p>
        </w:tc>
        <w:tc>
          <w:tcPr>
            <w:tcW w:w="567" w:type="dxa"/>
            <w:vAlign w:val="center"/>
            <w:textDirection w:val="lrTb"/>
            <w:noWrap w:val="false"/>
          </w:tcPr>
          <w:p>
            <w:pPr>
              <w:jc w:val="cente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平</w:t>
            </w:r>
            <w:r/>
          </w:p>
        </w:tc>
        <w:tc>
          <w:tcPr>
            <w:tcW w:w="567" w:type="dxa"/>
            <w:vAlign w:val="center"/>
            <w:textDirection w:val="lrTb"/>
            <w:noWrap w:val="false"/>
          </w:tcPr>
          <w:p>
            <w:pPr>
              <w:jc w:val="cente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282</w:t>
            </w:r>
            <w:r/>
          </w:p>
        </w:tc>
      </w:tr>
      <w:tr>
        <w:trPr>
          <w:trHeight w:val="670"/>
        </w:trPr>
        <w:tc>
          <w:tcPr>
            <w:tcW w:w="545" w:type="dxa"/>
            <w:vAlign w:val="center"/>
            <w:textDirection w:val="lrTb"/>
            <w:noWrap w:val="false"/>
          </w:tcPr>
          <w:p>
            <w:pPr>
              <w:jc w:val="cente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10</w:t>
            </w:r>
            <w:r/>
          </w:p>
        </w:tc>
        <w:tc>
          <w:tcPr>
            <w:tcW w:w="1298" w:type="dxa"/>
            <w:vAlign w:val="center"/>
            <w:textDirection w:val="lrTb"/>
            <w:noWrap w:val="false"/>
          </w:tcPr>
          <w:p>
            <w:pPr>
              <w:jc w:val="cente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护眼灯</w:t>
            </w:r>
            <w:r/>
          </w:p>
        </w:tc>
        <w:tc>
          <w:tcPr>
            <w:tcW w:w="6379" w:type="dxa"/>
            <w:vAlign w:val="center"/>
            <w:textDirection w:val="lrTb"/>
            <w:noWrap w:val="false"/>
          </w:tcPr>
          <w:p>
            <w:pP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1.48W教室护眼灯安装1200*300，配500mm-1000mm的伸缩杆安装</w:t>
            </w:r>
            <w:r/>
          </w:p>
        </w:tc>
        <w:tc>
          <w:tcPr>
            <w:tcW w:w="567" w:type="dxa"/>
            <w:vAlign w:val="center"/>
            <w:textDirection w:val="lrTb"/>
            <w:noWrap w:val="false"/>
          </w:tcPr>
          <w:p>
            <w:pPr>
              <w:jc w:val="cente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套</w:t>
            </w:r>
            <w:r/>
          </w:p>
        </w:tc>
        <w:tc>
          <w:tcPr>
            <w:tcW w:w="567" w:type="dxa"/>
            <w:vAlign w:val="center"/>
            <w:textDirection w:val="lrTb"/>
            <w:noWrap w:val="false"/>
          </w:tcPr>
          <w:p>
            <w:pPr>
              <w:jc w:val="cente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33</w:t>
            </w:r>
            <w:r/>
          </w:p>
        </w:tc>
      </w:tr>
      <w:tr>
        <w:trPr>
          <w:trHeight w:val="920"/>
        </w:trPr>
        <w:tc>
          <w:tcPr>
            <w:tcW w:w="545" w:type="dxa"/>
            <w:vAlign w:val="center"/>
            <w:textDirection w:val="lrTb"/>
            <w:noWrap w:val="false"/>
          </w:tcPr>
          <w:p>
            <w:pPr>
              <w:jc w:val="cente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1</w:t>
            </w:r>
            <w:r>
              <w:rPr>
                <w:rFonts w:hint="eastAsia" w:ascii="仿宋" w:hAnsi="仿宋" w:eastAsia="仿宋" w:cs="宋体"/>
                <w:color w:val="000000" w:themeColor="text1"/>
                <w:sz w:val="24"/>
                <w:szCs w:val="24"/>
              </w:rPr>
              <w:t xml:space="preserve">1</w:t>
            </w:r>
            <w:r/>
          </w:p>
        </w:tc>
        <w:tc>
          <w:tcPr>
            <w:tcW w:w="1298" w:type="dxa"/>
            <w:vAlign w:val="center"/>
            <w:textDirection w:val="lrTb"/>
            <w:noWrap w:val="false"/>
          </w:tcPr>
          <w:p>
            <w:pPr>
              <w:jc w:val="cente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拆除清运</w:t>
            </w:r>
            <w:r/>
          </w:p>
        </w:tc>
        <w:tc>
          <w:tcPr>
            <w:tcW w:w="6379" w:type="dxa"/>
            <w:vAlign w:val="center"/>
            <w:textDirection w:val="lrTb"/>
            <w:noWrap w:val="false"/>
          </w:tcPr>
          <w:p>
            <w:pP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1、拆除原桌椅、黑板、双管日光灯、开关插座等</w:t>
            </w:r>
            <w:r>
              <w:rPr>
                <w:rFonts w:ascii="仿宋" w:hAnsi="仿宋" w:eastAsia="仿宋" w:cs="宋体"/>
                <w:color w:val="000000" w:themeColor="text1"/>
                <w:sz w:val="24"/>
                <w:szCs w:val="24"/>
              </w:rPr>
              <w:br/>
              <w:t xml:space="preserve">2、桌椅、黑板、杂物、双管日光灯、开关插座等搬运至甲方指定位置整齐堆放</w:t>
            </w:r>
            <w:r/>
          </w:p>
        </w:tc>
        <w:tc>
          <w:tcPr>
            <w:tcW w:w="567" w:type="dxa"/>
            <w:vAlign w:val="center"/>
            <w:textDirection w:val="lrTb"/>
            <w:noWrap w:val="false"/>
          </w:tcPr>
          <w:p>
            <w:pPr>
              <w:jc w:val="cente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项</w:t>
            </w:r>
            <w:r/>
          </w:p>
        </w:tc>
        <w:tc>
          <w:tcPr>
            <w:tcW w:w="567" w:type="dxa"/>
            <w:vAlign w:val="center"/>
            <w:textDirection w:val="lrTb"/>
            <w:noWrap w:val="false"/>
          </w:tcPr>
          <w:p>
            <w:pPr>
              <w:jc w:val="cente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3</w:t>
            </w:r>
            <w:r/>
          </w:p>
        </w:tc>
      </w:tr>
      <w:tr>
        <w:trPr>
          <w:trHeight w:val="1048"/>
        </w:trPr>
        <w:tc>
          <w:tcPr>
            <w:tcW w:w="545" w:type="dxa"/>
            <w:vAlign w:val="center"/>
            <w:textDirection w:val="lrTb"/>
            <w:noWrap w:val="false"/>
          </w:tcPr>
          <w:p>
            <w:pPr>
              <w:jc w:val="cente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1</w:t>
            </w:r>
            <w:r>
              <w:rPr>
                <w:rFonts w:hint="eastAsia" w:ascii="仿宋" w:hAnsi="仿宋" w:eastAsia="仿宋" w:cs="宋体"/>
                <w:color w:val="000000" w:themeColor="text1"/>
                <w:sz w:val="24"/>
                <w:szCs w:val="24"/>
              </w:rPr>
              <w:t xml:space="preserve">2</w:t>
            </w:r>
            <w:r/>
          </w:p>
        </w:tc>
        <w:tc>
          <w:tcPr>
            <w:tcW w:w="1298" w:type="dxa"/>
            <w:vAlign w:val="center"/>
            <w:textDirection w:val="lrTb"/>
            <w:noWrap w:val="false"/>
          </w:tcPr>
          <w:p>
            <w:pPr>
              <w:jc w:val="cente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网线布置</w:t>
            </w:r>
            <w:r/>
          </w:p>
        </w:tc>
        <w:tc>
          <w:tcPr>
            <w:tcW w:w="6379" w:type="dxa"/>
            <w:vAlign w:val="center"/>
            <w:textDirection w:val="lrTb"/>
            <w:noWrap w:val="false"/>
          </w:tcPr>
          <w:p>
            <w:pP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1、实验室网络线路布置：每个实验位预留一个网路接口以及教室监控网络接口。</w:t>
            </w:r>
            <w:r>
              <w:rPr>
                <w:rFonts w:ascii="仿宋" w:hAnsi="仿宋" w:eastAsia="仿宋" w:cs="宋体"/>
                <w:color w:val="000000" w:themeColor="text1"/>
                <w:sz w:val="24"/>
                <w:szCs w:val="24"/>
              </w:rPr>
              <w:br/>
              <w:t xml:space="preserve">2、含优质UPVC国标电线管开槽、预埋恢复</w:t>
            </w:r>
            <w:r/>
          </w:p>
        </w:tc>
        <w:tc>
          <w:tcPr>
            <w:tcW w:w="567" w:type="dxa"/>
            <w:vAlign w:val="center"/>
            <w:textDirection w:val="lrTb"/>
            <w:noWrap w:val="false"/>
          </w:tcPr>
          <w:p>
            <w:pPr>
              <w:jc w:val="cente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室</w:t>
            </w:r>
            <w:r/>
          </w:p>
        </w:tc>
        <w:tc>
          <w:tcPr>
            <w:tcW w:w="567" w:type="dxa"/>
            <w:vAlign w:val="center"/>
            <w:textDirection w:val="lrTb"/>
            <w:noWrap w:val="false"/>
          </w:tcPr>
          <w:p>
            <w:pPr>
              <w:jc w:val="cente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3</w:t>
            </w:r>
            <w:r/>
          </w:p>
        </w:tc>
      </w:tr>
      <w:tr>
        <w:trPr>
          <w:trHeight w:val="1300"/>
        </w:trPr>
        <w:tc>
          <w:tcPr>
            <w:tcW w:w="545" w:type="dxa"/>
            <w:vAlign w:val="center"/>
            <w:textDirection w:val="lrTb"/>
            <w:noWrap w:val="false"/>
          </w:tcPr>
          <w:p>
            <w:pPr>
              <w:jc w:val="cente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1</w:t>
            </w:r>
            <w:r>
              <w:rPr>
                <w:rFonts w:hint="eastAsia" w:ascii="仿宋" w:hAnsi="仿宋" w:eastAsia="仿宋" w:cs="宋体"/>
                <w:color w:val="000000" w:themeColor="text1"/>
                <w:sz w:val="24"/>
                <w:szCs w:val="24"/>
              </w:rPr>
              <w:t xml:space="preserve">3</w:t>
            </w:r>
            <w:r/>
          </w:p>
        </w:tc>
        <w:tc>
          <w:tcPr>
            <w:tcW w:w="1298" w:type="dxa"/>
            <w:vAlign w:val="center"/>
            <w:textDirection w:val="lrTb"/>
            <w:noWrap w:val="false"/>
          </w:tcPr>
          <w:p>
            <w:pPr>
              <w:jc w:val="cente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系统辅材</w:t>
            </w:r>
            <w:r/>
          </w:p>
        </w:tc>
        <w:tc>
          <w:tcPr>
            <w:tcW w:w="6379" w:type="dxa"/>
            <w:vAlign w:val="center"/>
            <w:textDirection w:val="lrTb"/>
            <w:noWrap w:val="false"/>
          </w:tcPr>
          <w:p>
            <w:pP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1、线管材质采用优质UPVC国标管，耐压500V。</w:t>
            </w:r>
            <w:r>
              <w:rPr>
                <w:rFonts w:ascii="仿宋" w:hAnsi="仿宋" w:eastAsia="仿宋" w:cs="宋体"/>
                <w:color w:val="000000" w:themeColor="text1"/>
                <w:sz w:val="24"/>
                <w:szCs w:val="24"/>
              </w:rPr>
              <w:br/>
              <w:t xml:space="preserve">2、铜芯电线4.0mm</w:t>
            </w:r>
            <w:r>
              <w:rPr>
                <w:rFonts w:ascii="Calibri" w:hAnsi="Calibri" w:eastAsia="仿宋" w:cs="Calibri"/>
                <w:color w:val="000000" w:themeColor="text1"/>
                <w:sz w:val="24"/>
                <w:szCs w:val="24"/>
              </w:rPr>
              <w:t xml:space="preserve">²</w:t>
            </w:r>
            <w:r>
              <w:rPr>
                <w:rFonts w:ascii="仿宋" w:hAnsi="仿宋" w:eastAsia="仿宋" w:cs="宋体"/>
                <w:color w:val="000000" w:themeColor="text1"/>
                <w:sz w:val="24"/>
                <w:szCs w:val="24"/>
              </w:rPr>
              <w:t xml:space="preserve">、2.5mm</w:t>
            </w:r>
            <w:r>
              <w:rPr>
                <w:rFonts w:ascii="Calibri" w:hAnsi="Calibri" w:eastAsia="仿宋" w:cs="Calibri"/>
                <w:color w:val="000000" w:themeColor="text1"/>
                <w:sz w:val="24"/>
                <w:szCs w:val="24"/>
              </w:rPr>
              <w:t xml:space="preserve">²</w:t>
            </w:r>
            <w:r>
              <w:rPr>
                <w:rFonts w:ascii="仿宋" w:hAnsi="仿宋" w:eastAsia="仿宋" w:cs="宋体"/>
                <w:color w:val="000000" w:themeColor="text1"/>
                <w:sz w:val="24"/>
                <w:szCs w:val="24"/>
              </w:rPr>
              <w:t xml:space="preserve">、1.5mm</w:t>
            </w:r>
            <w:r>
              <w:rPr>
                <w:rFonts w:ascii="Calibri" w:hAnsi="Calibri" w:eastAsia="仿宋" w:cs="Calibri"/>
                <w:color w:val="000000" w:themeColor="text1"/>
                <w:sz w:val="24"/>
                <w:szCs w:val="24"/>
              </w:rPr>
              <w:t xml:space="preserve">²</w:t>
            </w:r>
            <w:r>
              <w:rPr>
                <w:rFonts w:ascii="仿宋" w:hAnsi="仿宋" w:eastAsia="仿宋" w:cs="宋体"/>
                <w:color w:val="000000" w:themeColor="text1"/>
                <w:sz w:val="24"/>
                <w:szCs w:val="24"/>
              </w:rPr>
              <w:t xml:space="preserve">，含管道开槽、预埋恢复。</w:t>
            </w:r>
            <w:r>
              <w:rPr>
                <w:rFonts w:ascii="仿宋" w:hAnsi="仿宋" w:eastAsia="仿宋" w:cs="宋体"/>
                <w:color w:val="000000" w:themeColor="text1"/>
                <w:sz w:val="24"/>
                <w:szCs w:val="24"/>
              </w:rPr>
              <w:br/>
              <w:t xml:space="preserve">3、线管、电线源及开关插座等需达到相关国家标准，符合安全用电要求。</w:t>
            </w:r>
            <w:r/>
          </w:p>
        </w:tc>
        <w:tc>
          <w:tcPr>
            <w:tcW w:w="567" w:type="dxa"/>
            <w:vAlign w:val="center"/>
            <w:textDirection w:val="lrTb"/>
            <w:noWrap w:val="false"/>
          </w:tcPr>
          <w:p>
            <w:pPr>
              <w:jc w:val="cente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室</w:t>
            </w:r>
            <w:r/>
          </w:p>
        </w:tc>
        <w:tc>
          <w:tcPr>
            <w:tcW w:w="567" w:type="dxa"/>
            <w:vAlign w:val="center"/>
            <w:textDirection w:val="lrTb"/>
            <w:noWrap w:val="false"/>
          </w:tcPr>
          <w:p>
            <w:pPr>
              <w:jc w:val="cente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3</w:t>
            </w:r>
            <w:r/>
          </w:p>
        </w:tc>
      </w:tr>
      <w:tr>
        <w:trPr>
          <w:trHeight w:val="780"/>
        </w:trPr>
        <w:tc>
          <w:tcPr>
            <w:tcW w:w="545" w:type="dxa"/>
            <w:vAlign w:val="center"/>
            <w:textDirection w:val="lrTb"/>
            <w:noWrap w:val="false"/>
          </w:tcPr>
          <w:p>
            <w:pPr>
              <w:jc w:val="cente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1</w:t>
            </w:r>
            <w:r>
              <w:rPr>
                <w:rFonts w:hint="eastAsia" w:ascii="仿宋" w:hAnsi="仿宋" w:eastAsia="仿宋" w:cs="宋体"/>
                <w:color w:val="000000" w:themeColor="text1"/>
                <w:sz w:val="24"/>
                <w:szCs w:val="24"/>
              </w:rPr>
              <w:t xml:space="preserve">4</w:t>
            </w:r>
            <w:r/>
          </w:p>
        </w:tc>
        <w:tc>
          <w:tcPr>
            <w:tcW w:w="1298" w:type="dxa"/>
            <w:vAlign w:val="center"/>
            <w:textDirection w:val="lrTb"/>
            <w:noWrap w:val="false"/>
          </w:tcPr>
          <w:p>
            <w:pPr>
              <w:jc w:val="cente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更换开关插座</w:t>
            </w:r>
            <w:r/>
          </w:p>
        </w:tc>
        <w:tc>
          <w:tcPr>
            <w:tcW w:w="6379" w:type="dxa"/>
            <w:vAlign w:val="center"/>
            <w:textDirection w:val="lrTb"/>
            <w:noWrap w:val="false"/>
          </w:tcPr>
          <w:p>
            <w:pP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更换实验室内所有开关、风扇开关、3孔插座、5孔插座、网络插座、面板等</w:t>
            </w:r>
            <w:r/>
          </w:p>
        </w:tc>
        <w:tc>
          <w:tcPr>
            <w:tcW w:w="567" w:type="dxa"/>
            <w:vAlign w:val="center"/>
            <w:textDirection w:val="lrTb"/>
            <w:noWrap w:val="false"/>
          </w:tcPr>
          <w:p>
            <w:pPr>
              <w:jc w:val="cente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室</w:t>
            </w:r>
            <w:r/>
          </w:p>
        </w:tc>
        <w:tc>
          <w:tcPr>
            <w:tcW w:w="567" w:type="dxa"/>
            <w:vAlign w:val="center"/>
            <w:textDirection w:val="lrTb"/>
            <w:noWrap w:val="false"/>
          </w:tcPr>
          <w:p>
            <w:pPr>
              <w:jc w:val="cente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3</w:t>
            </w:r>
            <w:r/>
          </w:p>
        </w:tc>
      </w:tr>
      <w:tr>
        <w:trPr>
          <w:trHeight w:val="445"/>
        </w:trPr>
        <w:tc>
          <w:tcPr>
            <w:tcW w:w="545" w:type="dxa"/>
            <w:vAlign w:val="center"/>
            <w:textDirection w:val="lrTb"/>
            <w:noWrap w:val="false"/>
          </w:tcPr>
          <w:p>
            <w:pPr>
              <w:jc w:val="cente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1</w:t>
            </w:r>
            <w:r>
              <w:rPr>
                <w:rFonts w:hint="eastAsia" w:ascii="仿宋" w:hAnsi="仿宋" w:eastAsia="仿宋" w:cs="宋体"/>
                <w:color w:val="000000" w:themeColor="text1"/>
                <w:sz w:val="24"/>
                <w:szCs w:val="24"/>
              </w:rPr>
              <w:t xml:space="preserve">5</w:t>
            </w:r>
            <w:r/>
          </w:p>
        </w:tc>
        <w:tc>
          <w:tcPr>
            <w:tcW w:w="1298" w:type="dxa"/>
            <w:vAlign w:val="center"/>
            <w:textDirection w:val="lrTb"/>
            <w:noWrap w:val="false"/>
          </w:tcPr>
          <w:p>
            <w:pPr>
              <w:jc w:val="cente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安装调试</w:t>
            </w:r>
            <w:r/>
          </w:p>
        </w:tc>
        <w:tc>
          <w:tcPr>
            <w:tcW w:w="6379" w:type="dxa"/>
            <w:vAlign w:val="center"/>
            <w:textDirection w:val="lrTb"/>
            <w:noWrap w:val="false"/>
          </w:tcPr>
          <w:p>
            <w:pP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实验室设备安装调试</w:t>
            </w:r>
            <w:r/>
          </w:p>
        </w:tc>
        <w:tc>
          <w:tcPr>
            <w:tcW w:w="567" w:type="dxa"/>
            <w:vAlign w:val="center"/>
            <w:textDirection w:val="lrTb"/>
            <w:noWrap w:val="false"/>
          </w:tcPr>
          <w:p>
            <w:pPr>
              <w:jc w:val="cente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项</w:t>
            </w:r>
            <w:r/>
          </w:p>
        </w:tc>
        <w:tc>
          <w:tcPr>
            <w:tcW w:w="567" w:type="dxa"/>
            <w:vAlign w:val="center"/>
            <w:textDirection w:val="lrTb"/>
            <w:noWrap w:val="false"/>
          </w:tcPr>
          <w:p>
            <w:pPr>
              <w:jc w:val="cente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3</w:t>
            </w:r>
            <w:r/>
          </w:p>
        </w:tc>
      </w:tr>
      <w:tr>
        <w:trPr>
          <w:trHeight w:val="445"/>
        </w:trPr>
        <w:tc>
          <w:tcPr>
            <w:tcW w:w="545" w:type="dxa"/>
            <w:vAlign w:val="center"/>
            <w:textDirection w:val="lrTb"/>
            <w:noWrap w:val="false"/>
          </w:tcPr>
          <w:p>
            <w:pPr>
              <w:jc w:val="cente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16</w:t>
            </w:r>
            <w:r/>
          </w:p>
        </w:tc>
        <w:tc>
          <w:tcPr>
            <w:tcW w:w="1298" w:type="dxa"/>
            <w:vAlign w:val="center"/>
            <w:textDirection w:val="lrTb"/>
            <w:noWrap w:val="false"/>
          </w:tcPr>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48口千兆交换机</w:t>
            </w:r>
            <w:r/>
          </w:p>
        </w:tc>
        <w:tc>
          <w:tcPr>
            <w:tcW w:w="6379" w:type="dxa"/>
            <w:vAlign w:val="center"/>
            <w:textDirection w:val="lrTb"/>
            <w:noWrap w:val="false"/>
          </w:tcPr>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配置：可用千兆电接口数量≥48，可用千兆光接口数量≥4</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交换容量≥104 Gbps，转发性能≥77.38 Mpps</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提供CQC认证证书</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支持VLAN、STP/RSTP、QoS、LLDP、DHCP Snooping等功能，支持终端安全防护</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支持SNMPv1/v2c协议，支持Web管理</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支持所有端口收、发方向限速，端口镜像，端口隔离</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支持通过管理平台，手机APP对交换机进行系统拓扑展示及管理，在网络拓扑中展示交换机详情，包括基本信息、性能使用信息、交换机面板状态、端口信息</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支持通过管理平台，手机APP对交换机进行远程控制、状态查看、远程升级和重启。</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★支持通过管理平台对交换机间不同的连接方式进行系统拓扑识别，包括网线连接、光纤连接、无线连接；通过管理平台展示链路详情，包括传输速率、链路两端设备信息和链路带宽告警；</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通过管理平台，手机APP在系统异常时实时推送交换机告警信息并展示告警内容；通过管理平台对交换机进行流量控制配置，防止数据在传输过程中丢失；通过管理平台对交换机进行链路聚合配置，可以把多个物理网口配置为一个逻辑端口进行数据传输</w:t>
            </w:r>
            <w:r>
              <w:rPr>
                <w:rFonts w:hint="eastAsia" w:ascii="仿宋" w:hAnsi="仿宋" w:eastAsia="仿宋" w:cs="宋体"/>
                <w:color w:val="000000" w:themeColor="text1"/>
                <w:sz w:val="24"/>
                <w:szCs w:val="24"/>
              </w:rPr>
              <w:t xml:space="preserve">（</w:t>
            </w:r>
            <w:r>
              <w:rPr>
                <w:rFonts w:ascii="仿宋" w:hAnsi="仿宋" w:eastAsia="仿宋" w:cs="宋体"/>
                <w:color w:val="000000" w:themeColor="text1"/>
                <w:sz w:val="24"/>
                <w:szCs w:val="24"/>
              </w:rPr>
              <w:t xml:space="preserve">投标人</w:t>
            </w:r>
            <w:r>
              <w:rPr>
                <w:rFonts w:hint="eastAsia" w:ascii="仿宋" w:hAnsi="仿宋" w:eastAsia="仿宋" w:cs="宋体"/>
                <w:color w:val="000000" w:themeColor="text1"/>
                <w:sz w:val="24"/>
                <w:szCs w:val="24"/>
              </w:rPr>
              <w:t xml:space="preserve">或产品</w:t>
            </w:r>
            <w:r>
              <w:rPr>
                <w:rFonts w:ascii="仿宋" w:hAnsi="仿宋" w:eastAsia="仿宋" w:cs="宋体"/>
                <w:color w:val="000000" w:themeColor="text1"/>
                <w:sz w:val="24"/>
                <w:szCs w:val="24"/>
              </w:rPr>
              <w:t xml:space="preserve">制造商</w:t>
            </w:r>
            <w:r>
              <w:rPr>
                <w:rFonts w:hint="eastAsia" w:ascii="仿宋" w:hAnsi="仿宋" w:eastAsia="仿宋" w:cs="宋体"/>
                <w:color w:val="000000" w:themeColor="text1"/>
                <w:sz w:val="24"/>
                <w:szCs w:val="24"/>
              </w:rPr>
              <w:t xml:space="preserve">需提供有效期内第三方权威机构出具的</w:t>
            </w:r>
            <w:r>
              <w:rPr>
                <w:rFonts w:ascii="仿宋" w:hAnsi="仿宋" w:eastAsia="仿宋" w:cs="宋体"/>
                <w:color w:val="000000" w:themeColor="text1"/>
                <w:sz w:val="24"/>
                <w:szCs w:val="24"/>
              </w:rPr>
              <w:t xml:space="preserve">检测报告</w:t>
            </w:r>
            <w:r>
              <w:rPr>
                <w:rFonts w:hint="eastAsia" w:ascii="仿宋" w:hAnsi="仿宋" w:eastAsia="仿宋" w:cs="宋体"/>
                <w:color w:val="000000" w:themeColor="text1"/>
                <w:sz w:val="24"/>
                <w:szCs w:val="24"/>
              </w:rPr>
              <w:t xml:space="preserve">原件扫描件</w:t>
            </w:r>
            <w:r>
              <w:rPr>
                <w:rFonts w:ascii="仿宋" w:hAnsi="仿宋" w:eastAsia="仿宋" w:cs="宋体"/>
                <w:color w:val="000000" w:themeColor="text1"/>
                <w:sz w:val="24"/>
                <w:szCs w:val="24"/>
              </w:rPr>
              <w:t xml:space="preserve">。</w:t>
            </w:r>
            <w:r>
              <w:rPr>
                <w:rFonts w:hint="eastAsia" w:ascii="仿宋" w:hAnsi="仿宋" w:eastAsia="仿宋" w:cs="宋体"/>
                <w:color w:val="000000" w:themeColor="text1"/>
                <w:sz w:val="24"/>
                <w:szCs w:val="24"/>
              </w:rPr>
              <w:t xml:space="preserve">）</w:t>
            </w:r>
            <w:r/>
          </w:p>
        </w:tc>
        <w:tc>
          <w:tcPr>
            <w:tcW w:w="567" w:type="dxa"/>
            <w:vAlign w:val="center"/>
            <w:textDirection w:val="lrTb"/>
            <w:noWrap w:val="false"/>
          </w:tcPr>
          <w:p>
            <w:pPr>
              <w:jc w:val="cente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套</w:t>
            </w:r>
            <w:r/>
          </w:p>
        </w:tc>
        <w:tc>
          <w:tcPr>
            <w:tcW w:w="567" w:type="dxa"/>
            <w:vAlign w:val="center"/>
            <w:textDirection w:val="lrTb"/>
            <w:noWrap w:val="false"/>
          </w:tcPr>
          <w:p>
            <w:pPr>
              <w:jc w:val="cente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3</w:t>
            </w:r>
            <w:r/>
          </w:p>
        </w:tc>
      </w:tr>
      <w:tr>
        <w:trPr>
          <w:trHeight w:val="445"/>
        </w:trPr>
        <w:tc>
          <w:tcPr>
            <w:tcW w:w="545" w:type="dxa"/>
            <w:vAlign w:val="center"/>
            <w:textDirection w:val="lrTb"/>
            <w:noWrap w:val="false"/>
          </w:tcPr>
          <w:p>
            <w:pPr>
              <w:jc w:val="cente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17</w:t>
            </w:r>
            <w:r/>
          </w:p>
        </w:tc>
        <w:tc>
          <w:tcPr>
            <w:tcW w:w="1298" w:type="dxa"/>
            <w:vAlign w:val="center"/>
            <w:textDirection w:val="lrTb"/>
            <w:noWrap w:val="false"/>
          </w:tcPr>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防爆半球</w:t>
            </w:r>
            <w:r/>
          </w:p>
        </w:tc>
        <w:tc>
          <w:tcPr>
            <w:tcW w:w="6379" w:type="dxa"/>
            <w:vAlign w:val="center"/>
            <w:textDirection w:val="lrTb"/>
            <w:noWrap w:val="false"/>
          </w:tcPr>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400万像素 CMOS传感器防爆摄像机。 </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水平分辨力不小于1400TVL。</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支持H.264、H.265、MJPEG视频编码格式，且具有High Profile编码能力。</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水平旋转范围不小于0°~340°，垂直旋转范围不小于0°~75°。</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最低照度彩色：0.001 lx，黑白:0.0001 lx，亮度等级不小于11级。</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当使用一个账户登录，密码输入错误达到5次时，该账户会被锁定一段时间。</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支持本地SD卡存储，最大支持128G，并支持存储卡可使用时长显示。</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★支持对存储卡进行读写锁定，锁定后的存储卡在移动终端需要密码才能访问；多问题验证密保功能，当忘记密码时，允许通过正确匹配密保问题，重新设置管理员密码；IP68防护等级，IK10防暴等级。</w:t>
            </w:r>
            <w:r>
              <w:rPr>
                <w:rFonts w:hint="eastAsia" w:ascii="仿宋" w:hAnsi="仿宋" w:eastAsia="仿宋" w:cs="宋体"/>
                <w:color w:val="000000" w:themeColor="text1"/>
                <w:sz w:val="24"/>
                <w:szCs w:val="24"/>
              </w:rPr>
              <w:t xml:space="preserve">（</w:t>
            </w:r>
            <w:r>
              <w:rPr>
                <w:rFonts w:ascii="仿宋" w:hAnsi="仿宋" w:eastAsia="仿宋" w:cs="宋体"/>
                <w:color w:val="000000" w:themeColor="text1"/>
                <w:sz w:val="24"/>
                <w:szCs w:val="24"/>
              </w:rPr>
              <w:t xml:space="preserve">投标人</w:t>
            </w:r>
            <w:r>
              <w:rPr>
                <w:rFonts w:hint="eastAsia" w:ascii="仿宋" w:hAnsi="仿宋" w:eastAsia="仿宋" w:cs="宋体"/>
                <w:color w:val="000000" w:themeColor="text1"/>
                <w:sz w:val="24"/>
                <w:szCs w:val="24"/>
              </w:rPr>
              <w:t xml:space="preserve">或产品</w:t>
            </w:r>
            <w:r>
              <w:rPr>
                <w:rFonts w:ascii="仿宋" w:hAnsi="仿宋" w:eastAsia="仿宋" w:cs="宋体"/>
                <w:color w:val="000000" w:themeColor="text1"/>
                <w:sz w:val="24"/>
                <w:szCs w:val="24"/>
              </w:rPr>
              <w:t xml:space="preserve">制造商</w:t>
            </w:r>
            <w:r>
              <w:rPr>
                <w:rFonts w:hint="eastAsia" w:ascii="仿宋" w:hAnsi="仿宋" w:eastAsia="仿宋" w:cs="宋体"/>
                <w:color w:val="000000" w:themeColor="text1"/>
                <w:sz w:val="24"/>
                <w:szCs w:val="24"/>
              </w:rPr>
              <w:t xml:space="preserve">需提供有效期内第三方权威机构出具的</w:t>
            </w:r>
            <w:r>
              <w:rPr>
                <w:rFonts w:ascii="仿宋" w:hAnsi="仿宋" w:eastAsia="仿宋" w:cs="宋体"/>
                <w:color w:val="000000" w:themeColor="text1"/>
                <w:sz w:val="24"/>
                <w:szCs w:val="24"/>
              </w:rPr>
              <w:t xml:space="preserve">检测报告</w:t>
            </w:r>
            <w:r>
              <w:rPr>
                <w:rFonts w:hint="eastAsia" w:ascii="仿宋" w:hAnsi="仿宋" w:eastAsia="仿宋" w:cs="宋体"/>
                <w:color w:val="000000" w:themeColor="text1"/>
                <w:sz w:val="24"/>
                <w:szCs w:val="24"/>
              </w:rPr>
              <w:t xml:space="preserve">原件扫描件</w:t>
            </w:r>
            <w:r>
              <w:rPr>
                <w:rFonts w:ascii="仿宋" w:hAnsi="仿宋" w:eastAsia="仿宋" w:cs="宋体"/>
                <w:color w:val="000000" w:themeColor="text1"/>
                <w:sz w:val="24"/>
                <w:szCs w:val="24"/>
              </w:rPr>
              <w:t xml:space="preserve">。</w:t>
            </w:r>
            <w:r>
              <w:rPr>
                <w:rFonts w:hint="eastAsia" w:ascii="仿宋" w:hAnsi="仿宋" w:eastAsia="仿宋" w:cs="宋体"/>
                <w:color w:val="000000" w:themeColor="text1"/>
                <w:sz w:val="24"/>
                <w:szCs w:val="24"/>
              </w:rPr>
              <w:t xml:space="preserve">）</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同一静止场景相同图像质量下，设备在H.265编码方式时，开启智能编码功能和不开启智能编码相比，码率节约1/2。</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具有抗丢包（10%）处理能力。</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支持电动调节角度。</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防爆标志：Ex db ⅡC T6 Gb/Ex tb ⅢC T80℃ Db。</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设置密码时，需可以自动提示密码复杂度为高、中、低。</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外壳材质：SUS304不锈钢。</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需支持DC12V与POE供电，且能在DC12V±30%范围内变化时可以正常工作。</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电流及功耗：DC：12 V，最大功耗10 W；PoE：最大功耗12.5 W。</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摄像机能够在-40~60摄氏度环境下稳定工作。</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支持防雷、防浪涌、防静电。</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产品需同时提供防爆合格证，CCC证书。</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r>
            <w:r/>
          </w:p>
        </w:tc>
        <w:tc>
          <w:tcPr>
            <w:tcW w:w="567" w:type="dxa"/>
            <w:vAlign w:val="center"/>
            <w:textDirection w:val="lrTb"/>
            <w:noWrap w:val="false"/>
          </w:tcPr>
          <w:p>
            <w:pPr>
              <w:jc w:val="cente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套</w:t>
            </w:r>
            <w:r/>
          </w:p>
        </w:tc>
        <w:tc>
          <w:tcPr>
            <w:tcW w:w="567" w:type="dxa"/>
            <w:vAlign w:val="center"/>
            <w:textDirection w:val="lrTb"/>
            <w:noWrap w:val="false"/>
          </w:tcPr>
          <w:p>
            <w:pPr>
              <w:jc w:val="cente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3</w:t>
            </w:r>
            <w:r/>
          </w:p>
        </w:tc>
      </w:tr>
      <w:tr>
        <w:trPr>
          <w:trHeight w:val="445"/>
        </w:trPr>
        <w:tc>
          <w:tcPr>
            <w:tcW w:w="545" w:type="dxa"/>
            <w:vAlign w:val="center"/>
            <w:textDirection w:val="lrTb"/>
            <w:noWrap w:val="false"/>
          </w:tcPr>
          <w:p>
            <w:pPr>
              <w:jc w:val="cente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18</w:t>
            </w:r>
            <w:r/>
          </w:p>
        </w:tc>
        <w:tc>
          <w:tcPr>
            <w:tcW w:w="1298" w:type="dxa"/>
            <w:vAlign w:val="center"/>
            <w:textDirection w:val="lrTb"/>
            <w:noWrap w:val="false"/>
          </w:tcPr>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16路4盘位文搜主机</w:t>
            </w:r>
            <w:r/>
          </w:p>
        </w:tc>
        <w:tc>
          <w:tcPr>
            <w:tcW w:w="6379" w:type="dxa"/>
            <w:vAlign w:val="center"/>
            <w:textDirection w:val="lrTb"/>
            <w:noWrap w:val="false"/>
          </w:tcPr>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机架式5盘位嵌入式网络文搜主机，整机采用短机箱设计，搭载高性能ATX电源。</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整机搭载高性能AI处理器，搭配智能相机，支持全路数以文搜图应用。</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支持WEB或平台通过网络接口来调用设备文搜板块，进行文搜及页面展示。</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一、以文搜图应用</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内置图文搜索引擎，支持开放式语义检索，输入文字描述即可查找人、车、非机动车及附属物等目标。</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设备支持文搜内容合规性检测，可自动过滤敏感内容，且合规检测算法支持在线升级。</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支持搜索结果按相似度排序展示，根据搜索结果，可一键关联录像片段及以图搜图。</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★文搜检索结果支持选中查看关联录像/图片，录像片段内显示关联目标跟踪框，支持对录像关联目标及其周围目标进行二次精准检索</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以文搜图能力：16路。</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以图搜图能力：16路。</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可同时解码输出16路2MP、H.265编码、25fps格式的视频图像。</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w:t>
            </w:r>
            <w:r>
              <w:rPr>
                <w:rFonts w:ascii="仿宋" w:hAnsi="仿宋" w:eastAsia="仿宋" w:cs="宋体"/>
                <w:color w:val="000000" w:themeColor="text1"/>
                <w:sz w:val="24"/>
                <w:szCs w:val="24"/>
              </w:rPr>
              <w:t xml:space="preserve">投标人</w:t>
            </w:r>
            <w:r>
              <w:rPr>
                <w:rFonts w:hint="eastAsia" w:ascii="仿宋" w:hAnsi="仿宋" w:eastAsia="仿宋" w:cs="宋体"/>
                <w:color w:val="000000" w:themeColor="text1"/>
                <w:sz w:val="24"/>
                <w:szCs w:val="24"/>
              </w:rPr>
              <w:t xml:space="preserve">或产品</w:t>
            </w:r>
            <w:r>
              <w:rPr>
                <w:rFonts w:ascii="仿宋" w:hAnsi="仿宋" w:eastAsia="仿宋" w:cs="宋体"/>
                <w:color w:val="000000" w:themeColor="text1"/>
                <w:sz w:val="24"/>
                <w:szCs w:val="24"/>
              </w:rPr>
              <w:t xml:space="preserve">制造商</w:t>
            </w:r>
            <w:r>
              <w:rPr>
                <w:rFonts w:hint="eastAsia" w:ascii="仿宋" w:hAnsi="仿宋" w:eastAsia="仿宋" w:cs="宋体"/>
                <w:color w:val="000000" w:themeColor="text1"/>
                <w:sz w:val="24"/>
                <w:szCs w:val="24"/>
              </w:rPr>
              <w:t xml:space="preserve">需提供有效期内第三方权威机构出具的</w:t>
            </w:r>
            <w:r>
              <w:rPr>
                <w:rFonts w:ascii="仿宋" w:hAnsi="仿宋" w:eastAsia="仿宋" w:cs="宋体"/>
                <w:color w:val="000000" w:themeColor="text1"/>
                <w:sz w:val="24"/>
                <w:szCs w:val="24"/>
              </w:rPr>
              <w:t xml:space="preserve">检测报告</w:t>
            </w:r>
            <w:r>
              <w:rPr>
                <w:rFonts w:hint="eastAsia" w:ascii="仿宋" w:hAnsi="仿宋" w:eastAsia="仿宋" w:cs="宋体"/>
                <w:color w:val="000000" w:themeColor="text1"/>
                <w:sz w:val="24"/>
                <w:szCs w:val="24"/>
              </w:rPr>
              <w:t xml:space="preserve">原件扫描件</w:t>
            </w:r>
            <w:r>
              <w:rPr>
                <w:rFonts w:ascii="仿宋" w:hAnsi="仿宋" w:eastAsia="仿宋" w:cs="宋体"/>
                <w:color w:val="000000" w:themeColor="text1"/>
                <w:sz w:val="24"/>
                <w:szCs w:val="24"/>
              </w:rPr>
              <w:t xml:space="preserve">。</w:t>
            </w:r>
            <w:r>
              <w:rPr>
                <w:rFonts w:hint="eastAsia" w:ascii="仿宋" w:hAnsi="仿宋" w:eastAsia="仿宋" w:cs="宋体"/>
                <w:color w:val="000000" w:themeColor="text1"/>
                <w:sz w:val="24"/>
                <w:szCs w:val="24"/>
              </w:rPr>
              <w:t xml:space="preserve">）。</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二、目标识别应用</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目标识别：支持目标抓拍、比对报警；支持以图搜图、按姓名检索、按属性检索。</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目标名单库：支持16个名单库，总库容5万张。</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目标抓拍：2路视频流（4MP）。</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目标比对：8路图片流。</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支持本地预览权限的配置，设置权限后的通道只有登录后才会出现预览画面；支持远程预览加密，只有输入密钥才能解开视频。</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存储接口：5个SATA接口。</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视频接口：2×HDMI，1×VGA。</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支持密码复杂度等级显示；设备密码不允许明文显示和拷贝操作；并支持通过安全问题恢复密码，密码重置功能可开启或关闭。</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输入带宽：160Mbps，输出带宽：160Mbps。</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接入能力：16路H.264、H.265格式高清码流接入。</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解码能力：最大支持24×1080P。</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显示能力：最大支持4K+1080P异源输出。</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网络接口：2×RJ45 10/100/1000Mbps自适应以太网口。</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报警接口：16路报警输入，9路报警输出（其中第9路支持CTRL 12V）。</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串行接口：1路RS-232接口，2路半双工RS-485接口。</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USB接口：2×USB 2.0，1×USB 3.0。</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r>
            <w:r/>
          </w:p>
        </w:tc>
        <w:tc>
          <w:tcPr>
            <w:tcW w:w="567" w:type="dxa"/>
            <w:vAlign w:val="center"/>
            <w:textDirection w:val="lrTb"/>
            <w:noWrap w:val="false"/>
          </w:tcPr>
          <w:p>
            <w:pPr>
              <w:jc w:val="cente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套</w:t>
            </w:r>
            <w:r/>
          </w:p>
        </w:tc>
        <w:tc>
          <w:tcPr>
            <w:tcW w:w="567" w:type="dxa"/>
            <w:vAlign w:val="center"/>
            <w:textDirection w:val="lrTb"/>
            <w:noWrap w:val="false"/>
          </w:tcPr>
          <w:p>
            <w:pPr>
              <w:jc w:val="cente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1</w:t>
            </w:r>
            <w:r/>
          </w:p>
        </w:tc>
      </w:tr>
      <w:tr>
        <w:trPr>
          <w:trHeight w:val="445"/>
        </w:trPr>
        <w:tc>
          <w:tcPr>
            <w:tcW w:w="545" w:type="dxa"/>
            <w:vAlign w:val="center"/>
            <w:textDirection w:val="lrTb"/>
            <w:noWrap w:val="false"/>
          </w:tcPr>
          <w:p>
            <w:pPr>
              <w:jc w:val="cente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19</w:t>
            </w:r>
            <w:r/>
          </w:p>
        </w:tc>
        <w:tc>
          <w:tcPr>
            <w:tcW w:w="1298" w:type="dxa"/>
            <w:vAlign w:val="center"/>
            <w:textDirection w:val="lrTb"/>
            <w:noWrap w:val="false"/>
          </w:tcPr>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硬盘-8T</w:t>
            </w:r>
            <w:r/>
          </w:p>
        </w:tc>
        <w:tc>
          <w:tcPr>
            <w:tcW w:w="6379" w:type="dxa"/>
            <w:vAlign w:val="center"/>
            <w:textDirection w:val="lrTb"/>
            <w:noWrap w:val="false"/>
          </w:tcPr>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8TB容量，3.5英寸，SATA3.0接口，5400RPM</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空气盘， CMR传统磁记录</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传输速率215MB/s，流畅存储视频有效防止丢帧</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高级格式（AF）512e扇区技术，保障硬盘扇区4K对齐</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满足数据严苛的7*24小时运行可靠性、安全性的需求</w:t>
            </w:r>
            <w:r/>
          </w:p>
        </w:tc>
        <w:tc>
          <w:tcPr>
            <w:tcW w:w="567" w:type="dxa"/>
            <w:vAlign w:val="center"/>
            <w:textDirection w:val="lrTb"/>
            <w:noWrap w:val="false"/>
          </w:tcPr>
          <w:p>
            <w:pPr>
              <w:jc w:val="cente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块</w:t>
            </w:r>
            <w:r/>
          </w:p>
        </w:tc>
        <w:tc>
          <w:tcPr>
            <w:tcW w:w="567" w:type="dxa"/>
            <w:vAlign w:val="center"/>
            <w:textDirection w:val="lrTb"/>
            <w:noWrap w:val="false"/>
          </w:tcPr>
          <w:p>
            <w:pPr>
              <w:jc w:val="cente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7</w:t>
            </w:r>
            <w:r/>
          </w:p>
        </w:tc>
      </w:tr>
      <w:tr>
        <w:trPr>
          <w:trHeight w:val="445"/>
        </w:trPr>
        <w:tc>
          <w:tcPr>
            <w:tcW w:w="545" w:type="dxa"/>
            <w:vAlign w:val="center"/>
            <w:textDirection w:val="lrTb"/>
            <w:noWrap w:val="false"/>
          </w:tcPr>
          <w:p>
            <w:pPr>
              <w:jc w:val="cente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20</w:t>
            </w:r>
            <w:r/>
          </w:p>
        </w:tc>
        <w:tc>
          <w:tcPr>
            <w:tcW w:w="1298" w:type="dxa"/>
            <w:vAlign w:val="center"/>
            <w:textDirection w:val="lrTb"/>
            <w:noWrap w:val="false"/>
          </w:tcPr>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可视报警盒</w:t>
            </w:r>
            <w:r/>
          </w:p>
        </w:tc>
        <w:tc>
          <w:tcPr>
            <w:tcW w:w="6379" w:type="dxa"/>
            <w:vAlign w:val="center"/>
            <w:textDirection w:val="lrTb"/>
            <w:noWrap w:val="false"/>
          </w:tcPr>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可视报警盒；</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操作系统：嵌入式操作系统</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前端设备应支持不小于200w像素高清彩色摄像头；</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支持一键报警，和管理中心双向语音对讲，中心呼叫前端报警盒；</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支持H.264和H.265视频编码；</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支持和管理中心双向语音对讲；支持监听功能、广播功能；</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支持外接警灯警号、警灯警号可独立控制</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支持防拆报警/喧哗报警等功能</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自带明装挂板，支持壁挂安装；支持选配暗装挂板，实现嵌入式安装方式</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支持一键报警求助，支持双向语音对讲</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支持选配4G模块配件增加4G功能：支持全网通4G卡，可设置顺序呼叫4个电话号码，优先级可配置；支持物联网卡，公网对接平台</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支持POE供电；</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★前端设备应支持一键拨打电话，应支持最少设置4个电话号码；前端设备应支持一键呼叫预设的电话号，当被叫号码无法接通，拒接或者占线时，前端设备应自动拨打下一个预设号码。</w:t>
            </w:r>
            <w:r/>
          </w:p>
          <w:p>
            <w:pPr>
              <w:widowControl/>
              <w:rPr>
                <w:color w:val="000000" w:themeColor="text1"/>
              </w:rPr>
            </w:pPr>
            <w:r>
              <w:rPr>
                <w:rFonts w:hint="eastAsia" w:ascii="仿宋" w:hAnsi="仿宋" w:eastAsia="仿宋" w:cs="宋体"/>
                <w:color w:val="000000" w:themeColor="text1"/>
                <w:sz w:val="24"/>
                <w:szCs w:val="24"/>
              </w:rPr>
              <w:t xml:space="preserve">(</w:t>
            </w:r>
            <w:r>
              <w:rPr>
                <w:rFonts w:ascii="仿宋" w:hAnsi="仿宋" w:eastAsia="仿宋" w:cs="宋体"/>
                <w:color w:val="000000" w:themeColor="text1"/>
                <w:sz w:val="24"/>
                <w:szCs w:val="24"/>
              </w:rPr>
              <w:t xml:space="preserve">投标人</w:t>
            </w:r>
            <w:r>
              <w:rPr>
                <w:rFonts w:hint="eastAsia" w:ascii="仿宋" w:hAnsi="仿宋" w:eastAsia="仿宋" w:cs="宋体"/>
                <w:color w:val="000000" w:themeColor="text1"/>
                <w:sz w:val="24"/>
                <w:szCs w:val="24"/>
              </w:rPr>
              <w:t xml:space="preserve">或产品</w:t>
            </w:r>
            <w:r>
              <w:rPr>
                <w:rFonts w:ascii="仿宋" w:hAnsi="仿宋" w:eastAsia="仿宋" w:cs="宋体"/>
                <w:color w:val="000000" w:themeColor="text1"/>
                <w:sz w:val="24"/>
                <w:szCs w:val="24"/>
              </w:rPr>
              <w:t xml:space="preserve">制造商</w:t>
            </w:r>
            <w:r>
              <w:rPr>
                <w:rFonts w:hint="eastAsia" w:ascii="仿宋" w:hAnsi="仿宋" w:eastAsia="仿宋" w:cs="宋体"/>
                <w:color w:val="000000" w:themeColor="text1"/>
                <w:sz w:val="24"/>
                <w:szCs w:val="24"/>
              </w:rPr>
              <w:t xml:space="preserve">需提供有效期内第三方权威机构出具的</w:t>
            </w:r>
            <w:r>
              <w:rPr>
                <w:rFonts w:ascii="仿宋" w:hAnsi="仿宋" w:eastAsia="仿宋" w:cs="宋体"/>
                <w:color w:val="000000" w:themeColor="text1"/>
                <w:sz w:val="24"/>
                <w:szCs w:val="24"/>
              </w:rPr>
              <w:t xml:space="preserve">检测报告</w:t>
            </w:r>
            <w:r>
              <w:rPr>
                <w:rFonts w:hint="eastAsia" w:ascii="仿宋" w:hAnsi="仿宋" w:eastAsia="仿宋" w:cs="宋体"/>
                <w:color w:val="000000" w:themeColor="text1"/>
                <w:sz w:val="24"/>
                <w:szCs w:val="24"/>
              </w:rPr>
              <w:t xml:space="preserve">原件扫描件</w:t>
            </w:r>
            <w:r>
              <w:rPr>
                <w:rFonts w:ascii="仿宋" w:hAnsi="仿宋" w:eastAsia="仿宋" w:cs="宋体"/>
                <w:color w:val="000000" w:themeColor="text1"/>
                <w:sz w:val="24"/>
                <w:szCs w:val="24"/>
              </w:rPr>
              <w:t xml:space="preserve">。</w:t>
            </w:r>
            <w:r>
              <w:rPr>
                <w:rFonts w:hint="eastAsia" w:ascii="仿宋" w:hAnsi="仿宋" w:eastAsia="仿宋" w:cs="宋体"/>
                <w:color w:val="000000" w:themeColor="text1"/>
                <w:sz w:val="24"/>
                <w:szCs w:val="24"/>
              </w:rPr>
              <w:t xml:space="preserve">)</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设备应支持防拆报警、紧急报警、喧哗报警、业务咨询等多种类型</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支持不同的信号、不同防区触发不同的语音播报</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系统最大应支持256G的Micro SD卡，应实现将音视频步存储到设备Micro SD卡中，支持视音频混流</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供电方式：DC12V&amp;POE；</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设备功耗：≤8W；</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外壳材质：前壳金属，底壳PC材质；</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 防护等级：IP65；</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r>
            <w:r/>
          </w:p>
        </w:tc>
        <w:tc>
          <w:tcPr>
            <w:tcW w:w="567" w:type="dxa"/>
            <w:vAlign w:val="center"/>
            <w:textDirection w:val="lrTb"/>
            <w:noWrap w:val="false"/>
          </w:tcPr>
          <w:p>
            <w:pPr>
              <w:jc w:val="cente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套</w:t>
            </w:r>
            <w:r/>
          </w:p>
        </w:tc>
        <w:tc>
          <w:tcPr>
            <w:tcW w:w="567" w:type="dxa"/>
            <w:vAlign w:val="center"/>
            <w:textDirection w:val="lrTb"/>
            <w:noWrap w:val="false"/>
          </w:tcPr>
          <w:p>
            <w:pPr>
              <w:jc w:val="cente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1</w:t>
            </w:r>
            <w:r/>
          </w:p>
        </w:tc>
      </w:tr>
    </w:tbl>
    <w:p>
      <w:pPr>
        <w:tabs>
          <w:tab w:val="left" w:pos="821" w:leader="none"/>
        </w:tabs>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（2）</w:t>
      </w:r>
      <w:r>
        <w:rPr>
          <w:rFonts w:ascii="仿宋" w:hAnsi="仿宋" w:eastAsia="仿宋"/>
          <w:color w:val="000000" w:themeColor="text1"/>
          <w:sz w:val="28"/>
          <w:szCs w:val="28"/>
        </w:rPr>
        <w:t xml:space="preserve">化学上通风实验室56座</w:t>
      </w:r>
      <w:r>
        <w:rPr>
          <w:rFonts w:hint="eastAsia" w:ascii="仿宋" w:hAnsi="仿宋" w:eastAsia="仿宋"/>
          <w:color w:val="000000" w:themeColor="text1"/>
          <w:sz w:val="28"/>
          <w:szCs w:val="28"/>
        </w:rPr>
        <w:t xml:space="preserve">（2间）详细采购清单及技术参数</w:t>
      </w:r>
      <w:r/>
    </w:p>
    <w:tbl>
      <w:tblPr>
        <w:tblW w:w="935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60"/>
        <w:gridCol w:w="1240"/>
        <w:gridCol w:w="6317"/>
        <w:gridCol w:w="567"/>
        <w:gridCol w:w="567"/>
      </w:tblGrid>
      <w:tr>
        <w:trPr>
          <w:trHeight w:val="465"/>
        </w:trPr>
        <w:tc>
          <w:tcPr>
            <w:gridSpan w:val="5"/>
            <w:tcW w:w="9351" w:type="dxa"/>
            <w:vAlign w:val="center"/>
            <w:textDirection w:val="lrTb"/>
            <w:noWrap w:val="false"/>
          </w:tcPr>
          <w:p>
            <w:pPr>
              <w:jc w:val="cente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化学上通风实验室56座</w:t>
            </w:r>
            <w:r/>
          </w:p>
        </w:tc>
      </w:tr>
      <w:tr>
        <w:trPr>
          <w:trHeight w:val="578"/>
        </w:trPr>
        <w:tc>
          <w:tcPr>
            <w:shd w:val="clear" w:color="000000" w:fill="ffffff"/>
            <w:tcW w:w="660" w:type="dxa"/>
            <w:vAlign w:val="center"/>
            <w:textDirection w:val="lrTb"/>
            <w:noWrap w:val="false"/>
          </w:tcPr>
          <w:p>
            <w:pPr>
              <w:jc w:val="cente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序号</w:t>
            </w:r>
            <w:r/>
          </w:p>
        </w:tc>
        <w:tc>
          <w:tcPr>
            <w:shd w:val="clear" w:color="000000" w:fill="ffffff"/>
            <w:tcW w:w="1240" w:type="dxa"/>
            <w:vAlign w:val="center"/>
            <w:textDirection w:val="lrTb"/>
            <w:noWrap w:val="false"/>
          </w:tcPr>
          <w:p>
            <w:pPr>
              <w:jc w:val="cente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设备名称</w:t>
            </w:r>
            <w:r/>
          </w:p>
        </w:tc>
        <w:tc>
          <w:tcPr>
            <w:shd w:val="clear" w:color="000000" w:fill="ffffff"/>
            <w:tcW w:w="6317" w:type="dxa"/>
            <w:vAlign w:val="center"/>
            <w:textDirection w:val="lrTb"/>
            <w:noWrap w:val="false"/>
          </w:tcPr>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技术参数</w:t>
            </w:r>
            <w:r/>
          </w:p>
        </w:tc>
        <w:tc>
          <w:tcPr>
            <w:shd w:val="clear" w:color="000000" w:fill="ffffff"/>
            <w:tcW w:w="567" w:type="dxa"/>
            <w:vAlign w:val="center"/>
            <w:textDirection w:val="lrTb"/>
            <w:noWrap w:val="false"/>
          </w:tcPr>
          <w:p>
            <w:pPr>
              <w:jc w:val="cente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单位</w:t>
            </w:r>
            <w:r/>
          </w:p>
        </w:tc>
        <w:tc>
          <w:tcPr>
            <w:shd w:val="clear" w:color="000000" w:fill="ffffff"/>
            <w:tcW w:w="567" w:type="dxa"/>
            <w:vAlign w:val="center"/>
            <w:textDirection w:val="lrTb"/>
            <w:noWrap w:val="false"/>
          </w:tcPr>
          <w:p>
            <w:pPr>
              <w:jc w:val="cente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数量</w:t>
            </w:r>
            <w:r/>
          </w:p>
        </w:tc>
      </w:tr>
      <w:tr>
        <w:trPr>
          <w:trHeight w:val="1408"/>
        </w:trPr>
        <w:tc>
          <w:tcPr>
            <w:tcW w:w="660" w:type="dxa"/>
            <w:vAlign w:val="center"/>
            <w:textDirection w:val="lrTb"/>
            <w:noWrap w:val="false"/>
          </w:tcPr>
          <w:p>
            <w:pPr>
              <w:jc w:val="cente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1</w:t>
            </w:r>
            <w:r/>
          </w:p>
        </w:tc>
        <w:tc>
          <w:tcPr>
            <w:tcW w:w="1240" w:type="dxa"/>
            <w:vAlign w:val="center"/>
            <w:textDirection w:val="lrTb"/>
            <w:noWrap w:val="false"/>
          </w:tcPr>
          <w:p>
            <w:pPr>
              <w:jc w:val="cente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教师演示台</w:t>
            </w:r>
            <w:r/>
          </w:p>
        </w:tc>
        <w:tc>
          <w:tcPr>
            <w:tcW w:w="6317" w:type="dxa"/>
            <w:vAlign w:val="center"/>
            <w:textDirection w:val="lrTb"/>
            <w:noWrap w:val="false"/>
          </w:tcPr>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1.</w:t>
            </w:r>
            <w:r>
              <w:rPr>
                <w:rFonts w:ascii="仿宋" w:hAnsi="仿宋" w:eastAsia="仿宋" w:cs="宋体"/>
                <w:color w:val="000000" w:themeColor="text1"/>
                <w:sz w:val="24"/>
                <w:szCs w:val="24"/>
              </w:rPr>
              <w:t xml:space="preserve">规格：2400×700×850mm</w:t>
            </w:r>
            <w:r>
              <w:rPr>
                <w:rFonts w:ascii="仿宋" w:hAnsi="仿宋" w:eastAsia="仿宋" w:cs="宋体"/>
                <w:color w:val="000000" w:themeColor="text1"/>
                <w:sz w:val="24"/>
                <w:szCs w:val="24"/>
              </w:rPr>
              <w:br w:type="page" w:clear="all"/>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2.</w:t>
            </w:r>
            <w:r>
              <w:rPr>
                <w:rFonts w:ascii="仿宋" w:hAnsi="仿宋" w:eastAsia="仿宋" w:cs="宋体"/>
                <w:color w:val="000000" w:themeColor="text1"/>
                <w:sz w:val="24"/>
                <w:szCs w:val="24"/>
              </w:rPr>
              <w:t xml:space="preserve">★台面：采用25mm厚金属树脂高能理化板，且满足如下参数要求：</w:t>
            </w:r>
            <w:r>
              <w:rPr>
                <w:rFonts w:ascii="仿宋" w:hAnsi="仿宋" w:eastAsia="仿宋" w:cs="宋体"/>
                <w:color w:val="000000" w:themeColor="text1"/>
                <w:sz w:val="24"/>
                <w:szCs w:val="24"/>
              </w:rPr>
              <w:br w:type="page" w:clear="all"/>
            </w:r>
            <w:r/>
          </w:p>
          <w:p>
            <w:pP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（1）化学性能检测：台面依据GB/T 17657-2022 《人造板及饰面人造板理化性能试验方法》标准，耐污染性能不少于130项试验污染物的检测，且包含：98%硫酸、65%硝酸、40%氢氧化钠、37%盐酸、石脑油、苯酚等试剂，覆盖玻璃盖板和未覆盖玻璃盖板检验结果均为5级：无明显变化。</w:t>
            </w:r>
            <w:r/>
          </w:p>
          <w:p>
            <w:pP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br w:type="page" w:clear="all"/>
              <w:t xml:space="preserve">（2）物理性能检测：台面依据GB/T 17657-2022 《人造板及饰面人造板理化性能试验方法》标准，满足：弹性模量≥9700MPa； 含水率：≤0.9%；尺寸稳定性：横向≤0.11%、纵向≤0.08%；表面耐磨性能：≥1200r,未出现磨损点;表面耐湿热性能：五级：无明显变化；浸渍剥离性能：贴面层与基材之间的胶层无剥离和分层现象；耐光色牢度性能:&gt;4级;漆膜附着力：六级：切割边缘完全平滑，网格内无脱落等不低于16项检测。</w:t>
            </w:r>
            <w:r>
              <w:rPr>
                <w:rFonts w:ascii="仿宋" w:hAnsi="仿宋" w:eastAsia="仿宋" w:cs="宋体"/>
                <w:color w:val="000000" w:themeColor="text1"/>
                <w:sz w:val="24"/>
                <w:szCs w:val="24"/>
              </w:rPr>
              <w:br w:type="page" w:clear="all"/>
            </w:r>
            <w:r/>
          </w:p>
          <w:p>
            <w:pP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（3）环保性能检测：台面依据GB 18580-2017《室内装饰装修材料人造板及其制品中甲醛释放限量》标准，满足甲醛释放量&lt;0.005 mg/M3；同时台面参照GB 18584-2001《室内装饰装修材料木家具中有害物质限量》标准，满足4种重金属含量mg/kg（可溶性铅≤2.2、镉：≤0.1、铬≤0.2、汞：未检出）。</w:t>
            </w:r>
            <w:r/>
          </w:p>
          <w:p>
            <w:pP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br w:type="page" w:clear="all"/>
              <w:t xml:space="preserve">（4）抗菌性能检测：台面依据JC/T2039-2010标准，满足：大肠杆菌、金黄色葡萄球菌、肺炎克雷伯氏菌、鼠伤寒沙门氏菌、表皮葡萄球菌、铜绿假单胞菌、宋氏志贺氏菌、白色葡萄球菌、粪肠球菌；耐甲氧西林金黄色葡萄球菌、单核细胞增生李斯特氏菌、变异库克菌、溶血性链球菌等不少于 13 种的菌种检测，且抗菌率≥95%。</w:t>
            </w:r>
            <w:r>
              <w:rPr>
                <w:rFonts w:ascii="仿宋" w:hAnsi="仿宋" w:eastAsia="仿宋" w:cs="宋体"/>
                <w:color w:val="000000" w:themeColor="text1"/>
                <w:sz w:val="24"/>
                <w:szCs w:val="24"/>
              </w:rPr>
              <w:br w:type="page" w:clear="all"/>
            </w:r>
            <w:r/>
          </w:p>
          <w:p>
            <w:pP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（5）防霉性能检测：台面依据JC/T2039-2010标准，满足：黑曲霉、土曲霉、球毛壳霉、宛氏拟青霉、绳状青霉、出芽短梗霉等不少于10种的霉菌检测，且防霉等级为0级。</w:t>
            </w:r>
            <w:r>
              <w:rPr>
                <w:rFonts w:ascii="仿宋" w:hAnsi="仿宋" w:eastAsia="仿宋" w:cs="宋体"/>
                <w:color w:val="000000" w:themeColor="text1"/>
                <w:sz w:val="24"/>
                <w:szCs w:val="24"/>
              </w:rPr>
              <w:br w:type="page" w:clear="all"/>
            </w:r>
            <w:r/>
          </w:p>
          <w:p>
            <w:pP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（6）燃烧性能检测：台面依据GB/T 2408-2021《塑料 燃烧性能的测定 水平法和垂直法》标准，满足：水平燃烧符合HB级；垂直燃烧符合V-0级；台面参照GB8624-2012《建筑材料及制品燃烧性能分级》标准，满足：燃烧性能等级B1级；产烟特性等级S1级；燃烧滴落物/微粒等级d0级。</w:t>
            </w:r>
            <w:r>
              <w:rPr>
                <w:rFonts w:ascii="仿宋" w:hAnsi="仿宋" w:eastAsia="仿宋" w:cs="宋体"/>
                <w:color w:val="000000" w:themeColor="text1"/>
                <w:sz w:val="24"/>
                <w:szCs w:val="24"/>
              </w:rPr>
              <w:br w:type="page" w:clear="all"/>
            </w:r>
            <w:r/>
          </w:p>
          <w:p>
            <w:pP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（7）抗老化性检测：台面依据GB/T24508-2020标准：48小时无开裂、无鼓泡、无粉化。</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以上（1）-（7）</w:t>
            </w:r>
            <w:r>
              <w:rPr>
                <w:rFonts w:ascii="仿宋" w:hAnsi="仿宋" w:eastAsia="仿宋" w:cs="宋体"/>
                <w:color w:val="000000" w:themeColor="text1"/>
                <w:sz w:val="24"/>
                <w:szCs w:val="24"/>
              </w:rPr>
              <w:t xml:space="preserve">投标人</w:t>
            </w:r>
            <w:r>
              <w:rPr>
                <w:rFonts w:hint="eastAsia" w:ascii="仿宋" w:hAnsi="仿宋" w:eastAsia="仿宋" w:cs="宋体"/>
                <w:color w:val="000000" w:themeColor="text1"/>
                <w:sz w:val="24"/>
                <w:szCs w:val="24"/>
              </w:rPr>
              <w:t xml:space="preserve">或产品</w:t>
            </w:r>
            <w:r>
              <w:rPr>
                <w:rFonts w:ascii="仿宋" w:hAnsi="仿宋" w:eastAsia="仿宋" w:cs="宋体"/>
                <w:color w:val="000000" w:themeColor="text1"/>
                <w:sz w:val="24"/>
                <w:szCs w:val="24"/>
              </w:rPr>
              <w:t xml:space="preserve">制造商</w:t>
            </w:r>
            <w:r>
              <w:rPr>
                <w:rFonts w:hint="eastAsia" w:ascii="仿宋" w:hAnsi="仿宋" w:eastAsia="仿宋" w:cs="宋体"/>
                <w:color w:val="000000" w:themeColor="text1"/>
                <w:sz w:val="24"/>
                <w:szCs w:val="24"/>
              </w:rPr>
              <w:t xml:space="preserve">需提供有效期内第三方权威机构出具的</w:t>
            </w:r>
            <w:r>
              <w:rPr>
                <w:rFonts w:ascii="仿宋" w:hAnsi="仿宋" w:eastAsia="仿宋" w:cs="宋体"/>
                <w:color w:val="000000" w:themeColor="text1"/>
                <w:sz w:val="24"/>
                <w:szCs w:val="24"/>
              </w:rPr>
              <w:t xml:space="preserve">检测报告</w:t>
            </w:r>
            <w:r>
              <w:rPr>
                <w:rFonts w:hint="eastAsia" w:ascii="仿宋" w:hAnsi="仿宋" w:eastAsia="仿宋" w:cs="宋体"/>
                <w:color w:val="000000" w:themeColor="text1"/>
                <w:sz w:val="24"/>
                <w:szCs w:val="24"/>
              </w:rPr>
              <w:t xml:space="preserve">原件扫描件</w:t>
            </w:r>
            <w:r>
              <w:rPr>
                <w:rFonts w:ascii="仿宋" w:hAnsi="仿宋" w:eastAsia="仿宋" w:cs="宋体"/>
                <w:color w:val="000000" w:themeColor="text1"/>
                <w:sz w:val="24"/>
                <w:szCs w:val="24"/>
              </w:rPr>
              <w:t xml:space="preserve">。</w:t>
            </w:r>
            <w:r/>
          </w:p>
          <w:p>
            <w:pP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br w:type="page" w:clear="all"/>
            </w:r>
            <w:r>
              <w:rPr>
                <w:rFonts w:hint="eastAsia" w:ascii="仿宋" w:hAnsi="仿宋" w:eastAsia="仿宋" w:cs="宋体"/>
                <w:color w:val="000000" w:themeColor="text1"/>
                <w:sz w:val="24"/>
                <w:szCs w:val="24"/>
              </w:rPr>
              <w:t xml:space="preserve">3.</w:t>
            </w:r>
            <w:r>
              <w:rPr>
                <w:rFonts w:ascii="仿宋" w:hAnsi="仿宋" w:eastAsia="仿宋" w:cs="宋体"/>
                <w:color w:val="000000" w:themeColor="text1"/>
                <w:sz w:val="24"/>
                <w:szCs w:val="24"/>
              </w:rPr>
              <w:t xml:space="preserve">结构：全钢独立柜体结构，无需安装；演示台设有储物柜，中间为演示台，设置电源主控系统、多媒体设备（主机、显示器、中控、功放、交换机）的位置预留。</w:t>
            </w:r>
            <w:r/>
          </w:p>
          <w:p>
            <w:pP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br w:type="page" w:clear="all"/>
            </w:r>
            <w:r>
              <w:rPr>
                <w:rFonts w:hint="eastAsia" w:ascii="仿宋" w:hAnsi="仿宋" w:eastAsia="仿宋" w:cs="宋体"/>
                <w:color w:val="000000" w:themeColor="text1"/>
                <w:sz w:val="24"/>
                <w:szCs w:val="24"/>
              </w:rPr>
              <w:t xml:space="preserve">4.</w:t>
            </w:r>
            <w:r>
              <w:rPr>
                <w:rFonts w:ascii="仿宋" w:hAnsi="仿宋" w:eastAsia="仿宋" w:cs="宋体"/>
                <w:color w:val="000000" w:themeColor="text1"/>
                <w:sz w:val="24"/>
                <w:szCs w:val="24"/>
              </w:rPr>
              <w:t xml:space="preserve">柜身主体背板、吊板及所有板材均采用采用1.0优质一级冷轧钢板（SPCCT）经CNC机压成型，满焊无缝焊接工艺，表面经磷化、环氧树脂静电粉末涂装处理。</w:t>
            </w:r>
            <w:r/>
          </w:p>
          <w:p>
            <w:pP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br w:type="page" w:clear="all"/>
            </w:r>
            <w:r>
              <w:rPr>
                <w:rFonts w:hint="eastAsia" w:ascii="仿宋" w:hAnsi="仿宋" w:eastAsia="仿宋" w:cs="宋体"/>
                <w:color w:val="000000" w:themeColor="text1"/>
                <w:sz w:val="24"/>
                <w:szCs w:val="24"/>
              </w:rPr>
              <w:t xml:space="preserve">5.</w:t>
            </w:r>
            <w:r>
              <w:rPr>
                <w:rFonts w:ascii="仿宋" w:hAnsi="仿宋" w:eastAsia="仿宋" w:cs="宋体"/>
                <w:color w:val="000000" w:themeColor="text1"/>
                <w:sz w:val="24"/>
                <w:szCs w:val="24"/>
              </w:rPr>
              <w:t xml:space="preserve">柜门：双包结构。</w:t>
            </w:r>
            <w:r/>
          </w:p>
          <w:p>
            <w:pP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br w:type="page" w:clear="all"/>
            </w:r>
            <w:r>
              <w:rPr>
                <w:rFonts w:hint="eastAsia" w:ascii="仿宋" w:hAnsi="仿宋" w:eastAsia="仿宋" w:cs="宋体"/>
                <w:color w:val="000000" w:themeColor="text1"/>
                <w:sz w:val="24"/>
                <w:szCs w:val="24"/>
              </w:rPr>
              <w:t xml:space="preserve">6.</w:t>
            </w:r>
            <w:r>
              <w:rPr>
                <w:rFonts w:ascii="仿宋" w:hAnsi="仿宋" w:eastAsia="仿宋" w:cs="宋体"/>
                <w:color w:val="000000" w:themeColor="text1"/>
                <w:sz w:val="24"/>
                <w:szCs w:val="24"/>
              </w:rPr>
              <w:t xml:space="preserve">门铰：采用锌合金铰链。自闭式，与柜体面水平角度&lt;15度时，柜门即可自行关闭，使用过程中无噪音，可开关十万次。</w:t>
            </w:r>
            <w:r/>
          </w:p>
          <w:p>
            <w:pP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br w:type="page" w:clear="all"/>
            </w:r>
            <w:r>
              <w:rPr>
                <w:rFonts w:hint="eastAsia" w:ascii="仿宋" w:hAnsi="仿宋" w:eastAsia="仿宋" w:cs="宋体"/>
                <w:color w:val="000000" w:themeColor="text1"/>
                <w:sz w:val="24"/>
                <w:szCs w:val="24"/>
              </w:rPr>
              <w:t xml:space="preserve">7.</w:t>
            </w:r>
            <w:r>
              <w:rPr>
                <w:rFonts w:ascii="仿宋" w:hAnsi="仿宋" w:eastAsia="仿宋" w:cs="宋体"/>
                <w:color w:val="000000" w:themeColor="text1"/>
                <w:sz w:val="24"/>
                <w:szCs w:val="24"/>
              </w:rPr>
              <w:t xml:space="preserve">滑轨：三节静音滑轨，承重性强、滑动性能良好、无噪音开合十万次不变形。</w:t>
            </w:r>
            <w:r/>
          </w:p>
          <w:p>
            <w:pP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br w:type="page" w:clear="all"/>
            </w:r>
            <w:r>
              <w:rPr>
                <w:rFonts w:hint="eastAsia" w:ascii="仿宋" w:hAnsi="仿宋" w:eastAsia="仿宋" w:cs="宋体"/>
                <w:color w:val="000000" w:themeColor="text1"/>
                <w:sz w:val="24"/>
                <w:szCs w:val="24"/>
              </w:rPr>
              <w:t xml:space="preserve">8.</w:t>
            </w:r>
            <w:r>
              <w:rPr>
                <w:rFonts w:ascii="仿宋" w:hAnsi="仿宋" w:eastAsia="仿宋" w:cs="宋体"/>
                <w:color w:val="000000" w:themeColor="text1"/>
                <w:sz w:val="24"/>
                <w:szCs w:val="24"/>
              </w:rPr>
              <w:t xml:space="preserve">拉手：一字内隐藏拉手，与门板抽屉连为一体，造型独特美观。</w:t>
            </w:r>
            <w:r/>
          </w:p>
          <w:p>
            <w:pP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br w:type="page" w:clear="all"/>
            </w:r>
            <w:r>
              <w:rPr>
                <w:rFonts w:hint="eastAsia" w:ascii="仿宋" w:hAnsi="仿宋" w:eastAsia="仿宋" w:cs="宋体"/>
                <w:color w:val="000000" w:themeColor="text1"/>
                <w:sz w:val="24"/>
                <w:szCs w:val="24"/>
              </w:rPr>
              <w:t xml:space="preserve">9.</w:t>
            </w:r>
            <w:r>
              <w:rPr>
                <w:rFonts w:ascii="仿宋" w:hAnsi="仿宋" w:eastAsia="仿宋" w:cs="宋体"/>
                <w:color w:val="000000" w:themeColor="text1"/>
                <w:sz w:val="24"/>
                <w:szCs w:val="24"/>
              </w:rPr>
              <w:t xml:space="preserve">脚垫：ABS注塑专用垫，具有高度可调、耐磨、防潮、耐腐蚀等特点。</w:t>
            </w:r>
            <w:r/>
          </w:p>
          <w:p>
            <w:pP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br w:type="page" w:clear="all"/>
            </w:r>
            <w:r>
              <w:rPr>
                <w:rFonts w:hint="eastAsia" w:ascii="仿宋" w:hAnsi="仿宋" w:eastAsia="仿宋" w:cs="宋体"/>
                <w:color w:val="000000" w:themeColor="text1"/>
                <w:sz w:val="24"/>
                <w:szCs w:val="24"/>
              </w:rPr>
              <w:t xml:space="preserve">10.</w:t>
            </w:r>
            <w:r>
              <w:rPr>
                <w:rFonts w:ascii="仿宋" w:hAnsi="仿宋" w:eastAsia="仿宋" w:cs="宋体"/>
                <w:color w:val="000000" w:themeColor="text1"/>
                <w:sz w:val="24"/>
                <w:szCs w:val="24"/>
              </w:rPr>
              <w:t xml:space="preserve">抽屉下垂度≤20，抽屉摆动度≤15；</w:t>
            </w:r>
            <w:r/>
          </w:p>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br w:type="page" w:clear="all"/>
            </w:r>
            <w:r>
              <w:rPr>
                <w:rFonts w:hint="eastAsia" w:ascii="仿宋" w:hAnsi="仿宋" w:eastAsia="仿宋" w:cs="宋体"/>
                <w:color w:val="000000" w:themeColor="text1"/>
                <w:sz w:val="24"/>
                <w:szCs w:val="24"/>
              </w:rPr>
              <w:t xml:space="preserve">11.</w:t>
            </w:r>
            <w:r>
              <w:rPr>
                <w:rFonts w:ascii="仿宋" w:hAnsi="仿宋" w:eastAsia="仿宋" w:cs="宋体"/>
                <w:color w:val="000000" w:themeColor="text1"/>
                <w:sz w:val="24"/>
                <w:szCs w:val="24"/>
              </w:rPr>
              <w:t xml:space="preserve">金属喷漆（塑）涂层理化性能：硬度：≥H,冲击强度：冲击高度400MM，无剥落、裂纹、皱纹；耐腐蚀：100h后，无锈迹、剥落、起皱、变色和失光等现象；</w:t>
            </w:r>
            <w:r>
              <w:rPr>
                <w:rFonts w:ascii="仿宋" w:hAnsi="仿宋" w:eastAsia="仿宋" w:cs="宋体"/>
                <w:color w:val="000000" w:themeColor="text1"/>
                <w:sz w:val="24"/>
                <w:szCs w:val="24"/>
              </w:rPr>
              <w:br w:type="page" w:clear="all"/>
            </w:r>
            <w:r>
              <w:rPr>
                <w:rFonts w:ascii="仿宋" w:hAnsi="仿宋" w:eastAsia="仿宋" w:cs="宋体"/>
                <w:color w:val="000000" w:themeColor="text1"/>
                <w:sz w:val="24"/>
                <w:szCs w:val="24"/>
              </w:rPr>
              <w:br w:type="page" w:clear="all"/>
            </w:r>
            <w:r/>
          </w:p>
        </w:tc>
        <w:tc>
          <w:tcPr>
            <w:tcW w:w="567" w:type="dxa"/>
            <w:vAlign w:val="center"/>
            <w:textDirection w:val="lrTb"/>
            <w:noWrap w:val="false"/>
          </w:tcPr>
          <w:p>
            <w:pPr>
              <w:jc w:val="cente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张</w:t>
            </w:r>
            <w:r/>
          </w:p>
        </w:tc>
        <w:tc>
          <w:tcPr>
            <w:tcW w:w="567" w:type="dxa"/>
            <w:vAlign w:val="center"/>
            <w:textDirection w:val="lrTb"/>
            <w:noWrap w:val="false"/>
          </w:tcPr>
          <w:p>
            <w:pPr>
              <w:jc w:val="cente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2</w:t>
            </w:r>
            <w:r/>
          </w:p>
        </w:tc>
      </w:tr>
      <w:tr>
        <w:trPr>
          <w:trHeight w:val="670"/>
        </w:trPr>
        <w:tc>
          <w:tcPr>
            <w:tcW w:w="660" w:type="dxa"/>
            <w:vAlign w:val="center"/>
            <w:textDirection w:val="lrTb"/>
            <w:noWrap w:val="false"/>
          </w:tcPr>
          <w:p>
            <w:pPr>
              <w:jc w:val="cente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2</w:t>
            </w:r>
            <w:r/>
          </w:p>
        </w:tc>
        <w:tc>
          <w:tcPr>
            <w:tcW w:w="1240" w:type="dxa"/>
            <w:vAlign w:val="center"/>
            <w:textDirection w:val="lrTb"/>
            <w:noWrap w:val="false"/>
          </w:tcPr>
          <w:p>
            <w:pPr>
              <w:jc w:val="cente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教师主控模块（带通风）（智能控制箱）</w:t>
            </w:r>
            <w:r/>
          </w:p>
        </w:tc>
        <w:tc>
          <w:tcPr>
            <w:tcW w:w="6317" w:type="dxa"/>
            <w:vAlign w:val="center"/>
            <w:textDirection w:val="lrTb"/>
            <w:noWrap w:val="false"/>
          </w:tcPr>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按教育行业标准电源主控台分为控制板和主机两部分，控制板采用机械抽屉式，控制显示屏采用7寸彩色液晶屏+触摸屏，人性化全触控界面，直观操作，显示多媒体教室图片、windows界面图片，画面清晰，在各个界面上显示时钟，主菜单分为4部分为：多媒体控制、学生低压控制、学生高压控制和操作使用说明书，便于操作；触摸屏输入功能指示、密码开机、定时关机，220V分四组控制学生电源，在获得权限后可任意修改密码和定时关机时间；具有多媒体设备控制和操作功能，满</w:t>
            </w:r>
            <w:r>
              <w:rPr>
                <w:rFonts w:hint="eastAsia" w:ascii="仿宋" w:hAnsi="仿宋" w:eastAsia="仿宋" w:cs="宋体"/>
                <w:color w:val="000000" w:themeColor="text1"/>
                <w:sz w:val="24"/>
                <w:szCs w:val="24"/>
              </w:rPr>
              <w:t xml:space="preserve">足多媒体教学需要；通过数字键盘可直接选取并控制学生低压交直流电源；交流低压输出0－30V，直流低压输出0－30V，直流高压输出240V-300V/100Ma，直流稳压输出0-18V/3A、18-30V/3A，教学部分交流低压输出0-18V/4A、18-30V/3A，通过数字键盘直接选择。短时间大电流输出9V/40A±10A（≤10S 自动关闭），直流9V 输出，每启动一次，输出时间为10 秒。交直流低压输出均设有过载保护。电源主控台需与教师演示台一体化。工作要求交流220V 电源通过变压器变压，供下述电源；</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1、交流低压输出：由主机面板触摸屏选择，得到可变得交流低压，供教师和学生使用。</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2、直流低压输出：由主机操作面触摸屏开关选择，供教师和学生使用。</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3、直流9V、40A/8s 大电流短时输出：由主机触摸屏界面选择，经桥式电流后得到脉动的直流大电流。输出电流为40A ±10A，试验时，输出电流＞10A，工作时间在8S 自动关断。9V、40A/8S 电流仅供教师使用。</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4、直流高压240V-300V 电压输出，由主机点击选择后输出孔直接送出，直流高压240V-300V 电压输出，电流为100mA。</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w:t>
            </w:r>
            <w:r>
              <w:rPr>
                <w:rFonts w:hint="eastAsia" w:ascii="仿宋" w:hAnsi="仿宋" w:eastAsia="仿宋" w:cs="宋体"/>
                <w:color w:val="000000" w:themeColor="text1"/>
                <w:sz w:val="24"/>
                <w:szCs w:val="24"/>
              </w:rPr>
              <w:t xml:space="preserve">5、提供电源控制箱低压电器3C证明。</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w:t>
            </w:r>
            <w:r>
              <w:rPr>
                <w:rFonts w:hint="eastAsia" w:ascii="仿宋" w:hAnsi="仿宋" w:eastAsia="仿宋" w:cs="宋体"/>
                <w:color w:val="000000" w:themeColor="text1"/>
                <w:sz w:val="24"/>
                <w:szCs w:val="24"/>
              </w:rPr>
              <w:t xml:space="preserve">技术要求：</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参照GB 4943.1-2022《 音视频、信息技术和通信技术设备 第1部分:安全要求》检测标准，根据GB 4943.1-2022中5.6.6要求：32A，2min，保护连接系统的电阻≤0.1Ω；</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根据GB 4943.1-2022中5.7要求：初级可触及接地零部件，接触电流限值≤ 7.07mA；</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加</w:t>
            </w:r>
            <w:r>
              <w:rPr>
                <w:rFonts w:ascii="仿宋" w:hAnsi="仿宋" w:eastAsia="仿宋" w:cs="宋体"/>
                <w:color w:val="000000" w:themeColor="text1"/>
                <w:sz w:val="24"/>
                <w:szCs w:val="24"/>
              </w:rPr>
              <w:t xml:space="preserve">“</w:t>
            </w:r>
            <w:r>
              <w:rPr>
                <w:rFonts w:hint="eastAsia" w:ascii="仿宋" w:hAnsi="仿宋" w:eastAsia="仿宋" w:cs="宋体"/>
                <w:color w:val="000000" w:themeColor="text1"/>
                <w:sz w:val="24"/>
                <w:szCs w:val="24"/>
              </w:rPr>
              <w:t xml:space="preserve">★</w:t>
            </w:r>
            <w:r>
              <w:rPr>
                <w:rFonts w:ascii="仿宋" w:hAnsi="仿宋" w:eastAsia="仿宋" w:cs="宋体"/>
                <w:color w:val="000000" w:themeColor="text1"/>
                <w:sz w:val="24"/>
                <w:szCs w:val="24"/>
              </w:rPr>
              <w:t xml:space="preserve">”投标人</w:t>
            </w:r>
            <w:r>
              <w:rPr>
                <w:rFonts w:hint="eastAsia" w:ascii="仿宋" w:hAnsi="仿宋" w:eastAsia="仿宋" w:cs="宋体"/>
                <w:color w:val="000000" w:themeColor="text1"/>
                <w:sz w:val="24"/>
                <w:szCs w:val="24"/>
              </w:rPr>
              <w:t xml:space="preserve">或产品</w:t>
            </w:r>
            <w:r>
              <w:rPr>
                <w:rFonts w:ascii="仿宋" w:hAnsi="仿宋" w:eastAsia="仿宋" w:cs="宋体"/>
                <w:color w:val="000000" w:themeColor="text1"/>
                <w:sz w:val="24"/>
                <w:szCs w:val="24"/>
              </w:rPr>
              <w:t xml:space="preserve">制造商</w:t>
            </w:r>
            <w:r>
              <w:rPr>
                <w:rFonts w:hint="eastAsia" w:ascii="仿宋" w:hAnsi="仿宋" w:eastAsia="仿宋" w:cs="宋体"/>
                <w:color w:val="000000" w:themeColor="text1"/>
                <w:sz w:val="24"/>
                <w:szCs w:val="24"/>
              </w:rPr>
              <w:t xml:space="preserve">需提供有效期内第三方权威机构出具的</w:t>
            </w:r>
            <w:r>
              <w:rPr>
                <w:rFonts w:ascii="仿宋" w:hAnsi="仿宋" w:eastAsia="仿宋" w:cs="宋体"/>
                <w:color w:val="000000" w:themeColor="text1"/>
                <w:sz w:val="24"/>
                <w:szCs w:val="24"/>
              </w:rPr>
              <w:t xml:space="preserve">检测报告</w:t>
            </w:r>
            <w:r>
              <w:rPr>
                <w:rFonts w:hint="eastAsia" w:ascii="仿宋" w:hAnsi="仿宋" w:eastAsia="仿宋" w:cs="宋体"/>
                <w:color w:val="000000" w:themeColor="text1"/>
                <w:sz w:val="24"/>
                <w:szCs w:val="24"/>
              </w:rPr>
              <w:t xml:space="preserve">原件扫描件</w:t>
            </w:r>
            <w:r>
              <w:rPr>
                <w:rFonts w:ascii="仿宋" w:hAnsi="仿宋" w:eastAsia="仿宋" w:cs="宋体"/>
                <w:color w:val="000000" w:themeColor="text1"/>
                <w:sz w:val="24"/>
                <w:szCs w:val="24"/>
              </w:rPr>
              <w:t xml:space="preserve">。</w:t>
            </w:r>
            <w:r/>
          </w:p>
          <w:p>
            <w:pPr>
              <w:jc w:val="left"/>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r>
            <w:r/>
          </w:p>
        </w:tc>
        <w:tc>
          <w:tcPr>
            <w:tcW w:w="567" w:type="dxa"/>
            <w:vAlign w:val="center"/>
            <w:textDirection w:val="lrTb"/>
            <w:noWrap w:val="false"/>
          </w:tcPr>
          <w:p>
            <w:pPr>
              <w:jc w:val="cente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台</w:t>
            </w:r>
            <w:r/>
          </w:p>
        </w:tc>
        <w:tc>
          <w:tcPr>
            <w:tcW w:w="567" w:type="dxa"/>
            <w:vAlign w:val="center"/>
            <w:textDirection w:val="lrTb"/>
            <w:noWrap w:val="false"/>
          </w:tcPr>
          <w:p>
            <w:pPr>
              <w:jc w:val="cente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2</w:t>
            </w:r>
            <w:r/>
          </w:p>
        </w:tc>
      </w:tr>
      <w:tr>
        <w:trPr>
          <w:trHeight w:val="1120"/>
        </w:trPr>
        <w:tc>
          <w:tcPr>
            <w:tcW w:w="660" w:type="dxa"/>
            <w:vAlign w:val="center"/>
            <w:textDirection w:val="lrTb"/>
            <w:noWrap w:val="false"/>
          </w:tcPr>
          <w:p>
            <w:pPr>
              <w:jc w:val="cente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3</w:t>
            </w:r>
            <w:r/>
          </w:p>
        </w:tc>
        <w:tc>
          <w:tcPr>
            <w:tcW w:w="1240" w:type="dxa"/>
            <w:vAlign w:val="center"/>
            <w:textDirection w:val="lrTb"/>
            <w:noWrap w:val="false"/>
          </w:tcPr>
          <w:p>
            <w:pPr>
              <w:jc w:val="cente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教师椅</w:t>
            </w:r>
            <w:r/>
          </w:p>
        </w:tc>
        <w:tc>
          <w:tcPr>
            <w:tcW w:w="6317" w:type="dxa"/>
            <w:vAlign w:val="center"/>
            <w:textDirection w:val="lrTb"/>
            <w:noWrap w:val="false"/>
          </w:tcPr>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椅面、靠背选用优质网布面料，透气性强、无异味。背垫、座垫采用高密度发泡成型棉，回弹性好、不易变形，不老化，依人体坐姿特别设计，符合人体工学。艺术造型扶手，优质圆五星脚配活动脚轮，气压调节座位高度。</w:t>
            </w:r>
            <w:r/>
          </w:p>
        </w:tc>
        <w:tc>
          <w:tcPr>
            <w:tcW w:w="567" w:type="dxa"/>
            <w:vAlign w:val="center"/>
            <w:textDirection w:val="lrTb"/>
            <w:noWrap w:val="false"/>
          </w:tcPr>
          <w:p>
            <w:pPr>
              <w:jc w:val="cente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个</w:t>
            </w:r>
            <w:r/>
          </w:p>
        </w:tc>
        <w:tc>
          <w:tcPr>
            <w:tcW w:w="567" w:type="dxa"/>
            <w:vAlign w:val="center"/>
            <w:textDirection w:val="lrTb"/>
            <w:noWrap w:val="false"/>
          </w:tcPr>
          <w:p>
            <w:pPr>
              <w:jc w:val="cente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2</w:t>
            </w:r>
            <w:r/>
          </w:p>
        </w:tc>
      </w:tr>
      <w:tr>
        <w:trPr>
          <w:trHeight w:val="1120"/>
        </w:trPr>
        <w:tc>
          <w:tcPr>
            <w:tcW w:w="660" w:type="dxa"/>
            <w:vAlign w:val="center"/>
            <w:textDirection w:val="lrTb"/>
            <w:noWrap w:val="false"/>
          </w:tcPr>
          <w:p>
            <w:pPr>
              <w:jc w:val="cente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4</w:t>
            </w:r>
            <w:r/>
          </w:p>
        </w:tc>
        <w:tc>
          <w:tcPr>
            <w:tcW w:w="1240" w:type="dxa"/>
            <w:vAlign w:val="center"/>
            <w:textDirection w:val="lrTb"/>
            <w:noWrap w:val="false"/>
          </w:tcPr>
          <w:p>
            <w:pPr>
              <w:jc w:val="cente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教师水槽</w:t>
            </w:r>
            <w:r/>
          </w:p>
        </w:tc>
        <w:tc>
          <w:tcPr>
            <w:tcW w:w="6317" w:type="dxa"/>
            <w:vAlign w:val="center"/>
            <w:textDirection w:val="lrTb"/>
            <w:noWrap w:val="false"/>
          </w:tcPr>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440*330*190</w:t>
            </w:r>
            <w:r>
              <w:rPr>
                <w:rFonts w:ascii="仿宋" w:hAnsi="仿宋" w:eastAsia="仿宋" w:cs="宋体"/>
                <w:color w:val="000000" w:themeColor="text1"/>
                <w:sz w:val="24"/>
                <w:szCs w:val="24"/>
              </w:rPr>
              <w:br/>
              <w:t xml:space="preserve">采用实验室专用高密度PP一体化成型水槽，易清洁，耐腐蚀，且利于台面残水自然回流，美观实用；具耐酸碱、耐有机溶剂、耐紫外线等特点。</w:t>
            </w:r>
            <w:r/>
          </w:p>
        </w:tc>
        <w:tc>
          <w:tcPr>
            <w:tcW w:w="567" w:type="dxa"/>
            <w:vAlign w:val="center"/>
            <w:textDirection w:val="lrTb"/>
            <w:noWrap w:val="false"/>
          </w:tcPr>
          <w:p>
            <w:pPr>
              <w:jc w:val="cente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个</w:t>
            </w:r>
            <w:r/>
          </w:p>
        </w:tc>
        <w:tc>
          <w:tcPr>
            <w:tcW w:w="567" w:type="dxa"/>
            <w:vAlign w:val="center"/>
            <w:textDirection w:val="lrTb"/>
            <w:noWrap w:val="false"/>
          </w:tcPr>
          <w:p>
            <w:pPr>
              <w:jc w:val="cente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2</w:t>
            </w:r>
            <w:r/>
          </w:p>
        </w:tc>
      </w:tr>
      <w:tr>
        <w:trPr>
          <w:trHeight w:val="840"/>
        </w:trPr>
        <w:tc>
          <w:tcPr>
            <w:tcW w:w="660" w:type="dxa"/>
            <w:vAlign w:val="center"/>
            <w:textDirection w:val="lrTb"/>
            <w:noWrap w:val="false"/>
          </w:tcPr>
          <w:p>
            <w:pPr>
              <w:jc w:val="cente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5</w:t>
            </w:r>
            <w:r/>
          </w:p>
        </w:tc>
        <w:tc>
          <w:tcPr>
            <w:tcW w:w="1240" w:type="dxa"/>
            <w:vAlign w:val="center"/>
            <w:textDirection w:val="lrTb"/>
            <w:noWrap w:val="false"/>
          </w:tcPr>
          <w:p>
            <w:pPr>
              <w:jc w:val="cente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教师三联水嘴</w:t>
            </w:r>
            <w:r/>
          </w:p>
        </w:tc>
        <w:tc>
          <w:tcPr>
            <w:tcW w:w="6317" w:type="dxa"/>
            <w:vAlign w:val="center"/>
            <w:textDirection w:val="lrTb"/>
            <w:noWrap w:val="false"/>
          </w:tcPr>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采用实验室专用三联水嘴90度瓷质阀芯，出水嘴为铜质尖嘴，水管管体部分为黄铜合金制品，铜质表面经过烤漆喷涂处理，增强耐酸碱防腐蚀以及防锈性能。</w:t>
            </w:r>
            <w:r/>
          </w:p>
        </w:tc>
        <w:tc>
          <w:tcPr>
            <w:tcW w:w="567" w:type="dxa"/>
            <w:vAlign w:val="center"/>
            <w:textDirection w:val="lrTb"/>
            <w:noWrap w:val="false"/>
          </w:tcPr>
          <w:p>
            <w:pPr>
              <w:jc w:val="cente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个</w:t>
            </w:r>
            <w:r/>
          </w:p>
        </w:tc>
        <w:tc>
          <w:tcPr>
            <w:tcW w:w="567" w:type="dxa"/>
            <w:vAlign w:val="center"/>
            <w:textDirection w:val="lrTb"/>
            <w:noWrap w:val="false"/>
          </w:tcPr>
          <w:p>
            <w:pPr>
              <w:jc w:val="cente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2</w:t>
            </w:r>
            <w:r/>
          </w:p>
        </w:tc>
      </w:tr>
      <w:tr>
        <w:trPr>
          <w:trHeight w:val="840"/>
        </w:trPr>
        <w:tc>
          <w:tcPr>
            <w:tcW w:w="660" w:type="dxa"/>
            <w:vAlign w:val="center"/>
            <w:textDirection w:val="lrTb"/>
            <w:noWrap w:val="false"/>
          </w:tcPr>
          <w:p>
            <w:pPr>
              <w:jc w:val="cente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6</w:t>
            </w:r>
            <w:r/>
          </w:p>
        </w:tc>
        <w:tc>
          <w:tcPr>
            <w:tcW w:w="1240" w:type="dxa"/>
            <w:vAlign w:val="center"/>
            <w:textDirection w:val="lrTb"/>
            <w:noWrap w:val="false"/>
          </w:tcPr>
          <w:p>
            <w:pPr>
              <w:jc w:val="cente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洗眼器</w:t>
            </w:r>
            <w:r/>
          </w:p>
        </w:tc>
        <w:tc>
          <w:tcPr>
            <w:tcW w:w="6317" w:type="dxa"/>
            <w:vAlign w:val="center"/>
            <w:textDirection w:val="lrTb"/>
            <w:noWrap w:val="false"/>
          </w:tcPr>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单眼洗眼器，黄铜材质经高亮环氧树脂喷涂，耐腐蚀，耐热，PP材质，使用时自动被水冲开，供水软管1.5M软性PVC管外覆不锈钢网，外层包裹PD管，有效防止生锈，最大耐水压6帕。</w:t>
            </w:r>
            <w:r/>
          </w:p>
        </w:tc>
        <w:tc>
          <w:tcPr>
            <w:tcW w:w="567" w:type="dxa"/>
            <w:vAlign w:val="center"/>
            <w:textDirection w:val="lrTb"/>
            <w:noWrap w:val="false"/>
          </w:tcPr>
          <w:p>
            <w:pPr>
              <w:jc w:val="cente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台</w:t>
            </w:r>
            <w:r/>
          </w:p>
        </w:tc>
        <w:tc>
          <w:tcPr>
            <w:tcW w:w="567" w:type="dxa"/>
            <w:vAlign w:val="center"/>
            <w:textDirection w:val="lrTb"/>
            <w:noWrap w:val="false"/>
          </w:tcPr>
          <w:p>
            <w:pPr>
              <w:jc w:val="cente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2</w:t>
            </w:r>
            <w:r/>
          </w:p>
        </w:tc>
      </w:tr>
      <w:tr>
        <w:trPr>
          <w:trHeight w:val="2655"/>
        </w:trPr>
        <w:tc>
          <w:tcPr>
            <w:tcW w:w="660" w:type="dxa"/>
            <w:vAlign w:val="center"/>
            <w:textDirection w:val="lrTb"/>
            <w:noWrap w:val="false"/>
          </w:tcPr>
          <w:p>
            <w:pPr>
              <w:jc w:val="cente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7</w:t>
            </w:r>
            <w:r/>
          </w:p>
        </w:tc>
        <w:tc>
          <w:tcPr>
            <w:tcW w:w="1240" w:type="dxa"/>
            <w:vAlign w:val="center"/>
            <w:textDirection w:val="lrTb"/>
            <w:noWrap w:val="false"/>
          </w:tcPr>
          <w:p>
            <w:pPr>
              <w:jc w:val="cente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实验台</w:t>
            </w:r>
            <w:r/>
          </w:p>
        </w:tc>
        <w:tc>
          <w:tcPr>
            <w:tcW w:w="6317" w:type="dxa"/>
            <w:vAlign w:val="center"/>
            <w:textDirection w:val="lrTb"/>
            <w:noWrap w:val="false"/>
          </w:tcPr>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1、规格：1200*600*780</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★2、采用20mm厚无甲醛新型环保陶瓷台面，台面表面为实验室专业耐腐蚀、耐污染、抗冲击釉面。坯体一体实芯，釉面和坯体经高温一体烧结而成。</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(1)、外观要求：外观为五面坯体，表面釉面为烧成颜色；坯体敲碎后，无空洞、无直径2mm以上气泡、无杂色，为一体实芯坯体；釉面与坯体之间无脱层，釉面与坯体呈一体结构，釉面为烧成颜色，非坯体颜色。</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(2)、耐化学腐蚀性能：为保证台面耐化学腐蚀的稳定性，台面耐化学腐蚀性不低于GLA级。</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(3)、抗冲击性能：为保证台面使用的安全性，台面抗冲击性（恢复系数）不低于0.841。</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(4)、防潮要求：为保证台面防潮、防霉的性能，参照GB/T4100-2015（陶瓷砖）附录G标准，台面吸水率测试平均值≤0.05％。</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(5)、放射性核素限量要求：参照GB6566-2010《建筑材料放射性核素限量》标准，检测结果：内照射指数≤0.4。</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(6)、颜色稳定性：为保证台面的美观度，参照GB/T17657-2022标准,耐光色牢度不低于4级。</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★以上（4）-（6）技术要求，需提供CMA或CNAS认证的第三方检测机构出具的检测报告。检测报告复印件或扫描件需加盖产品厂商的鲜章佐证。</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3、台身结构：新型塑铝结构，学生位镂空式，符合人体工程学设计，美观大方。</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桌身：由桌腿、立柱、大横梁、前横梁、中横梁、后横梁组成。</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桌腿：采用工字型压铸铝一次成型，三段链接。</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上腿规格：≥长590*宽55*高110mm，部分壁厚≥3.5mm，内侧设有凹槽。</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下腿规格：≥长540*宽55*高105mm，部分壁厚≥3.5mm，下脚正面设有塑料卡盖，组装完成后更加美观。</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立柱：采用≥120*55mm，壁厚≥2.0mm。立柱两端内部有2个铸铝成型的螺丝链接位。</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前横梁：≥37*30mm，壁厚≥1.5mm。中横梁：≥40*30mm，壁厚≥1.5mm。</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后横梁：≥37*30mm,壁厚≥1.5mm。后横梁上侧设50MM挡水板，防止物品滑落，挡水板两侧有塑料堵头圆角处理安全不刮伤。</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加强横支撑件：采用60*30mm椭圆管，壁厚≥1.5mm。表面经高压静电喷涂环氧树脂防护层，耐酸碱，耐腐蚀处理。</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4、书包斗:420*260*155MM，采用环保型PP材料一次性注塑成型，上面设计有可悬挂凳子的圆形孔，镂空独特造型，简洁时尚。两个书包斗中间设有电源盒，方便使用。产品特点：零甲醛、零污染、易擦洗、耐老化、环保、回收率高。  </w:t>
            </w:r>
            <w:r/>
          </w:p>
        </w:tc>
        <w:tc>
          <w:tcPr>
            <w:tcW w:w="567" w:type="dxa"/>
            <w:vAlign w:val="center"/>
            <w:textDirection w:val="lrTb"/>
            <w:noWrap w:val="false"/>
          </w:tcPr>
          <w:p>
            <w:pPr>
              <w:jc w:val="cente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张</w:t>
            </w:r>
            <w:r/>
          </w:p>
        </w:tc>
        <w:tc>
          <w:tcPr>
            <w:tcW w:w="567" w:type="dxa"/>
            <w:vAlign w:val="center"/>
            <w:textDirection w:val="lrTb"/>
            <w:noWrap w:val="false"/>
          </w:tcPr>
          <w:p>
            <w:pPr>
              <w:jc w:val="cente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56</w:t>
            </w:r>
            <w:r/>
          </w:p>
        </w:tc>
      </w:tr>
      <w:tr>
        <w:trPr>
          <w:trHeight w:val="840"/>
        </w:trPr>
        <w:tc>
          <w:tcPr>
            <w:tcW w:w="660" w:type="dxa"/>
            <w:vAlign w:val="center"/>
            <w:textDirection w:val="lrTb"/>
            <w:noWrap w:val="false"/>
          </w:tcPr>
          <w:p>
            <w:pPr>
              <w:jc w:val="cente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8</w:t>
            </w:r>
            <w:r/>
          </w:p>
        </w:tc>
        <w:tc>
          <w:tcPr>
            <w:tcW w:w="1240" w:type="dxa"/>
            <w:vAlign w:val="center"/>
            <w:textDirection w:val="lrTb"/>
            <w:noWrap w:val="false"/>
          </w:tcPr>
          <w:p>
            <w:pPr>
              <w:jc w:val="cente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多功能柱</w:t>
            </w:r>
            <w:r/>
          </w:p>
        </w:tc>
        <w:tc>
          <w:tcPr>
            <w:tcW w:w="6317" w:type="dxa"/>
            <w:vAlign w:val="center"/>
            <w:textDirection w:val="lrTb"/>
            <w:noWrap w:val="false"/>
          </w:tcPr>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ABS工程塑料一次性注塑成型结合,表面沙面和光面相结合处理,以齿合槽配以螺丝连接，拆分组合方便，方便检修桶体内的风管或电线。</w:t>
            </w:r>
            <w:r/>
          </w:p>
        </w:tc>
        <w:tc>
          <w:tcPr>
            <w:tcW w:w="567" w:type="dxa"/>
            <w:vAlign w:val="center"/>
            <w:textDirection w:val="lrTb"/>
            <w:noWrap w:val="false"/>
          </w:tcPr>
          <w:p>
            <w:pPr>
              <w:jc w:val="cente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个</w:t>
            </w:r>
            <w:r/>
          </w:p>
        </w:tc>
        <w:tc>
          <w:tcPr>
            <w:tcW w:w="567" w:type="dxa"/>
            <w:vAlign w:val="center"/>
            <w:textDirection w:val="lrTb"/>
            <w:noWrap w:val="false"/>
          </w:tcPr>
          <w:p>
            <w:pPr>
              <w:jc w:val="cente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56</w:t>
            </w:r>
            <w:r/>
          </w:p>
        </w:tc>
      </w:tr>
      <w:tr>
        <w:trPr>
          <w:trHeight w:val="1400"/>
        </w:trPr>
        <w:tc>
          <w:tcPr>
            <w:tcW w:w="660" w:type="dxa"/>
            <w:vAlign w:val="center"/>
            <w:textDirection w:val="lrTb"/>
            <w:noWrap w:val="false"/>
          </w:tcPr>
          <w:p>
            <w:pPr>
              <w:jc w:val="cente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9</w:t>
            </w:r>
            <w:r/>
          </w:p>
        </w:tc>
        <w:tc>
          <w:tcPr>
            <w:tcW w:w="1240" w:type="dxa"/>
            <w:vAlign w:val="center"/>
            <w:textDirection w:val="lrTb"/>
            <w:noWrap w:val="false"/>
          </w:tcPr>
          <w:p>
            <w:pPr>
              <w:jc w:val="cente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学生操作终端</w:t>
            </w:r>
            <w:r/>
          </w:p>
        </w:tc>
        <w:tc>
          <w:tcPr>
            <w:tcW w:w="6317" w:type="dxa"/>
            <w:vAlign w:val="center"/>
            <w:textDirection w:val="lrTb"/>
            <w:noWrap w:val="false"/>
          </w:tcPr>
          <w:p>
            <w:pPr>
              <w:jc w:val="left"/>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1、每两个学生中间，配备手动翻转式防尘结构的电源盒，面板采用阻燃ABS制作，选用进口PC贴膜，美观耐用。使用时翻出。使用完毕按回原位。接受教师演示台送来的交流电源。</w:t>
            </w:r>
            <w:r/>
          </w:p>
          <w:p>
            <w:pPr>
              <w:jc w:val="left"/>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2、低压交直流电源：交直流0-24每2V一档由教师统一调节控制，出。（短路、过载自动保护、自动复位。）</w:t>
            </w:r>
            <w:r/>
          </w:p>
          <w:p>
            <w:pPr>
              <w:jc w:val="left"/>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3、交流电源：每台配备220V交流输出电源，电源全部由教师台控制。</w:t>
            </w:r>
            <w:r/>
          </w:p>
        </w:tc>
        <w:tc>
          <w:tcPr>
            <w:tcW w:w="567" w:type="dxa"/>
            <w:vAlign w:val="center"/>
            <w:textDirection w:val="lrTb"/>
            <w:noWrap w:val="false"/>
          </w:tcPr>
          <w:p>
            <w:pPr>
              <w:jc w:val="cente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台</w:t>
            </w:r>
            <w:r/>
          </w:p>
        </w:tc>
        <w:tc>
          <w:tcPr>
            <w:tcW w:w="567" w:type="dxa"/>
            <w:vAlign w:val="center"/>
            <w:textDirection w:val="lrTb"/>
            <w:noWrap w:val="false"/>
          </w:tcPr>
          <w:p>
            <w:pPr>
              <w:jc w:val="cente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56</w:t>
            </w:r>
            <w:r/>
          </w:p>
        </w:tc>
      </w:tr>
      <w:tr>
        <w:trPr>
          <w:trHeight w:val="2958" w:hRule="exact"/>
        </w:trPr>
        <w:tc>
          <w:tcPr>
            <w:tcW w:w="660" w:type="dxa"/>
            <w:vAlign w:val="center"/>
            <w:textDirection w:val="lrTb"/>
            <w:noWrap w:val="false"/>
          </w:tcPr>
          <w:p>
            <w:pPr>
              <w:jc w:val="cente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10</w:t>
            </w:r>
            <w:r/>
          </w:p>
        </w:tc>
        <w:tc>
          <w:tcPr>
            <w:tcW w:w="1240" w:type="dxa"/>
            <w:vAlign w:val="center"/>
            <w:textDirection w:val="lrTb"/>
            <w:noWrap w:val="false"/>
          </w:tcPr>
          <w:p>
            <w:pPr>
              <w:jc w:val="cente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实验凳</w:t>
            </w:r>
            <w:r/>
          </w:p>
        </w:tc>
        <w:tc>
          <w:tcPr>
            <w:tcW w:w="6317" w:type="dxa"/>
            <w:vAlign w:val="center"/>
            <w:textDirection w:val="lrTb"/>
            <w:noWrap w:val="false"/>
          </w:tcPr>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1.规格尺寸：≥Φ310mm×450mm。</w:t>
            </w:r>
            <w:r>
              <w:rPr>
                <w:rFonts w:ascii="仿宋" w:hAnsi="仿宋" w:eastAsia="仿宋" w:cs="宋体"/>
                <w:color w:val="000000" w:themeColor="text1"/>
                <w:sz w:val="24"/>
                <w:szCs w:val="24"/>
              </w:rPr>
              <w:br/>
              <w:t xml:space="preserve">2.四爪升降凳，带固定器，及防脱落设计，整体美观结实，牢固耐用。</w:t>
            </w:r>
            <w:r>
              <w:rPr>
                <w:rFonts w:ascii="仿宋" w:hAnsi="仿宋" w:eastAsia="仿宋" w:cs="宋体"/>
                <w:color w:val="000000" w:themeColor="text1"/>
                <w:sz w:val="24"/>
                <w:szCs w:val="24"/>
              </w:rPr>
              <w:br/>
              <w:t xml:space="preserve">3.凳面：采用ABS工程塑料一次性注塑成型，表面细纹咬花，防滑不发光。</w:t>
            </w:r>
            <w:r>
              <w:rPr>
                <w:rFonts w:ascii="仿宋" w:hAnsi="仿宋" w:eastAsia="仿宋" w:cs="宋体"/>
                <w:color w:val="000000" w:themeColor="text1"/>
                <w:sz w:val="24"/>
                <w:szCs w:val="24"/>
              </w:rPr>
              <w:br/>
              <w:t xml:space="preserve">4.脚垫：采用优质PP材料一次注塑成型。</w:t>
            </w:r>
            <w:r>
              <w:rPr>
                <w:rFonts w:ascii="仿宋" w:hAnsi="仿宋" w:eastAsia="仿宋" w:cs="宋体"/>
                <w:color w:val="000000" w:themeColor="text1"/>
                <w:sz w:val="24"/>
                <w:szCs w:val="24"/>
              </w:rPr>
              <w:br/>
              <w:t xml:space="preserve">5.脚钢架：椭圆形无缝钢管焊接而成，结构牢固，经高温粉体烤漆处理，长时间使用也不会产生表面烤漆剥落现象。</w:t>
            </w:r>
            <w:r>
              <w:rPr>
                <w:rFonts w:ascii="仿宋" w:hAnsi="仿宋" w:eastAsia="仿宋" w:cs="宋体"/>
                <w:color w:val="000000" w:themeColor="text1"/>
                <w:sz w:val="24"/>
                <w:szCs w:val="24"/>
              </w:rPr>
              <w:br/>
              <w:t xml:space="preserve">6.凳面可通过旋转螺杆来升降凳子高度,可调高度不少于5cm。</w:t>
            </w:r>
            <w:r/>
          </w:p>
        </w:tc>
        <w:tc>
          <w:tcPr>
            <w:tcW w:w="567" w:type="dxa"/>
            <w:vAlign w:val="center"/>
            <w:textDirection w:val="lrTb"/>
            <w:noWrap w:val="false"/>
          </w:tcPr>
          <w:p>
            <w:pPr>
              <w:jc w:val="cente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只</w:t>
            </w:r>
            <w:r/>
          </w:p>
        </w:tc>
        <w:tc>
          <w:tcPr>
            <w:tcW w:w="567" w:type="dxa"/>
            <w:vAlign w:val="center"/>
            <w:textDirection w:val="lrTb"/>
            <w:noWrap w:val="false"/>
          </w:tcPr>
          <w:p>
            <w:pPr>
              <w:jc w:val="cente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112</w:t>
            </w:r>
            <w:r/>
          </w:p>
        </w:tc>
      </w:tr>
      <w:tr>
        <w:trPr>
          <w:trHeight w:val="4214"/>
        </w:trPr>
        <w:tc>
          <w:tcPr>
            <w:tcW w:w="660" w:type="dxa"/>
            <w:vAlign w:val="center"/>
            <w:textDirection w:val="lrTb"/>
            <w:noWrap w:val="false"/>
          </w:tcPr>
          <w:p>
            <w:pPr>
              <w:jc w:val="cente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11</w:t>
            </w:r>
            <w:r/>
          </w:p>
        </w:tc>
        <w:tc>
          <w:tcPr>
            <w:tcW w:w="1240" w:type="dxa"/>
            <w:vAlign w:val="center"/>
            <w:textDirection w:val="lrTb"/>
            <w:noWrap w:val="false"/>
          </w:tcPr>
          <w:p>
            <w:pPr>
              <w:jc w:val="cente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多功能水槽柜</w:t>
            </w:r>
            <w:r/>
          </w:p>
        </w:tc>
        <w:tc>
          <w:tcPr>
            <w:tcW w:w="6317" w:type="dxa"/>
            <w:vAlign w:val="center"/>
            <w:textDirection w:val="lrTb"/>
            <w:noWrap w:val="false"/>
          </w:tcPr>
          <w:p>
            <w:pPr>
              <w:jc w:val="left"/>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水槽采用环保型PP材料一次性注塑成型，耐强酸碱&lt;80度有机溶剂并耐150度以下高温，壁厚4mm，具有防溢出功能。水槽柜规格：465*600*820mm；水槽后端高出水槽两侧50mm防止后排学生使用时水溅到前排学生身上。水槽柜为榫卯连接结构并合理布局加强筋，安装时不用胶水粘结，使用产品自身力量相互连接，产品不变形，不扭曲。柜子整体采用环保型ABS工程塑料一次性注塑成型，表面木纹与光面相结合处理。同时水槽柜底部为模具一体成型，加固水槽柜的强度。</w:t>
            </w:r>
            <w:r/>
          </w:p>
          <w:p>
            <w:pPr>
              <w:jc w:val="left"/>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为保证产品质量，水槽柜必须符合以下技术参数及要求：</w:t>
            </w:r>
            <w:r/>
          </w:p>
          <w:p>
            <w:pPr>
              <w:jc w:val="left"/>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★水槽柜整体依据GB/T32487-2016《塑料家具通用技术条件》检测标准，塑料件：耐冷热循环、硬度、稳定性测试结果合格。（</w:t>
            </w:r>
            <w:r>
              <w:rPr>
                <w:rFonts w:ascii="仿宋" w:hAnsi="仿宋" w:eastAsia="仿宋" w:cs="宋体"/>
                <w:color w:val="000000" w:themeColor="text1"/>
                <w:sz w:val="24"/>
                <w:szCs w:val="24"/>
              </w:rPr>
              <w:t xml:space="preserve">投标人</w:t>
            </w:r>
            <w:r>
              <w:rPr>
                <w:rFonts w:hint="eastAsia" w:ascii="仿宋" w:hAnsi="仿宋" w:eastAsia="仿宋" w:cs="宋体"/>
                <w:color w:val="000000" w:themeColor="text1"/>
                <w:sz w:val="24"/>
                <w:szCs w:val="24"/>
              </w:rPr>
              <w:t xml:space="preserve">或产品</w:t>
            </w:r>
            <w:r>
              <w:rPr>
                <w:rFonts w:ascii="仿宋" w:hAnsi="仿宋" w:eastAsia="仿宋" w:cs="宋体"/>
                <w:color w:val="000000" w:themeColor="text1"/>
                <w:sz w:val="24"/>
                <w:szCs w:val="24"/>
              </w:rPr>
              <w:t xml:space="preserve">制造商</w:t>
            </w:r>
            <w:r>
              <w:rPr>
                <w:rFonts w:hint="eastAsia" w:ascii="仿宋" w:hAnsi="仿宋" w:eastAsia="仿宋" w:cs="宋体"/>
                <w:color w:val="000000" w:themeColor="text1"/>
                <w:sz w:val="24"/>
                <w:szCs w:val="24"/>
              </w:rPr>
              <w:t xml:space="preserve">需提供有效期内第三方权威机构出具的</w:t>
            </w:r>
            <w:r>
              <w:rPr>
                <w:rFonts w:ascii="仿宋" w:hAnsi="仿宋" w:eastAsia="仿宋" w:cs="宋体"/>
                <w:color w:val="000000" w:themeColor="text1"/>
                <w:sz w:val="24"/>
                <w:szCs w:val="24"/>
              </w:rPr>
              <w:t xml:space="preserve">检测报告</w:t>
            </w:r>
            <w:r>
              <w:rPr>
                <w:rFonts w:hint="eastAsia" w:ascii="仿宋" w:hAnsi="仿宋" w:eastAsia="仿宋" w:cs="宋体"/>
                <w:color w:val="000000" w:themeColor="text1"/>
                <w:sz w:val="24"/>
                <w:szCs w:val="24"/>
              </w:rPr>
              <w:t xml:space="preserve">原件扫描件</w:t>
            </w:r>
            <w:r>
              <w:rPr>
                <w:rFonts w:ascii="仿宋" w:hAnsi="仿宋" w:eastAsia="仿宋" w:cs="宋体"/>
                <w:color w:val="000000" w:themeColor="text1"/>
                <w:sz w:val="24"/>
                <w:szCs w:val="24"/>
              </w:rPr>
              <w:t xml:space="preserve">。</w:t>
            </w:r>
            <w:r>
              <w:rPr>
                <w:rFonts w:hint="eastAsia" w:ascii="仿宋" w:hAnsi="仿宋" w:eastAsia="仿宋" w:cs="宋体"/>
                <w:color w:val="000000" w:themeColor="text1"/>
                <w:sz w:val="24"/>
                <w:szCs w:val="24"/>
              </w:rPr>
              <w:t xml:space="preserve">）</w:t>
            </w:r>
            <w:r/>
          </w:p>
        </w:tc>
        <w:tc>
          <w:tcPr>
            <w:tcW w:w="567" w:type="dxa"/>
            <w:vAlign w:val="center"/>
            <w:textDirection w:val="lrTb"/>
            <w:noWrap w:val="false"/>
          </w:tcPr>
          <w:p>
            <w:pPr>
              <w:jc w:val="cente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套</w:t>
            </w:r>
            <w:r/>
          </w:p>
        </w:tc>
        <w:tc>
          <w:tcPr>
            <w:tcW w:w="567" w:type="dxa"/>
            <w:vAlign w:val="center"/>
            <w:textDirection w:val="lrTb"/>
            <w:noWrap w:val="false"/>
          </w:tcPr>
          <w:p>
            <w:pPr>
              <w:jc w:val="cente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28</w:t>
            </w:r>
            <w:r/>
          </w:p>
        </w:tc>
      </w:tr>
      <w:tr>
        <w:trPr>
          <w:trHeight w:val="840"/>
        </w:trPr>
        <w:tc>
          <w:tcPr>
            <w:tcW w:w="660" w:type="dxa"/>
            <w:vAlign w:val="center"/>
            <w:textDirection w:val="lrTb"/>
            <w:noWrap w:val="false"/>
          </w:tcPr>
          <w:p>
            <w:pPr>
              <w:jc w:val="cente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12</w:t>
            </w:r>
            <w:r/>
          </w:p>
        </w:tc>
        <w:tc>
          <w:tcPr>
            <w:tcW w:w="1240" w:type="dxa"/>
            <w:vAlign w:val="center"/>
            <w:textDirection w:val="lrTb"/>
            <w:noWrap w:val="false"/>
          </w:tcPr>
          <w:p>
            <w:pPr>
              <w:jc w:val="cente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三联水嘴</w:t>
            </w:r>
            <w:r/>
          </w:p>
        </w:tc>
        <w:tc>
          <w:tcPr>
            <w:tcW w:w="6317" w:type="dxa"/>
            <w:vAlign w:val="center"/>
            <w:textDirection w:val="lrTb"/>
            <w:noWrap w:val="false"/>
          </w:tcPr>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采用实验室专用三联水嘴90度瓷质阀芯，出水嘴为铜质尖嘴，水管管体部分为黄铜合金制品，铜质表面经过烤漆喷涂处理，增强耐酸碱防腐蚀以及防锈性能。</w:t>
            </w:r>
            <w:r/>
          </w:p>
        </w:tc>
        <w:tc>
          <w:tcPr>
            <w:tcW w:w="567" w:type="dxa"/>
            <w:vAlign w:val="center"/>
            <w:textDirection w:val="lrTb"/>
            <w:noWrap w:val="false"/>
          </w:tcPr>
          <w:p>
            <w:pPr>
              <w:jc w:val="cente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个</w:t>
            </w:r>
            <w:r/>
          </w:p>
        </w:tc>
        <w:tc>
          <w:tcPr>
            <w:tcW w:w="567" w:type="dxa"/>
            <w:vAlign w:val="center"/>
            <w:textDirection w:val="lrTb"/>
            <w:noWrap w:val="false"/>
          </w:tcPr>
          <w:p>
            <w:pPr>
              <w:jc w:val="cente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28</w:t>
            </w:r>
            <w:r/>
          </w:p>
        </w:tc>
      </w:tr>
      <w:tr>
        <w:trPr>
          <w:trHeight w:val="800"/>
        </w:trPr>
        <w:tc>
          <w:tcPr>
            <w:tcW w:w="660" w:type="dxa"/>
            <w:vAlign w:val="center"/>
            <w:textDirection w:val="lrTb"/>
            <w:noWrap w:val="false"/>
          </w:tcPr>
          <w:p>
            <w:pPr>
              <w:jc w:val="cente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13</w:t>
            </w:r>
            <w:r/>
          </w:p>
        </w:tc>
        <w:tc>
          <w:tcPr>
            <w:tcW w:w="1240" w:type="dxa"/>
            <w:vAlign w:val="center"/>
            <w:textDirection w:val="lrTb"/>
            <w:noWrap w:val="false"/>
          </w:tcPr>
          <w:p>
            <w:pPr>
              <w:jc w:val="cente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风机</w:t>
            </w:r>
            <w:r/>
          </w:p>
        </w:tc>
        <w:tc>
          <w:tcPr>
            <w:tcW w:w="6317" w:type="dxa"/>
            <w:vAlign w:val="center"/>
            <w:textDirection w:val="lrTb"/>
            <w:noWrap w:val="false"/>
          </w:tcPr>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新款4-72型注塑成型离心式风机，变频调速电机，功率为5.5KW。风量达到6840-12700m3/H，全压1137-785Pa，风量风速控制高速范围大，在风机达到最大功率60%情况以下可实现每小时换气次数20次以上。                                                    </w:t>
            </w:r>
            <w:r>
              <w:rPr>
                <w:rFonts w:ascii="仿宋" w:hAnsi="仿宋" w:eastAsia="仿宋" w:cs="宋体"/>
                <w:color w:val="000000" w:themeColor="text1"/>
                <w:sz w:val="24"/>
                <w:szCs w:val="24"/>
              </w:rPr>
              <w:br w:type="page" w:clear="all"/>
            </w:r>
            <w:r>
              <w:rPr>
                <w:rFonts w:ascii="仿宋" w:hAnsi="仿宋" w:eastAsia="仿宋" w:cs="宋体"/>
                <w:color w:val="000000" w:themeColor="text1"/>
                <w:sz w:val="24"/>
                <w:szCs w:val="24"/>
              </w:rPr>
              <w:br w:type="page" w:clear="all"/>
            </w:r>
            <w:r/>
          </w:p>
        </w:tc>
        <w:tc>
          <w:tcPr>
            <w:tcW w:w="567" w:type="dxa"/>
            <w:vAlign w:val="center"/>
            <w:textDirection w:val="lrTb"/>
            <w:noWrap w:val="false"/>
          </w:tcPr>
          <w:p>
            <w:pPr>
              <w:jc w:val="cente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套</w:t>
            </w:r>
            <w:r/>
          </w:p>
        </w:tc>
        <w:tc>
          <w:tcPr>
            <w:tcW w:w="567" w:type="dxa"/>
            <w:vAlign w:val="center"/>
            <w:textDirection w:val="lrTb"/>
            <w:noWrap w:val="false"/>
          </w:tcPr>
          <w:p>
            <w:pPr>
              <w:jc w:val="cente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2</w:t>
            </w:r>
            <w:r/>
          </w:p>
        </w:tc>
      </w:tr>
      <w:tr>
        <w:trPr>
          <w:trHeight w:val="686"/>
        </w:trPr>
        <w:tc>
          <w:tcPr>
            <w:tcW w:w="660" w:type="dxa"/>
            <w:vAlign w:val="center"/>
            <w:textDirection w:val="lrTb"/>
            <w:noWrap w:val="false"/>
          </w:tcPr>
          <w:p>
            <w:pPr>
              <w:jc w:val="cente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14</w:t>
            </w:r>
            <w:r/>
          </w:p>
        </w:tc>
        <w:tc>
          <w:tcPr>
            <w:tcW w:w="1240" w:type="dxa"/>
            <w:vAlign w:val="center"/>
            <w:textDirection w:val="lrTb"/>
            <w:noWrap w:val="false"/>
          </w:tcPr>
          <w:p>
            <w:pPr>
              <w:jc w:val="cente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风机软连接</w:t>
            </w:r>
            <w:r/>
          </w:p>
        </w:tc>
        <w:tc>
          <w:tcPr>
            <w:tcW w:w="6317" w:type="dxa"/>
            <w:vAlign w:val="center"/>
            <w:textDirection w:val="lrTb"/>
            <w:noWrap w:val="false"/>
          </w:tcPr>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φ600-φ400mm,pp材质。进出口接头采用柔性材质，消除因震动引起的微量错位对风机的影响。</w:t>
            </w:r>
            <w:r/>
          </w:p>
        </w:tc>
        <w:tc>
          <w:tcPr>
            <w:tcW w:w="567" w:type="dxa"/>
            <w:vAlign w:val="center"/>
            <w:textDirection w:val="lrTb"/>
            <w:noWrap w:val="false"/>
          </w:tcPr>
          <w:p>
            <w:pPr>
              <w:jc w:val="cente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套</w:t>
            </w:r>
            <w:r/>
          </w:p>
        </w:tc>
        <w:tc>
          <w:tcPr>
            <w:tcW w:w="567" w:type="dxa"/>
            <w:vAlign w:val="center"/>
            <w:textDirection w:val="lrTb"/>
            <w:noWrap w:val="false"/>
          </w:tcPr>
          <w:p>
            <w:pPr>
              <w:jc w:val="cente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2</w:t>
            </w:r>
            <w:r/>
          </w:p>
        </w:tc>
      </w:tr>
      <w:tr>
        <w:trPr>
          <w:trHeight w:val="800"/>
        </w:trPr>
        <w:tc>
          <w:tcPr>
            <w:tcW w:w="660" w:type="dxa"/>
            <w:vAlign w:val="center"/>
            <w:textDirection w:val="lrTb"/>
            <w:noWrap w:val="false"/>
          </w:tcPr>
          <w:p>
            <w:pPr>
              <w:jc w:val="cente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15</w:t>
            </w:r>
            <w:r/>
          </w:p>
        </w:tc>
        <w:tc>
          <w:tcPr>
            <w:tcW w:w="1240" w:type="dxa"/>
            <w:vAlign w:val="center"/>
            <w:textDirection w:val="lrTb"/>
            <w:noWrap w:val="false"/>
          </w:tcPr>
          <w:p>
            <w:pPr>
              <w:jc w:val="cente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消音器</w:t>
            </w:r>
            <w:r/>
          </w:p>
        </w:tc>
        <w:tc>
          <w:tcPr>
            <w:tcW w:w="6317" w:type="dxa"/>
            <w:vAlign w:val="center"/>
            <w:textDirection w:val="lrTb"/>
            <w:noWrap w:val="false"/>
          </w:tcPr>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φ400*1000mm,PP材质，内置隔音棉等隔音装置。</w:t>
            </w:r>
            <w:r/>
          </w:p>
        </w:tc>
        <w:tc>
          <w:tcPr>
            <w:tcW w:w="567" w:type="dxa"/>
            <w:vAlign w:val="center"/>
            <w:textDirection w:val="lrTb"/>
            <w:noWrap w:val="false"/>
          </w:tcPr>
          <w:p>
            <w:pPr>
              <w:jc w:val="cente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套</w:t>
            </w:r>
            <w:r/>
          </w:p>
        </w:tc>
        <w:tc>
          <w:tcPr>
            <w:tcW w:w="567" w:type="dxa"/>
            <w:vAlign w:val="center"/>
            <w:textDirection w:val="lrTb"/>
            <w:noWrap w:val="false"/>
          </w:tcPr>
          <w:p>
            <w:pPr>
              <w:jc w:val="cente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2</w:t>
            </w:r>
            <w:r/>
          </w:p>
        </w:tc>
      </w:tr>
      <w:tr>
        <w:trPr>
          <w:trHeight w:val="670"/>
        </w:trPr>
        <w:tc>
          <w:tcPr>
            <w:tcW w:w="660" w:type="dxa"/>
            <w:vAlign w:val="center"/>
            <w:textDirection w:val="lrTb"/>
            <w:noWrap w:val="false"/>
          </w:tcPr>
          <w:p>
            <w:pPr>
              <w:jc w:val="cente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16</w:t>
            </w:r>
            <w:r/>
          </w:p>
        </w:tc>
        <w:tc>
          <w:tcPr>
            <w:tcW w:w="1240" w:type="dxa"/>
            <w:vAlign w:val="center"/>
            <w:textDirection w:val="lrTb"/>
            <w:noWrap w:val="false"/>
          </w:tcPr>
          <w:p>
            <w:pPr>
              <w:jc w:val="cente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风机减震器</w:t>
            </w:r>
            <w:r/>
          </w:p>
        </w:tc>
        <w:tc>
          <w:tcPr>
            <w:tcW w:w="6317" w:type="dxa"/>
            <w:vAlign w:val="center"/>
            <w:textDirection w:val="lrTb"/>
            <w:noWrap w:val="false"/>
          </w:tcPr>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橡胶减震器用于消除专用通风机引起的震动。</w:t>
            </w:r>
            <w:r/>
          </w:p>
        </w:tc>
        <w:tc>
          <w:tcPr>
            <w:tcW w:w="567" w:type="dxa"/>
            <w:vAlign w:val="center"/>
            <w:textDirection w:val="lrTb"/>
            <w:noWrap w:val="false"/>
          </w:tcPr>
          <w:p>
            <w:pPr>
              <w:jc w:val="cente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个</w:t>
            </w:r>
            <w:r/>
          </w:p>
        </w:tc>
        <w:tc>
          <w:tcPr>
            <w:tcW w:w="567" w:type="dxa"/>
            <w:vAlign w:val="center"/>
            <w:textDirection w:val="lrTb"/>
            <w:noWrap w:val="false"/>
          </w:tcPr>
          <w:p>
            <w:pPr>
              <w:jc w:val="cente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2</w:t>
            </w:r>
            <w:r/>
          </w:p>
        </w:tc>
      </w:tr>
      <w:tr>
        <w:trPr>
          <w:trHeight w:val="2240"/>
        </w:trPr>
        <w:tc>
          <w:tcPr>
            <w:tcW w:w="660" w:type="dxa"/>
            <w:vAlign w:val="center"/>
            <w:textDirection w:val="lrTb"/>
            <w:noWrap w:val="false"/>
          </w:tcPr>
          <w:p>
            <w:pPr>
              <w:jc w:val="cente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17</w:t>
            </w:r>
            <w:r/>
          </w:p>
        </w:tc>
        <w:tc>
          <w:tcPr>
            <w:tcW w:w="1240" w:type="dxa"/>
            <w:vAlign w:val="center"/>
            <w:textDirection w:val="lrTb"/>
            <w:noWrap w:val="false"/>
          </w:tcPr>
          <w:p>
            <w:pPr>
              <w:jc w:val="cente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吊装吸风罩</w:t>
            </w:r>
            <w:r/>
          </w:p>
        </w:tc>
        <w:tc>
          <w:tcPr>
            <w:tcW w:w="6317" w:type="dxa"/>
            <w:vAlign w:val="center"/>
            <w:textDirection w:val="lrTb"/>
            <w:noWrap w:val="false"/>
          </w:tcPr>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1.关节：高密度PP，表面磨砂，可360°旋转调节方向。2.关节密封圈：高密度橡胶。</w:t>
            </w:r>
            <w:r/>
          </w:p>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3.关节盖：高密度PP，表面磨砂。</w:t>
            </w:r>
            <w:r/>
          </w:p>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4.关节松紧选钮：高密度PP材质，内置微形平面推力不锈钢轴承，与关节连接杆锁合。</w:t>
            </w:r>
            <w:r/>
          </w:p>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5.塑料万向罩口直径250mm，高密度PP材质制成。</w:t>
            </w:r>
            <w:r/>
          </w:p>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6.伸缩导管：4节直径75mm抗氧化抗腐蚀镁硅铝合金，表面处理，耐酸、耐碱、耐划痕。</w:t>
            </w:r>
            <w:r/>
          </w:p>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7.旋转关节：抗氧化抗腐蚀镁硅铝合金，下部增加旋转功能，内部设计PVC离合结构。</w:t>
            </w:r>
            <w:r/>
          </w:p>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8.扭簧：使用90度的4mm弹簧钢抗氧化处理，防止吸风罩整体滑下。</w:t>
            </w:r>
            <w:r/>
          </w:p>
        </w:tc>
        <w:tc>
          <w:tcPr>
            <w:tcW w:w="567" w:type="dxa"/>
            <w:vAlign w:val="center"/>
            <w:textDirection w:val="lrTb"/>
            <w:noWrap w:val="false"/>
          </w:tcPr>
          <w:p>
            <w:pPr>
              <w:jc w:val="cente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套</w:t>
            </w:r>
            <w:r/>
          </w:p>
        </w:tc>
        <w:tc>
          <w:tcPr>
            <w:tcW w:w="567" w:type="dxa"/>
            <w:vAlign w:val="center"/>
            <w:textDirection w:val="lrTb"/>
            <w:noWrap w:val="false"/>
          </w:tcPr>
          <w:p>
            <w:pPr>
              <w:jc w:val="cente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58</w:t>
            </w:r>
            <w:r/>
          </w:p>
        </w:tc>
      </w:tr>
      <w:tr>
        <w:trPr>
          <w:trHeight w:val="280"/>
        </w:trPr>
        <w:tc>
          <w:tcPr>
            <w:tcW w:w="660" w:type="dxa"/>
            <w:vAlign w:val="center"/>
            <w:textDirection w:val="lrTb"/>
            <w:noWrap w:val="false"/>
          </w:tcPr>
          <w:p>
            <w:pPr>
              <w:jc w:val="cente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18</w:t>
            </w:r>
            <w:r/>
          </w:p>
        </w:tc>
        <w:tc>
          <w:tcPr>
            <w:tcW w:w="1240" w:type="dxa"/>
            <w:vAlign w:val="center"/>
            <w:textDirection w:val="lrTb"/>
            <w:noWrap w:val="false"/>
          </w:tcPr>
          <w:p>
            <w:pPr>
              <w:jc w:val="cente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防雨帽</w:t>
            </w:r>
            <w:r/>
          </w:p>
        </w:tc>
        <w:tc>
          <w:tcPr>
            <w:tcW w:w="6317" w:type="dxa"/>
            <w:vAlign w:val="center"/>
            <w:textDirection w:val="lrTb"/>
            <w:noWrap w:val="false"/>
          </w:tcPr>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PP材质，主要用于对专用通风机的防护。</w:t>
            </w:r>
            <w:r/>
          </w:p>
        </w:tc>
        <w:tc>
          <w:tcPr>
            <w:tcW w:w="567" w:type="dxa"/>
            <w:vAlign w:val="center"/>
            <w:textDirection w:val="lrTb"/>
            <w:noWrap w:val="false"/>
          </w:tcPr>
          <w:p>
            <w:pPr>
              <w:jc w:val="cente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个</w:t>
            </w:r>
            <w:r/>
          </w:p>
        </w:tc>
        <w:tc>
          <w:tcPr>
            <w:tcW w:w="567" w:type="dxa"/>
            <w:vAlign w:val="center"/>
            <w:textDirection w:val="lrTb"/>
            <w:noWrap w:val="false"/>
          </w:tcPr>
          <w:p>
            <w:pPr>
              <w:jc w:val="cente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2</w:t>
            </w:r>
            <w:r/>
          </w:p>
        </w:tc>
      </w:tr>
      <w:tr>
        <w:trPr>
          <w:trHeight w:val="840"/>
        </w:trPr>
        <w:tc>
          <w:tcPr>
            <w:tcW w:w="660" w:type="dxa"/>
            <w:vAlign w:val="center"/>
            <w:textDirection w:val="lrTb"/>
            <w:noWrap w:val="false"/>
          </w:tcPr>
          <w:p>
            <w:pPr>
              <w:jc w:val="cente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19</w:t>
            </w:r>
            <w:r/>
          </w:p>
        </w:tc>
        <w:tc>
          <w:tcPr>
            <w:tcW w:w="1240" w:type="dxa"/>
            <w:vAlign w:val="center"/>
            <w:textDirection w:val="lrTb"/>
            <w:noWrap w:val="false"/>
          </w:tcPr>
          <w:p>
            <w:pPr>
              <w:jc w:val="cente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室内通风管道</w:t>
            </w:r>
            <w:r/>
          </w:p>
        </w:tc>
        <w:tc>
          <w:tcPr>
            <w:tcW w:w="6317" w:type="dxa"/>
            <w:vAlign w:val="center"/>
            <w:textDirection w:val="lrTb"/>
            <w:noWrap w:val="false"/>
          </w:tcPr>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采用PVC风管，具有耐酸碱性能。</w:t>
            </w:r>
            <w:r>
              <w:rPr>
                <w:rFonts w:ascii="仿宋" w:hAnsi="仿宋" w:eastAsia="仿宋" w:cs="宋体"/>
                <w:color w:val="000000" w:themeColor="text1"/>
                <w:sz w:val="24"/>
                <w:szCs w:val="24"/>
              </w:rPr>
              <w:br/>
              <w:t xml:space="preserve">规格：主风管直径≥200mm，支风管直径≥110mm。管卡采用碳钢制作，表面经镀铬处理，具有耐腐蚀、防火、防潮等功能。</w:t>
            </w:r>
            <w:r/>
          </w:p>
        </w:tc>
        <w:tc>
          <w:tcPr>
            <w:tcW w:w="567" w:type="dxa"/>
            <w:vAlign w:val="center"/>
            <w:textDirection w:val="lrTb"/>
            <w:noWrap w:val="false"/>
          </w:tcPr>
          <w:p>
            <w:pPr>
              <w:jc w:val="cente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套</w:t>
            </w:r>
            <w:r/>
          </w:p>
        </w:tc>
        <w:tc>
          <w:tcPr>
            <w:tcW w:w="567" w:type="dxa"/>
            <w:vAlign w:val="center"/>
            <w:textDirection w:val="lrTb"/>
            <w:noWrap w:val="false"/>
          </w:tcPr>
          <w:p>
            <w:pPr>
              <w:jc w:val="cente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2</w:t>
            </w:r>
            <w:r/>
          </w:p>
        </w:tc>
      </w:tr>
      <w:tr>
        <w:trPr>
          <w:trHeight w:val="840"/>
        </w:trPr>
        <w:tc>
          <w:tcPr>
            <w:tcW w:w="660" w:type="dxa"/>
            <w:vAlign w:val="center"/>
            <w:textDirection w:val="lrTb"/>
            <w:noWrap w:val="false"/>
          </w:tcPr>
          <w:p>
            <w:pPr>
              <w:jc w:val="cente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20</w:t>
            </w:r>
            <w:r/>
          </w:p>
        </w:tc>
        <w:tc>
          <w:tcPr>
            <w:tcW w:w="1240" w:type="dxa"/>
            <w:vAlign w:val="center"/>
            <w:textDirection w:val="lrTb"/>
            <w:noWrap w:val="false"/>
          </w:tcPr>
          <w:p>
            <w:pPr>
              <w:jc w:val="cente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室外通风管道</w:t>
            </w:r>
            <w:r/>
          </w:p>
        </w:tc>
        <w:tc>
          <w:tcPr>
            <w:tcW w:w="6317" w:type="dxa"/>
            <w:vAlign w:val="center"/>
            <w:textDirection w:val="lrTb"/>
            <w:noWrap w:val="false"/>
          </w:tcPr>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采用PVC风管，或PP焊接管具有耐酸碱性能。</w:t>
            </w:r>
            <w:r>
              <w:rPr>
                <w:rFonts w:ascii="仿宋" w:hAnsi="仿宋" w:eastAsia="仿宋" w:cs="宋体"/>
                <w:color w:val="000000" w:themeColor="text1"/>
                <w:sz w:val="24"/>
                <w:szCs w:val="24"/>
              </w:rPr>
              <w:br/>
              <w:t xml:space="preserve">规格：主风管直径≥315mm。管卡采用碳钢制作，表面经镀铬处理，具有耐腐蚀、防火、防潮等功能。</w:t>
            </w:r>
            <w:r/>
          </w:p>
        </w:tc>
        <w:tc>
          <w:tcPr>
            <w:tcW w:w="567" w:type="dxa"/>
            <w:vAlign w:val="center"/>
            <w:textDirection w:val="lrTb"/>
            <w:noWrap w:val="false"/>
          </w:tcPr>
          <w:p>
            <w:pPr>
              <w:jc w:val="cente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套</w:t>
            </w:r>
            <w:r/>
          </w:p>
        </w:tc>
        <w:tc>
          <w:tcPr>
            <w:tcW w:w="567" w:type="dxa"/>
            <w:vAlign w:val="center"/>
            <w:textDirection w:val="lrTb"/>
            <w:noWrap w:val="false"/>
          </w:tcPr>
          <w:p>
            <w:pPr>
              <w:jc w:val="cente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2</w:t>
            </w:r>
            <w:r/>
          </w:p>
        </w:tc>
      </w:tr>
      <w:tr>
        <w:trPr>
          <w:trHeight w:val="1680"/>
        </w:trPr>
        <w:tc>
          <w:tcPr>
            <w:tcW w:w="660" w:type="dxa"/>
            <w:vAlign w:val="center"/>
            <w:textDirection w:val="lrTb"/>
            <w:noWrap w:val="false"/>
          </w:tcPr>
          <w:p>
            <w:pPr>
              <w:jc w:val="cente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21</w:t>
            </w:r>
            <w:r/>
          </w:p>
        </w:tc>
        <w:tc>
          <w:tcPr>
            <w:tcW w:w="1240" w:type="dxa"/>
            <w:vAlign w:val="center"/>
            <w:textDirection w:val="lrTb"/>
            <w:noWrap w:val="false"/>
          </w:tcPr>
          <w:p>
            <w:pPr>
              <w:jc w:val="cente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给排水管</w:t>
            </w:r>
            <w:r/>
          </w:p>
        </w:tc>
        <w:tc>
          <w:tcPr>
            <w:tcW w:w="6317" w:type="dxa"/>
            <w:vAlign w:val="center"/>
            <w:textDirection w:val="lrTb"/>
            <w:noWrap w:val="false"/>
          </w:tcPr>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1、给水主管选用φ20-32mmPP-R给水管，每组间采用活接式连接，方便安装、检修。</w:t>
            </w:r>
            <w:r>
              <w:rPr>
                <w:rFonts w:ascii="仿宋" w:hAnsi="仿宋" w:eastAsia="仿宋" w:cs="宋体"/>
                <w:color w:val="000000" w:themeColor="text1"/>
                <w:sz w:val="24"/>
                <w:szCs w:val="24"/>
              </w:rPr>
              <w:br/>
              <w:t xml:space="preserve">2、排水管选用加厚φ50-75mmPVC-U国标管（具有防酸、防碱、耐腐蚀功能），每组间采用活接式连接，方便安装、检修。</w:t>
            </w:r>
            <w:r>
              <w:rPr>
                <w:rFonts w:ascii="仿宋" w:hAnsi="仿宋" w:eastAsia="仿宋" w:cs="宋体"/>
                <w:color w:val="000000" w:themeColor="text1"/>
                <w:sz w:val="24"/>
                <w:szCs w:val="24"/>
              </w:rPr>
              <w:br/>
              <w:t xml:space="preserve">3.给排水管质量至少达到相关国标标准，供给教室水槽以及各学生桌水槽给排水使用，不含开槽，恢复预埋。</w:t>
            </w:r>
            <w:r/>
          </w:p>
        </w:tc>
        <w:tc>
          <w:tcPr>
            <w:tcW w:w="567" w:type="dxa"/>
            <w:vAlign w:val="center"/>
            <w:textDirection w:val="lrTb"/>
            <w:noWrap w:val="false"/>
          </w:tcPr>
          <w:p>
            <w:pPr>
              <w:jc w:val="cente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室</w:t>
            </w:r>
            <w:r/>
          </w:p>
        </w:tc>
        <w:tc>
          <w:tcPr>
            <w:tcW w:w="567" w:type="dxa"/>
            <w:vAlign w:val="center"/>
            <w:textDirection w:val="lrTb"/>
            <w:noWrap w:val="false"/>
          </w:tcPr>
          <w:p>
            <w:pPr>
              <w:jc w:val="cente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2</w:t>
            </w:r>
            <w:r/>
          </w:p>
        </w:tc>
      </w:tr>
      <w:tr>
        <w:trPr>
          <w:trHeight w:val="800"/>
        </w:trPr>
        <w:tc>
          <w:tcPr>
            <w:tcW w:w="660" w:type="dxa"/>
            <w:vAlign w:val="center"/>
            <w:textDirection w:val="lrTb"/>
            <w:noWrap w:val="false"/>
          </w:tcPr>
          <w:p>
            <w:pPr>
              <w:jc w:val="cente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22</w:t>
            </w:r>
            <w:r/>
          </w:p>
        </w:tc>
        <w:tc>
          <w:tcPr>
            <w:tcW w:w="1240" w:type="dxa"/>
            <w:vAlign w:val="center"/>
            <w:textDirection w:val="lrTb"/>
            <w:noWrap w:val="false"/>
          </w:tcPr>
          <w:p>
            <w:pPr>
              <w:jc w:val="cente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墙面、顶面出白</w:t>
            </w:r>
            <w:r/>
          </w:p>
        </w:tc>
        <w:tc>
          <w:tcPr>
            <w:tcW w:w="6317" w:type="dxa"/>
            <w:vAlign w:val="center"/>
            <w:textDirection w:val="lrTb"/>
            <w:noWrap w:val="false"/>
          </w:tcPr>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铲除墙面腻子、涂料，上墙固重新出白在抹灰面上批901胶混合腻子2遍、刷乳胶漆2遍</w:t>
            </w:r>
            <w:r/>
          </w:p>
        </w:tc>
        <w:tc>
          <w:tcPr>
            <w:tcW w:w="567" w:type="dxa"/>
            <w:vAlign w:val="center"/>
            <w:textDirection w:val="lrTb"/>
            <w:noWrap w:val="false"/>
          </w:tcPr>
          <w:p>
            <w:pPr>
              <w:jc w:val="cente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平</w:t>
            </w:r>
            <w:r/>
          </w:p>
        </w:tc>
        <w:tc>
          <w:tcPr>
            <w:tcW w:w="567" w:type="dxa"/>
            <w:vAlign w:val="center"/>
            <w:textDirection w:val="lrTb"/>
            <w:noWrap w:val="false"/>
          </w:tcPr>
          <w:p>
            <w:pPr>
              <w:jc w:val="cente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370</w:t>
            </w:r>
            <w:r/>
          </w:p>
        </w:tc>
      </w:tr>
      <w:tr>
        <w:trPr>
          <w:trHeight w:val="1040"/>
        </w:trPr>
        <w:tc>
          <w:tcPr>
            <w:tcW w:w="660" w:type="dxa"/>
            <w:vAlign w:val="center"/>
            <w:textDirection w:val="lrTb"/>
            <w:noWrap w:val="false"/>
          </w:tcPr>
          <w:p>
            <w:pPr>
              <w:jc w:val="cente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23</w:t>
            </w:r>
            <w:r/>
          </w:p>
        </w:tc>
        <w:tc>
          <w:tcPr>
            <w:tcW w:w="1240" w:type="dxa"/>
            <w:vAlign w:val="center"/>
            <w:textDirection w:val="lrTb"/>
            <w:noWrap w:val="false"/>
          </w:tcPr>
          <w:p>
            <w:pPr>
              <w:jc w:val="cente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PVC地板</w:t>
            </w:r>
            <w:r/>
          </w:p>
        </w:tc>
        <w:tc>
          <w:tcPr>
            <w:tcW w:w="6317" w:type="dxa"/>
            <w:vAlign w:val="center"/>
            <w:textDirection w:val="lrTb"/>
            <w:noWrap w:val="false"/>
          </w:tcPr>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1.刷瓷砖专用界面剂1遍</w:t>
            </w:r>
            <w:r>
              <w:rPr>
                <w:rFonts w:ascii="仿宋" w:hAnsi="仿宋" w:eastAsia="仿宋" w:cs="宋体"/>
                <w:color w:val="000000" w:themeColor="text1"/>
                <w:sz w:val="24"/>
                <w:szCs w:val="24"/>
              </w:rPr>
              <w:br/>
              <w:t xml:space="preserve">2.水泥基自流平砂浆楼地面厚4mm</w:t>
            </w:r>
            <w:r>
              <w:rPr>
                <w:rFonts w:ascii="仿宋" w:hAnsi="仿宋" w:eastAsia="仿宋" w:cs="宋体"/>
                <w:color w:val="000000" w:themeColor="text1"/>
                <w:sz w:val="24"/>
                <w:szCs w:val="24"/>
              </w:rPr>
              <w:br/>
              <w:t xml:space="preserve">3.PVC地板厚2.0mm（卷材）</w:t>
            </w:r>
            <w:r/>
          </w:p>
        </w:tc>
        <w:tc>
          <w:tcPr>
            <w:tcW w:w="567" w:type="dxa"/>
            <w:vAlign w:val="center"/>
            <w:textDirection w:val="lrTb"/>
            <w:noWrap w:val="false"/>
          </w:tcPr>
          <w:p>
            <w:pPr>
              <w:jc w:val="cente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平</w:t>
            </w:r>
            <w:r/>
          </w:p>
        </w:tc>
        <w:tc>
          <w:tcPr>
            <w:tcW w:w="567" w:type="dxa"/>
            <w:vAlign w:val="center"/>
            <w:textDirection w:val="lrTb"/>
            <w:noWrap w:val="false"/>
          </w:tcPr>
          <w:p>
            <w:pPr>
              <w:jc w:val="cente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188</w:t>
            </w:r>
            <w:r/>
          </w:p>
        </w:tc>
      </w:tr>
      <w:tr>
        <w:trPr>
          <w:trHeight w:val="625"/>
        </w:trPr>
        <w:tc>
          <w:tcPr>
            <w:tcW w:w="660" w:type="dxa"/>
            <w:vAlign w:val="center"/>
            <w:textDirection w:val="lrTb"/>
            <w:noWrap w:val="false"/>
          </w:tcPr>
          <w:p>
            <w:pPr>
              <w:jc w:val="cente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24</w:t>
            </w:r>
            <w:r/>
          </w:p>
        </w:tc>
        <w:tc>
          <w:tcPr>
            <w:tcW w:w="1240" w:type="dxa"/>
            <w:vAlign w:val="center"/>
            <w:textDirection w:val="lrTb"/>
            <w:noWrap w:val="false"/>
          </w:tcPr>
          <w:p>
            <w:pPr>
              <w:jc w:val="cente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护眼灯</w:t>
            </w:r>
            <w:r/>
          </w:p>
        </w:tc>
        <w:tc>
          <w:tcPr>
            <w:tcW w:w="6317" w:type="dxa"/>
            <w:vAlign w:val="center"/>
            <w:textDirection w:val="lrTb"/>
            <w:noWrap w:val="false"/>
          </w:tcPr>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1.48W教室护眼灯安装1200*300，配500mm-1000mm的伸缩杆安装</w:t>
            </w:r>
            <w:r/>
          </w:p>
        </w:tc>
        <w:tc>
          <w:tcPr>
            <w:tcW w:w="567" w:type="dxa"/>
            <w:vAlign w:val="center"/>
            <w:textDirection w:val="lrTb"/>
            <w:noWrap w:val="false"/>
          </w:tcPr>
          <w:p>
            <w:pPr>
              <w:jc w:val="cente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套</w:t>
            </w:r>
            <w:r/>
          </w:p>
        </w:tc>
        <w:tc>
          <w:tcPr>
            <w:tcW w:w="567" w:type="dxa"/>
            <w:vAlign w:val="center"/>
            <w:textDirection w:val="lrTb"/>
            <w:noWrap w:val="false"/>
          </w:tcPr>
          <w:p>
            <w:pPr>
              <w:jc w:val="cente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22</w:t>
            </w:r>
            <w:r/>
          </w:p>
        </w:tc>
      </w:tr>
      <w:tr>
        <w:trPr>
          <w:trHeight w:val="1000"/>
        </w:trPr>
        <w:tc>
          <w:tcPr>
            <w:tcW w:w="660" w:type="dxa"/>
            <w:vAlign w:val="center"/>
            <w:textDirection w:val="lrTb"/>
            <w:noWrap w:val="false"/>
          </w:tcPr>
          <w:p>
            <w:pPr>
              <w:jc w:val="cente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25</w:t>
            </w:r>
            <w:r/>
          </w:p>
        </w:tc>
        <w:tc>
          <w:tcPr>
            <w:tcW w:w="1240" w:type="dxa"/>
            <w:vAlign w:val="center"/>
            <w:textDirection w:val="lrTb"/>
            <w:noWrap w:val="false"/>
          </w:tcPr>
          <w:p>
            <w:pPr>
              <w:jc w:val="cente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拆除清运</w:t>
            </w:r>
            <w:r/>
          </w:p>
        </w:tc>
        <w:tc>
          <w:tcPr>
            <w:tcW w:w="6317" w:type="dxa"/>
            <w:vAlign w:val="center"/>
            <w:textDirection w:val="lrTb"/>
            <w:noWrap w:val="false"/>
          </w:tcPr>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1、拆除原桌椅、黑板、双管日光灯、开关插座等</w:t>
            </w:r>
            <w:r>
              <w:rPr>
                <w:rFonts w:ascii="仿宋" w:hAnsi="仿宋" w:eastAsia="仿宋" w:cs="宋体"/>
                <w:color w:val="000000" w:themeColor="text1"/>
                <w:sz w:val="24"/>
                <w:szCs w:val="24"/>
              </w:rPr>
              <w:br/>
              <w:t xml:space="preserve">2、桌椅、黑板、杂物、双管日光灯、开关插座等搬运至甲方指定位置整齐堆放</w:t>
            </w:r>
            <w:r/>
          </w:p>
        </w:tc>
        <w:tc>
          <w:tcPr>
            <w:tcW w:w="567" w:type="dxa"/>
            <w:vAlign w:val="center"/>
            <w:textDirection w:val="lrTb"/>
            <w:noWrap w:val="false"/>
          </w:tcPr>
          <w:p>
            <w:pPr>
              <w:jc w:val="cente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项</w:t>
            </w:r>
            <w:r/>
          </w:p>
        </w:tc>
        <w:tc>
          <w:tcPr>
            <w:tcW w:w="567" w:type="dxa"/>
            <w:vAlign w:val="center"/>
            <w:textDirection w:val="lrTb"/>
            <w:noWrap w:val="false"/>
          </w:tcPr>
          <w:p>
            <w:pPr>
              <w:jc w:val="cente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2</w:t>
            </w:r>
            <w:r/>
          </w:p>
        </w:tc>
      </w:tr>
      <w:tr>
        <w:trPr>
          <w:trHeight w:val="2240"/>
        </w:trPr>
        <w:tc>
          <w:tcPr>
            <w:tcW w:w="660" w:type="dxa"/>
            <w:vAlign w:val="center"/>
            <w:textDirection w:val="lrTb"/>
            <w:noWrap w:val="false"/>
          </w:tcPr>
          <w:p>
            <w:pPr>
              <w:jc w:val="cente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2</w:t>
            </w:r>
            <w:r>
              <w:rPr>
                <w:rFonts w:hint="eastAsia" w:ascii="仿宋" w:hAnsi="仿宋" w:eastAsia="仿宋" w:cs="宋体"/>
                <w:color w:val="000000" w:themeColor="text1"/>
                <w:sz w:val="24"/>
                <w:szCs w:val="24"/>
              </w:rPr>
              <w:t xml:space="preserve">6</w:t>
            </w:r>
            <w:r/>
          </w:p>
        </w:tc>
        <w:tc>
          <w:tcPr>
            <w:tcW w:w="1240" w:type="dxa"/>
            <w:vAlign w:val="center"/>
            <w:textDirection w:val="lrTb"/>
            <w:noWrap w:val="false"/>
          </w:tcPr>
          <w:p>
            <w:pPr>
              <w:jc w:val="cente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系统辅材</w:t>
            </w:r>
            <w:r/>
          </w:p>
        </w:tc>
        <w:tc>
          <w:tcPr>
            <w:tcW w:w="6317" w:type="dxa"/>
            <w:vAlign w:val="center"/>
            <w:textDirection w:val="lrTb"/>
            <w:noWrap w:val="false"/>
          </w:tcPr>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1、线管材质采用优质UPVC国标管，耐压500V。</w:t>
            </w:r>
            <w:r>
              <w:rPr>
                <w:rFonts w:ascii="仿宋" w:hAnsi="仿宋" w:eastAsia="仿宋" w:cs="宋体"/>
                <w:color w:val="000000" w:themeColor="text1"/>
                <w:sz w:val="24"/>
                <w:szCs w:val="24"/>
              </w:rPr>
              <w:br/>
              <w:t xml:space="preserve">2、铜芯电线4.0mm</w:t>
            </w:r>
            <w:r>
              <w:rPr>
                <w:rFonts w:ascii="Calibri" w:hAnsi="Calibri" w:eastAsia="仿宋" w:cs="Calibri"/>
                <w:color w:val="000000" w:themeColor="text1"/>
                <w:sz w:val="24"/>
                <w:szCs w:val="24"/>
              </w:rPr>
              <w:t xml:space="preserve">²</w:t>
            </w:r>
            <w:r>
              <w:rPr>
                <w:rFonts w:ascii="仿宋" w:hAnsi="仿宋" w:eastAsia="仿宋" w:cs="宋体"/>
                <w:color w:val="000000" w:themeColor="text1"/>
                <w:sz w:val="24"/>
                <w:szCs w:val="24"/>
              </w:rPr>
              <w:t xml:space="preserve">、2.5mm</w:t>
            </w:r>
            <w:r>
              <w:rPr>
                <w:rFonts w:ascii="Calibri" w:hAnsi="Calibri" w:eastAsia="仿宋" w:cs="Calibri"/>
                <w:color w:val="000000" w:themeColor="text1"/>
                <w:sz w:val="24"/>
                <w:szCs w:val="24"/>
              </w:rPr>
              <w:t xml:space="preserve">²</w:t>
            </w:r>
            <w:r>
              <w:rPr>
                <w:rFonts w:ascii="仿宋" w:hAnsi="仿宋" w:eastAsia="仿宋" w:cs="宋体"/>
                <w:color w:val="000000" w:themeColor="text1"/>
                <w:sz w:val="24"/>
                <w:szCs w:val="24"/>
              </w:rPr>
              <w:t xml:space="preserve">、1.5mm</w:t>
            </w:r>
            <w:r>
              <w:rPr>
                <w:rFonts w:ascii="Calibri" w:hAnsi="Calibri" w:eastAsia="仿宋" w:cs="Calibri"/>
                <w:color w:val="000000" w:themeColor="text1"/>
                <w:sz w:val="24"/>
                <w:szCs w:val="24"/>
              </w:rPr>
              <w:t xml:space="preserve">²</w:t>
            </w:r>
            <w:r>
              <w:rPr>
                <w:rFonts w:ascii="仿宋" w:hAnsi="仿宋" w:eastAsia="仿宋" w:cs="宋体"/>
                <w:color w:val="000000" w:themeColor="text1"/>
                <w:sz w:val="24"/>
                <w:szCs w:val="24"/>
              </w:rPr>
              <w:t xml:space="preserve">，网线，含管道开槽、预埋恢复。</w:t>
            </w:r>
            <w:r>
              <w:rPr>
                <w:rFonts w:ascii="仿宋" w:hAnsi="仿宋" w:eastAsia="仿宋" w:cs="宋体"/>
                <w:color w:val="000000" w:themeColor="text1"/>
                <w:sz w:val="24"/>
                <w:szCs w:val="24"/>
              </w:rPr>
              <w:br/>
              <w:t xml:space="preserve">3、预留监控接口2路、网络接口2路。</w:t>
            </w:r>
            <w:r>
              <w:rPr>
                <w:rFonts w:ascii="仿宋" w:hAnsi="仿宋" w:eastAsia="仿宋" w:cs="宋体"/>
                <w:color w:val="000000" w:themeColor="text1"/>
                <w:sz w:val="24"/>
                <w:szCs w:val="24"/>
              </w:rPr>
              <w:br/>
              <w:t xml:space="preserve">4、更换教室所有开关、风扇开关、3孔插座、5孔插座、网络插座、面板等</w:t>
            </w:r>
            <w:r>
              <w:rPr>
                <w:rFonts w:ascii="仿宋" w:hAnsi="仿宋" w:eastAsia="仿宋" w:cs="宋体"/>
                <w:color w:val="000000" w:themeColor="text1"/>
                <w:sz w:val="24"/>
                <w:szCs w:val="24"/>
              </w:rPr>
              <w:br/>
              <w:t xml:space="preserve">5、线管、电线源及开关插座等需达到相关国家标准，符合安全用电要求。</w:t>
            </w:r>
            <w:r/>
          </w:p>
        </w:tc>
        <w:tc>
          <w:tcPr>
            <w:tcW w:w="567" w:type="dxa"/>
            <w:vAlign w:val="center"/>
            <w:textDirection w:val="lrTb"/>
            <w:noWrap w:val="false"/>
          </w:tcPr>
          <w:p>
            <w:pPr>
              <w:jc w:val="cente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室</w:t>
            </w:r>
            <w:r/>
          </w:p>
        </w:tc>
        <w:tc>
          <w:tcPr>
            <w:tcW w:w="567" w:type="dxa"/>
            <w:vAlign w:val="center"/>
            <w:textDirection w:val="lrTb"/>
            <w:noWrap w:val="false"/>
          </w:tcPr>
          <w:p>
            <w:pPr>
              <w:jc w:val="cente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2</w:t>
            </w:r>
            <w:r/>
          </w:p>
        </w:tc>
      </w:tr>
      <w:tr>
        <w:trPr>
          <w:trHeight w:val="1120"/>
        </w:trPr>
        <w:tc>
          <w:tcPr>
            <w:tcW w:w="660" w:type="dxa"/>
            <w:vAlign w:val="center"/>
            <w:textDirection w:val="lrTb"/>
            <w:noWrap w:val="false"/>
          </w:tcPr>
          <w:p>
            <w:pPr>
              <w:jc w:val="cente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2</w:t>
            </w:r>
            <w:r>
              <w:rPr>
                <w:rFonts w:hint="eastAsia" w:ascii="仿宋" w:hAnsi="仿宋" w:eastAsia="仿宋" w:cs="宋体"/>
                <w:color w:val="000000" w:themeColor="text1"/>
                <w:sz w:val="24"/>
                <w:szCs w:val="24"/>
              </w:rPr>
              <w:t xml:space="preserve">7</w:t>
            </w:r>
            <w:r/>
          </w:p>
        </w:tc>
        <w:tc>
          <w:tcPr>
            <w:tcW w:w="1240" w:type="dxa"/>
            <w:vAlign w:val="center"/>
            <w:textDirection w:val="lrTb"/>
            <w:noWrap w:val="false"/>
          </w:tcPr>
          <w:p>
            <w:pPr>
              <w:jc w:val="cente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系统辅材</w:t>
            </w:r>
            <w:r/>
          </w:p>
        </w:tc>
        <w:tc>
          <w:tcPr>
            <w:tcW w:w="6317" w:type="dxa"/>
            <w:vAlign w:val="center"/>
            <w:textDirection w:val="lrTb"/>
            <w:noWrap w:val="false"/>
          </w:tcPr>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1、线管材质采用优质UPVC国标管，耐压500V。</w:t>
            </w:r>
            <w:r>
              <w:rPr>
                <w:rFonts w:ascii="仿宋" w:hAnsi="仿宋" w:eastAsia="仿宋" w:cs="宋体"/>
                <w:color w:val="000000" w:themeColor="text1"/>
                <w:sz w:val="24"/>
                <w:szCs w:val="24"/>
              </w:rPr>
              <w:br/>
              <w:t xml:space="preserve">2、铜芯电线4.0mm</w:t>
            </w:r>
            <w:r>
              <w:rPr>
                <w:rFonts w:ascii="Calibri" w:hAnsi="Calibri" w:eastAsia="仿宋" w:cs="Calibri"/>
                <w:color w:val="000000" w:themeColor="text1"/>
                <w:sz w:val="24"/>
                <w:szCs w:val="24"/>
              </w:rPr>
              <w:t xml:space="preserve">²</w:t>
            </w:r>
            <w:r>
              <w:rPr>
                <w:rFonts w:ascii="仿宋" w:hAnsi="仿宋" w:eastAsia="仿宋" w:cs="宋体"/>
                <w:color w:val="000000" w:themeColor="text1"/>
                <w:sz w:val="24"/>
                <w:szCs w:val="24"/>
              </w:rPr>
              <w:t xml:space="preserve">、2.5mm</w:t>
            </w:r>
            <w:r>
              <w:rPr>
                <w:rFonts w:ascii="Calibri" w:hAnsi="Calibri" w:eastAsia="仿宋" w:cs="Calibri"/>
                <w:color w:val="000000" w:themeColor="text1"/>
                <w:sz w:val="24"/>
                <w:szCs w:val="24"/>
              </w:rPr>
              <w:t xml:space="preserve">²</w:t>
            </w:r>
            <w:r>
              <w:rPr>
                <w:rFonts w:ascii="仿宋" w:hAnsi="仿宋" w:eastAsia="仿宋" w:cs="宋体"/>
                <w:color w:val="000000" w:themeColor="text1"/>
                <w:sz w:val="24"/>
                <w:szCs w:val="24"/>
              </w:rPr>
              <w:t xml:space="preserve">、1.5mm</w:t>
            </w:r>
            <w:r>
              <w:rPr>
                <w:rFonts w:ascii="Calibri" w:hAnsi="Calibri" w:eastAsia="仿宋" w:cs="Calibri"/>
                <w:color w:val="000000" w:themeColor="text1"/>
                <w:sz w:val="24"/>
                <w:szCs w:val="24"/>
              </w:rPr>
              <w:t xml:space="preserve">²</w:t>
            </w:r>
            <w:r>
              <w:rPr>
                <w:rFonts w:ascii="仿宋" w:hAnsi="仿宋" w:eastAsia="仿宋" w:cs="宋体"/>
                <w:color w:val="000000" w:themeColor="text1"/>
                <w:sz w:val="24"/>
                <w:szCs w:val="24"/>
              </w:rPr>
              <w:t xml:space="preserve">，含管道开槽、预埋恢复。</w:t>
            </w:r>
            <w:r>
              <w:rPr>
                <w:rFonts w:ascii="仿宋" w:hAnsi="仿宋" w:eastAsia="仿宋" w:cs="宋体"/>
                <w:color w:val="000000" w:themeColor="text1"/>
                <w:sz w:val="24"/>
                <w:szCs w:val="24"/>
              </w:rPr>
              <w:br/>
              <w:t xml:space="preserve">3、线管、电线源及开关插座等需达到相关国家标准，符合安全用电要求。</w:t>
            </w:r>
            <w:r/>
          </w:p>
        </w:tc>
        <w:tc>
          <w:tcPr>
            <w:tcW w:w="567" w:type="dxa"/>
            <w:vAlign w:val="center"/>
            <w:textDirection w:val="lrTb"/>
            <w:noWrap w:val="false"/>
          </w:tcPr>
          <w:p>
            <w:pPr>
              <w:jc w:val="cente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室</w:t>
            </w:r>
            <w:r/>
          </w:p>
        </w:tc>
        <w:tc>
          <w:tcPr>
            <w:tcW w:w="567" w:type="dxa"/>
            <w:vAlign w:val="center"/>
            <w:textDirection w:val="lrTb"/>
            <w:noWrap w:val="false"/>
          </w:tcPr>
          <w:p>
            <w:pPr>
              <w:jc w:val="cente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2</w:t>
            </w:r>
            <w:r/>
          </w:p>
        </w:tc>
      </w:tr>
      <w:tr>
        <w:trPr>
          <w:trHeight w:val="780"/>
        </w:trPr>
        <w:tc>
          <w:tcPr>
            <w:tcW w:w="660" w:type="dxa"/>
            <w:vAlign w:val="center"/>
            <w:textDirection w:val="lrTb"/>
            <w:noWrap w:val="false"/>
          </w:tcPr>
          <w:p>
            <w:pPr>
              <w:jc w:val="cente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2</w:t>
            </w:r>
            <w:r>
              <w:rPr>
                <w:rFonts w:hint="eastAsia" w:ascii="仿宋" w:hAnsi="仿宋" w:eastAsia="仿宋" w:cs="宋体"/>
                <w:color w:val="000000" w:themeColor="text1"/>
                <w:sz w:val="24"/>
                <w:szCs w:val="24"/>
              </w:rPr>
              <w:t xml:space="preserve">8</w:t>
            </w:r>
            <w:r/>
          </w:p>
        </w:tc>
        <w:tc>
          <w:tcPr>
            <w:tcW w:w="1240" w:type="dxa"/>
            <w:vAlign w:val="center"/>
            <w:textDirection w:val="lrTb"/>
            <w:noWrap w:val="false"/>
          </w:tcPr>
          <w:p>
            <w:pPr>
              <w:jc w:val="cente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更换开关插座</w:t>
            </w:r>
            <w:r/>
          </w:p>
        </w:tc>
        <w:tc>
          <w:tcPr>
            <w:tcW w:w="6317" w:type="dxa"/>
            <w:vAlign w:val="center"/>
            <w:textDirection w:val="lrTb"/>
            <w:noWrap w:val="false"/>
          </w:tcPr>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更换实验室内所有开关、风扇开关、3孔插座、5孔插座、网络插座、面板等</w:t>
            </w:r>
            <w:r/>
          </w:p>
        </w:tc>
        <w:tc>
          <w:tcPr>
            <w:tcW w:w="567" w:type="dxa"/>
            <w:vAlign w:val="center"/>
            <w:textDirection w:val="lrTb"/>
            <w:noWrap w:val="false"/>
          </w:tcPr>
          <w:p>
            <w:pPr>
              <w:jc w:val="cente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室</w:t>
            </w:r>
            <w:r/>
          </w:p>
        </w:tc>
        <w:tc>
          <w:tcPr>
            <w:tcW w:w="567" w:type="dxa"/>
            <w:vAlign w:val="center"/>
            <w:textDirection w:val="lrTb"/>
            <w:noWrap w:val="false"/>
          </w:tcPr>
          <w:p>
            <w:pPr>
              <w:jc w:val="cente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2</w:t>
            </w:r>
            <w:r/>
          </w:p>
        </w:tc>
      </w:tr>
      <w:tr>
        <w:trPr>
          <w:trHeight w:val="800"/>
        </w:trPr>
        <w:tc>
          <w:tcPr>
            <w:tcW w:w="660" w:type="dxa"/>
            <w:vAlign w:val="center"/>
            <w:textDirection w:val="lrTb"/>
            <w:noWrap w:val="false"/>
          </w:tcPr>
          <w:p>
            <w:pPr>
              <w:jc w:val="cente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29</w:t>
            </w:r>
            <w:r/>
          </w:p>
        </w:tc>
        <w:tc>
          <w:tcPr>
            <w:tcW w:w="1240" w:type="dxa"/>
            <w:vAlign w:val="center"/>
            <w:textDirection w:val="lrTb"/>
            <w:noWrap w:val="false"/>
          </w:tcPr>
          <w:p>
            <w:pPr>
              <w:jc w:val="cente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安装调试</w:t>
            </w:r>
            <w:r/>
          </w:p>
        </w:tc>
        <w:tc>
          <w:tcPr>
            <w:tcW w:w="6317" w:type="dxa"/>
            <w:vAlign w:val="center"/>
            <w:textDirection w:val="lrTb"/>
            <w:noWrap w:val="false"/>
          </w:tcPr>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实验室设备安装调试</w:t>
            </w:r>
            <w:r/>
          </w:p>
        </w:tc>
        <w:tc>
          <w:tcPr>
            <w:tcW w:w="567" w:type="dxa"/>
            <w:vAlign w:val="center"/>
            <w:textDirection w:val="lrTb"/>
            <w:noWrap w:val="false"/>
          </w:tcPr>
          <w:p>
            <w:pPr>
              <w:jc w:val="cente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项</w:t>
            </w:r>
            <w:r/>
          </w:p>
        </w:tc>
        <w:tc>
          <w:tcPr>
            <w:tcW w:w="567" w:type="dxa"/>
            <w:vAlign w:val="center"/>
            <w:textDirection w:val="lrTb"/>
            <w:noWrap w:val="false"/>
          </w:tcPr>
          <w:p>
            <w:pPr>
              <w:jc w:val="cente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2</w:t>
            </w:r>
            <w:r/>
          </w:p>
        </w:tc>
      </w:tr>
      <w:tr>
        <w:trPr>
          <w:trHeight w:val="800"/>
        </w:trPr>
        <w:tc>
          <w:tcPr>
            <w:tcW w:w="660" w:type="dxa"/>
            <w:vAlign w:val="center"/>
            <w:textDirection w:val="lrTb"/>
            <w:noWrap w:val="false"/>
          </w:tcPr>
          <w:p>
            <w:pPr>
              <w:jc w:val="cente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30</w:t>
            </w:r>
            <w:r/>
          </w:p>
        </w:tc>
        <w:tc>
          <w:tcPr>
            <w:tcW w:w="1240" w:type="dxa"/>
            <w:vAlign w:val="center"/>
            <w:textDirection w:val="lrTb"/>
            <w:noWrap w:val="false"/>
          </w:tcPr>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48口千兆交换机</w:t>
            </w:r>
            <w:r/>
          </w:p>
        </w:tc>
        <w:tc>
          <w:tcPr>
            <w:tcW w:w="6317" w:type="dxa"/>
            <w:vAlign w:val="center"/>
            <w:textDirection w:val="lrTb"/>
            <w:noWrap w:val="false"/>
          </w:tcPr>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配置：可用千兆电接口数量≥48，可用千兆光接口数量≥4</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交换容量≥104 Gbps，转发性能≥77.38 Mpps</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提供CQC认证证书</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支持VLAN、STP/RSTP、QoS、LLDP、DHCP Snooping等功能，支持终端安全防护</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支持SNMPv1/v2c协议，支持Web管理</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支持所有端口收、发方向限速，端口镜像，端口隔离</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支持通过管理平台，手机APP对交换机进行系统拓扑展示及管理，在网络拓扑中展示交换机详情，包括基本信息、性能使用信息、交换机面板状态、端口信息</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支持通过管理平台，手机APP对交换机进行远程控制、状态查看、远程升级和重启。</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★支持通过管理平台对交换机间不同的连接方式进行系统拓扑识别，包括网线连接、光纤连接、无线连接；通过管理平台展示链路详情，包括传输速率、链路两端设备信息和链路带宽告警；</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通过管理平台，手机APP在系统异常时实时推送交换机告警信息并展示告警内容；通过管理平台对交换机进行流量控制配置，防止数据在传输过程中丢失；通过管理平台对交换机进行链路聚合配置，可以把多个物理网口配置为一个逻辑端口进行数据传输。</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w:t>
            </w:r>
            <w:r>
              <w:rPr>
                <w:rFonts w:ascii="仿宋" w:hAnsi="仿宋" w:eastAsia="仿宋" w:cs="宋体"/>
                <w:color w:val="000000" w:themeColor="text1"/>
                <w:sz w:val="24"/>
                <w:szCs w:val="24"/>
              </w:rPr>
              <w:t xml:space="preserve">投标人</w:t>
            </w:r>
            <w:r>
              <w:rPr>
                <w:rFonts w:hint="eastAsia" w:ascii="仿宋" w:hAnsi="仿宋" w:eastAsia="仿宋" w:cs="宋体"/>
                <w:color w:val="000000" w:themeColor="text1"/>
                <w:sz w:val="24"/>
                <w:szCs w:val="24"/>
              </w:rPr>
              <w:t xml:space="preserve">或产品</w:t>
            </w:r>
            <w:r>
              <w:rPr>
                <w:rFonts w:ascii="仿宋" w:hAnsi="仿宋" w:eastAsia="仿宋" w:cs="宋体"/>
                <w:color w:val="000000" w:themeColor="text1"/>
                <w:sz w:val="24"/>
                <w:szCs w:val="24"/>
              </w:rPr>
              <w:t xml:space="preserve">制造商</w:t>
            </w:r>
            <w:r>
              <w:rPr>
                <w:rFonts w:hint="eastAsia" w:ascii="仿宋" w:hAnsi="仿宋" w:eastAsia="仿宋" w:cs="宋体"/>
                <w:color w:val="000000" w:themeColor="text1"/>
                <w:sz w:val="24"/>
                <w:szCs w:val="24"/>
              </w:rPr>
              <w:t xml:space="preserve">需提供有效期内第三方权威机构出具的</w:t>
            </w:r>
            <w:r>
              <w:rPr>
                <w:rFonts w:ascii="仿宋" w:hAnsi="仿宋" w:eastAsia="仿宋" w:cs="宋体"/>
                <w:color w:val="000000" w:themeColor="text1"/>
                <w:sz w:val="24"/>
                <w:szCs w:val="24"/>
              </w:rPr>
              <w:t xml:space="preserve">检测报告</w:t>
            </w:r>
            <w:r>
              <w:rPr>
                <w:rFonts w:hint="eastAsia" w:ascii="仿宋" w:hAnsi="仿宋" w:eastAsia="仿宋" w:cs="宋体"/>
                <w:color w:val="000000" w:themeColor="text1"/>
                <w:sz w:val="24"/>
                <w:szCs w:val="24"/>
              </w:rPr>
              <w:t xml:space="preserve">原件扫描件</w:t>
            </w:r>
            <w:r>
              <w:rPr>
                <w:rFonts w:ascii="仿宋" w:hAnsi="仿宋" w:eastAsia="仿宋" w:cs="宋体"/>
                <w:color w:val="000000" w:themeColor="text1"/>
                <w:sz w:val="24"/>
                <w:szCs w:val="24"/>
              </w:rPr>
              <w:t xml:space="preserve">。</w:t>
            </w:r>
            <w:r>
              <w:rPr>
                <w:rFonts w:hint="eastAsia" w:ascii="仿宋" w:hAnsi="仿宋" w:eastAsia="仿宋" w:cs="宋体"/>
                <w:color w:val="000000" w:themeColor="text1"/>
                <w:sz w:val="24"/>
                <w:szCs w:val="24"/>
              </w:rPr>
              <w:t xml:space="preserve">）</w:t>
            </w:r>
            <w:r/>
          </w:p>
        </w:tc>
        <w:tc>
          <w:tcPr>
            <w:tcW w:w="567" w:type="dxa"/>
            <w:vAlign w:val="center"/>
            <w:textDirection w:val="lrTb"/>
            <w:noWrap w:val="false"/>
          </w:tcPr>
          <w:p>
            <w:pPr>
              <w:jc w:val="cente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套</w:t>
            </w:r>
            <w:r/>
          </w:p>
        </w:tc>
        <w:tc>
          <w:tcPr>
            <w:tcW w:w="567" w:type="dxa"/>
            <w:vAlign w:val="center"/>
            <w:textDirection w:val="lrTb"/>
            <w:noWrap w:val="false"/>
          </w:tcPr>
          <w:p>
            <w:pPr>
              <w:jc w:val="cente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2</w:t>
            </w:r>
            <w:r/>
          </w:p>
        </w:tc>
      </w:tr>
      <w:tr>
        <w:trPr>
          <w:trHeight w:val="800"/>
        </w:trPr>
        <w:tc>
          <w:tcPr>
            <w:tcW w:w="660" w:type="dxa"/>
            <w:vAlign w:val="center"/>
            <w:textDirection w:val="lrTb"/>
            <w:noWrap w:val="false"/>
          </w:tcPr>
          <w:p>
            <w:pPr>
              <w:jc w:val="cente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31</w:t>
            </w:r>
            <w:r/>
          </w:p>
        </w:tc>
        <w:tc>
          <w:tcPr>
            <w:tcW w:w="1240" w:type="dxa"/>
            <w:vAlign w:val="center"/>
            <w:textDirection w:val="lrTb"/>
            <w:noWrap w:val="false"/>
          </w:tcPr>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防爆半球</w:t>
            </w:r>
            <w:r/>
          </w:p>
        </w:tc>
        <w:tc>
          <w:tcPr>
            <w:tcW w:w="6317" w:type="dxa"/>
            <w:vAlign w:val="center"/>
            <w:textDirection w:val="lrTb"/>
            <w:noWrap w:val="false"/>
          </w:tcPr>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400万像素 CMOS传感器防爆摄像机。 </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水平分辨力不小于1400TVL。</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支持H.264、H.265、MJPEG视频编码格式，且具有High Profile编码能力。</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水平旋转范围不小于0°~340°，垂直旋转范围不小于0°~75°。</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最低照度彩色：0.001 lx，黑白:0.0001 lx，亮度等级不小于11级。</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当使用一个账户登录，密码输入错误达到5次时，该账户会被锁定一段时间。</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支持本地SD卡存储，最大支持128G，并支持存储卡可使用时长显示。</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★支持对存储卡进行读写锁定，锁定后的存储卡在移动终端需要密码才能访问；多问题验证密保功能，当忘记密码时，允许通过正确匹配密保问题，重新设置管理员密码；IP68防护等级，IK10防暴等级。（</w:t>
            </w:r>
            <w:r>
              <w:rPr>
                <w:rFonts w:ascii="仿宋" w:hAnsi="仿宋" w:eastAsia="仿宋" w:cs="宋体"/>
                <w:color w:val="000000" w:themeColor="text1"/>
                <w:sz w:val="24"/>
                <w:szCs w:val="24"/>
              </w:rPr>
              <w:t xml:space="preserve">投标人</w:t>
            </w:r>
            <w:r>
              <w:rPr>
                <w:rFonts w:hint="eastAsia" w:ascii="仿宋" w:hAnsi="仿宋" w:eastAsia="仿宋" w:cs="宋体"/>
                <w:color w:val="000000" w:themeColor="text1"/>
                <w:sz w:val="24"/>
                <w:szCs w:val="24"/>
              </w:rPr>
              <w:t xml:space="preserve">或产品</w:t>
            </w:r>
            <w:r>
              <w:rPr>
                <w:rFonts w:ascii="仿宋" w:hAnsi="仿宋" w:eastAsia="仿宋" w:cs="宋体"/>
                <w:color w:val="000000" w:themeColor="text1"/>
                <w:sz w:val="24"/>
                <w:szCs w:val="24"/>
              </w:rPr>
              <w:t xml:space="preserve">制造商</w:t>
            </w:r>
            <w:r>
              <w:rPr>
                <w:rFonts w:hint="eastAsia" w:ascii="仿宋" w:hAnsi="仿宋" w:eastAsia="仿宋" w:cs="宋体"/>
                <w:color w:val="000000" w:themeColor="text1"/>
                <w:sz w:val="24"/>
                <w:szCs w:val="24"/>
              </w:rPr>
              <w:t xml:space="preserve">需提供有效期内第三方权威机构出具的</w:t>
            </w:r>
            <w:r>
              <w:rPr>
                <w:rFonts w:ascii="仿宋" w:hAnsi="仿宋" w:eastAsia="仿宋" w:cs="宋体"/>
                <w:color w:val="000000" w:themeColor="text1"/>
                <w:sz w:val="24"/>
                <w:szCs w:val="24"/>
              </w:rPr>
              <w:t xml:space="preserve">检测报告</w:t>
            </w:r>
            <w:r>
              <w:rPr>
                <w:rFonts w:hint="eastAsia" w:ascii="仿宋" w:hAnsi="仿宋" w:eastAsia="仿宋" w:cs="宋体"/>
                <w:color w:val="000000" w:themeColor="text1"/>
                <w:sz w:val="24"/>
                <w:szCs w:val="24"/>
              </w:rPr>
              <w:t xml:space="preserve">原件扫描件</w:t>
            </w:r>
            <w:r>
              <w:rPr>
                <w:rFonts w:ascii="仿宋" w:hAnsi="仿宋" w:eastAsia="仿宋" w:cs="宋体"/>
                <w:color w:val="000000" w:themeColor="text1"/>
                <w:sz w:val="24"/>
                <w:szCs w:val="24"/>
              </w:rPr>
              <w:t xml:space="preserve">。</w:t>
            </w:r>
            <w:r>
              <w:rPr>
                <w:rFonts w:hint="eastAsia" w:ascii="仿宋" w:hAnsi="仿宋" w:eastAsia="仿宋" w:cs="宋体"/>
                <w:color w:val="000000" w:themeColor="text1"/>
                <w:sz w:val="24"/>
                <w:szCs w:val="24"/>
              </w:rPr>
              <w:t xml:space="preserve">）</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同一静止场景相同图像质量下，设备在H.265编码方式时，开启智能编码功能和不开启智能编码相比，码率节约1/2。</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具有抗丢包（10%）处理能力。</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支持电动调节角度。</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防爆标志：Ex db ⅡC T6 Gb/Ex tb ⅢC T80℃ Db。</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设置密码时，需可以自动提示密码复杂度为高、中、低。</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外壳材质：SUS304不锈钢。</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需支持DC12V与POE供电，且能在DC12V±30%范围内变化时可以正常工作。</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电流及功耗：DC：12 V，最大功耗10 W；PoE：最大功耗12.5 W。</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摄像机能够在-40~60摄氏度环境下稳定工作。</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支持防雷、防浪涌、防静电。</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产品需同时提供防爆合格证，CCC证书。</w:t>
            </w:r>
            <w:r/>
          </w:p>
        </w:tc>
        <w:tc>
          <w:tcPr>
            <w:tcW w:w="567" w:type="dxa"/>
            <w:vAlign w:val="center"/>
            <w:textDirection w:val="lrTb"/>
            <w:noWrap w:val="false"/>
          </w:tcPr>
          <w:p>
            <w:pPr>
              <w:jc w:val="cente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套</w:t>
            </w:r>
            <w:r/>
          </w:p>
        </w:tc>
        <w:tc>
          <w:tcPr>
            <w:tcW w:w="567" w:type="dxa"/>
            <w:vAlign w:val="center"/>
            <w:textDirection w:val="lrTb"/>
            <w:noWrap w:val="false"/>
          </w:tcPr>
          <w:p>
            <w:pPr>
              <w:jc w:val="cente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2</w:t>
            </w:r>
            <w:r/>
          </w:p>
        </w:tc>
      </w:tr>
    </w:tbl>
    <w:p>
      <w:pPr>
        <w:pStyle w:val="1437"/>
        <w:ind w:firstLine="518"/>
        <w:spacing w:before="0" w:beforeAutospacing="0" w:after="0" w:afterAutospacing="0" w:line="560" w:lineRule="exact"/>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（3）</w:t>
      </w:r>
      <w:r>
        <w:rPr>
          <w:rFonts w:ascii="仿宋" w:hAnsi="仿宋" w:eastAsia="仿宋"/>
          <w:color w:val="000000" w:themeColor="text1"/>
          <w:sz w:val="28"/>
          <w:szCs w:val="28"/>
        </w:rPr>
        <w:t xml:space="preserve">危化品室</w:t>
      </w:r>
      <w:r>
        <w:rPr>
          <w:rFonts w:hint="eastAsia" w:ascii="仿宋" w:hAnsi="仿宋" w:eastAsia="仿宋"/>
          <w:color w:val="000000" w:themeColor="text1"/>
          <w:sz w:val="28"/>
          <w:szCs w:val="28"/>
        </w:rPr>
        <w:t xml:space="preserve">一间详细采购清单及技术参数</w:t>
      </w:r>
      <w:r/>
    </w:p>
    <w:tbl>
      <w:tblPr>
        <w:tblW w:w="9640" w:type="dxa"/>
        <w:tblInd w:w="-1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5"/>
        <w:gridCol w:w="1138"/>
        <w:gridCol w:w="6521"/>
        <w:gridCol w:w="567"/>
        <w:gridCol w:w="709"/>
      </w:tblGrid>
      <w:tr>
        <w:trPr>
          <w:trHeight w:val="416"/>
        </w:trPr>
        <w:tc>
          <w:tcPr>
            <w:gridSpan w:val="5"/>
            <w:tcW w:w="9640" w:type="dxa"/>
            <w:vAlign w:val="center"/>
            <w:textDirection w:val="lrTb"/>
            <w:noWrap w:val="false"/>
          </w:tcPr>
          <w:p>
            <w:pPr>
              <w:jc w:val="center"/>
              <w:widowControl/>
              <w:rPr>
                <w:rFonts w:hint="eastAsia" w:ascii="仿宋" w:hAnsi="仿宋" w:eastAsia="仿宋" w:cs="宋体"/>
                <w:color w:val="000000" w:themeColor="text1"/>
                <w:sz w:val="24"/>
                <w:szCs w:val="24"/>
              </w:rPr>
            </w:pPr>
            <w:r/>
            <w:bookmarkStart w:id="46" w:name="RANGE!A1:E13"/>
            <w:r>
              <w:rPr>
                <w:rFonts w:ascii="仿宋" w:hAnsi="仿宋" w:eastAsia="仿宋" w:cs="宋体"/>
                <w:color w:val="000000" w:themeColor="text1"/>
                <w:sz w:val="24"/>
                <w:szCs w:val="24"/>
              </w:rPr>
              <w:t xml:space="preserve">危化品室</w:t>
            </w:r>
            <w:bookmarkEnd w:id="46"/>
            <w:r/>
            <w:r/>
          </w:p>
        </w:tc>
      </w:tr>
      <w:tr>
        <w:trPr>
          <w:trHeight w:val="340"/>
        </w:trPr>
        <w:tc>
          <w:tcPr>
            <w:shd w:val="clear" w:color="000000" w:fill="ffffff"/>
            <w:tcW w:w="705" w:type="dxa"/>
            <w:vAlign w:val="center"/>
            <w:textDirection w:val="lrTb"/>
            <w:noWrap w:val="false"/>
          </w:tcPr>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序号</w:t>
            </w:r>
            <w:r/>
          </w:p>
        </w:tc>
        <w:tc>
          <w:tcPr>
            <w:shd w:val="clear" w:color="000000" w:fill="ffffff"/>
            <w:tcW w:w="1138" w:type="dxa"/>
            <w:vAlign w:val="center"/>
            <w:textDirection w:val="lrTb"/>
            <w:noWrap w:val="false"/>
          </w:tcPr>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设备名称</w:t>
            </w:r>
            <w:r/>
          </w:p>
        </w:tc>
        <w:tc>
          <w:tcPr>
            <w:shd w:val="clear" w:color="000000" w:fill="ffffff"/>
            <w:tcW w:w="6521" w:type="dxa"/>
            <w:vAlign w:val="center"/>
            <w:textDirection w:val="lrTb"/>
            <w:noWrap w:val="false"/>
          </w:tcPr>
          <w:p>
            <w:pPr>
              <w:jc w:val="cente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技术参数</w:t>
            </w:r>
            <w:r/>
          </w:p>
        </w:tc>
        <w:tc>
          <w:tcPr>
            <w:shd w:val="clear" w:color="000000" w:fill="ffffff"/>
            <w:tcW w:w="567" w:type="dxa"/>
            <w:vAlign w:val="center"/>
            <w:textDirection w:val="lrTb"/>
            <w:noWrap w:val="false"/>
          </w:tcPr>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单</w:t>
            </w:r>
            <w:r>
              <w:rPr>
                <w:rFonts w:hint="eastAsia" w:ascii="仿宋" w:hAnsi="仿宋" w:eastAsia="仿宋" w:cs="宋体"/>
                <w:color w:val="000000" w:themeColor="text1"/>
                <w:sz w:val="24"/>
                <w:szCs w:val="24"/>
              </w:rPr>
              <w:t xml:space="preserve"> </w:t>
            </w:r>
            <w:r>
              <w:rPr>
                <w:rFonts w:ascii="仿宋" w:hAnsi="仿宋" w:eastAsia="仿宋" w:cs="宋体"/>
                <w:color w:val="000000" w:themeColor="text1"/>
                <w:sz w:val="24"/>
                <w:szCs w:val="24"/>
              </w:rPr>
              <w:t xml:space="preserve">位</w:t>
            </w:r>
            <w:r/>
          </w:p>
        </w:tc>
        <w:tc>
          <w:tcPr>
            <w:shd w:val="clear" w:color="000000" w:fill="ffffff"/>
            <w:tcW w:w="709" w:type="dxa"/>
            <w:vAlign w:val="center"/>
            <w:textDirection w:val="lrTb"/>
            <w:noWrap w:val="false"/>
          </w:tcPr>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数量</w:t>
            </w:r>
            <w:r/>
          </w:p>
        </w:tc>
      </w:tr>
      <w:tr>
        <w:trPr>
          <w:trHeight w:val="6370"/>
        </w:trPr>
        <w:tc>
          <w:tcPr>
            <w:tcW w:w="705" w:type="dxa"/>
            <w:vAlign w:val="center"/>
            <w:textDirection w:val="lrTb"/>
            <w:noWrap w:val="false"/>
          </w:tcPr>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1</w:t>
            </w:r>
            <w:r/>
          </w:p>
        </w:tc>
        <w:tc>
          <w:tcPr>
            <w:tcW w:w="1138" w:type="dxa"/>
            <w:vAlign w:val="center"/>
            <w:textDirection w:val="lrTb"/>
            <w:noWrap w:val="false"/>
          </w:tcPr>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通风药品柜</w:t>
            </w:r>
            <w:r/>
          </w:p>
        </w:tc>
        <w:tc>
          <w:tcPr>
            <w:tcW w:w="6521" w:type="dxa"/>
            <w:vAlign w:val="center"/>
            <w:textDirection w:val="lrTb"/>
            <w:noWrap w:val="false"/>
          </w:tcPr>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加厚款，总重量不得低于140斤，并且上部柜和下部柜要用4个加强螺丝连接成整体，不得分开，多个药品柜并到一块柜门可以同时打开到90度以上。</w:t>
            </w:r>
            <w:r>
              <w:rPr>
                <w:rFonts w:ascii="仿宋" w:hAnsi="仿宋" w:eastAsia="仿宋" w:cs="宋体"/>
                <w:color w:val="000000" w:themeColor="text1"/>
                <w:sz w:val="24"/>
                <w:szCs w:val="24"/>
              </w:rPr>
              <w:br/>
              <w:t xml:space="preserve">1.尺寸（长×宽×高）≥1000×500×2000mm。带两层阶梯</w:t>
            </w:r>
            <w:r>
              <w:rPr>
                <w:rFonts w:ascii="仿宋" w:hAnsi="仿宋" w:eastAsia="仿宋" w:cs="宋体"/>
                <w:color w:val="000000" w:themeColor="text1"/>
                <w:sz w:val="24"/>
                <w:szCs w:val="24"/>
              </w:rPr>
              <w:br/>
              <w:t xml:space="preserve">2.整体采用环保型ABS塑料一次性注塑成型，层板采用≥2.5mm厚双面环保型PP改性塑料，耐强酸碱及有机溶剂，内设加强筋。</w:t>
            </w:r>
            <w:r>
              <w:rPr>
                <w:rFonts w:ascii="仿宋" w:hAnsi="仿宋" w:eastAsia="仿宋" w:cs="宋体"/>
                <w:color w:val="000000" w:themeColor="text1"/>
                <w:sz w:val="24"/>
                <w:szCs w:val="24"/>
              </w:rPr>
              <w:br/>
              <w:t xml:space="preserve">3.柜体：</w:t>
            </w:r>
            <w:r>
              <w:rPr>
                <w:rFonts w:ascii="仿宋" w:hAnsi="仿宋" w:eastAsia="仿宋" w:cs="宋体"/>
                <w:color w:val="000000" w:themeColor="text1"/>
                <w:sz w:val="24"/>
                <w:szCs w:val="24"/>
              </w:rPr>
              <w:br/>
            </w:r>
            <w:r>
              <w:rPr>
                <w:rFonts w:hint="eastAsia" w:ascii="仿宋" w:hAnsi="仿宋" w:eastAsia="仿宋" w:cs="宋体"/>
                <w:color w:val="000000" w:themeColor="text1"/>
                <w:sz w:val="24"/>
                <w:szCs w:val="24"/>
              </w:rPr>
              <w:t xml:space="preserve">（1）</w:t>
            </w:r>
            <w:r>
              <w:rPr>
                <w:rFonts w:ascii="仿宋" w:hAnsi="仿宋" w:eastAsia="仿宋" w:cs="宋体"/>
                <w:color w:val="000000" w:themeColor="text1"/>
                <w:sz w:val="24"/>
                <w:szCs w:val="24"/>
              </w:rPr>
              <w:t xml:space="preserve">榫卯连接结构并合理布局加强筋，安装时不用胶水粘结，使用产品自身力量相互连接，产品不变形，不扭曲，达到可重复拆装使用。</w:t>
            </w:r>
            <w:r>
              <w:rPr>
                <w:rFonts w:ascii="仿宋" w:hAnsi="仿宋" w:eastAsia="仿宋" w:cs="宋体"/>
                <w:color w:val="000000" w:themeColor="text1"/>
                <w:sz w:val="24"/>
                <w:szCs w:val="24"/>
              </w:rPr>
              <w:br/>
            </w:r>
            <w:r>
              <w:rPr>
                <w:rFonts w:hint="eastAsia" w:ascii="仿宋" w:hAnsi="仿宋" w:eastAsia="仿宋" w:cs="宋体"/>
                <w:color w:val="000000" w:themeColor="text1"/>
                <w:sz w:val="24"/>
                <w:szCs w:val="24"/>
              </w:rPr>
              <w:t xml:space="preserve">（2）</w:t>
            </w:r>
            <w:r>
              <w:rPr>
                <w:rFonts w:ascii="仿宋" w:hAnsi="仿宋" w:eastAsia="仿宋" w:cs="宋体"/>
                <w:color w:val="000000" w:themeColor="text1"/>
                <w:sz w:val="24"/>
                <w:szCs w:val="24"/>
              </w:rPr>
              <w:t xml:space="preserve">上部为ABS工程塑料镶装玻璃透明对开门，带锁和塑料扣手，采用尼龙塑料铰链，高强度耐磨，防水、永不生锈，内设PP改性塑料活动隔板2块。耐酸碱、耐冲击、韧性强。</w:t>
            </w:r>
            <w:r>
              <w:rPr>
                <w:rFonts w:ascii="仿宋" w:hAnsi="仿宋" w:eastAsia="仿宋" w:cs="宋体"/>
                <w:color w:val="000000" w:themeColor="text1"/>
                <w:sz w:val="24"/>
                <w:szCs w:val="24"/>
              </w:rPr>
              <w:br/>
            </w:r>
            <w:r>
              <w:rPr>
                <w:rFonts w:hint="eastAsia" w:ascii="仿宋" w:hAnsi="仿宋" w:eastAsia="仿宋" w:cs="宋体"/>
                <w:color w:val="000000" w:themeColor="text1"/>
                <w:sz w:val="24"/>
                <w:szCs w:val="24"/>
              </w:rPr>
              <w:t xml:space="preserve">（3）</w:t>
            </w:r>
            <w:r>
              <w:rPr>
                <w:rFonts w:ascii="仿宋" w:hAnsi="仿宋" w:eastAsia="仿宋" w:cs="宋体"/>
                <w:color w:val="000000" w:themeColor="text1"/>
                <w:sz w:val="24"/>
                <w:szCs w:val="24"/>
              </w:rPr>
              <w:t xml:space="preserve">下部为ABS工程塑料对开门，不透明，带锁和塑料扣手，采用尼龙塑料铰链，高强度耐磨，防水、永不生锈，内设PP改性塑料活动隔板1块。耐酸碱、耐冲击、韧性强。</w:t>
            </w:r>
            <w:r>
              <w:rPr>
                <w:rFonts w:ascii="仿宋" w:hAnsi="仿宋" w:eastAsia="仿宋" w:cs="宋体"/>
                <w:color w:val="000000" w:themeColor="text1"/>
                <w:sz w:val="24"/>
                <w:szCs w:val="24"/>
              </w:rPr>
              <w:br/>
              <w:t xml:space="preserve">4.底座高≥80mm，重要部位加厚处理，从而使产品更牢固，结实耐用。</w:t>
            </w:r>
            <w:r>
              <w:rPr>
                <w:rFonts w:ascii="仿宋" w:hAnsi="仿宋" w:eastAsia="仿宋" w:cs="宋体"/>
                <w:color w:val="000000" w:themeColor="text1"/>
                <w:sz w:val="24"/>
                <w:szCs w:val="24"/>
              </w:rPr>
              <w:br/>
              <w:t xml:space="preserve">5.顶部有通风口，配有通风管道。</w:t>
            </w:r>
            <w:r/>
          </w:p>
        </w:tc>
        <w:tc>
          <w:tcPr>
            <w:tcW w:w="567" w:type="dxa"/>
            <w:vAlign w:val="center"/>
            <w:textDirection w:val="lrTb"/>
            <w:noWrap w:val="false"/>
          </w:tcPr>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个</w:t>
            </w:r>
            <w:r/>
          </w:p>
        </w:tc>
        <w:tc>
          <w:tcPr>
            <w:tcW w:w="709" w:type="dxa"/>
            <w:vAlign w:val="center"/>
            <w:textDirection w:val="lrTb"/>
            <w:noWrap w:val="false"/>
          </w:tcPr>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4</w:t>
            </w:r>
            <w:r/>
          </w:p>
        </w:tc>
      </w:tr>
      <w:tr>
        <w:trPr>
          <w:trHeight w:val="8190"/>
        </w:trPr>
        <w:tc>
          <w:tcPr>
            <w:tcW w:w="705" w:type="dxa"/>
            <w:vAlign w:val="center"/>
            <w:textDirection w:val="lrTb"/>
            <w:noWrap w:val="false"/>
          </w:tcPr>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2</w:t>
            </w:r>
            <w:r/>
          </w:p>
        </w:tc>
        <w:tc>
          <w:tcPr>
            <w:tcW w:w="1138" w:type="dxa"/>
            <w:vAlign w:val="center"/>
            <w:textDirection w:val="lrTb"/>
            <w:noWrap w:val="false"/>
          </w:tcPr>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毒害品存储柜</w:t>
            </w:r>
            <w:r/>
          </w:p>
        </w:tc>
        <w:tc>
          <w:tcPr>
            <w:tcW w:w="6521" w:type="dxa"/>
            <w:vAlign w:val="center"/>
            <w:textDirection w:val="lrTb"/>
            <w:noWrap w:val="false"/>
          </w:tcPr>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触控操作</w:t>
            </w:r>
            <w:r/>
          </w:p>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br w:type="page" w:clear="all"/>
              <w:t xml:space="preserve">1.规格（长×宽×高）≥900×510×2050（mm)，</w:t>
            </w:r>
            <w:r/>
          </w:p>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br w:type="page" w:clear="all"/>
              <w:t xml:space="preserve">2.外壳体全部采用1.2mm的冷轧钢板，柜体底座采用2.0mm的冷轧钢板,内外表面经酸洗磷化环氧树脂粉末喷涂，烘热固化处理。</w:t>
            </w:r>
            <w:r/>
          </w:p>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br w:type="page" w:clear="all"/>
              <w:t xml:space="preserve">3.柜体内胆（上，下、左、右内衬板）全部采用实芯理化板或pp（聚丙烯树脂）板；柜底部设置进风口，进风口底部有不锈钢可调风阀；柜体的底板中部有Φ10mm漏液孔；柜体底部设h=145mm黄沙(防倒）挡板，柜体内部最下层留有可以存放≥120mm厚黄沙的填埋腔，用于埋放金属钠、黄磷（白磷）等的易燃物品；柜底装有四个Φ60mm的移动钢轮，便于移动；前轮后有2个手动调节罗杆，方便定位。</w:t>
            </w:r>
            <w:r/>
          </w:p>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br w:type="page" w:clear="all"/>
              <w:t xml:space="preserve">4.柜中部有3个三层阶梯式一次成型的PP聚丙烯树脂活动搁板，每层阶梯板外延边有3mm高的积液盘；下层搁板外沿镶装有H48.5×W16.5（mm）PVC一次成型护栏。护栏中间嵌有（警示红，警示蓝，警示黄）0.5mm厚度的PVC装饰条，可区分碱性，酸性药品和易燃品的存放；每个搁板靠背板处有一排导风口，阶梯高度50mm（包括积液盘的高度）。</w:t>
            </w:r>
            <w:r/>
          </w:p>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br w:type="page" w:clear="all"/>
              <w:t xml:space="preserve">5.柜顶部中间有Φ150mm出风口，柜顶风口内置一个AC220V、50HZ、0.18A轴流风机，最大风量326m3/h、转速2550转/min、环境温度（-10~+70）℃。控制开关设置柜体顶部的右上角，当风机开机前要把柜门下面中间的进风口推置打开状态。</w:t>
            </w:r>
            <w:r/>
          </w:p>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br w:type="page" w:clear="all"/>
              <w:t xml:space="preserve">6.隔热材料柜体应填充具有保温隔热作用的材料，（密度150㎏/m3，厚度：40mm）。</w:t>
            </w:r>
            <w:r/>
          </w:p>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br w:type="page" w:clear="all"/>
              <w:t xml:space="preserve">7.密封件柜体门与柜体之间应安装防火膨胀密封件。（柜体门与柜体之间应安装环保热膨胀密封条。当温度为150℃-180℃时密封条局部膨胀，温度达到750℃时密封条全部膨胀，膨胀比例为1:5，以保证储存药品的安全性。）</w:t>
            </w:r>
            <w:r/>
          </w:p>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br w:type="page" w:clear="all"/>
              <w:t xml:space="preserve">8.存储柜上安装磁锁、机械密码锁等。</w:t>
            </w:r>
            <w:r/>
          </w:p>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br w:type="page" w:clear="all"/>
              <w:t xml:space="preserve">9.通风控制装置</w:t>
            </w:r>
            <w:r/>
          </w:p>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br w:type="page" w:clear="all"/>
            </w:r>
            <w:r>
              <w:rPr>
                <w:rFonts w:hint="eastAsia" w:ascii="仿宋" w:hAnsi="仿宋" w:eastAsia="仿宋" w:cs="宋体"/>
                <w:color w:val="000000" w:themeColor="text1"/>
                <w:sz w:val="24"/>
                <w:szCs w:val="24"/>
              </w:rPr>
              <w:t xml:space="preserve">（1）</w:t>
            </w:r>
            <w:r>
              <w:rPr>
                <w:rFonts w:ascii="仿宋" w:hAnsi="仿宋" w:eastAsia="仿宋" w:cs="宋体"/>
                <w:color w:val="000000" w:themeColor="text1"/>
                <w:sz w:val="24"/>
                <w:szCs w:val="24"/>
              </w:rPr>
              <w:t xml:space="preserve">柜体底部应设置进风口及可调风阀，可调风阀旋转灵活，并能控制风量大小。</w:t>
            </w:r>
            <w:r/>
          </w:p>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br w:type="page" w:clear="all"/>
            </w:r>
            <w:r>
              <w:rPr>
                <w:rFonts w:hint="eastAsia" w:ascii="仿宋" w:hAnsi="仿宋" w:eastAsia="仿宋" w:cs="宋体"/>
                <w:color w:val="000000" w:themeColor="text1"/>
                <w:sz w:val="24"/>
                <w:szCs w:val="24"/>
              </w:rPr>
              <w:t xml:space="preserve">（2）</w:t>
            </w:r>
            <w:r>
              <w:rPr>
                <w:rFonts w:ascii="仿宋" w:hAnsi="仿宋" w:eastAsia="仿宋" w:cs="宋体"/>
                <w:color w:val="000000" w:themeColor="text1"/>
                <w:sz w:val="24"/>
                <w:szCs w:val="24"/>
              </w:rPr>
              <w:t xml:space="preserve">柜体应设置通风口，通风口最大风速应≥0.5m/s。</w:t>
            </w:r>
            <w:r/>
          </w:p>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br w:type="page" w:clear="all"/>
            </w:r>
            <w:r>
              <w:rPr>
                <w:rFonts w:hint="eastAsia" w:ascii="仿宋" w:hAnsi="仿宋" w:eastAsia="仿宋" w:cs="宋体"/>
                <w:color w:val="000000" w:themeColor="text1"/>
                <w:sz w:val="24"/>
                <w:szCs w:val="24"/>
              </w:rPr>
              <w:t xml:space="preserve">（3）</w:t>
            </w:r>
            <w:r>
              <w:rPr>
                <w:rFonts w:ascii="仿宋" w:hAnsi="仿宋" w:eastAsia="仿宋" w:cs="宋体"/>
                <w:color w:val="000000" w:themeColor="text1"/>
                <w:sz w:val="24"/>
                <w:szCs w:val="24"/>
              </w:rPr>
              <w:t xml:space="preserve">应有配有定时时控开关，能根据用户设定的时间自动打开和关闭风机，电源开关应有指示灯指示风机是否正常工作，可自动和手动控制。</w:t>
            </w:r>
            <w:r/>
          </w:p>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br w:type="page" w:clear="all"/>
            </w:r>
            <w:r>
              <w:rPr>
                <w:rFonts w:hint="eastAsia" w:ascii="仿宋" w:hAnsi="仿宋" w:eastAsia="仿宋" w:cs="宋体"/>
                <w:color w:val="000000" w:themeColor="text1"/>
                <w:sz w:val="24"/>
                <w:szCs w:val="24"/>
              </w:rPr>
              <w:t xml:space="preserve">（4）</w:t>
            </w:r>
            <w:r>
              <w:rPr>
                <w:rFonts w:ascii="仿宋" w:hAnsi="仿宋" w:eastAsia="仿宋" w:cs="宋体"/>
                <w:color w:val="000000" w:themeColor="text1"/>
                <w:sz w:val="24"/>
                <w:szCs w:val="24"/>
              </w:rPr>
              <w:t xml:space="preserve">通风管道口径宜采用Φ160mm，通风管应耐高温、阻燃、耐腐蚀。</w:t>
            </w:r>
            <w:r>
              <w:rPr>
                <w:rFonts w:ascii="仿宋" w:hAnsi="仿宋" w:eastAsia="仿宋" w:cs="宋体"/>
                <w:color w:val="000000" w:themeColor="text1"/>
                <w:sz w:val="24"/>
                <w:szCs w:val="24"/>
              </w:rPr>
              <w:br w:type="page" w:clear="all"/>
              <w:t xml:space="preserve">10.设备由触控全功能控制，能根据用户设定的时间自动打开和关闭风机，电源开关指示灯指示风机是否正常工作，可自动或手动控制。温湿度控制报警装置，对柜内相对温湿度实时监控，数字显示设定和测量值，柜内的温湿度如超过设定的测量值即时报警提示。电源AC220V±10％50HZ,温度启控0～99.9℃（用户设定），湿度启控0-99.9％RH(用户设定)。</w:t>
            </w:r>
            <w:r/>
          </w:p>
        </w:tc>
        <w:tc>
          <w:tcPr>
            <w:tcW w:w="567" w:type="dxa"/>
            <w:vAlign w:val="center"/>
            <w:textDirection w:val="lrTb"/>
            <w:noWrap w:val="false"/>
          </w:tcPr>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台</w:t>
            </w:r>
            <w:r/>
          </w:p>
        </w:tc>
        <w:tc>
          <w:tcPr>
            <w:tcW w:w="709" w:type="dxa"/>
            <w:vAlign w:val="center"/>
            <w:textDirection w:val="lrTb"/>
            <w:noWrap w:val="false"/>
          </w:tcPr>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1</w:t>
            </w:r>
            <w:r/>
          </w:p>
        </w:tc>
      </w:tr>
      <w:tr>
        <w:trPr>
          <w:trHeight w:val="6985" w:hRule="exact"/>
        </w:trPr>
        <w:tc>
          <w:tcPr>
            <w:tcW w:w="705" w:type="dxa"/>
            <w:vAlign w:val="center"/>
            <w:textDirection w:val="lrTb"/>
            <w:noWrap w:val="false"/>
          </w:tcPr>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3</w:t>
            </w:r>
            <w:r/>
          </w:p>
        </w:tc>
        <w:tc>
          <w:tcPr>
            <w:tcW w:w="1138" w:type="dxa"/>
            <w:vAlign w:val="center"/>
            <w:textDirection w:val="lrTb"/>
            <w:noWrap w:val="false"/>
          </w:tcPr>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通风橱</w:t>
            </w:r>
            <w:r/>
          </w:p>
        </w:tc>
        <w:tc>
          <w:tcPr>
            <w:tcW w:w="6521" w:type="dxa"/>
            <w:vAlign w:val="center"/>
            <w:textDirection w:val="lrTb"/>
            <w:noWrap w:val="false"/>
          </w:tcPr>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尺寸（高×宽×长）：≥2350*850*1500mm</w:t>
            </w:r>
            <w:r>
              <w:rPr>
                <w:rFonts w:ascii="仿宋" w:hAnsi="仿宋" w:eastAsia="仿宋" w:cs="宋体"/>
                <w:color w:val="000000" w:themeColor="text1"/>
                <w:sz w:val="24"/>
                <w:szCs w:val="24"/>
              </w:rPr>
              <w:br w:type="page" w:clear="all"/>
            </w:r>
            <w:r/>
          </w:p>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1.主体框架：左右旁板、前钢板、后背板、顶板及下柜体均采用1.0mm厚冷轧镀锌钢板，数控激光切割机下料，折弯采用全自动数控折弯机一次性一体折弯成型，喷涂表面经环氧树脂静电流水线自动化喷涂。</w:t>
            </w:r>
            <w:r/>
          </w:p>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br w:type="page" w:clear="all"/>
              <w:t xml:space="preserve">2.内衬板/导流板：采用实芯抗倍特板（≥5mm厚）具有良好的防腐蚀、化学抗性。导流板固定件使用PP优质材质制作一体成型。</w:t>
            </w:r>
            <w:r/>
          </w:p>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br w:type="page" w:clear="all"/>
              <w:t xml:space="preserve">3.移动视窗：≥5mm优质钢化玻璃，门开启高度为700mm,自由升降，移门上下滑动装置采用电梯配重方式结构，无级任意停留，移门导向装置由抗腐蚀的聚氯乙稀材质构成。移门把手PP一体成型制作，移门旁边是抗化学腐蚀的塑料包裹，移门的开、闭有橡胶缓冲装置。</w:t>
            </w:r>
            <w:r/>
          </w:p>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br w:type="page" w:clear="all"/>
              <w:t xml:space="preserve">4.通风柜正前方全部为玻璃视窗，有良好的可视范围。扰流板和内衬材料一致，扰流板支架由非金属材料构成。</w:t>
            </w:r>
            <w:r/>
          </w:p>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br w:type="page" w:clear="all"/>
              <w:t xml:space="preserve">5.下柜体：台面采用实芯理化板（≥12.7mm厚）耐酸碱，耐冲击，耐腐蚀，甲醛达到E1及以上级别标准。</w:t>
            </w:r>
            <w:r/>
          </w:p>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br w:type="page" w:clear="all"/>
              <w:t xml:space="preserve">6.连接部分：所有的内部连接装置都需隐藏布置和抗腐蚀。没有外露的螺钉。</w:t>
            </w:r>
            <w:r>
              <w:rPr>
                <w:rFonts w:ascii="仿宋" w:hAnsi="仿宋" w:eastAsia="仿宋" w:cs="宋体"/>
                <w:color w:val="000000" w:themeColor="text1"/>
                <w:sz w:val="24"/>
                <w:szCs w:val="24"/>
              </w:rPr>
              <w:br w:type="page" w:clear="all"/>
              <w:t xml:space="preserve">外部连接装置都抗化学腐蚀，用聚氯乙稀包裹的不锈钢部件与非金属材料。</w:t>
            </w:r>
            <w:r/>
          </w:p>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br w:type="page" w:clear="all"/>
              <w:t xml:space="preserve">7.排气出口：排气出口为圆形，套管连接，减少气体扰流</w:t>
            </w:r>
            <w:r/>
          </w:p>
        </w:tc>
        <w:tc>
          <w:tcPr>
            <w:tcW w:w="567" w:type="dxa"/>
            <w:vAlign w:val="center"/>
            <w:textDirection w:val="lrTb"/>
            <w:noWrap w:val="false"/>
          </w:tcPr>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个</w:t>
            </w:r>
            <w:r/>
          </w:p>
        </w:tc>
        <w:tc>
          <w:tcPr>
            <w:tcW w:w="709" w:type="dxa"/>
            <w:vAlign w:val="center"/>
            <w:textDirection w:val="lrTb"/>
            <w:noWrap w:val="false"/>
          </w:tcPr>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1</w:t>
            </w:r>
            <w:r/>
          </w:p>
        </w:tc>
      </w:tr>
      <w:tr>
        <w:trPr>
          <w:trHeight w:val="8190"/>
        </w:trPr>
        <w:tc>
          <w:tcPr>
            <w:tcW w:w="705" w:type="dxa"/>
            <w:vAlign w:val="center"/>
            <w:textDirection w:val="lrTb"/>
            <w:noWrap w:val="false"/>
          </w:tcPr>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4</w:t>
            </w:r>
            <w:r/>
          </w:p>
        </w:tc>
        <w:tc>
          <w:tcPr>
            <w:tcW w:w="1138" w:type="dxa"/>
            <w:vAlign w:val="center"/>
            <w:textDirection w:val="lrTb"/>
            <w:noWrap w:val="false"/>
          </w:tcPr>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易燃品储存柜</w:t>
            </w:r>
            <w:r/>
          </w:p>
        </w:tc>
        <w:tc>
          <w:tcPr>
            <w:tcW w:w="6521" w:type="dxa"/>
            <w:vAlign w:val="center"/>
            <w:textDirection w:val="lrTb"/>
            <w:noWrap w:val="false"/>
          </w:tcPr>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触控操作</w:t>
            </w:r>
            <w:r/>
          </w:p>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br w:type="page" w:clear="all"/>
              <w:t xml:space="preserve">1.规格（长×宽×高）≥900×510×2050（mm)，</w:t>
            </w:r>
            <w:r/>
          </w:p>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br w:type="page" w:clear="all"/>
              <w:t xml:space="preserve">2.外壳体全部采用1.2mm的冷轧钢板，柜体底座采用2.0mm的冷轧钢板,内外表面经酸洗磷化环氧树脂粉末喷涂，烘热固化处理。</w:t>
            </w:r>
            <w:r/>
          </w:p>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br w:type="page" w:clear="all"/>
              <w:t xml:space="preserve">3.柜体内胆（上，下、左、右内衬板）全部采用实芯理化板或pp（聚丙烯树脂）板；柜底部设置进风口，进风口底部有不锈钢可调风阀；柜体的底板中部有Φ10mm漏液孔；柜体底部设h=145mm黄沙(防倒）挡板，柜体内部最下层留有可以存放≥120mm厚黄沙的填埋腔，用于埋放金属钠、黄磷（白磷）等的易燃物品；柜底装有四个Φ60mm的移动钢轮，便于移动；前轮后有2个手动调节罗杆，方便定位。</w:t>
            </w:r>
            <w:r/>
          </w:p>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br w:type="page" w:clear="all"/>
              <w:t xml:space="preserve">4.柜中部有3个三层阶梯式一次成型的PP聚丙烯树脂活动搁板，每层阶梯板外延边有3mm高的积液盘；下层搁板外沿镶装有H48.5×W16.5（mm）PVC一次成型护栏。护栏中间嵌有（警示红，警示蓝，警示黄）0.5mm厚度的PVC装饰条，可区分碱性，酸性药品和易燃品的存放；每个搁板靠背板处有一排导风口，阶梯高度50mm（包括积液盘的高度）。</w:t>
            </w:r>
            <w:r/>
          </w:p>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br w:type="page" w:clear="all"/>
              <w:t xml:space="preserve">5.柜顶部中间有Φ150mm出风口，柜顶风口内置一个AC220V、50HZ、0.18A轴流风机，最大风量326m3/h、转速2550转/min、环境温度（-10~+70）℃。控制开关设置柜体顶部的右上角，当风机开机前要把柜门下面中间的进风口推置打开状态。</w:t>
            </w:r>
            <w:r>
              <w:rPr>
                <w:rFonts w:ascii="仿宋" w:hAnsi="仿宋" w:eastAsia="仿宋" w:cs="宋体"/>
                <w:color w:val="000000" w:themeColor="text1"/>
                <w:sz w:val="24"/>
                <w:szCs w:val="24"/>
              </w:rPr>
              <w:br w:type="page" w:clear="all"/>
              <w:t xml:space="preserve">6.隔热材料柜体应填充具有保温隔热作用的材料，（密度150㎏/m3，厚度：40mm）。</w:t>
            </w:r>
            <w:r/>
          </w:p>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br w:type="page" w:clear="all"/>
              <w:t xml:space="preserve">7.密封件柜体门与柜体之间应安装防火膨胀密封件。（柜体门与柜体之间应安装环保热膨胀密封条。当温度为150℃-180℃时密封条局部膨胀，温度达到750℃时密封条全部膨胀，膨胀比例为1:5，以保证储存药品的安全性。）</w:t>
            </w:r>
            <w:r/>
          </w:p>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br w:type="page" w:clear="all"/>
              <w:t xml:space="preserve">8.存储柜上安装磁锁、机械密码锁等。</w:t>
            </w:r>
            <w:r>
              <w:rPr>
                <w:rFonts w:ascii="仿宋" w:hAnsi="仿宋" w:eastAsia="仿宋" w:cs="宋体"/>
                <w:color w:val="000000" w:themeColor="text1"/>
                <w:sz w:val="24"/>
                <w:szCs w:val="24"/>
              </w:rPr>
              <w:br w:type="page" w:clear="all"/>
            </w:r>
            <w:r/>
          </w:p>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9.通风控制装置</w:t>
            </w:r>
            <w:r/>
          </w:p>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br w:type="page" w:clear="all"/>
              <w:t xml:space="preserve">9.1柜体底部应设置进风口及可调风阀，可调风阀旋转灵活，并能控制风量大小。</w:t>
            </w:r>
            <w:r/>
          </w:p>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br w:type="page" w:clear="all"/>
              <w:t xml:space="preserve">9.2柜体应设置通风口，通风口最大风速应≥0.5m/s。</w:t>
            </w:r>
            <w:r/>
          </w:p>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br w:type="page" w:clear="all"/>
              <w:t xml:space="preserve">9.3应有配有定时时控开关，能根据用户设定的时间自动打开和关闭风机，电源开关应有指示灯指示风机是否正常工作，可自动和手动控制。</w:t>
            </w:r>
            <w:r/>
          </w:p>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br w:type="page" w:clear="all"/>
              <w:t xml:space="preserve">9.4通风管道口径宜采用Φ160mm，通风管应耐高温、阻燃、耐腐蚀。</w:t>
            </w:r>
            <w:r>
              <w:rPr>
                <w:rFonts w:ascii="仿宋" w:hAnsi="仿宋" w:eastAsia="仿宋" w:cs="宋体"/>
                <w:color w:val="000000" w:themeColor="text1"/>
                <w:sz w:val="24"/>
                <w:szCs w:val="24"/>
              </w:rPr>
              <w:br w:type="page" w:clear="all"/>
              <w:t xml:space="preserve">10.设备由触控全功能控制，能根据用户设定的时间自动打开和关闭风机，电源开关指示灯指示风机是否正常工作，可自动或手动控制。温湿度控制报警装置，对柜内相对温湿度实时监控，数字显示设定和测量值，柜内的温湿度如超过设定的测量值即时报警提示。电源AC220V±10％50HZ,温度启控0～99.9℃（用户设定），湿度启控0-99.9％RH(用户设定)。</w:t>
            </w:r>
            <w:r/>
          </w:p>
        </w:tc>
        <w:tc>
          <w:tcPr>
            <w:tcW w:w="567" w:type="dxa"/>
            <w:vAlign w:val="center"/>
            <w:textDirection w:val="lrTb"/>
            <w:noWrap w:val="false"/>
          </w:tcPr>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台</w:t>
            </w:r>
            <w:r/>
          </w:p>
        </w:tc>
        <w:tc>
          <w:tcPr>
            <w:tcW w:w="709" w:type="dxa"/>
            <w:vAlign w:val="center"/>
            <w:textDirection w:val="lrTb"/>
            <w:noWrap w:val="false"/>
          </w:tcPr>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1</w:t>
            </w:r>
            <w:r/>
          </w:p>
        </w:tc>
      </w:tr>
      <w:tr>
        <w:trPr>
          <w:trHeight w:val="2400"/>
        </w:trPr>
        <w:tc>
          <w:tcPr>
            <w:tcW w:w="705" w:type="dxa"/>
            <w:vAlign w:val="center"/>
            <w:textDirection w:val="lrTb"/>
            <w:noWrap w:val="false"/>
          </w:tcPr>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5</w:t>
            </w:r>
            <w:r/>
          </w:p>
        </w:tc>
        <w:tc>
          <w:tcPr>
            <w:tcW w:w="1138" w:type="dxa"/>
            <w:vAlign w:val="center"/>
            <w:textDirection w:val="lrTb"/>
            <w:noWrap w:val="false"/>
          </w:tcPr>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危化品间配套改造</w:t>
            </w:r>
            <w:r/>
          </w:p>
        </w:tc>
        <w:tc>
          <w:tcPr>
            <w:tcW w:w="6521" w:type="dxa"/>
            <w:vAlign w:val="center"/>
            <w:textDirection w:val="lrTb"/>
            <w:noWrap w:val="false"/>
          </w:tcPr>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包括防渗漏地坪处理，危化废液清洗排污道+危化废液过滤沉淀池+自动排污泵。包含但不限于以下内容：</w:t>
            </w:r>
            <w:r>
              <w:rPr>
                <w:rFonts w:ascii="仿宋" w:hAnsi="仿宋" w:eastAsia="仿宋" w:cs="宋体"/>
                <w:color w:val="000000" w:themeColor="text1"/>
                <w:sz w:val="24"/>
                <w:szCs w:val="24"/>
              </w:rPr>
              <w:br w:type="page" w:clear="all"/>
              <w:t xml:space="preserve">一、配套物资：</w:t>
            </w:r>
            <w:r>
              <w:rPr>
                <w:rFonts w:ascii="仿宋" w:hAnsi="仿宋" w:eastAsia="仿宋" w:cs="宋体"/>
                <w:color w:val="000000" w:themeColor="text1"/>
                <w:sz w:val="24"/>
                <w:szCs w:val="24"/>
              </w:rPr>
              <w:br w:type="page" w:clear="all"/>
              <w:t xml:space="preserve">1、防渗漏地坪处理1 项</w:t>
            </w:r>
            <w:r>
              <w:rPr>
                <w:rFonts w:ascii="仿宋" w:hAnsi="仿宋" w:eastAsia="仿宋" w:cs="宋体"/>
                <w:color w:val="000000" w:themeColor="text1"/>
                <w:sz w:val="24"/>
                <w:szCs w:val="24"/>
              </w:rPr>
              <w:br w:type="page" w:clear="all"/>
              <w:t xml:space="preserve">2、危化废液清洗排污道+危化废液过滤沉淀池+自动排污泵、离心泵1套</w:t>
            </w:r>
            <w:r>
              <w:rPr>
                <w:rFonts w:ascii="仿宋" w:hAnsi="仿宋" w:eastAsia="仿宋" w:cs="宋体"/>
                <w:color w:val="000000" w:themeColor="text1"/>
                <w:sz w:val="24"/>
                <w:szCs w:val="24"/>
              </w:rPr>
              <w:br w:type="page" w:clear="all"/>
              <w:t xml:space="preserve">3、危废仓库其他配套物资：包括标识标牌、危废管理规章制度、磅秤、废液桶、塑料框、周知卡、台账、危废标签 1 套</w:t>
            </w:r>
            <w:r>
              <w:rPr>
                <w:rFonts w:ascii="仿宋" w:hAnsi="仿宋" w:eastAsia="仿宋" w:cs="宋体"/>
                <w:color w:val="000000" w:themeColor="text1"/>
                <w:sz w:val="24"/>
                <w:szCs w:val="24"/>
              </w:rPr>
              <w:br w:type="page" w:clear="all"/>
              <w:t xml:space="preserve">二、地面工程：</w:t>
            </w:r>
            <w:r>
              <w:rPr>
                <w:rFonts w:ascii="仿宋" w:hAnsi="仿宋" w:eastAsia="仿宋" w:cs="宋体"/>
                <w:color w:val="000000" w:themeColor="text1"/>
                <w:sz w:val="24"/>
                <w:szCs w:val="24"/>
              </w:rPr>
              <w:br w:type="page" w:clear="all"/>
              <w:t xml:space="preserve">1、地面自流平：地面打磨、修补、自流平水泥</w:t>
            </w:r>
            <w:r>
              <w:rPr>
                <w:rFonts w:ascii="仿宋" w:hAnsi="仿宋" w:eastAsia="仿宋" w:cs="宋体"/>
                <w:color w:val="000000" w:themeColor="text1"/>
                <w:sz w:val="24"/>
                <w:szCs w:val="24"/>
              </w:rPr>
              <w:br w:type="page" w:clear="all"/>
              <w:t xml:space="preserve">2、环氧地坪漆和静电地胶</w:t>
            </w:r>
            <w:r/>
          </w:p>
        </w:tc>
        <w:tc>
          <w:tcPr>
            <w:tcW w:w="567" w:type="dxa"/>
            <w:vAlign w:val="center"/>
            <w:textDirection w:val="lrTb"/>
            <w:noWrap w:val="false"/>
          </w:tcPr>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套</w:t>
            </w:r>
            <w:r/>
          </w:p>
        </w:tc>
        <w:tc>
          <w:tcPr>
            <w:tcW w:w="709" w:type="dxa"/>
            <w:vAlign w:val="center"/>
            <w:textDirection w:val="lrTb"/>
            <w:noWrap w:val="false"/>
          </w:tcPr>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1</w:t>
            </w:r>
            <w:r/>
          </w:p>
        </w:tc>
      </w:tr>
      <w:tr>
        <w:trPr>
          <w:trHeight w:val="900"/>
        </w:trPr>
        <w:tc>
          <w:tcPr>
            <w:tcW w:w="705" w:type="dxa"/>
            <w:vAlign w:val="center"/>
            <w:textDirection w:val="lrTb"/>
            <w:noWrap w:val="false"/>
          </w:tcPr>
          <w:p>
            <w:pPr>
              <w:jc w:val="left"/>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6</w:t>
            </w:r>
            <w:r/>
          </w:p>
        </w:tc>
        <w:tc>
          <w:tcPr>
            <w:tcW w:w="1138" w:type="dxa"/>
            <w:vAlign w:val="center"/>
            <w:textDirection w:val="lrTb"/>
            <w:noWrap w:val="false"/>
          </w:tcPr>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含防漏液托盘</w:t>
            </w:r>
            <w:r/>
          </w:p>
        </w:tc>
        <w:tc>
          <w:tcPr>
            <w:tcW w:w="6521" w:type="dxa"/>
            <w:vAlign w:val="center"/>
            <w:textDirection w:val="lrTb"/>
            <w:noWrap w:val="false"/>
          </w:tcPr>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PP材质，具有防酸碱腐蚀功能，具有收集液体功能，避免破坏地面</w:t>
            </w:r>
            <w:r/>
          </w:p>
        </w:tc>
        <w:tc>
          <w:tcPr>
            <w:tcW w:w="567" w:type="dxa"/>
            <w:vAlign w:val="center"/>
            <w:textDirection w:val="lrTb"/>
            <w:noWrap w:val="false"/>
          </w:tcPr>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台</w:t>
            </w:r>
            <w:r/>
          </w:p>
        </w:tc>
        <w:tc>
          <w:tcPr>
            <w:tcW w:w="709" w:type="dxa"/>
            <w:vAlign w:val="center"/>
            <w:textDirection w:val="lrTb"/>
            <w:noWrap w:val="false"/>
          </w:tcPr>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1</w:t>
            </w:r>
            <w:r/>
          </w:p>
        </w:tc>
      </w:tr>
      <w:tr>
        <w:trPr>
          <w:trHeight w:val="900"/>
        </w:trPr>
        <w:tc>
          <w:tcPr>
            <w:tcW w:w="705" w:type="dxa"/>
            <w:vAlign w:val="center"/>
            <w:textDirection w:val="lrTb"/>
            <w:noWrap w:val="false"/>
          </w:tcPr>
          <w:p>
            <w:pPr>
              <w:jc w:val="left"/>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7</w:t>
            </w:r>
            <w:r/>
          </w:p>
        </w:tc>
        <w:tc>
          <w:tcPr>
            <w:tcW w:w="1138" w:type="dxa"/>
            <w:vAlign w:val="center"/>
            <w:textDirection w:val="lrTb"/>
            <w:noWrap w:val="false"/>
          </w:tcPr>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废液桶</w:t>
            </w:r>
            <w:r/>
          </w:p>
        </w:tc>
        <w:tc>
          <w:tcPr>
            <w:tcW w:w="6521" w:type="dxa"/>
            <w:vAlign w:val="center"/>
            <w:textDirection w:val="lrTb"/>
            <w:noWrap w:val="false"/>
          </w:tcPr>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PP材质，具有防酸碱腐蚀功能，溶剂不小于20升</w:t>
            </w:r>
            <w:r/>
          </w:p>
        </w:tc>
        <w:tc>
          <w:tcPr>
            <w:tcW w:w="567" w:type="dxa"/>
            <w:vAlign w:val="center"/>
            <w:textDirection w:val="lrTb"/>
            <w:noWrap w:val="false"/>
          </w:tcPr>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台</w:t>
            </w:r>
            <w:r/>
          </w:p>
        </w:tc>
        <w:tc>
          <w:tcPr>
            <w:tcW w:w="709" w:type="dxa"/>
            <w:vAlign w:val="center"/>
            <w:textDirection w:val="lrTb"/>
            <w:noWrap w:val="false"/>
          </w:tcPr>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2</w:t>
            </w:r>
            <w:r/>
          </w:p>
        </w:tc>
      </w:tr>
      <w:tr>
        <w:trPr>
          <w:trHeight w:val="900"/>
        </w:trPr>
        <w:tc>
          <w:tcPr>
            <w:tcW w:w="705" w:type="dxa"/>
            <w:vAlign w:val="center"/>
            <w:textDirection w:val="lrTb"/>
            <w:noWrap w:val="false"/>
          </w:tcPr>
          <w:p>
            <w:pPr>
              <w:jc w:val="left"/>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8</w:t>
            </w:r>
            <w:r/>
          </w:p>
        </w:tc>
        <w:tc>
          <w:tcPr>
            <w:tcW w:w="1138" w:type="dxa"/>
            <w:vAlign w:val="center"/>
            <w:textDirection w:val="lrTb"/>
            <w:noWrap w:val="false"/>
          </w:tcPr>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安装调试</w:t>
            </w:r>
            <w:r/>
          </w:p>
        </w:tc>
        <w:tc>
          <w:tcPr>
            <w:tcW w:w="6521" w:type="dxa"/>
            <w:vAlign w:val="center"/>
            <w:textDirection w:val="lrTb"/>
            <w:noWrap w:val="false"/>
          </w:tcPr>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准备室设备安装调试</w:t>
            </w:r>
            <w:r/>
          </w:p>
        </w:tc>
        <w:tc>
          <w:tcPr>
            <w:tcW w:w="567" w:type="dxa"/>
            <w:vAlign w:val="center"/>
            <w:textDirection w:val="lrTb"/>
            <w:noWrap w:val="false"/>
          </w:tcPr>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项</w:t>
            </w:r>
            <w:r/>
          </w:p>
        </w:tc>
        <w:tc>
          <w:tcPr>
            <w:tcW w:w="709" w:type="dxa"/>
            <w:vAlign w:val="center"/>
            <w:textDirection w:val="lrTb"/>
            <w:noWrap w:val="false"/>
          </w:tcPr>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1</w:t>
            </w:r>
            <w:r/>
          </w:p>
        </w:tc>
      </w:tr>
    </w:tbl>
    <w:p>
      <w:pPr>
        <w:pStyle w:val="1437"/>
        <w:spacing w:before="0" w:beforeAutospacing="0" w:after="0" w:afterAutospacing="0" w:line="560" w:lineRule="exact"/>
        <w:rPr>
          <w:rFonts w:hint="eastAsia" w:ascii="仿宋" w:hAnsi="仿宋" w:eastAsia="仿宋"/>
          <w:color w:val="000000" w:themeColor="text1"/>
          <w:sz w:val="28"/>
          <w:szCs w:val="28"/>
        </w:rPr>
      </w:pPr>
      <w:r>
        <w:rPr>
          <w:rFonts w:hint="eastAsia" w:ascii="仿宋" w:hAnsi="仿宋" w:eastAsia="仿宋"/>
          <w:color w:val="000000" w:themeColor="text1"/>
          <w:sz w:val="28"/>
          <w:szCs w:val="28"/>
        </w:rPr>
      </w:r>
      <w:r/>
    </w:p>
    <w:p>
      <w:pPr>
        <w:pStyle w:val="1437"/>
        <w:ind w:firstLine="518"/>
        <w:spacing w:before="0" w:beforeAutospacing="0" w:after="0" w:afterAutospacing="0" w:line="560" w:lineRule="exact"/>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（4）</w:t>
      </w:r>
      <w:r>
        <w:rPr>
          <w:rFonts w:ascii="仿宋" w:hAnsi="仿宋" w:eastAsia="仿宋"/>
          <w:color w:val="000000" w:themeColor="text1"/>
          <w:sz w:val="28"/>
          <w:szCs w:val="28"/>
        </w:rPr>
        <w:t xml:space="preserve">生物实验室56座</w:t>
      </w:r>
      <w:r>
        <w:rPr>
          <w:rFonts w:hint="eastAsia" w:ascii="仿宋" w:hAnsi="仿宋" w:eastAsia="仿宋"/>
          <w:color w:val="000000" w:themeColor="text1"/>
          <w:sz w:val="28"/>
          <w:szCs w:val="28"/>
        </w:rPr>
        <w:t xml:space="preserve">2间详细采购清单及技术参数</w:t>
      </w:r>
      <w:r/>
    </w:p>
    <w:tbl>
      <w:tblPr>
        <w:tblW w:w="9497" w:type="dxa"/>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15"/>
        <w:gridCol w:w="1470"/>
        <w:gridCol w:w="6095"/>
        <w:gridCol w:w="709"/>
        <w:gridCol w:w="708"/>
      </w:tblGrid>
      <w:tr>
        <w:trPr>
          <w:trHeight w:val="800"/>
        </w:trPr>
        <w:tc>
          <w:tcPr>
            <w:gridSpan w:val="5"/>
            <w:tcW w:w="9497" w:type="dxa"/>
            <w:vAlign w:val="center"/>
            <w:textDirection w:val="lrTb"/>
            <w:noWrap w:val="false"/>
          </w:tcPr>
          <w:p>
            <w:pPr>
              <w:jc w:val="left"/>
              <w:widowControl/>
              <w:rPr>
                <w:rFonts w:hint="eastAsia" w:ascii="仿宋" w:hAnsi="仿宋" w:eastAsia="仿宋" w:cs="宋体"/>
                <w:color w:val="000000" w:themeColor="text1"/>
                <w:sz w:val="24"/>
                <w:szCs w:val="24"/>
              </w:rPr>
            </w:pPr>
            <w:r/>
            <w:bookmarkStart w:id="47" w:name="OLE_LINK17"/>
            <w:r>
              <w:rPr>
                <w:rFonts w:ascii="仿宋" w:hAnsi="仿宋" w:eastAsia="仿宋" w:cs="宋体"/>
                <w:color w:val="000000" w:themeColor="text1"/>
                <w:sz w:val="24"/>
                <w:szCs w:val="24"/>
              </w:rPr>
              <w:t xml:space="preserve">生物实验室</w:t>
            </w:r>
            <w:bookmarkEnd w:id="47"/>
            <w:r>
              <w:rPr>
                <w:rFonts w:ascii="仿宋" w:hAnsi="仿宋" w:eastAsia="仿宋" w:cs="宋体"/>
                <w:color w:val="000000" w:themeColor="text1"/>
                <w:sz w:val="24"/>
                <w:szCs w:val="24"/>
              </w:rPr>
              <w:t xml:space="preserve">56座</w:t>
            </w:r>
            <w:r/>
          </w:p>
        </w:tc>
      </w:tr>
      <w:tr>
        <w:trPr>
          <w:trHeight w:val="800"/>
        </w:trPr>
        <w:tc>
          <w:tcPr>
            <w:shd w:val="clear" w:color="000000" w:fill="ffffff"/>
            <w:tcW w:w="515" w:type="dxa"/>
            <w:vAlign w:val="center"/>
            <w:textDirection w:val="lrTb"/>
            <w:noWrap w:val="false"/>
          </w:tcPr>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序号</w:t>
            </w:r>
            <w:r/>
          </w:p>
        </w:tc>
        <w:tc>
          <w:tcPr>
            <w:shd w:val="clear" w:color="000000" w:fill="ffffff"/>
            <w:tcW w:w="1470" w:type="dxa"/>
            <w:vAlign w:val="center"/>
            <w:textDirection w:val="lrTb"/>
            <w:noWrap w:val="false"/>
          </w:tcPr>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设备名称</w:t>
            </w:r>
            <w:r/>
          </w:p>
        </w:tc>
        <w:tc>
          <w:tcPr>
            <w:shd w:val="clear" w:color="000000" w:fill="ffffff"/>
            <w:tcW w:w="6095" w:type="dxa"/>
            <w:vAlign w:val="center"/>
            <w:textDirection w:val="lrTb"/>
            <w:noWrap w:val="false"/>
          </w:tcPr>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技术参数</w:t>
            </w:r>
            <w:r/>
          </w:p>
        </w:tc>
        <w:tc>
          <w:tcPr>
            <w:shd w:val="clear" w:color="000000" w:fill="ffffff"/>
            <w:tcW w:w="709" w:type="dxa"/>
            <w:vAlign w:val="center"/>
            <w:textDirection w:val="lrTb"/>
            <w:noWrap w:val="false"/>
          </w:tcPr>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单位</w:t>
            </w:r>
            <w:r/>
          </w:p>
        </w:tc>
        <w:tc>
          <w:tcPr>
            <w:shd w:val="clear" w:color="000000" w:fill="ffffff"/>
            <w:tcW w:w="708" w:type="dxa"/>
            <w:vAlign w:val="center"/>
            <w:textDirection w:val="lrTb"/>
            <w:noWrap w:val="false"/>
          </w:tcPr>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数量</w:t>
            </w:r>
            <w:r/>
          </w:p>
        </w:tc>
      </w:tr>
      <w:tr>
        <w:trPr>
          <w:trHeight w:val="5064"/>
        </w:trPr>
        <w:tc>
          <w:tcPr>
            <w:tcW w:w="515" w:type="dxa"/>
            <w:vAlign w:val="center"/>
            <w:textDirection w:val="lrTb"/>
            <w:noWrap w:val="false"/>
          </w:tcPr>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1</w:t>
            </w:r>
            <w:r/>
          </w:p>
        </w:tc>
        <w:tc>
          <w:tcPr>
            <w:tcW w:w="1470" w:type="dxa"/>
            <w:vAlign w:val="center"/>
            <w:textDirection w:val="lrTb"/>
            <w:noWrap w:val="false"/>
          </w:tcPr>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教师演示台</w:t>
            </w:r>
            <w:r/>
          </w:p>
        </w:tc>
        <w:tc>
          <w:tcPr>
            <w:tcW w:w="6095" w:type="dxa"/>
            <w:vAlign w:val="center"/>
            <w:textDirection w:val="lrTb"/>
            <w:noWrap w:val="false"/>
          </w:tcPr>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1.</w:t>
            </w:r>
            <w:r>
              <w:rPr>
                <w:rFonts w:ascii="仿宋" w:hAnsi="仿宋" w:eastAsia="仿宋" w:cs="宋体"/>
                <w:color w:val="000000" w:themeColor="text1"/>
                <w:sz w:val="24"/>
                <w:szCs w:val="24"/>
              </w:rPr>
              <w:t xml:space="preserve">规格：2400×700×850mm</w:t>
            </w:r>
            <w:r>
              <w:rPr>
                <w:rFonts w:ascii="仿宋" w:hAnsi="仿宋" w:eastAsia="仿宋" w:cs="宋体"/>
                <w:color w:val="000000" w:themeColor="text1"/>
                <w:sz w:val="24"/>
                <w:szCs w:val="24"/>
              </w:rPr>
              <w:br w:type="page" w:clear="all"/>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2.</w:t>
            </w:r>
            <w:r>
              <w:rPr>
                <w:rFonts w:ascii="仿宋" w:hAnsi="仿宋" w:eastAsia="仿宋" w:cs="宋体"/>
                <w:color w:val="000000" w:themeColor="text1"/>
                <w:sz w:val="24"/>
                <w:szCs w:val="24"/>
              </w:rPr>
              <w:t xml:space="preserve">★台面：采用25mm厚金属树脂高能理化板，且满足如下参数要求：</w:t>
            </w:r>
            <w:r>
              <w:rPr>
                <w:rFonts w:ascii="仿宋" w:hAnsi="仿宋" w:eastAsia="仿宋" w:cs="宋体"/>
                <w:color w:val="000000" w:themeColor="text1"/>
                <w:sz w:val="24"/>
                <w:szCs w:val="24"/>
              </w:rPr>
              <w:br w:type="page" w:clear="all"/>
            </w:r>
            <w:r/>
          </w:p>
          <w:p>
            <w:pP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（1）化学性能检测：台面依据GB/T 17657-2022 《人造板及饰面人造板理化性能试验方法》标准，耐污染性能不少于130项试验污染物的检测，且包含：98%硫酸、65%硝酸、40%氢氧化钠、37%盐酸、石脑油、苯酚等试剂，覆盖玻璃盖板和未覆盖玻璃盖板检验结果均为5级：无明显变化。</w:t>
            </w:r>
            <w:r/>
          </w:p>
          <w:p>
            <w:pP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br w:type="page" w:clear="all"/>
              <w:t xml:space="preserve">（2）物理性能检测：台面依据GB/T 17657-2022 《人造板及饰面人造板理化性能试验方法》标准，满足：弹性模量≥9700MPa； 含水率：≤0.9%；尺寸稳定性：横向≤0.11%、纵向≤0.08%；表面耐磨性能：≥1200r,未出现磨损点;表面耐湿热性能：五级：无明显变化；浸渍剥离性能：贴面层与基材之间的胶层无剥离和分层现象；耐光色牢度性能:&gt;4级;漆膜附着力：六级：切割边缘完全平滑，网格内无脱落等不低于16项检测。</w:t>
            </w:r>
            <w:r>
              <w:rPr>
                <w:rFonts w:ascii="仿宋" w:hAnsi="仿宋" w:eastAsia="仿宋" w:cs="宋体"/>
                <w:color w:val="000000" w:themeColor="text1"/>
                <w:sz w:val="24"/>
                <w:szCs w:val="24"/>
              </w:rPr>
              <w:br w:type="page" w:clear="all"/>
            </w:r>
            <w:r/>
          </w:p>
          <w:p>
            <w:pP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（3）环保性能检测：台面依据GB 18580-2017《室内装饰装修材料人造板及其制品中甲醛释放限量》标准，满足甲醛释放量&lt;0.005 mg/M3；同时台面参照GB 18584-2001《室内装饰装修</w:t>
            </w:r>
            <w:r>
              <w:rPr>
                <w:rFonts w:ascii="仿宋" w:hAnsi="仿宋" w:eastAsia="仿宋" w:cs="宋体"/>
                <w:color w:val="000000" w:themeColor="text1"/>
                <w:sz w:val="24"/>
                <w:szCs w:val="24"/>
              </w:rPr>
              <w:t xml:space="preserve">材料木家具中有害物质限量》标准，满足4种重金属含量mg/kg（可溶性铅≤2.2、镉：≤0.1、铬≤0.2、汞：未检出）。</w:t>
            </w:r>
            <w:r/>
          </w:p>
          <w:p>
            <w:pP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br w:type="page" w:clear="all"/>
              <w:t xml:space="preserve">（4）抗菌性能检测：台面依据JC/T2039-2010标准，满足：大肠杆菌、金黄色葡萄球菌、肺炎克雷伯氏菌、鼠伤寒沙门氏菌、表皮葡萄球菌、铜绿假单胞菌、宋氏志贺氏菌、白色葡萄球菌、粪肠球菌；耐甲氧西林金黄色葡萄球菌、单核细胞增生李斯特氏菌、变异库克菌、溶血性链球菌等不少于 13 种的菌种检测，且抗菌率≥95%。</w:t>
            </w:r>
            <w:r>
              <w:rPr>
                <w:rFonts w:ascii="仿宋" w:hAnsi="仿宋" w:eastAsia="仿宋" w:cs="宋体"/>
                <w:color w:val="000000" w:themeColor="text1"/>
                <w:sz w:val="24"/>
                <w:szCs w:val="24"/>
              </w:rPr>
              <w:br w:type="page" w:clear="all"/>
            </w:r>
            <w:r/>
          </w:p>
          <w:p>
            <w:pP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（5）防霉性能检测：台面依据JC/T2039-2010标准，满足：黑曲霉、土曲霉、球毛壳霉、宛氏拟青霉、绳状青霉、出芽短梗霉等不少于10种的霉菌检测，且防霉等级为0级。</w:t>
            </w:r>
            <w:r>
              <w:rPr>
                <w:rFonts w:ascii="仿宋" w:hAnsi="仿宋" w:eastAsia="仿宋" w:cs="宋体"/>
                <w:color w:val="000000" w:themeColor="text1"/>
                <w:sz w:val="24"/>
                <w:szCs w:val="24"/>
              </w:rPr>
              <w:br w:type="page" w:clear="all"/>
            </w:r>
            <w:r/>
          </w:p>
          <w:p>
            <w:pP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（6）燃烧性能检测：台面依据GB/T 2408-2021《塑料 燃烧性能的测定 水平法和垂直法》标准，满足：水平燃烧符合HB级；垂直燃烧符合V-0级；台面参照GB8624-2012《建筑材料及制品燃烧性能分级》标准，满足：燃烧性能等级B1级；产烟特性等级S1级；燃烧滴落物/微粒等级d0级。</w:t>
            </w:r>
            <w:r>
              <w:rPr>
                <w:rFonts w:ascii="仿宋" w:hAnsi="仿宋" w:eastAsia="仿宋" w:cs="宋体"/>
                <w:color w:val="000000" w:themeColor="text1"/>
                <w:sz w:val="24"/>
                <w:szCs w:val="24"/>
              </w:rPr>
              <w:br w:type="page" w:clear="all"/>
            </w:r>
            <w:r/>
          </w:p>
          <w:p>
            <w:pP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（7）抗老化性检测：台面依据GB/T24508-2020标准：48小时无开裂、无鼓泡、无粉化。</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以上（1）-（7）</w:t>
            </w:r>
            <w:r>
              <w:rPr>
                <w:rFonts w:ascii="仿宋" w:hAnsi="仿宋" w:eastAsia="仿宋" w:cs="宋体"/>
                <w:color w:val="000000" w:themeColor="text1"/>
                <w:sz w:val="24"/>
                <w:szCs w:val="24"/>
              </w:rPr>
              <w:t xml:space="preserve">投标人</w:t>
            </w:r>
            <w:r>
              <w:rPr>
                <w:rFonts w:hint="eastAsia" w:ascii="仿宋" w:hAnsi="仿宋" w:eastAsia="仿宋" w:cs="宋体"/>
                <w:color w:val="000000" w:themeColor="text1"/>
                <w:sz w:val="24"/>
                <w:szCs w:val="24"/>
              </w:rPr>
              <w:t xml:space="preserve">或产品</w:t>
            </w:r>
            <w:r>
              <w:rPr>
                <w:rFonts w:ascii="仿宋" w:hAnsi="仿宋" w:eastAsia="仿宋" w:cs="宋体"/>
                <w:color w:val="000000" w:themeColor="text1"/>
                <w:sz w:val="24"/>
                <w:szCs w:val="24"/>
              </w:rPr>
              <w:t xml:space="preserve">制造商</w:t>
            </w:r>
            <w:r>
              <w:rPr>
                <w:rFonts w:hint="eastAsia" w:ascii="仿宋" w:hAnsi="仿宋" w:eastAsia="仿宋" w:cs="宋体"/>
                <w:color w:val="000000" w:themeColor="text1"/>
                <w:sz w:val="24"/>
                <w:szCs w:val="24"/>
              </w:rPr>
              <w:t xml:space="preserve">需提供有效期内第三方权威机构出具的</w:t>
            </w:r>
            <w:r>
              <w:rPr>
                <w:rFonts w:ascii="仿宋" w:hAnsi="仿宋" w:eastAsia="仿宋" w:cs="宋体"/>
                <w:color w:val="000000" w:themeColor="text1"/>
                <w:sz w:val="24"/>
                <w:szCs w:val="24"/>
              </w:rPr>
              <w:t xml:space="preserve">检测报告</w:t>
            </w:r>
            <w:r>
              <w:rPr>
                <w:rFonts w:hint="eastAsia" w:ascii="仿宋" w:hAnsi="仿宋" w:eastAsia="仿宋" w:cs="宋体"/>
                <w:color w:val="000000" w:themeColor="text1"/>
                <w:sz w:val="24"/>
                <w:szCs w:val="24"/>
              </w:rPr>
              <w:t xml:space="preserve">原件扫描件</w:t>
            </w:r>
            <w:r>
              <w:rPr>
                <w:rFonts w:ascii="仿宋" w:hAnsi="仿宋" w:eastAsia="仿宋" w:cs="宋体"/>
                <w:color w:val="000000" w:themeColor="text1"/>
                <w:sz w:val="24"/>
                <w:szCs w:val="24"/>
              </w:rPr>
              <w:t xml:space="preserve">。</w:t>
            </w:r>
            <w:r/>
          </w:p>
          <w:p>
            <w:pP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br w:type="page" w:clear="all"/>
            </w:r>
            <w:r>
              <w:rPr>
                <w:rFonts w:hint="eastAsia" w:ascii="仿宋" w:hAnsi="仿宋" w:eastAsia="仿宋" w:cs="宋体"/>
                <w:color w:val="000000" w:themeColor="text1"/>
                <w:sz w:val="24"/>
                <w:szCs w:val="24"/>
              </w:rPr>
              <w:t xml:space="preserve">3.</w:t>
            </w:r>
            <w:r>
              <w:rPr>
                <w:rFonts w:ascii="仿宋" w:hAnsi="仿宋" w:eastAsia="仿宋" w:cs="宋体"/>
                <w:color w:val="000000" w:themeColor="text1"/>
                <w:sz w:val="24"/>
                <w:szCs w:val="24"/>
              </w:rPr>
              <w:t xml:space="preserve">结构：全钢独立柜体结构，无需安装；演示台设有储物柜，中间为演示台，设置电源主控系统、多媒体设备（主机、显示器、中控、功放、交换机）的位置预留。</w:t>
            </w:r>
            <w:r/>
          </w:p>
          <w:p>
            <w:pP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br w:type="page" w:clear="all"/>
            </w:r>
            <w:r>
              <w:rPr>
                <w:rFonts w:hint="eastAsia" w:ascii="仿宋" w:hAnsi="仿宋" w:eastAsia="仿宋" w:cs="宋体"/>
                <w:color w:val="000000" w:themeColor="text1"/>
                <w:sz w:val="24"/>
                <w:szCs w:val="24"/>
              </w:rPr>
              <w:t xml:space="preserve">4.</w:t>
            </w:r>
            <w:r>
              <w:rPr>
                <w:rFonts w:ascii="仿宋" w:hAnsi="仿宋" w:eastAsia="仿宋" w:cs="宋体"/>
                <w:color w:val="000000" w:themeColor="text1"/>
                <w:sz w:val="24"/>
                <w:szCs w:val="24"/>
              </w:rPr>
              <w:t xml:space="preserve">柜身主体背板、吊板及所有板材均采用采用1.0优质一级冷轧钢板（SPCCT）经CNC机压成型，满焊无缝焊接工艺，表面经磷化、环氧树脂静电粉末涂装处理。</w:t>
            </w:r>
            <w:r/>
          </w:p>
          <w:p>
            <w:pP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br w:type="page" w:clear="all"/>
            </w:r>
            <w:r>
              <w:rPr>
                <w:rFonts w:hint="eastAsia" w:ascii="仿宋" w:hAnsi="仿宋" w:eastAsia="仿宋" w:cs="宋体"/>
                <w:color w:val="000000" w:themeColor="text1"/>
                <w:sz w:val="24"/>
                <w:szCs w:val="24"/>
              </w:rPr>
              <w:t xml:space="preserve">5.</w:t>
            </w:r>
            <w:r>
              <w:rPr>
                <w:rFonts w:ascii="仿宋" w:hAnsi="仿宋" w:eastAsia="仿宋" w:cs="宋体"/>
                <w:color w:val="000000" w:themeColor="text1"/>
                <w:sz w:val="24"/>
                <w:szCs w:val="24"/>
              </w:rPr>
              <w:t xml:space="preserve">柜门：双包结构。</w:t>
            </w:r>
            <w:r/>
          </w:p>
          <w:p>
            <w:pP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br w:type="page" w:clear="all"/>
            </w:r>
            <w:r>
              <w:rPr>
                <w:rFonts w:hint="eastAsia" w:ascii="仿宋" w:hAnsi="仿宋" w:eastAsia="仿宋" w:cs="宋体"/>
                <w:color w:val="000000" w:themeColor="text1"/>
                <w:sz w:val="24"/>
                <w:szCs w:val="24"/>
              </w:rPr>
              <w:t xml:space="preserve">6.</w:t>
            </w:r>
            <w:r>
              <w:rPr>
                <w:rFonts w:ascii="仿宋" w:hAnsi="仿宋" w:eastAsia="仿宋" w:cs="宋体"/>
                <w:color w:val="000000" w:themeColor="text1"/>
                <w:sz w:val="24"/>
                <w:szCs w:val="24"/>
              </w:rPr>
              <w:t xml:space="preserve">门铰：采用锌合金铰链。自闭式，与柜体面水平角度&lt;15度时，柜门即可自行关闭，使用过程中无噪音，可开关十万次。</w:t>
            </w:r>
            <w:r/>
          </w:p>
          <w:p>
            <w:pP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br w:type="page" w:clear="all"/>
            </w:r>
            <w:r>
              <w:rPr>
                <w:rFonts w:hint="eastAsia" w:ascii="仿宋" w:hAnsi="仿宋" w:eastAsia="仿宋" w:cs="宋体"/>
                <w:color w:val="000000" w:themeColor="text1"/>
                <w:sz w:val="24"/>
                <w:szCs w:val="24"/>
              </w:rPr>
              <w:t xml:space="preserve">7.</w:t>
            </w:r>
            <w:r>
              <w:rPr>
                <w:rFonts w:ascii="仿宋" w:hAnsi="仿宋" w:eastAsia="仿宋" w:cs="宋体"/>
                <w:color w:val="000000" w:themeColor="text1"/>
                <w:sz w:val="24"/>
                <w:szCs w:val="24"/>
              </w:rPr>
              <w:t xml:space="preserve">滑轨：三节静音滑轨，承重性强、滑动性能良好、无噪音开合十万次不变形。</w:t>
            </w:r>
            <w:r/>
          </w:p>
          <w:p>
            <w:pP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br w:type="page" w:clear="all"/>
            </w:r>
            <w:r>
              <w:rPr>
                <w:rFonts w:hint="eastAsia" w:ascii="仿宋" w:hAnsi="仿宋" w:eastAsia="仿宋" w:cs="宋体"/>
                <w:color w:val="000000" w:themeColor="text1"/>
                <w:sz w:val="24"/>
                <w:szCs w:val="24"/>
              </w:rPr>
              <w:t xml:space="preserve">8.</w:t>
            </w:r>
            <w:r>
              <w:rPr>
                <w:rFonts w:ascii="仿宋" w:hAnsi="仿宋" w:eastAsia="仿宋" w:cs="宋体"/>
                <w:color w:val="000000" w:themeColor="text1"/>
                <w:sz w:val="24"/>
                <w:szCs w:val="24"/>
              </w:rPr>
              <w:t xml:space="preserve">拉手：一字内隐藏拉手，与门板抽屉连为一体，造型独特美观。</w:t>
            </w:r>
            <w:r/>
          </w:p>
          <w:p>
            <w:pP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br w:type="page" w:clear="all"/>
            </w:r>
            <w:r>
              <w:rPr>
                <w:rFonts w:hint="eastAsia" w:ascii="仿宋" w:hAnsi="仿宋" w:eastAsia="仿宋" w:cs="宋体"/>
                <w:color w:val="000000" w:themeColor="text1"/>
                <w:sz w:val="24"/>
                <w:szCs w:val="24"/>
              </w:rPr>
              <w:t xml:space="preserve">9.</w:t>
            </w:r>
            <w:r>
              <w:rPr>
                <w:rFonts w:ascii="仿宋" w:hAnsi="仿宋" w:eastAsia="仿宋" w:cs="宋体"/>
                <w:color w:val="000000" w:themeColor="text1"/>
                <w:sz w:val="24"/>
                <w:szCs w:val="24"/>
              </w:rPr>
              <w:t xml:space="preserve">脚垫：ABS注塑专用垫，具有高度可调、耐磨、防潮、耐腐蚀等特点。</w:t>
            </w:r>
            <w:r/>
          </w:p>
          <w:p>
            <w:pPr>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br w:type="page" w:clear="all"/>
            </w:r>
            <w:r>
              <w:rPr>
                <w:rFonts w:hint="eastAsia" w:ascii="仿宋" w:hAnsi="仿宋" w:eastAsia="仿宋" w:cs="宋体"/>
                <w:color w:val="000000" w:themeColor="text1"/>
                <w:sz w:val="24"/>
                <w:szCs w:val="24"/>
              </w:rPr>
              <w:t xml:space="preserve">10.</w:t>
            </w:r>
            <w:r>
              <w:rPr>
                <w:rFonts w:ascii="仿宋" w:hAnsi="仿宋" w:eastAsia="仿宋" w:cs="宋体"/>
                <w:color w:val="000000" w:themeColor="text1"/>
                <w:sz w:val="24"/>
                <w:szCs w:val="24"/>
              </w:rPr>
              <w:t xml:space="preserve">抽屉下垂度≤20，抽屉摆动度≤15；</w:t>
            </w:r>
            <w:r/>
          </w:p>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br w:type="page" w:clear="all"/>
            </w:r>
            <w:r>
              <w:rPr>
                <w:rFonts w:hint="eastAsia" w:ascii="仿宋" w:hAnsi="仿宋" w:eastAsia="仿宋" w:cs="宋体"/>
                <w:color w:val="000000" w:themeColor="text1"/>
                <w:sz w:val="24"/>
                <w:szCs w:val="24"/>
              </w:rPr>
              <w:t xml:space="preserve">11.</w:t>
            </w:r>
            <w:r>
              <w:rPr>
                <w:rFonts w:ascii="仿宋" w:hAnsi="仿宋" w:eastAsia="仿宋" w:cs="宋体"/>
                <w:color w:val="000000" w:themeColor="text1"/>
                <w:sz w:val="24"/>
                <w:szCs w:val="24"/>
              </w:rPr>
              <w:t xml:space="preserve">金属喷漆（塑）涂层理化性能：硬度：≥H,冲击强度：冲击高度400MM，无剥落、裂纹、皱纹；耐腐蚀：100h后，无锈迹、剥落、起皱、变色和失光等现象；</w:t>
            </w:r>
            <w:r/>
          </w:p>
        </w:tc>
        <w:tc>
          <w:tcPr>
            <w:tcW w:w="709" w:type="dxa"/>
            <w:vAlign w:val="center"/>
            <w:textDirection w:val="lrTb"/>
            <w:noWrap w:val="false"/>
          </w:tcPr>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张</w:t>
            </w:r>
            <w:r/>
          </w:p>
        </w:tc>
        <w:tc>
          <w:tcPr>
            <w:tcW w:w="708" w:type="dxa"/>
            <w:vAlign w:val="center"/>
            <w:textDirection w:val="lrTb"/>
            <w:noWrap w:val="false"/>
          </w:tcPr>
          <w:p>
            <w:pPr>
              <w:jc w:val="left"/>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2</w:t>
            </w:r>
            <w:r/>
          </w:p>
        </w:tc>
      </w:tr>
      <w:tr>
        <w:trPr>
          <w:trHeight w:val="560"/>
        </w:trPr>
        <w:tc>
          <w:tcPr>
            <w:tcW w:w="515" w:type="dxa"/>
            <w:vAlign w:val="center"/>
            <w:textDirection w:val="lrTb"/>
            <w:noWrap w:val="false"/>
          </w:tcPr>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2</w:t>
            </w:r>
            <w:r/>
          </w:p>
        </w:tc>
        <w:tc>
          <w:tcPr>
            <w:tcW w:w="1470" w:type="dxa"/>
            <w:vAlign w:val="center"/>
            <w:textDirection w:val="lrTb"/>
            <w:noWrap w:val="false"/>
          </w:tcPr>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教师水槽</w:t>
            </w:r>
            <w:r/>
          </w:p>
        </w:tc>
        <w:tc>
          <w:tcPr>
            <w:tcW w:w="6095" w:type="dxa"/>
            <w:vAlign w:val="center"/>
            <w:textDirection w:val="lrTb"/>
            <w:noWrap w:val="false"/>
          </w:tcPr>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规格（长×宽×高）：≥440×350×270mm；</w:t>
            </w:r>
            <w:r>
              <w:rPr>
                <w:rFonts w:ascii="仿宋" w:hAnsi="仿宋" w:eastAsia="仿宋" w:cs="宋体"/>
                <w:color w:val="000000" w:themeColor="text1"/>
                <w:sz w:val="24"/>
                <w:szCs w:val="24"/>
              </w:rPr>
              <w:br/>
              <w:t xml:space="preserve">采用高密度水槽，PP材料一体成型，防酸碱、耐有机溶剂。</w:t>
            </w:r>
            <w:r/>
          </w:p>
        </w:tc>
        <w:tc>
          <w:tcPr>
            <w:tcW w:w="709" w:type="dxa"/>
            <w:vAlign w:val="center"/>
            <w:textDirection w:val="lrTb"/>
            <w:noWrap w:val="false"/>
          </w:tcPr>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个</w:t>
            </w:r>
            <w:r/>
          </w:p>
        </w:tc>
        <w:tc>
          <w:tcPr>
            <w:tcW w:w="708" w:type="dxa"/>
            <w:vAlign w:val="center"/>
            <w:textDirection w:val="lrTb"/>
            <w:noWrap w:val="false"/>
          </w:tcPr>
          <w:p>
            <w:pPr>
              <w:jc w:val="left"/>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2</w:t>
            </w:r>
            <w:r/>
          </w:p>
        </w:tc>
      </w:tr>
      <w:tr>
        <w:trPr>
          <w:trHeight w:val="2338"/>
        </w:trPr>
        <w:tc>
          <w:tcPr>
            <w:tcW w:w="515" w:type="dxa"/>
            <w:vAlign w:val="center"/>
            <w:textDirection w:val="lrTb"/>
            <w:noWrap w:val="false"/>
          </w:tcPr>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3</w:t>
            </w:r>
            <w:r/>
          </w:p>
        </w:tc>
        <w:tc>
          <w:tcPr>
            <w:tcW w:w="1470" w:type="dxa"/>
            <w:vAlign w:val="center"/>
            <w:textDirection w:val="lrTb"/>
            <w:noWrap w:val="false"/>
          </w:tcPr>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三联水嘴</w:t>
            </w:r>
            <w:r/>
          </w:p>
        </w:tc>
        <w:tc>
          <w:tcPr>
            <w:tcW w:w="6095" w:type="dxa"/>
            <w:vAlign w:val="center"/>
            <w:textDirection w:val="lrTb"/>
            <w:noWrap w:val="false"/>
          </w:tcPr>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1.高度 640mm。</w:t>
            </w:r>
            <w:r>
              <w:rPr>
                <w:rFonts w:ascii="仿宋" w:hAnsi="仿宋" w:eastAsia="仿宋" w:cs="宋体"/>
                <w:color w:val="000000" w:themeColor="text1"/>
                <w:sz w:val="24"/>
                <w:szCs w:val="24"/>
              </w:rPr>
              <w:br w:type="page" w:clear="all"/>
              <w:t xml:space="preserve">2.主体：采用</w:t>
            </w:r>
            <w:r>
              <w:rPr>
                <w:rFonts w:ascii="Calibri" w:hAnsi="Calibri" w:eastAsia="仿宋" w:cs="Calibri"/>
                <w:color w:val="000000" w:themeColor="text1"/>
                <w:sz w:val="24"/>
                <w:szCs w:val="24"/>
              </w:rPr>
              <w:t xml:space="preserve">ø</w:t>
            </w:r>
            <w:r>
              <w:rPr>
                <w:rFonts w:ascii="仿宋" w:hAnsi="仿宋" w:eastAsia="仿宋" w:cs="宋体"/>
                <w:color w:val="000000" w:themeColor="text1"/>
                <w:sz w:val="24"/>
                <w:szCs w:val="24"/>
              </w:rPr>
              <w:t xml:space="preserve">22*2.3mm的黄铜制造。</w:t>
            </w:r>
            <w:r>
              <w:rPr>
                <w:rFonts w:ascii="仿宋" w:hAnsi="仿宋" w:eastAsia="仿宋" w:cs="宋体"/>
                <w:color w:val="000000" w:themeColor="text1"/>
                <w:sz w:val="24"/>
                <w:szCs w:val="24"/>
              </w:rPr>
              <w:br w:type="page" w:clear="all"/>
              <w:t xml:space="preserve">3.进水管：采用</w:t>
            </w:r>
            <w:r>
              <w:rPr>
                <w:rFonts w:ascii="Calibri" w:hAnsi="Calibri" w:eastAsia="仿宋" w:cs="Calibri"/>
                <w:color w:val="000000" w:themeColor="text1"/>
                <w:sz w:val="24"/>
                <w:szCs w:val="24"/>
              </w:rPr>
              <w:t xml:space="preserve">ø</w:t>
            </w:r>
            <w:r>
              <w:rPr>
                <w:rFonts w:ascii="仿宋" w:hAnsi="仿宋" w:eastAsia="仿宋" w:cs="宋体"/>
                <w:color w:val="000000" w:themeColor="text1"/>
                <w:sz w:val="24"/>
                <w:szCs w:val="24"/>
              </w:rPr>
              <w:t xml:space="preserve">22*1.3 mm管径的不锈钢制造。</w:t>
            </w:r>
            <w:r>
              <w:rPr>
                <w:rFonts w:ascii="仿宋" w:hAnsi="仿宋" w:eastAsia="仿宋" w:cs="宋体"/>
                <w:color w:val="000000" w:themeColor="text1"/>
                <w:sz w:val="24"/>
                <w:szCs w:val="24"/>
              </w:rPr>
              <w:br w:type="page" w:clear="all"/>
              <w:t xml:space="preserve">4.出水管：采用</w:t>
            </w:r>
            <w:r>
              <w:rPr>
                <w:rFonts w:ascii="Calibri" w:hAnsi="Calibri" w:eastAsia="仿宋" w:cs="Calibri"/>
                <w:color w:val="000000" w:themeColor="text1"/>
                <w:sz w:val="24"/>
                <w:szCs w:val="24"/>
              </w:rPr>
              <w:t xml:space="preserve">ø</w:t>
            </w:r>
            <w:r>
              <w:rPr>
                <w:rFonts w:ascii="仿宋" w:hAnsi="仿宋" w:eastAsia="仿宋" w:cs="宋体"/>
                <w:color w:val="000000" w:themeColor="text1"/>
                <w:sz w:val="24"/>
                <w:szCs w:val="24"/>
              </w:rPr>
              <w:t xml:space="preserve">15*1 mm 管径的不锈钢制造。</w:t>
            </w:r>
            <w:r>
              <w:rPr>
                <w:rFonts w:ascii="仿宋" w:hAnsi="仿宋" w:eastAsia="仿宋" w:cs="宋体"/>
                <w:color w:val="000000" w:themeColor="text1"/>
                <w:sz w:val="24"/>
                <w:szCs w:val="24"/>
              </w:rPr>
              <w:br w:type="page" w:clear="all"/>
              <w:t xml:space="preserve">5.涂层: 涂层经亚光环氧树脂耐酸碱粉末涂料热固处理，耐腐蚀、耐热，防紫外线辐射。</w:t>
            </w:r>
            <w:r>
              <w:rPr>
                <w:rFonts w:ascii="仿宋" w:hAnsi="仿宋" w:eastAsia="仿宋" w:cs="宋体"/>
                <w:color w:val="000000" w:themeColor="text1"/>
                <w:sz w:val="24"/>
                <w:szCs w:val="24"/>
              </w:rPr>
              <w:br w:type="page" w:clear="all"/>
              <w:t xml:space="preserve">6.陶瓷阀芯: 90°旋转，使用寿命开关要求达到50万次，静态最大耐压10 bar。</w:t>
            </w:r>
            <w:r>
              <w:rPr>
                <w:rFonts w:ascii="仿宋" w:hAnsi="仿宋" w:eastAsia="仿宋" w:cs="宋体"/>
                <w:color w:val="000000" w:themeColor="text1"/>
                <w:sz w:val="24"/>
                <w:szCs w:val="24"/>
              </w:rPr>
              <w:br w:type="page" w:clear="all"/>
              <w:t xml:space="preserve">7.开关旋钮: 高密度PP，人体工学设计，手感舒适。</w:t>
            </w:r>
            <w:r/>
          </w:p>
        </w:tc>
        <w:tc>
          <w:tcPr>
            <w:tcW w:w="709" w:type="dxa"/>
            <w:vAlign w:val="center"/>
            <w:textDirection w:val="lrTb"/>
            <w:noWrap w:val="false"/>
          </w:tcPr>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个</w:t>
            </w:r>
            <w:r/>
          </w:p>
        </w:tc>
        <w:tc>
          <w:tcPr>
            <w:tcW w:w="708" w:type="dxa"/>
            <w:vAlign w:val="center"/>
            <w:textDirection w:val="lrTb"/>
            <w:noWrap w:val="false"/>
          </w:tcPr>
          <w:p>
            <w:pPr>
              <w:jc w:val="left"/>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2</w:t>
            </w:r>
            <w:r/>
          </w:p>
        </w:tc>
      </w:tr>
      <w:tr>
        <w:trPr>
          <w:trHeight w:val="2400"/>
        </w:trPr>
        <w:tc>
          <w:tcPr>
            <w:tcW w:w="515" w:type="dxa"/>
            <w:vAlign w:val="center"/>
            <w:textDirection w:val="lrTb"/>
            <w:noWrap w:val="false"/>
          </w:tcPr>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4</w:t>
            </w:r>
            <w:r/>
          </w:p>
        </w:tc>
        <w:tc>
          <w:tcPr>
            <w:tcW w:w="1470" w:type="dxa"/>
            <w:vAlign w:val="center"/>
            <w:textDirection w:val="lrTb"/>
            <w:noWrap w:val="false"/>
          </w:tcPr>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教师椅</w:t>
            </w:r>
            <w:r/>
          </w:p>
        </w:tc>
        <w:tc>
          <w:tcPr>
            <w:tcW w:w="6095" w:type="dxa"/>
            <w:vAlign w:val="center"/>
            <w:textDirection w:val="lrTb"/>
            <w:noWrap w:val="false"/>
          </w:tcPr>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1.规格：≥500*600*1100-1300mm。</w:t>
            </w:r>
            <w:r>
              <w:rPr>
                <w:rFonts w:ascii="仿宋" w:hAnsi="仿宋" w:eastAsia="仿宋" w:cs="宋体"/>
                <w:color w:val="000000" w:themeColor="text1"/>
                <w:sz w:val="24"/>
                <w:szCs w:val="24"/>
              </w:rPr>
              <w:br/>
              <w:t xml:space="preserve">2.靠背带有可上下前后调节腰靠。椅面、靠背选用优质网布面料，透气性强、无异味，靠背可≥130度后仰。</w:t>
            </w:r>
            <w:r>
              <w:rPr>
                <w:rFonts w:ascii="仿宋" w:hAnsi="仿宋" w:eastAsia="仿宋" w:cs="宋体"/>
                <w:color w:val="000000" w:themeColor="text1"/>
                <w:sz w:val="24"/>
                <w:szCs w:val="24"/>
              </w:rPr>
              <w:br/>
              <w:t xml:space="preserve">3.带有可上下及俯仰角度调节头枕，上下调整高度≥15cm适配大范围主流身高。</w:t>
            </w:r>
            <w:r>
              <w:rPr>
                <w:rFonts w:ascii="仿宋" w:hAnsi="仿宋" w:eastAsia="仿宋" w:cs="宋体"/>
                <w:color w:val="000000" w:themeColor="text1"/>
                <w:sz w:val="24"/>
                <w:szCs w:val="24"/>
              </w:rPr>
              <w:br/>
            </w:r>
            <w:r>
              <w:rPr>
                <w:rFonts w:hint="eastAsia" w:ascii="仿宋" w:hAnsi="仿宋" w:eastAsia="仿宋" w:cs="宋体"/>
                <w:color w:val="000000" w:themeColor="text1"/>
                <w:sz w:val="24"/>
                <w:szCs w:val="24"/>
              </w:rPr>
              <w:t xml:space="preserve">4</w:t>
            </w:r>
            <w:r>
              <w:rPr>
                <w:rFonts w:ascii="仿宋" w:hAnsi="仿宋" w:eastAsia="仿宋" w:cs="宋体"/>
                <w:color w:val="000000" w:themeColor="text1"/>
                <w:sz w:val="24"/>
                <w:szCs w:val="24"/>
              </w:rPr>
              <w:t xml:space="preserve">.座垫采用高密度发泡成型棉，回弹性好、不易变形，不老化，依人体坐姿特别设计，符合人体工学。</w:t>
            </w:r>
            <w:r>
              <w:rPr>
                <w:rFonts w:ascii="仿宋" w:hAnsi="仿宋" w:eastAsia="仿宋" w:cs="宋体"/>
                <w:color w:val="000000" w:themeColor="text1"/>
                <w:sz w:val="24"/>
                <w:szCs w:val="24"/>
              </w:rPr>
              <w:br/>
            </w:r>
            <w:r>
              <w:rPr>
                <w:rFonts w:hint="eastAsia" w:ascii="仿宋" w:hAnsi="仿宋" w:eastAsia="仿宋" w:cs="宋体"/>
                <w:color w:val="000000" w:themeColor="text1"/>
                <w:sz w:val="24"/>
                <w:szCs w:val="24"/>
              </w:rPr>
              <w:t xml:space="preserve">5</w:t>
            </w:r>
            <w:r>
              <w:rPr>
                <w:rFonts w:ascii="仿宋" w:hAnsi="仿宋" w:eastAsia="仿宋" w:cs="宋体"/>
                <w:color w:val="000000" w:themeColor="text1"/>
                <w:sz w:val="24"/>
                <w:szCs w:val="24"/>
              </w:rPr>
              <w:t xml:space="preserve">.配有扶手，优质圆五星脚配活动脚轮，气压调节座位高度。</w:t>
            </w:r>
            <w:r/>
          </w:p>
        </w:tc>
        <w:tc>
          <w:tcPr>
            <w:tcW w:w="709" w:type="dxa"/>
            <w:vAlign w:val="center"/>
            <w:textDirection w:val="lrTb"/>
            <w:noWrap w:val="false"/>
          </w:tcPr>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个</w:t>
            </w:r>
            <w:r/>
          </w:p>
        </w:tc>
        <w:tc>
          <w:tcPr>
            <w:tcW w:w="708" w:type="dxa"/>
            <w:vAlign w:val="center"/>
            <w:textDirection w:val="lrTb"/>
            <w:noWrap w:val="false"/>
          </w:tcPr>
          <w:p>
            <w:pPr>
              <w:jc w:val="left"/>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2</w:t>
            </w:r>
            <w:r/>
          </w:p>
        </w:tc>
      </w:tr>
      <w:tr>
        <w:trPr>
          <w:trHeight w:val="840"/>
        </w:trPr>
        <w:tc>
          <w:tcPr>
            <w:tcW w:w="515" w:type="dxa"/>
            <w:vAlign w:val="center"/>
            <w:textDirection w:val="lrTb"/>
            <w:noWrap w:val="false"/>
          </w:tcPr>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5</w:t>
            </w:r>
            <w:r/>
          </w:p>
        </w:tc>
        <w:tc>
          <w:tcPr>
            <w:tcW w:w="1470" w:type="dxa"/>
            <w:vAlign w:val="center"/>
            <w:textDirection w:val="lrTb"/>
            <w:noWrap w:val="false"/>
          </w:tcPr>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洗眼器</w:t>
            </w:r>
            <w:r/>
          </w:p>
        </w:tc>
        <w:tc>
          <w:tcPr>
            <w:tcW w:w="6095" w:type="dxa"/>
            <w:vAlign w:val="center"/>
            <w:textDirection w:val="lrTb"/>
            <w:noWrap w:val="false"/>
          </w:tcPr>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单眼洗眼器，黄铜材质经高亮环氧树脂喷涂，耐腐蚀，耐热，PP材质，使用时自动被水冲开，供水软管1.5M软性PVC管外覆不锈钢网，外层包裹PD管，有效防止生锈，最大耐水压6巴。</w:t>
            </w:r>
            <w:r/>
          </w:p>
        </w:tc>
        <w:tc>
          <w:tcPr>
            <w:tcW w:w="709" w:type="dxa"/>
            <w:vAlign w:val="center"/>
            <w:textDirection w:val="lrTb"/>
            <w:noWrap w:val="false"/>
          </w:tcPr>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台</w:t>
            </w:r>
            <w:r/>
          </w:p>
        </w:tc>
        <w:tc>
          <w:tcPr>
            <w:tcW w:w="708" w:type="dxa"/>
            <w:vAlign w:val="center"/>
            <w:textDirection w:val="lrTb"/>
            <w:noWrap w:val="false"/>
          </w:tcPr>
          <w:p>
            <w:pPr>
              <w:jc w:val="left"/>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2</w:t>
            </w:r>
            <w:r/>
          </w:p>
        </w:tc>
      </w:tr>
      <w:tr>
        <w:trPr>
          <w:trHeight w:val="1960"/>
        </w:trPr>
        <w:tc>
          <w:tcPr>
            <w:tcW w:w="515" w:type="dxa"/>
            <w:vAlign w:val="center"/>
            <w:textDirection w:val="lrTb"/>
            <w:noWrap w:val="false"/>
          </w:tcPr>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6</w:t>
            </w:r>
            <w:r/>
          </w:p>
        </w:tc>
        <w:tc>
          <w:tcPr>
            <w:tcW w:w="1470" w:type="dxa"/>
            <w:vAlign w:val="center"/>
            <w:textDirection w:val="lrTb"/>
            <w:noWrap w:val="false"/>
          </w:tcPr>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实验室智能控制系统</w:t>
            </w:r>
            <w:r/>
          </w:p>
        </w:tc>
        <w:tc>
          <w:tcPr>
            <w:tcW w:w="6095" w:type="dxa"/>
            <w:vAlign w:val="center"/>
            <w:textDirection w:val="lrTb"/>
            <w:noWrap w:val="false"/>
          </w:tcPr>
          <w:p>
            <w:pPr>
              <w:jc w:val="left"/>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l、漏电保护开关、工作指示灯选用国产优质产品、220V交流输出插座(二、三插座)取用国产优质产品；</w:t>
            </w:r>
            <w:r/>
          </w:p>
          <w:p>
            <w:pPr>
              <w:jc w:val="left"/>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2、低压交流电源：0-30V可调(每档1V)，额定电流3A(短路、过载自动保护、自动复位)；轻触按键操作，数字键直接选取电压.数字表显示。</w:t>
            </w:r>
            <w:r/>
          </w:p>
          <w:p>
            <w:pPr>
              <w:jc w:val="left"/>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3、直流稳压电源：1.5-18V连续可调，额定电流2A，18v—30v额定电流1.5A，调压分辨率为0.1V.(短路、过载自动保护、自动复位)；轻触按键操作，数字键直接选取电压.数字表显示。</w:t>
            </w:r>
            <w:r/>
          </w:p>
          <w:p>
            <w:pPr>
              <w:jc w:val="left"/>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4、直流大电流输出：9V／40A；10秒自动断开。LED闪烁计时。</w:t>
            </w:r>
            <w:r/>
          </w:p>
          <w:p>
            <w:pPr>
              <w:jc w:val="left"/>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5.由教师控制学生实验台交流220V电源，每组由轻触覆膜开关控制，共分四组。</w:t>
            </w:r>
            <w:r/>
          </w:p>
          <w:p>
            <w:pPr>
              <w:jc w:val="left"/>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6.由教师统一控制学生实验台低压电源，交流每档2V,共15档。直流可以在控制范围内微调。根据选配的学生电源，教师机应具备锁定功能。锁定后学生不能自行调节，和教师保持同步。</w:t>
            </w:r>
            <w:r/>
          </w:p>
          <w:p>
            <w:pPr>
              <w:jc w:val="left"/>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7.可扩展密码开机，刷卡开机、指纹开机等开机方式。确保用电安全，方便管理。</w:t>
            </w:r>
            <w:r/>
          </w:p>
          <w:p>
            <w:pPr>
              <w:jc w:val="left"/>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8.主控面板配置风机控制，可控制风机的启停及矢量调速。</w:t>
            </w:r>
            <w:r/>
          </w:p>
        </w:tc>
        <w:tc>
          <w:tcPr>
            <w:tcW w:w="709" w:type="dxa"/>
            <w:vAlign w:val="center"/>
            <w:textDirection w:val="lrTb"/>
            <w:noWrap w:val="false"/>
          </w:tcPr>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台</w:t>
            </w:r>
            <w:r/>
          </w:p>
        </w:tc>
        <w:tc>
          <w:tcPr>
            <w:tcW w:w="708" w:type="dxa"/>
            <w:vAlign w:val="center"/>
            <w:textDirection w:val="lrTb"/>
            <w:noWrap w:val="false"/>
          </w:tcPr>
          <w:p>
            <w:pPr>
              <w:jc w:val="left"/>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2</w:t>
            </w:r>
            <w:r/>
          </w:p>
        </w:tc>
      </w:tr>
      <w:tr>
        <w:trPr>
          <w:trHeight w:val="2088"/>
        </w:trPr>
        <w:tc>
          <w:tcPr>
            <w:tcW w:w="515" w:type="dxa"/>
            <w:vAlign w:val="center"/>
            <w:textDirection w:val="lrTb"/>
            <w:noWrap w:val="false"/>
          </w:tcPr>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7</w:t>
            </w:r>
            <w:r/>
          </w:p>
        </w:tc>
        <w:tc>
          <w:tcPr>
            <w:tcW w:w="1470" w:type="dxa"/>
            <w:vAlign w:val="center"/>
            <w:textDirection w:val="lrTb"/>
            <w:noWrap w:val="false"/>
          </w:tcPr>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实验台</w:t>
            </w:r>
            <w:r/>
          </w:p>
        </w:tc>
        <w:tc>
          <w:tcPr>
            <w:tcW w:w="6095" w:type="dxa"/>
            <w:vAlign w:val="center"/>
            <w:textDirection w:val="lrTb"/>
            <w:noWrap w:val="false"/>
          </w:tcPr>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1、规格：1200*600*780</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★2、采用20mm厚无甲醛新型环保陶瓷台面，台面表面为实验室专业耐腐蚀、耐污染、抗冲击釉面。坯体一体实芯，釉面和坯体经高温一体烧结而成。</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(1)、外观要求：外观为五面坯体，表面釉面为烧成颜色；坯体敲碎后，无空洞、无直径2mm以上气泡、无杂色，为一体实芯坯体；釉面与坯体之间无脱层，釉面与坯体呈一体结构，釉面为烧成颜色，非坯体颜色。</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(2)耐化学腐蚀性能：为保证台面耐化学腐蚀的稳定性，台面耐化学腐蚀性不低于GLA级。</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(3)抗冲击性能：为保证台面使用的安全性，台面抗冲击性（恢复系数）不低于0.841。</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(4)防潮要求：为保证台面防潮、防霉的性能，参照GB/T4100-2015（陶瓷砖）附录G标准，台面吸水率测试平均值≤0.05％。</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(5)、放射性核素限量要求：参照GB6566-2010《建筑材料放射性核素限量》标准，检测结果：内照射指数≤0.4。</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(6)、颜色稳定性：为保证台面的美观度，参照GB/T17657-2022标准,耐光色牢度不低于4级。</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★以上（4）-（6）技术要求，需提供第三方权威检测机构出具的有效期内的检测报告。</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3、台身结构：新型塑铝结构，学生位镂空式，符合人体工程学设计，美观大方。</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桌身：由桌腿、立柱、大横梁、前横梁、中横梁、后横梁组成。</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桌腿：采用工字型压铸铝一次成型，三段链接。</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上腿规格：≥长590*宽55*高110mm，部分壁厚≥3.5mm，内侧设有凹槽。</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下腿规格：≥长540*宽55*高105mm，部分壁厚≥3.5mm，下脚正面设有塑料卡盖，组装完成后更加美观。</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立柱：采用≥120*55mm，壁厚≥2.0mm。立柱两端内部有2个铸铝成型的螺丝链接位。</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前横梁：≥37*30mm，壁厚≥1.5mm。中横梁：≥40*30mm，壁厚≥1.5mm。</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后横梁：≥37*30mm,壁厚≥1.5mm。后横梁上侧设50MM挡水板，防止物品滑落，挡水板两侧有塑料堵头圆角处理安全不刮伤。</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加强横支撑件：采用60*30mm椭圆管，壁厚≥1.5mm。表面经高压静电喷涂环氧树脂防护层，耐酸碱，耐腐蚀处理。</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4、书包斗:420*260*155MM，采用环保型PP材料一次性注塑成型，上面设计有可悬挂凳子的圆形孔，镂空独特造型，简洁时尚。两个书包斗中间设有电源盒，方便使用。产品特点：零甲醛、零污染、易擦洗、耐老化、环保、回收率高。  </w:t>
            </w:r>
            <w:r/>
          </w:p>
        </w:tc>
        <w:tc>
          <w:tcPr>
            <w:tcW w:w="709" w:type="dxa"/>
            <w:vAlign w:val="center"/>
            <w:textDirection w:val="lrTb"/>
            <w:noWrap w:val="false"/>
          </w:tcPr>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张</w:t>
            </w:r>
            <w:r/>
          </w:p>
        </w:tc>
        <w:tc>
          <w:tcPr>
            <w:tcW w:w="708" w:type="dxa"/>
            <w:vAlign w:val="center"/>
            <w:textDirection w:val="lrTb"/>
            <w:noWrap w:val="false"/>
          </w:tcPr>
          <w:p>
            <w:pPr>
              <w:jc w:val="left"/>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56</w:t>
            </w:r>
            <w:r/>
          </w:p>
        </w:tc>
      </w:tr>
      <w:tr>
        <w:trPr>
          <w:trHeight w:val="670"/>
        </w:trPr>
        <w:tc>
          <w:tcPr>
            <w:tcW w:w="515" w:type="dxa"/>
            <w:vAlign w:val="center"/>
            <w:textDirection w:val="lrTb"/>
            <w:noWrap w:val="false"/>
          </w:tcPr>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8</w:t>
            </w:r>
            <w:r/>
          </w:p>
        </w:tc>
        <w:tc>
          <w:tcPr>
            <w:tcW w:w="1470" w:type="dxa"/>
            <w:vAlign w:val="center"/>
            <w:textDirection w:val="lrTb"/>
            <w:noWrap w:val="false"/>
          </w:tcPr>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多功能柱</w:t>
            </w:r>
            <w:r/>
          </w:p>
        </w:tc>
        <w:tc>
          <w:tcPr>
            <w:tcW w:w="6095" w:type="dxa"/>
            <w:vAlign w:val="center"/>
            <w:textDirection w:val="lrTb"/>
            <w:noWrap w:val="false"/>
          </w:tcPr>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1.尺寸（长×宽×高）：≥350*230*725mm，采用ABS工程塑料一次性注塑成型，圆弧形设计，表面沙面和光面相结合处理。</w:t>
            </w:r>
            <w:r/>
          </w:p>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br w:type="page" w:clear="all"/>
              <w:t xml:space="preserve">2.两侧设有黑色钣金固定装饰，尺寸长≥480mm，宽33≥mm，厚≥1mm，造型美观。</w:t>
            </w:r>
            <w:r/>
          </w:p>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br w:type="page" w:clear="all"/>
              <w:t xml:space="preserve">3.主要功能是保护学生通风管道及电线电缆作用，配套于学生桌。</w:t>
            </w:r>
            <w:r/>
          </w:p>
        </w:tc>
        <w:tc>
          <w:tcPr>
            <w:tcW w:w="709" w:type="dxa"/>
            <w:vAlign w:val="center"/>
            <w:textDirection w:val="lrTb"/>
            <w:noWrap w:val="false"/>
          </w:tcPr>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个</w:t>
            </w:r>
            <w:r/>
          </w:p>
        </w:tc>
        <w:tc>
          <w:tcPr>
            <w:tcW w:w="708" w:type="dxa"/>
            <w:vAlign w:val="center"/>
            <w:textDirection w:val="lrTb"/>
            <w:noWrap w:val="false"/>
          </w:tcPr>
          <w:p>
            <w:pPr>
              <w:jc w:val="left"/>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56</w:t>
            </w:r>
            <w:r/>
          </w:p>
        </w:tc>
      </w:tr>
      <w:tr>
        <w:trPr>
          <w:trHeight w:val="2495"/>
        </w:trPr>
        <w:tc>
          <w:tcPr>
            <w:tcW w:w="515" w:type="dxa"/>
            <w:vAlign w:val="center"/>
            <w:textDirection w:val="lrTb"/>
            <w:noWrap w:val="false"/>
          </w:tcPr>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9</w:t>
            </w:r>
            <w:r/>
          </w:p>
        </w:tc>
        <w:tc>
          <w:tcPr>
            <w:tcW w:w="1470" w:type="dxa"/>
            <w:vAlign w:val="center"/>
            <w:textDirection w:val="lrTb"/>
            <w:noWrap w:val="false"/>
          </w:tcPr>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学生操作终端</w:t>
            </w:r>
            <w:r/>
          </w:p>
        </w:tc>
        <w:tc>
          <w:tcPr>
            <w:tcW w:w="6095" w:type="dxa"/>
            <w:vAlign w:val="center"/>
            <w:textDirection w:val="lrTb"/>
            <w:noWrap w:val="false"/>
          </w:tcPr>
          <w:p>
            <w:pPr>
              <w:jc w:val="left"/>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1、每两个学生中间，配备手动翻转式防尘结构的电源盒，面板采用阻燃ABS制作，选用进口PC贴膜，美观耐用。使用时翻出。使用完毕按回原位。接受教师演示台送来的交流电源。</w:t>
            </w:r>
            <w:r/>
          </w:p>
          <w:p>
            <w:pPr>
              <w:jc w:val="left"/>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2、低压交直流电源：交直流0-24每2V一档由教师统一调节控制，出。（短路、过载自动保护、自动复位。）</w:t>
            </w:r>
            <w:r/>
          </w:p>
          <w:p>
            <w:pPr>
              <w:jc w:val="left"/>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3、交流电源：每台配备220V交流输出电源，电源全部由教师台控制。</w:t>
            </w:r>
            <w:r/>
          </w:p>
        </w:tc>
        <w:tc>
          <w:tcPr>
            <w:tcW w:w="709" w:type="dxa"/>
            <w:vAlign w:val="center"/>
            <w:textDirection w:val="lrTb"/>
            <w:noWrap w:val="false"/>
          </w:tcPr>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台</w:t>
            </w:r>
            <w:r/>
          </w:p>
        </w:tc>
        <w:tc>
          <w:tcPr>
            <w:tcW w:w="708" w:type="dxa"/>
            <w:vAlign w:val="center"/>
            <w:textDirection w:val="lrTb"/>
            <w:noWrap w:val="false"/>
          </w:tcPr>
          <w:p>
            <w:pPr>
              <w:jc w:val="left"/>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56</w:t>
            </w:r>
            <w:r/>
          </w:p>
        </w:tc>
      </w:tr>
      <w:tr>
        <w:trPr>
          <w:trHeight w:val="699"/>
        </w:trPr>
        <w:tc>
          <w:tcPr>
            <w:tcW w:w="515" w:type="dxa"/>
            <w:vAlign w:val="center"/>
            <w:textDirection w:val="lrTb"/>
            <w:noWrap w:val="false"/>
          </w:tcPr>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10</w:t>
            </w:r>
            <w:r/>
          </w:p>
        </w:tc>
        <w:tc>
          <w:tcPr>
            <w:tcW w:w="1470" w:type="dxa"/>
            <w:vAlign w:val="center"/>
            <w:textDirection w:val="lrTb"/>
            <w:noWrap w:val="false"/>
          </w:tcPr>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多功能水槽柜</w:t>
            </w:r>
            <w:r/>
          </w:p>
        </w:tc>
        <w:tc>
          <w:tcPr>
            <w:tcW w:w="6095" w:type="dxa"/>
            <w:vAlign w:val="center"/>
            <w:textDirection w:val="lrTb"/>
            <w:noWrap w:val="false"/>
          </w:tcPr>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水槽采用环保型PP材料一次性注塑成型，耐强酸碱&lt;80度有机溶剂并耐150度以下高温，壁厚4mm，具有防溢出功能。水槽柜规格：465*600*820mm；水槽后端高出水槽两侧50mm防止后排学生使用时水溅到前排学生身上。水槽柜为榫卯连接结构并合理布局加强筋，安装时不用胶水粘结，使用产品自身力量相互连接，产品不变形，不扭曲。柜子整体采用环保型ABS工程塑料一次性注塑成型，表面木纹与光面相结合处理。同时水槽柜底部为模具一体成型，加固水槽柜的强度。</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为保证产品质量，水槽柜必须符合以下技术参数及要求：</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★水槽柜整体依据GB/T32487-2016《塑料家具通用技术条件》检测标准，塑料件：耐冷热循环、硬度、稳定性测试结果合格。（</w:t>
            </w:r>
            <w:r>
              <w:rPr>
                <w:rFonts w:ascii="仿宋" w:hAnsi="仿宋" w:eastAsia="仿宋" w:cs="宋体"/>
                <w:color w:val="000000" w:themeColor="text1"/>
                <w:sz w:val="24"/>
                <w:szCs w:val="24"/>
              </w:rPr>
              <w:t xml:space="preserve">投标人</w:t>
            </w:r>
            <w:r>
              <w:rPr>
                <w:rFonts w:hint="eastAsia" w:ascii="仿宋" w:hAnsi="仿宋" w:eastAsia="仿宋" w:cs="宋体"/>
                <w:color w:val="000000" w:themeColor="text1"/>
                <w:sz w:val="24"/>
                <w:szCs w:val="24"/>
              </w:rPr>
              <w:t xml:space="preserve">或产品</w:t>
            </w:r>
            <w:r>
              <w:rPr>
                <w:rFonts w:ascii="仿宋" w:hAnsi="仿宋" w:eastAsia="仿宋" w:cs="宋体"/>
                <w:color w:val="000000" w:themeColor="text1"/>
                <w:sz w:val="24"/>
                <w:szCs w:val="24"/>
              </w:rPr>
              <w:t xml:space="preserve">制造商</w:t>
            </w:r>
            <w:r>
              <w:rPr>
                <w:rFonts w:hint="eastAsia" w:ascii="仿宋" w:hAnsi="仿宋" w:eastAsia="仿宋" w:cs="宋体"/>
                <w:color w:val="000000" w:themeColor="text1"/>
                <w:sz w:val="24"/>
                <w:szCs w:val="24"/>
              </w:rPr>
              <w:t xml:space="preserve">需提供有效期内第三方权威机构出具的</w:t>
            </w:r>
            <w:r>
              <w:rPr>
                <w:rFonts w:ascii="仿宋" w:hAnsi="仿宋" w:eastAsia="仿宋" w:cs="宋体"/>
                <w:color w:val="000000" w:themeColor="text1"/>
                <w:sz w:val="24"/>
                <w:szCs w:val="24"/>
              </w:rPr>
              <w:t xml:space="preserve">检测报告</w:t>
            </w:r>
            <w:r>
              <w:rPr>
                <w:rFonts w:hint="eastAsia" w:ascii="仿宋" w:hAnsi="仿宋" w:eastAsia="仿宋" w:cs="宋体"/>
                <w:color w:val="000000" w:themeColor="text1"/>
                <w:sz w:val="24"/>
                <w:szCs w:val="24"/>
              </w:rPr>
              <w:t xml:space="preserve">原件扫描件</w:t>
            </w:r>
            <w:r>
              <w:rPr>
                <w:rFonts w:ascii="仿宋" w:hAnsi="仿宋" w:eastAsia="仿宋" w:cs="宋体"/>
                <w:color w:val="000000" w:themeColor="text1"/>
                <w:sz w:val="24"/>
                <w:szCs w:val="24"/>
              </w:rPr>
              <w:t xml:space="preserve">。</w:t>
            </w:r>
            <w:r>
              <w:rPr>
                <w:rFonts w:hint="eastAsia" w:ascii="仿宋" w:hAnsi="仿宋" w:eastAsia="仿宋" w:cs="宋体"/>
                <w:color w:val="000000" w:themeColor="text1"/>
                <w:sz w:val="24"/>
                <w:szCs w:val="24"/>
              </w:rPr>
              <w:t xml:space="preserve">）</w:t>
            </w:r>
            <w:r/>
          </w:p>
        </w:tc>
        <w:tc>
          <w:tcPr>
            <w:tcW w:w="709" w:type="dxa"/>
            <w:vAlign w:val="center"/>
            <w:textDirection w:val="lrTb"/>
            <w:noWrap w:val="false"/>
          </w:tcPr>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套</w:t>
            </w:r>
            <w:r/>
          </w:p>
        </w:tc>
        <w:tc>
          <w:tcPr>
            <w:tcW w:w="708" w:type="dxa"/>
            <w:vAlign w:val="center"/>
            <w:textDirection w:val="lrTb"/>
            <w:noWrap w:val="false"/>
          </w:tcPr>
          <w:p>
            <w:pPr>
              <w:jc w:val="left"/>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28</w:t>
            </w:r>
            <w:r/>
          </w:p>
        </w:tc>
      </w:tr>
      <w:tr>
        <w:trPr>
          <w:trHeight w:val="1120"/>
        </w:trPr>
        <w:tc>
          <w:tcPr>
            <w:tcW w:w="515" w:type="dxa"/>
            <w:vAlign w:val="center"/>
            <w:textDirection w:val="lrTb"/>
            <w:noWrap w:val="false"/>
          </w:tcPr>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11</w:t>
            </w:r>
            <w:r/>
          </w:p>
        </w:tc>
        <w:tc>
          <w:tcPr>
            <w:tcW w:w="1470" w:type="dxa"/>
            <w:vAlign w:val="center"/>
            <w:textDirection w:val="lrTb"/>
            <w:noWrap w:val="false"/>
          </w:tcPr>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三联水嘴</w:t>
            </w:r>
            <w:r/>
          </w:p>
        </w:tc>
        <w:tc>
          <w:tcPr>
            <w:tcW w:w="6095" w:type="dxa"/>
            <w:vAlign w:val="center"/>
            <w:textDirection w:val="lrTb"/>
            <w:noWrap w:val="false"/>
          </w:tcPr>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1.采用实验室专用三联水嘴90度瓷质阀芯，出水嘴为铜质尖嘴，可拆卸，内有螺纹，可方便连接循环等特殊用水；</w:t>
            </w:r>
            <w:r/>
          </w:p>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br w:type="page" w:clear="all"/>
              <w:t xml:space="preserve">2.水管管体部分为黄铜合金制品，铜质表面经过烤漆喷涂处理，增强耐酸碱防腐蚀以及防锈性能，可360度旋转。</w:t>
            </w:r>
            <w:r/>
          </w:p>
        </w:tc>
        <w:tc>
          <w:tcPr>
            <w:tcW w:w="709" w:type="dxa"/>
            <w:vAlign w:val="center"/>
            <w:textDirection w:val="lrTb"/>
            <w:noWrap w:val="false"/>
          </w:tcPr>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个</w:t>
            </w:r>
            <w:r/>
          </w:p>
        </w:tc>
        <w:tc>
          <w:tcPr>
            <w:tcW w:w="708" w:type="dxa"/>
            <w:vAlign w:val="center"/>
            <w:textDirection w:val="lrTb"/>
            <w:noWrap w:val="false"/>
          </w:tcPr>
          <w:p>
            <w:pPr>
              <w:jc w:val="left"/>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28</w:t>
            </w:r>
            <w:r/>
          </w:p>
        </w:tc>
      </w:tr>
      <w:tr>
        <w:trPr>
          <w:trHeight w:val="3238"/>
        </w:trPr>
        <w:tc>
          <w:tcPr>
            <w:tcW w:w="515" w:type="dxa"/>
            <w:vAlign w:val="center"/>
            <w:textDirection w:val="lrTb"/>
            <w:noWrap w:val="false"/>
          </w:tcPr>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12</w:t>
            </w:r>
            <w:r/>
          </w:p>
        </w:tc>
        <w:tc>
          <w:tcPr>
            <w:tcW w:w="1470" w:type="dxa"/>
            <w:vAlign w:val="center"/>
            <w:textDirection w:val="lrTb"/>
            <w:noWrap w:val="false"/>
          </w:tcPr>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实验凳</w:t>
            </w:r>
            <w:r/>
          </w:p>
        </w:tc>
        <w:tc>
          <w:tcPr>
            <w:tcW w:w="6095" w:type="dxa"/>
            <w:vAlign w:val="center"/>
            <w:textDirection w:val="lrTb"/>
            <w:noWrap w:val="false"/>
          </w:tcPr>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1.规格尺寸：≥Φ310mm×450mm。</w:t>
            </w:r>
            <w:r>
              <w:rPr>
                <w:rFonts w:ascii="仿宋" w:hAnsi="仿宋" w:eastAsia="仿宋" w:cs="宋体"/>
                <w:color w:val="000000" w:themeColor="text1"/>
                <w:sz w:val="24"/>
                <w:szCs w:val="24"/>
              </w:rPr>
              <w:br/>
              <w:t xml:space="preserve">2.四爪升降凳，带固定器，及防脱落设计，整体美观结实，牢固耐用。</w:t>
            </w:r>
            <w:r>
              <w:rPr>
                <w:rFonts w:ascii="仿宋" w:hAnsi="仿宋" w:eastAsia="仿宋" w:cs="宋体"/>
                <w:color w:val="000000" w:themeColor="text1"/>
                <w:sz w:val="24"/>
                <w:szCs w:val="24"/>
              </w:rPr>
              <w:br/>
              <w:t xml:space="preserve">3.凳面：采用ABS工程塑料一次性注塑成型，表面细纹咬花，防滑不发光。</w:t>
            </w:r>
            <w:r>
              <w:rPr>
                <w:rFonts w:ascii="仿宋" w:hAnsi="仿宋" w:eastAsia="仿宋" w:cs="宋体"/>
                <w:color w:val="000000" w:themeColor="text1"/>
                <w:sz w:val="24"/>
                <w:szCs w:val="24"/>
              </w:rPr>
              <w:br/>
              <w:t xml:space="preserve">4.脚垫：采用优质PP材料一次注塑成型。</w:t>
            </w:r>
            <w:r>
              <w:rPr>
                <w:rFonts w:ascii="仿宋" w:hAnsi="仿宋" w:eastAsia="仿宋" w:cs="宋体"/>
                <w:color w:val="000000" w:themeColor="text1"/>
                <w:sz w:val="24"/>
                <w:szCs w:val="24"/>
              </w:rPr>
              <w:br/>
              <w:t xml:space="preserve">5.脚钢架：椭圆形无缝钢管焊接而成，结构牢固，经高温粉体烤漆处理，长时间使用也不会产生表面烤漆剥落现象。</w:t>
            </w:r>
            <w:r>
              <w:rPr>
                <w:rFonts w:ascii="仿宋" w:hAnsi="仿宋" w:eastAsia="仿宋" w:cs="宋体"/>
                <w:color w:val="000000" w:themeColor="text1"/>
                <w:sz w:val="24"/>
                <w:szCs w:val="24"/>
              </w:rPr>
              <w:br/>
              <w:t xml:space="preserve">6.凳面可通过旋转螺杆来升降凳子高度,可调高度不少于5cm。</w:t>
            </w:r>
            <w:r/>
          </w:p>
        </w:tc>
        <w:tc>
          <w:tcPr>
            <w:tcW w:w="709" w:type="dxa"/>
            <w:vAlign w:val="center"/>
            <w:textDirection w:val="lrTb"/>
            <w:noWrap w:val="false"/>
          </w:tcPr>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只</w:t>
            </w:r>
            <w:r/>
          </w:p>
        </w:tc>
        <w:tc>
          <w:tcPr>
            <w:tcW w:w="708" w:type="dxa"/>
            <w:vAlign w:val="center"/>
            <w:textDirection w:val="lrTb"/>
            <w:noWrap w:val="false"/>
          </w:tcPr>
          <w:p>
            <w:pPr>
              <w:jc w:val="left"/>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112</w:t>
            </w:r>
            <w:r/>
          </w:p>
        </w:tc>
      </w:tr>
      <w:tr>
        <w:trPr>
          <w:trHeight w:val="1960"/>
        </w:trPr>
        <w:tc>
          <w:tcPr>
            <w:tcW w:w="515" w:type="dxa"/>
            <w:vAlign w:val="center"/>
            <w:textDirection w:val="lrTb"/>
            <w:noWrap w:val="false"/>
          </w:tcPr>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1</w:t>
            </w:r>
            <w:r>
              <w:rPr>
                <w:rFonts w:hint="eastAsia" w:ascii="仿宋" w:hAnsi="仿宋" w:eastAsia="仿宋" w:cs="宋体"/>
                <w:color w:val="000000" w:themeColor="text1"/>
                <w:sz w:val="24"/>
                <w:szCs w:val="24"/>
              </w:rPr>
              <w:t xml:space="preserve">3</w:t>
            </w:r>
            <w:r/>
          </w:p>
        </w:tc>
        <w:tc>
          <w:tcPr>
            <w:tcW w:w="1470" w:type="dxa"/>
            <w:vAlign w:val="center"/>
            <w:textDirection w:val="lrTb"/>
            <w:noWrap w:val="false"/>
          </w:tcPr>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给排水管</w:t>
            </w:r>
            <w:r/>
          </w:p>
        </w:tc>
        <w:tc>
          <w:tcPr>
            <w:tcW w:w="6095" w:type="dxa"/>
            <w:vAlign w:val="center"/>
            <w:textDirection w:val="lrTb"/>
            <w:noWrap w:val="false"/>
          </w:tcPr>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1、给水主管选用φ20-32mmPP-R给水管，每组间采用活接式连接，方便安装、检修。</w:t>
            </w:r>
            <w:r/>
          </w:p>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br w:type="page" w:clear="all"/>
              <w:t xml:space="preserve">2、排水管选用加厚φ50-75mmPVC-U国标管（具有防酸、防碱、耐腐蚀功能），每组间采用活接式连接，方便安装、检修。</w:t>
            </w:r>
            <w:r/>
          </w:p>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br w:type="page" w:clear="all"/>
              <w:t xml:space="preserve">3.给排水管质量至少达到相关国标标准，供给教室水槽以及各学生桌水槽给排水使用，不含开槽、预埋恢复。</w:t>
            </w:r>
            <w:r>
              <w:rPr>
                <w:rFonts w:ascii="仿宋" w:hAnsi="仿宋" w:eastAsia="仿宋" w:cs="宋体"/>
                <w:color w:val="000000" w:themeColor="text1"/>
                <w:sz w:val="24"/>
                <w:szCs w:val="24"/>
              </w:rPr>
              <w:br w:type="page" w:clear="all"/>
              <w:t xml:space="preserve">给排水管参照GB/T 18742.2-2017《冷热水用聚丙烯管道系统 </w:t>
            </w:r>
            <w:r/>
          </w:p>
        </w:tc>
        <w:tc>
          <w:tcPr>
            <w:tcW w:w="709" w:type="dxa"/>
            <w:vAlign w:val="center"/>
            <w:textDirection w:val="lrTb"/>
            <w:noWrap w:val="false"/>
          </w:tcPr>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室</w:t>
            </w:r>
            <w:r/>
          </w:p>
        </w:tc>
        <w:tc>
          <w:tcPr>
            <w:tcW w:w="708" w:type="dxa"/>
            <w:vAlign w:val="center"/>
            <w:textDirection w:val="lrTb"/>
            <w:noWrap w:val="false"/>
          </w:tcPr>
          <w:p>
            <w:pPr>
              <w:jc w:val="left"/>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2</w:t>
            </w:r>
            <w:r/>
          </w:p>
        </w:tc>
      </w:tr>
      <w:tr>
        <w:trPr>
          <w:trHeight w:val="800"/>
        </w:trPr>
        <w:tc>
          <w:tcPr>
            <w:tcW w:w="515" w:type="dxa"/>
            <w:vAlign w:val="center"/>
            <w:textDirection w:val="lrTb"/>
            <w:noWrap w:val="false"/>
          </w:tcPr>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1</w:t>
            </w:r>
            <w:r>
              <w:rPr>
                <w:rFonts w:hint="eastAsia" w:ascii="仿宋" w:hAnsi="仿宋" w:eastAsia="仿宋" w:cs="宋体"/>
                <w:color w:val="000000" w:themeColor="text1"/>
                <w:sz w:val="24"/>
                <w:szCs w:val="24"/>
              </w:rPr>
              <w:t xml:space="preserve">4</w:t>
            </w:r>
            <w:r/>
          </w:p>
        </w:tc>
        <w:tc>
          <w:tcPr>
            <w:tcW w:w="1470" w:type="dxa"/>
            <w:vAlign w:val="center"/>
            <w:textDirection w:val="lrTb"/>
            <w:noWrap w:val="false"/>
          </w:tcPr>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墙面、顶面出白</w:t>
            </w:r>
            <w:r/>
          </w:p>
        </w:tc>
        <w:tc>
          <w:tcPr>
            <w:tcW w:w="6095" w:type="dxa"/>
            <w:vAlign w:val="center"/>
            <w:textDirection w:val="lrTb"/>
            <w:noWrap w:val="false"/>
          </w:tcPr>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铲除墙面腻子、涂料，上墙固重新出白在抹灰面上批901胶混合腻子2遍、刷乳胶漆2遍</w:t>
            </w:r>
            <w:r/>
          </w:p>
        </w:tc>
        <w:tc>
          <w:tcPr>
            <w:tcW w:w="709" w:type="dxa"/>
            <w:vAlign w:val="center"/>
            <w:textDirection w:val="lrTb"/>
            <w:noWrap w:val="false"/>
          </w:tcPr>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平</w:t>
            </w:r>
            <w:r/>
          </w:p>
        </w:tc>
        <w:tc>
          <w:tcPr>
            <w:tcW w:w="708" w:type="dxa"/>
            <w:vAlign w:val="center"/>
            <w:textDirection w:val="lrTb"/>
            <w:noWrap w:val="false"/>
          </w:tcPr>
          <w:p>
            <w:pPr>
              <w:jc w:val="left"/>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370</w:t>
            </w:r>
            <w:r/>
          </w:p>
        </w:tc>
      </w:tr>
      <w:tr>
        <w:trPr>
          <w:trHeight w:val="1100"/>
        </w:trPr>
        <w:tc>
          <w:tcPr>
            <w:tcW w:w="515" w:type="dxa"/>
            <w:vAlign w:val="center"/>
            <w:textDirection w:val="lrTb"/>
            <w:noWrap w:val="false"/>
          </w:tcPr>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1</w:t>
            </w:r>
            <w:r>
              <w:rPr>
                <w:rFonts w:hint="eastAsia" w:ascii="仿宋" w:hAnsi="仿宋" w:eastAsia="仿宋" w:cs="宋体"/>
                <w:color w:val="000000" w:themeColor="text1"/>
                <w:sz w:val="24"/>
                <w:szCs w:val="24"/>
              </w:rPr>
              <w:t xml:space="preserve">5.1</w:t>
            </w:r>
            <w:r/>
          </w:p>
        </w:tc>
        <w:tc>
          <w:tcPr>
            <w:tcW w:w="1470" w:type="dxa"/>
            <w:vAlign w:val="center"/>
            <w:textDirection w:val="lrTb"/>
            <w:noWrap w:val="false"/>
          </w:tcPr>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静电地板</w:t>
            </w:r>
            <w:r>
              <w:rPr>
                <w:rFonts w:hint="eastAsia" w:ascii="仿宋" w:hAnsi="仿宋" w:eastAsia="仿宋" w:cs="宋体"/>
                <w:color w:val="000000" w:themeColor="text1"/>
                <w:sz w:val="24"/>
                <w:szCs w:val="24"/>
              </w:rPr>
              <w:t xml:space="preserve">（</w:t>
            </w:r>
            <w:r>
              <w:rPr>
                <w:rFonts w:ascii="仿宋" w:hAnsi="仿宋" w:eastAsia="仿宋" w:cs="宋体"/>
                <w:color w:val="000000" w:themeColor="text1"/>
                <w:sz w:val="24"/>
                <w:szCs w:val="24"/>
              </w:rPr>
              <w:t xml:space="preserve">生物实验室</w:t>
            </w:r>
            <w:r>
              <w:rPr>
                <w:rFonts w:hint="eastAsia" w:ascii="仿宋" w:hAnsi="仿宋" w:eastAsia="仿宋" w:cs="宋体"/>
                <w:color w:val="000000" w:themeColor="text1"/>
                <w:sz w:val="24"/>
                <w:szCs w:val="24"/>
              </w:rPr>
              <w:t xml:space="preserve">1）</w:t>
            </w:r>
            <w:r/>
          </w:p>
        </w:tc>
        <w:tc>
          <w:tcPr>
            <w:tcW w:w="6095" w:type="dxa"/>
            <w:vAlign w:val="center"/>
            <w:textDirection w:val="lrTb"/>
            <w:noWrap w:val="false"/>
          </w:tcPr>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抗静电活动地砖600mm*600mm（含配套全钢可调支架）</w:t>
            </w:r>
            <w:r/>
          </w:p>
        </w:tc>
        <w:tc>
          <w:tcPr>
            <w:tcW w:w="709" w:type="dxa"/>
            <w:vAlign w:val="center"/>
            <w:textDirection w:val="lrTb"/>
            <w:noWrap w:val="false"/>
          </w:tcPr>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平</w:t>
            </w:r>
            <w:r/>
          </w:p>
        </w:tc>
        <w:tc>
          <w:tcPr>
            <w:tcW w:w="708" w:type="dxa"/>
            <w:vAlign w:val="center"/>
            <w:textDirection w:val="lrTb"/>
            <w:noWrap w:val="false"/>
          </w:tcPr>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91</w:t>
            </w:r>
            <w:r/>
          </w:p>
        </w:tc>
      </w:tr>
      <w:tr>
        <w:trPr>
          <w:trHeight w:val="1100"/>
        </w:trPr>
        <w:tc>
          <w:tcPr>
            <w:tcW w:w="515" w:type="dxa"/>
            <w:vAlign w:val="center"/>
            <w:textDirection w:val="lrTb"/>
            <w:noWrap w:val="false"/>
          </w:tcPr>
          <w:p>
            <w:pPr>
              <w:jc w:val="left"/>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15.2</w:t>
            </w:r>
            <w:r/>
          </w:p>
        </w:tc>
        <w:tc>
          <w:tcPr>
            <w:tcW w:w="1470" w:type="dxa"/>
            <w:vAlign w:val="center"/>
            <w:textDirection w:val="lrTb"/>
            <w:noWrap w:val="false"/>
          </w:tcPr>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PVC地板</w:t>
            </w:r>
            <w:r>
              <w:rPr>
                <w:rFonts w:hint="eastAsia" w:ascii="仿宋" w:hAnsi="仿宋" w:eastAsia="仿宋" w:cs="宋体"/>
                <w:color w:val="000000" w:themeColor="text1"/>
                <w:sz w:val="24"/>
                <w:szCs w:val="24"/>
              </w:rPr>
              <w:t xml:space="preserve">（</w:t>
            </w:r>
            <w:r>
              <w:rPr>
                <w:rFonts w:ascii="仿宋" w:hAnsi="仿宋" w:eastAsia="仿宋" w:cs="宋体"/>
                <w:color w:val="000000" w:themeColor="text1"/>
                <w:sz w:val="24"/>
                <w:szCs w:val="24"/>
              </w:rPr>
              <w:t xml:space="preserve">生物实验室</w:t>
            </w:r>
            <w:r>
              <w:rPr>
                <w:rFonts w:hint="eastAsia" w:ascii="仿宋" w:hAnsi="仿宋" w:eastAsia="仿宋" w:cs="宋体"/>
                <w:color w:val="000000" w:themeColor="text1"/>
                <w:sz w:val="24"/>
                <w:szCs w:val="24"/>
              </w:rPr>
              <w:t xml:space="preserve">2）</w:t>
            </w:r>
            <w:r/>
          </w:p>
        </w:tc>
        <w:tc>
          <w:tcPr>
            <w:tcW w:w="6095" w:type="dxa"/>
            <w:vAlign w:val="center"/>
            <w:textDirection w:val="lrTb"/>
            <w:noWrap w:val="false"/>
          </w:tcPr>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1.刷瓷砖专用界面剂1遍</w:t>
            </w:r>
            <w:r>
              <w:rPr>
                <w:rFonts w:ascii="仿宋" w:hAnsi="仿宋" w:eastAsia="仿宋" w:cs="宋体"/>
                <w:color w:val="000000" w:themeColor="text1"/>
                <w:sz w:val="24"/>
                <w:szCs w:val="24"/>
              </w:rPr>
              <w:br/>
              <w:t xml:space="preserve">2.水泥基自流平砂浆楼地面厚4mm</w:t>
            </w:r>
            <w:r>
              <w:rPr>
                <w:rFonts w:ascii="仿宋" w:hAnsi="仿宋" w:eastAsia="仿宋" w:cs="宋体"/>
                <w:color w:val="000000" w:themeColor="text1"/>
                <w:sz w:val="24"/>
                <w:szCs w:val="24"/>
              </w:rPr>
              <w:br/>
              <w:t xml:space="preserve">3.PVC地板厚2.0mm（卷材）</w:t>
            </w:r>
            <w:r/>
          </w:p>
        </w:tc>
        <w:tc>
          <w:tcPr>
            <w:tcW w:w="709" w:type="dxa"/>
            <w:vAlign w:val="center"/>
            <w:textDirection w:val="lrTb"/>
            <w:noWrap w:val="false"/>
          </w:tcPr>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平</w:t>
            </w:r>
            <w:r/>
          </w:p>
        </w:tc>
        <w:tc>
          <w:tcPr>
            <w:tcW w:w="708" w:type="dxa"/>
            <w:vAlign w:val="center"/>
            <w:textDirection w:val="lrTb"/>
            <w:noWrap w:val="false"/>
          </w:tcPr>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94</w:t>
            </w:r>
            <w:r/>
          </w:p>
        </w:tc>
      </w:tr>
      <w:tr>
        <w:trPr>
          <w:trHeight w:val="800"/>
        </w:trPr>
        <w:tc>
          <w:tcPr>
            <w:tcW w:w="515" w:type="dxa"/>
            <w:vAlign w:val="center"/>
            <w:textDirection w:val="lrTb"/>
            <w:noWrap w:val="false"/>
          </w:tcPr>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1</w:t>
            </w:r>
            <w:r>
              <w:rPr>
                <w:rFonts w:hint="eastAsia" w:ascii="仿宋" w:hAnsi="仿宋" w:eastAsia="仿宋" w:cs="宋体"/>
                <w:color w:val="000000" w:themeColor="text1"/>
                <w:sz w:val="24"/>
                <w:szCs w:val="24"/>
              </w:rPr>
              <w:t xml:space="preserve">6</w:t>
            </w:r>
            <w:r/>
          </w:p>
        </w:tc>
        <w:tc>
          <w:tcPr>
            <w:tcW w:w="1470" w:type="dxa"/>
            <w:vAlign w:val="center"/>
            <w:textDirection w:val="lrTb"/>
            <w:noWrap w:val="false"/>
          </w:tcPr>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护眼灯</w:t>
            </w:r>
            <w:r/>
          </w:p>
        </w:tc>
        <w:tc>
          <w:tcPr>
            <w:tcW w:w="6095" w:type="dxa"/>
            <w:vAlign w:val="center"/>
            <w:textDirection w:val="lrTb"/>
            <w:noWrap w:val="false"/>
          </w:tcPr>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1.48W教室护眼灯安装1200*300，配500mm-1000mm的伸缩杆安装</w:t>
            </w:r>
            <w:r/>
          </w:p>
        </w:tc>
        <w:tc>
          <w:tcPr>
            <w:tcW w:w="709" w:type="dxa"/>
            <w:vAlign w:val="center"/>
            <w:textDirection w:val="lrTb"/>
            <w:noWrap w:val="false"/>
          </w:tcPr>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套</w:t>
            </w:r>
            <w:r/>
          </w:p>
        </w:tc>
        <w:tc>
          <w:tcPr>
            <w:tcW w:w="708" w:type="dxa"/>
            <w:vAlign w:val="center"/>
            <w:textDirection w:val="lrTb"/>
            <w:noWrap w:val="false"/>
          </w:tcPr>
          <w:p>
            <w:pPr>
              <w:jc w:val="left"/>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22</w:t>
            </w:r>
            <w:r/>
          </w:p>
        </w:tc>
      </w:tr>
      <w:tr>
        <w:trPr>
          <w:trHeight w:val="1140"/>
        </w:trPr>
        <w:tc>
          <w:tcPr>
            <w:tcW w:w="515" w:type="dxa"/>
            <w:vAlign w:val="center"/>
            <w:textDirection w:val="lrTb"/>
            <w:noWrap w:val="false"/>
          </w:tcPr>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1</w:t>
            </w:r>
            <w:r>
              <w:rPr>
                <w:rFonts w:hint="eastAsia" w:ascii="仿宋" w:hAnsi="仿宋" w:eastAsia="仿宋" w:cs="宋体"/>
                <w:color w:val="000000" w:themeColor="text1"/>
                <w:sz w:val="24"/>
                <w:szCs w:val="24"/>
              </w:rPr>
              <w:t xml:space="preserve">7</w:t>
            </w:r>
            <w:r/>
          </w:p>
        </w:tc>
        <w:tc>
          <w:tcPr>
            <w:tcW w:w="1470" w:type="dxa"/>
            <w:vAlign w:val="center"/>
            <w:textDirection w:val="lrTb"/>
            <w:noWrap w:val="false"/>
          </w:tcPr>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拆除清运</w:t>
            </w:r>
            <w:r/>
          </w:p>
        </w:tc>
        <w:tc>
          <w:tcPr>
            <w:tcW w:w="6095" w:type="dxa"/>
            <w:vAlign w:val="center"/>
            <w:textDirection w:val="lrTb"/>
            <w:noWrap w:val="false"/>
          </w:tcPr>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1、拆除原桌椅、黑板、双管日光灯、开关插座等</w:t>
            </w:r>
            <w:r>
              <w:rPr>
                <w:rFonts w:ascii="仿宋" w:hAnsi="仿宋" w:eastAsia="仿宋" w:cs="宋体"/>
                <w:color w:val="000000" w:themeColor="text1"/>
                <w:sz w:val="24"/>
                <w:szCs w:val="24"/>
              </w:rPr>
              <w:br/>
              <w:t xml:space="preserve">2、桌椅、黑板、杂物、双管日光灯、开关插座等搬运至甲方指定位置整齐堆放</w:t>
            </w:r>
            <w:r/>
          </w:p>
        </w:tc>
        <w:tc>
          <w:tcPr>
            <w:tcW w:w="709" w:type="dxa"/>
            <w:vAlign w:val="center"/>
            <w:textDirection w:val="lrTb"/>
            <w:noWrap w:val="false"/>
          </w:tcPr>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项</w:t>
            </w:r>
            <w:r/>
          </w:p>
        </w:tc>
        <w:tc>
          <w:tcPr>
            <w:tcW w:w="708" w:type="dxa"/>
            <w:vAlign w:val="center"/>
            <w:textDirection w:val="lrTb"/>
            <w:noWrap w:val="false"/>
          </w:tcPr>
          <w:p>
            <w:pPr>
              <w:jc w:val="left"/>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2</w:t>
            </w:r>
            <w:r/>
          </w:p>
        </w:tc>
      </w:tr>
      <w:tr>
        <w:trPr>
          <w:trHeight w:val="1020"/>
        </w:trPr>
        <w:tc>
          <w:tcPr>
            <w:tcW w:w="515" w:type="dxa"/>
            <w:vAlign w:val="center"/>
            <w:textDirection w:val="lrTb"/>
            <w:noWrap w:val="false"/>
          </w:tcPr>
          <w:p>
            <w:pPr>
              <w:jc w:val="left"/>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18</w:t>
            </w:r>
            <w:r/>
          </w:p>
        </w:tc>
        <w:tc>
          <w:tcPr>
            <w:tcW w:w="1470" w:type="dxa"/>
            <w:vAlign w:val="center"/>
            <w:textDirection w:val="lrTb"/>
            <w:noWrap w:val="false"/>
          </w:tcPr>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网线布置</w:t>
            </w:r>
            <w:r/>
          </w:p>
        </w:tc>
        <w:tc>
          <w:tcPr>
            <w:tcW w:w="6095" w:type="dxa"/>
            <w:vAlign w:val="center"/>
            <w:textDirection w:val="lrTb"/>
            <w:noWrap w:val="false"/>
          </w:tcPr>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1、实验室网络线路布置：每个实验位预留一个网路接口以及教室监控网络接口。</w:t>
            </w:r>
            <w:r>
              <w:rPr>
                <w:rFonts w:ascii="仿宋" w:hAnsi="仿宋" w:eastAsia="仿宋" w:cs="宋体"/>
                <w:color w:val="000000" w:themeColor="text1"/>
                <w:sz w:val="24"/>
                <w:szCs w:val="24"/>
              </w:rPr>
              <w:br/>
              <w:t xml:space="preserve">2、含优质UPVC国标电线管开槽、预埋恢复</w:t>
            </w:r>
            <w:r/>
          </w:p>
        </w:tc>
        <w:tc>
          <w:tcPr>
            <w:tcW w:w="709" w:type="dxa"/>
            <w:vAlign w:val="center"/>
            <w:textDirection w:val="lrTb"/>
            <w:noWrap w:val="false"/>
          </w:tcPr>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室</w:t>
            </w:r>
            <w:r/>
          </w:p>
        </w:tc>
        <w:tc>
          <w:tcPr>
            <w:tcW w:w="708" w:type="dxa"/>
            <w:vAlign w:val="center"/>
            <w:textDirection w:val="lrTb"/>
            <w:noWrap w:val="false"/>
          </w:tcPr>
          <w:p>
            <w:pPr>
              <w:jc w:val="left"/>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2</w:t>
            </w:r>
            <w:r/>
          </w:p>
        </w:tc>
      </w:tr>
      <w:tr>
        <w:trPr>
          <w:trHeight w:val="1160"/>
        </w:trPr>
        <w:tc>
          <w:tcPr>
            <w:tcW w:w="515" w:type="dxa"/>
            <w:vAlign w:val="center"/>
            <w:textDirection w:val="lrTb"/>
            <w:noWrap w:val="false"/>
          </w:tcPr>
          <w:p>
            <w:pPr>
              <w:jc w:val="left"/>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19</w:t>
            </w:r>
            <w:r/>
          </w:p>
        </w:tc>
        <w:tc>
          <w:tcPr>
            <w:tcW w:w="1470" w:type="dxa"/>
            <w:vAlign w:val="center"/>
            <w:textDirection w:val="lrTb"/>
            <w:noWrap w:val="false"/>
          </w:tcPr>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系统辅材</w:t>
            </w:r>
            <w:r/>
          </w:p>
        </w:tc>
        <w:tc>
          <w:tcPr>
            <w:tcW w:w="6095" w:type="dxa"/>
            <w:vAlign w:val="center"/>
            <w:textDirection w:val="lrTb"/>
            <w:noWrap w:val="false"/>
          </w:tcPr>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1、线管材质采用优质UPVC国标管，耐压500V。</w:t>
            </w:r>
            <w:r>
              <w:rPr>
                <w:rFonts w:ascii="仿宋" w:hAnsi="仿宋" w:eastAsia="仿宋" w:cs="宋体"/>
                <w:color w:val="000000" w:themeColor="text1"/>
                <w:sz w:val="24"/>
                <w:szCs w:val="24"/>
              </w:rPr>
              <w:br/>
              <w:t xml:space="preserve">2、铜芯电线4.0mm</w:t>
            </w:r>
            <w:r>
              <w:rPr>
                <w:rFonts w:ascii="Calibri" w:hAnsi="Calibri" w:eastAsia="仿宋" w:cs="Calibri"/>
                <w:color w:val="000000" w:themeColor="text1"/>
                <w:sz w:val="24"/>
                <w:szCs w:val="24"/>
              </w:rPr>
              <w:t xml:space="preserve">²</w:t>
            </w:r>
            <w:r>
              <w:rPr>
                <w:rFonts w:ascii="仿宋" w:hAnsi="仿宋" w:eastAsia="仿宋" w:cs="宋体"/>
                <w:color w:val="000000" w:themeColor="text1"/>
                <w:sz w:val="24"/>
                <w:szCs w:val="24"/>
              </w:rPr>
              <w:t xml:space="preserve">、2.5mm</w:t>
            </w:r>
            <w:r>
              <w:rPr>
                <w:rFonts w:ascii="Calibri" w:hAnsi="Calibri" w:eastAsia="仿宋" w:cs="Calibri"/>
                <w:color w:val="000000" w:themeColor="text1"/>
                <w:sz w:val="24"/>
                <w:szCs w:val="24"/>
              </w:rPr>
              <w:t xml:space="preserve">²</w:t>
            </w:r>
            <w:r>
              <w:rPr>
                <w:rFonts w:ascii="仿宋" w:hAnsi="仿宋" w:eastAsia="仿宋" w:cs="宋体"/>
                <w:color w:val="000000" w:themeColor="text1"/>
                <w:sz w:val="24"/>
                <w:szCs w:val="24"/>
              </w:rPr>
              <w:t xml:space="preserve">、1.5mm</w:t>
            </w:r>
            <w:r>
              <w:rPr>
                <w:rFonts w:ascii="Calibri" w:hAnsi="Calibri" w:eastAsia="仿宋" w:cs="Calibri"/>
                <w:color w:val="000000" w:themeColor="text1"/>
                <w:sz w:val="24"/>
                <w:szCs w:val="24"/>
              </w:rPr>
              <w:t xml:space="preserve">²</w:t>
            </w:r>
            <w:r>
              <w:rPr>
                <w:rFonts w:ascii="仿宋" w:hAnsi="仿宋" w:eastAsia="仿宋" w:cs="宋体"/>
                <w:color w:val="000000" w:themeColor="text1"/>
                <w:sz w:val="24"/>
                <w:szCs w:val="24"/>
              </w:rPr>
              <w:t xml:space="preserve">，含管道开槽、预埋恢复。</w:t>
            </w:r>
            <w:r>
              <w:rPr>
                <w:rFonts w:ascii="仿宋" w:hAnsi="仿宋" w:eastAsia="仿宋" w:cs="宋体"/>
                <w:color w:val="000000" w:themeColor="text1"/>
                <w:sz w:val="24"/>
                <w:szCs w:val="24"/>
              </w:rPr>
              <w:br/>
              <w:t xml:space="preserve">3、线管、电线源及开关插座等需达到相关国家标准，符合安全用电要求。</w:t>
            </w:r>
            <w:r/>
          </w:p>
        </w:tc>
        <w:tc>
          <w:tcPr>
            <w:tcW w:w="709" w:type="dxa"/>
            <w:vAlign w:val="center"/>
            <w:textDirection w:val="lrTb"/>
            <w:noWrap w:val="false"/>
          </w:tcPr>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室</w:t>
            </w:r>
            <w:r/>
          </w:p>
        </w:tc>
        <w:tc>
          <w:tcPr>
            <w:tcW w:w="708" w:type="dxa"/>
            <w:vAlign w:val="center"/>
            <w:textDirection w:val="lrTb"/>
            <w:noWrap w:val="false"/>
          </w:tcPr>
          <w:p>
            <w:pPr>
              <w:jc w:val="left"/>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2</w:t>
            </w:r>
            <w:r/>
          </w:p>
        </w:tc>
      </w:tr>
      <w:tr>
        <w:trPr>
          <w:trHeight w:val="780"/>
        </w:trPr>
        <w:tc>
          <w:tcPr>
            <w:tcW w:w="515" w:type="dxa"/>
            <w:vAlign w:val="center"/>
            <w:textDirection w:val="lrTb"/>
            <w:noWrap w:val="false"/>
          </w:tcPr>
          <w:p>
            <w:pPr>
              <w:jc w:val="left"/>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20</w:t>
            </w:r>
            <w:r/>
          </w:p>
        </w:tc>
        <w:tc>
          <w:tcPr>
            <w:tcW w:w="1470" w:type="dxa"/>
            <w:vAlign w:val="center"/>
            <w:textDirection w:val="lrTb"/>
            <w:noWrap w:val="false"/>
          </w:tcPr>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更换开关插座</w:t>
            </w:r>
            <w:r/>
          </w:p>
        </w:tc>
        <w:tc>
          <w:tcPr>
            <w:tcW w:w="6095" w:type="dxa"/>
            <w:vAlign w:val="center"/>
            <w:textDirection w:val="lrTb"/>
            <w:noWrap w:val="false"/>
          </w:tcPr>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更换实验室内所有开关、风扇开关、3孔插座、5孔插座、网络插座、面板等</w:t>
            </w:r>
            <w:r/>
          </w:p>
        </w:tc>
        <w:tc>
          <w:tcPr>
            <w:tcW w:w="709" w:type="dxa"/>
            <w:vAlign w:val="center"/>
            <w:textDirection w:val="lrTb"/>
            <w:noWrap w:val="false"/>
          </w:tcPr>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室</w:t>
            </w:r>
            <w:r/>
          </w:p>
        </w:tc>
        <w:tc>
          <w:tcPr>
            <w:tcW w:w="708" w:type="dxa"/>
            <w:vAlign w:val="center"/>
            <w:textDirection w:val="lrTb"/>
            <w:noWrap w:val="false"/>
          </w:tcPr>
          <w:p>
            <w:pPr>
              <w:jc w:val="left"/>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2</w:t>
            </w:r>
            <w:r/>
          </w:p>
        </w:tc>
      </w:tr>
      <w:tr>
        <w:trPr>
          <w:trHeight w:val="540"/>
        </w:trPr>
        <w:tc>
          <w:tcPr>
            <w:tcW w:w="515" w:type="dxa"/>
            <w:vAlign w:val="center"/>
            <w:textDirection w:val="lrTb"/>
            <w:noWrap w:val="false"/>
          </w:tcPr>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2</w:t>
            </w:r>
            <w:r>
              <w:rPr>
                <w:rFonts w:hint="eastAsia" w:ascii="仿宋" w:hAnsi="仿宋" w:eastAsia="仿宋" w:cs="宋体"/>
                <w:color w:val="000000" w:themeColor="text1"/>
                <w:sz w:val="24"/>
                <w:szCs w:val="24"/>
              </w:rPr>
              <w:t xml:space="preserve">1</w:t>
            </w:r>
            <w:r/>
          </w:p>
        </w:tc>
        <w:tc>
          <w:tcPr>
            <w:tcW w:w="1470" w:type="dxa"/>
            <w:vAlign w:val="center"/>
            <w:textDirection w:val="lrTb"/>
            <w:noWrap w:val="false"/>
          </w:tcPr>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安装调试</w:t>
            </w:r>
            <w:r/>
          </w:p>
        </w:tc>
        <w:tc>
          <w:tcPr>
            <w:tcW w:w="6095" w:type="dxa"/>
            <w:vAlign w:val="center"/>
            <w:textDirection w:val="lrTb"/>
            <w:noWrap w:val="false"/>
          </w:tcPr>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实验室设备安装调试</w:t>
            </w:r>
            <w:r/>
          </w:p>
        </w:tc>
        <w:tc>
          <w:tcPr>
            <w:tcW w:w="709" w:type="dxa"/>
            <w:vAlign w:val="center"/>
            <w:textDirection w:val="lrTb"/>
            <w:noWrap w:val="false"/>
          </w:tcPr>
          <w:p>
            <w:pPr>
              <w:jc w:val="left"/>
              <w:widowControl/>
              <w:rPr>
                <w:rFonts w:hint="eastAsia" w:ascii="仿宋" w:hAnsi="仿宋" w:eastAsia="仿宋" w:cs="宋体"/>
                <w:color w:val="000000" w:themeColor="text1"/>
                <w:sz w:val="24"/>
                <w:szCs w:val="24"/>
              </w:rPr>
            </w:pPr>
            <w:r>
              <w:rPr>
                <w:rFonts w:ascii="仿宋" w:hAnsi="仿宋" w:eastAsia="仿宋" w:cs="宋体"/>
                <w:color w:val="000000" w:themeColor="text1"/>
                <w:sz w:val="24"/>
                <w:szCs w:val="24"/>
              </w:rPr>
              <w:t xml:space="preserve">项</w:t>
            </w:r>
            <w:r/>
          </w:p>
        </w:tc>
        <w:tc>
          <w:tcPr>
            <w:tcW w:w="708" w:type="dxa"/>
            <w:vAlign w:val="center"/>
            <w:textDirection w:val="lrTb"/>
            <w:noWrap w:val="false"/>
          </w:tcPr>
          <w:p>
            <w:pPr>
              <w:jc w:val="left"/>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2</w:t>
            </w:r>
            <w:r/>
          </w:p>
        </w:tc>
      </w:tr>
      <w:tr>
        <w:trPr>
          <w:trHeight w:val="540"/>
        </w:trPr>
        <w:tc>
          <w:tcPr>
            <w:tcW w:w="515" w:type="dxa"/>
            <w:vAlign w:val="center"/>
            <w:textDirection w:val="lrTb"/>
            <w:noWrap w:val="false"/>
          </w:tcPr>
          <w:p>
            <w:pPr>
              <w:jc w:val="left"/>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22</w:t>
            </w:r>
            <w:r/>
          </w:p>
        </w:tc>
        <w:tc>
          <w:tcPr>
            <w:tcW w:w="1470" w:type="dxa"/>
            <w:vAlign w:val="center"/>
            <w:textDirection w:val="lrTb"/>
            <w:noWrap w:val="false"/>
          </w:tcPr>
          <w:p>
            <w:pPr>
              <w:jc w:val="left"/>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虚拟仿真实验（高中生物）</w:t>
            </w:r>
            <w:r/>
          </w:p>
        </w:tc>
        <w:tc>
          <w:tcPr>
            <w:tcW w:w="6095" w:type="dxa"/>
            <w:vAlign w:val="center"/>
            <w:textDirection w:val="lrTb"/>
            <w:noWrap w:val="false"/>
          </w:tcPr>
          <w:p>
            <w:pPr>
              <w:jc w:val="left"/>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1.基于Unity引擎开发，本课程资源深度融合虚拟现实技术与学科核心知识点，借助三维建模手段对知识内容进行立体化呈现，使知识直观可视，提升教学中的感官体验，助力教学目标顺利实现。</w:t>
            </w:r>
            <w:r/>
          </w:p>
          <w:p>
            <w:pPr>
              <w:jc w:val="left"/>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2.课件依托写实风格的虚拟环境和高交互仿真模型，其分辨率不低于1920×1080，画面呈现清晰且品质优良。</w:t>
            </w:r>
            <w:r/>
          </w:p>
          <w:p>
            <w:pPr>
              <w:jc w:val="left"/>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3.资源内核心物体的贴图分辨率不低于256像素/米，系统运行帧率不低于60帧/秒，从而保证画面流畅无卡顿，为师生带来良好的可视化体验。</w:t>
            </w:r>
            <w:r/>
          </w:p>
          <w:p>
            <w:pPr>
              <w:jc w:val="left"/>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4.程序平均启动时长不超过5秒，课程资源打开平均加载时长不超过3秒，界面返回首页平均响应时长不超过1秒，整体响应速度高效快捷。</w:t>
            </w:r>
            <w:r/>
          </w:p>
          <w:p>
            <w:pPr>
              <w:jc w:val="left"/>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5.进入课程资源页面即可直接查看实验简介、实验材料、实验步骤、实验结论、课后练习等模块，无需额外点击其他任何按键，在课程资源首页即可查看学习内容。</w:t>
            </w:r>
            <w:r/>
          </w:p>
          <w:p>
            <w:pPr>
              <w:jc w:val="left"/>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6.系统内置互动习题，题目数量不少于20万道。支持按单个教学单元或单节课内容随机生成习题，题目类型包含单选题、多选题、判断题、简答题，且每道题目均具有详细答案与解析。</w:t>
            </w:r>
            <w:r/>
          </w:p>
          <w:p>
            <w:pPr>
              <w:jc w:val="left"/>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7.涵盖教学 PPT 课件数量不少于100节，课件设计科学、内容详实，可直接应用于课堂教学，为教师提供充足、优质的教学素材支撑。</w:t>
            </w:r>
            <w:r/>
          </w:p>
          <w:p>
            <w:pPr>
              <w:jc w:val="left"/>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8.资源内置智能自动播放功能，教师无需手动分步操作，既有助于提高学生自主学习的效率，也能减轻教师的教学负担。</w:t>
            </w:r>
            <w:r/>
          </w:p>
          <w:p>
            <w:pPr>
              <w:jc w:val="left"/>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9.可随时通过按键对资源进行暂停，且支持真人语音讲解，语音可随时开启或关闭，方便教师对重难点内容进行详细讲解。</w:t>
            </w:r>
            <w:r/>
          </w:p>
          <w:p>
            <w:pPr>
              <w:jc w:val="left"/>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10.支持远程在线更新，无需线下手动操作，有效降低平台运维及资源管理的成本。</w:t>
            </w:r>
            <w:r/>
          </w:p>
          <w:p>
            <w:pPr>
              <w:jc w:val="left"/>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11.高中生物虚拟仿真实验需包含以下课程：</w:t>
            </w:r>
            <w:r/>
          </w:p>
          <w:p>
            <w:pPr>
              <w:jc w:val="left"/>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① 人体主要内分泌腺及其分泌的激素② 绿叶中色素的提取与分离③ 生物进化的历程④ 新型冠状病毒的传播⑤ 精子和卵细胞的形成过程⑥ 植物细胞的吸水和失水⑦ 人体内的免疫器官⑧ 草履虫的运动和分裂⑨ DNA分子的结构⑩ 探索生长素类似物促进插条生根的最适浓度⑪ 观察原核细胞和真核细胞⑫ 生态系</w:t>
            </w:r>
            <w:r>
              <w:rPr>
                <w:rFonts w:hint="eastAsia" w:ascii="仿宋" w:hAnsi="仿宋" w:eastAsia="仿宋" w:cs="宋体"/>
                <w:color w:val="000000" w:themeColor="text1"/>
                <w:sz w:val="24"/>
                <w:szCs w:val="24"/>
              </w:rPr>
              <w:t xml:space="preserve">统的组成成分⑬ 低温诱导植物染色体数目的变化⑭ 人的生殖与发育⑮ 体液免疫⑯ 叶绿体和线粒体的构造⑰ 孟德尔的豌豆杂交实验（一）⑱ 孟德尔的豌豆杂交实验（二）⑲ 细胞膜⑳ 观察动物细胞的有丝分裂㉑ 全球性生态环境问题㉒ T2噬菌体侵染大肠杆菌的实验㉓ 氨基酸形成的蛋白质㉔ 细胞核㉕ 人类大脑皮层的言语区㉖ 观察DNA和RNA在细胞中的分布㉗ 受精作用㉘ 以DNA为模板转录RNA㉙ 生物膜的结构模型㉚ 观察根尖分生组织细胞的有丝分裂㉛ 肺炎双球菌的转化实验㉜ 蛋白质的合成㉝ 动物细胞的构造㉞ 生长素的发现过程</w:t>
            </w:r>
            <w:r/>
          </w:p>
          <w:p>
            <w:pPr>
              <w:jc w:val="left"/>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㉟ ATP与ADP的相互转化㊱ 新型冠状病毒对肺部的危害㊲ 新型冠状病毒的观察㊳ 合成的分泌蛋白运输到细胞外的过程㊴ 双子叶植物的种群密度㊵ 细胞免疫㊶ 人的卵巢和卵细胞㊷ 植物细胞的构造㊸ 探究酵母菌细胞呼吸的方式㊹ 观察植物细胞有丝分裂㊺ 组织液、血浆、淋巴液之间的关系</w:t>
            </w:r>
            <w:r/>
          </w:p>
        </w:tc>
        <w:tc>
          <w:tcPr>
            <w:tcW w:w="709" w:type="dxa"/>
            <w:vAlign w:val="center"/>
            <w:textDirection w:val="lrTb"/>
            <w:noWrap w:val="false"/>
          </w:tcPr>
          <w:p>
            <w:pPr>
              <w:jc w:val="left"/>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套</w:t>
            </w:r>
            <w:r/>
          </w:p>
        </w:tc>
        <w:tc>
          <w:tcPr>
            <w:tcW w:w="708" w:type="dxa"/>
            <w:vAlign w:val="center"/>
            <w:textDirection w:val="lrTb"/>
            <w:noWrap w:val="false"/>
          </w:tcPr>
          <w:p>
            <w:pPr>
              <w:jc w:val="left"/>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1</w:t>
            </w:r>
            <w:r/>
          </w:p>
        </w:tc>
      </w:tr>
      <w:tr>
        <w:trPr>
          <w:trHeight w:val="540"/>
        </w:trPr>
        <w:tc>
          <w:tcPr>
            <w:tcW w:w="515" w:type="dxa"/>
            <w:vAlign w:val="center"/>
            <w:textDirection w:val="lrTb"/>
            <w:noWrap w:val="false"/>
          </w:tcPr>
          <w:p>
            <w:pPr>
              <w:jc w:val="left"/>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22</w:t>
            </w:r>
            <w:r/>
          </w:p>
        </w:tc>
        <w:tc>
          <w:tcPr>
            <w:tcW w:w="1470" w:type="dxa"/>
            <w:vAlign w:val="center"/>
            <w:textDirection w:val="lrTb"/>
            <w:noWrap w:val="false"/>
          </w:tcPr>
          <w:p>
            <w:pPr>
              <w:jc w:val="left"/>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48口千兆交换机</w:t>
            </w:r>
            <w:r/>
          </w:p>
        </w:tc>
        <w:tc>
          <w:tcPr>
            <w:tcW w:w="6095" w:type="dxa"/>
            <w:vAlign w:val="center"/>
            <w:textDirection w:val="lrTb"/>
            <w:noWrap w:val="false"/>
          </w:tcPr>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配置：可用千兆电接口数量≥48，可用千兆光接口数量≥4</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交换容量≥104 Gbps，转发性能≥77.38 Mpps</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提供CQC认证证书</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支持VLAN、STP/RSTP、QoS、LLDP、DHCP Snooping等功能，支持终端安全防护</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支持SNMPv1/v2c协议，支持Web管理</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支持所有端口收、发方向限速，端口镜像，端口隔离</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支持通过管理平台，手机APP对交换机进行系统拓扑展示及管理，在网络拓扑中展示交换机详情，包括基本信息、性能使用信息、交换机面板状态、端口信息</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支持通过管理平台，手机APP对交换机进行远程控制、状态查看、远程升级和重启。</w:t>
            </w:r>
            <w:r/>
          </w:p>
          <w:p>
            <w:pPr>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支持通过管理平台对交换机间不同的连接方式进行系统拓扑识别，包括网线连接、光纤连接、无线连接；通过管理平台展示链路详情，包括传输速率、链路两端设备信息和链路带宽告警；通过管理平台，手机APP在系统异常时实时推送交换机告警信息并展示告警内容；通过管理平台对交换机进行流量控制配置，防止数据在传输过程中丢失；通过管理平台对交换机进行链路聚合配置，可以把多个物理网口配置为一个逻辑端口进行数据传输。（</w:t>
            </w:r>
            <w:r>
              <w:rPr>
                <w:rFonts w:ascii="仿宋" w:hAnsi="仿宋" w:eastAsia="仿宋" w:cs="宋体"/>
                <w:color w:val="000000" w:themeColor="text1"/>
                <w:sz w:val="24"/>
                <w:szCs w:val="24"/>
              </w:rPr>
              <w:t xml:space="preserve">投标人</w:t>
            </w:r>
            <w:r>
              <w:rPr>
                <w:rFonts w:hint="eastAsia" w:ascii="仿宋" w:hAnsi="仿宋" w:eastAsia="仿宋" w:cs="宋体"/>
                <w:color w:val="000000" w:themeColor="text1"/>
                <w:sz w:val="24"/>
                <w:szCs w:val="24"/>
              </w:rPr>
              <w:t xml:space="preserve">或产品</w:t>
            </w:r>
            <w:r>
              <w:rPr>
                <w:rFonts w:ascii="仿宋" w:hAnsi="仿宋" w:eastAsia="仿宋" w:cs="宋体"/>
                <w:color w:val="000000" w:themeColor="text1"/>
                <w:sz w:val="24"/>
                <w:szCs w:val="24"/>
              </w:rPr>
              <w:t xml:space="preserve">制造商</w:t>
            </w:r>
            <w:r>
              <w:rPr>
                <w:rFonts w:hint="eastAsia" w:ascii="仿宋" w:hAnsi="仿宋" w:eastAsia="仿宋" w:cs="宋体"/>
                <w:color w:val="000000" w:themeColor="text1"/>
                <w:sz w:val="24"/>
                <w:szCs w:val="24"/>
              </w:rPr>
              <w:t xml:space="preserve">需提供有效期内第三方权威机构出具的</w:t>
            </w:r>
            <w:r>
              <w:rPr>
                <w:rFonts w:ascii="仿宋" w:hAnsi="仿宋" w:eastAsia="仿宋" w:cs="宋体"/>
                <w:color w:val="000000" w:themeColor="text1"/>
                <w:sz w:val="24"/>
                <w:szCs w:val="24"/>
              </w:rPr>
              <w:t xml:space="preserve">检测报告</w:t>
            </w:r>
            <w:r>
              <w:rPr>
                <w:rFonts w:hint="eastAsia" w:ascii="仿宋" w:hAnsi="仿宋" w:eastAsia="仿宋" w:cs="宋体"/>
                <w:color w:val="000000" w:themeColor="text1"/>
                <w:sz w:val="24"/>
                <w:szCs w:val="24"/>
              </w:rPr>
              <w:t xml:space="preserve">原件扫描件</w:t>
            </w:r>
            <w:r>
              <w:rPr>
                <w:rFonts w:ascii="仿宋" w:hAnsi="仿宋" w:eastAsia="仿宋" w:cs="宋体"/>
                <w:color w:val="000000" w:themeColor="text1"/>
                <w:sz w:val="24"/>
                <w:szCs w:val="24"/>
              </w:rPr>
              <w:t xml:space="preserve">。</w:t>
            </w:r>
            <w:r>
              <w:rPr>
                <w:rFonts w:hint="eastAsia" w:ascii="仿宋" w:hAnsi="仿宋" w:eastAsia="仿宋" w:cs="宋体"/>
                <w:color w:val="000000" w:themeColor="text1"/>
                <w:sz w:val="24"/>
                <w:szCs w:val="24"/>
              </w:rPr>
              <w:t xml:space="preserve">）</w:t>
            </w:r>
            <w:r/>
          </w:p>
          <w:p>
            <w:pPr>
              <w:jc w:val="left"/>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r>
            <w:r/>
          </w:p>
        </w:tc>
        <w:tc>
          <w:tcPr>
            <w:tcW w:w="709" w:type="dxa"/>
            <w:vAlign w:val="center"/>
            <w:textDirection w:val="lrTb"/>
            <w:noWrap w:val="false"/>
          </w:tcPr>
          <w:p>
            <w:pPr>
              <w:jc w:val="left"/>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套</w:t>
            </w:r>
            <w:r/>
          </w:p>
        </w:tc>
        <w:tc>
          <w:tcPr>
            <w:tcW w:w="708" w:type="dxa"/>
            <w:vAlign w:val="center"/>
            <w:textDirection w:val="lrTb"/>
            <w:noWrap w:val="false"/>
          </w:tcPr>
          <w:p>
            <w:pPr>
              <w:jc w:val="left"/>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2</w:t>
            </w:r>
            <w:r/>
          </w:p>
        </w:tc>
      </w:tr>
      <w:tr>
        <w:trPr>
          <w:trHeight w:val="540"/>
        </w:trPr>
        <w:tc>
          <w:tcPr>
            <w:tcW w:w="515" w:type="dxa"/>
            <w:vAlign w:val="center"/>
            <w:textDirection w:val="lrTb"/>
            <w:noWrap w:val="false"/>
          </w:tcPr>
          <w:p>
            <w:pPr>
              <w:jc w:val="left"/>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23</w:t>
            </w:r>
            <w:r/>
          </w:p>
        </w:tc>
        <w:tc>
          <w:tcPr>
            <w:tcW w:w="1470" w:type="dxa"/>
            <w:vAlign w:val="center"/>
            <w:textDirection w:val="lrTb"/>
            <w:noWrap w:val="false"/>
          </w:tcPr>
          <w:p>
            <w:pPr>
              <w:jc w:val="left"/>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400万全彩高清智能半球</w:t>
            </w:r>
            <w:r/>
          </w:p>
        </w:tc>
        <w:tc>
          <w:tcPr>
            <w:tcW w:w="6095" w:type="dxa"/>
            <w:vAlign w:val="center"/>
            <w:textDirection w:val="lrTb"/>
            <w:noWrap w:val="false"/>
          </w:tcPr>
          <w:p>
            <w:pPr>
              <w:jc w:val="left"/>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400万全彩海螺型网络摄像机。</w:t>
            </w:r>
            <w:r/>
          </w:p>
          <w:p>
            <w:pPr>
              <w:jc w:val="left"/>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在2560x1440@25fps下，码率设定为2Mbps，清晰度不小于1400TVL。</w:t>
            </w:r>
            <w:r/>
          </w:p>
          <w:p>
            <w:pPr>
              <w:jc w:val="left"/>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内置1颗CPU、GPU、NPU于一体的芯片。</w:t>
            </w:r>
            <w:r/>
          </w:p>
          <w:p>
            <w:pPr>
              <w:jc w:val="left"/>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补光灯灯杯采用双层透镜结构，外表平面为柔光层，采用复眼式微透镜阵列，具有六边形阵列纹路;下层束光层为鳞甲TIR透镜，内壁具有鳞甲阵列纹路；补光灯开启后，灯光应为椭圆形形状，且补光灯均匀无波纹状、圆环状、麻点状、条纹状和不规则亮斑。(</w:t>
            </w:r>
            <w:r>
              <w:rPr>
                <w:rFonts w:ascii="仿宋" w:hAnsi="仿宋" w:eastAsia="仿宋" w:cs="宋体"/>
                <w:color w:val="000000" w:themeColor="text1"/>
                <w:sz w:val="24"/>
                <w:szCs w:val="24"/>
              </w:rPr>
              <w:t xml:space="preserve">投标人</w:t>
            </w:r>
            <w:r>
              <w:rPr>
                <w:rFonts w:hint="eastAsia" w:ascii="仿宋" w:hAnsi="仿宋" w:eastAsia="仿宋" w:cs="宋体"/>
                <w:color w:val="000000" w:themeColor="text1"/>
                <w:sz w:val="24"/>
                <w:szCs w:val="24"/>
              </w:rPr>
              <w:t xml:space="preserve">或产品</w:t>
            </w:r>
            <w:r>
              <w:rPr>
                <w:rFonts w:ascii="仿宋" w:hAnsi="仿宋" w:eastAsia="仿宋" w:cs="宋体"/>
                <w:color w:val="000000" w:themeColor="text1"/>
                <w:sz w:val="24"/>
                <w:szCs w:val="24"/>
              </w:rPr>
              <w:t xml:space="preserve">制造商</w:t>
            </w:r>
            <w:r>
              <w:rPr>
                <w:rFonts w:hint="eastAsia" w:ascii="仿宋" w:hAnsi="仿宋" w:eastAsia="仿宋" w:cs="宋体"/>
                <w:color w:val="000000" w:themeColor="text1"/>
                <w:sz w:val="24"/>
                <w:szCs w:val="24"/>
              </w:rPr>
              <w:t xml:space="preserve">需提供有效期内第三方权威机构出具的</w:t>
            </w:r>
            <w:r>
              <w:rPr>
                <w:rFonts w:ascii="仿宋" w:hAnsi="仿宋" w:eastAsia="仿宋" w:cs="宋体"/>
                <w:color w:val="000000" w:themeColor="text1"/>
                <w:sz w:val="24"/>
                <w:szCs w:val="24"/>
              </w:rPr>
              <w:t xml:space="preserve">检测报告</w:t>
            </w:r>
            <w:r>
              <w:rPr>
                <w:rFonts w:hint="eastAsia" w:ascii="仿宋" w:hAnsi="仿宋" w:eastAsia="仿宋" w:cs="宋体"/>
                <w:color w:val="000000" w:themeColor="text1"/>
                <w:sz w:val="24"/>
                <w:szCs w:val="24"/>
              </w:rPr>
              <w:t xml:space="preserve">原件扫描件)</w:t>
            </w:r>
            <w:r>
              <w:rPr>
                <w:rFonts w:ascii="仿宋" w:hAnsi="仿宋" w:eastAsia="仿宋" w:cs="宋体"/>
                <w:color w:val="000000" w:themeColor="text1"/>
                <w:sz w:val="24"/>
                <w:szCs w:val="24"/>
              </w:rPr>
              <w:t xml:space="preserve">。</w:t>
            </w:r>
            <w:r/>
          </w:p>
          <w:p>
            <w:pPr>
              <w:jc w:val="left"/>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开启补光灯，可识别距离样机30m处人体轮廓。</w:t>
            </w:r>
            <w:r/>
          </w:p>
          <w:p>
            <w:pPr>
              <w:jc w:val="left"/>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具有日夜场景自适应功能，在白天和夜晚环境下，样机均可输出彩色图像，在夜晚自动开启补光灯条件下，夜晚图像清晰度应不低于白天图像清晰度的95%。</w:t>
            </w:r>
            <w:r/>
          </w:p>
          <w:p>
            <w:pPr>
              <w:jc w:val="left"/>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具有AI-ISP图像质量提升功能，在低照度环境下，可自动调节预览场景视频画面中人脸、人体、车辆等目标及预览场景视频画面的区域曝光、亮度、色彩饱和度、对比度、锐度等。</w:t>
            </w:r>
            <w:r/>
          </w:p>
          <w:p>
            <w:pPr>
              <w:jc w:val="left"/>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可通过IE浏览器设置码流套餐为画质优先、均衡模式、存储优先及自定义4种类型。</w:t>
            </w:r>
            <w:r/>
          </w:p>
          <w:p>
            <w:pPr>
              <w:jc w:val="left"/>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当智能分析行为类型为移动侦测，报警目标设置为人形时，仅当检测场景中出现人形时触发报警，在设定区域内出现以下情况时，不触发报警：光线明暗变化、篮球滚动、狗行走、树摇晃、旗帜飘动、车辆。支持POE供电。</w:t>
            </w:r>
            <w:r/>
          </w:p>
          <w:p>
            <w:pPr>
              <w:jc w:val="left"/>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符合IP67防尘防水设计，可靠性高。</w:t>
            </w:r>
            <w:r/>
          </w:p>
        </w:tc>
        <w:tc>
          <w:tcPr>
            <w:tcW w:w="709" w:type="dxa"/>
            <w:vAlign w:val="center"/>
            <w:textDirection w:val="lrTb"/>
            <w:noWrap w:val="false"/>
          </w:tcPr>
          <w:p>
            <w:pPr>
              <w:jc w:val="left"/>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套</w:t>
            </w:r>
            <w:r/>
          </w:p>
        </w:tc>
        <w:tc>
          <w:tcPr>
            <w:tcW w:w="708" w:type="dxa"/>
            <w:vAlign w:val="center"/>
            <w:textDirection w:val="lrTb"/>
            <w:noWrap w:val="false"/>
          </w:tcPr>
          <w:p>
            <w:pPr>
              <w:jc w:val="left"/>
              <w:widowControl/>
              <w:rPr>
                <w:rFonts w:hint="eastAsia" w:ascii="仿宋" w:hAnsi="仿宋" w:eastAsia="仿宋" w:cs="宋体"/>
                <w:color w:val="000000" w:themeColor="text1"/>
                <w:sz w:val="24"/>
                <w:szCs w:val="24"/>
              </w:rPr>
            </w:pPr>
            <w:r>
              <w:rPr>
                <w:rFonts w:hint="eastAsia" w:ascii="仿宋" w:hAnsi="仿宋" w:eastAsia="仿宋" w:cs="宋体"/>
                <w:color w:val="000000" w:themeColor="text1"/>
                <w:sz w:val="24"/>
                <w:szCs w:val="24"/>
              </w:rPr>
              <w:t xml:space="preserve">2</w:t>
            </w:r>
            <w:r/>
          </w:p>
        </w:tc>
      </w:tr>
    </w:tbl>
    <w:p>
      <w:pPr>
        <w:pStyle w:val="1437"/>
        <w:ind w:firstLine="518"/>
        <w:spacing w:before="0" w:beforeAutospacing="0" w:after="0" w:afterAutospacing="0" w:line="560" w:lineRule="exact"/>
        <w:rPr>
          <w:rFonts w:hint="eastAsia" w:ascii="仿宋" w:hAnsi="仿宋" w:eastAsia="仿宋"/>
          <w:sz w:val="28"/>
          <w:szCs w:val="28"/>
        </w:rPr>
      </w:pPr>
      <w:r>
        <w:rPr>
          <w:rFonts w:hint="eastAsia" w:ascii="仿宋" w:hAnsi="仿宋" w:eastAsia="仿宋"/>
          <w:sz w:val="28"/>
          <w:szCs w:val="28"/>
        </w:rPr>
        <w:t xml:space="preserve">注：以上所采购货物配置的除有特殊要求外，其余均须按照标准功能、参数提供。供应的产品必须是全新合格正品，生产厂家须出具产品质保书。如系进口产品须提供相关证明，同时必须符合国家环保及相关质量标准要求。</w:t>
      </w:r>
      <w:bookmarkEnd w:id="41"/>
      <w:r/>
      <w:r/>
    </w:p>
    <w:p>
      <w:pPr>
        <w:pStyle w:val="1330"/>
        <w:ind w:left="378"/>
        <w:spacing w:line="440" w:lineRule="exact"/>
        <w:rPr>
          <w:rFonts w:hint="eastAsia" w:ascii="仿宋" w:hAnsi="仿宋" w:eastAsia="仿宋"/>
          <w:color w:val="000000"/>
          <w:sz w:val="28"/>
        </w:rPr>
      </w:pPr>
      <w:r>
        <w:rPr>
          <w:rFonts w:hint="eastAsia" w:ascii="仿宋" w:hAnsi="仿宋" w:eastAsia="仿宋"/>
          <w:color w:val="000000"/>
          <w:sz w:val="28"/>
          <w:szCs w:val="28"/>
        </w:rPr>
        <w:t xml:space="preserve">(二)</w:t>
      </w:r>
      <w:r>
        <w:rPr>
          <w:rFonts w:hint="eastAsia" w:ascii="仿宋" w:hAnsi="仿宋" w:eastAsia="仿宋"/>
          <w:color w:val="000000"/>
          <w:sz w:val="28"/>
        </w:rPr>
        <w:t xml:space="preserve">其他要求：</w:t>
      </w:r>
      <w:r/>
    </w:p>
    <w:p>
      <w:pPr>
        <w:ind w:firstLine="259"/>
        <w:jc w:val="left"/>
        <w:rPr>
          <w:rFonts w:hint="eastAsia" w:ascii="仿宋" w:hAnsi="仿宋" w:eastAsia="仿宋"/>
          <w:color w:val="000000"/>
          <w:sz w:val="28"/>
        </w:rPr>
      </w:pPr>
      <w:r>
        <w:rPr>
          <w:rFonts w:hint="eastAsia" w:ascii="仿宋" w:hAnsi="仿宋" w:eastAsia="仿宋"/>
          <w:color w:val="000000"/>
          <w:sz w:val="28"/>
          <w:szCs w:val="28"/>
        </w:rPr>
        <w:t xml:space="preserve">（1）</w:t>
      </w:r>
      <w:r>
        <w:rPr>
          <w:rFonts w:hint="eastAsia" w:ascii="仿宋" w:hAnsi="仿宋" w:eastAsia="仿宋"/>
          <w:color w:val="000000"/>
          <w:sz w:val="28"/>
        </w:rPr>
        <w:t xml:space="preserve">项目整体实施方案、进度计划安排：供应商应具备实施本次项目相应的技术能力，充分了解采购人现状和业务需求，与采购人等相关方充分沟通后，制定详细可行的项目实施方案，包括但不限于项目整体实施方案，进度计划安排，供货组织安排，安装、调试及验收方案，项目团队人员配置等；进行总体管控与协调，经采购人认可后方可开始实施。</w:t>
      </w:r>
      <w:r/>
    </w:p>
    <w:p>
      <w:pPr>
        <w:ind w:firstLine="259"/>
        <w:jc w:val="left"/>
        <w:rPr>
          <w:rFonts w:hint="eastAsia" w:ascii="仿宋" w:hAnsi="仿宋" w:eastAsia="仿宋"/>
          <w:color w:val="000000"/>
          <w:sz w:val="28"/>
          <w:szCs w:val="28"/>
        </w:rPr>
      </w:pPr>
      <w:r>
        <w:rPr>
          <w:rFonts w:hint="eastAsia" w:ascii="仿宋" w:hAnsi="仿宋" w:eastAsia="仿宋"/>
          <w:color w:val="000000"/>
          <w:sz w:val="28"/>
          <w:szCs w:val="28"/>
        </w:rPr>
        <w:t xml:space="preserve">（2）质量保证措施：供应商应针对本项目制定完整的质量保证措施，内容应包含质量监督管理措施，产品货源渠道（不限于制造商授权函、销售协议等），产品出厂生产的质量保障措施，运送过程中的产品保障措施，到货验收时的质量保障措施以及服务质量保障措施。同时应针对本项目设立专门的服务小组，并提供服务人员联系方式，负责与采购方的沟通协调，保障服务质量。</w:t>
      </w:r>
      <w:r/>
    </w:p>
    <w:p>
      <w:pPr>
        <w:ind w:firstLine="259"/>
        <w:jc w:val="left"/>
        <w:rPr>
          <w:rFonts w:hint="eastAsia" w:ascii="仿宋" w:hAnsi="仿宋" w:eastAsia="仿宋"/>
          <w:color w:val="000000"/>
          <w:sz w:val="28"/>
          <w:szCs w:val="28"/>
        </w:rPr>
      </w:pPr>
      <w:r>
        <w:rPr>
          <w:rFonts w:hint="eastAsia" w:ascii="仿宋" w:hAnsi="仿宋" w:eastAsia="仿宋"/>
          <w:color w:val="000000"/>
          <w:sz w:val="28"/>
        </w:rPr>
        <w:t xml:space="preserve">（3）售后服务方案：供应商应为实施本项目制定完整的售后服务方案，内容应包含售后服务承诺，售后服务方案（须包含服务内容、故障响应时间、售后服务方式等）。</w:t>
      </w:r>
      <w:r/>
    </w:p>
    <w:p>
      <w:pPr>
        <w:ind w:firstLine="259"/>
        <w:jc w:val="left"/>
        <w:rPr>
          <w:rFonts w:hint="eastAsia" w:ascii="仿宋" w:hAnsi="仿宋" w:eastAsia="仿宋"/>
          <w:color w:val="000000"/>
          <w:sz w:val="28"/>
        </w:rPr>
      </w:pPr>
      <w:r>
        <w:rPr>
          <w:rFonts w:hint="eastAsia" w:ascii="仿宋" w:hAnsi="仿宋" w:eastAsia="仿宋"/>
          <w:color w:val="000000"/>
          <w:sz w:val="28"/>
        </w:rPr>
        <w:t xml:space="preserve">（4）技术培训方案：供应商应为实施本项目配备相应的技术人员（项目负责人、</w:t>
      </w:r>
      <w:r>
        <w:rPr>
          <w:rFonts w:hint="eastAsia" w:ascii="仿宋" w:hAnsi="仿宋" w:eastAsia="仿宋"/>
          <w:color w:val="000000"/>
          <w:sz w:val="28"/>
        </w:rPr>
        <w:t xml:space="preserve">技术负责人等），特殊工作需持有上岗操作证。供应商应免费向采购人提供相关设备现场使用的操作培训（熟练掌握）。技术培训方案内容应包含培训计划，含培训计划表、地点、时间及培训对象人数等；培训内容含所提供产品的原理和技术性能、操作维护方法、安装调试、排除故障等。</w:t>
      </w:r>
      <w:r/>
    </w:p>
    <w:p>
      <w:pPr>
        <w:spacing w:line="560" w:lineRule="exact"/>
        <w:rPr>
          <w:rFonts w:hint="eastAsia" w:ascii="仿宋" w:hAnsi="仿宋" w:eastAsia="仿宋"/>
          <w:color w:val="000000"/>
          <w:sz w:val="28"/>
          <w:szCs w:val="28"/>
        </w:rPr>
      </w:pPr>
      <w:r>
        <w:rPr>
          <w:rFonts w:hint="eastAsia" w:ascii="仿宋" w:hAnsi="仿宋" w:eastAsia="仿宋"/>
          <w:color w:val="000000"/>
          <w:sz w:val="28"/>
          <w:szCs w:val="28"/>
        </w:rPr>
        <w:t xml:space="preserve">（三）</w:t>
      </w:r>
      <w:r>
        <w:rPr>
          <w:rFonts w:hint="eastAsia" w:ascii="仿宋" w:hAnsi="仿宋" w:eastAsia="仿宋"/>
          <w:b/>
          <w:bCs/>
          <w:color w:val="000000"/>
          <w:sz w:val="28"/>
          <w:szCs w:val="28"/>
        </w:rPr>
        <w:t xml:space="preserve">售后服务要求：</w:t>
      </w:r>
      <w:r/>
    </w:p>
    <w:p>
      <w:pPr>
        <w:ind w:firstLine="259"/>
        <w:jc w:val="left"/>
        <w:rPr>
          <w:rFonts w:hint="eastAsia" w:ascii="仿宋" w:hAnsi="仿宋" w:eastAsia="仿宋"/>
          <w:color w:val="000000"/>
          <w:sz w:val="28"/>
        </w:rPr>
      </w:pPr>
      <w:r>
        <w:rPr>
          <w:rFonts w:hint="eastAsia" w:ascii="仿宋" w:hAnsi="仿宋" w:eastAsia="仿宋"/>
          <w:color w:val="000000"/>
          <w:sz w:val="28"/>
        </w:rPr>
        <w:t xml:space="preserve">(1)验收通过之日起对产品质保 2年。质保期内，因设备配置或制造质量问题而引起的故障，乙方应在24小时内立即予以免费维修或更换，由此引起的一切费用由乙方承担。</w:t>
      </w:r>
      <w:r/>
    </w:p>
    <w:p>
      <w:pPr>
        <w:ind w:firstLine="259"/>
        <w:jc w:val="left"/>
        <w:rPr>
          <w:rFonts w:hint="eastAsia" w:ascii="仿宋" w:hAnsi="仿宋" w:eastAsia="仿宋"/>
          <w:color w:val="000000"/>
          <w:sz w:val="28"/>
        </w:rPr>
      </w:pPr>
      <w:r>
        <w:rPr>
          <w:rFonts w:hint="eastAsia" w:ascii="仿宋" w:hAnsi="仿宋" w:eastAsia="仿宋"/>
          <w:color w:val="000000"/>
          <w:sz w:val="28"/>
        </w:rPr>
        <w:t xml:space="preserve">(2)技术支持响应时间。一般问题2小时内电话支持，难点、重点问题2天内现场解决，质保期内相关费用由乙方承担，质保期满后乙方收取成本费。</w:t>
      </w:r>
      <w:r/>
    </w:p>
    <w:p>
      <w:pPr>
        <w:ind w:firstLine="259"/>
        <w:jc w:val="left"/>
        <w:rPr>
          <w:rFonts w:hint="eastAsia" w:ascii="仿宋" w:hAnsi="仿宋" w:eastAsia="仿宋"/>
          <w:color w:val="000000"/>
          <w:sz w:val="28"/>
        </w:rPr>
      </w:pPr>
      <w:r>
        <w:rPr>
          <w:rFonts w:hint="eastAsia" w:ascii="仿宋" w:hAnsi="仿宋" w:eastAsia="仿宋"/>
          <w:color w:val="000000"/>
          <w:sz w:val="28"/>
        </w:rPr>
        <w:t xml:space="preserve">除本文件规定服务要求外，供应商所能承诺的售后服务应详细说明，同时负责免费向采购人提供设备维修或操作人员的培训。</w:t>
      </w:r>
      <w:r/>
    </w:p>
    <w:p>
      <w:pPr>
        <w:pStyle w:val="1437"/>
        <w:ind w:firstLine="520"/>
        <w:spacing w:before="0" w:beforeAutospacing="0" w:after="0" w:afterAutospacing="0" w:line="580" w:lineRule="exact"/>
        <w:rPr>
          <w:rFonts w:hint="eastAsia" w:ascii="仿宋" w:hAnsi="仿宋" w:eastAsia="仿宋"/>
          <w:sz w:val="28"/>
          <w:szCs w:val="28"/>
        </w:rPr>
      </w:pPr>
      <w:r>
        <w:rPr>
          <w:rFonts w:hint="eastAsia" w:ascii="仿宋" w:hAnsi="仿宋" w:eastAsia="仿宋"/>
          <w:b/>
          <w:bCs/>
          <w:color w:val="000000"/>
          <w:sz w:val="28"/>
          <w:szCs w:val="28"/>
        </w:rPr>
        <w:t xml:space="preserve">5、供货及安装时间：</w:t>
      </w:r>
      <w:bookmarkStart w:id="48" w:name="_Hlk157930865"/>
      <w:r/>
      <w:bookmarkStart w:id="49" w:name="_Hlk156411969"/>
      <w:r>
        <w:rPr>
          <w:rFonts w:hint="eastAsia" w:ascii="仿宋" w:hAnsi="仿宋" w:eastAsia="仿宋"/>
          <w:sz w:val="28"/>
          <w:szCs w:val="28"/>
        </w:rPr>
        <w:t xml:space="preserve">采购合同签订后20天内供货安装完成。</w:t>
      </w:r>
      <w:bookmarkEnd w:id="48"/>
      <w:r>
        <w:rPr>
          <w:rFonts w:ascii="仿宋" w:hAnsi="仿宋" w:eastAsia="仿宋"/>
          <w:sz w:val="28"/>
          <w:szCs w:val="28"/>
        </w:rPr>
        <w:t xml:space="preserve"> </w:t>
      </w:r>
      <w:bookmarkEnd w:id="49"/>
      <w:r/>
      <w:r/>
    </w:p>
    <w:p>
      <w:pPr>
        <w:pStyle w:val="1437"/>
        <w:ind w:firstLine="510"/>
        <w:spacing w:before="0" w:beforeAutospacing="0" w:after="0" w:afterAutospacing="0" w:line="560" w:lineRule="exact"/>
        <w:rPr>
          <w:rFonts w:hint="eastAsia" w:ascii="仿宋" w:hAnsi="仿宋" w:eastAsia="仿宋"/>
          <w:sz w:val="28"/>
          <w:szCs w:val="28"/>
        </w:rPr>
      </w:pPr>
      <w:r>
        <w:rPr>
          <w:rFonts w:hint="eastAsia" w:ascii="仿宋" w:hAnsi="仿宋" w:eastAsia="仿宋"/>
          <w:b/>
          <w:bCs/>
          <w:sz w:val="28"/>
          <w:szCs w:val="28"/>
        </w:rPr>
        <w:t xml:space="preserve">6、付款方式：</w:t>
      </w:r>
      <w:r>
        <w:rPr>
          <w:rFonts w:ascii="仿宋" w:hAnsi="仿宋" w:eastAsia="仿宋"/>
          <w:sz w:val="28"/>
          <w:szCs w:val="28"/>
        </w:rPr>
        <w:t xml:space="preserve">采购合同签订后付合同价的30%，供货、安装完成并验收合格后付合同价的50%，调试合格后付合同价的10%，整体验收合格一年后结清余款。</w:t>
      </w:r>
      <w:r/>
    </w:p>
    <w:p>
      <w:pPr>
        <w:pStyle w:val="1437"/>
        <w:ind w:firstLine="510"/>
        <w:spacing w:before="0" w:beforeAutospacing="0" w:after="0" w:afterAutospacing="0" w:line="56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7、参照《关于印发中小企业划型标准规定的通知》（工信部联企业[2011]300号）文件，本项目采购标的所属</w:t>
      </w:r>
      <w:r>
        <w:rPr>
          <w:rFonts w:hint="eastAsia" w:ascii="仿宋" w:hAnsi="仿宋" w:eastAsia="仿宋" w:cs="仿宋"/>
          <w:b/>
          <w:sz w:val="28"/>
          <w:szCs w:val="28"/>
          <w:u w:val="single"/>
        </w:rPr>
        <w:t xml:space="preserve">  工业  </w:t>
      </w:r>
      <w:r>
        <w:rPr>
          <w:rFonts w:hint="eastAsia" w:ascii="仿宋" w:hAnsi="仿宋" w:eastAsia="仿宋" w:cs="仿宋"/>
          <w:b/>
          <w:color w:val="000000"/>
          <w:sz w:val="28"/>
          <w:szCs w:val="28"/>
          <w:u w:val="single"/>
        </w:rPr>
        <w:t xml:space="preserve">行业</w:t>
      </w:r>
      <w:r>
        <w:rPr>
          <w:rFonts w:hint="eastAsia" w:ascii="仿宋" w:hAnsi="仿宋" w:eastAsia="仿宋" w:cs="仿宋"/>
          <w:b/>
          <w:color w:val="000000"/>
          <w:sz w:val="28"/>
          <w:szCs w:val="28"/>
        </w:rPr>
        <w:t xml:space="preserve"> </w:t>
      </w:r>
      <w:r>
        <w:rPr>
          <w:rFonts w:hint="eastAsia" w:ascii="仿宋" w:hAnsi="仿宋" w:eastAsia="仿宋"/>
          <w:b/>
          <w:bCs/>
          <w:sz w:val="44"/>
        </w:rPr>
      </w:r>
      <w:r/>
      <w:r>
        <w:rPr>
          <w:rFonts w:hint="eastAsia" w:ascii="仿宋" w:hAnsi="仿宋" w:eastAsia="仿宋" w:cs="仿宋"/>
          <w:b/>
          <w:color w:val="000000"/>
          <w:sz w:val="28"/>
          <w:szCs w:val="28"/>
        </w:rPr>
      </w:r>
    </w:p>
    <w:p>
      <w:pPr>
        <w:pStyle w:val="1142"/>
      </w:pPr>
      <w:r/>
      <w:r/>
    </w:p>
    <w:p>
      <w:r/>
      <w:r/>
    </w:p>
    <w:p>
      <w:r/>
      <w:r/>
    </w:p>
    <w:p>
      <w:pPr>
        <w:jc w:val="left"/>
        <w:spacing w:line="560" w:lineRule="exact"/>
        <w:rPr>
          <w:rFonts w:hint="eastAsia" w:ascii="仿宋" w:hAnsi="仿宋" w:eastAsia="仿宋"/>
          <w:b/>
          <w:bCs/>
          <w:sz w:val="44"/>
          <w:szCs w:val="44"/>
        </w:rPr>
      </w:pPr>
      <w:r>
        <w:rPr>
          <w:rFonts w:hint="eastAsia" w:ascii="仿宋" w:hAnsi="仿宋" w:eastAsia="仿宋"/>
          <w:b/>
          <w:bCs/>
          <w:sz w:val="44"/>
          <w:szCs w:val="44"/>
        </w:rPr>
      </w:r>
      <w:r/>
    </w:p>
    <w:p>
      <w:pPr>
        <w:jc w:val="center"/>
        <w:spacing w:line="560" w:lineRule="exact"/>
        <w:rPr>
          <w:rFonts w:hint="eastAsia" w:ascii="仿宋" w:hAnsi="仿宋" w:eastAsia="仿宋"/>
          <w:b/>
          <w:bCs/>
          <w:sz w:val="44"/>
          <w:szCs w:val="44"/>
        </w:rPr>
      </w:pPr>
      <w:r>
        <w:rPr>
          <w:rFonts w:hint="eastAsia" w:ascii="仿宋" w:hAnsi="仿宋" w:eastAsia="仿宋"/>
          <w:b/>
          <w:bCs/>
          <w:sz w:val="44"/>
          <w:szCs w:val="44"/>
        </w:rPr>
        <w:t xml:space="preserve">第三部分  政府采购合同</w:t>
      </w:r>
      <w:r>
        <w:rPr>
          <w:rFonts w:hint="eastAsia" w:ascii="仿宋" w:hAnsi="仿宋" w:eastAsia="仿宋"/>
          <w:b/>
          <w:bCs/>
          <w:sz w:val="32"/>
        </w:rPr>
        <w:t xml:space="preserve">（参考）</w:t>
      </w:r>
      <w:r/>
    </w:p>
    <w:p>
      <w:pPr>
        <w:jc w:val="center"/>
        <w:spacing w:line="520" w:lineRule="exact"/>
        <w:rPr>
          <w:rFonts w:hint="eastAsia" w:ascii="仿宋" w:hAnsi="仿宋" w:eastAsia="仿宋"/>
          <w:sz w:val="24"/>
        </w:rPr>
      </w:pPr>
      <w:r>
        <w:rPr>
          <w:rFonts w:hint="eastAsia" w:ascii="仿宋" w:hAnsi="仿宋" w:eastAsia="仿宋"/>
          <w:sz w:val="24"/>
        </w:rPr>
      </w:r>
      <w:r/>
    </w:p>
    <w:p>
      <w:pPr>
        <w:pStyle w:val="1161"/>
        <w:jc w:val="center"/>
        <w:rPr>
          <w:rFonts w:ascii="宋体" w:hAnsi="宋体" w:cs="宋体"/>
          <w:spacing w:val="-20"/>
          <w:sz w:val="48"/>
          <w:szCs w:val="48"/>
        </w:rPr>
      </w:pPr>
      <w:r>
        <w:rPr>
          <w:rFonts w:hint="eastAsia" w:ascii="宋体" w:hAnsi="宋体" w:cs="宋体"/>
          <w:spacing w:val="-20"/>
          <w:sz w:val="48"/>
          <w:szCs w:val="48"/>
        </w:rPr>
        <w:t xml:space="preserve">政府采购货物买卖合同</w:t>
      </w:r>
      <w:r/>
    </w:p>
    <w:p>
      <w:pPr>
        <w:pStyle w:val="1161"/>
        <w:jc w:val="center"/>
        <w:rPr>
          <w:rFonts w:ascii="宋体" w:hAnsi="宋体" w:cs="宋体"/>
          <w:spacing w:val="-20"/>
          <w:sz w:val="48"/>
          <w:szCs w:val="48"/>
        </w:rPr>
      </w:pPr>
      <w:r>
        <w:rPr>
          <w:rFonts w:hint="eastAsia" w:ascii="宋体" w:hAnsi="宋体" w:cs="宋体"/>
          <w:spacing w:val="-20"/>
          <w:sz w:val="48"/>
          <w:szCs w:val="48"/>
        </w:rPr>
        <w:t xml:space="preserve">（试行）</w:t>
      </w:r>
      <w:r/>
    </w:p>
    <w:p>
      <w:pPr>
        <w:rPr>
          <w:rFonts w:hint="eastAsia" w:ascii="宋体" w:hAnsi="宋体" w:cs="宋体"/>
          <w:b/>
          <w:bCs/>
          <w:spacing w:val="-20"/>
          <w:sz w:val="40"/>
          <w:szCs w:val="40"/>
        </w:rPr>
      </w:pPr>
      <w:r>
        <w:rPr>
          <w:rFonts w:hint="eastAsia" w:ascii="宋体" w:hAnsi="宋体" w:cs="宋体"/>
          <w:b/>
          <w:bCs/>
          <w:spacing w:val="-20"/>
          <w:sz w:val="40"/>
          <w:szCs w:val="40"/>
        </w:rPr>
      </w:r>
      <w:r/>
    </w:p>
    <w:p>
      <w:pPr>
        <w:rPr>
          <w:rFonts w:hint="eastAsia" w:ascii="宋体" w:hAnsi="宋体" w:cs="宋体"/>
          <w:b/>
          <w:bCs/>
          <w:spacing w:val="-20"/>
          <w:sz w:val="40"/>
          <w:szCs w:val="40"/>
        </w:rPr>
      </w:pPr>
      <w:r>
        <w:rPr>
          <w:rFonts w:hint="eastAsia" w:ascii="宋体" w:hAnsi="宋体" w:cs="宋体"/>
          <w:b/>
          <w:bCs/>
          <w:spacing w:val="-20"/>
          <w:sz w:val="40"/>
          <w:szCs w:val="40"/>
        </w:rPr>
      </w:r>
      <w:r/>
    </w:p>
    <w:p>
      <w:pPr>
        <w:rPr>
          <w:rFonts w:hint="eastAsia" w:ascii="宋体" w:hAnsi="宋体" w:cs="宋体"/>
          <w:b/>
          <w:bCs/>
          <w:spacing w:val="-20"/>
          <w:sz w:val="40"/>
          <w:szCs w:val="40"/>
        </w:rPr>
      </w:pPr>
      <w:r>
        <w:rPr>
          <w:rFonts w:hint="eastAsia" w:ascii="宋体" w:hAnsi="宋体" w:cs="宋体"/>
          <w:b/>
          <w:bCs/>
          <w:spacing w:val="-20"/>
          <w:sz w:val="40"/>
          <w:szCs w:val="40"/>
        </w:rPr>
      </w:r>
      <w:r/>
    </w:p>
    <w:p>
      <w:pPr>
        <w:ind w:left="378"/>
        <w:spacing w:line="360" w:lineRule="auto"/>
        <w:rPr>
          <w:sz w:val="32"/>
          <w:szCs w:val="32"/>
        </w:rPr>
      </w:pPr>
      <w:r>
        <w:rPr>
          <w:rFonts w:hint="eastAsia" w:ascii="宋体" w:hAnsi="宋体" w:cs="宋体"/>
          <w:sz w:val="32"/>
          <w:szCs w:val="32"/>
        </w:rPr>
        <w:t xml:space="preserve">项目名称：</w:t>
      </w:r>
      <w:r>
        <w:rPr>
          <w:rFonts w:hint="eastAsia"/>
          <w:sz w:val="32"/>
          <w:szCs w:val="32"/>
          <w:u w:val="single"/>
        </w:rPr>
        <w:t xml:space="preserve">                             </w:t>
      </w:r>
      <w:r/>
    </w:p>
    <w:p>
      <w:pPr>
        <w:ind w:left="378"/>
        <w:spacing w:line="360" w:lineRule="auto"/>
        <w:rPr>
          <w:sz w:val="32"/>
          <w:szCs w:val="32"/>
          <w:u w:val="single"/>
        </w:rPr>
      </w:pPr>
      <w:r>
        <w:rPr>
          <w:rFonts w:hint="eastAsia"/>
          <w:sz w:val="32"/>
          <w:szCs w:val="32"/>
        </w:rPr>
        <w:t xml:space="preserve">合同编号：</w:t>
      </w:r>
      <w:r>
        <w:rPr>
          <w:rFonts w:hint="eastAsia"/>
          <w:sz w:val="32"/>
          <w:szCs w:val="32"/>
          <w:u w:val="single"/>
        </w:rPr>
        <w:t xml:space="preserve">                             </w:t>
      </w:r>
      <w:r/>
    </w:p>
    <w:p>
      <w:pPr>
        <w:ind w:left="378"/>
        <w:spacing w:line="360" w:lineRule="auto"/>
        <w:rPr>
          <w:sz w:val="32"/>
          <w:szCs w:val="32"/>
        </w:rPr>
      </w:pPr>
      <w:r>
        <w:rPr>
          <w:rFonts w:hint="eastAsia"/>
          <w:sz w:val="32"/>
          <w:szCs w:val="32"/>
        </w:rPr>
        <w:t xml:space="preserve">甲</w:t>
      </w:r>
      <w:r>
        <w:rPr>
          <w:rFonts w:hint="eastAsia"/>
          <w:sz w:val="32"/>
          <w:szCs w:val="32"/>
        </w:rPr>
        <w:t xml:space="preserve">    </w:t>
      </w:r>
      <w:r>
        <w:rPr>
          <w:rFonts w:hint="eastAsia"/>
          <w:sz w:val="32"/>
          <w:szCs w:val="32"/>
        </w:rPr>
        <w:t xml:space="preserve">方：</w:t>
      </w:r>
      <w:r>
        <w:rPr>
          <w:rFonts w:hint="eastAsia"/>
          <w:sz w:val="32"/>
          <w:szCs w:val="32"/>
          <w:u w:val="single"/>
        </w:rPr>
        <w:t xml:space="preserve">                             </w:t>
      </w:r>
      <w:r/>
    </w:p>
    <w:p>
      <w:pPr>
        <w:ind w:left="378"/>
        <w:spacing w:line="360" w:lineRule="auto"/>
        <w:rPr>
          <w:sz w:val="32"/>
          <w:szCs w:val="32"/>
          <w:u w:val="single"/>
        </w:rPr>
      </w:pPr>
      <w:r>
        <w:rPr>
          <w:rFonts w:hint="eastAsia"/>
          <w:sz w:val="32"/>
          <w:szCs w:val="32"/>
        </w:rPr>
        <w:t xml:space="preserve">乙</w:t>
      </w:r>
      <w:r>
        <w:rPr>
          <w:rFonts w:hint="eastAsia"/>
          <w:sz w:val="32"/>
          <w:szCs w:val="32"/>
        </w:rPr>
        <w:t xml:space="preserve">    </w:t>
      </w:r>
      <w:r>
        <w:rPr>
          <w:rFonts w:hint="eastAsia"/>
          <w:sz w:val="32"/>
          <w:szCs w:val="32"/>
        </w:rPr>
        <w:t xml:space="preserve">方：</w:t>
      </w:r>
      <w:r>
        <w:rPr>
          <w:rFonts w:hint="eastAsia"/>
          <w:sz w:val="32"/>
          <w:szCs w:val="32"/>
          <w:u w:val="single"/>
        </w:rPr>
        <w:t xml:space="preserve">                             </w:t>
      </w:r>
      <w:r/>
    </w:p>
    <w:p>
      <w:pPr>
        <w:ind w:left="378"/>
        <w:spacing w:line="360" w:lineRule="auto"/>
        <w:rPr>
          <w:sz w:val="32"/>
          <w:szCs w:val="32"/>
        </w:rPr>
      </w:pPr>
      <w:r>
        <w:rPr>
          <w:rFonts w:hint="eastAsia"/>
          <w:sz w:val="32"/>
          <w:szCs w:val="32"/>
        </w:rPr>
        <w:t xml:space="preserve">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r/>
    </w:p>
    <w:p>
      <w:r/>
      <w:r/>
    </w:p>
    <w:p>
      <w:pPr>
        <w:pStyle w:val="1142"/>
      </w:pPr>
      <w:r/>
      <w:r/>
    </w:p>
    <w:p>
      <w:pPr>
        <w:jc w:val="center"/>
        <w:rPr>
          <w:rFonts w:hint="eastAsia" w:asciiTheme="minorEastAsia" w:hAnsiTheme="minorEastAsia" w:eastAsiaTheme="minorEastAsia"/>
          <w:sz w:val="44"/>
          <w:szCs w:val="44"/>
        </w:rPr>
      </w:pPr>
      <w:r>
        <w:rPr>
          <w:rFonts w:hint="eastAsia" w:asciiTheme="minorEastAsia" w:hAnsiTheme="minorEastAsia" w:eastAsiaTheme="minorEastAsia"/>
          <w:sz w:val="44"/>
          <w:szCs w:val="44"/>
        </w:rPr>
        <w:t xml:space="preserve">使 用 说 明</w:t>
      </w:r>
      <w:r/>
    </w:p>
    <w:p>
      <w:pPr>
        <w:ind w:firstLine="598"/>
        <w:rPr>
          <w:rFonts w:hint="eastAsia" w:cs="仿宋_GB2312" w:asciiTheme="minorEastAsia" w:hAnsiTheme="minorEastAsia" w:eastAsiaTheme="minorEastAsia"/>
          <w:sz w:val="32"/>
          <w:szCs w:val="32"/>
        </w:rPr>
      </w:pPr>
      <w:r>
        <w:rPr>
          <w:rFonts w:hint="eastAsia" w:cs="仿宋_GB2312" w:asciiTheme="minorEastAsia" w:hAnsiTheme="minorEastAsia" w:eastAsiaTheme="minorEastAsia"/>
          <w:sz w:val="32"/>
          <w:szCs w:val="32"/>
        </w:rPr>
      </w:r>
      <w:r/>
    </w:p>
    <w:p>
      <w:pPr>
        <w:ind w:firstLine="598"/>
        <w:rPr>
          <w:rFonts w:hint="eastAsia" w:cs="仿宋_GB2312" w:asciiTheme="minorEastAsia" w:hAnsiTheme="minorEastAsia" w:eastAsiaTheme="minorEastAsia"/>
          <w:sz w:val="32"/>
          <w:szCs w:val="32"/>
        </w:rPr>
      </w:pPr>
      <w:r>
        <w:rPr>
          <w:rFonts w:hint="eastAsia" w:cs="仿宋_GB2312" w:asciiTheme="minorEastAsia" w:hAnsiTheme="minorEastAsia" w:eastAsiaTheme="minorEastAsia"/>
          <w:sz w:val="32"/>
          <w:szCs w:val="32"/>
        </w:rPr>
        <w:t xml:space="preserve">1.本合同标准文本适用于购买现成货物的采购项目，不包括需要供应商定制开发、创新研发的货物采购项目。</w:t>
      </w:r>
      <w:r/>
    </w:p>
    <w:p>
      <w:pPr>
        <w:rPr>
          <w:rFonts w:hint="eastAsia" w:asciiTheme="minorEastAsia" w:hAnsiTheme="minorEastAsia" w:eastAsiaTheme="minorEastAsia"/>
          <w:sz w:val="44"/>
          <w:szCs w:val="44"/>
        </w:rPr>
      </w:pPr>
      <w:r>
        <w:rPr>
          <w:rFonts w:hint="eastAsia" w:asciiTheme="minorEastAsia" w:hAnsiTheme="minorEastAsia" w:eastAsiaTheme="minorEastAsia"/>
          <w:sz w:val="44"/>
          <w:szCs w:val="44"/>
        </w:rPr>
        <w:t xml:space="preserve">   </w:t>
      </w:r>
      <w:r>
        <w:rPr>
          <w:rFonts w:hint="eastAsia" w:cs="仿宋_GB2312" w:asciiTheme="minorEastAsia" w:hAnsiTheme="minorEastAsia" w:eastAsiaTheme="minorEastAsia"/>
          <w:sz w:val="32"/>
          <w:szCs w:val="32"/>
        </w:rPr>
        <w:t xml:space="preserve">2.本合同标准文本为政府采购货物买卖合同编制提供参考，可以结合采购项目具体情况，对文本作必要的调整修订后使用。</w:t>
      </w:r>
      <w:r/>
    </w:p>
    <w:p>
      <w:pPr>
        <w:ind w:firstLine="598"/>
        <w:rPr>
          <w:rFonts w:hint="eastAsia" w:cs="仿宋_GB2312" w:asciiTheme="minorEastAsia" w:hAnsiTheme="minorEastAsia" w:eastAsiaTheme="minorEastAsia"/>
          <w:sz w:val="32"/>
          <w:szCs w:val="32"/>
        </w:rPr>
      </w:pPr>
      <w:r>
        <w:rPr>
          <w:rFonts w:hint="eastAsia" w:cs="仿宋_GB2312" w:asciiTheme="minorEastAsia" w:hAnsiTheme="minorEastAsia" w:eastAsiaTheme="minorEastAsia"/>
          <w:sz w:val="32"/>
          <w:szCs w:val="32"/>
        </w:rPr>
        <w:t xml:space="preserve">3.本合同标准文本各条款中，如涉及填写多家供应商、制造商，多种采购标的、分包主要内容等信息的，可根据采购项目具体情况添加信息项。</w:t>
      </w:r>
      <w:r/>
    </w:p>
    <w:p>
      <w:pPr>
        <w:jc w:val="center"/>
        <w:rPr>
          <w:rFonts w:hint="eastAsia" w:asciiTheme="minorEastAsia" w:hAnsiTheme="minorEastAsia" w:eastAsiaTheme="minorEastAsia"/>
          <w:b/>
          <w:bCs/>
          <w:sz w:val="44"/>
        </w:rPr>
      </w:pPr>
      <w:r>
        <w:rPr>
          <w:rFonts w:hint="eastAsia" w:asciiTheme="minorEastAsia" w:hAnsiTheme="minorEastAsia" w:eastAsiaTheme="minorEastAsia"/>
          <w:b/>
          <w:bCs/>
          <w:sz w:val="44"/>
        </w:rPr>
      </w:r>
      <w:r/>
    </w:p>
    <w:p>
      <w:pPr>
        <w:pStyle w:val="1142"/>
        <w:ind w:firstLine="0"/>
      </w:pPr>
      <w:r/>
      <w:r/>
    </w:p>
    <w:p>
      <w:r/>
      <w:r/>
    </w:p>
    <w:p>
      <w:pPr>
        <w:pStyle w:val="1142"/>
        <w:jc w:val="center"/>
        <w:spacing w:line="400" w:lineRule="exact"/>
        <w:rPr>
          <w:rFonts w:hint="eastAsia" w:ascii="黑体" w:hAnsi="华文中宋"/>
          <w:b/>
          <w:bCs w:val="0"/>
          <w:szCs w:val="28"/>
        </w:rPr>
      </w:pPr>
      <w:r>
        <w:rPr>
          <w:rFonts w:hint="eastAsia" w:ascii="黑体" w:hAnsi="黑体"/>
          <w:bCs w:val="0"/>
          <w:szCs w:val="28"/>
        </w:rPr>
        <w:t xml:space="preserve">第一节 </w:t>
      </w:r>
      <w:r>
        <w:rPr>
          <w:rFonts w:hint="eastAsia" w:ascii="黑体" w:hAnsi="华文中宋"/>
          <w:bCs w:val="0"/>
          <w:szCs w:val="28"/>
        </w:rPr>
        <w:t xml:space="preserve">政府采购合同协议书</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甲方（全称）：              （采购人、受采购人委托签订合同的单位或采购</w:t>
      </w:r>
      <w:r>
        <w:rPr>
          <w:rFonts w:hint="eastAsia" w:ascii="仿宋" w:hAnsi="仿宋" w:eastAsia="仿宋"/>
          <w:sz w:val="28"/>
          <w:szCs w:val="28"/>
        </w:rPr>
        <w:tab/>
        <w:t xml:space="preserve">                                   </w:t>
      </w:r>
      <w:r>
        <w:rPr>
          <w:rFonts w:hint="eastAsia" w:ascii="仿宋" w:hAnsi="仿宋" w:eastAsia="仿宋"/>
          <w:sz w:val="28"/>
          <w:szCs w:val="28"/>
        </w:rPr>
        <w:t xml:space="preserve">文件约定的合同甲方）</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乙方1（全称）：            （供应商）</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乙方2（全称）：             （联合体成员供应商或其他合同主体）（如有）</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乙方3（全称）                （联合体成员供应商或其他合同主体）（如有）</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1、项目信息</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（1）采购项目名称：</w:t>
      </w:r>
      <w:r/>
    </w:p>
    <w:p>
      <w:pPr>
        <w:ind w:firstLine="1036"/>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采购项目编号：</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（2）采购计划编号：</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（3）项目内容：</w:t>
      </w:r>
      <w:r/>
    </w:p>
    <w:p>
      <w:pPr>
        <w:ind w:firstLine="518"/>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采购标的及数量（台/套</w:t>
      </w:r>
      <w:r>
        <w:rPr>
          <w:rFonts w:ascii="仿宋" w:hAnsi="仿宋" w:eastAsia="仿宋"/>
          <w:sz w:val="28"/>
          <w:szCs w:val="28"/>
        </w:rPr>
        <w:t xml:space="preserve">/</w:t>
      </w:r>
      <w:r>
        <w:rPr>
          <w:rFonts w:hint="eastAsia" w:ascii="仿宋" w:hAnsi="仿宋" w:eastAsia="仿宋"/>
          <w:sz w:val="28"/>
          <w:szCs w:val="28"/>
        </w:rPr>
        <w:t xml:space="preserve">个</w:t>
      </w:r>
      <w:r>
        <w:rPr>
          <w:rFonts w:ascii="仿宋" w:hAnsi="仿宋" w:eastAsia="仿宋"/>
          <w:sz w:val="28"/>
          <w:szCs w:val="28"/>
        </w:rPr>
        <w:t xml:space="preserve">/</w:t>
      </w:r>
      <w:r>
        <w:rPr>
          <w:rFonts w:hint="eastAsia" w:ascii="仿宋" w:hAnsi="仿宋" w:eastAsia="仿宋"/>
          <w:sz w:val="28"/>
          <w:szCs w:val="28"/>
        </w:rPr>
        <w:t xml:space="preserve">架</w:t>
      </w:r>
      <w:r>
        <w:rPr>
          <w:rFonts w:ascii="仿宋" w:hAnsi="仿宋" w:eastAsia="仿宋"/>
          <w:sz w:val="28"/>
          <w:szCs w:val="28"/>
        </w:rPr>
        <w:t xml:space="preserve">/</w:t>
      </w:r>
      <w:r>
        <w:rPr>
          <w:rFonts w:hint="eastAsia" w:ascii="仿宋" w:hAnsi="仿宋" w:eastAsia="仿宋"/>
          <w:sz w:val="28"/>
          <w:szCs w:val="28"/>
        </w:rPr>
        <w:t xml:space="preserve">组等）： </w:t>
      </w:r>
      <w:r/>
    </w:p>
    <w:p>
      <w:pPr>
        <w:ind w:firstLine="518"/>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品牌：      </w:t>
      </w:r>
      <w:r>
        <w:rPr>
          <w:rFonts w:ascii="仿宋" w:hAnsi="仿宋" w:eastAsia="仿宋"/>
          <w:sz w:val="28"/>
          <w:szCs w:val="28"/>
        </w:rPr>
        <w:t xml:space="preserve">   </w:t>
      </w:r>
      <w:r>
        <w:rPr>
          <w:rFonts w:hint="eastAsia" w:ascii="仿宋" w:hAnsi="仿宋" w:eastAsia="仿宋"/>
          <w:sz w:val="28"/>
          <w:szCs w:val="28"/>
        </w:rPr>
        <w:t xml:space="preserve">    </w:t>
      </w:r>
      <w:r>
        <w:rPr>
          <w:rFonts w:ascii="仿宋" w:hAnsi="仿宋" w:eastAsia="仿宋"/>
          <w:sz w:val="28"/>
          <w:szCs w:val="28"/>
        </w:rPr>
        <w:t xml:space="preserve"> </w:t>
      </w:r>
      <w:r>
        <w:rPr>
          <w:rFonts w:hint="eastAsia" w:ascii="仿宋" w:hAnsi="仿宋" w:eastAsia="仿宋"/>
          <w:sz w:val="28"/>
          <w:szCs w:val="28"/>
        </w:rPr>
        <w:t xml:space="preserve"> </w:t>
      </w:r>
      <w:r>
        <w:rPr>
          <w:rFonts w:ascii="仿宋" w:hAnsi="仿宋" w:eastAsia="仿宋"/>
          <w:sz w:val="28"/>
          <w:szCs w:val="28"/>
        </w:rPr>
        <w:t xml:space="preserve">     </w:t>
      </w:r>
      <w:r>
        <w:rPr>
          <w:rFonts w:hint="eastAsia" w:ascii="仿宋" w:hAnsi="仿宋" w:eastAsia="仿宋"/>
          <w:sz w:val="28"/>
          <w:szCs w:val="28"/>
        </w:rPr>
        <w:t xml:space="preserve">规格型号：</w:t>
      </w:r>
      <w:r>
        <w:rPr>
          <w:rFonts w:ascii="仿宋" w:hAnsi="仿宋" w:eastAsia="仿宋"/>
          <w:sz w:val="28"/>
          <w:szCs w:val="28"/>
        </w:rPr>
        <w:t xml:space="preserve">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采购标的的技术要求、商务要求具体见附件。</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①涉及信息类产品，请填写该产品关键部件的品牌、型号：</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标的名称：      </w:t>
      </w:r>
      <w:r>
        <w:rPr>
          <w:rFonts w:ascii="仿宋" w:hAnsi="仿宋" w:eastAsia="仿宋"/>
          <w:sz w:val="28"/>
          <w:szCs w:val="28"/>
        </w:rPr>
        <w:t xml:space="preserve">               </w:t>
      </w:r>
      <w:r>
        <w:rPr>
          <w:rFonts w:hint="eastAsia" w:ascii="仿宋" w:hAnsi="仿宋" w:eastAsia="仿宋"/>
          <w:sz w:val="28"/>
          <w:szCs w:val="28"/>
        </w:rPr>
        <w:t xml:space="preserve">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关键部件：           品牌：         型号：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关键部件：           品牌：         型号：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关键部件：           品牌：         型号：       </w:t>
      </w:r>
      <w:r/>
    </w:p>
    <w:p>
      <w:pPr>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（注：关键部件是指财政部会同有关部门发布的政府采购需求标准规定的需要通过国</w:t>
      </w:r>
      <w:r/>
    </w:p>
    <w:p>
      <w:pPr>
        <w:jc w:val="center"/>
        <w:rPr>
          <w:rFonts w:hint="eastAsia" w:ascii="仿宋" w:hAnsi="仿宋" w:eastAsia="仿宋"/>
          <w:b/>
          <w:bCs/>
          <w:sz w:val="44"/>
        </w:rPr>
      </w:pPr>
      <w:r>
        <w:rPr>
          <w:rFonts w:hint="eastAsia" w:ascii="仿宋" w:hAnsi="仿宋" w:eastAsia="仿宋"/>
          <w:b/>
          <w:bCs/>
          <w:sz w:val="44"/>
        </w:rPr>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家有关部门指定的测评机构开展的安全可靠测评的软硬件，如CPU芯片、操作系统、数据库等。）</w:t>
      </w:r>
      <w:r/>
    </w:p>
    <w:p>
      <w:pPr>
        <w:ind w:firstLine="518"/>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②涉及车辆采购，请填写是否属于新能源汽车：</w:t>
      </w:r>
      <w:r/>
    </w:p>
    <w:p>
      <w:pPr>
        <w:ind w:firstLine="518"/>
        <w:spacing w:line="360" w:lineRule="auto"/>
        <w:tabs>
          <w:tab w:val="left" w:pos="851" w:leader="none"/>
        </w:tabs>
        <w:rPr>
          <w:rFonts w:hint="eastAsia" w:ascii="仿宋" w:hAnsi="仿宋" w:eastAsia="仿宋"/>
          <w:sz w:val="28"/>
          <w:szCs w:val="28"/>
        </w:rPr>
      </w:pPr>
      <w:r>
        <w:rPr>
          <w:rFonts w:ascii="Wingdings" w:hAnsi="Wingdings" w:eastAsia="Wingdings" w:cs="Wingdings"/>
          <w:sz w:val="28"/>
          <w:szCs w:val="28"/>
        </w:rPr>
        <w:t xml:space="preserve">¨</w:t>
      </w:r>
      <w:r>
        <w:rPr>
          <w:rFonts w:hint="eastAsia" w:ascii="仿宋" w:hAnsi="仿宋" w:eastAsia="仿宋"/>
          <w:sz w:val="28"/>
          <w:szCs w:val="28"/>
        </w:rPr>
        <w:t xml:space="preserve">是，《政府采购品目分类目录》底级品目名称：      数量：     金额：      </w:t>
      </w:r>
      <w:r/>
    </w:p>
    <w:p>
      <w:pPr>
        <w:ind w:firstLine="518"/>
        <w:spacing w:line="360" w:lineRule="auto"/>
        <w:tabs>
          <w:tab w:val="left" w:pos="851" w:leader="none"/>
        </w:tabs>
        <w:rPr>
          <w:rFonts w:hint="eastAsia" w:ascii="仿宋" w:hAnsi="仿宋" w:eastAsia="仿宋"/>
          <w:sz w:val="28"/>
          <w:szCs w:val="28"/>
        </w:rPr>
      </w:pPr>
      <w:r>
        <w:rPr>
          <w:rFonts w:ascii="Wingdings" w:hAnsi="Wingdings" w:eastAsia="Wingdings" w:cs="Wingdings"/>
          <w:sz w:val="28"/>
          <w:szCs w:val="28"/>
        </w:rPr>
        <w:t xml:space="preserve">¨</w:t>
      </w:r>
      <w:r>
        <w:rPr>
          <w:rFonts w:hint="eastAsia" w:ascii="仿宋" w:hAnsi="仿宋" w:eastAsia="仿宋"/>
          <w:sz w:val="28"/>
          <w:szCs w:val="28"/>
        </w:rPr>
        <w:t xml:space="preserve">否</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）政府采购组织形式：</w:t>
      </w:r>
      <w:r>
        <w:rPr>
          <w:rFonts w:ascii="Wingdings" w:hAnsi="Wingdings" w:eastAsia="Wingdings" w:cs="Wingdings"/>
          <w:sz w:val="28"/>
          <w:szCs w:val="28"/>
        </w:rPr>
        <w:t xml:space="preserve">¨</w:t>
      </w:r>
      <w:r>
        <w:rPr>
          <w:rFonts w:hint="eastAsia" w:ascii="仿宋" w:hAnsi="仿宋" w:eastAsia="仿宋"/>
          <w:sz w:val="28"/>
          <w:szCs w:val="28"/>
        </w:rPr>
        <w:t xml:space="preserve">政府集中采购  </w:t>
      </w:r>
      <w:r>
        <w:rPr>
          <w:rFonts w:ascii="Wingdings" w:hAnsi="Wingdings" w:eastAsia="Wingdings" w:cs="Wingdings"/>
          <w:sz w:val="28"/>
          <w:szCs w:val="28"/>
        </w:rPr>
        <w:t xml:space="preserve">¨</w:t>
      </w:r>
      <w:r>
        <w:rPr>
          <w:rFonts w:hint="eastAsia" w:ascii="仿宋" w:hAnsi="仿宋" w:eastAsia="仿宋"/>
          <w:sz w:val="28"/>
          <w:szCs w:val="28"/>
        </w:rPr>
        <w:t xml:space="preserve">部门集中采购  </w:t>
      </w:r>
      <w:r>
        <w:rPr>
          <w:rFonts w:ascii="Wingdings" w:hAnsi="Wingdings" w:eastAsia="Wingdings" w:cs="Wingdings"/>
          <w:sz w:val="28"/>
          <w:szCs w:val="28"/>
        </w:rPr>
        <w:t xml:space="preserve">¨</w:t>
      </w:r>
      <w:r>
        <w:rPr>
          <w:rFonts w:hint="eastAsia" w:ascii="仿宋" w:hAnsi="仿宋" w:eastAsia="仿宋"/>
          <w:sz w:val="28"/>
          <w:szCs w:val="28"/>
        </w:rPr>
        <w:t xml:space="preserve">分散采购</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）政府采购方式：</w:t>
      </w:r>
      <w:r>
        <w:rPr>
          <w:rFonts w:ascii="Wingdings" w:hAnsi="Wingdings" w:eastAsia="Wingdings" w:cs="Wingdings"/>
          <w:sz w:val="28"/>
          <w:szCs w:val="28"/>
        </w:rPr>
        <w:t xml:space="preserve">¨</w:t>
      </w:r>
      <w:r>
        <w:rPr>
          <w:rFonts w:hint="eastAsia" w:ascii="仿宋" w:hAnsi="仿宋" w:eastAsia="仿宋"/>
          <w:sz w:val="28"/>
          <w:szCs w:val="28"/>
        </w:rPr>
        <w:t xml:space="preserve">公开招标 </w:t>
      </w:r>
      <w:r>
        <w:rPr>
          <w:rFonts w:ascii="Wingdings" w:hAnsi="Wingdings" w:eastAsia="Wingdings" w:cs="Wingdings"/>
          <w:sz w:val="28"/>
          <w:szCs w:val="28"/>
        </w:rPr>
        <w:t xml:space="preserve">¨</w:t>
      </w:r>
      <w:r>
        <w:rPr>
          <w:rFonts w:hint="eastAsia" w:ascii="仿宋" w:hAnsi="仿宋" w:eastAsia="仿宋"/>
          <w:sz w:val="28"/>
          <w:szCs w:val="28"/>
        </w:rPr>
        <w:t xml:space="preserve">邀请招标 </w:t>
      </w:r>
      <w:r>
        <w:rPr>
          <w:rFonts w:ascii="Wingdings" w:hAnsi="Wingdings" w:eastAsia="Wingdings" w:cs="Wingdings"/>
          <w:sz w:val="28"/>
          <w:szCs w:val="28"/>
        </w:rPr>
        <w:t xml:space="preserve">¨</w:t>
      </w:r>
      <w:r>
        <w:rPr>
          <w:rFonts w:hint="eastAsia" w:ascii="仿宋" w:hAnsi="仿宋" w:eastAsia="仿宋"/>
          <w:sz w:val="28"/>
          <w:szCs w:val="28"/>
        </w:rPr>
        <w:t xml:space="preserve">竞争性谈判 </w:t>
      </w:r>
      <w:r>
        <w:rPr>
          <w:rFonts w:ascii="Wingdings" w:hAnsi="Wingdings" w:eastAsia="Wingdings" w:cs="Wingdings"/>
          <w:sz w:val="28"/>
          <w:szCs w:val="28"/>
        </w:rPr>
        <w:t xml:space="preserve">¨</w:t>
      </w:r>
      <w:r>
        <w:rPr>
          <w:rFonts w:hint="eastAsia" w:ascii="仿宋" w:hAnsi="仿宋" w:eastAsia="仿宋"/>
          <w:sz w:val="28"/>
          <w:szCs w:val="28"/>
        </w:rPr>
        <w:t xml:space="preserve">竞争性磋商</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w:t>
      </w:r>
      <w:r>
        <w:rPr>
          <w:rFonts w:ascii="Wingdings" w:hAnsi="Wingdings" w:eastAsia="Wingdings" w:cs="Wingdings"/>
          <w:sz w:val="28"/>
          <w:szCs w:val="28"/>
        </w:rPr>
        <w:t xml:space="preserve">¨</w:t>
      </w:r>
      <w:r>
        <w:rPr>
          <w:rFonts w:hint="eastAsia" w:ascii="仿宋" w:hAnsi="仿宋" w:eastAsia="仿宋"/>
          <w:sz w:val="28"/>
          <w:szCs w:val="28"/>
        </w:rPr>
        <w:t xml:space="preserve">询价 </w:t>
      </w:r>
      <w:r>
        <w:rPr>
          <w:rFonts w:ascii="Wingdings" w:hAnsi="Wingdings" w:eastAsia="Wingdings" w:cs="Wingdings"/>
          <w:sz w:val="28"/>
          <w:szCs w:val="28"/>
        </w:rPr>
        <w:t xml:space="preserve">¨</w:t>
      </w:r>
      <w:r>
        <w:rPr>
          <w:rFonts w:hint="eastAsia" w:ascii="仿宋" w:hAnsi="仿宋" w:eastAsia="仿宋"/>
          <w:sz w:val="28"/>
          <w:szCs w:val="28"/>
        </w:rPr>
        <w:t xml:space="preserve">单一来源 </w:t>
      </w:r>
      <w:r>
        <w:rPr>
          <w:rFonts w:ascii="Wingdings" w:hAnsi="Wingdings" w:eastAsia="Wingdings" w:cs="Wingdings"/>
          <w:sz w:val="28"/>
          <w:szCs w:val="28"/>
        </w:rPr>
        <w:t xml:space="preserve">¨</w:t>
      </w:r>
      <w:r>
        <w:rPr>
          <w:rFonts w:hint="eastAsia" w:ascii="仿宋" w:hAnsi="仿宋" w:eastAsia="仿宋"/>
          <w:sz w:val="28"/>
          <w:szCs w:val="28"/>
        </w:rPr>
        <w:t xml:space="preserve">框架协议 </w:t>
      </w:r>
      <w:r>
        <w:rPr>
          <w:rFonts w:ascii="Wingdings" w:hAnsi="Wingdings" w:eastAsia="Wingdings" w:cs="Wingdings"/>
          <w:sz w:val="28"/>
          <w:szCs w:val="28"/>
        </w:rPr>
        <w:t xml:space="preserve">¨</w:t>
      </w:r>
      <w:r>
        <w:rPr>
          <w:rFonts w:hint="eastAsia" w:ascii="仿宋" w:hAnsi="仿宋" w:eastAsia="仿宋"/>
          <w:sz w:val="28"/>
          <w:szCs w:val="28"/>
        </w:rPr>
        <w:t xml:space="preserve">其他：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（注：在框架协议采购的第二阶段，可选择使用该合同文本）</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w:t>
      </w:r>
      <w:r>
        <w:rPr>
          <w:rFonts w:ascii="仿宋" w:hAnsi="仿宋" w:eastAsia="仿宋"/>
          <w:sz w:val="28"/>
          <w:szCs w:val="28"/>
        </w:rPr>
        <w:t xml:space="preserve">6</w:t>
      </w:r>
      <w:r>
        <w:rPr>
          <w:rFonts w:hint="eastAsia" w:ascii="仿宋" w:hAnsi="仿宋" w:eastAsia="仿宋"/>
          <w:sz w:val="28"/>
          <w:szCs w:val="28"/>
        </w:rPr>
        <w:t xml:space="preserve">）中标（成交）采购标的制造商是否为中小企业：</w:t>
      </w:r>
      <w:r>
        <w:rPr>
          <w:rFonts w:ascii="Wingdings" w:hAnsi="Wingdings" w:eastAsia="Wingdings" w:cs="Wingdings"/>
          <w:sz w:val="28"/>
          <w:szCs w:val="28"/>
        </w:rPr>
        <w:t xml:space="preserve">¨</w:t>
      </w:r>
      <w:r>
        <w:rPr>
          <w:rFonts w:hint="eastAsia" w:ascii="仿宋" w:hAnsi="仿宋" w:eastAsia="仿宋"/>
          <w:sz w:val="28"/>
          <w:szCs w:val="28"/>
        </w:rPr>
        <w:t xml:space="preserve">是      </w:t>
      </w:r>
      <w:r>
        <w:rPr>
          <w:rFonts w:ascii="Wingdings" w:hAnsi="Wingdings" w:eastAsia="Wingdings" w:cs="Wingdings"/>
          <w:sz w:val="28"/>
          <w:szCs w:val="28"/>
        </w:rPr>
        <w:t xml:space="preserve">¨</w:t>
      </w:r>
      <w:r>
        <w:rPr>
          <w:rFonts w:hint="eastAsia" w:ascii="仿宋" w:hAnsi="仿宋" w:eastAsia="仿宋"/>
          <w:sz w:val="28"/>
          <w:szCs w:val="28"/>
        </w:rPr>
        <w:t xml:space="preserve">否</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本合同是否为专门面向中小企业的采购合同（中小企业预留合同）：</w:t>
      </w:r>
      <w:r>
        <w:rPr>
          <w:rFonts w:ascii="Wingdings" w:hAnsi="Wingdings" w:eastAsia="Wingdings" w:cs="Wingdings"/>
          <w:sz w:val="28"/>
          <w:szCs w:val="28"/>
        </w:rPr>
        <w:t xml:space="preserve">¨</w:t>
      </w:r>
      <w:r>
        <w:rPr>
          <w:rFonts w:hint="eastAsia" w:ascii="仿宋" w:hAnsi="仿宋" w:eastAsia="仿宋"/>
          <w:sz w:val="28"/>
          <w:szCs w:val="28"/>
        </w:rPr>
        <w:t xml:space="preserve">是    </w:t>
      </w:r>
      <w:r>
        <w:rPr>
          <w:rFonts w:ascii="Wingdings" w:hAnsi="Wingdings" w:eastAsia="Wingdings" w:cs="Wingdings"/>
          <w:sz w:val="28"/>
          <w:szCs w:val="28"/>
        </w:rPr>
        <w:t xml:space="preserve">¨</w:t>
      </w:r>
      <w:r>
        <w:rPr>
          <w:rFonts w:hint="eastAsia" w:ascii="仿宋" w:hAnsi="仿宋" w:eastAsia="仿宋"/>
          <w:sz w:val="28"/>
          <w:szCs w:val="28"/>
        </w:rPr>
        <w:t xml:space="preserve">否</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若本项目不专门面向中小企业采购，是否给予小微企业评审优惠：</w:t>
      </w:r>
      <w:r>
        <w:rPr>
          <w:rFonts w:ascii="Wingdings" w:hAnsi="Wingdings" w:eastAsia="Wingdings" w:cs="Wingdings"/>
          <w:sz w:val="28"/>
          <w:szCs w:val="28"/>
        </w:rPr>
        <w:t xml:space="preserve">¨</w:t>
      </w:r>
      <w:r>
        <w:rPr>
          <w:rFonts w:hint="eastAsia" w:ascii="仿宋" w:hAnsi="仿宋" w:eastAsia="仿宋"/>
          <w:sz w:val="28"/>
          <w:szCs w:val="28"/>
        </w:rPr>
        <w:t xml:space="preserve">是   </w:t>
      </w:r>
      <w:r>
        <w:rPr>
          <w:rFonts w:ascii="Wingdings" w:hAnsi="Wingdings" w:eastAsia="Wingdings" w:cs="Wingdings"/>
          <w:sz w:val="28"/>
          <w:szCs w:val="28"/>
        </w:rPr>
        <w:t xml:space="preserve">¨</w:t>
      </w:r>
      <w:r>
        <w:rPr>
          <w:rFonts w:hint="eastAsia" w:ascii="仿宋" w:hAnsi="仿宋" w:eastAsia="仿宋"/>
          <w:sz w:val="28"/>
          <w:szCs w:val="28"/>
        </w:rPr>
        <w:t xml:space="preserve">否</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中标（成交）采购标的制造商是否为残疾人福利性单位：</w:t>
      </w:r>
      <w:r>
        <w:rPr>
          <w:rFonts w:ascii="Wingdings" w:hAnsi="Wingdings" w:eastAsia="Wingdings" w:cs="Wingdings"/>
          <w:sz w:val="28"/>
          <w:szCs w:val="28"/>
        </w:rPr>
        <w:t xml:space="preserve">¨</w:t>
      </w:r>
      <w:r>
        <w:rPr>
          <w:rFonts w:hint="eastAsia" w:ascii="仿宋" w:hAnsi="仿宋" w:eastAsia="仿宋"/>
          <w:sz w:val="28"/>
          <w:szCs w:val="28"/>
        </w:rPr>
        <w:t xml:space="preserve">是   </w:t>
      </w:r>
      <w:r>
        <w:rPr>
          <w:rFonts w:ascii="Wingdings" w:hAnsi="Wingdings" w:eastAsia="Wingdings" w:cs="Wingdings"/>
          <w:sz w:val="28"/>
          <w:szCs w:val="28"/>
        </w:rPr>
        <w:t xml:space="preserve">¨</w:t>
      </w:r>
      <w:r>
        <w:rPr>
          <w:rFonts w:hint="eastAsia" w:ascii="仿宋" w:hAnsi="仿宋" w:eastAsia="仿宋"/>
          <w:sz w:val="28"/>
          <w:szCs w:val="28"/>
        </w:rPr>
        <w:t xml:space="preserve">否</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中标（成交）采购标的制造商是否为监狱企业：</w:t>
      </w:r>
      <w:r>
        <w:rPr>
          <w:rFonts w:ascii="Wingdings" w:hAnsi="Wingdings" w:eastAsia="Wingdings" w:cs="Wingdings"/>
          <w:sz w:val="28"/>
          <w:szCs w:val="28"/>
        </w:rPr>
        <w:t xml:space="preserve">¨</w:t>
      </w:r>
      <w:r>
        <w:rPr>
          <w:rFonts w:hint="eastAsia" w:ascii="仿宋" w:hAnsi="仿宋" w:eastAsia="仿宋"/>
          <w:sz w:val="28"/>
          <w:szCs w:val="28"/>
        </w:rPr>
        <w:t xml:space="preserve">是       </w:t>
      </w:r>
      <w:r>
        <w:rPr>
          <w:rFonts w:ascii="Wingdings" w:hAnsi="Wingdings" w:eastAsia="Wingdings" w:cs="Wingdings"/>
          <w:sz w:val="28"/>
          <w:szCs w:val="28"/>
        </w:rPr>
        <w:t xml:space="preserve">¨</w:t>
      </w:r>
      <w:r>
        <w:rPr>
          <w:rFonts w:hint="eastAsia" w:ascii="仿宋" w:hAnsi="仿宋" w:eastAsia="仿宋"/>
          <w:sz w:val="28"/>
          <w:szCs w:val="28"/>
        </w:rPr>
        <w:t xml:space="preserve">否</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7</w:t>
      </w:r>
      <w:r>
        <w:rPr>
          <w:rFonts w:hint="eastAsia" w:ascii="仿宋" w:hAnsi="仿宋" w:eastAsia="仿宋"/>
          <w:sz w:val="28"/>
          <w:szCs w:val="28"/>
        </w:rPr>
        <w:t xml:space="preserve">）合同是否分包：</w:t>
      </w:r>
      <w:r>
        <w:rPr>
          <w:rFonts w:ascii="Wingdings" w:hAnsi="Wingdings" w:eastAsia="Wingdings" w:cs="Wingdings"/>
          <w:sz w:val="28"/>
          <w:szCs w:val="28"/>
        </w:rPr>
        <w:t xml:space="preserve">¨</w:t>
      </w:r>
      <w:r>
        <w:rPr>
          <w:rFonts w:hint="eastAsia" w:ascii="仿宋" w:hAnsi="仿宋" w:eastAsia="仿宋"/>
          <w:sz w:val="28"/>
          <w:szCs w:val="28"/>
        </w:rPr>
        <w:t xml:space="preserve">是       </w:t>
      </w:r>
      <w:r>
        <w:rPr>
          <w:rFonts w:ascii="Wingdings" w:hAnsi="Wingdings" w:eastAsia="Wingdings" w:cs="Wingdings"/>
          <w:sz w:val="28"/>
          <w:szCs w:val="28"/>
        </w:rPr>
        <w:t xml:space="preserve">¨</w:t>
      </w:r>
      <w:r>
        <w:rPr>
          <w:rFonts w:hint="eastAsia" w:ascii="仿宋" w:hAnsi="仿宋" w:eastAsia="仿宋"/>
          <w:sz w:val="28"/>
          <w:szCs w:val="28"/>
        </w:rPr>
        <w:t xml:space="preserve">否</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分包主要内容：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分包供应商/制造商名称（如供应商和制造商不同，请分别填写）：</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分包供应商/制造商类型（如果供应商和制造商不同，只填写制造商类型）：</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w:t>
      </w:r>
      <w:r>
        <w:rPr>
          <w:rFonts w:ascii="Wingdings" w:hAnsi="Wingdings" w:eastAsia="Wingdings" w:cs="Wingdings"/>
          <w:sz w:val="28"/>
          <w:szCs w:val="28"/>
        </w:rPr>
        <w:t xml:space="preserve">¨</w:t>
      </w:r>
      <w:r>
        <w:rPr>
          <w:rFonts w:hint="eastAsia" w:ascii="仿宋" w:hAnsi="仿宋" w:eastAsia="仿宋"/>
          <w:sz w:val="28"/>
          <w:szCs w:val="28"/>
        </w:rPr>
        <w:t xml:space="preserve">大型企业  </w:t>
      </w:r>
      <w:r>
        <w:rPr>
          <w:rFonts w:ascii="Wingdings" w:hAnsi="Wingdings" w:eastAsia="Wingdings" w:cs="Wingdings"/>
          <w:sz w:val="28"/>
          <w:szCs w:val="28"/>
        </w:rPr>
        <w:t xml:space="preserve">¨</w:t>
      </w:r>
      <w:r>
        <w:rPr>
          <w:rFonts w:hint="eastAsia" w:ascii="仿宋" w:hAnsi="仿宋" w:eastAsia="仿宋"/>
          <w:sz w:val="28"/>
          <w:szCs w:val="28"/>
        </w:rPr>
        <w:t xml:space="preserve">中型企业  </w:t>
      </w:r>
      <w:r>
        <w:rPr>
          <w:rFonts w:ascii="Wingdings" w:hAnsi="Wingdings" w:eastAsia="Wingdings" w:cs="Wingdings"/>
          <w:sz w:val="28"/>
          <w:szCs w:val="28"/>
        </w:rPr>
        <w:t xml:space="preserve">¨</w:t>
      </w:r>
      <w:r>
        <w:rPr>
          <w:rFonts w:hint="eastAsia" w:ascii="仿宋" w:hAnsi="仿宋" w:eastAsia="仿宋"/>
          <w:sz w:val="28"/>
          <w:szCs w:val="28"/>
        </w:rPr>
        <w:t xml:space="preserve">小微型企业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w:t>
      </w:r>
      <w:r>
        <w:rPr>
          <w:rFonts w:ascii="Wingdings" w:hAnsi="Wingdings" w:eastAsia="Wingdings" w:cs="Wingdings"/>
          <w:sz w:val="28"/>
          <w:szCs w:val="28"/>
        </w:rPr>
        <w:t xml:space="preserve">¨</w:t>
      </w:r>
      <w:r>
        <w:rPr>
          <w:rFonts w:hint="eastAsia" w:ascii="仿宋" w:hAnsi="仿宋" w:eastAsia="仿宋"/>
          <w:sz w:val="28"/>
          <w:szCs w:val="28"/>
        </w:rPr>
        <w:t xml:space="preserve">残疾人福利性单位 </w:t>
      </w:r>
      <w:r>
        <w:rPr>
          <w:rFonts w:ascii="Wingdings" w:hAnsi="Wingdings" w:eastAsia="Wingdings" w:cs="Wingdings"/>
          <w:sz w:val="28"/>
          <w:szCs w:val="28"/>
        </w:rPr>
        <w:t xml:space="preserve">¨</w:t>
      </w:r>
      <w:r>
        <w:rPr>
          <w:rFonts w:hint="eastAsia" w:ascii="仿宋" w:hAnsi="仿宋" w:eastAsia="仿宋"/>
          <w:sz w:val="28"/>
          <w:szCs w:val="28"/>
        </w:rPr>
        <w:t xml:space="preserve">监狱企业 </w:t>
      </w:r>
      <w:r>
        <w:rPr>
          <w:rFonts w:ascii="Wingdings" w:hAnsi="Wingdings" w:eastAsia="Wingdings" w:cs="Wingdings"/>
          <w:sz w:val="28"/>
          <w:szCs w:val="28"/>
        </w:rPr>
        <w:t xml:space="preserve">¨</w:t>
      </w:r>
      <w:r>
        <w:rPr>
          <w:rFonts w:hint="eastAsia" w:ascii="仿宋" w:hAnsi="仿宋" w:eastAsia="仿宋"/>
          <w:sz w:val="28"/>
          <w:szCs w:val="28"/>
        </w:rPr>
        <w:t xml:space="preserve">其他</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8</w:t>
      </w:r>
      <w:r>
        <w:rPr>
          <w:rFonts w:hint="eastAsia" w:ascii="仿宋" w:hAnsi="仿宋" w:eastAsia="仿宋"/>
          <w:sz w:val="28"/>
          <w:szCs w:val="28"/>
        </w:rPr>
        <w:t xml:space="preserve">）中标（成交）供应商是否为外商投资企业：</w:t>
      </w:r>
      <w:r>
        <w:rPr>
          <w:rFonts w:ascii="Wingdings" w:hAnsi="Wingdings" w:eastAsia="Wingdings" w:cs="Wingdings"/>
          <w:sz w:val="28"/>
          <w:szCs w:val="28"/>
        </w:rPr>
        <w:t xml:space="preserve">¨</w:t>
      </w:r>
      <w:r>
        <w:rPr>
          <w:rFonts w:hint="eastAsia" w:ascii="仿宋" w:hAnsi="仿宋" w:eastAsia="仿宋"/>
          <w:sz w:val="28"/>
          <w:szCs w:val="28"/>
        </w:rPr>
        <w:t xml:space="preserve">是       </w:t>
      </w:r>
      <w:r>
        <w:rPr>
          <w:rFonts w:ascii="Wingdings" w:hAnsi="Wingdings" w:eastAsia="Wingdings" w:cs="Wingdings"/>
          <w:sz w:val="28"/>
          <w:szCs w:val="28"/>
        </w:rPr>
        <w:t xml:space="preserve">¨</w:t>
      </w:r>
      <w:r>
        <w:rPr>
          <w:rFonts w:hint="eastAsia" w:ascii="仿宋" w:hAnsi="仿宋" w:eastAsia="仿宋"/>
          <w:sz w:val="28"/>
          <w:szCs w:val="28"/>
        </w:rPr>
        <w:t xml:space="preserve">否</w:t>
      </w:r>
      <w:r/>
    </w:p>
    <w:p>
      <w:pPr>
        <w:ind w:firstLine="518"/>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外商投资企业类型：</w:t>
      </w:r>
      <w:r>
        <w:rPr>
          <w:rFonts w:ascii="Wingdings" w:hAnsi="Wingdings" w:eastAsia="Wingdings" w:cs="Wingdings"/>
          <w:sz w:val="28"/>
          <w:szCs w:val="28"/>
        </w:rPr>
        <w:t xml:space="preserve">¨</w:t>
      </w:r>
      <w:r>
        <w:rPr>
          <w:rFonts w:hint="eastAsia" w:ascii="仿宋" w:hAnsi="仿宋" w:eastAsia="仿宋"/>
          <w:sz w:val="28"/>
          <w:szCs w:val="28"/>
        </w:rPr>
        <w:t xml:space="preserve">全部由外国投资者投资  </w:t>
      </w:r>
      <w:r>
        <w:rPr>
          <w:rFonts w:ascii="Wingdings" w:hAnsi="Wingdings" w:eastAsia="Wingdings" w:cs="Wingdings"/>
          <w:sz w:val="28"/>
          <w:szCs w:val="28"/>
        </w:rPr>
        <w:t xml:space="preserve">¨</w:t>
      </w:r>
      <w:r>
        <w:rPr>
          <w:rFonts w:hint="eastAsia" w:ascii="仿宋" w:hAnsi="仿宋" w:eastAsia="仿宋"/>
          <w:sz w:val="28"/>
          <w:szCs w:val="28"/>
        </w:rPr>
        <w:t xml:space="preserve">部分由外国投资者投资</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9</w:t>
      </w:r>
      <w:r>
        <w:rPr>
          <w:rFonts w:hint="eastAsia" w:ascii="仿宋" w:hAnsi="仿宋" w:eastAsia="仿宋"/>
          <w:sz w:val="28"/>
          <w:szCs w:val="28"/>
        </w:rPr>
        <w:t xml:space="preserve">）是否涉及进口产品：</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w:t>
      </w:r>
      <w:r>
        <w:rPr>
          <w:rFonts w:ascii="Wingdings" w:hAnsi="Wingdings" w:eastAsia="Wingdings" w:cs="Wingdings"/>
          <w:sz w:val="28"/>
          <w:szCs w:val="28"/>
        </w:rPr>
        <w:t xml:space="preserve">¨</w:t>
      </w:r>
      <w:r>
        <w:rPr>
          <w:rFonts w:hint="eastAsia" w:ascii="仿宋" w:hAnsi="仿宋" w:eastAsia="仿宋"/>
          <w:sz w:val="28"/>
          <w:szCs w:val="28"/>
        </w:rPr>
        <w:t xml:space="preserve">是，《政府采购品目分类目录》底级品目名称：          金额：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国别：         品牌：         规格型号：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w:t>
      </w:r>
      <w:r>
        <w:rPr>
          <w:rFonts w:ascii="Wingdings" w:hAnsi="Wingdings" w:eastAsia="Wingdings" w:cs="Wingdings"/>
          <w:sz w:val="28"/>
          <w:szCs w:val="28"/>
        </w:rPr>
        <w:t xml:space="preserve">¨</w:t>
      </w:r>
      <w:r>
        <w:rPr>
          <w:rFonts w:hint="eastAsia" w:ascii="仿宋" w:hAnsi="仿宋" w:eastAsia="仿宋"/>
          <w:sz w:val="28"/>
          <w:szCs w:val="28"/>
        </w:rPr>
        <w:t xml:space="preserve">否</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（1</w:t>
      </w:r>
      <w:r>
        <w:rPr>
          <w:rFonts w:ascii="仿宋" w:hAnsi="仿宋" w:eastAsia="仿宋"/>
          <w:sz w:val="28"/>
          <w:szCs w:val="28"/>
        </w:rPr>
        <w:t xml:space="preserve">0</w:t>
      </w:r>
      <w:r>
        <w:rPr>
          <w:rFonts w:hint="eastAsia" w:ascii="仿宋" w:hAnsi="仿宋" w:eastAsia="仿宋"/>
          <w:sz w:val="28"/>
          <w:szCs w:val="28"/>
        </w:rPr>
        <w:t xml:space="preserve">）是否涉及节能产品：</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w:t>
      </w:r>
      <w:r>
        <w:rPr>
          <w:rFonts w:ascii="Wingdings" w:hAnsi="Wingdings" w:eastAsia="Wingdings" w:cs="Wingdings"/>
          <w:sz w:val="28"/>
          <w:szCs w:val="28"/>
        </w:rPr>
        <w:t xml:space="preserve">¨</w:t>
      </w:r>
      <w:r>
        <w:rPr>
          <w:rFonts w:hint="eastAsia" w:ascii="仿宋" w:hAnsi="仿宋" w:eastAsia="仿宋"/>
          <w:sz w:val="28"/>
          <w:szCs w:val="28"/>
        </w:rPr>
        <w:t xml:space="preserve">是，《节能产品政府采购品目清单》的底级品目名称：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w:t>
      </w:r>
      <w:r>
        <w:rPr>
          <w:rFonts w:ascii="Wingdings" w:hAnsi="Wingdings" w:eastAsia="Wingdings" w:cs="Wingdings"/>
          <w:sz w:val="28"/>
          <w:szCs w:val="28"/>
        </w:rPr>
        <w:t xml:space="preserve">¨</w:t>
      </w:r>
      <w:r>
        <w:rPr>
          <w:rFonts w:hint="eastAsia" w:ascii="仿宋" w:hAnsi="仿宋" w:eastAsia="仿宋"/>
          <w:sz w:val="28"/>
          <w:szCs w:val="28"/>
        </w:rPr>
        <w:t xml:space="preserve">强制采购       </w:t>
      </w:r>
      <w:r>
        <w:rPr>
          <w:rFonts w:ascii="Wingdings" w:hAnsi="Wingdings" w:eastAsia="Wingdings" w:cs="Wingdings"/>
          <w:sz w:val="28"/>
          <w:szCs w:val="28"/>
        </w:rPr>
        <w:t xml:space="preserve">¨</w:t>
      </w:r>
      <w:r>
        <w:rPr>
          <w:rFonts w:hint="eastAsia" w:ascii="仿宋" w:hAnsi="仿宋" w:eastAsia="仿宋"/>
          <w:sz w:val="28"/>
          <w:szCs w:val="28"/>
        </w:rPr>
        <w:t xml:space="preserve">优先采购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w:t>
      </w:r>
      <w:r>
        <w:rPr>
          <w:rFonts w:ascii="Wingdings" w:hAnsi="Wingdings" w:eastAsia="Wingdings" w:cs="Wingdings"/>
          <w:sz w:val="28"/>
          <w:szCs w:val="28"/>
        </w:rPr>
        <w:t xml:space="preserve">¨</w:t>
      </w:r>
      <w:r>
        <w:rPr>
          <w:rFonts w:hint="eastAsia" w:ascii="仿宋" w:hAnsi="仿宋" w:eastAsia="仿宋"/>
          <w:sz w:val="28"/>
          <w:szCs w:val="28"/>
        </w:rPr>
        <w:t xml:space="preserve">否</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是否涉及环境标志产品：</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w:t>
      </w:r>
      <w:r>
        <w:rPr>
          <w:rFonts w:ascii="Wingdings" w:hAnsi="Wingdings" w:eastAsia="Wingdings" w:cs="Wingdings"/>
          <w:sz w:val="28"/>
          <w:szCs w:val="28"/>
        </w:rPr>
        <w:t xml:space="preserve">¨</w:t>
      </w:r>
      <w:r>
        <w:rPr>
          <w:rFonts w:hint="eastAsia" w:ascii="仿宋" w:hAnsi="仿宋" w:eastAsia="仿宋"/>
          <w:sz w:val="28"/>
          <w:szCs w:val="28"/>
        </w:rPr>
        <w:t xml:space="preserve">是，《环境标志产品政府采购品目清单》的底级品目名称：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w:t>
      </w:r>
      <w:r>
        <w:rPr>
          <w:rFonts w:ascii="Wingdings" w:hAnsi="Wingdings" w:eastAsia="Wingdings" w:cs="Wingdings"/>
          <w:sz w:val="28"/>
          <w:szCs w:val="28"/>
        </w:rPr>
        <w:t xml:space="preserve">¨</w:t>
      </w:r>
      <w:r>
        <w:rPr>
          <w:rFonts w:hint="eastAsia" w:ascii="仿宋" w:hAnsi="仿宋" w:eastAsia="仿宋"/>
          <w:sz w:val="28"/>
          <w:szCs w:val="28"/>
        </w:rPr>
        <w:t xml:space="preserve">强制采购       </w:t>
      </w:r>
      <w:r>
        <w:rPr>
          <w:rFonts w:ascii="Wingdings" w:hAnsi="Wingdings" w:eastAsia="Wingdings" w:cs="Wingdings"/>
          <w:sz w:val="28"/>
          <w:szCs w:val="28"/>
        </w:rPr>
        <w:t xml:space="preserve">¨</w:t>
      </w:r>
      <w:r>
        <w:rPr>
          <w:rFonts w:hint="eastAsia" w:ascii="仿宋" w:hAnsi="仿宋" w:eastAsia="仿宋"/>
          <w:sz w:val="28"/>
          <w:szCs w:val="28"/>
        </w:rPr>
        <w:t xml:space="preserve">优先采购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w:t>
      </w:r>
      <w:r>
        <w:rPr>
          <w:rFonts w:ascii="Wingdings" w:hAnsi="Wingdings" w:eastAsia="Wingdings" w:cs="Wingdings"/>
          <w:sz w:val="28"/>
          <w:szCs w:val="28"/>
        </w:rPr>
        <w:t xml:space="preserve">¨</w:t>
      </w:r>
      <w:r>
        <w:rPr>
          <w:rFonts w:hint="eastAsia" w:ascii="仿宋" w:hAnsi="仿宋" w:eastAsia="仿宋"/>
          <w:sz w:val="28"/>
          <w:szCs w:val="28"/>
        </w:rPr>
        <w:t xml:space="preserve">否</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是否涉及绿色产品：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w:t>
      </w:r>
      <w:r>
        <w:rPr>
          <w:rFonts w:ascii="Wingdings" w:hAnsi="Wingdings" w:eastAsia="Wingdings" w:cs="Wingdings"/>
          <w:sz w:val="28"/>
          <w:szCs w:val="28"/>
        </w:rPr>
        <w:t xml:space="preserve">¨</w:t>
      </w:r>
      <w:r>
        <w:rPr>
          <w:rFonts w:hint="eastAsia" w:ascii="仿宋" w:hAnsi="仿宋" w:eastAsia="仿宋"/>
          <w:sz w:val="28"/>
          <w:szCs w:val="28"/>
        </w:rPr>
        <w:t xml:space="preserve">是，绿色产品政府采购相关政策确定的底级品目名称：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w:t>
      </w:r>
      <w:r>
        <w:rPr>
          <w:rFonts w:ascii="Wingdings" w:hAnsi="Wingdings" w:eastAsia="Wingdings" w:cs="Wingdings"/>
          <w:sz w:val="28"/>
          <w:szCs w:val="28"/>
        </w:rPr>
        <w:t xml:space="preserve">¨</w:t>
      </w:r>
      <w:r>
        <w:rPr>
          <w:rFonts w:hint="eastAsia" w:ascii="仿宋" w:hAnsi="仿宋" w:eastAsia="仿宋"/>
          <w:sz w:val="28"/>
          <w:szCs w:val="28"/>
        </w:rPr>
        <w:t xml:space="preserve">强制采购       </w:t>
      </w:r>
      <w:r>
        <w:rPr>
          <w:rFonts w:ascii="Wingdings" w:hAnsi="Wingdings" w:eastAsia="Wingdings" w:cs="Wingdings"/>
          <w:sz w:val="28"/>
          <w:szCs w:val="28"/>
        </w:rPr>
        <w:t xml:space="preserve">¨</w:t>
      </w:r>
      <w:r>
        <w:rPr>
          <w:rFonts w:hint="eastAsia" w:ascii="仿宋" w:hAnsi="仿宋" w:eastAsia="仿宋"/>
          <w:sz w:val="28"/>
          <w:szCs w:val="28"/>
        </w:rPr>
        <w:t xml:space="preserve">优先采购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w:t>
      </w:r>
      <w:r>
        <w:rPr>
          <w:rFonts w:ascii="Wingdings" w:hAnsi="Wingdings" w:eastAsia="Wingdings" w:cs="Wingdings"/>
          <w:sz w:val="28"/>
          <w:szCs w:val="28"/>
        </w:rPr>
        <w:t xml:space="preserve">¨</w:t>
      </w:r>
      <w:r>
        <w:rPr>
          <w:rFonts w:hint="eastAsia" w:ascii="仿宋" w:hAnsi="仿宋" w:eastAsia="仿宋"/>
          <w:sz w:val="28"/>
          <w:szCs w:val="28"/>
        </w:rPr>
        <w:t xml:space="preserve">否</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（1</w:t>
      </w:r>
      <w:r>
        <w:rPr>
          <w:rFonts w:ascii="仿宋" w:hAnsi="仿宋" w:eastAsia="仿宋"/>
          <w:sz w:val="28"/>
          <w:szCs w:val="28"/>
        </w:rPr>
        <w:t xml:space="preserve">1</w:t>
      </w:r>
      <w:r>
        <w:rPr>
          <w:rFonts w:hint="eastAsia" w:ascii="仿宋" w:hAnsi="仿宋" w:eastAsia="仿宋"/>
          <w:sz w:val="28"/>
          <w:szCs w:val="28"/>
        </w:rPr>
        <w:t xml:space="preserve">）涉及商品包装和快递包装的，是否参考《商品包装政府采购需求标准（试行）》、《快递包装政府采购需求标准（试行）》明确产品及相关快递服务的具体包装要求：</w:t>
      </w:r>
      <w:r/>
    </w:p>
    <w:p>
      <w:pPr>
        <w:ind w:firstLine="259"/>
        <w:spacing w:line="360" w:lineRule="auto"/>
        <w:tabs>
          <w:tab w:val="left" w:pos="851" w:leader="none"/>
        </w:tabs>
        <w:rPr>
          <w:rFonts w:hint="eastAsia" w:ascii="仿宋" w:hAnsi="仿宋" w:eastAsia="仿宋"/>
          <w:sz w:val="28"/>
          <w:szCs w:val="28"/>
        </w:rPr>
      </w:pPr>
      <w:r>
        <w:rPr>
          <w:rFonts w:ascii="Wingdings" w:hAnsi="Wingdings" w:eastAsia="Wingdings" w:cs="Wingdings"/>
          <w:sz w:val="28"/>
          <w:szCs w:val="28"/>
        </w:rPr>
        <w:t xml:space="preserve">¨</w:t>
      </w:r>
      <w:r>
        <w:rPr>
          <w:rFonts w:hint="eastAsia" w:ascii="仿宋" w:hAnsi="仿宋" w:eastAsia="仿宋"/>
          <w:sz w:val="28"/>
          <w:szCs w:val="28"/>
        </w:rPr>
        <w:t xml:space="preserve">是       </w:t>
      </w:r>
      <w:r>
        <w:rPr>
          <w:rFonts w:ascii="Wingdings" w:hAnsi="Wingdings" w:eastAsia="Wingdings" w:cs="Wingdings"/>
          <w:sz w:val="28"/>
          <w:szCs w:val="28"/>
        </w:rPr>
        <w:t xml:space="preserve">¨</w:t>
      </w:r>
      <w:r>
        <w:rPr>
          <w:rFonts w:hint="eastAsia" w:ascii="仿宋" w:hAnsi="仿宋" w:eastAsia="仿宋"/>
          <w:sz w:val="28"/>
          <w:szCs w:val="28"/>
        </w:rPr>
        <w:t xml:space="preserve">否      </w:t>
      </w:r>
      <w:r>
        <w:rPr>
          <w:rFonts w:ascii="Wingdings" w:hAnsi="Wingdings" w:eastAsia="Wingdings" w:cs="Wingdings"/>
          <w:sz w:val="28"/>
          <w:szCs w:val="28"/>
        </w:rPr>
        <w:t xml:space="preserve">¨</w:t>
      </w:r>
      <w:r>
        <w:rPr>
          <w:rFonts w:hint="eastAsia" w:ascii="仿宋" w:hAnsi="仿宋" w:eastAsia="仿宋"/>
          <w:sz w:val="28"/>
          <w:szCs w:val="28"/>
        </w:rPr>
        <w:t xml:space="preserve">不涉及</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合同金额</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（1）合同金额小写：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大写：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分包金额（如有）小写：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大写：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（注：固定单价合同应填写单价和最高限价）</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（2）合同定价方式（采用组合定价方式的，可以勾选多项）：</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w:t>
      </w:r>
      <w:r>
        <w:rPr>
          <w:rFonts w:ascii="Wingdings" w:hAnsi="Wingdings" w:eastAsia="Wingdings" w:cs="Wingdings"/>
          <w:sz w:val="28"/>
          <w:szCs w:val="28"/>
        </w:rPr>
        <w:t xml:space="preserve">¨</w:t>
      </w:r>
      <w:r>
        <w:rPr>
          <w:rFonts w:hint="eastAsia" w:ascii="仿宋" w:hAnsi="仿宋" w:eastAsia="仿宋"/>
          <w:sz w:val="28"/>
          <w:szCs w:val="28"/>
        </w:rPr>
        <w:t xml:space="preserve">固定总价 </w:t>
      </w:r>
      <w:r>
        <w:rPr>
          <w:rFonts w:ascii="Wingdings" w:hAnsi="Wingdings" w:eastAsia="Wingdings" w:cs="Wingdings"/>
          <w:sz w:val="28"/>
          <w:szCs w:val="28"/>
        </w:rPr>
        <w:t xml:space="preserve">¨</w:t>
      </w:r>
      <w:r>
        <w:rPr>
          <w:rFonts w:hint="eastAsia" w:ascii="仿宋" w:hAnsi="仿宋" w:eastAsia="仿宋"/>
          <w:sz w:val="28"/>
          <w:szCs w:val="28"/>
        </w:rPr>
        <w:t xml:space="preserve">固定单价 </w:t>
      </w:r>
      <w:r>
        <w:rPr>
          <w:rFonts w:ascii="Wingdings" w:hAnsi="Wingdings" w:eastAsia="Wingdings" w:cs="Wingdings"/>
          <w:sz w:val="28"/>
          <w:szCs w:val="28"/>
        </w:rPr>
        <w:t xml:space="preserve">¨</w:t>
      </w:r>
      <w:r>
        <w:rPr>
          <w:rFonts w:hint="eastAsia" w:ascii="仿宋" w:hAnsi="仿宋" w:eastAsia="仿宋"/>
          <w:sz w:val="28"/>
          <w:szCs w:val="28"/>
        </w:rPr>
        <w:t xml:space="preserve">固定费率 </w:t>
      </w:r>
      <w:r>
        <w:rPr>
          <w:rFonts w:ascii="Wingdings" w:hAnsi="Wingdings" w:eastAsia="Wingdings" w:cs="Wingdings"/>
          <w:sz w:val="28"/>
          <w:szCs w:val="28"/>
        </w:rPr>
        <w:t xml:space="preserve">¨</w:t>
      </w:r>
      <w:r>
        <w:rPr>
          <w:rFonts w:hint="eastAsia" w:ascii="仿宋" w:hAnsi="仿宋" w:eastAsia="仿宋"/>
          <w:sz w:val="28"/>
          <w:szCs w:val="28"/>
        </w:rPr>
        <w:t xml:space="preserve">成本补偿 </w:t>
      </w:r>
      <w:r>
        <w:rPr>
          <w:rFonts w:ascii="Wingdings" w:hAnsi="Wingdings" w:eastAsia="Wingdings" w:cs="Wingdings"/>
          <w:sz w:val="28"/>
          <w:szCs w:val="28"/>
        </w:rPr>
        <w:t xml:space="preserve">¨</w:t>
      </w:r>
      <w:r>
        <w:rPr>
          <w:rFonts w:hint="eastAsia" w:ascii="仿宋" w:hAnsi="仿宋" w:eastAsia="仿宋"/>
          <w:sz w:val="28"/>
          <w:szCs w:val="28"/>
        </w:rPr>
        <w:t xml:space="preserve">绩效激励 </w:t>
      </w:r>
      <w:r>
        <w:rPr>
          <w:rFonts w:ascii="Wingdings" w:hAnsi="Wingdings" w:eastAsia="Wingdings" w:cs="Wingdings"/>
          <w:sz w:val="28"/>
          <w:szCs w:val="28"/>
        </w:rPr>
        <w:t xml:space="preserve">¨</w:t>
      </w:r>
      <w:r>
        <w:rPr>
          <w:rFonts w:hint="eastAsia" w:ascii="仿宋" w:hAnsi="仿宋" w:eastAsia="仿宋"/>
          <w:sz w:val="28"/>
          <w:szCs w:val="28"/>
        </w:rPr>
        <w:t xml:space="preserve">其他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（3）付款方式（按项目实际勾选填写）：</w:t>
      </w:r>
      <w:r/>
    </w:p>
    <w:p>
      <w:pPr>
        <w:ind w:firstLine="259"/>
        <w:spacing w:line="360" w:lineRule="auto"/>
        <w:tabs>
          <w:tab w:val="left" w:pos="851" w:leader="none"/>
        </w:tabs>
        <w:rPr>
          <w:rFonts w:hint="eastAsia" w:ascii="仿宋" w:hAnsi="仿宋" w:eastAsia="仿宋"/>
          <w:sz w:val="28"/>
          <w:szCs w:val="28"/>
        </w:rPr>
      </w:pPr>
      <w:r>
        <w:rPr>
          <w:rFonts w:ascii="Wingdings" w:hAnsi="Wingdings" w:eastAsia="Wingdings" w:cs="Wingdings"/>
          <w:sz w:val="28"/>
          <w:szCs w:val="28"/>
        </w:rPr>
        <w:t xml:space="preserve">¨</w:t>
      </w:r>
      <w:r>
        <w:rPr>
          <w:rFonts w:hint="eastAsia" w:ascii="仿宋" w:hAnsi="仿宋" w:eastAsia="仿宋"/>
          <w:sz w:val="28"/>
          <w:szCs w:val="28"/>
        </w:rPr>
        <w:t xml:space="preserve">全额付款：     （应明确一次性支付合同款项的条件）                    </w:t>
      </w:r>
      <w:r/>
    </w:p>
    <w:p>
      <w:pPr>
        <w:ind w:firstLine="259"/>
        <w:spacing w:line="360" w:lineRule="auto"/>
        <w:tabs>
          <w:tab w:val="left" w:pos="851" w:leader="none"/>
        </w:tabs>
        <w:rPr>
          <w:rFonts w:hint="eastAsia" w:ascii="仿宋" w:hAnsi="仿宋" w:eastAsia="仿宋"/>
          <w:sz w:val="28"/>
          <w:szCs w:val="28"/>
        </w:rPr>
      </w:pPr>
      <w:r>
        <w:rPr>
          <w:rFonts w:ascii="Wingdings" w:hAnsi="Wingdings" w:eastAsia="Wingdings" w:cs="Wingdings"/>
          <w:sz w:val="28"/>
          <w:szCs w:val="28"/>
        </w:rPr>
        <w:t xml:space="preserve">¨</w:t>
      </w:r>
      <w:r>
        <w:rPr>
          <w:rFonts w:hint="eastAsia" w:ascii="仿宋" w:hAnsi="仿宋" w:eastAsia="仿宋"/>
          <w:sz w:val="28"/>
          <w:szCs w:val="28"/>
        </w:rPr>
        <w:t xml:space="preserve">分期付款：  （应明确分期支付合同款项的各期比例和支付条件，各期支付条件应与分期履约验收情况挂钩） ，其中涉及预付款的： （应明确预付款的支付比例和支付条件） </w:t>
      </w:r>
      <w:r/>
    </w:p>
    <w:p>
      <w:pPr>
        <w:ind w:firstLine="259"/>
        <w:spacing w:line="360" w:lineRule="auto"/>
        <w:tabs>
          <w:tab w:val="left" w:pos="851" w:leader="none"/>
        </w:tabs>
        <w:rPr>
          <w:rFonts w:hint="eastAsia" w:ascii="仿宋" w:hAnsi="仿宋" w:eastAsia="仿宋"/>
          <w:sz w:val="28"/>
          <w:szCs w:val="28"/>
        </w:rPr>
      </w:pPr>
      <w:r>
        <w:rPr>
          <w:rFonts w:ascii="Wingdings" w:hAnsi="Wingdings" w:eastAsia="Wingdings" w:cs="Wingdings"/>
          <w:sz w:val="28"/>
          <w:szCs w:val="28"/>
        </w:rPr>
        <w:t xml:space="preserve">¨</w:t>
      </w:r>
      <w:r>
        <w:rPr>
          <w:rFonts w:hint="eastAsia" w:ascii="仿宋" w:hAnsi="仿宋" w:eastAsia="仿宋"/>
          <w:sz w:val="28"/>
          <w:szCs w:val="28"/>
        </w:rPr>
        <w:t xml:space="preserve">成本补偿：      （应明确按照成本补偿方式的支付方式和支付条件）   </w:t>
      </w:r>
      <w:r/>
    </w:p>
    <w:p>
      <w:pPr>
        <w:ind w:firstLine="259"/>
        <w:spacing w:line="360" w:lineRule="auto"/>
        <w:tabs>
          <w:tab w:val="left" w:pos="851" w:leader="none"/>
        </w:tabs>
        <w:rPr>
          <w:rFonts w:hint="eastAsia" w:ascii="仿宋" w:hAnsi="仿宋" w:eastAsia="仿宋"/>
          <w:sz w:val="28"/>
          <w:szCs w:val="28"/>
        </w:rPr>
      </w:pPr>
      <w:r>
        <w:rPr>
          <w:rFonts w:ascii="Wingdings" w:hAnsi="Wingdings" w:eastAsia="Wingdings" w:cs="Wingdings"/>
          <w:sz w:val="28"/>
          <w:szCs w:val="28"/>
        </w:rPr>
        <w:t xml:space="preserve">¨</w:t>
      </w:r>
      <w:r>
        <w:rPr>
          <w:rFonts w:hint="eastAsia" w:ascii="仿宋" w:hAnsi="仿宋" w:eastAsia="仿宋"/>
          <w:sz w:val="28"/>
          <w:szCs w:val="28"/>
        </w:rPr>
        <w:t xml:space="preserve">绩效激励：      （应明确按照绩效激励方式的支付方式和支付条件）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合同履行</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（1）起始日期：    年   月   日，完成日期：    年   月   日。</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（2）履约地点：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（3）履约担保：是否收取履约保证金：</w:t>
      </w:r>
      <w:r>
        <w:rPr>
          <w:rFonts w:ascii="Wingdings" w:hAnsi="Wingdings" w:eastAsia="Wingdings" w:cs="Wingdings"/>
          <w:sz w:val="28"/>
          <w:szCs w:val="28"/>
        </w:rPr>
        <w:t xml:space="preserve">¨</w:t>
      </w:r>
      <w:r>
        <w:rPr>
          <w:rFonts w:hint="eastAsia" w:ascii="仿宋" w:hAnsi="仿宋" w:eastAsia="仿宋"/>
          <w:sz w:val="28"/>
          <w:szCs w:val="28"/>
        </w:rPr>
        <w:t xml:space="preserve">是    </w:t>
      </w:r>
      <w:r>
        <w:rPr>
          <w:rFonts w:ascii="Wingdings" w:hAnsi="Wingdings" w:eastAsia="Wingdings" w:cs="Wingdings"/>
          <w:sz w:val="28"/>
          <w:szCs w:val="28"/>
        </w:rPr>
        <w:t xml:space="preserve">¨</w:t>
      </w:r>
      <w:r>
        <w:rPr>
          <w:rFonts w:hint="eastAsia" w:ascii="仿宋" w:hAnsi="仿宋" w:eastAsia="仿宋"/>
          <w:sz w:val="28"/>
          <w:szCs w:val="28"/>
        </w:rPr>
        <w:t xml:space="preserve">否</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收取履约保证金形式：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收取履约保证金金额：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履约担保期限：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（4）分期履行要求：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（5）风险处置措施和替代方案：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合同验收</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验收组织方式：</w:t>
      </w:r>
      <w:r>
        <w:rPr>
          <w:rFonts w:ascii="Wingdings" w:hAnsi="Wingdings" w:eastAsia="Wingdings" w:cs="Wingdings"/>
          <w:sz w:val="28"/>
          <w:szCs w:val="28"/>
        </w:rPr>
        <w:t xml:space="preserve">¨</w:t>
      </w:r>
      <w:r>
        <w:rPr>
          <w:rFonts w:hint="eastAsia" w:ascii="仿宋" w:hAnsi="仿宋" w:eastAsia="仿宋"/>
          <w:sz w:val="28"/>
          <w:szCs w:val="28"/>
        </w:rPr>
        <w:t xml:space="preserve">自行组织 </w:t>
      </w:r>
      <w:r>
        <w:rPr>
          <w:rFonts w:ascii="Wingdings" w:hAnsi="Wingdings" w:eastAsia="Wingdings" w:cs="Wingdings"/>
          <w:sz w:val="28"/>
          <w:szCs w:val="28"/>
        </w:rPr>
        <w:t xml:space="preserve">¨</w:t>
      </w:r>
      <w:r>
        <w:rPr>
          <w:rFonts w:hint="eastAsia" w:ascii="仿宋" w:hAnsi="仿宋" w:eastAsia="仿宋"/>
          <w:sz w:val="28"/>
          <w:szCs w:val="28"/>
        </w:rPr>
        <w:t xml:space="preserve">委托第三方组织</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验收主体：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是否邀请本项目的其他供应商参加验收：</w:t>
      </w:r>
      <w:r>
        <w:rPr>
          <w:rFonts w:ascii="Wingdings" w:hAnsi="Wingdings" w:eastAsia="Wingdings" w:cs="Wingdings"/>
          <w:sz w:val="28"/>
          <w:szCs w:val="28"/>
        </w:rPr>
        <w:t xml:space="preserve">¨</w:t>
      </w:r>
      <w:r>
        <w:rPr>
          <w:rFonts w:hint="eastAsia" w:ascii="仿宋" w:hAnsi="仿宋" w:eastAsia="仿宋"/>
          <w:sz w:val="28"/>
          <w:szCs w:val="28"/>
        </w:rPr>
        <w:t xml:space="preserve">是  </w:t>
      </w:r>
      <w:r>
        <w:rPr>
          <w:rFonts w:ascii="Wingdings" w:hAnsi="Wingdings" w:eastAsia="Wingdings" w:cs="Wingdings"/>
          <w:sz w:val="28"/>
          <w:szCs w:val="28"/>
        </w:rPr>
        <w:t xml:space="preserve">¨</w:t>
      </w:r>
      <w:r>
        <w:rPr>
          <w:rFonts w:hint="eastAsia" w:ascii="仿宋" w:hAnsi="仿宋" w:eastAsia="仿宋"/>
          <w:sz w:val="28"/>
          <w:szCs w:val="28"/>
        </w:rPr>
        <w:t xml:space="preserve">否</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是否邀请专家参加验收：</w:t>
      </w:r>
      <w:r>
        <w:rPr>
          <w:rFonts w:ascii="Wingdings" w:hAnsi="Wingdings" w:eastAsia="Wingdings" w:cs="Wingdings"/>
          <w:sz w:val="28"/>
          <w:szCs w:val="28"/>
        </w:rPr>
        <w:t xml:space="preserve">¨</w:t>
      </w:r>
      <w:r>
        <w:rPr>
          <w:rFonts w:hint="eastAsia" w:ascii="仿宋" w:hAnsi="仿宋" w:eastAsia="仿宋"/>
          <w:sz w:val="28"/>
          <w:szCs w:val="28"/>
        </w:rPr>
        <w:t xml:space="preserve">是  </w:t>
      </w:r>
      <w:r>
        <w:rPr>
          <w:rFonts w:ascii="Wingdings" w:hAnsi="Wingdings" w:eastAsia="Wingdings" w:cs="Wingdings"/>
          <w:sz w:val="28"/>
          <w:szCs w:val="28"/>
        </w:rPr>
        <w:t xml:space="preserve">¨</w:t>
      </w:r>
      <w:r>
        <w:rPr>
          <w:rFonts w:hint="eastAsia" w:ascii="仿宋" w:hAnsi="仿宋" w:eastAsia="仿宋"/>
          <w:sz w:val="28"/>
          <w:szCs w:val="28"/>
        </w:rPr>
        <w:t xml:space="preserve">否</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是否邀请服务对象参加验收：</w:t>
      </w:r>
      <w:r>
        <w:rPr>
          <w:rFonts w:ascii="Wingdings" w:hAnsi="Wingdings" w:eastAsia="Wingdings" w:cs="Wingdings"/>
          <w:sz w:val="28"/>
          <w:szCs w:val="28"/>
        </w:rPr>
        <w:t xml:space="preserve">¨</w:t>
      </w:r>
      <w:r>
        <w:rPr>
          <w:rFonts w:hint="eastAsia" w:ascii="仿宋" w:hAnsi="仿宋" w:eastAsia="仿宋"/>
          <w:sz w:val="28"/>
          <w:szCs w:val="28"/>
        </w:rPr>
        <w:t xml:space="preserve">是  </w:t>
      </w:r>
      <w:r>
        <w:rPr>
          <w:rFonts w:ascii="Wingdings" w:hAnsi="Wingdings" w:eastAsia="Wingdings" w:cs="Wingdings"/>
          <w:sz w:val="28"/>
          <w:szCs w:val="28"/>
        </w:rPr>
        <w:t xml:space="preserve">¨</w:t>
      </w:r>
      <w:r>
        <w:rPr>
          <w:rFonts w:hint="eastAsia" w:ascii="仿宋" w:hAnsi="仿宋" w:eastAsia="仿宋"/>
          <w:sz w:val="28"/>
          <w:szCs w:val="28"/>
        </w:rPr>
        <w:t xml:space="preserve">否</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是否邀请第三方检测机构参加验收：</w:t>
      </w:r>
      <w:r>
        <w:rPr>
          <w:rFonts w:ascii="Wingdings" w:hAnsi="Wingdings" w:eastAsia="Wingdings" w:cs="Wingdings"/>
          <w:sz w:val="28"/>
          <w:szCs w:val="28"/>
        </w:rPr>
        <w:t xml:space="preserve">¨</w:t>
      </w:r>
      <w:r>
        <w:rPr>
          <w:rFonts w:hint="eastAsia" w:ascii="仿宋" w:hAnsi="仿宋" w:eastAsia="仿宋"/>
          <w:sz w:val="28"/>
          <w:szCs w:val="28"/>
        </w:rPr>
        <w:t xml:space="preserve">是  </w:t>
      </w:r>
      <w:r>
        <w:rPr>
          <w:rFonts w:ascii="Wingdings" w:hAnsi="Wingdings" w:eastAsia="Wingdings" w:cs="Wingdings"/>
          <w:sz w:val="28"/>
          <w:szCs w:val="28"/>
        </w:rPr>
        <w:t xml:space="preserve">¨</w:t>
      </w:r>
      <w:r>
        <w:rPr>
          <w:rFonts w:hint="eastAsia" w:ascii="仿宋" w:hAnsi="仿宋" w:eastAsia="仿宋"/>
          <w:sz w:val="28"/>
          <w:szCs w:val="28"/>
        </w:rPr>
        <w:t xml:space="preserve">否</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是否进行抽查检测：</w:t>
      </w:r>
      <w:r>
        <w:rPr>
          <w:rFonts w:ascii="Wingdings" w:hAnsi="Wingdings" w:eastAsia="Wingdings" w:cs="Wingdings"/>
          <w:sz w:val="28"/>
          <w:szCs w:val="28"/>
        </w:rPr>
        <w:t xml:space="preserve">¨</w:t>
      </w:r>
      <w:r>
        <w:rPr>
          <w:rFonts w:hint="eastAsia" w:ascii="仿宋" w:hAnsi="仿宋" w:eastAsia="仿宋"/>
          <w:sz w:val="28"/>
          <w:szCs w:val="28"/>
        </w:rPr>
        <w:t xml:space="preserve">是，抽查比例：         </w:t>
      </w:r>
      <w:r>
        <w:rPr>
          <w:rFonts w:ascii="Wingdings" w:hAnsi="Wingdings" w:eastAsia="Wingdings" w:cs="Wingdings"/>
          <w:sz w:val="28"/>
          <w:szCs w:val="28"/>
        </w:rPr>
        <w:t xml:space="preserve">¨</w:t>
      </w:r>
      <w:r>
        <w:rPr>
          <w:rFonts w:hint="eastAsia" w:ascii="仿宋" w:hAnsi="仿宋" w:eastAsia="仿宋"/>
          <w:sz w:val="28"/>
          <w:szCs w:val="28"/>
        </w:rPr>
        <w:t xml:space="preserve">否</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是否存在破坏性检测：</w:t>
      </w:r>
      <w:r>
        <w:rPr>
          <w:rFonts w:ascii="Wingdings" w:hAnsi="Wingdings" w:eastAsia="Wingdings" w:cs="Wingdings"/>
          <w:sz w:val="28"/>
          <w:szCs w:val="28"/>
        </w:rPr>
        <w:t xml:space="preserve">¨</w:t>
      </w:r>
      <w:r>
        <w:rPr>
          <w:rFonts w:hint="eastAsia" w:ascii="仿宋" w:hAnsi="仿宋" w:eastAsia="仿宋"/>
          <w:sz w:val="28"/>
          <w:szCs w:val="28"/>
        </w:rPr>
        <w:t xml:space="preserve">是，（应明确对被破坏的检测产品的处理方式）</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w:t>
      </w:r>
      <w:r>
        <w:rPr>
          <w:rFonts w:ascii="Wingdings" w:hAnsi="Wingdings" w:eastAsia="Wingdings" w:cs="Wingdings"/>
          <w:sz w:val="28"/>
          <w:szCs w:val="28"/>
        </w:rPr>
        <w:t xml:space="preserve">¨</w:t>
      </w:r>
      <w:r>
        <w:rPr>
          <w:rFonts w:hint="eastAsia" w:ascii="仿宋" w:hAnsi="仿宋" w:eastAsia="仿宋"/>
          <w:sz w:val="28"/>
          <w:szCs w:val="28"/>
        </w:rPr>
        <w:t xml:space="preserve">否</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验收组织的其他事项：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（2）履约验收时间：（计划于何时验收/供应商提出验收申请之日起   日内组织验收）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（3）履约验收方式：</w:t>
      </w:r>
      <w:r>
        <w:rPr>
          <w:rFonts w:ascii="Wingdings" w:hAnsi="Wingdings" w:eastAsia="Wingdings" w:cs="Wingdings"/>
          <w:sz w:val="28"/>
          <w:szCs w:val="28"/>
        </w:rPr>
        <w:t xml:space="preserve">¨</w:t>
      </w:r>
      <w:r>
        <w:rPr>
          <w:rFonts w:hint="eastAsia" w:ascii="仿宋" w:hAnsi="仿宋" w:eastAsia="仿宋"/>
          <w:sz w:val="28"/>
          <w:szCs w:val="28"/>
        </w:rPr>
        <w:t xml:space="preserve">一次性验收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w:t>
      </w:r>
      <w:r>
        <w:rPr>
          <w:rFonts w:ascii="Wingdings" w:hAnsi="Wingdings" w:eastAsia="Wingdings" w:cs="Wingdings"/>
          <w:sz w:val="28"/>
          <w:szCs w:val="28"/>
        </w:rPr>
        <w:t xml:space="preserve">¨</w:t>
      </w:r>
      <w:r>
        <w:rPr>
          <w:rFonts w:hint="eastAsia" w:ascii="仿宋" w:hAnsi="仿宋" w:eastAsia="仿宋"/>
          <w:sz w:val="28"/>
          <w:szCs w:val="28"/>
        </w:rPr>
        <w:t xml:space="preserve">分期/分项验收： （应明确分期</w:t>
      </w:r>
      <w:r>
        <w:rPr>
          <w:rFonts w:ascii="仿宋" w:hAnsi="仿宋" w:eastAsia="仿宋"/>
          <w:sz w:val="28"/>
          <w:szCs w:val="28"/>
        </w:rPr>
        <w:t xml:space="preserve">/</w:t>
      </w:r>
      <w:r>
        <w:rPr>
          <w:rFonts w:hint="eastAsia" w:ascii="仿宋" w:hAnsi="仿宋" w:eastAsia="仿宋"/>
          <w:sz w:val="28"/>
          <w:szCs w:val="28"/>
        </w:rPr>
        <w:t xml:space="preserve">分项验收的工作安排）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（4）履约验收程序：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（5）履约验收的内容： （应当包括每一项技术和商务要求的履约情况，特别是落实政府采购扶持中小企业，支持绿色发展和乡村振兴等政策情况）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（6）履约验收标准：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（7）是否以采购活动中供应商提供的样品作为参考：</w:t>
      </w:r>
      <w:r>
        <w:rPr>
          <w:rFonts w:ascii="Wingdings" w:hAnsi="Wingdings" w:eastAsia="Wingdings" w:cs="Wingdings"/>
          <w:sz w:val="28"/>
          <w:szCs w:val="28"/>
        </w:rPr>
        <w:t xml:space="preserve">¨</w:t>
      </w:r>
      <w:r>
        <w:rPr>
          <w:rFonts w:hint="eastAsia" w:ascii="仿宋" w:hAnsi="仿宋" w:eastAsia="仿宋"/>
          <w:sz w:val="28"/>
          <w:szCs w:val="28"/>
        </w:rPr>
        <w:t xml:space="preserve">是  </w:t>
      </w:r>
      <w:r>
        <w:rPr>
          <w:rFonts w:ascii="Wingdings" w:hAnsi="Wingdings" w:eastAsia="Wingdings" w:cs="Wingdings"/>
          <w:sz w:val="28"/>
          <w:szCs w:val="28"/>
        </w:rPr>
        <w:t xml:space="preserve">¨</w:t>
      </w:r>
      <w:r>
        <w:rPr>
          <w:rFonts w:hint="eastAsia" w:ascii="仿宋" w:hAnsi="仿宋" w:eastAsia="仿宋"/>
          <w:sz w:val="28"/>
          <w:szCs w:val="28"/>
        </w:rPr>
        <w:t xml:space="preserve">否</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（8）履约验收其他事项：      （产权过户登记等）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组成合同的文件</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本协议书与下列文件一起构成合同文件，如下述文件之间有任何抵触、矛盾或歧义，应按以下顺序解释：</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（1）政府采购合同协议书及其变更、补充协议</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（2）政府采购合同专用条款</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（3）政府采购合同通用条款</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（4）中标（成交）通知书</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（5）投标（响应）文件</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（6）采购文件</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（7）有关技术文件，图纸</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（8）国家法律、行政法规和规章制度规定或合同约定的作为合同组成部分的其他文</w:t>
      </w:r>
      <w:r>
        <w:rPr>
          <w:rFonts w:hint="eastAsia" w:ascii="仿宋" w:hAnsi="仿宋" w:eastAsia="仿宋"/>
          <w:sz w:val="28"/>
          <w:szCs w:val="28"/>
        </w:rPr>
        <w:t xml:space="preserve">件</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合同生效</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本合同自                             生效。</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合同份数</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本合同一式    份，甲方执    份，乙方执    份，均具有同等法律效力。</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合同订立时间：         年      月      日</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合同订立地点：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附件：具体标的及其技术要求和商务要求、联合协议、分包意向协议等。</w:t>
      </w:r>
      <w:r/>
    </w:p>
    <w:p>
      <w:pPr>
        <w:jc w:val="center"/>
        <w:rPr>
          <w:rFonts w:hint="eastAsia" w:ascii="仿宋" w:hAnsi="仿宋" w:eastAsia="仿宋"/>
          <w:b/>
          <w:bCs/>
          <w:sz w:val="44"/>
        </w:rPr>
      </w:pPr>
      <w:r>
        <w:rPr>
          <w:rFonts w:hint="eastAsia" w:ascii="仿宋" w:hAnsi="仿宋" w:eastAsia="仿宋"/>
          <w:b/>
          <w:bCs/>
          <w:sz w:val="44"/>
        </w:rPr>
      </w:r>
      <w:r/>
    </w:p>
    <w:p>
      <w:pPr>
        <w:jc w:val="center"/>
        <w:rPr>
          <w:rFonts w:hint="eastAsia" w:ascii="仿宋" w:hAnsi="仿宋" w:eastAsia="仿宋"/>
          <w:b/>
          <w:bCs/>
          <w:sz w:val="44"/>
        </w:rPr>
      </w:pPr>
      <w:r>
        <w:rPr>
          <w:rFonts w:hint="eastAsia" w:ascii="仿宋" w:hAnsi="仿宋" w:eastAsia="仿宋"/>
          <w:b/>
          <w:bCs/>
          <w:sz w:val="44"/>
        </w:rPr>
      </w:r>
      <w:r/>
    </w:p>
    <w:p>
      <w:pPr>
        <w:jc w:val="center"/>
        <w:rPr>
          <w:rFonts w:hint="eastAsia" w:ascii="仿宋" w:hAnsi="仿宋" w:eastAsia="仿宋"/>
          <w:b/>
          <w:bCs/>
          <w:sz w:val="44"/>
        </w:rPr>
      </w:pPr>
      <w:r>
        <w:rPr>
          <w:rFonts w:hint="eastAsia" w:ascii="仿宋" w:hAnsi="仿宋" w:eastAsia="仿宋"/>
          <w:b/>
          <w:bCs/>
          <w:sz w:val="44"/>
        </w:rPr>
      </w:r>
      <w:r/>
    </w:p>
    <w:p>
      <w:pPr>
        <w:jc w:val="center"/>
        <w:rPr>
          <w:rFonts w:hint="eastAsia" w:ascii="仿宋" w:hAnsi="仿宋" w:eastAsia="仿宋"/>
          <w:b/>
          <w:bCs/>
          <w:sz w:val="44"/>
        </w:rPr>
      </w:pPr>
      <w:r>
        <w:rPr>
          <w:rFonts w:hint="eastAsia" w:ascii="仿宋" w:hAnsi="仿宋" w:eastAsia="仿宋"/>
          <w:b/>
          <w:bCs/>
          <w:sz w:val="44"/>
        </w:rPr>
      </w:r>
      <w:r/>
    </w:p>
    <w:p>
      <w:pPr>
        <w:jc w:val="center"/>
        <w:rPr>
          <w:rFonts w:hint="eastAsia" w:ascii="仿宋" w:hAnsi="仿宋" w:eastAsia="仿宋"/>
          <w:b/>
          <w:bCs/>
          <w:sz w:val="44"/>
        </w:rPr>
      </w:pPr>
      <w:r>
        <w:rPr>
          <w:rFonts w:hint="eastAsia" w:ascii="仿宋" w:hAnsi="仿宋" w:eastAsia="仿宋"/>
          <w:b/>
          <w:bCs/>
          <w:sz w:val="44"/>
        </w:rPr>
      </w:r>
      <w:r/>
    </w:p>
    <w:p>
      <w:pPr>
        <w:jc w:val="center"/>
        <w:rPr>
          <w:rFonts w:hint="eastAsia" w:ascii="仿宋" w:hAnsi="仿宋" w:eastAsia="仿宋"/>
          <w:b/>
          <w:bCs/>
          <w:sz w:val="44"/>
        </w:rPr>
      </w:pPr>
      <w:r>
        <w:rPr>
          <w:rFonts w:hint="eastAsia" w:ascii="仿宋" w:hAnsi="仿宋" w:eastAsia="仿宋"/>
          <w:b/>
          <w:bCs/>
          <w:sz w:val="44"/>
        </w:rPr>
      </w:r>
      <w:r/>
    </w:p>
    <w:p>
      <w:pPr>
        <w:jc w:val="center"/>
        <w:rPr>
          <w:rFonts w:hint="eastAsia" w:ascii="仿宋" w:hAnsi="仿宋" w:eastAsia="仿宋"/>
          <w:b/>
          <w:bCs/>
          <w:sz w:val="44"/>
        </w:rPr>
      </w:pPr>
      <w:r>
        <w:rPr>
          <w:rFonts w:hint="eastAsia" w:ascii="仿宋" w:hAnsi="仿宋" w:eastAsia="仿宋"/>
          <w:b/>
          <w:bCs/>
          <w:sz w:val="44"/>
        </w:rPr>
      </w:r>
      <w:r/>
    </w:p>
    <w:p>
      <w:pPr>
        <w:jc w:val="center"/>
        <w:rPr>
          <w:rFonts w:hint="eastAsia" w:ascii="仿宋" w:hAnsi="仿宋" w:eastAsia="仿宋"/>
          <w:b/>
          <w:bCs/>
          <w:sz w:val="44"/>
        </w:rPr>
      </w:pPr>
      <w:r>
        <w:rPr>
          <w:rFonts w:hint="eastAsia" w:ascii="仿宋" w:hAnsi="仿宋" w:eastAsia="仿宋"/>
          <w:b/>
          <w:bCs/>
          <w:sz w:val="44"/>
        </w:rPr>
      </w:r>
      <w:r/>
    </w:p>
    <w:p>
      <w:pPr>
        <w:jc w:val="center"/>
        <w:rPr>
          <w:rFonts w:hint="eastAsia" w:ascii="仿宋" w:hAnsi="仿宋" w:eastAsia="仿宋"/>
          <w:b/>
          <w:bCs/>
          <w:sz w:val="44"/>
        </w:rPr>
      </w:pPr>
      <w:r>
        <w:rPr>
          <w:rFonts w:hint="eastAsia" w:ascii="仿宋" w:hAnsi="仿宋" w:eastAsia="仿宋"/>
          <w:b/>
          <w:bCs/>
          <w:sz w:val="44"/>
        </w:rPr>
      </w:r>
      <w:r/>
    </w:p>
    <w:p>
      <w:pPr>
        <w:jc w:val="center"/>
        <w:rPr>
          <w:rFonts w:hint="eastAsia" w:ascii="仿宋" w:hAnsi="仿宋" w:eastAsia="仿宋"/>
          <w:b/>
          <w:bCs/>
          <w:sz w:val="44"/>
        </w:rPr>
      </w:pPr>
      <w:r>
        <w:rPr>
          <w:rFonts w:hint="eastAsia" w:ascii="仿宋" w:hAnsi="仿宋" w:eastAsia="仿宋"/>
          <w:b/>
          <w:bCs/>
          <w:sz w:val="44"/>
        </w:rPr>
      </w:r>
      <w:r/>
    </w:p>
    <w:p>
      <w:pPr>
        <w:jc w:val="center"/>
        <w:rPr>
          <w:rFonts w:hint="eastAsia" w:ascii="仿宋" w:hAnsi="仿宋" w:eastAsia="仿宋"/>
          <w:b/>
          <w:bCs/>
          <w:sz w:val="44"/>
        </w:rPr>
      </w:pPr>
      <w:r>
        <w:rPr>
          <w:rFonts w:hint="eastAsia" w:ascii="仿宋" w:hAnsi="仿宋" w:eastAsia="仿宋"/>
          <w:b/>
          <w:bCs/>
          <w:sz w:val="44"/>
        </w:rPr>
      </w:r>
      <w:r/>
    </w:p>
    <w:p>
      <w:r/>
      <w:r/>
    </w:p>
    <w:p>
      <w:pPr>
        <w:pStyle w:val="1142"/>
      </w:pPr>
      <w:r/>
      <w:r/>
    </w:p>
    <w:tbl>
      <w:tblPr>
        <w:tblW w:w="4927" w:type="pct"/>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37"/>
        <w:gridCol w:w="2725"/>
        <w:gridCol w:w="2235"/>
        <w:gridCol w:w="2391"/>
      </w:tblGrid>
      <w:tr>
        <w:trPr>
          <w:trHeight w:val="490"/>
        </w:trPr>
        <w:tc>
          <w:tcPr>
            <w:gridSpan w:val="2"/>
            <w:tcBorders>
              <w:bottom w:val="single" w:color="auto" w:sz="2" w:space="0"/>
              <w:right w:val="single" w:color="auto" w:sz="2" w:space="0"/>
            </w:tcBorders>
            <w:tcW w:w="2562"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ascii="仿宋" w:hAnsi="仿宋" w:eastAsia="仿宋"/>
                <w:sz w:val="28"/>
                <w:szCs w:val="28"/>
              </w:rPr>
              <w:t xml:space="preserve">甲方</w:t>
            </w:r>
            <w:r>
              <w:rPr>
                <w:rFonts w:hint="eastAsia" w:ascii="仿宋" w:hAnsi="仿宋" w:eastAsia="仿宋"/>
                <w:sz w:val="28"/>
                <w:szCs w:val="28"/>
              </w:rPr>
              <w:t xml:space="preserve">（采购人、受采购人委托签订合同的单位或采购文件约定的合同甲方）</w:t>
            </w:r>
            <w:r/>
          </w:p>
        </w:tc>
        <w:tc>
          <w:tcPr>
            <w:gridSpan w:val="2"/>
            <w:tcBorders>
              <w:left w:val="single" w:color="auto" w:sz="2" w:space="0"/>
              <w:bottom w:val="single" w:color="auto" w:sz="2" w:space="0"/>
            </w:tcBorders>
            <w:tcW w:w="2437"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ascii="仿宋" w:hAnsi="仿宋" w:eastAsia="仿宋"/>
                <w:sz w:val="28"/>
                <w:szCs w:val="28"/>
              </w:rPr>
              <w:t xml:space="preserve">乙方</w:t>
            </w:r>
            <w:r>
              <w:rPr>
                <w:rFonts w:hint="eastAsia" w:ascii="仿宋" w:hAnsi="仿宋" w:eastAsia="仿宋"/>
                <w:sz w:val="28"/>
                <w:szCs w:val="28"/>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ascii="仿宋" w:hAnsi="仿宋" w:eastAsia="仿宋"/>
                <w:sz w:val="28"/>
                <w:szCs w:val="28"/>
              </w:rPr>
              <w:t xml:space="preserve">单位名称</w:t>
            </w:r>
            <w:r>
              <w:rPr>
                <w:rFonts w:hint="eastAsia" w:ascii="仿宋" w:hAnsi="仿宋" w:eastAsia="仿宋"/>
                <w:sz w:val="28"/>
                <w:szCs w:val="28"/>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ascii="仿宋" w:hAnsi="仿宋" w:eastAsia="仿宋"/>
                <w:sz w:val="28"/>
                <w:szCs w:val="28"/>
              </w:rPr>
              <w:t xml:space="preserve">单位名称</w:t>
            </w:r>
            <w:r>
              <w:rPr>
                <w:rFonts w:hint="eastAsia" w:ascii="仿宋" w:hAnsi="仿宋" w:eastAsia="仿宋"/>
                <w:sz w:val="28"/>
                <w:szCs w:val="28"/>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ind w:firstLine="259"/>
              <w:spacing w:line="360" w:lineRule="auto"/>
              <w:tabs>
                <w:tab w:val="left" w:pos="851" w:leader="none"/>
              </w:tabs>
              <w:rPr>
                <w:rFonts w:hint="eastAsia" w:ascii="仿宋" w:hAnsi="仿宋" w:eastAsia="仿宋"/>
                <w:sz w:val="28"/>
                <w:szCs w:val="28"/>
              </w:rPr>
            </w:pPr>
            <w:r>
              <w:rPr>
                <w:rFonts w:ascii="仿宋" w:hAnsi="仿宋" w:eastAsia="仿宋"/>
                <w:sz w:val="28"/>
                <w:szCs w:val="28"/>
              </w:rPr>
              <w:t xml:space="preserve">法定代表人</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或其</w:t>
            </w:r>
            <w:r>
              <w:rPr>
                <w:rFonts w:ascii="仿宋" w:hAnsi="仿宋" w:eastAsia="仿宋"/>
                <w:sz w:val="28"/>
                <w:szCs w:val="28"/>
              </w:rPr>
              <w:t xml:space="preserve">委托代理人</w:t>
            </w:r>
            <w:r>
              <w:rPr>
                <w:rFonts w:hint="eastAsia" w:ascii="仿宋" w:hAnsi="仿宋" w:eastAsia="仿宋"/>
                <w:sz w:val="28"/>
                <w:szCs w:val="28"/>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c>
          <w:tcPr>
            <w:tcBorders>
              <w:top w:val="single" w:color="auto" w:sz="2" w:space="0"/>
              <w:left w:val="single" w:color="auto" w:sz="2" w:space="0"/>
              <w:right w:val="single" w:color="auto" w:sz="2" w:space="0"/>
            </w:tcBorders>
            <w:tcW w:w="1178"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ascii="仿宋" w:hAnsi="仿宋" w:eastAsia="仿宋"/>
                <w:sz w:val="28"/>
                <w:szCs w:val="28"/>
              </w:rPr>
              <w:t xml:space="preserve">法定代表人</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或其</w:t>
            </w:r>
            <w:r>
              <w:rPr>
                <w:rFonts w:ascii="仿宋" w:hAnsi="仿宋" w:eastAsia="仿宋"/>
                <w:sz w:val="28"/>
                <w:szCs w:val="28"/>
              </w:rPr>
              <w:t xml:space="preserve">委托代理人</w:t>
            </w:r>
            <w:r>
              <w:rPr>
                <w:rFonts w:hint="eastAsia" w:ascii="仿宋" w:hAnsi="仿宋" w:eastAsia="仿宋"/>
                <w:sz w:val="28"/>
                <w:szCs w:val="28"/>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住  所</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ascii="仿宋" w:hAnsi="仿宋" w:eastAsia="仿宋"/>
                <w:sz w:val="28"/>
                <w:szCs w:val="28"/>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ascii="仿宋" w:hAnsi="仿宋" w:eastAsia="仿宋"/>
                <w:sz w:val="28"/>
                <w:szCs w:val="28"/>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ascii="仿宋" w:hAnsi="仿宋" w:eastAsia="仿宋"/>
                <w:sz w:val="28"/>
                <w:szCs w:val="28"/>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ascii="仿宋" w:hAnsi="仿宋" w:eastAsia="仿宋"/>
                <w:sz w:val="28"/>
                <w:szCs w:val="28"/>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ascii="仿宋" w:hAnsi="仿宋" w:eastAsia="仿宋"/>
                <w:sz w:val="28"/>
                <w:szCs w:val="28"/>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ascii="仿宋" w:hAnsi="仿宋" w:eastAsia="仿宋"/>
                <w:sz w:val="28"/>
                <w:szCs w:val="28"/>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ascii="仿宋" w:hAnsi="仿宋" w:eastAsia="仿宋"/>
                <w:sz w:val="28"/>
                <w:szCs w:val="28"/>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ascii="仿宋" w:hAnsi="仿宋" w:eastAsia="仿宋"/>
                <w:sz w:val="28"/>
                <w:szCs w:val="28"/>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ascii="仿宋" w:hAnsi="仿宋" w:eastAsia="仿宋"/>
                <w:sz w:val="28"/>
                <w:szCs w:val="28"/>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586"/>
        </w:trPr>
        <w:tc>
          <w:tcPr>
            <w:gridSpan w:val="4"/>
            <w:tcBorders>
              <w:top w:val="single" w:color="auto" w:sz="2" w:space="0"/>
            </w:tcBorders>
            <w:tcW w:w="5000" w:type="pct"/>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注：涉及联合体或其他合同主体的信息应按上表格式加列。</w:t>
            </w:r>
            <w:r/>
          </w:p>
        </w:tc>
      </w:tr>
    </w:tbl>
    <w:p>
      <w:pPr>
        <w:jc w:val="center"/>
        <w:rPr>
          <w:rFonts w:hint="eastAsia" w:ascii="仿宋" w:hAnsi="仿宋" w:eastAsia="仿宋"/>
          <w:b/>
          <w:bCs/>
          <w:sz w:val="44"/>
        </w:rPr>
      </w:pPr>
      <w:r>
        <w:rPr>
          <w:rFonts w:hint="eastAsia" w:ascii="仿宋" w:hAnsi="仿宋" w:eastAsia="仿宋"/>
          <w:b/>
          <w:bCs/>
          <w:sz w:val="44"/>
        </w:rPr>
      </w:r>
      <w:r/>
    </w:p>
    <w:p>
      <w:pPr>
        <w:jc w:val="center"/>
        <w:rPr>
          <w:rFonts w:hint="eastAsia" w:ascii="仿宋" w:hAnsi="仿宋" w:eastAsia="仿宋"/>
          <w:b/>
          <w:bCs/>
          <w:sz w:val="44"/>
        </w:rPr>
      </w:pPr>
      <w:r>
        <w:rPr>
          <w:rFonts w:hint="eastAsia" w:ascii="仿宋" w:hAnsi="仿宋" w:eastAsia="仿宋"/>
          <w:b/>
          <w:bCs/>
          <w:sz w:val="44"/>
        </w:rPr>
      </w:r>
      <w:r/>
    </w:p>
    <w:p>
      <w:pPr>
        <w:jc w:val="center"/>
        <w:rPr>
          <w:rFonts w:hint="eastAsia" w:ascii="仿宋" w:hAnsi="仿宋" w:eastAsia="仿宋"/>
          <w:b/>
          <w:bCs/>
          <w:sz w:val="44"/>
        </w:rPr>
      </w:pPr>
      <w:r>
        <w:rPr>
          <w:rFonts w:hint="eastAsia" w:ascii="仿宋" w:hAnsi="仿宋" w:eastAsia="仿宋"/>
          <w:b/>
          <w:bCs/>
          <w:sz w:val="44"/>
        </w:rPr>
      </w:r>
      <w:r/>
    </w:p>
    <w:p>
      <w:pPr>
        <w:jc w:val="center"/>
        <w:rPr>
          <w:rFonts w:hint="eastAsia" w:ascii="仿宋" w:hAnsi="仿宋" w:eastAsia="仿宋"/>
          <w:b/>
          <w:bCs/>
          <w:sz w:val="44"/>
        </w:rPr>
      </w:pPr>
      <w:r>
        <w:rPr>
          <w:rFonts w:hint="eastAsia" w:ascii="仿宋" w:hAnsi="仿宋" w:eastAsia="仿宋"/>
          <w:b/>
          <w:bCs/>
          <w:sz w:val="44"/>
        </w:rPr>
      </w:r>
      <w:r/>
    </w:p>
    <w:p>
      <w:pPr>
        <w:ind w:firstLine="259"/>
        <w:spacing w:line="360" w:lineRule="auto"/>
        <w:tabs>
          <w:tab w:val="left" w:pos="851" w:leader="none"/>
        </w:tabs>
        <w:rPr>
          <w:rFonts w:hint="eastAsia" w:ascii="仿宋" w:hAnsi="仿宋" w:eastAsia="仿宋"/>
          <w:sz w:val="28"/>
          <w:szCs w:val="28"/>
        </w:rPr>
      </w:pPr>
      <w:r/>
      <w:bookmarkStart w:id="50" w:name="_Toc27624"/>
      <w:r>
        <w:rPr>
          <w:rFonts w:hint="eastAsia" w:ascii="仿宋" w:hAnsi="仿宋" w:eastAsia="仿宋"/>
          <w:sz w:val="28"/>
          <w:szCs w:val="28"/>
        </w:rPr>
        <w:t xml:space="preserve">第二节 政府采购合同通用条款</w:t>
      </w:r>
      <w:bookmarkEnd w:id="50"/>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 定义</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1.1合同当事人</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（1）采购人（以下称甲方）是指使用财政性资金，通过政府采购方式向供应商购买货物及其相关服务的国家机关、事业单位、团体组织。</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（2）供应商（以下称乙方）是指参加政府采购活动并且中标（成交），向采购人提供合同约定的货物及其相关服务的法人、非法人组织或者自然人。</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（3）其他合同主体是指除采购人和供应商以外，依法参与合同缔结或履行，享有权利、承担义务的合同当事人。</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1.2本合同下列术语应解释为：</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（2）“合同价款”系指根据本合同规定乙方在全面履行合同义务后甲方应支付给乙方的价款。</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（3）“货物”系指乙方根据本合同规定须向甲方提供的各种形态和种类的物品，包括原材料、设备、产品（包括软件）及相关的其备品备件、工具、手册及</w:t>
      </w:r>
      <w:r>
        <w:rPr>
          <w:rFonts w:ascii="仿宋" w:hAnsi="仿宋" w:eastAsia="仿宋"/>
          <w:sz w:val="28"/>
          <w:szCs w:val="28"/>
        </w:rPr>
        <w:t xml:space="preserve">其他</w:t>
      </w:r>
      <w:r>
        <w:rPr>
          <w:rFonts w:hint="eastAsia" w:ascii="仿宋" w:hAnsi="仿宋" w:eastAsia="仿宋"/>
          <w:sz w:val="28"/>
          <w:szCs w:val="28"/>
        </w:rPr>
        <w:t xml:space="preserve">技术资料和材料等。</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（4）“相关服务”系指根据合同规定，乙方应提供的与货物有关的技术、管理和</w:t>
      </w:r>
      <w:r>
        <w:rPr>
          <w:rFonts w:ascii="仿宋" w:hAnsi="仿宋" w:eastAsia="仿宋"/>
          <w:sz w:val="28"/>
          <w:szCs w:val="28"/>
        </w:rPr>
        <w:t xml:space="preserve">其他</w:t>
      </w:r>
      <w:r>
        <w:rPr>
          <w:rFonts w:hint="eastAsia" w:ascii="仿宋" w:hAnsi="仿宋" w:eastAsia="仿宋"/>
          <w:sz w:val="28"/>
          <w:szCs w:val="28"/>
        </w:rPr>
        <w:t xml:space="preserve">服务，包括但不限于：管理和质量保证、运输、保险、检验、现场准备、安装、集成、调试、培训、维修、废弃处置、技术支持等以及合同中规定乙方应承担的</w:t>
      </w:r>
      <w:r>
        <w:rPr>
          <w:rFonts w:ascii="仿宋" w:hAnsi="仿宋" w:eastAsia="仿宋"/>
          <w:sz w:val="28"/>
          <w:szCs w:val="28"/>
        </w:rPr>
        <w:t xml:space="preserve">其他</w:t>
      </w:r>
      <w:r>
        <w:rPr>
          <w:rFonts w:hint="eastAsia" w:ascii="仿宋" w:hAnsi="仿宋" w:eastAsia="仿宋"/>
          <w:sz w:val="28"/>
          <w:szCs w:val="28"/>
        </w:rPr>
        <w:t xml:space="preserve">义务</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（5）“分包”系指中标（成交）供应商按采购文件、投标（响应）文件的规定，根据分包意向协议，将中标（成交）项目中的部分履约内容，分给具有相应资质条件的</w:t>
      </w:r>
      <w:r>
        <w:rPr>
          <w:rFonts w:hint="eastAsia" w:ascii="仿宋" w:hAnsi="仿宋" w:eastAsia="仿宋"/>
          <w:sz w:val="28"/>
          <w:szCs w:val="28"/>
        </w:rPr>
        <w:t xml:space="preserve">供应商履行合同的行为。</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政府采购合同专用条款】。</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（7）其他术语解释，见【政府采购合同专用条款】。</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合同标的及金额</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2.1 合同标的及金额应与中标（成交）结果一致。乙方为履行本合同而发生的所有费用均应包含在合同价款中，甲方不再另行支付</w:t>
      </w:r>
      <w:r>
        <w:rPr>
          <w:rFonts w:ascii="仿宋" w:hAnsi="仿宋" w:eastAsia="仿宋"/>
          <w:sz w:val="28"/>
          <w:szCs w:val="28"/>
        </w:rPr>
        <w:t xml:space="preserve">其他</w:t>
      </w:r>
      <w:r>
        <w:rPr>
          <w:rFonts w:hint="eastAsia" w:ascii="仿宋" w:hAnsi="仿宋" w:eastAsia="仿宋"/>
          <w:sz w:val="28"/>
          <w:szCs w:val="28"/>
        </w:rPr>
        <w:t xml:space="preserve">任何费用。</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3. 履行合同的时间、地点和方式</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3.1 乙方应当在约定的时间、地点，按照约定方式履行合同。</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4. 甲方的权利和义务</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4.1</w:t>
      </w:r>
      <w:r>
        <w:rPr>
          <w:rFonts w:ascii="仿宋" w:hAnsi="仿宋" w:eastAsia="仿宋"/>
          <w:sz w:val="28"/>
          <w:szCs w:val="28"/>
        </w:rPr>
        <w:t xml:space="preserve"> 签署合同后，甲方</w:t>
      </w:r>
      <w:r>
        <w:rPr>
          <w:rFonts w:hint="eastAsia" w:ascii="仿宋" w:hAnsi="仿宋" w:eastAsia="仿宋"/>
          <w:sz w:val="28"/>
          <w:szCs w:val="28"/>
        </w:rPr>
        <w:t xml:space="preserve">应</w:t>
      </w:r>
      <w:r>
        <w:rPr>
          <w:rFonts w:ascii="仿宋" w:hAnsi="仿宋" w:eastAsia="仿宋"/>
          <w:sz w:val="28"/>
          <w:szCs w:val="28"/>
        </w:rPr>
        <w:t xml:space="preserve">确定</w:t>
      </w:r>
      <w:r>
        <w:rPr>
          <w:rFonts w:hint="eastAsia" w:ascii="仿宋" w:hAnsi="仿宋" w:eastAsia="仿宋"/>
          <w:sz w:val="28"/>
          <w:szCs w:val="28"/>
        </w:rPr>
        <w:t xml:space="preserve">项目负责人（或项目联系人）</w:t>
      </w:r>
      <w:r>
        <w:rPr>
          <w:rFonts w:ascii="仿宋" w:hAnsi="仿宋" w:eastAsia="仿宋"/>
          <w:sz w:val="28"/>
          <w:szCs w:val="28"/>
        </w:rPr>
        <w:t xml:space="preserve">，负责与本合同有关的事务。</w:t>
      </w:r>
      <w:r>
        <w:rPr>
          <w:rFonts w:hint="eastAsia" w:ascii="仿宋" w:hAnsi="仿宋" w:eastAsia="仿宋"/>
          <w:sz w:val="28"/>
          <w:szCs w:val="28"/>
        </w:rPr>
        <w:t xml:space="preserve">甲方有权对乙方的履约行为进行检查，并</w:t>
      </w:r>
      <w:r>
        <w:rPr>
          <w:rFonts w:ascii="仿宋" w:hAnsi="仿宋" w:eastAsia="仿宋"/>
          <w:sz w:val="28"/>
          <w:szCs w:val="28"/>
        </w:rPr>
        <w:t xml:space="preserve">及时确认乙方提交的事项</w:t>
      </w:r>
      <w:r>
        <w:rPr>
          <w:rFonts w:hint="eastAsia" w:ascii="仿宋" w:hAnsi="仿宋" w:eastAsia="仿宋"/>
          <w:sz w:val="28"/>
          <w:szCs w:val="28"/>
        </w:rPr>
        <w:t xml:space="preserve">。甲方应当</w:t>
      </w:r>
      <w:r>
        <w:rPr>
          <w:rFonts w:ascii="仿宋" w:hAnsi="仿宋" w:eastAsia="仿宋"/>
          <w:sz w:val="28"/>
          <w:szCs w:val="28"/>
        </w:rPr>
        <w:t xml:space="preserve">配合乙方完成</w:t>
      </w:r>
      <w:r>
        <w:rPr>
          <w:rFonts w:hint="eastAsia" w:ascii="仿宋" w:hAnsi="仿宋" w:eastAsia="仿宋"/>
          <w:sz w:val="28"/>
          <w:szCs w:val="28"/>
        </w:rPr>
        <w:t xml:space="preserve">相关项目</w:t>
      </w:r>
      <w:r>
        <w:rPr>
          <w:rFonts w:ascii="仿宋" w:hAnsi="仿宋" w:eastAsia="仿宋"/>
          <w:sz w:val="28"/>
          <w:szCs w:val="28"/>
        </w:rPr>
        <w:t xml:space="preserve">实施工作。</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4.2 </w:t>
      </w:r>
      <w:r>
        <w:rPr>
          <w:rFonts w:ascii="仿宋" w:hAnsi="仿宋" w:eastAsia="仿宋"/>
          <w:sz w:val="28"/>
          <w:szCs w:val="28"/>
        </w:rPr>
        <w:t xml:space="preserve">甲方有权要求乙方按时提交各阶段有关</w:t>
      </w:r>
      <w:r>
        <w:rPr>
          <w:rFonts w:hint="eastAsia" w:ascii="仿宋" w:hAnsi="仿宋" w:eastAsia="仿宋"/>
          <w:sz w:val="28"/>
          <w:szCs w:val="28"/>
        </w:rPr>
        <w:t xml:space="preserve">安排计划</w:t>
      </w:r>
      <w:r>
        <w:rPr>
          <w:rFonts w:ascii="仿宋" w:hAnsi="仿宋" w:eastAsia="仿宋"/>
          <w:sz w:val="28"/>
          <w:szCs w:val="28"/>
        </w:rPr>
        <w:t xml:space="preserve">，并有权</w:t>
      </w:r>
      <w:r>
        <w:rPr>
          <w:rFonts w:hint="eastAsia" w:ascii="仿宋" w:hAnsi="仿宋" w:eastAsia="仿宋"/>
          <w:sz w:val="28"/>
          <w:szCs w:val="28"/>
        </w:rPr>
        <w:t xml:space="preserve">定期核对乙方提供货物数量、规格、质量等内容。甲方</w:t>
      </w:r>
      <w:r>
        <w:rPr>
          <w:rFonts w:ascii="仿宋" w:hAnsi="仿宋" w:eastAsia="仿宋"/>
          <w:sz w:val="28"/>
          <w:szCs w:val="28"/>
        </w:rPr>
        <w:t xml:space="preserve">有权督促乙方工作并要求乙方</w:t>
      </w:r>
      <w:r>
        <w:rPr>
          <w:rFonts w:hint="eastAsia" w:ascii="仿宋" w:hAnsi="仿宋" w:eastAsia="仿宋"/>
          <w:sz w:val="28"/>
          <w:szCs w:val="28"/>
        </w:rPr>
        <w:t xml:space="preserve">更</w:t>
      </w:r>
      <w:r>
        <w:rPr>
          <w:rFonts w:ascii="仿宋" w:hAnsi="仿宋" w:eastAsia="仿宋"/>
          <w:sz w:val="28"/>
          <w:szCs w:val="28"/>
        </w:rPr>
        <w:t xml:space="preserve">换不符合要求的</w:t>
      </w:r>
      <w:r>
        <w:rPr>
          <w:rFonts w:hint="eastAsia" w:ascii="仿宋" w:hAnsi="仿宋" w:eastAsia="仿宋"/>
          <w:sz w:val="28"/>
          <w:szCs w:val="28"/>
        </w:rPr>
        <w:t xml:space="preserve">货物</w:t>
      </w:r>
      <w:r>
        <w:rPr>
          <w:rFonts w:ascii="仿宋" w:hAnsi="仿宋" w:eastAsia="仿宋"/>
          <w:sz w:val="28"/>
          <w:szCs w:val="28"/>
        </w:rPr>
        <w:t xml:space="preserve">。</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4.</w:t>
      </w:r>
      <w:r>
        <w:rPr>
          <w:rFonts w:ascii="仿宋" w:hAnsi="仿宋" w:eastAsia="仿宋"/>
          <w:sz w:val="28"/>
          <w:szCs w:val="28"/>
        </w:rPr>
        <w:t xml:space="preserve">3</w:t>
      </w:r>
      <w:r>
        <w:rPr>
          <w:rFonts w:hint="eastAsia" w:ascii="仿宋" w:hAnsi="仿宋" w:eastAsia="仿宋"/>
          <w:sz w:val="28"/>
          <w:szCs w:val="28"/>
        </w:rPr>
        <w:t xml:space="preserve"> </w:t>
      </w:r>
      <w:r>
        <w:rPr>
          <w:rFonts w:ascii="仿宋" w:hAnsi="仿宋" w:eastAsia="仿宋"/>
          <w:sz w:val="28"/>
          <w:szCs w:val="28"/>
        </w:rPr>
        <w:t xml:space="preserve">甲方</w:t>
      </w:r>
      <w:r>
        <w:rPr>
          <w:rFonts w:hint="eastAsia" w:ascii="仿宋" w:hAnsi="仿宋" w:eastAsia="仿宋"/>
          <w:sz w:val="28"/>
          <w:szCs w:val="28"/>
        </w:rPr>
        <w:t xml:space="preserve">有权要求乙方对缺陷部分予以修复，并按合同约定享有货物保修及其他合同约定的权利。</w:t>
      </w:r>
      <w:r/>
    </w:p>
    <w:p>
      <w:pPr>
        <w:ind w:firstLine="259"/>
        <w:spacing w:line="360" w:lineRule="auto"/>
        <w:tabs>
          <w:tab w:val="left" w:pos="851" w:leader="none"/>
        </w:tabs>
        <w:rPr>
          <w:rFonts w:hint="eastAsia" w:ascii="仿宋" w:hAnsi="仿宋" w:eastAsia="仿宋"/>
          <w:sz w:val="28"/>
          <w:szCs w:val="28"/>
        </w:rPr>
      </w:pPr>
      <w:r>
        <w:rPr>
          <w:rFonts w:ascii="仿宋" w:hAnsi="仿宋" w:eastAsia="仿宋"/>
          <w:sz w:val="28"/>
          <w:szCs w:val="28"/>
        </w:rPr>
        <w:t xml:space="preserve">4.4 甲方应当按照合同约定及时对交付的货物进行验收</w:t>
      </w:r>
      <w:r>
        <w:rPr>
          <w:rFonts w:hint="eastAsia" w:ascii="仿宋" w:hAnsi="仿宋" w:eastAsia="仿宋"/>
          <w:sz w:val="28"/>
          <w:szCs w:val="28"/>
        </w:rPr>
        <w:t xml:space="preserve">，未在【政府采购合同专用条款】约定的期限内对乙方履约提出任何异议或者向乙方作出任何说明的，视为验收通过。</w:t>
      </w:r>
      <w:r/>
    </w:p>
    <w:p>
      <w:pPr>
        <w:ind w:firstLine="259"/>
        <w:spacing w:line="360" w:lineRule="auto"/>
        <w:tabs>
          <w:tab w:val="left" w:pos="851" w:leader="none"/>
        </w:tabs>
        <w:rPr>
          <w:rFonts w:hint="eastAsia" w:ascii="仿宋" w:hAnsi="仿宋" w:eastAsia="仿宋"/>
          <w:sz w:val="28"/>
          <w:szCs w:val="28"/>
        </w:rPr>
      </w:pPr>
      <w:r>
        <w:rPr>
          <w:rFonts w:ascii="仿宋" w:hAnsi="仿宋" w:eastAsia="仿宋"/>
          <w:sz w:val="28"/>
          <w:szCs w:val="28"/>
        </w:rPr>
        <w:t xml:space="preserve">4</w:t>
      </w:r>
      <w:r>
        <w:rPr>
          <w:rFonts w:hint="eastAsia" w:ascii="仿宋" w:hAnsi="仿宋" w:eastAsia="仿宋"/>
          <w:sz w:val="28"/>
          <w:szCs w:val="28"/>
        </w:rPr>
        <w:t xml:space="preserve">.</w:t>
      </w:r>
      <w:r>
        <w:rPr>
          <w:rFonts w:ascii="仿宋" w:hAnsi="仿宋" w:eastAsia="仿宋"/>
          <w:sz w:val="28"/>
          <w:szCs w:val="28"/>
        </w:rPr>
        <w:t xml:space="preserve">5 </w:t>
      </w:r>
      <w:r>
        <w:rPr>
          <w:rFonts w:hint="eastAsia" w:ascii="仿宋" w:hAnsi="仿宋" w:eastAsia="仿宋"/>
          <w:sz w:val="28"/>
          <w:szCs w:val="28"/>
        </w:rPr>
        <w:t xml:space="preserve">甲方应当根据合同约定及时向乙方支付合同价款</w:t>
      </w:r>
      <w:r>
        <w:rPr>
          <w:rFonts w:ascii="仿宋" w:hAnsi="仿宋" w:eastAsia="仿宋"/>
          <w:sz w:val="28"/>
          <w:szCs w:val="28"/>
        </w:rPr>
        <w:t xml:space="preserve">，不得以内部人员变更、履行内部付款流程等为由，拒绝或迟延支付。</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4.6</w:t>
      </w:r>
      <w:r>
        <w:rPr>
          <w:rFonts w:ascii="仿宋" w:hAnsi="仿宋" w:eastAsia="仿宋"/>
          <w:sz w:val="28"/>
          <w:szCs w:val="28"/>
        </w:rPr>
        <w:t xml:space="preserve"> </w:t>
      </w:r>
      <w:r>
        <w:rPr>
          <w:rFonts w:hint="eastAsia" w:ascii="仿宋" w:hAnsi="仿宋" w:eastAsia="仿宋"/>
          <w:sz w:val="28"/>
          <w:szCs w:val="28"/>
        </w:rPr>
        <w:t xml:space="preserve">国家法律法规规定及【政府采购合同专用条款】约定应由甲方承担的其他义务和责任。</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5. 乙方的权利和义务</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5.1 </w:t>
      </w:r>
      <w:r>
        <w:rPr>
          <w:rFonts w:ascii="仿宋" w:hAnsi="仿宋" w:eastAsia="仿宋"/>
          <w:sz w:val="28"/>
          <w:szCs w:val="28"/>
        </w:rPr>
        <w:t xml:space="preserve">签署合同后，乙方</w:t>
      </w:r>
      <w:r>
        <w:rPr>
          <w:rFonts w:hint="eastAsia" w:ascii="仿宋" w:hAnsi="仿宋" w:eastAsia="仿宋"/>
          <w:sz w:val="28"/>
          <w:szCs w:val="28"/>
        </w:rPr>
        <w:t xml:space="preserve">应</w:t>
      </w:r>
      <w:r>
        <w:rPr>
          <w:rFonts w:ascii="仿宋" w:hAnsi="仿宋" w:eastAsia="仿宋"/>
          <w:sz w:val="28"/>
          <w:szCs w:val="28"/>
        </w:rPr>
        <w:t xml:space="preserve">确定</w:t>
      </w:r>
      <w:r>
        <w:rPr>
          <w:rFonts w:hint="eastAsia" w:ascii="仿宋" w:hAnsi="仿宋" w:eastAsia="仿宋"/>
          <w:sz w:val="28"/>
          <w:szCs w:val="28"/>
        </w:rPr>
        <w:t xml:space="preserve">项目负责人（或项目联系人）</w:t>
      </w:r>
      <w:r>
        <w:rPr>
          <w:rFonts w:ascii="仿宋" w:hAnsi="仿宋" w:eastAsia="仿宋"/>
          <w:sz w:val="28"/>
          <w:szCs w:val="28"/>
        </w:rPr>
        <w:t xml:space="preserve">，负责与本合同有关的事务。</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5.</w:t>
      </w:r>
      <w:r>
        <w:rPr>
          <w:rFonts w:ascii="仿宋" w:hAnsi="仿宋" w:eastAsia="仿宋"/>
          <w:sz w:val="28"/>
          <w:szCs w:val="28"/>
        </w:rPr>
        <w:t xml:space="preserve">2 乙方应按照合同要求</w:t>
      </w:r>
      <w:r>
        <w:rPr>
          <w:rFonts w:hint="eastAsia" w:ascii="仿宋" w:hAnsi="仿宋" w:eastAsia="仿宋"/>
          <w:sz w:val="28"/>
          <w:szCs w:val="28"/>
        </w:rPr>
        <w:t xml:space="preserve">履约</w:t>
      </w:r>
      <w:r>
        <w:rPr>
          <w:rFonts w:ascii="仿宋" w:hAnsi="仿宋" w:eastAsia="仿宋"/>
          <w:sz w:val="28"/>
          <w:szCs w:val="28"/>
        </w:rPr>
        <w:t xml:space="preserve">，充分合理安排，确保</w:t>
      </w:r>
      <w:r>
        <w:rPr>
          <w:rFonts w:hint="eastAsia" w:ascii="仿宋" w:hAnsi="仿宋" w:eastAsia="仿宋"/>
          <w:sz w:val="28"/>
          <w:szCs w:val="28"/>
        </w:rPr>
        <w:t xml:space="preserve">提供的货物及相关服务符合合同有关</w:t>
      </w:r>
      <w:r>
        <w:rPr>
          <w:rFonts w:ascii="仿宋" w:hAnsi="仿宋" w:eastAsia="仿宋"/>
          <w:sz w:val="28"/>
          <w:szCs w:val="28"/>
        </w:rPr>
        <w:t xml:space="preserve">要求</w:t>
      </w:r>
      <w:r>
        <w:rPr>
          <w:rFonts w:hint="eastAsia" w:ascii="仿宋" w:hAnsi="仿宋" w:eastAsia="仿宋"/>
          <w:sz w:val="28"/>
          <w:szCs w:val="28"/>
        </w:rPr>
        <w:t xml:space="preserve">。接受项目行业管理部门及政府有关部门的指导，配合甲方的履约检查及验收，并</w:t>
      </w:r>
      <w:r>
        <w:rPr>
          <w:rFonts w:ascii="仿宋" w:hAnsi="仿宋" w:eastAsia="仿宋"/>
          <w:sz w:val="28"/>
          <w:szCs w:val="28"/>
        </w:rPr>
        <w:t xml:space="preserve">负责项目实施过程中的所有协调工作。</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5.</w:t>
      </w:r>
      <w:r>
        <w:rPr>
          <w:rFonts w:ascii="仿宋" w:hAnsi="仿宋" w:eastAsia="仿宋"/>
          <w:sz w:val="28"/>
          <w:szCs w:val="28"/>
        </w:rPr>
        <w:t xml:space="preserve">3</w:t>
      </w:r>
      <w:r>
        <w:rPr>
          <w:rFonts w:hint="eastAsia" w:ascii="仿宋" w:hAnsi="仿宋" w:eastAsia="仿宋"/>
          <w:sz w:val="28"/>
          <w:szCs w:val="28"/>
        </w:rPr>
        <w:t xml:space="preserve">乙方有权根据合同约定向甲方收取合同价款。</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5.</w:t>
      </w:r>
      <w:r>
        <w:rPr>
          <w:rFonts w:ascii="仿宋" w:hAnsi="仿宋" w:eastAsia="仿宋"/>
          <w:sz w:val="28"/>
          <w:szCs w:val="28"/>
        </w:rPr>
        <w:t xml:space="preserve">4</w:t>
      </w:r>
      <w:r>
        <w:rPr>
          <w:rFonts w:hint="eastAsia" w:ascii="仿宋" w:hAnsi="仿宋" w:eastAsia="仿宋"/>
          <w:sz w:val="28"/>
          <w:szCs w:val="28"/>
        </w:rPr>
        <w:t xml:space="preserve">国家法律法规规定及【政府采购合同专用条款】约定应由乙方承担的其他义务和责任。</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合同履行</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6.1 甲乙双方应当按照【政府采购合同专用条款】约定顺序履行合同义务；如果没有先后顺序的，应当同时履行。</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7. 货物包装、运输、保险和交付要求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7.1 本合同涉及商品包装、快递包装的，除【政府采购合同专用条款】另有约定外，包装应适应远距离运输、防潮、防震、防锈和防野蛮装卸等要求，确保货物安全无损地运抵【政府采购合同专用条款】约定的指定现场。</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7.2 除【政府采购合同专用条款】另有约定外，乙方负责办理将货物运抵本合同规</w:t>
      </w:r>
      <w:r>
        <w:rPr>
          <w:rFonts w:hint="eastAsia" w:ascii="仿宋" w:hAnsi="仿宋" w:eastAsia="仿宋"/>
          <w:sz w:val="28"/>
          <w:szCs w:val="28"/>
        </w:rPr>
        <w:t xml:space="preserve">定的交货地点，并装卸、交付至甲方的一切运输事项，相关费用应包含在合同价款中。</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7.3 货物保险要求按【政府采购合同专用条款】规定执行。</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7.5 乙方在运输到达之前应提前通知甲方，并提示货物运输装卸的注意事项，甲方配合乙方做好货物的接收工作。</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7.6 如因包装、运输问题导致货物损毁、丢失或者品质下降，甲方有权要求降价、换货、拒收部分或整批货物，由此产生的费用和损失，均由乙方承担。</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8. 质量标准和保证</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8.1 质量标准</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（2）采用中华人民共和国法定计量单位。</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（3）乙方所提供的货物应符合国家有关安全、环保、卫生的规定。</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（4）乙方应向甲方提交所提供货物的技术文件，包括相应的中文技术文件，如：产品目录、图纸、操作手册、使用说明、维护手册或服务指南等。上述文件应包装好随货物一同发运。</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8.2 保证</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（1）乙方应保证提供的货物完全符合合同规定的质量、规格和性能要求。乙方应保证货物在正确安装、正常使用和保养条件下，在其使用寿命期内具备合同约定的性能。</w:t>
      </w:r>
      <w:r>
        <w:rPr>
          <w:rFonts w:hint="eastAsia" w:ascii="仿宋" w:hAnsi="仿宋" w:eastAsia="仿宋"/>
          <w:sz w:val="28"/>
          <w:szCs w:val="28"/>
        </w:rPr>
        <w:t xml:space="preserve">存在质量保证期的，货物最终交付验收合格后在【政府采购合同专用条款】规定或乙方书面承诺（两者以较长的为准）的质量保证期内，本保证保持有效。</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（2）在质量保证期内所发现的缺陷，甲方应尽快以书面形式通知乙方。</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（3）乙方收到通知后，应在【政府采购合同专用条款】规定的响应时间内以合理的速度免费维修或更换有缺陷的货物或部件。</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（5）乙方在约定的时间内未能弥补缺陷，甲方可采取必要的补救措施，但其风险和费用将由乙方承担，甲方根据合同约定对乙方行使的其他权利不受影响。</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9. 权利瑕疵担保</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9.1 乙方保证对其出售的货物享有合法的权利。</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9.2 乙方保证在交付的货物上不存在抵押权等担保物权。</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9.3 如甲方使用上述货物构成对第三人侵权的，则由乙方承担全部责任。</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10. 知识产权保护</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10.1 乙方对其所销售的货物应当享有知识产权或经权利人合法授权，保证没有侵犯任何第三人的知识产权等权利。</w:t>
      </w:r>
      <w:bookmarkStart w:id="51" w:name="_Hlk163047038"/>
      <w:r>
        <w:rPr>
          <w:rFonts w:hint="eastAsia" w:ascii="仿宋" w:hAnsi="仿宋" w:eastAsia="仿宋"/>
          <w:sz w:val="28"/>
          <w:szCs w:val="28"/>
        </w:rPr>
        <w:t xml:space="preserve">因违反前述约定对第三人构成侵权的，应当由乙方向第三人承担法律责任；甲方依法向第三人赔偿后，有权向乙方追偿。甲方有其他损失的，乙方应当赔偿</w:t>
      </w:r>
      <w:bookmarkEnd w:id="51"/>
      <w:r>
        <w:rPr>
          <w:rFonts w:hint="eastAsia" w:ascii="仿宋" w:hAnsi="仿宋" w:eastAsia="仿宋"/>
          <w:sz w:val="28"/>
          <w:szCs w:val="28"/>
        </w:rPr>
        <w:t xml:space="preserve">。</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11. 保密义务</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政府采购合同专用条款】中</w:t>
      </w:r>
      <w:r>
        <w:rPr>
          <w:rFonts w:hint="eastAsia" w:ascii="仿宋" w:hAnsi="仿宋" w:eastAsia="仿宋"/>
          <w:sz w:val="28"/>
          <w:szCs w:val="28"/>
        </w:rPr>
        <w:t xml:space="preserve">约定。</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12. 合同价款支付</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12.1 合同价款支付按照国库集中支付制度及财政管理相关规定执行。</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13. 履约保证金</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13.1 乙方应当以支票、汇票、本票或者金融机构、担保机构出具的保函等非现金形式提交。</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13.2 如果乙方出现【政府采购合同专用条款】约定情形的，履约保证金不予退还；如果乙方未能按合同约定全面履行义务，甲方有权从履约保证金中取得补偿或赔偿，且不影响甲方要求乙方承担合同约定的超过履约保证金的违约责任的权利。</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13.3 甲方在项目通过验收后按照【政府采购合同专用条款】规定的时间内将履约保证金退还乙方；逾期退还的，乙方可要求甲方支付违约金，违约金按照【政府采购合同专用条款】规定支付。</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14. 售后服务</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14.1 除项目不涉及或采购活动中明确约定无须承担外，乙方还应提供下列服务：</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（1）货物的现场移动、安装、调试、启动监督及技术支持；</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（2）提供货物组装和维修所需的专用工具和辅助材料；</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（3）在【政府采购合同专用条款】约定的期限内对所有的货物实施运行监督、维修，但前提条件是该服务并不能免除乙方在质量保证期内所承担的义务；</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（4）在制造商所在地或指定现场就货物的安装、启动、运营、维护、废弃处置等对甲方操作人员进行培训；</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（5）依照法律、行政法规的规定或者按照【政府采购合同专用条款】约定，货物在有效使用年限届满后应予回收的，乙方负有自行或者委托第三人对货物予以回收的义务；</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（6）【政府采购合同专用条款】规定由乙方提供的其他服务。</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14.2 乙方提供的售后服务的费用已包含在合同价款中，甲方不再另行支付。</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15. 违约责任</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15.1质量瑕疵的违约责任</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乙方提供的产品不符合合同约定的质量标准或存在产品质量缺陷，甲方有权要求乙方根据【政府采购合同专用条款】要求及时修理、重作、更换，并承担由此给甲方造成的损失。</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15.2 迟延交货的违约责任</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如果乙方没有按照合同规定的时间交货和提供相关服务，甲方有权从货款中扣除误期赔偿费而不影响合同项下的其他补救方法，赔偿费按【政府采购合同专用条款】规定执行。如果涉及公共利益，且赔偿金额无法弥补公共利益损失，甲方可要求继续履行或者采取其他补救措施。</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15.3 迟延支付的违约责任</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甲方存在迟延支付乙方合同款项的，应当承担【政府采购合同专用条款】规定的逾期付款利息。</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15.4其他违约责任根据项目实际需要按【政府采购合同专用条款】规定执行。</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合同变更、中止与终止</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16.1合同的变更</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政府采购合同履行中，在不改变合同其他条款的前提下，甲方可以在合同价款10%的范围内追加与合同标的相同的货物，并就此与乙方协商一致后签订补充协议。</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16.2合同的中止</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（1）合同履行过程中因供应商就采购文件、采购过程或结果提起投诉的，甲方认为有必要的，可以中止合同的履行。</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（4）甲方不得以行政区划调整、政府换届、机构或者职能调整以及相关责任人更替为由中止合同。</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16.3合同的终止</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（1）合同因有效期限届满而终止；</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（2）乙方未按合同约定履行，构成根本性违约的，甲方有权终止合同，并追究乙方的违约责任。</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16.4 涉及国家利益、社会公共利益的情形</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政府采购合同继续履行将损害国家利益和社会公共利益的，双方当事人应当变更、中止或者终止合同。有过错的一方应当承担赔偿责任，双方都有过错的，各自承担相</w:t>
      </w:r>
      <w:r>
        <w:rPr>
          <w:rFonts w:hint="eastAsia" w:ascii="仿宋" w:hAnsi="仿宋" w:eastAsia="仿宋"/>
          <w:sz w:val="28"/>
          <w:szCs w:val="28"/>
        </w:rPr>
        <w:t xml:space="preserve">应的责任。</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17. 合同分包</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17.1 乙方不得将合同转包给其他供应商。涉及合同分包的，乙方应根据采购文件和投标（响应）文件规定进行合同分包。</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17.2 乙方执行政府采购政策向中小企业依法分包的，乙方应当按采购文件和投标（响应）文件签订分包意向协议，分包意向协议属于本合同组成部分。</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18. 不可抗力</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18.1 不可抗力是指合同双方不能预见、不能避免且不能克服的客观情况。</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18.2 任何一方对由于不可抗力造成的部分或全部不能履行合同不承担违约责任。但迟延履行后发生不可抗力的，不能免除责任。</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19. 解决争议的方法</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19.2 选择仲裁的，应在【政府采购合同专用条款】中明确仲裁机构及仲裁地；通过诉讼方式解决的，可以在【政府采购合同专用条款】中进一步约定选择与争议有实际联系的地点的人民法院管辖，但管辖法院的约定不得违反级别管辖和专属管辖的规定。</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19.3 如甲乙双方有争议的事项不影响合同其他部分的履行，在争议解决期间，合同其他部分应当继续履行。</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20. 政府采购政策</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20.1 本合同应当按照规定执行政府采购政策。</w:t>
      </w:r>
      <w:r/>
    </w:p>
    <w:p>
      <w:pPr>
        <w:ind w:firstLine="259"/>
        <w:spacing w:line="360" w:lineRule="auto"/>
        <w:tabs>
          <w:tab w:val="left" w:pos="851" w:leader="none"/>
        </w:tabs>
        <w:rPr>
          <w:rFonts w:hint="eastAsia"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0.2 本合同依法执行政府采购政策的方式和内容，属于合同履约验收的范围。甲乙双方未按规定要求执行政府采购政策造成损失的，有过错的一方应当承担赔偿责任，双方都有过错的，各自承担相应的责任。</w:t>
      </w:r>
      <w:r/>
    </w:p>
    <w:p>
      <w:pPr>
        <w:ind w:firstLine="259"/>
        <w:spacing w:line="360" w:lineRule="auto"/>
        <w:tabs>
          <w:tab w:val="left" w:pos="851" w:leader="none"/>
        </w:tabs>
        <w:rPr>
          <w:rFonts w:hint="eastAsia"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21. 法律适用</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21.1 本合同的订立、生效、解释、履行及与本合同有关的争议解决，均适用法律、行政法规。</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21.2 本合同条款与法律、行政法规的强制性规定不一致的，双方当事人应按照法律、行政法规的强制性规定修改本合同的相关条款。</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22. 通知</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22.1 本合同任何一方向对方发出的通知、信件、数据电文等，应当发送至本合同第一部分《政府采购合同协议书》所约定的通讯地址、联系人、联系电话或电子邮箱。</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22.2 一方当事人变更名称、住所、联系人、联系电话或电子邮箱等信息的，应当在变更后3日内及时书面通知对方，对方实际收到变更通知前的送达仍为有效送达。</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22.3本合同一方给另一方的通知均应采用书面形式，传真或快递送到本合同中规定的对方的地址和办理签收手续。</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22.4通知以送达之日或通知书中规定的生效之日起生效，两者中以较迟之日为准。</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合同未尽事项</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23.1合同未尽事项见【政府采购合同专用条款】。</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    23.2 合同附件与合同正文具有同等的法律效力。</w:t>
      </w:r>
      <w:r/>
    </w:p>
    <w:p>
      <w:pPr>
        <w:jc w:val="center"/>
        <w:rPr>
          <w:rFonts w:hint="eastAsia" w:ascii="仿宋" w:hAnsi="仿宋" w:eastAsia="仿宋"/>
          <w:b/>
          <w:bCs/>
          <w:sz w:val="44"/>
        </w:rPr>
      </w:pPr>
      <w:r>
        <w:rPr>
          <w:rFonts w:hint="eastAsia" w:ascii="仿宋" w:hAnsi="仿宋" w:eastAsia="仿宋"/>
          <w:b/>
          <w:bCs/>
          <w:sz w:val="44"/>
        </w:rPr>
      </w:r>
      <w:r/>
    </w:p>
    <w:p>
      <w:pPr>
        <w:jc w:val="center"/>
        <w:rPr>
          <w:rFonts w:hint="eastAsia" w:ascii="仿宋" w:hAnsi="仿宋" w:eastAsia="仿宋"/>
          <w:b/>
          <w:bCs/>
          <w:sz w:val="44"/>
        </w:rPr>
      </w:pPr>
      <w:r>
        <w:rPr>
          <w:rFonts w:hint="eastAsia" w:ascii="仿宋" w:hAnsi="仿宋" w:eastAsia="仿宋"/>
          <w:b/>
          <w:bCs/>
          <w:sz w:val="44"/>
        </w:rPr>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第三节 政府采购合同专用条款</w:t>
      </w:r>
      <w:r/>
    </w:p>
    <w:tbl>
      <w:tblPr>
        <w:tblW w:w="8808"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Look w:val="04A0" w:firstRow="1" w:lastRow="0" w:firstColumn="1" w:lastColumn="0" w:noHBand="0" w:noVBand="1"/>
      </w:tblPr>
      <w:tblGrid>
        <w:gridCol w:w="1607"/>
        <w:gridCol w:w="4366"/>
        <w:gridCol w:w="2835"/>
      </w:tblGrid>
      <w:tr>
        <w:trPr>
          <w:trHeight w:val="736"/>
        </w:trPr>
        <w:tc>
          <w:tcPr>
            <w:tcW w:w="1607"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第1.2（6）项</w:t>
            </w:r>
            <w:r/>
          </w:p>
        </w:tc>
        <w:tc>
          <w:tcPr>
            <w:tcW w:w="4366"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联合体具体要求</w:t>
            </w:r>
            <w:r/>
          </w:p>
        </w:tc>
        <w:tc>
          <w:tcPr>
            <w:tcW w:w="2835"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604"/>
        </w:trPr>
        <w:tc>
          <w:tcPr>
            <w:tcW w:w="1607"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第1.2（7）项</w:t>
            </w:r>
            <w:r/>
          </w:p>
        </w:tc>
        <w:tc>
          <w:tcPr>
            <w:tcW w:w="4366"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其他术语解释</w:t>
            </w:r>
            <w:r/>
          </w:p>
        </w:tc>
        <w:tc>
          <w:tcPr>
            <w:tcW w:w="2835"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736"/>
        </w:trPr>
        <w:tc>
          <w:tcPr>
            <w:tcW w:w="1607"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第4.4款</w:t>
            </w:r>
            <w:r/>
          </w:p>
        </w:tc>
        <w:tc>
          <w:tcPr>
            <w:tcW w:w="4366"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履约验收中甲方提出异议或作出说明的期限</w:t>
            </w:r>
            <w:r/>
          </w:p>
        </w:tc>
        <w:tc>
          <w:tcPr>
            <w:tcW w:w="2835"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736"/>
        </w:trPr>
        <w:tc>
          <w:tcPr>
            <w:tcW w:w="1607"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第4.6款</w:t>
            </w:r>
            <w:r/>
          </w:p>
        </w:tc>
        <w:tc>
          <w:tcPr>
            <w:tcW w:w="4366"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约定甲方承担的其他义务和责任</w:t>
            </w:r>
            <w:r/>
          </w:p>
        </w:tc>
        <w:tc>
          <w:tcPr>
            <w:tcW w:w="2835"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736"/>
        </w:trPr>
        <w:tc>
          <w:tcPr>
            <w:tcW w:w="1607"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第5.4款</w:t>
            </w:r>
            <w:r/>
          </w:p>
        </w:tc>
        <w:tc>
          <w:tcPr>
            <w:tcW w:w="4366"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约定乙方承担的其他义务和责任</w:t>
            </w:r>
            <w:r/>
          </w:p>
        </w:tc>
        <w:tc>
          <w:tcPr>
            <w:tcW w:w="2835"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736"/>
        </w:trPr>
        <w:tc>
          <w:tcPr>
            <w:tcW w:w="1607"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第6.1款</w:t>
            </w:r>
            <w:r/>
          </w:p>
        </w:tc>
        <w:tc>
          <w:tcPr>
            <w:tcW w:w="4366"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履行合同义务的顺序</w:t>
            </w:r>
            <w:r/>
          </w:p>
        </w:tc>
        <w:tc>
          <w:tcPr>
            <w:tcW w:w="2835"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667"/>
        </w:trPr>
        <w:tc>
          <w:tcPr>
            <w:tcW w:w="1607" w:type="dxa"/>
            <w:vAlign w:val="center"/>
            <w:vMerge w:val="restart"/>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第7.1款</w:t>
            </w:r>
            <w:r/>
          </w:p>
        </w:tc>
        <w:tc>
          <w:tcPr>
            <w:tcW w:w="4366"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包装特殊要求</w:t>
            </w:r>
            <w:r/>
          </w:p>
        </w:tc>
        <w:tc>
          <w:tcPr>
            <w:tcW w:w="2835"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667"/>
        </w:trPr>
        <w:tc>
          <w:tcPr>
            <w:tcW w:w="1607" w:type="dxa"/>
            <w:vAlign w:val="center"/>
            <w:vMerge w:val="continue"/>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c>
          <w:tcPr>
            <w:tcW w:w="4366"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指定现场</w:t>
            </w:r>
            <w:r/>
          </w:p>
        </w:tc>
        <w:tc>
          <w:tcPr>
            <w:tcW w:w="2835"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772"/>
        </w:trPr>
        <w:tc>
          <w:tcPr>
            <w:tcW w:w="1607"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第7.2款</w:t>
            </w:r>
            <w:r/>
          </w:p>
        </w:tc>
        <w:tc>
          <w:tcPr>
            <w:tcW w:w="4366"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运输特殊要求</w:t>
            </w:r>
            <w:r/>
          </w:p>
        </w:tc>
        <w:tc>
          <w:tcPr>
            <w:tcW w:w="2835"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667"/>
        </w:trPr>
        <w:tc>
          <w:tcPr>
            <w:tcW w:w="1607"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第7.3款</w:t>
            </w:r>
            <w:r/>
          </w:p>
        </w:tc>
        <w:tc>
          <w:tcPr>
            <w:tcW w:w="4366"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保险要求</w:t>
            </w:r>
            <w:r/>
          </w:p>
        </w:tc>
        <w:tc>
          <w:tcPr>
            <w:tcW w:w="2835"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736"/>
        </w:trPr>
        <w:tc>
          <w:tcPr>
            <w:tcW w:w="1607"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第8.2（1）</w:t>
            </w:r>
            <w:r>
              <w:rPr>
                <w:rFonts w:hint="eastAsia" w:ascii="仿宋" w:hAnsi="仿宋" w:eastAsia="仿宋"/>
                <w:sz w:val="28"/>
                <w:szCs w:val="28"/>
              </w:rPr>
              <w:t xml:space="preserve">项</w:t>
            </w:r>
            <w:r/>
          </w:p>
        </w:tc>
        <w:tc>
          <w:tcPr>
            <w:tcW w:w="4366"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质量保证期</w:t>
            </w:r>
            <w:r/>
          </w:p>
        </w:tc>
        <w:tc>
          <w:tcPr>
            <w:tcW w:w="2835"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第8.2（3）项</w:t>
            </w:r>
            <w:r/>
          </w:p>
        </w:tc>
        <w:tc>
          <w:tcPr>
            <w:tcBorders>
              <w:top w:val="single" w:color="auto" w:sz="6" w:space="0"/>
              <w:left w:val="single" w:color="auto" w:sz="6" w:space="0"/>
              <w:bottom w:val="single" w:color="auto" w:sz="6" w:space="0"/>
              <w:right w:val="single" w:color="auto" w:sz="6" w:space="0"/>
            </w:tcBorders>
            <w:tcW w:w="4366"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货物质量缺陷</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响应时间</w:t>
            </w:r>
            <w:r/>
          </w:p>
        </w:tc>
        <w:tc>
          <w:tcPr>
            <w:tcBorders>
              <w:top w:val="single" w:color="auto" w:sz="6" w:space="0"/>
              <w:left w:val="single" w:color="auto" w:sz="6" w:space="0"/>
              <w:bottom w:val="single" w:color="auto" w:sz="6" w:space="0"/>
              <w:right w:val="single" w:color="auto" w:sz="4" w:space="0"/>
            </w:tcBorders>
            <w:tcW w:w="2835"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第11.1款</w:t>
            </w:r>
            <w:r/>
          </w:p>
        </w:tc>
        <w:tc>
          <w:tcPr>
            <w:tcBorders>
              <w:top w:val="single" w:color="auto" w:sz="6" w:space="0"/>
              <w:left w:val="single" w:color="auto" w:sz="6" w:space="0"/>
              <w:bottom w:val="single" w:color="auto" w:sz="6" w:space="0"/>
              <w:right w:val="single" w:color="auto" w:sz="6" w:space="0"/>
            </w:tcBorders>
            <w:tcW w:w="4366"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其他应当保密的信息</w:t>
            </w:r>
            <w:r/>
          </w:p>
        </w:tc>
        <w:tc>
          <w:tcPr>
            <w:tcBorders>
              <w:top w:val="single" w:color="auto" w:sz="6" w:space="0"/>
              <w:left w:val="single" w:color="auto" w:sz="6" w:space="0"/>
              <w:bottom w:val="single" w:color="auto" w:sz="6" w:space="0"/>
              <w:right w:val="single" w:color="auto" w:sz="4" w:space="0"/>
            </w:tcBorders>
            <w:tcW w:w="2835"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第12.2款</w:t>
            </w:r>
            <w:r/>
          </w:p>
        </w:tc>
        <w:tc>
          <w:tcPr>
            <w:tcBorders>
              <w:top w:val="single" w:color="auto" w:sz="6" w:space="0"/>
              <w:left w:val="single" w:color="auto" w:sz="6" w:space="0"/>
              <w:bottom w:val="single" w:color="auto" w:sz="6" w:space="0"/>
              <w:right w:val="single" w:color="auto" w:sz="6" w:space="0"/>
            </w:tcBorders>
            <w:tcW w:w="4366"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合同价款支付时间</w:t>
            </w:r>
            <w:r/>
          </w:p>
        </w:tc>
        <w:tc>
          <w:tcPr>
            <w:tcBorders>
              <w:top w:val="single" w:color="auto" w:sz="6" w:space="0"/>
              <w:left w:val="single" w:color="auto" w:sz="6" w:space="0"/>
              <w:bottom w:val="single" w:color="auto" w:sz="6" w:space="0"/>
              <w:right w:val="single" w:color="auto" w:sz="4" w:space="0"/>
            </w:tcBorders>
            <w:tcW w:w="2835"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第13.2款</w:t>
            </w:r>
            <w:r/>
          </w:p>
        </w:tc>
        <w:tc>
          <w:tcPr>
            <w:tcBorders>
              <w:top w:val="single" w:color="auto" w:sz="6" w:space="0"/>
              <w:left w:val="single" w:color="auto" w:sz="6" w:space="0"/>
              <w:bottom w:val="single" w:color="auto" w:sz="6" w:space="0"/>
              <w:right w:val="single" w:color="auto" w:sz="6" w:space="0"/>
            </w:tcBorders>
            <w:tcW w:w="4366"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履约保证金不予退还的情形</w:t>
            </w:r>
            <w:r/>
          </w:p>
        </w:tc>
        <w:tc>
          <w:tcPr>
            <w:tcBorders>
              <w:top w:val="single" w:color="auto" w:sz="6" w:space="0"/>
              <w:left w:val="single" w:color="auto" w:sz="6" w:space="0"/>
              <w:bottom w:val="single" w:color="auto" w:sz="6" w:space="0"/>
              <w:right w:val="single" w:color="auto" w:sz="4" w:space="0"/>
            </w:tcBorders>
            <w:tcW w:w="2835"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第13.3款</w:t>
            </w:r>
            <w:r/>
          </w:p>
        </w:tc>
        <w:tc>
          <w:tcPr>
            <w:tcBorders>
              <w:top w:val="single" w:color="auto" w:sz="6" w:space="0"/>
              <w:left w:val="single" w:color="auto" w:sz="6" w:space="0"/>
              <w:bottom w:val="single" w:color="auto" w:sz="6" w:space="0"/>
              <w:right w:val="single" w:color="auto" w:sz="6" w:space="0"/>
            </w:tcBorders>
            <w:tcW w:w="4366"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履约保证金退还时间及逾期退还的违约金</w:t>
            </w:r>
            <w:r/>
          </w:p>
        </w:tc>
        <w:tc>
          <w:tcPr>
            <w:tcBorders>
              <w:top w:val="single" w:color="auto" w:sz="6" w:space="0"/>
              <w:left w:val="single" w:color="auto" w:sz="6" w:space="0"/>
              <w:bottom w:val="single" w:color="auto" w:sz="6" w:space="0"/>
              <w:right w:val="single" w:color="auto" w:sz="4" w:space="0"/>
            </w:tcBorders>
            <w:tcW w:w="2835"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第14.1（3）项</w:t>
            </w:r>
            <w:r/>
          </w:p>
        </w:tc>
        <w:tc>
          <w:tcPr>
            <w:tcBorders>
              <w:top w:val="single" w:color="auto" w:sz="6" w:space="0"/>
              <w:left w:val="single" w:color="auto" w:sz="6" w:space="0"/>
              <w:bottom w:val="single" w:color="auto" w:sz="6" w:space="0"/>
              <w:right w:val="single" w:color="auto" w:sz="6" w:space="0"/>
            </w:tcBorders>
            <w:tcW w:w="4366"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运行监督、维修期限</w:t>
            </w:r>
            <w:r/>
          </w:p>
        </w:tc>
        <w:tc>
          <w:tcPr>
            <w:tcBorders>
              <w:top w:val="single" w:color="auto" w:sz="6" w:space="0"/>
              <w:left w:val="single" w:color="auto" w:sz="6" w:space="0"/>
              <w:bottom w:val="single" w:color="auto" w:sz="6" w:space="0"/>
              <w:right w:val="single" w:color="auto" w:sz="4" w:space="0"/>
            </w:tcBorders>
            <w:tcW w:w="2835"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第14.1（5）项</w:t>
            </w:r>
            <w:r/>
          </w:p>
        </w:tc>
        <w:tc>
          <w:tcPr>
            <w:tcBorders>
              <w:top w:val="single" w:color="auto" w:sz="6" w:space="0"/>
              <w:left w:val="single" w:color="auto" w:sz="6" w:space="0"/>
              <w:bottom w:val="single" w:color="auto" w:sz="6" w:space="0"/>
              <w:right w:val="single" w:color="auto" w:sz="6" w:space="0"/>
            </w:tcBorders>
            <w:tcW w:w="4366"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货物回收的约定</w:t>
            </w:r>
            <w:r/>
          </w:p>
        </w:tc>
        <w:tc>
          <w:tcPr>
            <w:tcBorders>
              <w:top w:val="single" w:color="auto" w:sz="6" w:space="0"/>
              <w:left w:val="single" w:color="auto" w:sz="6" w:space="0"/>
              <w:bottom w:val="single" w:color="auto" w:sz="6" w:space="0"/>
              <w:right w:val="single" w:color="auto" w:sz="4" w:space="0"/>
            </w:tcBorders>
            <w:tcW w:w="2835"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第14.1（6）项</w:t>
            </w:r>
            <w:r/>
          </w:p>
        </w:tc>
        <w:tc>
          <w:tcPr>
            <w:tcBorders>
              <w:top w:val="single" w:color="auto" w:sz="6" w:space="0"/>
              <w:left w:val="single" w:color="auto" w:sz="6" w:space="0"/>
              <w:bottom w:val="single" w:color="auto" w:sz="6" w:space="0"/>
              <w:right w:val="single" w:color="auto" w:sz="6" w:space="0"/>
            </w:tcBorders>
            <w:tcW w:w="4366"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乙方提供的其他服务</w:t>
            </w:r>
            <w:r/>
          </w:p>
        </w:tc>
        <w:tc>
          <w:tcPr>
            <w:tcBorders>
              <w:top w:val="single" w:color="auto" w:sz="6" w:space="0"/>
              <w:left w:val="single" w:color="auto" w:sz="6" w:space="0"/>
              <w:bottom w:val="single" w:color="auto" w:sz="6" w:space="0"/>
              <w:right w:val="single" w:color="auto" w:sz="4" w:space="0"/>
            </w:tcBorders>
            <w:tcW w:w="2835"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736"/>
        </w:trPr>
        <w:tc>
          <w:tcPr>
            <w:tcBorders>
              <w:top w:val="single" w:color="auto" w:sz="6" w:space="0"/>
              <w:left w:val="single" w:color="auto" w:sz="4" w:space="0"/>
              <w:bottom w:val="single" w:color="auto" w:sz="6" w:space="0"/>
              <w:right w:val="single" w:color="auto" w:sz="6" w:space="0"/>
            </w:tcBorders>
            <w:tcW w:w="1607"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第15.1款</w:t>
            </w:r>
            <w:r/>
          </w:p>
        </w:tc>
        <w:tc>
          <w:tcPr>
            <w:tcBorders>
              <w:top w:val="single" w:color="auto" w:sz="6" w:space="0"/>
              <w:left w:val="single" w:color="auto" w:sz="6" w:space="0"/>
              <w:bottom w:val="single" w:color="auto" w:sz="6" w:space="0"/>
              <w:right w:val="single" w:color="auto" w:sz="6" w:space="0"/>
            </w:tcBorders>
            <w:tcW w:w="4366"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修理、重作、更换相关具体规定</w:t>
            </w:r>
            <w:r/>
          </w:p>
        </w:tc>
        <w:tc>
          <w:tcPr>
            <w:tcBorders>
              <w:top w:val="single" w:color="auto" w:sz="6" w:space="0"/>
              <w:left w:val="single" w:color="auto" w:sz="6" w:space="0"/>
              <w:bottom w:val="single" w:color="auto" w:sz="6" w:space="0"/>
              <w:right w:val="single" w:color="auto" w:sz="4" w:space="0"/>
            </w:tcBorders>
            <w:tcW w:w="2835"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736"/>
        </w:trPr>
        <w:tc>
          <w:tcPr>
            <w:tcBorders>
              <w:top w:val="single" w:color="auto" w:sz="6" w:space="0"/>
              <w:left w:val="single" w:color="auto" w:sz="4" w:space="0"/>
              <w:bottom w:val="single" w:color="auto" w:sz="4" w:space="0"/>
              <w:right w:val="single" w:color="auto" w:sz="6" w:space="0"/>
            </w:tcBorders>
            <w:tcW w:w="1607"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第15.2（2）项</w:t>
            </w:r>
            <w:r/>
          </w:p>
        </w:tc>
        <w:tc>
          <w:tcPr>
            <w:tcBorders>
              <w:top w:val="single" w:color="auto" w:sz="6" w:space="0"/>
              <w:left w:val="single" w:color="auto" w:sz="6" w:space="0"/>
              <w:bottom w:val="single" w:color="auto" w:sz="4" w:space="0"/>
              <w:right w:val="single" w:color="auto" w:sz="6" w:space="0"/>
            </w:tcBorders>
            <w:tcW w:w="4366"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迟延交货赔偿费</w:t>
            </w:r>
            <w:r/>
          </w:p>
        </w:tc>
        <w:tc>
          <w:tcPr>
            <w:tcBorders>
              <w:top w:val="single" w:color="auto" w:sz="6" w:space="0"/>
              <w:left w:val="single" w:color="auto" w:sz="6" w:space="0"/>
              <w:bottom w:val="single" w:color="auto" w:sz="4" w:space="0"/>
              <w:right w:val="single" w:color="auto" w:sz="4" w:space="0"/>
            </w:tcBorders>
            <w:tcW w:w="2835"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736"/>
        </w:trPr>
        <w:tc>
          <w:tcPr>
            <w:tcBorders>
              <w:top w:val="single" w:color="auto" w:sz="6" w:space="0"/>
              <w:left w:val="single" w:color="auto" w:sz="4" w:space="0"/>
              <w:bottom w:val="single" w:color="auto" w:sz="4" w:space="0"/>
              <w:right w:val="single" w:color="auto" w:sz="6" w:space="0"/>
            </w:tcBorders>
            <w:tcW w:w="1607"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第15.3款</w:t>
            </w:r>
            <w:r/>
          </w:p>
        </w:tc>
        <w:tc>
          <w:tcPr>
            <w:tcBorders>
              <w:top w:val="single" w:color="auto" w:sz="6" w:space="0"/>
              <w:left w:val="single" w:color="auto" w:sz="6" w:space="0"/>
              <w:bottom w:val="single" w:color="auto" w:sz="4" w:space="0"/>
              <w:right w:val="single" w:color="auto" w:sz="6" w:space="0"/>
            </w:tcBorders>
            <w:tcW w:w="4366"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逾期付款利息</w:t>
            </w:r>
            <w:r/>
          </w:p>
        </w:tc>
        <w:tc>
          <w:tcPr>
            <w:tcBorders>
              <w:top w:val="single" w:color="auto" w:sz="6" w:space="0"/>
              <w:left w:val="single" w:color="auto" w:sz="6" w:space="0"/>
              <w:bottom w:val="single" w:color="auto" w:sz="4" w:space="0"/>
              <w:right w:val="single" w:color="auto" w:sz="4" w:space="0"/>
            </w:tcBorders>
            <w:tcW w:w="2835"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736"/>
        </w:trPr>
        <w:tc>
          <w:tcPr>
            <w:tcBorders>
              <w:top w:val="single" w:color="auto" w:sz="6" w:space="0"/>
              <w:left w:val="single" w:color="auto" w:sz="4" w:space="0"/>
              <w:bottom w:val="single" w:color="auto" w:sz="4" w:space="0"/>
              <w:right w:val="single" w:color="auto" w:sz="6" w:space="0"/>
            </w:tcBorders>
            <w:tcW w:w="1607"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第15.4款</w:t>
            </w:r>
            <w:r/>
          </w:p>
        </w:tc>
        <w:tc>
          <w:tcPr>
            <w:tcBorders>
              <w:top w:val="single" w:color="auto" w:sz="6" w:space="0"/>
              <w:left w:val="single" w:color="auto" w:sz="6" w:space="0"/>
              <w:bottom w:val="single" w:color="auto" w:sz="4" w:space="0"/>
              <w:right w:val="single" w:color="auto" w:sz="6" w:space="0"/>
            </w:tcBorders>
            <w:tcW w:w="4366"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其他违约责任</w:t>
            </w:r>
            <w:r/>
          </w:p>
        </w:tc>
        <w:tc>
          <w:tcPr>
            <w:tcBorders>
              <w:top w:val="single" w:color="auto" w:sz="6" w:space="0"/>
              <w:left w:val="single" w:color="auto" w:sz="6" w:space="0"/>
              <w:bottom w:val="single" w:color="auto" w:sz="4" w:space="0"/>
              <w:right w:val="single" w:color="auto" w:sz="4" w:space="0"/>
            </w:tcBorders>
            <w:tcW w:w="2835"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r>
        <w:trPr>
          <w:trHeight w:val="736"/>
        </w:trPr>
        <w:tc>
          <w:tcPr>
            <w:tcBorders>
              <w:top w:val="single" w:color="auto" w:sz="6" w:space="0"/>
              <w:left w:val="single" w:color="auto" w:sz="4" w:space="0"/>
              <w:bottom w:val="single" w:color="auto" w:sz="4" w:space="0"/>
              <w:right w:val="single" w:color="auto" w:sz="6" w:space="0"/>
            </w:tcBorders>
            <w:tcW w:w="1607"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第19.2款</w:t>
            </w:r>
            <w:r/>
          </w:p>
        </w:tc>
        <w:tc>
          <w:tcPr>
            <w:tcBorders>
              <w:top w:val="single" w:color="auto" w:sz="6" w:space="0"/>
              <w:left w:val="single" w:color="auto" w:sz="6" w:space="0"/>
              <w:bottom w:val="single" w:color="auto" w:sz="4" w:space="0"/>
              <w:right w:val="single" w:color="auto" w:sz="6" w:space="0"/>
            </w:tcBorders>
            <w:tcW w:w="4366"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解决争议的方法</w:t>
            </w:r>
            <w:r/>
          </w:p>
        </w:tc>
        <w:tc>
          <w:tcPr>
            <w:tcBorders>
              <w:top w:val="single" w:color="auto" w:sz="6" w:space="0"/>
              <w:left w:val="single" w:color="auto" w:sz="6" w:space="0"/>
              <w:bottom w:val="single" w:color="auto" w:sz="4" w:space="0"/>
              <w:right w:val="single" w:color="auto" w:sz="4" w:space="0"/>
            </w:tcBorders>
            <w:tcW w:w="2835"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因本合同及合同有关事项发生的争议，按下列第   种方式解决：</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（1）向                    仲裁委员会申请仲裁，仲裁地点为           ；</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（2）向                    人民法院起诉。</w:t>
            </w:r>
            <w:r/>
          </w:p>
        </w:tc>
      </w:tr>
      <w:tr>
        <w:trPr>
          <w:trHeight w:val="736"/>
        </w:trPr>
        <w:tc>
          <w:tcPr>
            <w:tcBorders>
              <w:top w:val="single" w:color="auto" w:sz="6" w:space="0"/>
              <w:left w:val="single" w:color="auto" w:sz="4" w:space="0"/>
              <w:bottom w:val="single" w:color="auto" w:sz="4" w:space="0"/>
              <w:right w:val="single" w:color="auto" w:sz="6" w:space="0"/>
            </w:tcBorders>
            <w:tcW w:w="1607"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第二节</w:t>
            </w:r>
            <w:r/>
          </w:p>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第23.1款</w:t>
            </w:r>
            <w:r/>
          </w:p>
        </w:tc>
        <w:tc>
          <w:tcPr>
            <w:tcBorders>
              <w:top w:val="single" w:color="auto" w:sz="6" w:space="0"/>
              <w:left w:val="single" w:color="auto" w:sz="6" w:space="0"/>
              <w:bottom w:val="single" w:color="auto" w:sz="4" w:space="0"/>
              <w:right w:val="single" w:color="auto" w:sz="6" w:space="0"/>
            </w:tcBorders>
            <w:tcW w:w="4366"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t xml:space="preserve">其他专用条款</w:t>
            </w:r>
            <w:r/>
          </w:p>
        </w:tc>
        <w:tc>
          <w:tcPr>
            <w:tcBorders>
              <w:top w:val="single" w:color="auto" w:sz="6" w:space="0"/>
              <w:left w:val="single" w:color="auto" w:sz="6" w:space="0"/>
              <w:bottom w:val="single" w:color="auto" w:sz="4" w:space="0"/>
              <w:right w:val="single" w:color="auto" w:sz="4" w:space="0"/>
            </w:tcBorders>
            <w:tcW w:w="2835" w:type="dxa"/>
            <w:vAlign w:val="center"/>
            <w:textDirection w:val="lrTb"/>
            <w:noWrap w:val="false"/>
          </w:tcPr>
          <w:p>
            <w:pPr>
              <w:ind w:firstLine="259"/>
              <w:spacing w:line="360" w:lineRule="auto"/>
              <w:tabs>
                <w:tab w:val="left" w:pos="851" w:leader="none"/>
              </w:tabs>
              <w:rPr>
                <w:rFonts w:hint="eastAsia" w:ascii="仿宋" w:hAnsi="仿宋" w:eastAsia="仿宋"/>
                <w:sz w:val="28"/>
                <w:szCs w:val="28"/>
              </w:rPr>
            </w:pPr>
            <w:r>
              <w:rPr>
                <w:rFonts w:hint="eastAsia" w:ascii="仿宋" w:hAnsi="仿宋" w:eastAsia="仿宋"/>
                <w:sz w:val="28"/>
                <w:szCs w:val="28"/>
              </w:rPr>
            </w:r>
            <w:r/>
          </w:p>
        </w:tc>
      </w:tr>
    </w:tbl>
    <w:p>
      <w:pPr>
        <w:pStyle w:val="1142"/>
      </w:pPr>
      <w:r/>
      <w:r/>
    </w:p>
    <w:p>
      <w:r/>
      <w:r/>
    </w:p>
    <w:p>
      <w:pPr>
        <w:pStyle w:val="1142"/>
      </w:pPr>
      <w:r/>
      <w:r/>
    </w:p>
    <w:p>
      <w:r/>
      <w:r/>
    </w:p>
    <w:p>
      <w:pPr>
        <w:pStyle w:val="1142"/>
      </w:pPr>
      <w:r/>
      <w:r/>
    </w:p>
    <w:p>
      <w:r/>
      <w:r/>
    </w:p>
    <w:p>
      <w:pPr>
        <w:pStyle w:val="1142"/>
      </w:pPr>
      <w:r/>
      <w:r/>
    </w:p>
    <w:p>
      <w:r/>
      <w:r/>
    </w:p>
    <w:p>
      <w:pPr>
        <w:pStyle w:val="1142"/>
      </w:pPr>
      <w:r/>
      <w:r/>
    </w:p>
    <w:p>
      <w:pPr>
        <w:pStyle w:val="1142"/>
      </w:pPr>
      <w:r/>
      <w:r/>
    </w:p>
    <w:p>
      <w:pPr>
        <w:pStyle w:val="1142"/>
      </w:pPr>
      <w:r/>
      <w:r/>
    </w:p>
    <w:p>
      <w:pPr>
        <w:pStyle w:val="1142"/>
      </w:pPr>
      <w:r/>
      <w:r/>
    </w:p>
    <w:p>
      <w:pPr>
        <w:pStyle w:val="1142"/>
      </w:pPr>
      <w:r/>
      <w:r/>
    </w:p>
    <w:p>
      <w:pPr>
        <w:pStyle w:val="1142"/>
      </w:pPr>
      <w:r/>
      <w:r/>
    </w:p>
    <w:p>
      <w:pPr>
        <w:pStyle w:val="1142"/>
      </w:pPr>
      <w:r/>
      <w:r/>
    </w:p>
    <w:p>
      <w:pPr>
        <w:pStyle w:val="1142"/>
      </w:pPr>
      <w:r/>
      <w:r/>
    </w:p>
    <w:p>
      <w:pPr>
        <w:pStyle w:val="1142"/>
      </w:pPr>
      <w:r/>
      <w:r/>
    </w:p>
    <w:p>
      <w:pPr>
        <w:pStyle w:val="1142"/>
      </w:pPr>
      <w:r/>
      <w:r/>
    </w:p>
    <w:p>
      <w:pPr>
        <w:pStyle w:val="1142"/>
      </w:pPr>
      <w:r/>
      <w:r/>
    </w:p>
    <w:p>
      <w:pPr>
        <w:pStyle w:val="1142"/>
      </w:pPr>
      <w:r/>
      <w:r/>
    </w:p>
    <w:p>
      <w:pPr>
        <w:pStyle w:val="1142"/>
      </w:pPr>
      <w:r/>
      <w:r/>
    </w:p>
    <w:p>
      <w:pPr>
        <w:pStyle w:val="1142"/>
      </w:pPr>
      <w:r/>
      <w:r/>
    </w:p>
    <w:p>
      <w:r/>
      <w:r/>
    </w:p>
    <w:p>
      <w:pPr>
        <w:pStyle w:val="1142"/>
      </w:pPr>
      <w:r/>
      <w:r/>
    </w:p>
    <w:p>
      <w:r/>
      <w:r/>
    </w:p>
    <w:p>
      <w:pPr>
        <w:pStyle w:val="1142"/>
      </w:pPr>
      <w:r/>
      <w:r/>
    </w:p>
    <w:p>
      <w:r/>
      <w:r/>
    </w:p>
    <w:p>
      <w:pPr>
        <w:pStyle w:val="1142"/>
      </w:pPr>
      <w:r/>
      <w:r/>
    </w:p>
    <w:p>
      <w:pPr>
        <w:pStyle w:val="1142"/>
      </w:pPr>
      <w:r/>
      <w:r/>
    </w:p>
    <w:p>
      <w:r/>
      <w:r/>
    </w:p>
    <w:p>
      <w:pPr>
        <w:rPr>
          <w:rFonts w:hint="eastAsia" w:ascii="仿宋" w:hAnsi="仿宋" w:eastAsia="仿宋"/>
          <w:b/>
          <w:bCs/>
          <w:sz w:val="44"/>
        </w:rPr>
      </w:pPr>
      <w:r>
        <w:rPr>
          <w:rFonts w:hint="eastAsia" w:ascii="仿宋" w:hAnsi="仿宋" w:eastAsia="仿宋"/>
          <w:b/>
          <w:bCs/>
          <w:sz w:val="44"/>
        </w:rPr>
      </w:r>
      <w:r/>
    </w:p>
    <w:p>
      <w:pPr>
        <w:jc w:val="center"/>
        <w:rPr>
          <w:rFonts w:hint="eastAsia" w:ascii="仿宋" w:hAnsi="仿宋" w:eastAsia="仿宋"/>
          <w:b/>
          <w:bCs/>
          <w:sz w:val="44"/>
        </w:rPr>
      </w:pPr>
      <w:r>
        <w:rPr>
          <w:rFonts w:hint="eastAsia" w:ascii="仿宋" w:hAnsi="仿宋" w:eastAsia="仿宋"/>
          <w:b/>
          <w:bCs/>
          <w:sz w:val="44"/>
        </w:rPr>
        <w:t xml:space="preserve">第四部分   投标文件格式</w:t>
      </w:r>
      <w:r/>
    </w:p>
    <w:p>
      <w:pPr>
        <w:rPr>
          <w:rFonts w:ascii="仿宋_GB2312" w:eastAsia="仿宋_GB2312"/>
          <w:b/>
          <w:bCs/>
          <w:sz w:val="44"/>
        </w:rPr>
      </w:pPr>
      <w:r>
        <w:rPr>
          <w:rFonts w:ascii="仿宋_GB2312" w:eastAsia="仿宋_GB2312"/>
          <w:b/>
          <w:bCs/>
          <w:sz w:val="44"/>
        </w:rPr>
      </w:r>
      <w:r/>
    </w:p>
    <w:p>
      <w:pPr>
        <w:rPr>
          <w:rFonts w:ascii="仿宋_GB2312" w:eastAsia="仿宋_GB2312"/>
          <w:b/>
          <w:bCs/>
          <w:sz w:val="44"/>
        </w:rPr>
      </w:pPr>
      <w:r>
        <w:rPr>
          <w:rFonts w:ascii="仿宋_GB2312" w:eastAsia="仿宋_GB2312"/>
          <w:b/>
          <w:bCs/>
          <w:sz w:val="44"/>
        </w:rPr>
      </w:r>
      <w:r/>
    </w:p>
    <w:p>
      <w:pPr>
        <w:rPr>
          <w:rFonts w:ascii="仿宋_GB2312" w:eastAsia="仿宋_GB2312"/>
          <w:b/>
          <w:bCs/>
          <w:sz w:val="44"/>
        </w:rPr>
      </w:pPr>
      <w:r>
        <w:rPr>
          <w:rFonts w:ascii="仿宋_GB2312" w:eastAsia="仿宋_GB2312"/>
          <w:b/>
          <w:bCs/>
          <w:sz w:val="44"/>
        </w:rPr>
      </w:r>
      <w:r/>
    </w:p>
    <w:p>
      <w:pPr>
        <w:jc w:val="center"/>
        <w:rPr>
          <w:rFonts w:hint="eastAsia" w:ascii="黑体" w:hAnsi="黑体" w:eastAsia="黑体"/>
          <w:b/>
          <w:bCs/>
          <w:sz w:val="44"/>
        </w:rPr>
      </w:pPr>
      <w:r>
        <w:rPr>
          <w:rFonts w:hint="eastAsia" w:ascii="黑体" w:hAnsi="黑体" w:eastAsia="黑体"/>
          <w:b/>
          <w:bCs/>
          <w:sz w:val="44"/>
        </w:rPr>
        <w:t xml:space="preserve">投   标   文   件</w:t>
      </w:r>
      <w:r/>
    </w:p>
    <w:p>
      <w:pPr>
        <w:jc w:val="center"/>
        <w:rPr>
          <w:rFonts w:ascii="仿宋_GB2312" w:eastAsia="仿宋_GB2312"/>
          <w:b/>
          <w:bCs/>
          <w:sz w:val="44"/>
        </w:rPr>
      </w:pPr>
      <w:r>
        <w:rPr>
          <w:rFonts w:ascii="仿宋_GB2312" w:eastAsia="仿宋_GB2312"/>
          <w:b/>
          <w:bCs/>
          <w:sz w:val="44"/>
        </w:rPr>
      </w:r>
      <w:r/>
    </w:p>
    <w:p>
      <w:pPr>
        <w:jc w:val="center"/>
        <w:rPr>
          <w:rFonts w:ascii="仿宋_GB2312" w:eastAsia="仿宋_GB2312"/>
          <w:b/>
          <w:bCs/>
          <w:sz w:val="44"/>
        </w:rPr>
      </w:pPr>
      <w:r>
        <w:rPr>
          <w:rFonts w:ascii="仿宋_GB2312" w:eastAsia="仿宋_GB2312"/>
          <w:b/>
          <w:bCs/>
          <w:sz w:val="44"/>
        </w:rPr>
      </w:r>
      <w:r/>
    </w:p>
    <w:p>
      <w:pPr>
        <w:ind w:firstLine="2705"/>
        <w:rPr>
          <w:rFonts w:hint="eastAsia" w:ascii="楷体" w:hAnsi="楷体" w:eastAsia="楷体"/>
          <w:b/>
          <w:bCs/>
          <w:sz w:val="32"/>
        </w:rPr>
      </w:pPr>
      <w:r>
        <w:rPr>
          <w:rFonts w:hint="eastAsia" w:ascii="楷体" w:hAnsi="楷体" w:eastAsia="楷体"/>
          <w:b/>
          <w:bCs/>
          <w:sz w:val="32"/>
        </w:rPr>
        <w:t xml:space="preserve">项目编号：        号</w:t>
      </w:r>
      <w:r/>
    </w:p>
    <w:p>
      <w:pPr>
        <w:ind w:firstLine="2705"/>
        <w:rPr>
          <w:rFonts w:hint="eastAsia" w:ascii="楷体" w:hAnsi="楷体" w:eastAsia="楷体"/>
          <w:b/>
          <w:bCs/>
          <w:sz w:val="32"/>
        </w:rPr>
      </w:pPr>
      <w:r>
        <w:rPr>
          <w:rFonts w:hint="eastAsia" w:ascii="楷体" w:hAnsi="楷体" w:eastAsia="楷体"/>
          <w:b/>
          <w:bCs/>
          <w:sz w:val="32"/>
        </w:rPr>
        <w:t xml:space="preserve">项目名称：  </w:t>
      </w:r>
      <w:r/>
    </w:p>
    <w:p>
      <w:pPr>
        <w:ind w:firstLine="2705"/>
        <w:rPr>
          <w:rFonts w:hint="eastAsia" w:ascii="楷体" w:hAnsi="楷体" w:eastAsia="楷体"/>
          <w:b/>
          <w:bCs/>
          <w:sz w:val="28"/>
        </w:rPr>
      </w:pPr>
      <w:r>
        <w:rPr>
          <w:rFonts w:hint="eastAsia" w:ascii="楷体" w:hAnsi="楷体" w:eastAsia="楷体"/>
          <w:b/>
          <w:bCs/>
          <w:sz w:val="32"/>
        </w:rPr>
        <w:t xml:space="preserve">投标供应商：</w:t>
      </w:r>
      <w:r/>
    </w:p>
    <w:p>
      <w:pPr>
        <w:jc w:val="center"/>
        <w:rPr>
          <w:rFonts w:ascii="仿宋_GB2312" w:eastAsia="仿宋_GB2312"/>
          <w:b/>
          <w:bCs/>
          <w:sz w:val="24"/>
        </w:rPr>
      </w:pPr>
      <w:r>
        <w:rPr>
          <w:rFonts w:ascii="仿宋_GB2312" w:eastAsia="仿宋_GB2312"/>
          <w:b/>
          <w:bCs/>
          <w:sz w:val="24"/>
        </w:rPr>
      </w:r>
      <w:r/>
    </w:p>
    <w:p>
      <w:pPr>
        <w:jc w:val="center"/>
        <w:rPr>
          <w:rFonts w:ascii="仿宋_GB2312" w:eastAsia="仿宋_GB2312"/>
          <w:b/>
          <w:bCs/>
          <w:sz w:val="24"/>
        </w:rPr>
      </w:pPr>
      <w:r>
        <w:rPr>
          <w:rFonts w:ascii="仿宋_GB2312" w:eastAsia="仿宋_GB2312"/>
          <w:b/>
          <w:bCs/>
          <w:sz w:val="24"/>
        </w:rPr>
      </w:r>
      <w:r/>
    </w:p>
    <w:p>
      <w:pPr>
        <w:jc w:val="center"/>
        <w:rPr>
          <w:rFonts w:ascii="仿宋_GB2312" w:eastAsia="仿宋_GB2312"/>
          <w:b/>
          <w:bCs/>
          <w:sz w:val="24"/>
        </w:rPr>
      </w:pPr>
      <w:r>
        <w:rPr>
          <w:rFonts w:ascii="仿宋_GB2312" w:eastAsia="仿宋_GB2312"/>
          <w:b/>
          <w:bCs/>
          <w:sz w:val="24"/>
        </w:rPr>
      </w:r>
      <w:r/>
    </w:p>
    <w:p>
      <w:pPr>
        <w:rPr>
          <w:rFonts w:ascii="仿宋_GB2312" w:eastAsia="仿宋_GB2312"/>
          <w:b/>
          <w:bCs/>
          <w:sz w:val="24"/>
        </w:rPr>
      </w:pPr>
      <w:r>
        <w:rPr>
          <w:rFonts w:ascii="仿宋_GB2312" w:eastAsia="仿宋_GB2312"/>
          <w:b/>
          <w:bCs/>
          <w:sz w:val="24"/>
        </w:rPr>
      </w:r>
      <w:r/>
    </w:p>
    <w:p>
      <w:pPr>
        <w:jc w:val="center"/>
        <w:rPr>
          <w:rFonts w:hint="eastAsia" w:ascii="楷体" w:hAnsi="楷体" w:eastAsia="楷体"/>
          <w:b/>
          <w:bCs/>
          <w:sz w:val="32"/>
          <w:szCs w:val="32"/>
        </w:rPr>
      </w:pPr>
      <w:r>
        <w:rPr>
          <w:rFonts w:hint="eastAsia" w:ascii="楷体" w:hAnsi="楷体" w:eastAsia="楷体"/>
          <w:b/>
          <w:bCs/>
          <w:sz w:val="28"/>
        </w:rPr>
        <w:t xml:space="preserve">年      月      日</w:t>
      </w:r>
      <w:r/>
    </w:p>
    <w:p>
      <w:pPr>
        <w:pStyle w:val="1201"/>
        <w:spacing w:before="0" w:beforeAutospacing="0" w:after="0" w:afterAutospacing="0"/>
        <w:rPr>
          <w:rFonts w:hint="eastAsia" w:ascii="楷体" w:hAnsi="楷体" w:eastAsia="楷体"/>
          <w:b/>
          <w:bCs/>
          <w:color w:val="auto"/>
          <w:sz w:val="32"/>
          <w:szCs w:val="32"/>
        </w:rPr>
      </w:pPr>
      <w:r>
        <w:rPr>
          <w:rFonts w:hint="eastAsia" w:ascii="楷体" w:hAnsi="楷体" w:eastAsia="楷体"/>
          <w:b/>
          <w:bCs/>
          <w:color w:val="auto"/>
          <w:sz w:val="32"/>
          <w:szCs w:val="32"/>
        </w:rPr>
      </w:r>
      <w:r/>
    </w:p>
    <w:p>
      <w:pPr>
        <w:pStyle w:val="1201"/>
        <w:spacing w:before="0" w:beforeAutospacing="0" w:after="0" w:afterAutospacing="0"/>
        <w:rPr>
          <w:rFonts w:hint="eastAsia" w:ascii="楷体" w:hAnsi="楷体" w:eastAsia="楷体"/>
          <w:b/>
          <w:bCs/>
          <w:color w:val="auto"/>
          <w:sz w:val="32"/>
          <w:szCs w:val="32"/>
        </w:rPr>
      </w:pPr>
      <w:r>
        <w:rPr>
          <w:rFonts w:hint="eastAsia" w:ascii="楷体" w:hAnsi="楷体" w:eastAsia="楷体"/>
          <w:b/>
          <w:bCs/>
          <w:color w:val="auto"/>
          <w:sz w:val="32"/>
          <w:szCs w:val="32"/>
        </w:rPr>
      </w:r>
      <w:r/>
    </w:p>
    <w:p>
      <w:pPr>
        <w:pStyle w:val="1201"/>
        <w:spacing w:before="0" w:beforeAutospacing="0" w:after="0" w:afterAutospacing="0"/>
        <w:rPr>
          <w:rFonts w:hint="eastAsia" w:ascii="楷体" w:hAnsi="楷体" w:eastAsia="楷体"/>
          <w:b/>
          <w:bCs/>
          <w:color w:val="auto"/>
          <w:sz w:val="32"/>
          <w:szCs w:val="32"/>
        </w:rPr>
      </w:pPr>
      <w:r>
        <w:rPr>
          <w:rFonts w:hint="eastAsia" w:ascii="楷体" w:hAnsi="楷体" w:eastAsia="楷体"/>
          <w:b/>
          <w:bCs/>
          <w:color w:val="auto"/>
          <w:sz w:val="32"/>
          <w:szCs w:val="32"/>
        </w:rPr>
      </w:r>
      <w:r/>
    </w:p>
    <w:p>
      <w:pPr>
        <w:pStyle w:val="1201"/>
        <w:spacing w:before="0" w:beforeAutospacing="0" w:after="0" w:afterAutospacing="0"/>
        <w:rPr>
          <w:rFonts w:hint="eastAsia" w:ascii="楷体" w:hAnsi="楷体" w:eastAsia="楷体"/>
          <w:b/>
          <w:bCs/>
          <w:color w:val="auto"/>
          <w:sz w:val="32"/>
          <w:szCs w:val="32"/>
        </w:rPr>
      </w:pPr>
      <w:r>
        <w:rPr>
          <w:rFonts w:hint="eastAsia" w:ascii="楷体" w:hAnsi="楷体" w:eastAsia="楷体"/>
          <w:b/>
          <w:bCs/>
          <w:color w:val="auto"/>
          <w:sz w:val="32"/>
          <w:szCs w:val="32"/>
        </w:rPr>
      </w:r>
      <w:r/>
    </w:p>
    <w:p>
      <w:pPr>
        <w:pStyle w:val="1201"/>
        <w:spacing w:before="0" w:beforeAutospacing="0" w:after="0" w:afterAutospacing="0"/>
        <w:rPr>
          <w:rFonts w:hint="eastAsia" w:ascii="楷体" w:hAnsi="楷体" w:eastAsia="楷体"/>
          <w:b/>
          <w:bCs/>
          <w:color w:val="auto"/>
          <w:sz w:val="32"/>
          <w:szCs w:val="32"/>
        </w:rPr>
      </w:pPr>
      <w:r>
        <w:rPr>
          <w:rFonts w:hint="eastAsia" w:ascii="楷体" w:hAnsi="楷体" w:eastAsia="楷体"/>
          <w:b/>
          <w:bCs/>
          <w:color w:val="auto"/>
          <w:sz w:val="32"/>
          <w:szCs w:val="32"/>
        </w:rPr>
      </w:r>
      <w:r>
        <w:rPr>
          <w:rFonts w:hint="eastAsia" w:ascii="楷体" w:hAnsi="楷体" w:eastAsia="楷体"/>
          <w:b/>
          <w:bCs/>
          <w:color w:val="auto"/>
          <w:sz w:val="32"/>
          <w:szCs w:val="32"/>
        </w:rPr>
      </w:r>
    </w:p>
    <w:p>
      <w:pPr>
        <w:pStyle w:val="1201"/>
        <w:spacing w:before="0" w:beforeAutospacing="0" w:after="0" w:afterAutospacing="0"/>
        <w:rPr>
          <w:rFonts w:hint="eastAsia" w:ascii="楷体" w:hAnsi="楷体" w:eastAsia="楷体"/>
          <w:b/>
          <w:bCs/>
          <w:color w:val="auto"/>
          <w:sz w:val="32"/>
          <w:szCs w:val="32"/>
        </w:rPr>
      </w:pPr>
      <w:r>
        <w:rPr>
          <w:rFonts w:hint="eastAsia" w:ascii="楷体" w:hAnsi="楷体" w:eastAsia="楷体"/>
          <w:b/>
          <w:bCs/>
          <w:color w:val="auto"/>
          <w:sz w:val="32"/>
          <w:szCs w:val="32"/>
        </w:rPr>
      </w:r>
      <w:r>
        <w:rPr>
          <w:rFonts w:hint="eastAsia" w:ascii="楷体" w:hAnsi="楷体" w:eastAsia="楷体"/>
          <w:b/>
          <w:bCs/>
          <w:color w:val="auto"/>
          <w:sz w:val="32"/>
          <w:szCs w:val="32"/>
        </w:rPr>
      </w:r>
    </w:p>
    <w:p>
      <w:pPr>
        <w:pStyle w:val="1201"/>
        <w:spacing w:before="0" w:beforeAutospacing="0" w:after="0" w:afterAutospacing="0"/>
        <w:rPr>
          <w:rFonts w:hint="eastAsia" w:ascii="楷体" w:hAnsi="楷体" w:eastAsia="楷体"/>
          <w:b/>
          <w:bCs/>
          <w:color w:val="auto"/>
          <w:sz w:val="32"/>
          <w:szCs w:val="32"/>
        </w:rPr>
      </w:pPr>
      <w:r>
        <w:rPr>
          <w:rFonts w:hint="eastAsia" w:ascii="楷体" w:hAnsi="楷体" w:eastAsia="楷体"/>
          <w:b/>
          <w:bCs/>
          <w:color w:val="auto"/>
          <w:sz w:val="32"/>
          <w:szCs w:val="32"/>
        </w:rPr>
      </w:r>
      <w:r>
        <w:rPr>
          <w:rFonts w:hint="eastAsia" w:ascii="楷体" w:hAnsi="楷体" w:eastAsia="楷体"/>
          <w:b/>
          <w:bCs/>
          <w:color w:val="auto"/>
          <w:sz w:val="32"/>
          <w:szCs w:val="32"/>
        </w:rPr>
      </w:r>
    </w:p>
    <w:p>
      <w:pPr>
        <w:pStyle w:val="1201"/>
        <w:spacing w:before="0" w:beforeAutospacing="0" w:after="0" w:afterAutospacing="0"/>
        <w:rPr>
          <w:rFonts w:hint="eastAsia" w:ascii="楷体" w:hAnsi="楷体" w:eastAsia="楷体"/>
          <w:b/>
          <w:bCs/>
          <w:color w:val="auto"/>
          <w:sz w:val="32"/>
          <w:szCs w:val="32"/>
        </w:rPr>
      </w:pPr>
      <w:r>
        <w:rPr>
          <w:rFonts w:hint="eastAsia" w:ascii="楷体" w:hAnsi="楷体" w:eastAsia="楷体"/>
          <w:b/>
          <w:bCs/>
          <w:color w:val="auto"/>
          <w:sz w:val="32"/>
          <w:szCs w:val="32"/>
        </w:rPr>
      </w:r>
      <w:r>
        <w:rPr>
          <w:rFonts w:hint="eastAsia" w:ascii="楷体" w:hAnsi="楷体" w:eastAsia="楷体"/>
          <w:b/>
          <w:bCs/>
          <w:color w:val="auto"/>
          <w:sz w:val="32"/>
          <w:szCs w:val="32"/>
        </w:rPr>
      </w:r>
    </w:p>
    <w:p>
      <w:pPr>
        <w:pStyle w:val="1201"/>
        <w:spacing w:before="0" w:beforeAutospacing="0" w:after="0" w:afterAutospacing="0"/>
        <w:rPr>
          <w:rFonts w:hint="eastAsia" w:ascii="楷体" w:hAnsi="楷体" w:eastAsia="楷体"/>
          <w:b/>
          <w:bCs/>
          <w:color w:val="auto"/>
          <w:sz w:val="32"/>
          <w:szCs w:val="32"/>
        </w:rPr>
      </w:pPr>
      <w:r>
        <w:rPr>
          <w:rFonts w:hint="eastAsia" w:ascii="楷体" w:hAnsi="楷体" w:eastAsia="楷体"/>
          <w:b/>
          <w:bCs/>
          <w:color w:val="auto"/>
          <w:sz w:val="32"/>
          <w:szCs w:val="32"/>
        </w:rPr>
      </w:r>
      <w:r>
        <w:rPr>
          <w:rFonts w:hint="eastAsia" w:ascii="楷体" w:hAnsi="楷体" w:eastAsia="楷体"/>
          <w:b/>
          <w:bCs/>
          <w:color w:val="auto"/>
          <w:sz w:val="32"/>
          <w:szCs w:val="32"/>
        </w:rPr>
      </w:r>
    </w:p>
    <w:p>
      <w:pPr>
        <w:pStyle w:val="1201"/>
        <w:spacing w:before="0" w:beforeAutospacing="0" w:after="0" w:afterAutospacing="0"/>
        <w:rPr>
          <w:rFonts w:hint="eastAsia" w:ascii="楷体" w:hAnsi="楷体" w:eastAsia="楷体"/>
          <w:b/>
          <w:bCs/>
          <w:color w:val="auto"/>
          <w:sz w:val="32"/>
          <w:szCs w:val="32"/>
        </w:rPr>
      </w:pPr>
      <w:r>
        <w:rPr>
          <w:rFonts w:hint="eastAsia" w:ascii="楷体" w:hAnsi="楷体" w:eastAsia="楷体"/>
          <w:b/>
          <w:bCs/>
          <w:color w:val="auto"/>
          <w:sz w:val="32"/>
          <w:szCs w:val="32"/>
        </w:rPr>
      </w:r>
      <w:r/>
    </w:p>
    <w:p>
      <w:pPr>
        <w:pStyle w:val="1201"/>
        <w:spacing w:before="0" w:beforeAutospacing="0" w:after="0" w:afterAutospacing="0"/>
        <w:rPr>
          <w:rFonts w:hint="eastAsia" w:ascii="楷体" w:hAnsi="楷体" w:eastAsia="楷体"/>
          <w:b/>
          <w:bCs/>
          <w:color w:val="auto"/>
          <w:sz w:val="32"/>
          <w:szCs w:val="32"/>
        </w:rPr>
      </w:pPr>
      <w:r>
        <w:rPr>
          <w:rFonts w:hint="eastAsia" w:ascii="楷体" w:hAnsi="楷体" w:eastAsia="楷体"/>
          <w:b/>
          <w:bCs/>
          <w:color w:val="auto"/>
          <w:sz w:val="32"/>
          <w:szCs w:val="32"/>
        </w:rPr>
      </w:r>
      <w:r/>
    </w:p>
    <w:p>
      <w:pPr>
        <w:pStyle w:val="1201"/>
        <w:spacing w:before="0" w:beforeAutospacing="0" w:after="0" w:afterAutospacing="0"/>
        <w:rPr>
          <w:rFonts w:hint="eastAsia" w:ascii="黑体" w:hAnsi="黑体" w:eastAsia="黑体"/>
          <w:bCs/>
          <w:color w:val="auto"/>
          <w:sz w:val="44"/>
          <w:szCs w:val="44"/>
        </w:rPr>
      </w:pPr>
      <w:r>
        <w:rPr>
          <w:rFonts w:hint="eastAsia" w:ascii="楷体" w:hAnsi="楷体" w:eastAsia="楷体"/>
          <w:b/>
          <w:bCs/>
          <w:color w:val="auto"/>
          <w:sz w:val="32"/>
          <w:szCs w:val="32"/>
        </w:rPr>
        <w:t xml:space="preserve">附件一</w:t>
      </w:r>
      <w:r>
        <w:rPr>
          <w:rFonts w:hint="eastAsia" w:ascii="楷体" w:hAnsi="楷体" w:eastAsia="楷体"/>
          <w:b/>
          <w:bCs/>
          <w:color w:val="auto"/>
          <w:sz w:val="44"/>
          <w:szCs w:val="44"/>
        </w:rPr>
        <w:t xml:space="preserve"> </w:t>
      </w:r>
      <w:r>
        <w:rPr>
          <w:rFonts w:hint="eastAsia" w:ascii="黑体" w:hAnsi="黑体" w:eastAsia="黑体"/>
          <w:bCs/>
          <w:color w:val="auto"/>
          <w:sz w:val="44"/>
          <w:szCs w:val="44"/>
        </w:rPr>
        <w:t xml:space="preserve">              开标一览表            </w:t>
      </w:r>
      <w:r/>
    </w:p>
    <w:p>
      <w:pPr>
        <w:pStyle w:val="1201"/>
        <w:spacing w:before="0" w:beforeAutospacing="0" w:after="0" w:afterAutospacing="0"/>
        <w:rPr>
          <w:rFonts w:hint="eastAsia" w:ascii="仿宋" w:hAnsi="仿宋" w:eastAsia="仿宋"/>
          <w:b/>
          <w:bCs/>
          <w:color w:val="auto"/>
          <w:sz w:val="32"/>
          <w:szCs w:val="18"/>
        </w:rPr>
      </w:pPr>
      <w:r>
        <w:rPr>
          <w:rFonts w:hint="eastAsia" w:ascii="仿宋" w:hAnsi="仿宋" w:eastAsia="仿宋"/>
          <w:b/>
          <w:bCs/>
          <w:color w:val="auto"/>
          <w:sz w:val="32"/>
          <w:szCs w:val="18"/>
        </w:rPr>
      </w:r>
      <w:r/>
    </w:p>
    <w:p>
      <w:pPr>
        <w:pStyle w:val="1201"/>
        <w:spacing w:before="0" w:beforeAutospacing="0" w:after="0" w:afterAutospacing="0"/>
        <w:rPr>
          <w:rFonts w:hint="eastAsia" w:ascii="仿宋" w:hAnsi="仿宋" w:eastAsia="仿宋"/>
          <w:b/>
          <w:bCs/>
          <w:color w:val="auto"/>
          <w:sz w:val="32"/>
          <w:szCs w:val="18"/>
        </w:rPr>
      </w:pPr>
      <w:r>
        <w:rPr>
          <w:rFonts w:hint="eastAsia" w:ascii="仿宋" w:hAnsi="仿宋" w:eastAsia="仿宋"/>
          <w:b/>
          <w:bCs/>
          <w:color w:val="auto"/>
          <w:sz w:val="32"/>
          <w:szCs w:val="18"/>
        </w:rPr>
      </w:r>
      <w:r/>
    </w:p>
    <w:p>
      <w:pPr>
        <w:pStyle w:val="1201"/>
        <w:ind w:firstLine="1250"/>
        <w:spacing w:before="0" w:beforeAutospacing="0" w:after="0" w:afterAutospacing="0"/>
        <w:rPr>
          <w:rFonts w:hint="eastAsia" w:ascii="仿宋" w:hAnsi="仿宋" w:eastAsia="仿宋"/>
          <w:b/>
          <w:bCs/>
          <w:color w:val="auto"/>
          <w:sz w:val="30"/>
          <w:szCs w:val="18"/>
        </w:rPr>
      </w:pPr>
      <w:r>
        <w:rPr>
          <w:rFonts w:hint="eastAsia" w:ascii="仿宋" w:hAnsi="仿宋" w:eastAsia="仿宋"/>
          <w:b/>
          <w:bCs/>
          <w:color w:val="auto"/>
          <w:sz w:val="30"/>
          <w:szCs w:val="18"/>
        </w:rPr>
        <w:t xml:space="preserve">投标供应商名称：</w:t>
      </w:r>
      <w:r/>
    </w:p>
    <w:p>
      <w:pPr>
        <w:pStyle w:val="1201"/>
        <w:ind w:firstLine="1250"/>
        <w:spacing w:before="0" w:beforeAutospacing="0" w:after="0" w:afterAutospacing="0"/>
        <w:rPr>
          <w:rFonts w:hint="eastAsia" w:ascii="仿宋" w:hAnsi="仿宋" w:eastAsia="仿宋"/>
          <w:b/>
          <w:bCs/>
          <w:color w:val="auto"/>
          <w:sz w:val="30"/>
          <w:szCs w:val="18"/>
        </w:rPr>
      </w:pPr>
      <w:r>
        <w:rPr>
          <w:rFonts w:hint="eastAsia" w:ascii="仿宋" w:hAnsi="仿宋" w:eastAsia="仿宋"/>
          <w:b/>
          <w:bCs/>
          <w:color w:val="auto"/>
          <w:sz w:val="30"/>
          <w:szCs w:val="18"/>
        </w:rPr>
        <w:t xml:space="preserve">招标文件编号：                号</w:t>
      </w:r>
      <w:r/>
    </w:p>
    <w:p>
      <w:pPr>
        <w:pStyle w:val="1201"/>
        <w:ind w:firstLine="1250"/>
        <w:spacing w:before="0" w:beforeAutospacing="0" w:after="0" w:afterAutospacing="0"/>
        <w:rPr>
          <w:rFonts w:hint="eastAsia" w:ascii="仿宋" w:hAnsi="仿宋" w:eastAsia="仿宋"/>
          <w:b/>
          <w:bCs/>
          <w:color w:val="auto"/>
          <w:sz w:val="30"/>
          <w:szCs w:val="18"/>
        </w:rPr>
      </w:pPr>
      <w:r>
        <w:rPr>
          <w:rFonts w:hint="eastAsia" w:ascii="仿宋" w:hAnsi="仿宋" w:eastAsia="仿宋"/>
          <w:b/>
          <w:bCs/>
          <w:color w:val="auto"/>
          <w:sz w:val="30"/>
          <w:szCs w:val="18"/>
        </w:rPr>
        <w:t xml:space="preserve">项 目 名 称： </w:t>
      </w:r>
      <w:r/>
    </w:p>
    <w:p>
      <w:pPr>
        <w:pStyle w:val="1201"/>
        <w:ind w:firstLine="2232"/>
        <w:spacing w:before="0" w:beforeAutospacing="0" w:after="0" w:afterAutospacing="0" w:line="480" w:lineRule="exact"/>
        <w:rPr>
          <w:rFonts w:hint="eastAsia" w:ascii="仿宋" w:hAnsi="仿宋" w:eastAsia="仿宋"/>
          <w:color w:val="auto"/>
          <w:sz w:val="30"/>
          <w:szCs w:val="18"/>
        </w:rPr>
      </w:pPr>
      <w:r>
        <w:rPr>
          <w:rFonts w:hint="eastAsia" w:ascii="仿宋" w:hAnsi="仿宋" w:eastAsia="仿宋"/>
          <w:color w:val="auto"/>
          <w:sz w:val="30"/>
          <w:szCs w:val="18"/>
        </w:rPr>
      </w:r>
      <w:r/>
    </w:p>
    <w:tbl>
      <w:tblPr>
        <w:tblW w:w="8505" w:type="dxa"/>
        <w:tblInd w:w="86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969"/>
        <w:gridCol w:w="4536"/>
      </w:tblGrid>
      <w:tr>
        <w:trPr>
          <w:cantSplit/>
          <w:trHeight w:val="594"/>
        </w:trPr>
        <w:tc>
          <w:tcPr>
            <w:tcW w:w="3969" w:type="dxa"/>
            <w:vAlign w:val="center"/>
            <w:vMerge w:val="restart"/>
            <w:textDirection w:val="lrTb"/>
            <w:noWrap w:val="false"/>
          </w:tcPr>
          <w:p>
            <w:pPr>
              <w:ind w:left="96"/>
              <w:jc w:val="center"/>
              <w:spacing w:line="480" w:lineRule="exact"/>
              <w:rPr>
                <w:rFonts w:hint="eastAsia" w:ascii="仿宋" w:hAnsi="仿宋" w:eastAsia="仿宋"/>
                <w:sz w:val="30"/>
              </w:rPr>
            </w:pPr>
            <w:r>
              <w:rPr>
                <w:rFonts w:hint="eastAsia" w:ascii="仿宋" w:hAnsi="仿宋" w:eastAsia="仿宋"/>
                <w:sz w:val="30"/>
              </w:rPr>
              <w:t xml:space="preserve">投标总报价（人民币）</w:t>
            </w:r>
            <w:r/>
          </w:p>
        </w:tc>
        <w:tc>
          <w:tcPr>
            <w:tcW w:w="4536" w:type="dxa"/>
            <w:vAlign w:val="center"/>
            <w:textDirection w:val="lrTb"/>
            <w:noWrap w:val="false"/>
          </w:tcPr>
          <w:p>
            <w:pPr>
              <w:spacing w:line="480" w:lineRule="exact"/>
              <w:rPr>
                <w:rFonts w:hint="eastAsia" w:ascii="仿宋" w:hAnsi="仿宋" w:eastAsia="仿宋"/>
                <w:sz w:val="30"/>
              </w:rPr>
            </w:pPr>
            <w:r>
              <w:rPr>
                <w:rFonts w:hint="eastAsia" w:ascii="仿宋" w:hAnsi="仿宋" w:eastAsia="仿宋"/>
                <w:sz w:val="30"/>
              </w:rPr>
              <w:t xml:space="preserve">大写：</w:t>
            </w:r>
            <w:r/>
          </w:p>
        </w:tc>
      </w:tr>
      <w:tr>
        <w:trPr>
          <w:cantSplit/>
          <w:trHeight w:val="690"/>
        </w:trPr>
        <w:tc>
          <w:tcPr>
            <w:tcW w:w="3969" w:type="dxa"/>
            <w:vAlign w:val="center"/>
            <w:vMerge w:val="continue"/>
            <w:textDirection w:val="lrTb"/>
            <w:noWrap w:val="false"/>
          </w:tcPr>
          <w:p>
            <w:pPr>
              <w:ind w:left="96"/>
              <w:jc w:val="center"/>
              <w:spacing w:line="480" w:lineRule="exact"/>
              <w:rPr>
                <w:rFonts w:hint="eastAsia" w:ascii="仿宋" w:hAnsi="仿宋" w:eastAsia="仿宋"/>
                <w:sz w:val="30"/>
              </w:rPr>
            </w:pPr>
            <w:r>
              <w:rPr>
                <w:rFonts w:hint="eastAsia" w:ascii="仿宋" w:hAnsi="仿宋" w:eastAsia="仿宋"/>
                <w:sz w:val="30"/>
              </w:rPr>
            </w:r>
            <w:r/>
          </w:p>
        </w:tc>
        <w:tc>
          <w:tcPr>
            <w:tcW w:w="4536" w:type="dxa"/>
            <w:vAlign w:val="center"/>
            <w:textDirection w:val="lrTb"/>
            <w:noWrap w:val="false"/>
          </w:tcPr>
          <w:p>
            <w:pPr>
              <w:spacing w:line="480" w:lineRule="exact"/>
              <w:rPr>
                <w:rFonts w:hint="eastAsia" w:ascii="仿宋" w:hAnsi="仿宋" w:eastAsia="仿宋"/>
                <w:sz w:val="30"/>
              </w:rPr>
            </w:pPr>
            <w:r>
              <w:rPr>
                <w:rFonts w:hint="eastAsia" w:ascii="仿宋" w:hAnsi="仿宋" w:eastAsia="仿宋"/>
                <w:sz w:val="30"/>
              </w:rPr>
              <w:t xml:space="preserve">小写</w:t>
            </w:r>
            <w:r>
              <w:rPr>
                <w:rFonts w:hint="eastAsia" w:ascii="仿宋" w:hAnsi="仿宋" w:eastAsia="仿宋"/>
                <w:sz w:val="30"/>
              </w:rPr>
              <w:t xml:space="preserve">￥</w:t>
            </w:r>
            <w:r>
              <w:rPr>
                <w:rFonts w:hint="eastAsia" w:ascii="仿宋" w:hAnsi="仿宋" w:eastAsia="仿宋"/>
                <w:sz w:val="30"/>
              </w:rPr>
              <w:t xml:space="preserve">：                    </w:t>
            </w:r>
            <w:r>
              <w:rPr>
                <w:rFonts w:hint="eastAsia" w:ascii="仿宋" w:hAnsi="仿宋" w:eastAsia="仿宋"/>
                <w:sz w:val="30"/>
              </w:rPr>
              <w:t xml:space="preserve">元</w:t>
            </w:r>
            <w:r/>
          </w:p>
        </w:tc>
      </w:tr>
    </w:tbl>
    <w:p>
      <w:pPr>
        <w:ind w:firstLine="4403"/>
        <w:spacing w:before="144" w:line="460" w:lineRule="exact"/>
        <w:rPr>
          <w:rFonts w:hint="eastAsia" w:ascii="仿宋" w:hAnsi="仿宋" w:eastAsia="仿宋"/>
          <w:sz w:val="28"/>
        </w:rPr>
      </w:pPr>
      <w:r>
        <w:rPr>
          <w:rFonts w:hint="eastAsia" w:ascii="仿宋" w:hAnsi="仿宋" w:eastAsia="仿宋"/>
          <w:sz w:val="28"/>
        </w:rPr>
      </w:r>
      <w:r/>
    </w:p>
    <w:p>
      <w:pPr>
        <w:ind w:firstLine="4403"/>
        <w:spacing w:before="144" w:line="460" w:lineRule="exact"/>
        <w:rPr>
          <w:rFonts w:hint="eastAsia" w:ascii="仿宋" w:hAnsi="仿宋" w:eastAsia="仿宋"/>
          <w:sz w:val="28"/>
        </w:rPr>
      </w:pPr>
      <w:r>
        <w:rPr>
          <w:rFonts w:hint="eastAsia" w:ascii="仿宋" w:hAnsi="仿宋" w:eastAsia="仿宋"/>
          <w:sz w:val="28"/>
        </w:rPr>
      </w:r>
      <w:r/>
    </w:p>
    <w:p>
      <w:pPr>
        <w:ind w:firstLine="4403"/>
        <w:spacing w:before="144" w:line="460" w:lineRule="exact"/>
        <w:rPr>
          <w:rFonts w:hint="eastAsia" w:ascii="仿宋" w:hAnsi="仿宋" w:eastAsia="仿宋"/>
          <w:sz w:val="28"/>
        </w:rPr>
      </w:pPr>
      <w:r>
        <w:rPr>
          <w:rFonts w:hint="eastAsia" w:ascii="仿宋" w:hAnsi="仿宋" w:eastAsia="仿宋"/>
          <w:sz w:val="28"/>
        </w:rPr>
      </w:r>
      <w:r/>
    </w:p>
    <w:p>
      <w:pPr>
        <w:ind w:firstLine="4696"/>
        <w:spacing w:before="144" w:line="460" w:lineRule="exact"/>
        <w:rPr>
          <w:rFonts w:hint="eastAsia" w:ascii="仿宋" w:hAnsi="仿宋" w:eastAsia="仿宋"/>
          <w:sz w:val="28"/>
        </w:rPr>
      </w:pPr>
      <w:r>
        <w:rPr>
          <w:rFonts w:hint="eastAsia" w:ascii="仿宋" w:hAnsi="仿宋" w:eastAsia="仿宋"/>
          <w:sz w:val="28"/>
        </w:rPr>
        <w:t xml:space="preserve">投标供应商（公章）：</w:t>
      </w:r>
      <w:r/>
    </w:p>
    <w:p>
      <w:pPr>
        <w:ind w:firstLine="4662"/>
        <w:spacing w:before="50" w:line="460" w:lineRule="exact"/>
        <w:rPr>
          <w:rFonts w:hint="eastAsia" w:ascii="仿宋" w:hAnsi="仿宋" w:eastAsia="仿宋"/>
          <w:sz w:val="28"/>
        </w:rPr>
      </w:pPr>
      <w:r>
        <w:rPr>
          <w:rFonts w:hint="eastAsia" w:ascii="仿宋" w:hAnsi="仿宋" w:eastAsia="仿宋"/>
          <w:sz w:val="28"/>
        </w:rPr>
        <w:t xml:space="preserve">法定代表人 （签名或印鉴）：</w:t>
      </w:r>
      <w:r/>
    </w:p>
    <w:p>
      <w:pPr>
        <w:ind w:firstLine="4662"/>
        <w:spacing w:before="50" w:line="460" w:lineRule="exact"/>
        <w:rPr>
          <w:rFonts w:hint="eastAsia" w:ascii="仿宋" w:hAnsi="仿宋" w:eastAsia="仿宋"/>
          <w:sz w:val="28"/>
        </w:rPr>
      </w:pPr>
      <w:r>
        <w:rPr>
          <w:rFonts w:hint="eastAsia" w:ascii="仿宋" w:hAnsi="仿宋" w:eastAsia="仿宋"/>
          <w:sz w:val="28"/>
        </w:rPr>
        <w:t xml:space="preserve">或被授权代表 （签名或</w:t>
      </w:r>
      <w:r>
        <w:rPr>
          <w:rFonts w:hint="eastAsia" w:ascii="仿宋" w:hAnsi="仿宋" w:eastAsia="仿宋"/>
          <w:sz w:val="28"/>
          <w:szCs w:val="28"/>
        </w:rPr>
        <w:t xml:space="preserve">印鉴</w:t>
      </w:r>
      <w:r>
        <w:rPr>
          <w:rFonts w:hint="eastAsia" w:ascii="仿宋" w:hAnsi="仿宋" w:eastAsia="仿宋"/>
          <w:sz w:val="28"/>
        </w:rPr>
        <w:t xml:space="preserve">）：</w:t>
      </w:r>
      <w:r/>
    </w:p>
    <w:p>
      <w:pPr>
        <w:ind w:firstLine="5307"/>
        <w:spacing w:before="50" w:line="460" w:lineRule="exact"/>
        <w:rPr>
          <w:rFonts w:hint="eastAsia" w:ascii="仿宋" w:hAnsi="仿宋" w:eastAsia="仿宋"/>
          <w:sz w:val="28"/>
        </w:rPr>
      </w:pPr>
      <w:r>
        <w:rPr>
          <w:rFonts w:hint="eastAsia" w:ascii="仿宋" w:hAnsi="仿宋" w:eastAsia="仿宋"/>
          <w:sz w:val="28"/>
        </w:rPr>
        <w:t xml:space="preserve">  年   月   日</w:t>
      </w:r>
      <w:r/>
    </w:p>
    <w:p>
      <w:pPr>
        <w:spacing w:before="50" w:line="460" w:lineRule="exact"/>
        <w:rPr>
          <w:rFonts w:ascii="仿宋_GB2312" w:eastAsia="仿宋_GB2312"/>
          <w:sz w:val="28"/>
        </w:rPr>
      </w:pPr>
      <w:r>
        <w:rPr>
          <w:rFonts w:ascii="仿宋_GB2312" w:eastAsia="仿宋_GB2312"/>
          <w:sz w:val="28"/>
        </w:rPr>
      </w:r>
      <w:r/>
    </w:p>
    <w:p>
      <w:pPr>
        <w:spacing w:before="50" w:line="460" w:lineRule="exact"/>
        <w:rPr>
          <w:rFonts w:ascii="仿宋_GB2312" w:eastAsia="仿宋_GB2312"/>
          <w:sz w:val="28"/>
        </w:rPr>
      </w:pPr>
      <w:r>
        <w:rPr>
          <w:rFonts w:ascii="仿宋_GB2312" w:eastAsia="仿宋_GB2312"/>
          <w:sz w:val="28"/>
        </w:rPr>
      </w:r>
      <w:r/>
    </w:p>
    <w:p>
      <w:pPr>
        <w:spacing w:after="100" w:afterAutospacing="1"/>
        <w:rPr>
          <w:rFonts w:hint="eastAsia" w:ascii="楷体" w:hAnsi="楷体" w:eastAsia="楷体"/>
          <w:b/>
          <w:bCs/>
          <w:sz w:val="32"/>
        </w:rPr>
      </w:pPr>
      <w:r>
        <w:rPr>
          <w:rFonts w:hint="eastAsia" w:ascii="楷体" w:hAnsi="楷体" w:eastAsia="楷体"/>
          <w:b/>
          <w:bCs/>
          <w:sz w:val="32"/>
        </w:rPr>
      </w:r>
      <w:r/>
    </w:p>
    <w:p>
      <w:pPr>
        <w:spacing w:after="100" w:afterAutospacing="1"/>
        <w:rPr>
          <w:rFonts w:ascii="仿宋_GB2312" w:eastAsia="仿宋_GB2312"/>
          <w:bCs/>
          <w:sz w:val="32"/>
        </w:rPr>
      </w:pPr>
      <w:r>
        <w:rPr>
          <w:rFonts w:ascii="仿宋_GB2312" w:eastAsia="仿宋_GB2312"/>
          <w:bCs/>
          <w:sz w:val="32"/>
        </w:rPr>
      </w:r>
      <w:r/>
    </w:p>
    <w:p>
      <w:pPr>
        <w:spacing w:after="100" w:afterAutospacing="1"/>
        <w:rPr>
          <w:rFonts w:ascii="仿宋_GB2312" w:eastAsia="仿宋_GB2312"/>
          <w:bCs/>
          <w:sz w:val="32"/>
        </w:rPr>
      </w:pPr>
      <w:r>
        <w:rPr>
          <w:rFonts w:ascii="仿宋_GB2312" w:eastAsia="仿宋_GB2312"/>
          <w:bCs/>
          <w:sz w:val="32"/>
        </w:rPr>
      </w:r>
      <w:r/>
    </w:p>
    <w:p>
      <w:pPr>
        <w:pStyle w:val="1142"/>
      </w:pPr>
      <w:r/>
      <w:r/>
    </w:p>
    <w:p>
      <w:pPr>
        <w:pStyle w:val="1142"/>
      </w:pPr>
      <w:r/>
      <w:r/>
    </w:p>
    <w:p>
      <w:pPr>
        <w:pStyle w:val="1142"/>
      </w:pPr>
      <w:r/>
      <w:r/>
    </w:p>
    <w:p>
      <w:pPr>
        <w:pStyle w:val="1142"/>
      </w:pPr>
      <w:r/>
      <w:r/>
    </w:p>
    <w:p>
      <w:r/>
      <w:r/>
    </w:p>
    <w:p>
      <w:pPr>
        <w:spacing w:after="100" w:afterAutospacing="1"/>
        <w:rPr>
          <w:rFonts w:hint="eastAsia" w:ascii="仿宋" w:hAnsi="仿宋" w:eastAsia="仿宋"/>
        </w:rPr>
      </w:pPr>
      <w:r>
        <w:rPr>
          <w:rFonts w:hint="eastAsia" w:ascii="仿宋" w:hAnsi="仿宋" w:eastAsia="仿宋"/>
          <w:bCs/>
          <w:sz w:val="32"/>
        </w:rPr>
        <w:t xml:space="preserve">附件二                     </w:t>
      </w:r>
      <w:r>
        <w:rPr>
          <w:rFonts w:hint="eastAsia" w:ascii="仿宋" w:hAnsi="仿宋" w:eastAsia="仿宋"/>
          <w:bCs/>
          <w:sz w:val="44"/>
          <w:szCs w:val="44"/>
        </w:rPr>
        <w:t xml:space="preserve">投 标 函 </w:t>
      </w:r>
      <w:r>
        <w:rPr>
          <w:rFonts w:hint="eastAsia" w:ascii="仿宋" w:hAnsi="仿宋" w:eastAsia="仿宋"/>
          <w:bCs/>
          <w:sz w:val="32"/>
        </w:rPr>
        <w:t xml:space="preserve">                                      </w:t>
      </w:r>
      <w:r/>
    </w:p>
    <w:p>
      <w:pPr>
        <w:jc w:val="left"/>
        <w:spacing w:line="500" w:lineRule="exact"/>
        <w:rPr>
          <w:rFonts w:hint="eastAsia" w:ascii="仿宋" w:hAnsi="仿宋" w:eastAsia="仿宋"/>
          <w:sz w:val="28"/>
          <w:szCs w:val="28"/>
        </w:rPr>
      </w:pPr>
      <w:r>
        <w:rPr>
          <w:rFonts w:hint="eastAsia" w:ascii="仿宋" w:hAnsi="仿宋" w:eastAsia="仿宋"/>
          <w:sz w:val="28"/>
          <w:szCs w:val="28"/>
        </w:rPr>
        <w:t xml:space="preserve">江苏泰禾房地产土地造价咨询评估有限公司:</w:t>
      </w:r>
      <w:r/>
    </w:p>
    <w:p>
      <w:pPr>
        <w:ind w:firstLine="518"/>
        <w:jc w:val="left"/>
        <w:spacing w:line="500" w:lineRule="exact"/>
        <w:rPr>
          <w:rFonts w:hint="eastAsia" w:ascii="仿宋" w:hAnsi="仿宋" w:eastAsia="仿宋"/>
          <w:sz w:val="28"/>
          <w:szCs w:val="28"/>
        </w:rPr>
      </w:pPr>
      <w:r>
        <w:rPr>
          <w:rFonts w:hint="eastAsia" w:ascii="仿宋" w:hAnsi="仿宋" w:eastAsia="仿宋"/>
          <w:sz w:val="28"/>
          <w:szCs w:val="28"/>
        </w:rPr>
        <w:t xml:space="preserve">根据你公司《</w:t>
      </w:r>
      <w:r>
        <w:rPr>
          <w:rFonts w:ascii="仿宋" w:hAnsi="仿宋" w:eastAsia="仿宋"/>
          <w:sz w:val="28"/>
          <w:szCs w:val="28"/>
        </w:rPr>
        <w:t xml:space="preserve">     </w:t>
      </w:r>
      <w:r>
        <w:rPr>
          <w:rFonts w:hint="eastAsia" w:ascii="仿宋" w:hAnsi="仿宋" w:eastAsia="仿宋"/>
          <w:sz w:val="28"/>
          <w:szCs w:val="28"/>
        </w:rPr>
        <w:t xml:space="preserve">    号招标文件》的要求，正式授权下述签字人</w:t>
      </w:r>
      <w:r>
        <w:rPr>
          <w:rFonts w:hint="eastAsia" w:ascii="仿宋" w:hAnsi="仿宋" w:eastAsia="仿宋"/>
          <w:sz w:val="28"/>
          <w:szCs w:val="28"/>
          <w:u w:val="single"/>
        </w:rPr>
        <w:t xml:space="preserve">               </w:t>
      </w:r>
      <w:r>
        <w:rPr>
          <w:rFonts w:hint="eastAsia" w:ascii="仿宋" w:hAnsi="仿宋" w:eastAsia="仿宋"/>
          <w:sz w:val="28"/>
          <w:szCs w:val="28"/>
        </w:rPr>
        <w:t xml:space="preserve">（姓名和职务）代表投标供应商</w:t>
      </w:r>
      <w:r>
        <w:rPr>
          <w:rFonts w:hint="eastAsia" w:ascii="仿宋" w:hAnsi="仿宋" w:eastAsia="仿宋"/>
          <w:sz w:val="28"/>
          <w:szCs w:val="28"/>
          <w:u w:val="single"/>
        </w:rPr>
        <w:t xml:space="preserve">                  </w:t>
      </w:r>
      <w:r>
        <w:rPr>
          <w:rFonts w:hint="eastAsia" w:ascii="仿宋" w:hAnsi="仿宋" w:eastAsia="仿宋"/>
          <w:sz w:val="28"/>
          <w:szCs w:val="28"/>
        </w:rPr>
        <w:t xml:space="preserve">（投标供应商的名称）提交电子投标文件。</w:t>
      </w:r>
      <w:r/>
    </w:p>
    <w:p>
      <w:pPr>
        <w:ind w:firstLine="518"/>
        <w:jc w:val="left"/>
        <w:spacing w:line="500" w:lineRule="exact"/>
        <w:rPr>
          <w:rFonts w:hint="eastAsia" w:ascii="仿宋" w:hAnsi="仿宋" w:eastAsia="仿宋"/>
          <w:sz w:val="28"/>
          <w:szCs w:val="28"/>
        </w:rPr>
      </w:pPr>
      <w:r>
        <w:rPr>
          <w:rFonts w:hint="eastAsia" w:ascii="仿宋" w:hAnsi="仿宋" w:eastAsia="仿宋"/>
          <w:sz w:val="28"/>
          <w:szCs w:val="28"/>
        </w:rPr>
        <w:t xml:space="preserve">我单位经现场考察和认真研究招标文件后慎重作出如下报价和承诺：</w:t>
      </w:r>
      <w:r/>
    </w:p>
    <w:p>
      <w:pPr>
        <w:ind w:firstLine="518"/>
        <w:jc w:val="left"/>
        <w:spacing w:line="500" w:lineRule="exact"/>
        <w:rPr>
          <w:rFonts w:hint="eastAsia" w:ascii="仿宋" w:hAnsi="仿宋" w:eastAsia="仿宋"/>
          <w:sz w:val="28"/>
          <w:szCs w:val="28"/>
        </w:rPr>
      </w:pPr>
      <w:r>
        <w:rPr>
          <w:rFonts w:hint="eastAsia" w:ascii="仿宋" w:hAnsi="仿宋" w:eastAsia="仿宋"/>
          <w:sz w:val="28"/>
          <w:szCs w:val="28"/>
        </w:rPr>
        <w:t xml:space="preserve">（1）完成招标文件规定全部内容的投标总报价为人民币（大写） </w:t>
      </w:r>
      <w:r>
        <w:rPr>
          <w:rFonts w:hint="eastAsia" w:ascii="仿宋" w:hAnsi="仿宋" w:eastAsia="仿宋"/>
          <w:sz w:val="28"/>
          <w:szCs w:val="28"/>
          <w:u w:val="single"/>
        </w:rPr>
        <w:t xml:space="preserve">        </w:t>
      </w:r>
      <w:r>
        <w:rPr>
          <w:rFonts w:hint="eastAsia" w:ascii="仿宋" w:hAnsi="仿宋" w:eastAsia="仿宋"/>
          <w:sz w:val="28"/>
          <w:szCs w:val="28"/>
        </w:rPr>
        <w:t xml:space="preserve">元。</w:t>
      </w:r>
      <w:r/>
    </w:p>
    <w:p>
      <w:pPr>
        <w:ind w:firstLine="518"/>
        <w:jc w:val="left"/>
        <w:spacing w:line="500" w:lineRule="exact"/>
        <w:rPr>
          <w:rFonts w:hint="eastAsia" w:ascii="仿宋" w:hAnsi="仿宋" w:eastAsia="仿宋"/>
          <w:sz w:val="28"/>
          <w:szCs w:val="28"/>
        </w:rPr>
      </w:pPr>
      <w:r>
        <w:rPr>
          <w:rFonts w:hint="eastAsia" w:ascii="仿宋" w:hAnsi="仿宋" w:eastAsia="仿宋"/>
          <w:sz w:val="28"/>
          <w:szCs w:val="28"/>
        </w:rPr>
        <w:t xml:space="preserve">（2）我们完全理解贵方不一定要接受最低报价的投标或收到的其它报价的任何投标。</w:t>
      </w:r>
      <w:r/>
    </w:p>
    <w:p>
      <w:pPr>
        <w:ind w:firstLine="518"/>
        <w:jc w:val="left"/>
        <w:spacing w:line="500" w:lineRule="exact"/>
        <w:rPr>
          <w:rFonts w:hint="eastAsia" w:ascii="仿宋" w:hAnsi="仿宋" w:eastAsia="仿宋"/>
          <w:sz w:val="28"/>
          <w:szCs w:val="28"/>
        </w:rPr>
      </w:pPr>
      <w:r>
        <w:rPr>
          <w:rFonts w:hint="eastAsia" w:ascii="仿宋" w:hAnsi="仿宋" w:eastAsia="仿宋"/>
          <w:sz w:val="28"/>
          <w:szCs w:val="28"/>
        </w:rPr>
        <w:t xml:space="preserve">（3）我们已详细审核全部招标文件及其有效补充文件，我们知道必须放弃提出含糊不清或误解的问题的权利。</w:t>
      </w:r>
      <w:r/>
    </w:p>
    <w:p>
      <w:pPr>
        <w:ind w:firstLine="518"/>
        <w:jc w:val="left"/>
        <w:spacing w:line="500" w:lineRule="exact"/>
        <w:rPr>
          <w:rFonts w:hint="eastAsia" w:ascii="仿宋" w:hAnsi="仿宋" w:eastAsia="仿宋"/>
          <w:sz w:val="28"/>
          <w:szCs w:val="28"/>
        </w:rPr>
      </w:pPr>
      <w:r>
        <w:rPr>
          <w:rFonts w:hint="eastAsia" w:ascii="仿宋" w:hAnsi="仿宋" w:eastAsia="仿宋"/>
          <w:sz w:val="28"/>
          <w:szCs w:val="28"/>
        </w:rPr>
        <w:t xml:space="preserve">（4）我们同意从规定的开标日期起遵守本投标书的约定，并在规定的投标有效期期满之前均具有约束力。</w:t>
      </w:r>
      <w:r/>
    </w:p>
    <w:p>
      <w:pPr>
        <w:ind w:left="438"/>
        <w:jc w:val="left"/>
        <w:spacing w:line="500" w:lineRule="exact"/>
        <w:rPr>
          <w:rFonts w:hint="eastAsia" w:ascii="仿宋" w:hAnsi="仿宋" w:eastAsia="仿宋"/>
          <w:sz w:val="28"/>
          <w:szCs w:val="28"/>
        </w:rPr>
      </w:pPr>
      <w:r>
        <w:rPr>
          <w:rFonts w:hint="eastAsia" w:ascii="仿宋" w:hAnsi="仿宋" w:eastAsia="仿宋"/>
          <w:sz w:val="28"/>
          <w:szCs w:val="28"/>
        </w:rPr>
        <w:t xml:space="preserve">（5）如果在开标后规定的投标有效期内撤回投标，我们的投标保证金不要求退还。</w:t>
      </w:r>
      <w:r/>
    </w:p>
    <w:p>
      <w:pPr>
        <w:ind w:firstLine="518"/>
        <w:jc w:val="left"/>
        <w:spacing w:line="500" w:lineRule="exact"/>
        <w:rPr>
          <w:rFonts w:hint="eastAsia" w:ascii="仿宋" w:hAnsi="仿宋" w:eastAsia="仿宋"/>
          <w:sz w:val="28"/>
          <w:szCs w:val="28"/>
        </w:rPr>
      </w:pPr>
      <w:r>
        <w:rPr>
          <w:rFonts w:hint="eastAsia" w:ascii="仿宋" w:hAnsi="仿宋" w:eastAsia="仿宋"/>
          <w:sz w:val="28"/>
          <w:szCs w:val="28"/>
        </w:rPr>
        <w:t xml:space="preserve">（6）同意提供你中心可能另外要求的与投标有关的任何证据或资料。</w:t>
      </w:r>
      <w:r/>
    </w:p>
    <w:p>
      <w:pPr>
        <w:jc w:val="left"/>
        <w:spacing w:line="500" w:lineRule="exact"/>
        <w:rPr>
          <w:rFonts w:hint="eastAsia" w:ascii="仿宋" w:hAnsi="仿宋" w:eastAsia="仿宋"/>
          <w:sz w:val="28"/>
          <w:szCs w:val="28"/>
        </w:rPr>
      </w:pPr>
      <w:r>
        <w:rPr>
          <w:rFonts w:hint="eastAsia" w:ascii="仿宋" w:hAnsi="仿宋" w:eastAsia="仿宋"/>
          <w:sz w:val="28"/>
          <w:szCs w:val="28"/>
        </w:rPr>
        <w:t xml:space="preserve">    （7）一旦我方中标，我们将根据招标文件的规定，严格履行合同的责任和义务，并保证于招标文件中规定的时间前完成本招标项目的交采购人使用并验收合格。</w:t>
      </w:r>
      <w:r/>
    </w:p>
    <w:p>
      <w:pPr>
        <w:ind w:firstLine="518"/>
        <w:jc w:val="left"/>
        <w:spacing w:line="500" w:lineRule="exact"/>
        <w:rPr>
          <w:rFonts w:hint="eastAsia" w:ascii="仿宋" w:hAnsi="仿宋" w:eastAsia="仿宋"/>
          <w:sz w:val="28"/>
          <w:szCs w:val="28"/>
        </w:rPr>
      </w:pPr>
      <w:r>
        <w:rPr>
          <w:rFonts w:hint="eastAsia" w:ascii="仿宋" w:hAnsi="仿宋" w:eastAsia="仿宋"/>
          <w:sz w:val="28"/>
          <w:szCs w:val="28"/>
        </w:rPr>
        <w:t xml:space="preserve">（8）与本投标有关的正式通讯地址为：</w:t>
      </w:r>
      <w:r/>
    </w:p>
    <w:p>
      <w:pPr>
        <w:jc w:val="left"/>
        <w:spacing w:line="500" w:lineRule="exact"/>
        <w:rPr>
          <w:rFonts w:hint="eastAsia" w:ascii="仿宋" w:hAnsi="仿宋" w:eastAsia="仿宋"/>
          <w:sz w:val="28"/>
          <w:szCs w:val="28"/>
          <w:u w:val="single"/>
        </w:rPr>
      </w:pPr>
      <w:r>
        <w:rPr>
          <w:rFonts w:hint="eastAsia" w:ascii="仿宋" w:hAnsi="仿宋" w:eastAsia="仿宋"/>
          <w:sz w:val="28"/>
          <w:szCs w:val="28"/>
        </w:rPr>
        <w:t xml:space="preserve">       地  址：</w:t>
      </w:r>
      <w:r>
        <w:rPr>
          <w:rFonts w:hint="eastAsia" w:ascii="仿宋" w:hAnsi="仿宋" w:eastAsia="仿宋"/>
          <w:sz w:val="28"/>
          <w:szCs w:val="28"/>
          <w:u w:val="single"/>
        </w:rPr>
        <w:t xml:space="preserve">                         </w:t>
      </w:r>
      <w:r>
        <w:rPr>
          <w:rFonts w:hint="eastAsia" w:ascii="仿宋" w:hAnsi="仿宋" w:eastAsia="仿宋"/>
          <w:sz w:val="28"/>
          <w:szCs w:val="28"/>
        </w:rPr>
        <w:t xml:space="preserve">电  话：</w:t>
      </w:r>
      <w:r>
        <w:rPr>
          <w:rFonts w:hint="eastAsia" w:ascii="仿宋" w:hAnsi="仿宋" w:eastAsia="仿宋"/>
          <w:sz w:val="28"/>
          <w:szCs w:val="28"/>
          <w:u w:val="single"/>
        </w:rPr>
        <w:t xml:space="preserve">                         </w:t>
      </w:r>
      <w:r/>
    </w:p>
    <w:p>
      <w:pPr>
        <w:jc w:val="left"/>
        <w:spacing w:line="500" w:lineRule="exact"/>
        <w:rPr>
          <w:rFonts w:hint="eastAsia" w:ascii="仿宋" w:hAnsi="仿宋" w:eastAsia="仿宋"/>
          <w:sz w:val="28"/>
          <w:szCs w:val="28"/>
          <w:u w:val="single"/>
        </w:rPr>
      </w:pPr>
      <w:r>
        <w:rPr>
          <w:rFonts w:hint="eastAsia" w:ascii="仿宋" w:hAnsi="仿宋" w:eastAsia="仿宋"/>
          <w:sz w:val="28"/>
          <w:szCs w:val="28"/>
        </w:rPr>
        <w:t xml:space="preserve">       邮  编：</w:t>
      </w:r>
      <w:r>
        <w:rPr>
          <w:rFonts w:hint="eastAsia" w:ascii="仿宋" w:hAnsi="仿宋" w:eastAsia="仿宋"/>
          <w:sz w:val="28"/>
          <w:szCs w:val="28"/>
          <w:u w:val="single"/>
        </w:rPr>
        <w:t xml:space="preserve">                         </w:t>
      </w:r>
      <w:r>
        <w:rPr>
          <w:rFonts w:hint="eastAsia" w:ascii="仿宋" w:hAnsi="仿宋" w:eastAsia="仿宋"/>
          <w:sz w:val="28"/>
          <w:szCs w:val="28"/>
        </w:rPr>
        <w:t xml:space="preserve">传  真：</w:t>
      </w:r>
      <w:r>
        <w:rPr>
          <w:rFonts w:hint="eastAsia" w:ascii="仿宋" w:hAnsi="仿宋" w:eastAsia="仿宋"/>
          <w:sz w:val="28"/>
          <w:szCs w:val="28"/>
          <w:u w:val="single"/>
        </w:rPr>
        <w:t xml:space="preserve">                         </w:t>
      </w:r>
      <w:r>
        <w:rPr>
          <w:rFonts w:hint="eastAsia" w:ascii="仿宋" w:hAnsi="仿宋" w:eastAsia="仿宋"/>
          <w:sz w:val="28"/>
          <w:szCs w:val="28"/>
        </w:rPr>
        <w:t xml:space="preserve">    </w:t>
      </w:r>
      <w:r/>
    </w:p>
    <w:p>
      <w:pPr>
        <w:ind w:firstLine="5838"/>
        <w:rPr>
          <w:rFonts w:hint="eastAsia" w:ascii="仿宋" w:hAnsi="仿宋" w:eastAsia="仿宋"/>
          <w:sz w:val="28"/>
          <w:szCs w:val="28"/>
        </w:rPr>
      </w:pPr>
      <w:r>
        <w:rPr>
          <w:rFonts w:hint="eastAsia" w:ascii="仿宋" w:hAnsi="仿宋" w:eastAsia="仿宋"/>
          <w:sz w:val="28"/>
          <w:szCs w:val="28"/>
        </w:rPr>
        <w:t xml:space="preserve">投标供应商（公章）：</w:t>
      </w:r>
      <w:r/>
    </w:p>
    <w:p>
      <w:pPr>
        <w:ind w:firstLine="5838"/>
        <w:rPr>
          <w:rFonts w:hint="eastAsia" w:ascii="仿宋" w:hAnsi="仿宋" w:eastAsia="仿宋"/>
          <w:sz w:val="28"/>
          <w:szCs w:val="28"/>
        </w:rPr>
      </w:pPr>
      <w:r>
        <w:rPr>
          <w:rFonts w:hint="eastAsia" w:ascii="仿宋" w:hAnsi="仿宋" w:eastAsia="仿宋"/>
          <w:sz w:val="28"/>
          <w:szCs w:val="28"/>
        </w:rPr>
        <w:t xml:space="preserve">法定代表人（签名或印鉴）：</w:t>
      </w:r>
      <w:r/>
    </w:p>
    <w:p>
      <w:pPr>
        <w:ind w:firstLine="5838"/>
        <w:rPr>
          <w:rFonts w:hint="eastAsia" w:ascii="仿宋" w:hAnsi="仿宋" w:eastAsia="仿宋"/>
          <w:sz w:val="28"/>
          <w:szCs w:val="28"/>
        </w:rPr>
      </w:pPr>
      <w:r>
        <w:rPr>
          <w:rFonts w:hint="eastAsia" w:ascii="仿宋" w:hAnsi="仿宋" w:eastAsia="仿宋"/>
          <w:sz w:val="28"/>
          <w:szCs w:val="28"/>
        </w:rPr>
        <w:t xml:space="preserve">或被授权代表（签名或印鉴）： </w:t>
      </w:r>
      <w:r/>
    </w:p>
    <w:p>
      <w:pPr>
        <w:ind w:firstLine="5838"/>
        <w:rPr>
          <w:rFonts w:hint="eastAsia" w:ascii="仿宋" w:hAnsi="仿宋" w:eastAsia="仿宋"/>
          <w:sz w:val="28"/>
          <w:szCs w:val="28"/>
        </w:rPr>
      </w:pPr>
      <w:r>
        <w:rPr>
          <w:rFonts w:hint="eastAsia" w:ascii="仿宋" w:hAnsi="仿宋" w:eastAsia="仿宋"/>
          <w:sz w:val="28"/>
          <w:szCs w:val="28"/>
        </w:rPr>
        <w:t xml:space="preserve"> 年 </w:t>
      </w:r>
      <w:r>
        <w:rPr>
          <w:rFonts w:ascii="仿宋" w:hAnsi="仿宋" w:eastAsia="仿宋"/>
          <w:sz w:val="28"/>
          <w:szCs w:val="28"/>
        </w:rPr>
        <w:t xml:space="preserve">  </w:t>
      </w:r>
      <w:r>
        <w:rPr>
          <w:rFonts w:hint="eastAsia" w:ascii="仿宋" w:hAnsi="仿宋" w:eastAsia="仿宋"/>
          <w:sz w:val="28"/>
          <w:szCs w:val="28"/>
        </w:rPr>
        <w:t xml:space="preserve">月 </w:t>
      </w:r>
      <w:r>
        <w:rPr>
          <w:rFonts w:ascii="仿宋" w:hAnsi="仿宋" w:eastAsia="仿宋"/>
          <w:sz w:val="28"/>
          <w:szCs w:val="28"/>
        </w:rPr>
        <w:t xml:space="preserve">  </w:t>
      </w:r>
      <w:r>
        <w:rPr>
          <w:rFonts w:hint="eastAsia" w:ascii="仿宋" w:hAnsi="仿宋" w:eastAsia="仿宋"/>
          <w:sz w:val="28"/>
          <w:szCs w:val="28"/>
        </w:rPr>
        <w:t xml:space="preserve">日</w:t>
      </w:r>
      <w:r/>
    </w:p>
    <w:p>
      <w:pPr>
        <w:rPr>
          <w:rFonts w:hint="eastAsia" w:ascii="仿宋" w:hAnsi="仿宋" w:eastAsia="仿宋"/>
          <w:bCs/>
          <w:sz w:val="44"/>
          <w:szCs w:val="44"/>
        </w:rPr>
        <w:outlineLvl w:val="0"/>
      </w:pPr>
      <w:r>
        <w:rPr>
          <w:rFonts w:hint="eastAsia" w:ascii="仿宋" w:hAnsi="仿宋" w:eastAsia="仿宋"/>
          <w:bCs/>
          <w:sz w:val="44"/>
          <w:szCs w:val="44"/>
        </w:rPr>
      </w:r>
      <w:r/>
    </w:p>
    <w:p>
      <w:pPr>
        <w:rPr>
          <w:rFonts w:hint="eastAsia" w:ascii="仿宋" w:hAnsi="仿宋" w:eastAsia="仿宋"/>
          <w:sz w:val="32"/>
        </w:rPr>
        <w:outlineLvl w:val="0"/>
      </w:pPr>
      <w:r>
        <w:rPr>
          <w:rFonts w:hint="eastAsia" w:ascii="仿宋" w:hAnsi="仿宋" w:eastAsia="仿宋"/>
          <w:bCs/>
          <w:sz w:val="44"/>
          <w:szCs w:val="44"/>
        </w:rPr>
        <w:t xml:space="preserve">附件三        法定代表人授权书        </w:t>
      </w:r>
      <w:r>
        <w:rPr>
          <w:rFonts w:hint="eastAsia" w:ascii="仿宋" w:hAnsi="仿宋" w:eastAsia="仿宋"/>
          <w:sz w:val="32"/>
        </w:rPr>
        <w:t xml:space="preserve">                          </w:t>
      </w:r>
      <w:r/>
    </w:p>
    <w:p>
      <w:pPr>
        <w:rPr>
          <w:rFonts w:hint="eastAsia" w:ascii="仿宋" w:hAnsi="仿宋" w:eastAsia="仿宋"/>
        </w:rPr>
      </w:pPr>
      <w:r>
        <w:rPr>
          <w:rFonts w:hint="eastAsia" w:ascii="仿宋" w:hAnsi="仿宋" w:eastAsia="仿宋"/>
        </w:rPr>
      </w:r>
      <w:r/>
    </w:p>
    <w:p>
      <w:pPr>
        <w:pStyle w:val="1185"/>
        <w:rPr>
          <w:rFonts w:hint="eastAsia" w:ascii="仿宋" w:hAnsi="仿宋" w:eastAsia="仿宋"/>
        </w:rPr>
      </w:pPr>
      <w:r>
        <w:rPr>
          <w:rFonts w:hint="eastAsia" w:ascii="仿宋" w:hAnsi="仿宋" w:eastAsia="仿宋"/>
        </w:rPr>
      </w:r>
      <w:r/>
    </w:p>
    <w:p>
      <w:pPr>
        <w:spacing w:line="480" w:lineRule="auto"/>
        <w:rPr>
          <w:rFonts w:hint="eastAsia" w:ascii="仿宋" w:hAnsi="仿宋" w:eastAsia="仿宋"/>
          <w:b/>
          <w:bCs/>
          <w:sz w:val="28"/>
          <w:szCs w:val="28"/>
        </w:rPr>
      </w:pPr>
      <w:r>
        <w:rPr>
          <w:rFonts w:hint="eastAsia" w:ascii="仿宋" w:hAnsi="仿宋" w:eastAsia="仿宋"/>
          <w:b/>
          <w:bCs/>
          <w:sz w:val="28"/>
          <w:szCs w:val="28"/>
        </w:rPr>
        <w:t xml:space="preserve">江苏泰禾房地产土地造价咨询评估有限公司：</w:t>
      </w:r>
      <w:r/>
    </w:p>
    <w:p>
      <w:pPr>
        <w:spacing w:line="480" w:lineRule="auto"/>
        <w:rPr>
          <w:rFonts w:hint="eastAsia" w:ascii="仿宋" w:hAnsi="仿宋" w:eastAsia="仿宋"/>
          <w:b/>
          <w:bCs/>
          <w:sz w:val="28"/>
          <w:szCs w:val="28"/>
        </w:rPr>
      </w:pPr>
      <w:r>
        <w:rPr>
          <w:rFonts w:hint="eastAsia" w:ascii="仿宋" w:hAnsi="仿宋" w:eastAsia="仿宋"/>
          <w:b/>
          <w:bCs/>
          <w:sz w:val="28"/>
          <w:szCs w:val="28"/>
        </w:rPr>
      </w:r>
      <w:r/>
    </w:p>
    <w:p>
      <w:pPr>
        <w:ind w:firstLine="732"/>
        <w:spacing w:line="660" w:lineRule="exact"/>
        <w:rPr>
          <w:rFonts w:hint="eastAsia" w:ascii="仿宋" w:hAnsi="仿宋" w:eastAsia="仿宋"/>
          <w:sz w:val="28"/>
          <w:szCs w:val="28"/>
        </w:rPr>
      </w:pPr>
      <w:r>
        <w:rPr>
          <w:rFonts w:hint="eastAsia" w:ascii="仿宋" w:hAnsi="仿宋" w:eastAsia="仿宋"/>
          <w:sz w:val="28"/>
          <w:szCs w:val="28"/>
        </w:rPr>
        <w:t xml:space="preserve">我</w:t>
      </w:r>
      <w:r>
        <w:rPr>
          <w:rFonts w:hint="eastAsia" w:ascii="仿宋" w:hAnsi="仿宋" w:eastAsia="仿宋"/>
          <w:sz w:val="28"/>
          <w:szCs w:val="28"/>
          <w:u w:val="single"/>
        </w:rPr>
        <w:t xml:space="preserve">            </w:t>
      </w:r>
      <w:r>
        <w:rPr>
          <w:rFonts w:hint="eastAsia" w:ascii="仿宋" w:hAnsi="仿宋" w:eastAsia="仿宋"/>
          <w:sz w:val="28"/>
          <w:szCs w:val="28"/>
        </w:rPr>
        <w:t xml:space="preserve">（姓名）系</w:t>
      </w:r>
      <w:r>
        <w:rPr>
          <w:rFonts w:hint="eastAsia" w:ascii="仿宋" w:hAnsi="仿宋" w:eastAsia="仿宋"/>
          <w:sz w:val="28"/>
          <w:szCs w:val="28"/>
          <w:u w:val="single"/>
        </w:rPr>
        <w:t xml:space="preserve">                      </w:t>
      </w:r>
      <w:r>
        <w:rPr>
          <w:rFonts w:hint="eastAsia" w:ascii="仿宋" w:hAnsi="仿宋" w:eastAsia="仿宋"/>
          <w:sz w:val="28"/>
          <w:szCs w:val="28"/>
        </w:rPr>
        <w:t xml:space="preserve"> (供应商单位全称)法定代表人，现授权委托</w:t>
      </w:r>
      <w:r>
        <w:rPr>
          <w:rFonts w:hint="eastAsia" w:ascii="仿宋" w:hAnsi="仿宋" w:eastAsia="仿宋"/>
          <w:sz w:val="28"/>
          <w:szCs w:val="28"/>
          <w:u w:val="single"/>
        </w:rPr>
        <w:t xml:space="preserve">                </w:t>
      </w:r>
      <w:r>
        <w:rPr>
          <w:rFonts w:hint="eastAsia" w:ascii="仿宋" w:hAnsi="仿宋" w:eastAsia="仿宋"/>
          <w:sz w:val="28"/>
          <w:szCs w:val="28"/>
        </w:rPr>
        <w:t xml:space="preserve"> (姓名)为我的代理人，以本单位的名义参加贵中心组织的</w:t>
      </w:r>
      <w:r>
        <w:rPr>
          <w:rFonts w:hint="eastAsia" w:ascii="仿宋" w:hAnsi="仿宋" w:eastAsia="仿宋"/>
          <w:bCs/>
          <w:sz w:val="28"/>
          <w:szCs w:val="28"/>
          <w:u w:val="single"/>
        </w:rPr>
        <w:t xml:space="preserve">                   </w:t>
      </w:r>
      <w:r>
        <w:rPr>
          <w:rFonts w:hint="eastAsia" w:ascii="仿宋" w:hAnsi="仿宋" w:eastAsia="仿宋"/>
          <w:bCs/>
          <w:sz w:val="28"/>
          <w:szCs w:val="28"/>
        </w:rPr>
        <w:t xml:space="preserve">采购项目的</w:t>
      </w:r>
      <w:r>
        <w:rPr>
          <w:rFonts w:hint="eastAsia" w:ascii="仿宋" w:hAnsi="仿宋" w:eastAsia="仿宋"/>
          <w:sz w:val="28"/>
          <w:szCs w:val="28"/>
        </w:rPr>
        <w:t xml:space="preserve">投标活动</w:t>
      </w:r>
      <w:r>
        <w:rPr>
          <w:rFonts w:hint="eastAsia" w:ascii="仿宋" w:hAnsi="仿宋" w:eastAsia="仿宋"/>
          <w:bCs/>
          <w:sz w:val="28"/>
          <w:szCs w:val="28"/>
        </w:rPr>
        <w:t xml:space="preserve">，授权代理人所签署的一切文件和处理与之有关的</w:t>
      </w:r>
      <w:r>
        <w:rPr>
          <w:rFonts w:hint="eastAsia" w:ascii="仿宋" w:hAnsi="仿宋" w:eastAsia="仿宋"/>
          <w:sz w:val="28"/>
          <w:szCs w:val="28"/>
        </w:rPr>
        <w:t xml:space="preserve">一切事务，我单位均予承认，但代理人无转委托权。</w:t>
      </w:r>
      <w:r/>
    </w:p>
    <w:p>
      <w:pPr>
        <w:ind w:firstLine="732"/>
        <w:spacing w:line="660" w:lineRule="exact"/>
        <w:rPr>
          <w:rFonts w:hint="eastAsia" w:ascii="仿宋" w:hAnsi="仿宋" w:eastAsia="仿宋"/>
          <w:sz w:val="28"/>
          <w:szCs w:val="28"/>
        </w:rPr>
      </w:pPr>
      <w:r>
        <w:rPr>
          <w:rFonts w:hint="eastAsia" w:ascii="仿宋" w:hAnsi="仿宋" w:eastAsia="仿宋"/>
          <w:bCs/>
          <w:sz w:val="28"/>
          <w:szCs w:val="28"/>
        </w:rPr>
        <w:t xml:space="preserve">授权代理人</w:t>
      </w:r>
      <w:r>
        <w:rPr>
          <w:rFonts w:hint="eastAsia" w:ascii="仿宋" w:hAnsi="仿宋" w:eastAsia="仿宋"/>
          <w:sz w:val="28"/>
          <w:szCs w:val="28"/>
        </w:rPr>
        <w:t xml:space="preserve">从投标时起至合同执行结束时止，全权代表我单位对上述项目的进行投标、签约等，所签署的一切文件，我公司均承认有效。</w:t>
      </w:r>
      <w:r/>
    </w:p>
    <w:p>
      <w:pPr>
        <w:ind w:firstLine="732"/>
        <w:spacing w:line="660" w:lineRule="exact"/>
        <w:rPr>
          <w:rFonts w:hint="eastAsia" w:ascii="仿宋" w:hAnsi="仿宋" w:eastAsia="仿宋"/>
          <w:sz w:val="28"/>
          <w:szCs w:val="28"/>
        </w:rPr>
      </w:pPr>
      <w:r>
        <w:rPr>
          <w:rFonts w:hint="eastAsia" w:ascii="仿宋" w:hAnsi="仿宋" w:eastAsia="仿宋"/>
          <w:sz w:val="28"/>
          <w:szCs w:val="28"/>
        </w:rPr>
        <w:t xml:space="preserve">特此委托。</w:t>
      </w:r>
      <w:r/>
    </w:p>
    <w:p>
      <w:pPr>
        <w:ind w:firstLine="4324"/>
        <w:spacing w:line="660" w:lineRule="exact"/>
        <w:rPr>
          <w:rFonts w:hint="eastAsia" w:ascii="仿宋" w:hAnsi="仿宋" w:eastAsia="仿宋"/>
          <w:sz w:val="28"/>
          <w:szCs w:val="28"/>
        </w:rPr>
      </w:pPr>
      <w:r>
        <w:rPr>
          <w:rFonts w:hint="eastAsia" w:ascii="仿宋" w:hAnsi="仿宋" w:eastAsia="仿宋"/>
          <w:sz w:val="28"/>
          <w:szCs w:val="28"/>
        </w:rPr>
      </w:r>
      <w:r/>
    </w:p>
    <w:p>
      <w:pPr>
        <w:ind w:firstLine="4324"/>
        <w:spacing w:line="660" w:lineRule="exact"/>
        <w:rPr>
          <w:rFonts w:hint="eastAsia" w:ascii="仿宋" w:hAnsi="仿宋" w:eastAsia="仿宋"/>
          <w:sz w:val="28"/>
          <w:szCs w:val="28"/>
        </w:rPr>
      </w:pPr>
      <w:r>
        <w:rPr>
          <w:rFonts w:hint="eastAsia" w:ascii="仿宋" w:hAnsi="仿宋" w:eastAsia="仿宋"/>
          <w:sz w:val="28"/>
          <w:szCs w:val="28"/>
        </w:rPr>
      </w:r>
      <w:r/>
    </w:p>
    <w:p>
      <w:pPr>
        <w:spacing w:line="660" w:lineRule="exact"/>
        <w:rPr>
          <w:rFonts w:hint="eastAsia" w:ascii="仿宋" w:hAnsi="仿宋" w:eastAsia="仿宋"/>
          <w:sz w:val="28"/>
          <w:szCs w:val="28"/>
        </w:rPr>
      </w:pPr>
      <w:r>
        <w:rPr>
          <w:rFonts w:hint="eastAsia" w:ascii="仿宋" w:hAnsi="仿宋" w:eastAsia="仿宋"/>
          <w:sz w:val="28"/>
          <w:szCs w:val="28"/>
        </w:rPr>
      </w:r>
      <w:r/>
    </w:p>
    <w:p>
      <w:pPr>
        <w:ind w:firstLine="4324"/>
        <w:spacing w:line="660" w:lineRule="exact"/>
        <w:rPr>
          <w:rFonts w:hint="eastAsia" w:ascii="仿宋" w:hAnsi="仿宋" w:eastAsia="仿宋"/>
          <w:sz w:val="28"/>
          <w:szCs w:val="28"/>
        </w:rPr>
      </w:pPr>
      <w:r>
        <w:rPr>
          <w:rFonts w:hint="eastAsia" w:ascii="仿宋" w:hAnsi="仿宋" w:eastAsia="仿宋"/>
          <w:sz w:val="28"/>
          <w:szCs w:val="28"/>
        </w:rPr>
        <w:t xml:space="preserve">投标供应商（公章）：</w:t>
      </w:r>
      <w:r/>
    </w:p>
    <w:p>
      <w:pPr>
        <w:ind w:firstLine="4324"/>
        <w:spacing w:line="660" w:lineRule="exact"/>
        <w:rPr>
          <w:rFonts w:hint="eastAsia" w:ascii="仿宋" w:hAnsi="仿宋" w:eastAsia="仿宋"/>
          <w:sz w:val="28"/>
          <w:szCs w:val="28"/>
        </w:rPr>
      </w:pPr>
      <w:r>
        <w:rPr>
          <w:rFonts w:hint="eastAsia" w:ascii="仿宋" w:hAnsi="仿宋" w:eastAsia="仿宋"/>
          <w:sz w:val="28"/>
          <w:szCs w:val="28"/>
        </w:rPr>
        <w:t xml:space="preserve">法定代表人（签名或印鉴）： </w:t>
      </w:r>
      <w:r/>
    </w:p>
    <w:p>
      <w:pPr>
        <w:ind w:firstLine="4696"/>
        <w:spacing w:line="660" w:lineRule="exact"/>
        <w:rPr>
          <w:rFonts w:hint="eastAsia" w:ascii="仿宋" w:hAnsi="仿宋" w:eastAsia="仿宋"/>
          <w:sz w:val="28"/>
          <w:szCs w:val="28"/>
        </w:rPr>
      </w:pPr>
      <w:r>
        <w:rPr>
          <w:rFonts w:hint="eastAsia" w:ascii="仿宋" w:hAnsi="仿宋" w:eastAsia="仿宋"/>
          <w:sz w:val="28"/>
          <w:szCs w:val="28"/>
        </w:rPr>
        <w:t xml:space="preserve">年    月    日</w:t>
      </w:r>
      <w:r/>
    </w:p>
    <w:p>
      <w:pPr>
        <w:jc w:val="center"/>
        <w:rPr>
          <w:rFonts w:hint="eastAsia" w:ascii="仿宋" w:hAnsi="仿宋" w:eastAsia="仿宋"/>
          <w:szCs w:val="24"/>
        </w:rPr>
      </w:pPr>
      <w:r>
        <w:rPr>
          <w:rFonts w:hint="eastAsia" w:ascii="仿宋" w:hAnsi="仿宋" w:eastAsia="仿宋"/>
          <w:szCs w:val="24"/>
        </w:rPr>
      </w:r>
      <w:r/>
    </w:p>
    <w:p>
      <w:pPr>
        <w:spacing w:after="100" w:afterAutospacing="1"/>
        <w:rPr>
          <w:rFonts w:hint="eastAsia" w:ascii="仿宋" w:hAnsi="仿宋" w:eastAsia="仿宋"/>
          <w:bCs/>
          <w:sz w:val="32"/>
          <w:szCs w:val="18"/>
        </w:rPr>
      </w:pPr>
      <w:r>
        <w:rPr>
          <w:rFonts w:hint="eastAsia" w:ascii="仿宋" w:hAnsi="仿宋" w:eastAsia="仿宋"/>
          <w:b/>
          <w:bCs/>
          <w:sz w:val="32"/>
        </w:rPr>
        <w:br w:type="page" w:clear="all"/>
      </w:r>
      <w:r>
        <w:rPr>
          <w:rFonts w:hint="eastAsia" w:ascii="仿宋" w:hAnsi="仿宋" w:eastAsia="仿宋"/>
          <w:bCs/>
          <w:sz w:val="32"/>
        </w:rPr>
        <w:t xml:space="preserve">附件四                 </w:t>
      </w:r>
      <w:r>
        <w:rPr>
          <w:rFonts w:hint="eastAsia" w:ascii="仿宋" w:hAnsi="仿宋" w:eastAsia="仿宋"/>
          <w:bCs/>
          <w:sz w:val="44"/>
          <w:szCs w:val="44"/>
        </w:rPr>
        <w:t xml:space="preserve">投标报价明细表 </w:t>
      </w:r>
      <w:r>
        <w:rPr>
          <w:rFonts w:hint="eastAsia" w:ascii="仿宋" w:hAnsi="仿宋" w:eastAsia="仿宋"/>
          <w:bCs/>
          <w:sz w:val="32"/>
        </w:rPr>
        <w:t xml:space="preserve">             </w:t>
      </w:r>
      <w:r/>
    </w:p>
    <w:p>
      <w:pPr>
        <w:spacing w:after="100" w:afterAutospacing="1"/>
        <w:rPr>
          <w:rFonts w:hint="eastAsia" w:ascii="仿宋" w:hAnsi="仿宋" w:eastAsia="仿宋"/>
          <w:b/>
          <w:bCs/>
        </w:rPr>
      </w:pPr>
      <w:r>
        <w:rPr>
          <w:rFonts w:hint="eastAsia" w:ascii="仿宋" w:hAnsi="仿宋" w:eastAsia="仿宋"/>
          <w:b/>
          <w:bCs/>
        </w:rPr>
      </w:r>
      <w:r/>
    </w:p>
    <w:tbl>
      <w:tblPr>
        <w:tblW w:w="98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51"/>
        <w:gridCol w:w="1247"/>
        <w:gridCol w:w="1134"/>
        <w:gridCol w:w="1134"/>
        <w:gridCol w:w="1305"/>
        <w:gridCol w:w="756"/>
        <w:gridCol w:w="876"/>
        <w:gridCol w:w="1134"/>
        <w:gridCol w:w="1518"/>
      </w:tblGrid>
      <w:tr>
        <w:trPr/>
        <w:tc>
          <w:tcPr>
            <w:tcW w:w="751" w:type="dxa"/>
            <w:vAlign w:val="center"/>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序号</w:t>
            </w:r>
            <w:r/>
          </w:p>
        </w:tc>
        <w:tc>
          <w:tcPr>
            <w:tcW w:w="1247" w:type="dxa"/>
            <w:vAlign w:val="center"/>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货物</w:t>
            </w:r>
            <w:r/>
          </w:p>
          <w:p>
            <w:pPr>
              <w:jc w:val="center"/>
              <w:rPr>
                <w:rFonts w:hint="eastAsia" w:ascii="仿宋" w:hAnsi="仿宋" w:eastAsia="仿宋"/>
                <w:sz w:val="28"/>
                <w:szCs w:val="28"/>
              </w:rPr>
            </w:pPr>
            <w:r>
              <w:rPr>
                <w:rFonts w:hint="eastAsia" w:ascii="仿宋" w:hAnsi="仿宋" w:eastAsia="仿宋"/>
                <w:sz w:val="28"/>
                <w:szCs w:val="28"/>
              </w:rPr>
              <w:t xml:space="preserve">名称</w:t>
            </w:r>
            <w:r/>
          </w:p>
        </w:tc>
        <w:tc>
          <w:tcPr>
            <w:tcW w:w="1134" w:type="dxa"/>
            <w:vAlign w:val="center"/>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品牌</w:t>
            </w:r>
            <w:r/>
          </w:p>
        </w:tc>
        <w:tc>
          <w:tcPr>
            <w:tcW w:w="1134" w:type="dxa"/>
            <w:vAlign w:val="center"/>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规格</w:t>
            </w:r>
            <w:r/>
          </w:p>
          <w:p>
            <w:pPr>
              <w:jc w:val="center"/>
              <w:rPr>
                <w:rFonts w:hint="eastAsia" w:ascii="仿宋" w:hAnsi="仿宋" w:eastAsia="仿宋"/>
                <w:sz w:val="28"/>
                <w:szCs w:val="28"/>
              </w:rPr>
            </w:pPr>
            <w:r>
              <w:rPr>
                <w:rFonts w:hint="eastAsia" w:ascii="仿宋" w:hAnsi="仿宋" w:eastAsia="仿宋"/>
                <w:sz w:val="28"/>
                <w:szCs w:val="28"/>
              </w:rPr>
              <w:t xml:space="preserve">型号</w:t>
            </w:r>
            <w:r/>
          </w:p>
        </w:tc>
        <w:tc>
          <w:tcPr>
            <w:tcW w:w="1305" w:type="dxa"/>
            <w:vAlign w:val="center"/>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厂家</w:t>
            </w:r>
            <w:r/>
          </w:p>
          <w:p>
            <w:pPr>
              <w:jc w:val="center"/>
              <w:rPr>
                <w:rFonts w:hint="eastAsia" w:ascii="仿宋" w:hAnsi="仿宋" w:eastAsia="仿宋"/>
                <w:sz w:val="28"/>
                <w:szCs w:val="28"/>
              </w:rPr>
            </w:pPr>
            <w:r>
              <w:rPr>
                <w:rFonts w:hint="eastAsia" w:ascii="仿宋" w:hAnsi="仿宋" w:eastAsia="仿宋"/>
                <w:sz w:val="28"/>
                <w:szCs w:val="28"/>
              </w:rPr>
              <w:t xml:space="preserve">（产地）</w:t>
            </w:r>
            <w:r/>
          </w:p>
        </w:tc>
        <w:tc>
          <w:tcPr>
            <w:tcW w:w="756" w:type="dxa"/>
            <w:vAlign w:val="center"/>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数量</w:t>
            </w:r>
            <w:r/>
          </w:p>
        </w:tc>
        <w:tc>
          <w:tcPr>
            <w:tcW w:w="876" w:type="dxa"/>
            <w:vAlign w:val="center"/>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单位</w:t>
            </w:r>
            <w:r/>
          </w:p>
        </w:tc>
        <w:tc>
          <w:tcPr>
            <w:tcW w:w="1134" w:type="dxa"/>
            <w:vAlign w:val="center"/>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单价（元）</w:t>
            </w:r>
            <w:r/>
          </w:p>
        </w:tc>
        <w:tc>
          <w:tcPr>
            <w:tcW w:w="1518" w:type="dxa"/>
            <w:vAlign w:val="center"/>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总价（元）</w:t>
            </w:r>
            <w:r/>
          </w:p>
        </w:tc>
      </w:tr>
      <w:tr>
        <w:trPr/>
        <w:tc>
          <w:tcPr>
            <w:tcW w:w="751"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247"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305"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75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87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518"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r>
      <w:tr>
        <w:trPr/>
        <w:tc>
          <w:tcPr>
            <w:tcW w:w="751"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247"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305"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75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87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518"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r>
      <w:tr>
        <w:trPr/>
        <w:tc>
          <w:tcPr>
            <w:tcW w:w="751"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247"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305"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75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87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518"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r>
      <w:tr>
        <w:trPr/>
        <w:tc>
          <w:tcPr>
            <w:tcW w:w="751"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247"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305"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75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87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518"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r>
      <w:tr>
        <w:trPr/>
        <w:tc>
          <w:tcPr>
            <w:tcW w:w="751"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247"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305"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75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87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518"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r>
      <w:tr>
        <w:trPr/>
        <w:tc>
          <w:tcPr>
            <w:tcW w:w="751"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247"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305"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75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87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518"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r>
      <w:tr>
        <w:trPr/>
        <w:tc>
          <w:tcPr>
            <w:tcW w:w="751"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247"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305"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75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87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518"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r>
      <w:tr>
        <w:trPr/>
        <w:tc>
          <w:tcPr>
            <w:tcW w:w="751"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247"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305"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75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87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518"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r>
      <w:tr>
        <w:trPr/>
        <w:tc>
          <w:tcPr>
            <w:tcW w:w="751"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247"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305"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75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87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518"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r>
      <w:tr>
        <w:trPr/>
        <w:tc>
          <w:tcPr>
            <w:tcW w:w="751"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247"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305"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75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87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518"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r>
      <w:tr>
        <w:trPr/>
        <w:tc>
          <w:tcPr>
            <w:tcW w:w="751"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247"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305"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75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87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518"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r>
      <w:tr>
        <w:trPr/>
        <w:tc>
          <w:tcPr>
            <w:tcW w:w="751"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247"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305"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75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87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518"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r>
      <w:tr>
        <w:trPr/>
        <w:tc>
          <w:tcPr>
            <w:tcW w:w="751"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247"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305"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75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876"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134"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c>
          <w:tcPr>
            <w:tcW w:w="1518" w:type="dxa"/>
            <w:vAlign w:val="center"/>
            <w:textDirection w:val="lrTb"/>
            <w:noWrap w:val="false"/>
          </w:tcPr>
          <w:p>
            <w:pPr>
              <w:jc w:val="center"/>
              <w:spacing w:line="480" w:lineRule="exact"/>
              <w:rPr>
                <w:rFonts w:hint="eastAsia" w:ascii="仿宋" w:hAnsi="仿宋" w:eastAsia="仿宋"/>
                <w:sz w:val="28"/>
              </w:rPr>
            </w:pPr>
            <w:r>
              <w:rPr>
                <w:rFonts w:hint="eastAsia" w:ascii="仿宋" w:hAnsi="仿宋" w:eastAsia="仿宋"/>
                <w:sz w:val="28"/>
              </w:rPr>
            </w:r>
            <w:r/>
          </w:p>
        </w:tc>
      </w:tr>
      <w:tr>
        <w:trPr>
          <w:cantSplit/>
          <w:trHeight w:val="704"/>
        </w:trPr>
        <w:tc>
          <w:tcPr>
            <w:gridSpan w:val="9"/>
            <w:tcW w:w="9855" w:type="dxa"/>
            <w:vAlign w:val="center"/>
            <w:textDirection w:val="lrTb"/>
            <w:noWrap w:val="false"/>
          </w:tcPr>
          <w:p>
            <w:pPr>
              <w:spacing w:line="480" w:lineRule="exact"/>
              <w:rPr>
                <w:rFonts w:hint="eastAsia" w:ascii="仿宋" w:hAnsi="仿宋" w:eastAsia="仿宋"/>
                <w:sz w:val="28"/>
              </w:rPr>
            </w:pPr>
            <w:r>
              <w:rPr>
                <w:rFonts w:hint="eastAsia" w:ascii="仿宋" w:hAnsi="仿宋" w:eastAsia="仿宋"/>
                <w:sz w:val="28"/>
              </w:rPr>
              <w:t xml:space="preserve">合计总报价(大写人民币):                        ￥:             元</w:t>
            </w:r>
            <w:r/>
          </w:p>
        </w:tc>
      </w:tr>
      <w:tr>
        <w:trPr>
          <w:cantSplit/>
          <w:trHeight w:val="841"/>
        </w:trPr>
        <w:tc>
          <w:tcPr>
            <w:gridSpan w:val="9"/>
            <w:tcW w:w="9855" w:type="dxa"/>
            <w:vAlign w:val="center"/>
            <w:textDirection w:val="lrTb"/>
            <w:noWrap w:val="false"/>
          </w:tcPr>
          <w:p>
            <w:pPr>
              <w:rPr>
                <w:rFonts w:hint="eastAsia" w:ascii="仿宋" w:hAnsi="仿宋" w:eastAsia="仿宋"/>
                <w:sz w:val="28"/>
              </w:rPr>
            </w:pPr>
            <w:r>
              <w:rPr>
                <w:rFonts w:hint="eastAsia" w:ascii="方正魏碑_GBK" w:hAnsi="方正魏碑_GBK" w:eastAsia="方正魏碑_GBK" w:cs="方正魏碑_GBK"/>
                <w:color w:val="ff0000"/>
                <w:sz w:val="28"/>
                <w:szCs w:val="28"/>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color w:val="ff0000"/>
                <w:sz w:val="28"/>
                <w:szCs w:val="28"/>
                <w:u w:val="single"/>
              </w:rPr>
              <w:t xml:space="preserve">***</w:t>
            </w:r>
            <w:r>
              <w:rPr>
                <w:rFonts w:hint="eastAsia" w:ascii="方正魏碑_GBK" w:hAnsi="方正魏碑_GBK" w:eastAsia="方正魏碑_GBK" w:cs="方正魏碑_GBK"/>
                <w:color w:val="ff0000"/>
                <w:sz w:val="28"/>
                <w:szCs w:val="28"/>
              </w:rPr>
              <w:t xml:space="preserve">%。</w:t>
            </w:r>
            <w:r/>
          </w:p>
        </w:tc>
      </w:tr>
    </w:tbl>
    <w:p>
      <w:pPr>
        <w:rPr>
          <w:rFonts w:hint="eastAsia" w:ascii="仿宋" w:hAnsi="仿宋" w:eastAsia="仿宋"/>
          <w:sz w:val="28"/>
          <w:szCs w:val="28"/>
        </w:rPr>
      </w:pPr>
      <w:r>
        <w:rPr>
          <w:rFonts w:hint="eastAsia" w:ascii="宋体" w:hAnsi="宋体"/>
          <w:sz w:val="24"/>
          <w:szCs w:val="24"/>
        </w:rPr>
        <w:t xml:space="preserve">备注：</w:t>
      </w:r>
      <w:r/>
    </w:p>
    <w:p>
      <w:pPr>
        <w:spacing w:line="400" w:lineRule="exact"/>
        <w:rPr>
          <w:rFonts w:hint="eastAsia" w:ascii="宋体" w:hAnsi="宋体"/>
          <w:sz w:val="24"/>
          <w:szCs w:val="21"/>
        </w:rPr>
      </w:pPr>
      <w:r>
        <w:rPr>
          <w:rFonts w:hint="eastAsia" w:ascii="宋体" w:hAnsi="宋体"/>
          <w:sz w:val="24"/>
          <w:szCs w:val="24"/>
        </w:rPr>
        <w:t xml:space="preserve">1.投标报价</w:t>
      </w:r>
      <w:r>
        <w:rPr>
          <w:rFonts w:hint="eastAsia" w:ascii="宋体" w:hAnsi="宋体"/>
          <w:sz w:val="24"/>
          <w:szCs w:val="21"/>
        </w:rPr>
        <w:t xml:space="preserve">采用总承包方式，“投标总报价”应包括所投货物（包含与货物相关的服务）费用、安装调试费、测试验收费、培训费、运行维护费用、税金、国际（如果</w:t>
      </w:r>
      <w:r>
        <w:rPr>
          <w:rFonts w:ascii="宋体" w:hAnsi="宋体"/>
          <w:sz w:val="24"/>
          <w:szCs w:val="21"/>
        </w:rPr>
        <w:t xml:space="preserve">有</w:t>
      </w:r>
      <w:r>
        <w:rPr>
          <w:rFonts w:hint="eastAsia" w:ascii="宋体" w:hAnsi="宋体"/>
          <w:sz w:val="24"/>
          <w:szCs w:val="21"/>
        </w:rPr>
        <w:t xml:space="preserve">）国内运输保险、报关清关（如果</w:t>
      </w:r>
      <w:r>
        <w:rPr>
          <w:rFonts w:ascii="宋体" w:hAnsi="宋体"/>
          <w:sz w:val="24"/>
          <w:szCs w:val="21"/>
        </w:rPr>
        <w:t xml:space="preserve">有</w:t>
      </w:r>
      <w:r>
        <w:rPr>
          <w:rFonts w:hint="eastAsia" w:ascii="宋体" w:hAnsi="宋体"/>
          <w:sz w:val="24"/>
          <w:szCs w:val="21"/>
        </w:rPr>
        <w:t xml:space="preserve">）、开证（如果</w:t>
      </w:r>
      <w:r>
        <w:rPr>
          <w:rFonts w:ascii="宋体" w:hAnsi="宋体"/>
          <w:sz w:val="24"/>
          <w:szCs w:val="21"/>
        </w:rPr>
        <w:t xml:space="preserve">有</w:t>
      </w:r>
      <w:r>
        <w:rPr>
          <w:rFonts w:hint="eastAsia" w:ascii="宋体" w:hAnsi="宋体"/>
          <w:sz w:val="24"/>
          <w:szCs w:val="21"/>
        </w:rPr>
        <w:t xml:space="preserve">）、办理全套免税手续费用（如果</w:t>
      </w:r>
      <w:r>
        <w:rPr>
          <w:rFonts w:ascii="宋体" w:hAnsi="宋体"/>
          <w:sz w:val="24"/>
          <w:szCs w:val="21"/>
        </w:rPr>
        <w:t xml:space="preserve">有</w:t>
      </w:r>
      <w:r>
        <w:rPr>
          <w:rFonts w:hint="eastAsia" w:ascii="宋体" w:hAnsi="宋体"/>
          <w:sz w:val="24"/>
          <w:szCs w:val="21"/>
        </w:rPr>
        <w:t xml:space="preserve">）及其他有关的为完成本项目发生的所有费用，招标文件中另有规定的除外。“投标总报价”数额为各“分项总价”之和。</w:t>
      </w:r>
      <w:r/>
    </w:p>
    <w:p>
      <w:pPr>
        <w:spacing w:line="400" w:lineRule="exact"/>
        <w:rPr>
          <w:rFonts w:hint="eastAsia" w:ascii="宋体" w:hAnsi="宋体"/>
          <w:sz w:val="24"/>
          <w:szCs w:val="21"/>
        </w:rPr>
      </w:pPr>
      <w:r>
        <w:rPr>
          <w:rFonts w:hint="eastAsia" w:ascii="宋体" w:hAnsi="宋体"/>
          <w:sz w:val="24"/>
          <w:szCs w:val="21"/>
        </w:rPr>
        <w:t xml:space="preserve">2.</w:t>
      </w:r>
      <w:r>
        <w:rPr>
          <w:rFonts w:hint="eastAsia"/>
          <w:szCs w:val="21"/>
        </w:rPr>
        <w:t xml:space="preserve">“</w:t>
      </w:r>
      <w:r>
        <w:rPr>
          <w:rFonts w:hint="eastAsia" w:ascii="宋体" w:hAnsi="宋体"/>
          <w:sz w:val="24"/>
          <w:szCs w:val="21"/>
        </w:rPr>
        <w:t xml:space="preserve">投标分项报价表</w:t>
      </w:r>
      <w:r>
        <w:rPr>
          <w:rFonts w:hint="eastAsia"/>
          <w:szCs w:val="21"/>
        </w:rPr>
        <w:t xml:space="preserve">”</w:t>
      </w:r>
      <w:r>
        <w:rPr>
          <w:rFonts w:hint="eastAsia" w:ascii="宋体" w:hAnsi="宋体"/>
          <w:sz w:val="24"/>
          <w:szCs w:val="21"/>
        </w:rPr>
        <w:t xml:space="preserve">中“投标总报价”数额应当与“开标一览表”中“投标总报价”数额一致。</w:t>
      </w:r>
      <w:r/>
    </w:p>
    <w:p>
      <w:pPr>
        <w:spacing w:line="400" w:lineRule="exact"/>
        <w:rPr>
          <w:rFonts w:hint="eastAsia" w:ascii="宋体" w:hAnsi="宋体"/>
          <w:sz w:val="24"/>
          <w:szCs w:val="21"/>
        </w:rPr>
      </w:pPr>
      <w:r>
        <w:rPr>
          <w:rFonts w:hint="eastAsia" w:ascii="方正魏碑_GBK" w:hAnsi="方正魏碑_GBK" w:eastAsia="方正魏碑_GBK" w:cs="方正魏碑_GBK"/>
          <w:color w:val="ff0000"/>
          <w:sz w:val="28"/>
          <w:szCs w:val="28"/>
        </w:rPr>
        <w:t xml:space="preserve">3</w:t>
      </w:r>
      <w:r>
        <w:rPr>
          <w:rFonts w:ascii="方正魏碑_GBK" w:hAnsi="方正魏碑_GBK" w:eastAsia="方正魏碑_GBK" w:cs="方正魏碑_GBK"/>
          <w:color w:val="ff0000"/>
          <w:sz w:val="28"/>
          <w:szCs w:val="28"/>
        </w:rPr>
        <w:t xml:space="preserve">.</w:t>
      </w:r>
      <w:r>
        <w:rPr>
          <w:rFonts w:hint="eastAsia" w:ascii="方正魏碑_GBK" w:hAnsi="方正魏碑_GBK" w:eastAsia="方正魏碑_GBK" w:cs="方正魏碑_GBK"/>
          <w:color w:val="ff0000"/>
          <w:sz w:val="28"/>
          <w:szCs w:val="28"/>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400" w:lineRule="exact"/>
        <w:rPr>
          <w:rFonts w:hint="eastAsia" w:ascii="方正黑体_GBK" w:hAnsi="宋体" w:eastAsia="方正黑体_GBK"/>
          <w:b/>
          <w:sz w:val="32"/>
          <w:szCs w:val="32"/>
        </w:rPr>
      </w:pPr>
      <w:r>
        <w:rPr>
          <w:rFonts w:hint="eastAsia" w:ascii="方正黑体_GBK" w:hAnsi="宋体" w:eastAsia="方正黑体_GBK"/>
          <w:b/>
          <w:sz w:val="32"/>
          <w:szCs w:val="32"/>
        </w:rPr>
        <w:t xml:space="preserve">4.投标人需认真填写本报价表，尤其注意规格型号的准确填写。</w:t>
      </w:r>
      <w:r/>
    </w:p>
    <w:p>
      <w:pPr>
        <w:spacing w:line="400" w:lineRule="exact"/>
        <w:rPr>
          <w:rFonts w:hint="eastAsia" w:ascii="宋体" w:hAnsi="宋体"/>
          <w:sz w:val="24"/>
          <w:szCs w:val="24"/>
        </w:rPr>
      </w:pPr>
      <w:r>
        <w:rPr>
          <w:rFonts w:hint="eastAsia" w:ascii="宋体" w:hAnsi="宋体"/>
          <w:sz w:val="24"/>
          <w:szCs w:val="21"/>
        </w:rPr>
        <w:t xml:space="preserve">5.项目</w:t>
      </w:r>
      <w:r>
        <w:rPr>
          <w:rFonts w:ascii="宋体" w:hAnsi="宋体"/>
          <w:sz w:val="24"/>
          <w:szCs w:val="21"/>
        </w:rPr>
        <w:t xml:space="preserve">经办人可以根据</w:t>
      </w:r>
      <w:r>
        <w:rPr>
          <w:rFonts w:hint="eastAsia" w:ascii="宋体" w:hAnsi="宋体"/>
          <w:sz w:val="24"/>
          <w:szCs w:val="21"/>
        </w:rPr>
        <w:t xml:space="preserve">项目</w:t>
      </w:r>
      <w:r>
        <w:rPr>
          <w:rFonts w:ascii="宋体" w:hAnsi="宋体"/>
          <w:sz w:val="24"/>
          <w:szCs w:val="21"/>
        </w:rPr>
        <w:t xml:space="preserve">实际需要</w:t>
      </w:r>
      <w:r>
        <w:rPr>
          <w:rFonts w:hint="eastAsia" w:ascii="宋体" w:hAnsi="宋体"/>
          <w:sz w:val="24"/>
          <w:szCs w:val="21"/>
        </w:rPr>
        <w:t xml:space="preserve">对</w:t>
      </w:r>
      <w:r>
        <w:rPr>
          <w:rFonts w:ascii="宋体" w:hAnsi="宋体"/>
          <w:sz w:val="24"/>
          <w:szCs w:val="21"/>
        </w:rPr>
        <w:t xml:space="preserve">表格结构进行</w:t>
      </w:r>
      <w:r>
        <w:rPr>
          <w:rFonts w:hint="eastAsia" w:ascii="宋体" w:hAnsi="宋体"/>
          <w:sz w:val="24"/>
          <w:szCs w:val="21"/>
        </w:rPr>
        <w:t xml:space="preserve">调整</w:t>
      </w:r>
      <w:r>
        <w:rPr>
          <w:rFonts w:ascii="宋体" w:hAnsi="宋体"/>
          <w:sz w:val="24"/>
          <w:szCs w:val="21"/>
        </w:rPr>
        <w:t xml:space="preserve">。</w:t>
      </w:r>
      <w:r/>
    </w:p>
    <w:p>
      <w:pPr>
        <w:spacing w:line="0" w:lineRule="atLeast"/>
        <w:rPr>
          <w:rFonts w:hint="eastAsia" w:ascii="宋体" w:hAnsi="宋体"/>
          <w:sz w:val="24"/>
          <w:szCs w:val="24"/>
        </w:rPr>
      </w:pPr>
      <w:r>
        <w:rPr>
          <w:rFonts w:hint="eastAsia" w:ascii="宋体" w:hAnsi="宋体"/>
          <w:sz w:val="24"/>
          <w:szCs w:val="24"/>
          <w:highlight w:val="yellow"/>
        </w:rPr>
        <w:t xml:space="preserve">（备注1：该表仅适用于项目采用货币报价的情形。项目采用优惠率报价的，如需要填写投标分项报价表，请项目经办人自行设计表格。招标文件定稿后该备注删除。）</w:t>
      </w:r>
      <w:r/>
    </w:p>
    <w:p>
      <w:pPr>
        <w:rPr>
          <w:rFonts w:hint="eastAsia" w:ascii="仿宋" w:hAnsi="仿宋" w:eastAsia="仿宋"/>
          <w:sz w:val="28"/>
          <w:szCs w:val="28"/>
        </w:rPr>
      </w:pPr>
      <w:r>
        <w:rPr>
          <w:rFonts w:hint="eastAsia" w:ascii="仿宋" w:hAnsi="仿宋" w:eastAsia="仿宋"/>
          <w:sz w:val="28"/>
          <w:szCs w:val="28"/>
        </w:rPr>
      </w:r>
      <w:r/>
    </w:p>
    <w:p>
      <w:pPr>
        <w:ind w:firstLine="5180"/>
        <w:rPr>
          <w:rFonts w:hint="eastAsia" w:ascii="仿宋" w:hAnsi="仿宋" w:eastAsia="仿宋"/>
          <w:sz w:val="28"/>
          <w:szCs w:val="28"/>
        </w:rPr>
      </w:pPr>
      <w:r>
        <w:rPr>
          <w:rFonts w:hint="eastAsia" w:ascii="仿宋" w:hAnsi="仿宋" w:eastAsia="仿宋"/>
          <w:sz w:val="28"/>
          <w:szCs w:val="28"/>
        </w:rPr>
        <w:t xml:space="preserve">投标供应商（公章）：</w:t>
      </w:r>
      <w:r/>
    </w:p>
    <w:p>
      <w:pPr>
        <w:ind w:firstLine="5457"/>
        <w:rPr>
          <w:rFonts w:hint="eastAsia" w:ascii="仿宋" w:hAnsi="仿宋" w:eastAsia="仿宋"/>
          <w:sz w:val="28"/>
          <w:szCs w:val="28"/>
        </w:rPr>
      </w:pPr>
      <w:r>
        <w:rPr>
          <w:rFonts w:hint="eastAsia" w:ascii="仿宋" w:hAnsi="仿宋" w:eastAsia="仿宋"/>
          <w:sz w:val="28"/>
          <w:szCs w:val="28"/>
        </w:rPr>
        <w:t xml:space="preserve">法定代表人（签名或印鉴）：</w:t>
      </w:r>
      <w:r/>
    </w:p>
    <w:p>
      <w:pPr>
        <w:ind w:firstLine="5457"/>
        <w:rPr>
          <w:rFonts w:hint="eastAsia" w:ascii="仿宋" w:hAnsi="仿宋" w:eastAsia="仿宋"/>
          <w:sz w:val="28"/>
          <w:szCs w:val="28"/>
        </w:rPr>
      </w:pPr>
      <w:r>
        <w:rPr>
          <w:rFonts w:hint="eastAsia" w:ascii="仿宋" w:hAnsi="仿宋" w:eastAsia="仿宋"/>
          <w:sz w:val="28"/>
          <w:szCs w:val="28"/>
        </w:rPr>
        <w:t xml:space="preserve">或被授权代表（签名或印鉴）：</w:t>
      </w:r>
      <w:r/>
    </w:p>
    <w:p>
      <w:pPr>
        <w:ind w:firstLine="5677"/>
        <w:rPr>
          <w:rFonts w:hint="eastAsia" w:ascii="仿宋" w:hAnsi="仿宋" w:eastAsia="仿宋"/>
          <w:sz w:val="28"/>
          <w:szCs w:val="28"/>
        </w:rPr>
      </w:pPr>
      <w:r>
        <w:rPr>
          <w:rFonts w:hint="eastAsia" w:ascii="仿宋" w:hAnsi="仿宋" w:eastAsia="仿宋"/>
          <w:sz w:val="28"/>
          <w:szCs w:val="28"/>
        </w:rPr>
        <w:t xml:space="preserve">  年   月   日</w:t>
      </w:r>
      <w:r/>
    </w:p>
    <w:p>
      <w:pPr>
        <w:rPr>
          <w:rFonts w:ascii="仿宋_GB2312" w:eastAsia="仿宋_GB2312"/>
          <w:bCs/>
          <w:sz w:val="32"/>
          <w:szCs w:val="18"/>
        </w:rPr>
      </w:pPr>
      <w:r>
        <w:rPr>
          <w:rFonts w:hint="eastAsia" w:ascii="仿宋" w:hAnsi="仿宋" w:eastAsia="仿宋"/>
          <w:b/>
          <w:bCs/>
          <w:sz w:val="32"/>
        </w:rPr>
        <w:br w:type="page" w:clear="all"/>
      </w:r>
      <w:r>
        <w:rPr>
          <w:rFonts w:hint="eastAsia" w:ascii="仿宋_GB2312" w:eastAsia="仿宋_GB2312"/>
          <w:bCs/>
          <w:sz w:val="32"/>
        </w:rPr>
        <w:t xml:space="preserve">附件五          </w:t>
      </w:r>
      <w:r>
        <w:rPr>
          <w:rFonts w:hint="eastAsia" w:ascii="仿宋_GB2312" w:eastAsia="仿宋_GB2312"/>
          <w:bCs/>
          <w:sz w:val="44"/>
          <w:szCs w:val="44"/>
        </w:rPr>
        <w:t xml:space="preserve">  </w:t>
      </w:r>
      <w:r>
        <w:rPr>
          <w:rFonts w:hint="eastAsia" w:ascii="仿宋_GB2312" w:hAnsi="华文中宋" w:eastAsia="仿宋_GB2312"/>
          <w:bCs/>
          <w:sz w:val="44"/>
          <w:szCs w:val="44"/>
        </w:rPr>
        <w:t xml:space="preserve">技术参数响应及偏离表</w:t>
      </w:r>
      <w:r>
        <w:rPr>
          <w:rFonts w:hint="eastAsia" w:ascii="仿宋_GB2312" w:hAnsi="华文中宋" w:eastAsia="仿宋_GB2312"/>
          <w:bCs/>
          <w:sz w:val="32"/>
          <w:szCs w:val="30"/>
        </w:rPr>
        <w:t xml:space="preserve">      </w:t>
      </w:r>
      <w:r>
        <w:rPr>
          <w:rFonts w:hint="eastAsia" w:ascii="仿宋_GB2312" w:hAnsi="华文中宋" w:eastAsia="仿宋_GB2312"/>
          <w:bCs/>
          <w:sz w:val="32"/>
          <w:szCs w:val="28"/>
        </w:rPr>
        <w:t xml:space="preserve">     </w:t>
      </w:r>
      <w:r/>
    </w:p>
    <w:p>
      <w:pPr>
        <w:jc w:val="center"/>
        <w:rPr>
          <w:rFonts w:hint="eastAsia" w:ascii="仿宋" w:hAnsi="仿宋" w:eastAsia="仿宋"/>
          <w:b/>
          <w:bCs/>
          <w:sz w:val="32"/>
          <w:szCs w:val="24"/>
        </w:rPr>
      </w:pPr>
      <w:r>
        <w:rPr>
          <w:rFonts w:hint="eastAsia" w:ascii="仿宋" w:hAnsi="仿宋" w:eastAsia="仿宋"/>
          <w:sz w:val="28"/>
          <w:szCs w:val="28"/>
        </w:rPr>
        <w:t xml:space="preserve">（由投标供应商据实填写）</w:t>
      </w:r>
      <w:r/>
    </w:p>
    <w:p>
      <w:pPr>
        <w:ind w:firstLine="518"/>
        <w:rPr>
          <w:rFonts w:hint="eastAsia" w:ascii="仿宋" w:hAnsi="仿宋" w:eastAsia="仿宋"/>
          <w:sz w:val="28"/>
          <w:szCs w:val="28"/>
        </w:rPr>
      </w:pPr>
      <w:r>
        <w:rPr>
          <w:rFonts w:hint="eastAsia" w:ascii="仿宋" w:hAnsi="仿宋" w:eastAsia="仿宋"/>
          <w:sz w:val="28"/>
          <w:szCs w:val="28"/>
        </w:rPr>
        <w:t xml:space="preserve">投标供应商名称：                            </w:t>
      </w:r>
      <w:r/>
    </w:p>
    <w:tbl>
      <w:tblPr>
        <w:tblW w:w="9558" w:type="dxa"/>
        <w:tblInd w:w="29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73"/>
        <w:gridCol w:w="1891"/>
        <w:gridCol w:w="1956"/>
        <w:gridCol w:w="1899"/>
        <w:gridCol w:w="2040"/>
        <w:gridCol w:w="1099"/>
      </w:tblGrid>
      <w:tr>
        <w:trPr>
          <w:cantSplit/>
          <w:trHeight w:val="1084"/>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rPr>
                <w:rFonts w:hint="eastAsia" w:ascii="仿宋" w:hAnsi="仿宋" w:eastAsia="仿宋"/>
                <w:sz w:val="28"/>
                <w:szCs w:val="28"/>
              </w:rPr>
            </w:pPr>
            <w:r>
              <w:rPr>
                <w:rFonts w:hint="eastAsia" w:ascii="仿宋" w:hAnsi="仿宋" w:eastAsia="仿宋"/>
                <w:sz w:val="28"/>
                <w:szCs w:val="28"/>
              </w:rPr>
              <w:t xml:space="preserve">序号</w:t>
            </w:r>
            <w:r/>
          </w:p>
        </w:tc>
        <w:tc>
          <w:tcPr>
            <w:tcBorders>
              <w:top w:val="single" w:color="auto" w:sz="4" w:space="0"/>
              <w:left w:val="single" w:color="auto" w:sz="4" w:space="0"/>
              <w:bottom w:val="single" w:color="auto" w:sz="4" w:space="0"/>
              <w:right w:val="single" w:color="auto" w:sz="4" w:space="0"/>
            </w:tcBorders>
            <w:tcW w:w="1891" w:type="dxa"/>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p>
            <w:pPr>
              <w:jc w:val="center"/>
              <w:rPr>
                <w:rFonts w:hint="eastAsia" w:ascii="仿宋" w:hAnsi="仿宋" w:eastAsia="仿宋"/>
                <w:sz w:val="28"/>
                <w:szCs w:val="28"/>
              </w:rPr>
            </w:pPr>
            <w:r>
              <w:rPr>
                <w:rFonts w:hint="eastAsia" w:ascii="仿宋" w:hAnsi="仿宋" w:eastAsia="仿宋"/>
                <w:sz w:val="28"/>
                <w:szCs w:val="28"/>
              </w:rPr>
              <w:t xml:space="preserve">采购货物名称</w:t>
            </w:r>
            <w:r/>
          </w:p>
        </w:tc>
        <w:tc>
          <w:tcPr>
            <w:tcBorders>
              <w:top w:val="single" w:color="auto" w:sz="4" w:space="0"/>
              <w:left w:val="single" w:color="auto" w:sz="4" w:space="0"/>
              <w:bottom w:val="single" w:color="auto" w:sz="4" w:space="0"/>
              <w:right w:val="single" w:color="auto" w:sz="4" w:space="0"/>
            </w:tcBorders>
            <w:tcW w:w="1956" w:type="dxa"/>
            <w:vAlign w:val="center"/>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招标要求参数</w:t>
            </w:r>
            <w:r/>
          </w:p>
        </w:tc>
        <w:tc>
          <w:tcPr>
            <w:tcBorders>
              <w:top w:val="single" w:color="auto" w:sz="4" w:space="0"/>
              <w:left w:val="single" w:color="auto" w:sz="4" w:space="0"/>
              <w:bottom w:val="single" w:color="auto" w:sz="4" w:space="0"/>
              <w:right w:val="single" w:color="auto" w:sz="4" w:space="0"/>
            </w:tcBorders>
            <w:tcW w:w="1899" w:type="dxa"/>
            <w:vAlign w:val="center"/>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投标实际参数</w:t>
            </w:r>
            <w:r/>
          </w:p>
        </w:tc>
        <w:tc>
          <w:tcPr>
            <w:tcBorders>
              <w:top w:val="single" w:color="auto" w:sz="4" w:space="0"/>
              <w:left w:val="single" w:color="auto" w:sz="4" w:space="0"/>
              <w:bottom w:val="single" w:color="auto" w:sz="4" w:space="0"/>
              <w:right w:val="single" w:color="auto" w:sz="4" w:space="0"/>
            </w:tcBorders>
            <w:tcW w:w="2040" w:type="dxa"/>
            <w:vAlign w:val="center"/>
            <w:textDirection w:val="lrTb"/>
            <w:noWrap w:val="false"/>
          </w:tcPr>
          <w:p>
            <w:pPr>
              <w:rPr>
                <w:rFonts w:hint="eastAsia" w:ascii="仿宋" w:hAnsi="仿宋" w:eastAsia="仿宋"/>
                <w:sz w:val="28"/>
                <w:szCs w:val="28"/>
              </w:rPr>
            </w:pPr>
            <w:r>
              <w:rPr>
                <w:rFonts w:hint="eastAsia" w:ascii="仿宋" w:hAnsi="仿宋" w:eastAsia="仿宋"/>
                <w:sz w:val="28"/>
                <w:szCs w:val="28"/>
              </w:rPr>
              <w:t xml:space="preserve">符合/正偏离/负偏离</w:t>
            </w:r>
            <w:r/>
          </w:p>
        </w:tc>
        <w:tc>
          <w:tcPr>
            <w:tcBorders>
              <w:top w:val="single" w:color="auto" w:sz="4" w:space="0"/>
              <w:left w:val="single" w:color="auto" w:sz="4" w:space="0"/>
              <w:bottom w:val="single" w:color="auto" w:sz="4" w:space="0"/>
              <w:right w:val="single" w:color="auto" w:sz="4" w:space="0"/>
            </w:tcBorders>
            <w:tcW w:w="1099" w:type="dxa"/>
            <w:vAlign w:val="center"/>
            <w:textDirection w:val="lrTb"/>
            <w:noWrap w:val="false"/>
          </w:tcPr>
          <w:p>
            <w:pPr>
              <w:jc w:val="center"/>
              <w:rPr>
                <w:rFonts w:hint="eastAsia" w:ascii="仿宋" w:hAnsi="仿宋" w:eastAsia="仿宋"/>
                <w:sz w:val="28"/>
                <w:szCs w:val="28"/>
              </w:rPr>
            </w:pPr>
            <w:r>
              <w:rPr>
                <w:rFonts w:hint="eastAsia" w:ascii="仿宋" w:hAnsi="仿宋" w:eastAsia="仿宋"/>
                <w:sz w:val="28"/>
                <w:szCs w:val="28"/>
              </w:rPr>
            </w:r>
            <w:r/>
          </w:p>
          <w:p>
            <w:pPr>
              <w:jc w:val="center"/>
              <w:rPr>
                <w:rFonts w:hint="eastAsia" w:ascii="仿宋" w:hAnsi="仿宋" w:eastAsia="仿宋"/>
                <w:sz w:val="28"/>
                <w:szCs w:val="28"/>
              </w:rPr>
            </w:pPr>
            <w:r>
              <w:rPr>
                <w:rFonts w:hint="eastAsia" w:ascii="仿宋" w:hAnsi="仿宋" w:eastAsia="仿宋"/>
                <w:sz w:val="28"/>
                <w:szCs w:val="28"/>
              </w:rPr>
              <w:t xml:space="preserve">备注</w:t>
            </w:r>
            <w:r/>
          </w:p>
          <w:p>
            <w:pPr>
              <w:jc w:val="center"/>
              <w:rPr>
                <w:rFonts w:hint="eastAsia" w:ascii="仿宋" w:hAnsi="仿宋" w:eastAsia="仿宋"/>
                <w:sz w:val="28"/>
                <w:szCs w:val="28"/>
              </w:rPr>
            </w:pPr>
            <w:r>
              <w:rPr>
                <w:rFonts w:hint="eastAsia" w:ascii="仿宋" w:hAnsi="仿宋" w:eastAsia="仿宋"/>
                <w:sz w:val="28"/>
                <w:szCs w:val="28"/>
              </w:rPr>
            </w:r>
            <w:r/>
          </w:p>
        </w:tc>
      </w:tr>
      <w:tr>
        <w:trPr>
          <w:cantSplit/>
          <w:trHeight w:val="561"/>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1</w:t>
            </w:r>
            <w:r/>
          </w:p>
        </w:tc>
        <w:tc>
          <w:tcPr>
            <w:tcBorders>
              <w:top w:val="single" w:color="auto" w:sz="4" w:space="0"/>
              <w:left w:val="single" w:color="auto" w:sz="4" w:space="0"/>
              <w:bottom w:val="single" w:color="auto" w:sz="4" w:space="0"/>
              <w:right w:val="single" w:color="auto" w:sz="4" w:space="0"/>
            </w:tcBorders>
            <w:tcW w:w="1891"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899"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040"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099"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r>
      <w:tr>
        <w:trPr>
          <w:cantSplit/>
          <w:trHeight w:val="561"/>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2</w:t>
            </w:r>
            <w:r/>
          </w:p>
        </w:tc>
        <w:tc>
          <w:tcPr>
            <w:tcBorders>
              <w:top w:val="single" w:color="auto" w:sz="4" w:space="0"/>
              <w:left w:val="single" w:color="auto" w:sz="4" w:space="0"/>
              <w:bottom w:val="single" w:color="auto" w:sz="4" w:space="0"/>
              <w:right w:val="single" w:color="auto" w:sz="4" w:space="0"/>
            </w:tcBorders>
            <w:tcW w:w="1891"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899"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040"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099"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r>
      <w:tr>
        <w:trPr>
          <w:cantSplit/>
          <w:trHeight w:val="691"/>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3</w:t>
            </w:r>
            <w:r/>
          </w:p>
        </w:tc>
        <w:tc>
          <w:tcPr>
            <w:tcBorders>
              <w:top w:val="single" w:color="auto" w:sz="4" w:space="0"/>
              <w:left w:val="single" w:color="auto" w:sz="4" w:space="0"/>
              <w:bottom w:val="single" w:color="auto" w:sz="4" w:space="0"/>
              <w:right w:val="single" w:color="auto" w:sz="4" w:space="0"/>
            </w:tcBorders>
            <w:tcW w:w="1891"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899"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040"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099"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r>
      <w:tr>
        <w:trPr>
          <w:cantSplit/>
          <w:trHeight w:val="561"/>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4</w:t>
            </w:r>
            <w:r/>
          </w:p>
        </w:tc>
        <w:tc>
          <w:tcPr>
            <w:tcBorders>
              <w:top w:val="single" w:color="auto" w:sz="4" w:space="0"/>
              <w:left w:val="single" w:color="auto" w:sz="4" w:space="0"/>
              <w:bottom w:val="single" w:color="auto" w:sz="4" w:space="0"/>
              <w:right w:val="single" w:color="auto" w:sz="4" w:space="0"/>
            </w:tcBorders>
            <w:tcW w:w="1891"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899"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040"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099"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r>
      <w:tr>
        <w:trPr>
          <w:cantSplit/>
          <w:trHeight w:val="561"/>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5</w:t>
            </w:r>
            <w:r/>
          </w:p>
        </w:tc>
        <w:tc>
          <w:tcPr>
            <w:tcBorders>
              <w:top w:val="single" w:color="auto" w:sz="4" w:space="0"/>
              <w:left w:val="single" w:color="auto" w:sz="4" w:space="0"/>
              <w:bottom w:val="single" w:color="auto" w:sz="4" w:space="0"/>
              <w:right w:val="single" w:color="auto" w:sz="4" w:space="0"/>
            </w:tcBorders>
            <w:tcW w:w="1891"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899"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040"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099"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r>
      <w:tr>
        <w:trPr>
          <w:cantSplit/>
          <w:trHeight w:val="561"/>
        </w:trPr>
        <w:tc>
          <w:tcPr>
            <w:tcBorders>
              <w:top w:val="single" w:color="auto" w:sz="4" w:space="0"/>
              <w:left w:val="single" w:color="auto" w:sz="4" w:space="0"/>
              <w:bottom w:val="single" w:color="auto" w:sz="4" w:space="0"/>
              <w:right w:val="single" w:color="auto" w:sz="4" w:space="0"/>
            </w:tcBorders>
            <w:tcW w:w="673" w:type="dxa"/>
            <w:vAlign w:val="center"/>
            <w:textDirection w:val="lrTb"/>
            <w:noWrap w:val="false"/>
          </w:tcPr>
          <w:p>
            <w:pPr>
              <w:jc w:val="center"/>
              <w:rPr>
                <w:rFonts w:hint="eastAsia" w:ascii="仿宋" w:hAnsi="仿宋" w:eastAsia="仿宋"/>
                <w:sz w:val="28"/>
                <w:szCs w:val="28"/>
              </w:rPr>
            </w:pPr>
            <w:r>
              <w:rPr>
                <w:rFonts w:hint="eastAsia" w:ascii="仿宋" w:hAnsi="仿宋" w:eastAsia="仿宋"/>
                <w:sz w:val="28"/>
                <w:szCs w:val="28"/>
              </w:rPr>
              <w:t xml:space="preserve">6</w:t>
            </w:r>
            <w:r/>
          </w:p>
        </w:tc>
        <w:tc>
          <w:tcPr>
            <w:tcBorders>
              <w:top w:val="single" w:color="auto" w:sz="4" w:space="0"/>
              <w:left w:val="single" w:color="auto" w:sz="4" w:space="0"/>
              <w:bottom w:val="single" w:color="auto" w:sz="4" w:space="0"/>
              <w:right w:val="single" w:color="auto" w:sz="4" w:space="0"/>
            </w:tcBorders>
            <w:tcW w:w="1891"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899"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2040"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c>
          <w:tcPr>
            <w:tcBorders>
              <w:top w:val="single" w:color="auto" w:sz="4" w:space="0"/>
              <w:left w:val="single" w:color="auto" w:sz="4" w:space="0"/>
              <w:bottom w:val="single" w:color="auto" w:sz="4" w:space="0"/>
              <w:right w:val="single" w:color="auto" w:sz="4" w:space="0"/>
            </w:tcBorders>
            <w:tcW w:w="1099" w:type="dxa"/>
            <w:textDirection w:val="lrTb"/>
            <w:noWrap w:val="false"/>
          </w:tcPr>
          <w:p>
            <w:pPr>
              <w:ind w:firstLine="518"/>
              <w:rPr>
                <w:rFonts w:hint="eastAsia" w:ascii="仿宋" w:hAnsi="仿宋" w:eastAsia="仿宋"/>
                <w:sz w:val="28"/>
                <w:szCs w:val="28"/>
              </w:rPr>
            </w:pPr>
            <w:r>
              <w:rPr>
                <w:rFonts w:hint="eastAsia" w:ascii="仿宋" w:hAnsi="仿宋" w:eastAsia="仿宋"/>
                <w:sz w:val="28"/>
                <w:szCs w:val="28"/>
              </w:rPr>
            </w:r>
            <w:r/>
          </w:p>
        </w:tc>
      </w:tr>
    </w:tbl>
    <w:p>
      <w:pPr>
        <w:rPr>
          <w:rFonts w:hint="eastAsia" w:ascii="仿宋" w:hAnsi="仿宋" w:eastAsia="仿宋"/>
          <w:sz w:val="28"/>
          <w:szCs w:val="28"/>
        </w:rPr>
      </w:pPr>
      <w:r>
        <w:rPr>
          <w:rFonts w:hint="eastAsia" w:ascii="仿宋" w:hAnsi="仿宋" w:eastAsia="仿宋"/>
          <w:sz w:val="28"/>
          <w:szCs w:val="28"/>
        </w:rPr>
        <w:t xml:space="preserve">注：如此表格栏目不够填写，可依照此格式自行扩展、复制。          </w:t>
      </w:r>
      <w:r/>
    </w:p>
    <w:p>
      <w:pPr>
        <w:rPr>
          <w:rFonts w:hint="eastAsia" w:ascii="仿宋" w:hAnsi="仿宋" w:eastAsia="仿宋"/>
          <w:b/>
          <w:sz w:val="28"/>
          <w:szCs w:val="28"/>
        </w:rPr>
      </w:pPr>
      <w:r>
        <w:rPr>
          <w:rFonts w:hint="eastAsia" w:ascii="仿宋" w:hAnsi="仿宋" w:eastAsia="仿宋"/>
          <w:b/>
          <w:bCs/>
          <w:sz w:val="28"/>
          <w:szCs w:val="28"/>
        </w:rPr>
        <w:t xml:space="preserve">说明：</w:t>
      </w:r>
      <w:r>
        <w:rPr>
          <w:rFonts w:hint="eastAsia" w:ascii="仿宋" w:hAnsi="仿宋" w:eastAsia="仿宋"/>
          <w:sz w:val="28"/>
          <w:szCs w:val="28"/>
        </w:rPr>
        <w:t xml:space="preserve">1、供应商可根据招标文件第二部分采购需求的内容填报技术要求响应表，技术要求响应表的内容必须对其相对应的货物要求中的内容</w:t>
      </w:r>
      <w:r>
        <w:rPr>
          <w:rFonts w:hint="eastAsia" w:ascii="仿宋" w:hAnsi="仿宋" w:eastAsia="仿宋"/>
          <w:b/>
          <w:sz w:val="28"/>
          <w:szCs w:val="28"/>
        </w:rPr>
        <w:t xml:space="preserve">逐项、详细、真实的填写。</w:t>
      </w:r>
      <w:r/>
    </w:p>
    <w:p>
      <w:pPr>
        <w:ind w:firstLine="761"/>
        <w:rPr>
          <w:rFonts w:hint="eastAsia" w:ascii="仿宋" w:hAnsi="仿宋" w:eastAsia="仿宋"/>
          <w:sz w:val="28"/>
          <w:szCs w:val="28"/>
        </w:rPr>
      </w:pPr>
      <w:r>
        <w:rPr>
          <w:rFonts w:hint="eastAsia" w:ascii="仿宋" w:hAnsi="仿宋" w:eastAsia="仿宋"/>
          <w:sz w:val="28"/>
          <w:szCs w:val="28"/>
        </w:rPr>
        <w:t xml:space="preserve">2、供应商对存在正偏离或负偏离的的技术要求，应真实填写</w:t>
      </w:r>
      <w:r>
        <w:rPr>
          <w:rFonts w:hint="eastAsia" w:ascii="仿宋" w:hAnsi="仿宋" w:eastAsia="仿宋"/>
          <w:b/>
          <w:sz w:val="28"/>
          <w:szCs w:val="28"/>
        </w:rPr>
        <w:t xml:space="preserve">（对属于正偏离的技术参数，供应商须在投标文件中提供有效证明材料，如未提供，评标委员会在评审时将不予认可；对属于负偏离的技术参数，未真实填写的视为虚假响应）</w:t>
      </w:r>
      <w:r>
        <w:rPr>
          <w:rFonts w:hint="eastAsia" w:ascii="仿宋" w:hAnsi="仿宋" w:eastAsia="仿宋"/>
          <w:sz w:val="28"/>
          <w:szCs w:val="28"/>
        </w:rPr>
        <w:t xml:space="preserve">。</w:t>
      </w:r>
      <w:r/>
    </w:p>
    <w:p>
      <w:pPr>
        <w:ind w:firstLine="5413"/>
        <w:rPr>
          <w:rFonts w:hint="eastAsia" w:ascii="仿宋" w:hAnsi="仿宋" w:eastAsia="仿宋"/>
          <w:sz w:val="28"/>
          <w:szCs w:val="28"/>
        </w:rPr>
      </w:pPr>
      <w:r>
        <w:rPr>
          <w:rFonts w:hint="eastAsia" w:ascii="仿宋" w:hAnsi="仿宋" w:eastAsia="仿宋"/>
          <w:sz w:val="28"/>
          <w:szCs w:val="28"/>
        </w:rPr>
      </w:r>
      <w:r/>
    </w:p>
    <w:p>
      <w:pPr>
        <w:ind w:firstLine="5413"/>
        <w:rPr>
          <w:rFonts w:hint="eastAsia" w:ascii="仿宋" w:hAnsi="仿宋" w:eastAsia="仿宋"/>
          <w:sz w:val="28"/>
          <w:szCs w:val="28"/>
        </w:rPr>
      </w:pPr>
      <w:r>
        <w:rPr>
          <w:rFonts w:hint="eastAsia" w:ascii="仿宋" w:hAnsi="仿宋" w:eastAsia="仿宋"/>
          <w:sz w:val="28"/>
          <w:szCs w:val="28"/>
        </w:rPr>
        <w:t xml:space="preserve">投标供应商（公章）：          </w:t>
      </w:r>
      <w:r/>
    </w:p>
    <w:p>
      <w:pPr>
        <w:ind w:firstLine="5413"/>
        <w:rPr>
          <w:rFonts w:hint="eastAsia" w:ascii="仿宋" w:hAnsi="仿宋" w:eastAsia="仿宋"/>
          <w:sz w:val="28"/>
          <w:szCs w:val="28"/>
        </w:rPr>
      </w:pPr>
      <w:r>
        <w:rPr>
          <w:rFonts w:hint="eastAsia" w:ascii="仿宋" w:hAnsi="仿宋" w:eastAsia="仿宋"/>
          <w:sz w:val="28"/>
          <w:szCs w:val="28"/>
        </w:rPr>
        <w:t xml:space="preserve">法定代表人（签名或印鉴）：         </w:t>
      </w:r>
      <w:r/>
    </w:p>
    <w:p>
      <w:pPr>
        <w:ind w:firstLine="5413"/>
        <w:rPr>
          <w:rFonts w:hint="eastAsia" w:ascii="仿宋" w:hAnsi="仿宋" w:eastAsia="仿宋"/>
          <w:sz w:val="28"/>
          <w:szCs w:val="28"/>
        </w:rPr>
      </w:pPr>
      <w:r>
        <w:rPr>
          <w:rFonts w:hint="eastAsia" w:ascii="仿宋" w:hAnsi="仿宋" w:eastAsia="仿宋"/>
          <w:sz w:val="28"/>
          <w:szCs w:val="28"/>
        </w:rPr>
        <w:t xml:space="preserve">或被授权代表（签名或印鉴）：</w:t>
      </w:r>
      <w:r/>
    </w:p>
    <w:p>
      <w:pPr>
        <w:ind w:firstLine="6726"/>
        <w:spacing w:after="50" w:line="420" w:lineRule="exact"/>
        <w:rPr>
          <w:rFonts w:hint="eastAsia" w:ascii="仿宋" w:hAnsi="仿宋" w:eastAsia="仿宋"/>
          <w:sz w:val="28"/>
          <w:szCs w:val="28"/>
        </w:rPr>
      </w:pPr>
      <w:r>
        <w:rPr>
          <w:rFonts w:hint="eastAsia" w:ascii="仿宋" w:hAnsi="仿宋" w:eastAsia="仿宋"/>
          <w:sz w:val="28"/>
          <w:szCs w:val="28"/>
        </w:rPr>
        <w:t xml:space="preserve">年   月   日</w:t>
      </w:r>
      <w:r/>
    </w:p>
    <w:p>
      <w:pPr>
        <w:pStyle w:val="1189"/>
        <w:ind w:firstLine="0"/>
        <w:spacing w:line="240" w:lineRule="auto"/>
        <w:rPr>
          <w:rFonts w:ascii="仿宋_GB2312" w:eastAsia="仿宋_GB2312"/>
          <w:b w:val="0"/>
          <w:bCs w:val="0"/>
          <w:sz w:val="32"/>
        </w:rPr>
        <w:sectPr>
          <w:headerReference w:type="default" r:id="rId9"/>
          <w:footerReference w:type="default" r:id="rId12"/>
          <w:footerReference w:type="even" r:id="rId13"/>
          <w:footnotePr/>
          <w:endnotePr/>
          <w:type w:val="nextPage"/>
          <w:pgSz w:w="11907" w:h="16840" w:orient="portrait"/>
          <w:pgMar w:top="1304" w:right="1021" w:bottom="1191" w:left="1247" w:header="0" w:footer="0" w:gutter="0"/>
          <w:pgNumType w:start="1"/>
          <w:cols w:num="1" w:sep="0" w:space="720" w:equalWidth="1"/>
          <w:docGrid w:linePitch="360"/>
          <w:titlePg/>
        </w:sectPr>
      </w:pPr>
      <w:r>
        <w:rPr>
          <w:rFonts w:ascii="仿宋_GB2312" w:eastAsia="仿宋_GB2312"/>
          <w:b w:val="0"/>
          <w:bCs w:val="0"/>
          <w:sz w:val="32"/>
        </w:rPr>
      </w:r>
      <w:r/>
    </w:p>
    <w:p>
      <w:pPr>
        <w:spacing w:line="360" w:lineRule="auto"/>
        <w:rPr>
          <w:rFonts w:hint="eastAsia" w:ascii="宋体" w:hAnsi="宋体"/>
          <w:b/>
          <w:color w:val="000000"/>
          <w:sz w:val="32"/>
          <w:szCs w:val="32"/>
        </w:rPr>
      </w:pPr>
      <w:r/>
      <w:bookmarkStart w:id="52" w:name="OLE_LINK13"/>
      <w:r>
        <w:rPr>
          <w:rFonts w:hint="eastAsia" w:ascii="楷体" w:hAnsi="楷体" w:eastAsia="楷体"/>
          <w:b/>
          <w:color w:val="000000"/>
          <w:sz w:val="32"/>
          <w:szCs w:val="32"/>
        </w:rPr>
        <w:t xml:space="preserve">附件六</w:t>
      </w:r>
      <w:r>
        <w:rPr>
          <w:rFonts w:hint="eastAsia" w:ascii="黑体" w:hAnsi="黑体" w:eastAsia="黑体"/>
          <w:color w:val="000000"/>
          <w:sz w:val="44"/>
          <w:szCs w:val="44"/>
        </w:rPr>
        <w:t xml:space="preserve">具备履行合同所必需的设备和专业技术能力的声明</w:t>
      </w:r>
      <w:r/>
    </w:p>
    <w:p>
      <w:pPr>
        <w:jc w:val="center"/>
        <w:spacing w:line="360" w:lineRule="auto"/>
        <w:rPr>
          <w:rFonts w:hint="eastAsia" w:ascii="宋体" w:hAnsi="宋体"/>
          <w:b/>
          <w:color w:val="000000"/>
          <w:sz w:val="32"/>
          <w:szCs w:val="32"/>
        </w:rPr>
      </w:pPr>
      <w:r>
        <w:rPr>
          <w:rFonts w:hint="eastAsia" w:ascii="宋体" w:hAnsi="宋体"/>
          <w:b/>
          <w:color w:val="000000"/>
          <w:sz w:val="32"/>
          <w:szCs w:val="32"/>
        </w:rPr>
      </w:r>
      <w:r/>
    </w:p>
    <w:p>
      <w:pPr>
        <w:spacing w:line="360" w:lineRule="auto"/>
        <w:rPr>
          <w:rFonts w:hint="eastAsia" w:ascii="仿宋" w:hAnsi="仿宋" w:eastAsia="仿宋"/>
          <w:color w:val="000000"/>
          <w:sz w:val="28"/>
          <w:szCs w:val="28"/>
        </w:rPr>
      </w:pPr>
      <w:r>
        <w:rPr>
          <w:rFonts w:hint="eastAsia" w:ascii="仿宋" w:hAnsi="仿宋" w:eastAsia="仿宋"/>
          <w:sz w:val="28"/>
          <w:szCs w:val="28"/>
          <w:u w:val="single"/>
        </w:rPr>
        <w:t xml:space="preserve">               （采购单位名称）</w:t>
      </w:r>
      <w:r>
        <w:rPr>
          <w:rFonts w:hint="eastAsia" w:ascii="仿宋" w:hAnsi="仿宋" w:eastAsia="仿宋"/>
          <w:color w:val="000000"/>
          <w:sz w:val="28"/>
          <w:szCs w:val="28"/>
        </w:rPr>
        <w:t xml:space="preserve">：</w:t>
      </w:r>
      <w:r/>
    </w:p>
    <w:p>
      <w:pPr>
        <w:ind w:firstLine="420"/>
        <w:spacing w:line="460" w:lineRule="exact"/>
        <w:rPr>
          <w:rFonts w:hint="eastAsia" w:ascii="仿宋" w:hAnsi="仿宋" w:eastAsia="仿宋"/>
          <w:color w:val="000000"/>
          <w:sz w:val="28"/>
          <w:szCs w:val="28"/>
        </w:rPr>
      </w:pPr>
      <w:r>
        <w:rPr>
          <w:rFonts w:hint="eastAsia" w:ascii="仿宋" w:hAnsi="仿宋" w:eastAsia="仿宋"/>
          <w:color w:val="000000"/>
          <w:sz w:val="28"/>
          <w:szCs w:val="28"/>
        </w:rPr>
        <w:t xml:space="preserve">我单位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（供应商名称）郑重声明：我公司具备履行本项采购合同所必需的设备和专业技术能力，为履行本项采购合同我单位具备如下主要设备和主要专业技术能力：</w:t>
      </w:r>
      <w:r/>
    </w:p>
    <w:p>
      <w:pPr>
        <w:ind w:firstLine="420"/>
        <w:spacing w:line="460" w:lineRule="exact"/>
        <w:rPr>
          <w:rFonts w:hint="eastAsia" w:ascii="仿宋" w:hAnsi="仿宋" w:eastAsia="仿宋"/>
          <w:color w:val="000000"/>
          <w:sz w:val="28"/>
          <w:szCs w:val="28"/>
        </w:rPr>
      </w:pPr>
      <w:r>
        <w:rPr>
          <w:rFonts w:hint="eastAsia" w:ascii="仿宋" w:hAnsi="仿宋" w:eastAsia="仿宋"/>
          <w:color w:val="000000"/>
          <w:sz w:val="28"/>
          <w:szCs w:val="28"/>
        </w:rPr>
        <w:t xml:space="preserve">主要设备有：                          。( 若有 )</w:t>
      </w:r>
      <w:r/>
    </w:p>
    <w:p>
      <w:pPr>
        <w:ind w:firstLine="420"/>
        <w:spacing w:line="460" w:lineRule="exact"/>
        <w:rPr>
          <w:rFonts w:hint="eastAsia" w:ascii="仿宋" w:hAnsi="仿宋" w:eastAsia="仿宋"/>
          <w:color w:val="000000"/>
          <w:sz w:val="28"/>
          <w:szCs w:val="28"/>
        </w:rPr>
      </w:pPr>
      <w:r>
        <w:rPr>
          <w:rFonts w:hint="eastAsia" w:ascii="仿宋" w:hAnsi="仿宋" w:eastAsia="仿宋"/>
          <w:color w:val="000000"/>
          <w:sz w:val="28"/>
          <w:szCs w:val="28"/>
        </w:rPr>
        <w:t xml:space="preserve">主要专业技术能力有：                  。( 若有 )</w:t>
      </w:r>
      <w:r/>
    </w:p>
    <w:p>
      <w:pPr>
        <w:ind w:firstLine="420"/>
        <w:spacing w:line="360" w:lineRule="auto"/>
        <w:rPr>
          <w:rFonts w:hint="eastAsia" w:ascii="仿宋" w:hAnsi="仿宋" w:eastAsia="仿宋"/>
          <w:color w:val="000000"/>
          <w:sz w:val="28"/>
          <w:szCs w:val="28"/>
        </w:rPr>
      </w:pPr>
      <w:r>
        <w:rPr>
          <w:rFonts w:hint="eastAsia" w:ascii="仿宋" w:hAnsi="仿宋" w:eastAsia="仿宋"/>
          <w:color w:val="000000"/>
          <w:sz w:val="28"/>
          <w:szCs w:val="28"/>
        </w:rPr>
        <w:t xml:space="preserve">                                      </w:t>
      </w:r>
      <w:r/>
    </w:p>
    <w:p>
      <w:pPr>
        <w:ind w:firstLine="420"/>
        <w:spacing w:line="360" w:lineRule="auto"/>
        <w:rPr>
          <w:rFonts w:hint="eastAsia" w:ascii="仿宋" w:hAnsi="仿宋" w:eastAsia="仿宋"/>
          <w:color w:val="000000"/>
          <w:sz w:val="28"/>
          <w:szCs w:val="28"/>
        </w:rPr>
      </w:pPr>
      <w:r>
        <w:rPr>
          <w:rFonts w:hint="eastAsia" w:ascii="仿宋" w:hAnsi="仿宋" w:eastAsia="仿宋"/>
          <w:color w:val="000000"/>
          <w:sz w:val="28"/>
          <w:szCs w:val="28"/>
        </w:rPr>
      </w:r>
      <w:r/>
    </w:p>
    <w:p>
      <w:pPr>
        <w:ind w:firstLine="420"/>
        <w:spacing w:line="360" w:lineRule="auto"/>
        <w:rPr>
          <w:rFonts w:hint="eastAsia" w:ascii="仿宋" w:hAnsi="仿宋" w:eastAsia="仿宋"/>
          <w:color w:val="000000"/>
          <w:sz w:val="28"/>
          <w:szCs w:val="28"/>
        </w:rPr>
      </w:pPr>
      <w:r>
        <w:rPr>
          <w:rFonts w:hint="eastAsia" w:ascii="仿宋" w:hAnsi="仿宋" w:eastAsia="仿宋"/>
          <w:color w:val="000000"/>
          <w:sz w:val="28"/>
          <w:szCs w:val="28"/>
        </w:rPr>
        <w:t xml:space="preserve">                                           声明人：（公章）</w:t>
      </w:r>
      <w:r/>
    </w:p>
    <w:p>
      <w:pPr>
        <w:ind w:firstLine="480"/>
        <w:spacing w:line="460" w:lineRule="exact"/>
        <w:rPr>
          <w:rFonts w:hint="eastAsia" w:ascii="仿宋" w:hAnsi="仿宋" w:eastAsia="仿宋"/>
          <w:color w:val="000000"/>
          <w:sz w:val="28"/>
          <w:szCs w:val="28"/>
        </w:rPr>
      </w:pPr>
      <w:r>
        <w:rPr>
          <w:rFonts w:hint="eastAsia" w:ascii="仿宋" w:hAnsi="仿宋" w:eastAsia="仿宋"/>
          <w:bCs/>
          <w:sz w:val="28"/>
          <w:szCs w:val="28"/>
        </w:rPr>
        <w:t xml:space="preserve">                                     </w:t>
      </w:r>
      <w:r>
        <w:rPr>
          <w:rFonts w:hint="eastAsia" w:ascii="仿宋" w:hAnsi="仿宋" w:eastAsia="仿宋"/>
          <w:color w:val="000000"/>
          <w:sz w:val="28"/>
          <w:szCs w:val="28"/>
        </w:rPr>
        <w:t xml:space="preserve">日期：     年    月    日</w:t>
      </w:r>
      <w:r/>
    </w:p>
    <w:p>
      <w:pPr>
        <w:ind w:firstLine="420"/>
        <w:spacing w:line="360" w:lineRule="auto"/>
        <w:rPr>
          <w:rFonts w:hint="eastAsia" w:ascii="仿宋" w:hAnsi="仿宋" w:eastAsia="仿宋"/>
          <w:color w:val="000000"/>
          <w:sz w:val="28"/>
          <w:szCs w:val="28"/>
        </w:rPr>
      </w:pPr>
      <w:r>
        <w:rPr>
          <w:rFonts w:hint="eastAsia" w:ascii="仿宋" w:hAnsi="仿宋" w:eastAsia="仿宋"/>
          <w:color w:val="000000"/>
          <w:sz w:val="28"/>
          <w:szCs w:val="28"/>
        </w:rPr>
      </w:r>
      <w:r/>
    </w:p>
    <w:p>
      <w:pPr>
        <w:jc w:val="left"/>
        <w:spacing w:line="360" w:lineRule="auto"/>
        <w:rPr>
          <w:rFonts w:hint="eastAsia" w:ascii="仿宋" w:hAnsi="仿宋" w:eastAsia="仿宋"/>
          <w:b/>
          <w:bCs/>
          <w:color w:val="000000"/>
          <w:sz w:val="28"/>
          <w:szCs w:val="28"/>
        </w:rPr>
      </w:pPr>
      <w:r>
        <w:rPr>
          <w:rFonts w:hint="eastAsia" w:ascii="仿宋" w:hAnsi="仿宋" w:eastAsia="仿宋"/>
          <w:color w:val="000000"/>
          <w:sz w:val="28"/>
          <w:szCs w:val="28"/>
        </w:rPr>
        <w:t xml:space="preserve">其他证明材料及文件：（如果供应商认为需要提供的话）</w:t>
      </w:r>
      <w:r/>
    </w:p>
    <w:p>
      <w:pPr>
        <w:pStyle w:val="1157"/>
        <w:ind w:left="0"/>
      </w:pPr>
      <w:r/>
      <w:r/>
    </w:p>
    <w:p>
      <w:r/>
      <w:r/>
    </w:p>
    <w:p>
      <w:pPr>
        <w:pStyle w:val="1142"/>
      </w:pPr>
      <w:r/>
      <w:r/>
    </w:p>
    <w:p>
      <w:r/>
      <w:r/>
    </w:p>
    <w:p>
      <w:pPr>
        <w:pStyle w:val="1142"/>
      </w:pPr>
      <w:r/>
      <w:r/>
    </w:p>
    <w:p>
      <w:r/>
      <w:r/>
    </w:p>
    <w:p>
      <w:pPr>
        <w:pStyle w:val="1142"/>
      </w:pPr>
      <w:r/>
      <w:r/>
    </w:p>
    <w:p>
      <w:r/>
      <w:r/>
    </w:p>
    <w:p>
      <w:pPr>
        <w:pStyle w:val="1142"/>
      </w:pPr>
      <w:r/>
      <w:r/>
    </w:p>
    <w:p>
      <w:r/>
      <w:r/>
    </w:p>
    <w:p>
      <w:pPr>
        <w:pStyle w:val="1142"/>
      </w:pPr>
      <w:r/>
      <w:r/>
    </w:p>
    <w:p>
      <w:r/>
      <w:r/>
    </w:p>
    <w:p>
      <w:pPr>
        <w:pStyle w:val="1142"/>
      </w:pPr>
      <w:r/>
      <w:r/>
    </w:p>
    <w:p>
      <w:r/>
      <w:r/>
    </w:p>
    <w:p>
      <w:pPr>
        <w:pStyle w:val="1142"/>
        <w:ind w:firstLine="0"/>
      </w:pPr>
      <w:r/>
      <w:r/>
    </w:p>
    <w:p>
      <w:pPr>
        <w:jc w:val="left"/>
        <w:tabs>
          <w:tab w:val="left" w:pos="2741" w:leader="none"/>
        </w:tabs>
        <w:rPr>
          <w:rFonts w:ascii="仿宋_GB2312" w:eastAsia="仿宋_GB2312"/>
          <w:sz w:val="44"/>
          <w:szCs w:val="44"/>
        </w:rPr>
      </w:pPr>
      <w:r>
        <w:rPr>
          <w:rFonts w:hint="eastAsia" w:ascii="仿宋_GB2312" w:eastAsia="仿宋_GB2312"/>
          <w:sz w:val="32"/>
        </w:rPr>
        <w:t xml:space="preserve">附件七               </w:t>
      </w:r>
      <w:r>
        <w:rPr>
          <w:rFonts w:hint="eastAsia" w:ascii="仿宋_GB2312" w:eastAsia="仿宋_GB2312"/>
          <w:sz w:val="44"/>
          <w:szCs w:val="44"/>
        </w:rPr>
        <w:t xml:space="preserve">无重大违法记录声明</w:t>
      </w:r>
      <w:r/>
    </w:p>
    <w:p>
      <w:pPr>
        <w:jc w:val="center"/>
        <w:tabs>
          <w:tab w:val="left" w:pos="6300" w:leader="none"/>
        </w:tabs>
        <w:rPr>
          <w:rFonts w:ascii="仿宋_GB2312" w:hAnsi="宋体" w:eastAsia="仿宋_GB2312"/>
          <w:szCs w:val="21"/>
        </w:rPr>
      </w:pPr>
      <w:r>
        <w:rPr>
          <w:rFonts w:ascii="仿宋_GB2312" w:hAnsi="宋体" w:eastAsia="仿宋_GB2312"/>
          <w:szCs w:val="21"/>
        </w:rPr>
      </w:r>
      <w:r/>
    </w:p>
    <w:p>
      <w:pPr>
        <w:spacing w:line="560" w:lineRule="exact"/>
        <w:tabs>
          <w:tab w:val="left" w:pos="6300" w:leader="none"/>
        </w:tabs>
        <w:rPr>
          <w:rFonts w:ascii="仿宋_GB2312" w:hAnsi="宋体" w:eastAsia="仿宋_GB2312"/>
          <w:sz w:val="28"/>
          <w:szCs w:val="28"/>
          <w:u w:val="single"/>
        </w:rPr>
      </w:pPr>
      <w:r>
        <w:rPr>
          <w:rFonts w:ascii="仿宋_GB2312" w:hAnsi="宋体" w:eastAsia="仿宋_GB2312"/>
          <w:sz w:val="28"/>
          <w:szCs w:val="28"/>
          <w:u w:val="single"/>
        </w:rPr>
      </w:r>
      <w:r/>
    </w:p>
    <w:p>
      <w:pPr>
        <w:spacing w:line="560" w:lineRule="exact"/>
        <w:tabs>
          <w:tab w:val="left" w:pos="6300" w:leader="none"/>
        </w:tabs>
        <w:rPr>
          <w:rFonts w:hint="eastAsia" w:ascii="仿宋" w:hAnsi="仿宋" w:eastAsia="仿宋"/>
          <w:color w:val="000000"/>
          <w:sz w:val="28"/>
          <w:szCs w:val="28"/>
        </w:rPr>
      </w:pPr>
      <w:r>
        <w:rPr>
          <w:rFonts w:hint="eastAsia" w:ascii="仿宋" w:hAnsi="仿宋" w:eastAsia="仿宋"/>
          <w:color w:val="000000"/>
          <w:sz w:val="28"/>
          <w:szCs w:val="28"/>
        </w:rPr>
        <w:t xml:space="preserve">致：                   （采购代理机构名称）：</w:t>
      </w:r>
      <w:r/>
    </w:p>
    <w:p>
      <w:pPr>
        <w:spacing w:line="560" w:lineRule="exact"/>
        <w:tabs>
          <w:tab w:val="left" w:pos="6300" w:leader="none"/>
        </w:tabs>
        <w:rPr>
          <w:rFonts w:ascii="仿宋_GB2312" w:hAnsi="宋体" w:eastAsia="仿宋_GB2312"/>
          <w:sz w:val="28"/>
          <w:szCs w:val="28"/>
          <w:u w:val="single"/>
        </w:rPr>
      </w:pPr>
      <w:r>
        <w:rPr>
          <w:rFonts w:hint="eastAsia" w:ascii="仿宋_GB2312" w:hAnsi="宋体" w:eastAsia="仿宋_GB2312"/>
          <w:sz w:val="28"/>
          <w:szCs w:val="28"/>
          <w:u w:val="single"/>
        </w:rPr>
        <w:t xml:space="preserve">    </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（供应商名称）郑重声明，我方参加</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w:t>
      </w:r>
      <w:r>
        <w:rPr>
          <w:rFonts w:hint="eastAsia" w:ascii="仿宋_GB2312" w:hAnsi="宋体" w:eastAsia="仿宋_GB2312"/>
          <w:sz w:val="28"/>
          <w:szCs w:val="28"/>
          <w:u w:val="single"/>
        </w:rPr>
        <w:t xml:space="preserve">                           </w:t>
      </w:r>
      <w:r/>
    </w:p>
    <w:p>
      <w:pPr>
        <w:spacing w:line="560" w:lineRule="exact"/>
        <w:tabs>
          <w:tab w:val="left" w:pos="6300" w:leader="none"/>
        </w:tabs>
        <w:rPr>
          <w:rFonts w:hint="eastAsia" w:ascii="仿宋" w:hAnsi="仿宋" w:eastAsia="仿宋"/>
          <w:color w:val="000000"/>
          <w:sz w:val="28"/>
          <w:szCs w:val="28"/>
        </w:rPr>
      </w:pPr>
      <w:r>
        <w:rPr>
          <w:rFonts w:hint="eastAsia" w:ascii="仿宋" w:hAnsi="仿宋" w:eastAsia="仿宋"/>
          <w:color w:val="000000"/>
          <w:sz w:val="28"/>
          <w:szCs w:val="28"/>
        </w:rPr>
        <w:t xml:space="preserve">（项目名称）采购活动前三年内无重大违法活动记录，符合《政府采购法》规定的供应商资格条件。我方对此声明负全部法律责任。</w:t>
      </w:r>
      <w:r/>
    </w:p>
    <w:p>
      <w:pPr>
        <w:ind w:firstLine="525"/>
        <w:spacing w:line="560" w:lineRule="exact"/>
        <w:tabs>
          <w:tab w:val="left" w:pos="6300" w:leader="none"/>
        </w:tabs>
        <w:rPr>
          <w:rFonts w:hint="eastAsia" w:ascii="仿宋" w:hAnsi="仿宋" w:eastAsia="仿宋"/>
          <w:color w:val="000000"/>
          <w:sz w:val="28"/>
          <w:szCs w:val="28"/>
        </w:rPr>
      </w:pPr>
      <w:r>
        <w:rPr>
          <w:rFonts w:hint="eastAsia" w:ascii="仿宋" w:hAnsi="仿宋" w:eastAsia="仿宋"/>
          <w:color w:val="000000"/>
          <w:sz w:val="28"/>
          <w:szCs w:val="28"/>
        </w:rPr>
        <w:t xml:space="preserve">特此声明。</w:t>
      </w:r>
      <w:r/>
    </w:p>
    <w:p>
      <w:pPr>
        <w:ind w:right="1032"/>
        <w:spacing w:line="560" w:lineRule="exact"/>
        <w:rPr>
          <w:rFonts w:ascii="仿宋_GB2312" w:hAnsi="宋体" w:eastAsia="仿宋_GB2312"/>
          <w:sz w:val="28"/>
          <w:szCs w:val="28"/>
        </w:rPr>
      </w:pPr>
      <w:r>
        <w:rPr>
          <w:rFonts w:ascii="仿宋_GB2312" w:hAnsi="宋体" w:eastAsia="仿宋_GB2312"/>
          <w:sz w:val="28"/>
          <w:szCs w:val="28"/>
        </w:rPr>
      </w:r>
      <w:r/>
    </w:p>
    <w:p>
      <w:pPr>
        <w:ind w:right="1032"/>
        <w:spacing w:line="560" w:lineRule="exact"/>
        <w:rPr>
          <w:rFonts w:ascii="仿宋_GB2312" w:hAnsi="宋体" w:eastAsia="仿宋_GB2312"/>
          <w:sz w:val="28"/>
          <w:szCs w:val="28"/>
        </w:rPr>
      </w:pPr>
      <w:r>
        <w:rPr>
          <w:rFonts w:ascii="仿宋_GB2312" w:hAnsi="宋体" w:eastAsia="仿宋_GB2312"/>
          <w:sz w:val="28"/>
          <w:szCs w:val="28"/>
        </w:rPr>
      </w:r>
      <w:r/>
    </w:p>
    <w:p>
      <w:pPr>
        <w:ind w:right="777" w:firstLine="525"/>
        <w:jc w:val="right"/>
        <w:spacing w:line="560" w:lineRule="exact"/>
        <w:tabs>
          <w:tab w:val="left" w:pos="6300" w:leader="none"/>
        </w:tabs>
        <w:rPr>
          <w:rFonts w:hint="eastAsia" w:ascii="仿宋" w:hAnsi="仿宋" w:eastAsia="仿宋"/>
          <w:color w:val="000000"/>
          <w:sz w:val="28"/>
          <w:szCs w:val="28"/>
        </w:rPr>
      </w:pPr>
      <w:r>
        <w:rPr>
          <w:rFonts w:hint="eastAsia" w:ascii="仿宋" w:hAnsi="仿宋" w:eastAsia="仿宋"/>
          <w:color w:val="000000"/>
          <w:sz w:val="28"/>
          <w:szCs w:val="28"/>
        </w:rPr>
        <w:t xml:space="preserve">投标供应商（公章）：</w:t>
      </w:r>
      <w:r/>
    </w:p>
    <w:p>
      <w:pPr>
        <w:ind w:right="259" w:firstLine="525"/>
        <w:jc w:val="right"/>
        <w:spacing w:line="560" w:lineRule="exact"/>
        <w:tabs>
          <w:tab w:val="left" w:pos="6300" w:leader="none"/>
        </w:tabs>
        <w:rPr>
          <w:rFonts w:hint="eastAsia" w:ascii="仿宋" w:hAnsi="仿宋" w:eastAsia="仿宋"/>
          <w:color w:val="000000"/>
          <w:sz w:val="28"/>
          <w:szCs w:val="28"/>
        </w:rPr>
      </w:pPr>
      <w:r>
        <w:rPr>
          <w:rFonts w:hint="eastAsia" w:ascii="仿宋" w:hAnsi="仿宋" w:eastAsia="仿宋"/>
          <w:color w:val="000000"/>
          <w:sz w:val="28"/>
          <w:szCs w:val="28"/>
        </w:rPr>
        <w:t xml:space="preserve">法定代表人（签名或印鉴）</w:t>
      </w:r>
      <w:r/>
    </w:p>
    <w:p>
      <w:pPr>
        <w:ind w:firstLine="525"/>
        <w:jc w:val="right"/>
        <w:spacing w:line="560" w:lineRule="exact"/>
        <w:tabs>
          <w:tab w:val="left" w:pos="6300" w:leader="none"/>
        </w:tabs>
        <w:rPr>
          <w:rFonts w:hint="eastAsia" w:ascii="仿宋" w:hAnsi="仿宋" w:eastAsia="仿宋"/>
          <w:color w:val="000000"/>
          <w:sz w:val="28"/>
          <w:szCs w:val="28"/>
        </w:rPr>
      </w:pPr>
      <w:r>
        <w:rPr>
          <w:rFonts w:hint="eastAsia" w:ascii="仿宋" w:hAnsi="仿宋" w:eastAsia="仿宋"/>
          <w:color w:val="000000"/>
          <w:sz w:val="28"/>
          <w:szCs w:val="28"/>
        </w:rPr>
        <w:t xml:space="preserve">被授权代表（签名或印鉴）：</w:t>
      </w:r>
      <w:r/>
    </w:p>
    <w:p>
      <w:pPr>
        <w:ind w:right="777" w:firstLine="525"/>
        <w:jc w:val="right"/>
        <w:spacing w:line="560" w:lineRule="exact"/>
        <w:tabs>
          <w:tab w:val="left" w:pos="6300" w:leader="none"/>
        </w:tabs>
        <w:rPr>
          <w:rFonts w:hint="eastAsia" w:ascii="仿宋" w:hAnsi="仿宋" w:eastAsia="仿宋"/>
          <w:color w:val="000000"/>
          <w:sz w:val="28"/>
          <w:szCs w:val="28"/>
        </w:rPr>
      </w:pPr>
      <w:r>
        <w:rPr>
          <w:rFonts w:hint="eastAsia" w:ascii="仿宋" w:hAnsi="仿宋" w:eastAsia="仿宋"/>
          <w:color w:val="000000"/>
          <w:sz w:val="28"/>
          <w:szCs w:val="28"/>
        </w:rPr>
        <w:t xml:space="preserve">年   月   日</w:t>
      </w:r>
      <w:r/>
    </w:p>
    <w:p>
      <w:r/>
      <w:r/>
    </w:p>
    <w:p>
      <w:r/>
      <w:r/>
    </w:p>
    <w:p>
      <w:r/>
      <w:r/>
    </w:p>
    <w:p>
      <w:r/>
      <w:r/>
    </w:p>
    <w:p>
      <w:r/>
      <w:r/>
    </w:p>
    <w:p>
      <w:r/>
      <w:r/>
    </w:p>
    <w:p>
      <w:r/>
      <w:r/>
    </w:p>
    <w:p>
      <w:r/>
      <w:r/>
    </w:p>
    <w:p>
      <w:r/>
      <w:r/>
    </w:p>
    <w:p>
      <w:r/>
      <w:r/>
    </w:p>
    <w:p>
      <w:r/>
      <w:r/>
    </w:p>
    <w:p>
      <w:r/>
      <w:r/>
    </w:p>
    <w:p>
      <w:r/>
      <w:r/>
    </w:p>
    <w:p>
      <w:r/>
      <w:r/>
    </w:p>
    <w:p>
      <w:r/>
      <w:r/>
    </w:p>
    <w:p>
      <w:r/>
      <w:r/>
    </w:p>
    <w:p>
      <w:r/>
      <w:r/>
    </w:p>
    <w:p>
      <w:r/>
      <w:r/>
    </w:p>
    <w:p>
      <w:pPr>
        <w:tabs>
          <w:tab w:val="left" w:pos="1323" w:leader="none"/>
        </w:tabs>
      </w:pPr>
      <w:r>
        <w:tab/>
      </w:r>
      <w:r/>
    </w:p>
    <w:p>
      <w:pPr>
        <w:jc w:val="left"/>
        <w:rPr>
          <w:rFonts w:ascii="仿宋_GB2312" w:eastAsia="仿宋_GB2312"/>
          <w:sz w:val="44"/>
          <w:szCs w:val="44"/>
        </w:rPr>
      </w:pPr>
      <w:r>
        <w:rPr>
          <w:rFonts w:hint="eastAsia" w:ascii="仿宋_GB2312" w:eastAsia="仿宋_GB2312"/>
          <w:sz w:val="32"/>
          <w:szCs w:val="32"/>
        </w:rPr>
        <w:t xml:space="preserve">附件八                  </w:t>
      </w:r>
      <w:r>
        <w:rPr>
          <w:rFonts w:hint="eastAsia" w:ascii="仿宋_GB2312" w:eastAsia="仿宋_GB2312"/>
          <w:sz w:val="44"/>
          <w:szCs w:val="44"/>
        </w:rPr>
        <w:t xml:space="preserve">企业声明函</w:t>
      </w:r>
      <w:r/>
    </w:p>
    <w:p>
      <w:pPr>
        <w:jc w:val="left"/>
        <w:rPr>
          <w:rFonts w:ascii="仿宋_GB2312" w:eastAsia="仿宋_GB2312"/>
          <w:sz w:val="32"/>
          <w:szCs w:val="32"/>
        </w:rPr>
      </w:pPr>
      <w:r>
        <w:rPr>
          <w:rFonts w:ascii="仿宋_GB2312" w:eastAsia="仿宋_GB2312"/>
          <w:sz w:val="32"/>
          <w:szCs w:val="32"/>
        </w:rPr>
      </w:r>
      <w:r/>
    </w:p>
    <w:p>
      <w:pPr>
        <w:ind w:firstLine="777"/>
        <w:jc w:val="left"/>
        <w:rPr>
          <w:rFonts w:hint="eastAsia" w:ascii="仿宋" w:hAnsi="仿宋" w:eastAsia="仿宋"/>
          <w:color w:val="000000"/>
          <w:sz w:val="28"/>
          <w:szCs w:val="28"/>
        </w:rPr>
      </w:pPr>
      <w:r>
        <w:rPr>
          <w:rFonts w:hint="eastAsia" w:ascii="仿宋" w:hAnsi="仿宋" w:eastAsia="仿宋"/>
          <w:color w:val="000000"/>
          <w:sz w:val="28"/>
          <w:szCs w:val="28"/>
        </w:rPr>
        <w:t xml:space="preserve">本公司郑重声明，根据《政府采购促进中小企业发展管理办法》（财库﹝2020﹞46 号）的规定，本公司参加（单位名称） 的（项目名称）采购活动，提供的货物全部由符合政策要求的中小企业制造。相关企业（含联合体中的中小企业、签订分包意向协议的中小企业）的具体情况如下：</w:t>
      </w:r>
      <w:r/>
    </w:p>
    <w:p>
      <w:pPr>
        <w:jc w:val="left"/>
        <w:rPr>
          <w:rFonts w:hint="eastAsia" w:ascii="仿宋" w:hAnsi="仿宋" w:eastAsia="仿宋"/>
          <w:color w:val="000000"/>
          <w:sz w:val="28"/>
          <w:szCs w:val="28"/>
        </w:rPr>
      </w:pPr>
      <w:r>
        <w:rPr>
          <w:rFonts w:hint="eastAsia" w:ascii="仿宋" w:hAnsi="仿宋" w:eastAsia="仿宋"/>
          <w:color w:val="000000"/>
          <w:sz w:val="28"/>
          <w:szCs w:val="28"/>
        </w:rPr>
        <w:t xml:space="preserve">1、（标的名称），属于（采购文件中明确的所属行业）；制造商为（企业名称），从业人员 </w:t>
      </w:r>
      <w:r>
        <w:rPr>
          <w:rFonts w:hint="eastAsia" w:ascii="仿宋" w:hAnsi="仿宋" w:eastAsia="仿宋"/>
          <w:color w:val="000000"/>
          <w:sz w:val="28"/>
          <w:szCs w:val="28"/>
        </w:rPr>
        <w:tab/>
        <w:t xml:space="preserve"> 人，营业收入为    </w:t>
      </w:r>
      <w:r>
        <w:rPr>
          <w:rFonts w:hint="eastAsia" w:ascii="仿宋" w:hAnsi="仿宋" w:eastAsia="仿宋"/>
          <w:color w:val="000000"/>
          <w:sz w:val="28"/>
          <w:szCs w:val="28"/>
        </w:rPr>
        <w:tab/>
        <w:t xml:space="preserve">万元，资产总额为     万元，属于（中型企业、小型企业、微型企业）；</w:t>
      </w:r>
      <w:r/>
    </w:p>
    <w:p>
      <w:pPr>
        <w:jc w:val="left"/>
        <w:rPr>
          <w:rFonts w:ascii="仿宋_GB2312" w:eastAsia="仿宋_GB2312"/>
          <w:sz w:val="32"/>
          <w:szCs w:val="32"/>
        </w:rPr>
      </w:pPr>
      <w:r>
        <w:rPr>
          <w:rFonts w:ascii="仿宋_GB2312" w:eastAsia="仿宋_GB2312"/>
          <w:sz w:val="32"/>
          <w:szCs w:val="32"/>
        </w:rPr>
      </w:r>
      <w:r/>
    </w:p>
    <w:p>
      <w:pPr>
        <w:jc w:val="left"/>
        <w:rPr>
          <w:rFonts w:ascii="仿宋_GB2312" w:eastAsia="仿宋_GB2312"/>
          <w:sz w:val="32"/>
          <w:szCs w:val="32"/>
        </w:rPr>
      </w:pPr>
      <w:r>
        <w:rPr>
          <w:rFonts w:hint="eastAsia" w:ascii="仿宋_GB2312" w:eastAsia="仿宋_GB2312"/>
          <w:sz w:val="32"/>
          <w:szCs w:val="32"/>
        </w:rPr>
        <w:t xml:space="preserve">……</w:t>
      </w:r>
      <w:r/>
    </w:p>
    <w:p>
      <w:pPr>
        <w:jc w:val="left"/>
        <w:rPr>
          <w:rFonts w:hint="eastAsia" w:ascii="仿宋" w:hAnsi="仿宋" w:eastAsia="仿宋"/>
          <w:color w:val="000000"/>
          <w:sz w:val="28"/>
          <w:szCs w:val="28"/>
        </w:rPr>
      </w:pPr>
      <w:r>
        <w:rPr>
          <w:rFonts w:hint="eastAsia" w:ascii="仿宋" w:hAnsi="仿宋" w:eastAsia="仿宋"/>
          <w:color w:val="000000"/>
          <w:sz w:val="28"/>
          <w:szCs w:val="28"/>
        </w:rPr>
        <w:t xml:space="preserve">以上企业，不属于大企业的分支机构，不存在控股股东为大企业的情形，也不存在与大企业的负责人为同一人的情形。</w:t>
      </w:r>
      <w:r/>
    </w:p>
    <w:p>
      <w:pPr>
        <w:jc w:val="left"/>
        <w:rPr>
          <w:rFonts w:hint="eastAsia" w:ascii="仿宋" w:hAnsi="仿宋" w:eastAsia="仿宋"/>
          <w:color w:val="000000"/>
          <w:sz w:val="28"/>
          <w:szCs w:val="28"/>
        </w:rPr>
      </w:pPr>
      <w:r>
        <w:rPr>
          <w:rFonts w:hint="eastAsia" w:ascii="仿宋" w:hAnsi="仿宋" w:eastAsia="仿宋"/>
          <w:color w:val="000000"/>
          <w:sz w:val="28"/>
          <w:szCs w:val="28"/>
        </w:rPr>
        <w:t xml:space="preserve">本企业对上述声明内容的真实性负责。如有虚假，将依法承担相应责任。</w:t>
      </w:r>
      <w:r/>
    </w:p>
    <w:p>
      <w:pPr>
        <w:jc w:val="left"/>
        <w:rPr>
          <w:rFonts w:hint="eastAsia" w:ascii="仿宋" w:hAnsi="仿宋" w:eastAsia="仿宋"/>
          <w:color w:val="000000"/>
          <w:sz w:val="28"/>
          <w:szCs w:val="28"/>
        </w:rPr>
      </w:pPr>
      <w:r>
        <w:rPr>
          <w:rFonts w:hint="eastAsia" w:ascii="仿宋" w:hAnsi="仿宋" w:eastAsia="仿宋"/>
          <w:color w:val="000000"/>
          <w:sz w:val="28"/>
          <w:szCs w:val="28"/>
        </w:rPr>
      </w:r>
      <w:r/>
    </w:p>
    <w:p>
      <w:pPr>
        <w:jc w:val="left"/>
        <w:rPr>
          <w:rFonts w:hint="eastAsia" w:ascii="仿宋" w:hAnsi="仿宋" w:eastAsia="仿宋"/>
          <w:color w:val="000000"/>
          <w:sz w:val="28"/>
          <w:szCs w:val="28"/>
        </w:rPr>
      </w:pPr>
      <w:r>
        <w:rPr>
          <w:rFonts w:hint="eastAsia" w:ascii="仿宋" w:hAnsi="仿宋" w:eastAsia="仿宋"/>
          <w:color w:val="000000"/>
          <w:sz w:val="28"/>
          <w:szCs w:val="28"/>
        </w:rPr>
        <w:t xml:space="preserve">　　                                   企业名称（盖章）：</w:t>
      </w:r>
      <w:r/>
    </w:p>
    <w:p>
      <w:pPr>
        <w:jc w:val="left"/>
        <w:rPr>
          <w:rFonts w:hint="eastAsia" w:ascii="仿宋" w:hAnsi="仿宋" w:eastAsia="仿宋"/>
          <w:color w:val="000000"/>
          <w:sz w:val="28"/>
          <w:szCs w:val="28"/>
        </w:rPr>
      </w:pPr>
      <w:r>
        <w:rPr>
          <w:rFonts w:hint="eastAsia" w:ascii="仿宋" w:hAnsi="仿宋" w:eastAsia="仿宋"/>
          <w:color w:val="000000"/>
          <w:sz w:val="28"/>
          <w:szCs w:val="28"/>
        </w:rPr>
        <w:t xml:space="preserve">　　                                   日   期：　　</w:t>
      </w:r>
      <w:r/>
    </w:p>
    <w:p>
      <w:pPr>
        <w:jc w:val="left"/>
        <w:rPr>
          <w:rFonts w:hint="eastAsia" w:ascii="仿宋" w:hAnsi="仿宋" w:eastAsia="仿宋"/>
          <w:color w:val="000000"/>
          <w:sz w:val="28"/>
          <w:szCs w:val="28"/>
        </w:rPr>
      </w:pPr>
      <w:r>
        <w:rPr>
          <w:rFonts w:hint="eastAsia" w:ascii="仿宋" w:hAnsi="仿宋" w:eastAsia="仿宋"/>
          <w:color w:val="000000"/>
          <w:sz w:val="28"/>
          <w:szCs w:val="28"/>
        </w:rPr>
      </w:r>
      <w:r/>
    </w:p>
    <w:p>
      <w:pPr>
        <w:jc w:val="left"/>
        <w:rPr>
          <w:rFonts w:hint="eastAsia" w:ascii="仿宋" w:hAnsi="仿宋" w:eastAsia="仿宋"/>
          <w:color w:val="000000"/>
          <w:sz w:val="28"/>
          <w:szCs w:val="28"/>
        </w:rPr>
      </w:pPr>
      <w:r>
        <w:rPr>
          <w:rFonts w:hint="eastAsia" w:ascii="仿宋" w:hAnsi="仿宋" w:eastAsia="仿宋"/>
          <w:color w:val="000000"/>
          <w:sz w:val="28"/>
          <w:szCs w:val="28"/>
        </w:rPr>
        <w:t xml:space="preserve">备注：从业人员、营业收入、资产总额填报上一年度数据，无上一年度数据的新成立企业可不填报</w:t>
      </w:r>
      <w:r/>
    </w:p>
    <w:p>
      <w:r/>
      <w:r/>
    </w:p>
    <w:p>
      <w:pPr>
        <w:spacing w:line="560" w:lineRule="exact"/>
        <w:rPr>
          <w:rFonts w:hint="eastAsia" w:ascii="楷体" w:hAnsi="楷体" w:eastAsia="楷体"/>
          <w:b/>
          <w:sz w:val="32"/>
          <w:szCs w:val="32"/>
        </w:rPr>
      </w:pPr>
      <w:r>
        <w:rPr>
          <w:rFonts w:hint="eastAsia" w:ascii="楷体" w:hAnsi="楷体" w:eastAsia="楷体"/>
          <w:b/>
          <w:sz w:val="32"/>
          <w:szCs w:val="32"/>
        </w:rPr>
      </w:r>
      <w:r/>
    </w:p>
    <w:p>
      <w:pPr>
        <w:pStyle w:val="1142"/>
      </w:pPr>
      <w:r/>
      <w:r/>
    </w:p>
    <w:p>
      <w:pPr>
        <w:pStyle w:val="1142"/>
      </w:pPr>
      <w:r/>
      <w:r/>
    </w:p>
    <w:p>
      <w:pPr>
        <w:pStyle w:val="1142"/>
      </w:pPr>
      <w:r/>
      <w:r/>
    </w:p>
    <w:p>
      <w:pPr>
        <w:pStyle w:val="1142"/>
      </w:pPr>
      <w:r/>
      <w:r/>
    </w:p>
    <w:p>
      <w:pPr>
        <w:pStyle w:val="1142"/>
      </w:pPr>
      <w:r/>
      <w:r/>
    </w:p>
    <w:p>
      <w:pPr>
        <w:pStyle w:val="1142"/>
      </w:pPr>
      <w:r/>
      <w:r/>
    </w:p>
    <w:p>
      <w:pPr>
        <w:pStyle w:val="1142"/>
      </w:pPr>
      <w:r/>
      <w:r/>
    </w:p>
    <w:p>
      <w:pPr>
        <w:pStyle w:val="1142"/>
        <w:ind w:firstLine="0"/>
      </w:pPr>
      <w:r/>
      <w:r/>
    </w:p>
    <w:p>
      <w:pPr>
        <w:pStyle w:val="1142"/>
        <w:ind w:firstLine="0"/>
      </w:pPr>
      <w:r/>
      <w:r/>
    </w:p>
    <w:p>
      <w:pPr>
        <w:pStyle w:val="1142"/>
        <w:ind w:firstLine="0"/>
      </w:pPr>
      <w:r/>
      <w:r/>
    </w:p>
    <w:p>
      <w:pPr>
        <w:spacing w:line="560" w:lineRule="exact"/>
        <w:rPr>
          <w:rFonts w:ascii="黑体" w:eastAsia="黑体"/>
          <w:sz w:val="44"/>
          <w:szCs w:val="44"/>
        </w:rPr>
      </w:pPr>
      <w:r>
        <w:rPr>
          <w:rFonts w:hint="eastAsia" w:ascii="楷体" w:hAnsi="楷体" w:eastAsia="楷体"/>
          <w:b/>
          <w:sz w:val="32"/>
          <w:szCs w:val="32"/>
        </w:rPr>
        <w:t xml:space="preserve">附件九      </w:t>
      </w:r>
      <w:r>
        <w:rPr>
          <w:rFonts w:hint="eastAsia" w:ascii="黑体" w:eastAsia="黑体"/>
          <w:sz w:val="44"/>
          <w:szCs w:val="44"/>
        </w:rPr>
        <w:t xml:space="preserve">残疾人福利性单位声明函</w:t>
      </w:r>
      <w:r/>
    </w:p>
    <w:p>
      <w:pPr>
        <w:pStyle w:val="1201"/>
        <w:ind w:firstLine="600"/>
        <w:spacing w:line="560" w:lineRule="exact"/>
        <w:rPr>
          <w:rFonts w:hint="eastAsia" w:ascii="仿宋" w:hAnsi="仿宋" w:eastAsia="仿宋"/>
          <w:sz w:val="28"/>
          <w:szCs w:val="28"/>
        </w:rPr>
      </w:pPr>
      <w:r>
        <w:rPr>
          <w:rFonts w:hint="eastAsia" w:ascii="楷体" w:hAnsi="楷体" w:eastAsia="楷体"/>
          <w:b/>
          <w:sz w:val="32"/>
          <w:szCs w:val="32"/>
        </w:rPr>
        <w:t xml:space="preserve">  </w:t>
      </w:r>
      <w:r>
        <w:rPr>
          <w:rFonts w:hint="eastAsia" w:ascii="仿宋_GB2312" w:eastAsia="仿宋_GB2312"/>
          <w:sz w:val="28"/>
          <w:szCs w:val="28"/>
        </w:rPr>
        <w:t xml:space="preserve"> </w:t>
      </w:r>
      <w:r>
        <w:rPr>
          <w:rFonts w:hint="eastAsia" w:ascii="仿宋_GB2312" w:eastAsia="仿宋_GB2312"/>
          <w:sz w:val="28"/>
          <w:szCs w:val="28"/>
        </w:rPr>
        <w:t xml:space="preserve"> </w:t>
      </w:r>
      <w:r>
        <w:rPr>
          <w:rFonts w:hint="eastAsia" w:ascii="仿宋" w:hAnsi="仿宋" w:eastAsia="仿宋"/>
          <w:sz w:val="28"/>
          <w:szCs w:val="28"/>
        </w:rPr>
        <w:t xml:space="preserve">本单位郑重声明，根据《财政部</w:t>
      </w:r>
      <w:r>
        <w:rPr>
          <w:rFonts w:ascii="Calibri" w:hAnsi="Calibri" w:eastAsia="仿宋" w:cs="Calibri"/>
          <w:sz w:val="28"/>
          <w:szCs w:val="28"/>
        </w:rPr>
        <w:t xml:space="preserve"> </w:t>
      </w:r>
      <w:r>
        <w:rPr>
          <w:rFonts w:hint="eastAsia" w:ascii="仿宋" w:hAnsi="仿宋" w:eastAsia="仿宋"/>
          <w:sz w:val="28"/>
          <w:szCs w:val="28"/>
        </w:rPr>
        <w:t xml:space="preserve">民政部</w:t>
      </w:r>
      <w:r>
        <w:rPr>
          <w:rFonts w:ascii="Calibri" w:hAnsi="Calibri" w:eastAsia="仿宋" w:cs="Calibri"/>
          <w:sz w:val="28"/>
          <w:szCs w:val="28"/>
        </w:rPr>
        <w:t xml:space="preserve"> </w:t>
      </w:r>
      <w:r>
        <w:rPr>
          <w:rFonts w:hint="eastAsia" w:ascii="仿宋" w:hAnsi="仿宋" w:eastAsia="仿宋"/>
          <w:sz w:val="28"/>
          <w:szCs w:val="28"/>
        </w:rPr>
        <w:t xml:space="preserve">中国残疾人联合会关于促进残疾人就业政府采购政策的通知》（财库〔2017〕</w:t>
      </w:r>
      <w:r>
        <w:rPr>
          <w:rFonts w:ascii="Calibri" w:hAnsi="Calibri" w:eastAsia="仿宋" w:cs="Calibri"/>
          <w:sz w:val="28"/>
          <w:szCs w:val="28"/>
        </w:rPr>
        <w:t xml:space="preserve"> </w:t>
      </w:r>
      <w:r>
        <w:rPr>
          <w:rFonts w:hint="eastAsia" w:ascii="仿宋" w:hAnsi="仿宋" w:eastAsia="仿宋"/>
          <w:sz w:val="28"/>
          <w:szCs w:val="28"/>
        </w:rPr>
        <w:t xml:space="preserve">141号）的规定，本单位为符合条件的残疾人福利性单位，且本单位参加______单位的采购文件编号为______的</w:t>
      </w:r>
      <w:r>
        <w:rPr>
          <w:rFonts w:hint="eastAsia" w:ascii="Calibri" w:hAnsi="Calibri" w:eastAsia="仿宋" w:cs="Calibri"/>
          <w:sz w:val="28"/>
          <w:szCs w:val="28"/>
          <w:u w:val="single"/>
        </w:rPr>
        <w:t xml:space="preserve">       </w:t>
      </w:r>
      <w:r>
        <w:rPr>
          <w:rFonts w:hint="eastAsia" w:ascii="仿宋" w:hAnsi="仿宋" w:eastAsia="仿宋"/>
          <w:sz w:val="28"/>
          <w:szCs w:val="28"/>
        </w:rPr>
        <w:t xml:space="preserve">项目采购活动提供本单位制造的货物（由本单位承担工程/提供服务），或者提供其他残疾人福利性单位制造的货物（不包括使用非残疾人福利性单位注册商标的货物）。</w:t>
      </w:r>
      <w:r/>
    </w:p>
    <w:p>
      <w:pPr>
        <w:pStyle w:val="1201"/>
        <w:ind w:firstLine="518"/>
        <w:spacing w:line="560" w:lineRule="exact"/>
        <w:rPr>
          <w:rFonts w:hint="eastAsia" w:ascii="仿宋" w:hAnsi="仿宋" w:eastAsia="仿宋"/>
          <w:sz w:val="28"/>
          <w:szCs w:val="28"/>
        </w:rPr>
      </w:pPr>
      <w:r>
        <w:rPr>
          <w:rFonts w:hint="eastAsia" w:ascii="仿宋" w:hAnsi="仿宋" w:eastAsia="仿宋"/>
          <w:sz w:val="28"/>
          <w:szCs w:val="28"/>
        </w:rPr>
        <w:t xml:space="preserve">本单位对上述声明的真实性负责。如有虚假，将依法承担相应责任。</w:t>
      </w:r>
      <w:r/>
    </w:p>
    <w:p>
      <w:pPr>
        <w:pStyle w:val="1201"/>
        <w:ind w:firstLine="518"/>
        <w:spacing w:line="560" w:lineRule="exact"/>
        <w:rPr>
          <w:rFonts w:ascii="仿宋_GB2312" w:eastAsia="仿宋_GB2312"/>
          <w:sz w:val="28"/>
          <w:szCs w:val="28"/>
        </w:rPr>
      </w:pPr>
      <w:r>
        <w:rPr>
          <w:rFonts w:ascii="仿宋_GB2312" w:eastAsia="仿宋_GB2312"/>
          <w:sz w:val="28"/>
          <w:szCs w:val="28"/>
        </w:rPr>
      </w:r>
      <w:r/>
    </w:p>
    <w:p>
      <w:pPr>
        <w:pStyle w:val="1201"/>
        <w:ind w:firstLine="518"/>
        <w:spacing w:line="560" w:lineRule="exact"/>
        <w:rPr>
          <w:rFonts w:hint="eastAsia" w:ascii="仿宋" w:hAnsi="仿宋" w:eastAsia="仿宋"/>
          <w:sz w:val="28"/>
          <w:szCs w:val="28"/>
        </w:rPr>
      </w:pPr>
      <w:r>
        <w:rPr>
          <w:rFonts w:hint="eastAsia" w:ascii="仿宋" w:hAnsi="仿宋" w:eastAsia="仿宋"/>
          <w:sz w:val="28"/>
          <w:szCs w:val="28"/>
        </w:rPr>
        <w:t xml:space="preserve">（备注：1、供应商如不提供此声明函，价格将不做相应扣除。2、中标供应商为残疾人福利单位的，此声明函将随中标结果同时公告，接受社会监督）</w:t>
      </w:r>
      <w:r/>
    </w:p>
    <w:p>
      <w:pPr>
        <w:pStyle w:val="1201"/>
        <w:ind w:firstLine="518"/>
        <w:spacing w:line="560" w:lineRule="exact"/>
        <w:rPr>
          <w:rFonts w:ascii="仿宋_GB2312" w:eastAsia="仿宋_GB2312"/>
          <w:sz w:val="28"/>
          <w:szCs w:val="28"/>
        </w:rPr>
      </w:pPr>
      <w:r>
        <w:rPr>
          <w:rFonts w:ascii="仿宋_GB2312" w:eastAsia="仿宋_GB2312"/>
          <w:sz w:val="28"/>
          <w:szCs w:val="28"/>
        </w:rPr>
      </w:r>
      <w:r/>
    </w:p>
    <w:p>
      <w:pPr>
        <w:pStyle w:val="1201"/>
        <w:ind w:firstLine="518"/>
        <w:spacing w:line="560" w:lineRule="exact"/>
        <w:rPr>
          <w:rFonts w:ascii="仿宋_GB2312" w:eastAsia="仿宋_GB2312"/>
          <w:sz w:val="28"/>
          <w:szCs w:val="28"/>
        </w:rPr>
      </w:pPr>
      <w:r>
        <w:rPr>
          <w:rFonts w:hint="eastAsia" w:ascii="仿宋_GB2312" w:eastAsia="仿宋_GB2312"/>
          <w:sz w:val="28"/>
          <w:szCs w:val="28"/>
        </w:rPr>
        <w:t xml:space="preserve">                    </w:t>
      </w:r>
      <w:r/>
    </w:p>
    <w:p>
      <w:pPr>
        <w:pStyle w:val="1201"/>
        <w:ind w:firstLine="518"/>
        <w:spacing w:line="560" w:lineRule="exact"/>
        <w:rPr>
          <w:rFonts w:hint="eastAsia" w:ascii="仿宋" w:hAnsi="仿宋" w:eastAsia="仿宋"/>
          <w:sz w:val="28"/>
          <w:szCs w:val="28"/>
        </w:rPr>
      </w:pPr>
      <w:r>
        <w:rPr>
          <w:rFonts w:hint="eastAsia" w:ascii="仿宋_GB2312" w:eastAsia="仿宋_GB2312"/>
          <w:sz w:val="28"/>
          <w:szCs w:val="28"/>
        </w:rPr>
        <w:t xml:space="preserve">             </w:t>
      </w:r>
      <w:r>
        <w:rPr>
          <w:rFonts w:hint="eastAsia" w:ascii="仿宋_GB2312" w:eastAsia="仿宋_GB2312"/>
          <w:sz w:val="28"/>
          <w:szCs w:val="28"/>
        </w:rPr>
        <w:t xml:space="preserve">    </w:t>
      </w:r>
      <w:r>
        <w:rPr>
          <w:rFonts w:hint="eastAsia" w:ascii="仿宋_GB2312" w:eastAsia="仿宋_GB2312"/>
          <w:sz w:val="28"/>
          <w:szCs w:val="28"/>
        </w:rPr>
        <w:t xml:space="preserve">                                   </w:t>
      </w:r>
      <w:r>
        <w:rPr>
          <w:rFonts w:hint="eastAsia" w:ascii="仿宋_GB2312" w:eastAsia="仿宋_GB2312"/>
          <w:sz w:val="28"/>
          <w:szCs w:val="28"/>
        </w:rPr>
        <w:t xml:space="preserve"> </w:t>
      </w:r>
      <w:r>
        <w:rPr>
          <w:rFonts w:hint="eastAsia" w:ascii="仿宋" w:hAnsi="仿宋" w:eastAsia="仿宋"/>
          <w:sz w:val="28"/>
          <w:szCs w:val="28"/>
        </w:rPr>
        <w:t xml:space="preserve">供应商全称（公章）：</w:t>
      </w:r>
      <w:r/>
    </w:p>
    <w:p>
      <w:pPr>
        <w:pStyle w:val="1201"/>
        <w:ind w:firstLine="438"/>
        <w:spacing w:line="560" w:lineRule="exact"/>
        <w:rPr>
          <w:rFonts w:hint="eastAsia" w:ascii="仿宋" w:hAnsi="仿宋" w:eastAsia="仿宋"/>
          <w:sz w:val="28"/>
          <w:szCs w:val="28"/>
        </w:rPr>
      </w:pPr>
      <w:r>
        <w:rPr>
          <w:rFonts w:hint="eastAsia" w:ascii="仿宋_GB2312" w:eastAsia="仿宋_GB2312"/>
          <w:szCs w:val="28"/>
        </w:rPr>
        <w:t xml:space="preserve">                                              </w:t>
      </w:r>
      <w:r>
        <w:rPr>
          <w:rFonts w:hint="eastAsia" w:ascii="仿宋_GB2312" w:eastAsia="仿宋_GB2312"/>
          <w:szCs w:val="28"/>
        </w:rPr>
        <w:t xml:space="preserve">                             </w:t>
      </w:r>
      <w:r>
        <w:rPr>
          <w:rFonts w:hint="eastAsia" w:ascii="仿宋" w:hAnsi="仿宋" w:eastAsia="仿宋"/>
          <w:sz w:val="28"/>
          <w:szCs w:val="28"/>
        </w:rPr>
        <w:t xml:space="preserve"> 日</w:t>
      </w:r>
      <w:r>
        <w:rPr>
          <w:rFonts w:ascii="Calibri" w:hAnsi="Calibri" w:eastAsia="仿宋" w:cs="Calibri"/>
          <w:sz w:val="28"/>
          <w:szCs w:val="28"/>
        </w:rPr>
        <w:t xml:space="preserve">  </w:t>
      </w:r>
      <w:r>
        <w:rPr>
          <w:rFonts w:hint="eastAsia" w:ascii="仿宋" w:hAnsi="仿宋" w:eastAsia="仿宋"/>
          <w:sz w:val="28"/>
          <w:szCs w:val="28"/>
        </w:rPr>
        <w:t xml:space="preserve">期：  年</w:t>
      </w:r>
      <w:r>
        <w:rPr>
          <w:rFonts w:ascii="Calibri" w:hAnsi="Calibri" w:eastAsia="仿宋" w:cs="Calibri"/>
          <w:sz w:val="28"/>
          <w:szCs w:val="28"/>
        </w:rPr>
        <w:t xml:space="preserve">  </w:t>
      </w:r>
      <w:r>
        <w:rPr>
          <w:rFonts w:hint="eastAsia" w:ascii="仿宋" w:hAnsi="仿宋" w:eastAsia="仿宋"/>
          <w:sz w:val="28"/>
          <w:szCs w:val="28"/>
        </w:rPr>
        <w:t xml:space="preserve">  月  日</w:t>
      </w:r>
      <w:r/>
    </w:p>
    <w:p>
      <w:r/>
      <w:r/>
    </w:p>
    <w:p>
      <w:pPr>
        <w:jc w:val="center"/>
        <w:rPr>
          <w:rFonts w:hint="eastAsia" w:ascii="方正魏碑_GBK" w:hAnsi="方正魏碑_GBK" w:eastAsia="方正魏碑_GBK" w:cs="方正魏碑_GBK"/>
          <w:b/>
          <w:bCs/>
          <w:color w:val="ff0000"/>
          <w:sz w:val="24"/>
          <w:szCs w:val="24"/>
        </w:rPr>
      </w:pPr>
      <w:r>
        <w:rPr>
          <w:rFonts w:hint="eastAsia" w:ascii="方正魏碑_GBK" w:hAnsi="方正魏碑_GBK" w:eastAsia="方正魏碑_GBK" w:cs="方正魏碑_GBK"/>
          <w:b/>
          <w:color w:val="ff0000"/>
          <w:sz w:val="24"/>
          <w:szCs w:val="24"/>
        </w:rPr>
      </w:r>
      <w:r>
        <w:rPr>
          <w:rFonts w:hint="eastAsia" w:ascii="方正魏碑_GBK" w:hAnsi="方正魏碑_GBK" w:eastAsia="方正魏碑_GBK" w:cs="方正魏碑_GBK"/>
          <w:b/>
          <w:color w:val="ff0000"/>
          <w:sz w:val="24"/>
          <w:szCs w:val="24"/>
        </w:rPr>
      </w:r>
    </w:p>
    <w:p>
      <w:pPr>
        <w:jc w:val="center"/>
        <w:rPr>
          <w:rFonts w:hint="eastAsia" w:ascii="方正魏碑_GBK" w:hAnsi="方正魏碑_GBK" w:eastAsia="方正魏碑_GBK" w:cs="方正魏碑_GBK"/>
          <w:b/>
          <w:bCs/>
          <w:color w:val="ff0000"/>
          <w:sz w:val="24"/>
          <w:szCs w:val="24"/>
        </w:rPr>
      </w:pPr>
      <w:r>
        <w:rPr>
          <w:rFonts w:hint="eastAsia" w:ascii="方正魏碑_GBK" w:hAnsi="方正魏碑_GBK" w:eastAsia="方正魏碑_GBK" w:cs="方正魏碑_GBK"/>
          <w:b/>
          <w:bCs/>
          <w:color w:val="ff0000"/>
          <w:sz w:val="24"/>
          <w:szCs w:val="24"/>
        </w:rPr>
      </w:r>
      <w:r>
        <w:rPr>
          <w:rFonts w:hint="eastAsia" w:ascii="方正魏碑_GBK" w:hAnsi="方正魏碑_GBK" w:eastAsia="方正魏碑_GBK" w:cs="方正魏碑_GBK"/>
          <w:b/>
          <w:bCs/>
          <w:color w:val="ff0000"/>
          <w:sz w:val="24"/>
          <w:szCs w:val="24"/>
        </w:rPr>
      </w:r>
    </w:p>
    <w:p>
      <w:pPr>
        <w:jc w:val="center"/>
        <w:rPr>
          <w:rFonts w:hint="eastAsia" w:ascii="方正魏碑_GBK" w:hAnsi="方正魏碑_GBK" w:eastAsia="方正魏碑_GBK" w:cs="方正魏碑_GBK"/>
          <w:b/>
          <w:bCs/>
          <w:color w:val="ff0000"/>
          <w:sz w:val="24"/>
          <w:szCs w:val="24"/>
        </w:rPr>
      </w:pPr>
      <w:r>
        <w:rPr>
          <w:rFonts w:hint="eastAsia" w:ascii="方正魏碑_GBK" w:hAnsi="方正魏碑_GBK" w:eastAsia="方正魏碑_GBK" w:cs="方正魏碑_GBK"/>
          <w:b/>
          <w:bCs/>
          <w:color w:val="ff0000"/>
          <w:sz w:val="24"/>
          <w:szCs w:val="24"/>
        </w:rPr>
      </w:r>
      <w:r>
        <w:rPr>
          <w:rFonts w:hint="eastAsia" w:ascii="方正魏碑_GBK" w:hAnsi="方正魏碑_GBK" w:eastAsia="方正魏碑_GBK" w:cs="方正魏碑_GBK"/>
          <w:b/>
          <w:bCs/>
          <w:color w:val="ff0000"/>
          <w:sz w:val="24"/>
          <w:szCs w:val="24"/>
        </w:rPr>
      </w:r>
    </w:p>
    <w:p>
      <w:pPr>
        <w:jc w:val="center"/>
        <w:rPr>
          <w:rFonts w:hint="eastAsia" w:ascii="方正魏碑_GBK" w:hAnsi="方正魏碑_GBK" w:eastAsia="方正魏碑_GBK" w:cs="方正魏碑_GBK"/>
          <w:b/>
          <w:bCs/>
          <w:color w:val="ff0000"/>
          <w:sz w:val="24"/>
          <w:szCs w:val="24"/>
        </w:rPr>
      </w:pPr>
      <w:r>
        <w:rPr>
          <w:rFonts w:hint="eastAsia" w:ascii="方正魏碑_GBK" w:hAnsi="方正魏碑_GBK" w:eastAsia="方正魏碑_GBK" w:cs="方正魏碑_GBK"/>
          <w:b/>
          <w:bCs/>
          <w:color w:val="ff0000"/>
          <w:sz w:val="24"/>
          <w:szCs w:val="24"/>
        </w:rPr>
      </w:r>
      <w:r>
        <w:rPr>
          <w:rFonts w:hint="eastAsia" w:ascii="方正魏碑_GBK" w:hAnsi="方正魏碑_GBK" w:eastAsia="方正魏碑_GBK" w:cs="方正魏碑_GBK"/>
          <w:b/>
          <w:bCs/>
          <w:color w:val="ff0000"/>
          <w:sz w:val="24"/>
          <w:szCs w:val="24"/>
        </w:rPr>
      </w:r>
    </w:p>
    <w:p>
      <w:pPr>
        <w:jc w:val="center"/>
        <w:rPr>
          <w:rFonts w:hint="eastAsia" w:ascii="方正魏碑_GBK" w:hAnsi="方正魏碑_GBK" w:eastAsia="方正魏碑_GBK" w:cs="方正魏碑_GBK"/>
          <w:b/>
          <w:bCs/>
          <w:color w:val="ff0000"/>
          <w:sz w:val="24"/>
          <w:szCs w:val="24"/>
        </w:rPr>
      </w:pPr>
      <w:r>
        <w:rPr>
          <w:rFonts w:hint="eastAsia" w:ascii="方正魏碑_GBK" w:hAnsi="方正魏碑_GBK" w:eastAsia="方正魏碑_GBK" w:cs="方正魏碑_GBK"/>
          <w:b/>
          <w:bCs/>
          <w:color w:val="ff0000"/>
          <w:sz w:val="24"/>
          <w:szCs w:val="24"/>
        </w:rPr>
      </w:r>
      <w:r>
        <w:rPr>
          <w:rFonts w:hint="eastAsia" w:ascii="方正魏碑_GBK" w:hAnsi="方正魏碑_GBK" w:eastAsia="方正魏碑_GBK" w:cs="方正魏碑_GBK"/>
          <w:b/>
          <w:bCs/>
          <w:color w:val="ff0000"/>
          <w:sz w:val="24"/>
          <w:szCs w:val="24"/>
        </w:rPr>
      </w:r>
    </w:p>
    <w:p>
      <w:pPr>
        <w:jc w:val="center"/>
        <w:rPr>
          <w:rFonts w:hint="eastAsia" w:ascii="方正魏碑_GBK" w:hAnsi="方正魏碑_GBK" w:eastAsia="方正魏碑_GBK" w:cs="方正魏碑_GBK"/>
          <w:b/>
          <w:bCs/>
          <w:color w:val="ff0000"/>
          <w:sz w:val="24"/>
          <w:szCs w:val="24"/>
        </w:rPr>
      </w:pPr>
      <w:r>
        <w:rPr>
          <w:rFonts w:hint="eastAsia" w:ascii="方正魏碑_GBK" w:hAnsi="方正魏碑_GBK" w:eastAsia="方正魏碑_GBK" w:cs="方正魏碑_GBK"/>
          <w:b/>
          <w:bCs/>
          <w:color w:val="ff0000"/>
          <w:sz w:val="24"/>
          <w:szCs w:val="24"/>
        </w:rPr>
      </w:r>
      <w:r>
        <w:rPr>
          <w:rFonts w:hint="eastAsia" w:ascii="方正魏碑_GBK" w:hAnsi="方正魏碑_GBK" w:eastAsia="方正魏碑_GBK" w:cs="方正魏碑_GBK"/>
          <w:b/>
          <w:bCs/>
          <w:color w:val="ff0000"/>
          <w:sz w:val="24"/>
          <w:szCs w:val="24"/>
        </w:rPr>
      </w:r>
    </w:p>
    <w:p>
      <w:pPr>
        <w:jc w:val="center"/>
        <w:rPr>
          <w:rFonts w:hint="eastAsia" w:ascii="方正魏碑_GBK" w:hAnsi="方正魏碑_GBK" w:eastAsia="方正魏碑_GBK" w:cs="方正魏碑_GBK"/>
          <w:b/>
          <w:bCs/>
          <w:color w:val="ff0000"/>
          <w:sz w:val="24"/>
          <w:szCs w:val="24"/>
        </w:rPr>
      </w:pPr>
      <w:r>
        <w:rPr>
          <w:rFonts w:hint="eastAsia" w:ascii="方正魏碑_GBK" w:hAnsi="方正魏碑_GBK" w:eastAsia="方正魏碑_GBK" w:cs="方正魏碑_GBK"/>
          <w:b/>
          <w:bCs/>
          <w:color w:val="ff0000"/>
          <w:sz w:val="24"/>
          <w:szCs w:val="24"/>
        </w:rPr>
      </w:r>
      <w:r>
        <w:rPr>
          <w:rFonts w:hint="eastAsia" w:ascii="方正魏碑_GBK" w:hAnsi="方正魏碑_GBK" w:eastAsia="方正魏碑_GBK" w:cs="方正魏碑_GBK"/>
          <w:b/>
          <w:bCs/>
          <w:color w:val="ff0000"/>
          <w:sz w:val="24"/>
          <w:szCs w:val="24"/>
        </w:rPr>
      </w:r>
    </w:p>
    <w:p>
      <w:pPr>
        <w:jc w:val="center"/>
        <w:rPr>
          <w:rFonts w:hint="eastAsia" w:ascii="方正魏碑_GBK" w:hAnsi="方正魏碑_GBK" w:eastAsia="方正魏碑_GBK" w:cs="方正魏碑_GBK"/>
          <w:b/>
          <w:bCs/>
          <w:color w:val="ff0000"/>
          <w:sz w:val="24"/>
          <w:szCs w:val="24"/>
        </w:rPr>
      </w:pPr>
      <w:r>
        <w:rPr>
          <w:rFonts w:hint="eastAsia" w:ascii="方正魏碑_GBK" w:hAnsi="方正魏碑_GBK" w:eastAsia="方正魏碑_GBK" w:cs="方正魏碑_GBK"/>
          <w:b/>
          <w:bCs/>
          <w:color w:val="ff0000"/>
          <w:sz w:val="24"/>
          <w:szCs w:val="24"/>
        </w:rPr>
      </w:r>
      <w:r>
        <w:rPr>
          <w:rFonts w:hint="eastAsia" w:ascii="方正魏碑_GBK" w:hAnsi="方正魏碑_GBK" w:eastAsia="方正魏碑_GBK" w:cs="方正魏碑_GBK"/>
          <w:b/>
          <w:bCs/>
          <w:color w:val="ff0000"/>
          <w:sz w:val="24"/>
          <w:szCs w:val="24"/>
        </w:rPr>
      </w:r>
    </w:p>
    <w:p>
      <w:pPr>
        <w:jc w:val="center"/>
        <w:rPr>
          <w:rFonts w:hint="eastAsia" w:ascii="方正魏碑_GBK" w:hAnsi="方正魏碑_GBK" w:eastAsia="方正魏碑_GBK" w:cs="方正魏碑_GBK"/>
          <w:b/>
          <w:bCs/>
          <w:color w:val="ff0000"/>
          <w:sz w:val="24"/>
          <w:szCs w:val="24"/>
        </w:rPr>
      </w:pPr>
      <w:r>
        <w:rPr>
          <w:rFonts w:hint="eastAsia" w:ascii="方正魏碑_GBK" w:hAnsi="方正魏碑_GBK" w:eastAsia="方正魏碑_GBK" w:cs="方正魏碑_GBK"/>
          <w:b/>
          <w:bCs/>
          <w:color w:val="ff0000"/>
          <w:sz w:val="24"/>
          <w:szCs w:val="24"/>
        </w:rPr>
      </w:r>
      <w:r>
        <w:rPr>
          <w:rFonts w:hint="eastAsia" w:ascii="方正魏碑_GBK" w:hAnsi="方正魏碑_GBK" w:eastAsia="方正魏碑_GBK" w:cs="方正魏碑_GBK"/>
          <w:b/>
          <w:bCs/>
          <w:color w:val="ff0000"/>
          <w:sz w:val="24"/>
          <w:szCs w:val="24"/>
        </w:rPr>
      </w:r>
    </w:p>
    <w:p>
      <w:pPr>
        <w:jc w:val="center"/>
        <w:rPr>
          <w:rFonts w:hint="eastAsia" w:ascii="方正魏碑_GBK" w:hAnsi="方正魏碑_GBK" w:eastAsia="方正魏碑_GBK" w:cs="方正魏碑_GBK"/>
          <w:b/>
          <w:bCs/>
          <w:color w:val="ff0000"/>
          <w:sz w:val="24"/>
          <w:szCs w:val="24"/>
        </w:rPr>
      </w:pPr>
      <w:r>
        <w:rPr>
          <w:rFonts w:hint="eastAsia" w:ascii="方正魏碑_GBK" w:hAnsi="方正魏碑_GBK" w:eastAsia="方正魏碑_GBK" w:cs="方正魏碑_GBK"/>
          <w:b/>
          <w:bCs/>
          <w:color w:val="ff0000"/>
          <w:sz w:val="24"/>
          <w:szCs w:val="24"/>
        </w:rPr>
      </w:r>
      <w:r>
        <w:rPr>
          <w:rFonts w:hint="eastAsia" w:ascii="方正魏碑_GBK" w:hAnsi="方正魏碑_GBK" w:eastAsia="方正魏碑_GBK" w:cs="方正魏碑_GBK"/>
          <w:b/>
          <w:bCs/>
          <w:color w:val="ff0000"/>
          <w:sz w:val="24"/>
          <w:szCs w:val="24"/>
        </w:rPr>
      </w:r>
    </w:p>
    <w:p>
      <w:pPr>
        <w:jc w:val="center"/>
        <w:rPr>
          <w:rFonts w:hint="eastAsia" w:ascii="方正魏碑_GBK" w:hAnsi="方正魏碑_GBK" w:eastAsia="方正魏碑_GBK" w:cs="方正魏碑_GBK"/>
          <w:b/>
          <w:bCs/>
          <w:color w:val="ff0000"/>
          <w:sz w:val="24"/>
          <w:szCs w:val="24"/>
        </w:rPr>
      </w:pPr>
      <w:r>
        <w:rPr>
          <w:rFonts w:hint="eastAsia" w:ascii="方正魏碑_GBK" w:hAnsi="方正魏碑_GBK" w:eastAsia="方正魏碑_GBK" w:cs="方正魏碑_GBK"/>
          <w:b/>
          <w:bCs/>
          <w:color w:val="ff0000"/>
          <w:sz w:val="24"/>
          <w:szCs w:val="24"/>
        </w:rPr>
      </w:r>
      <w:r>
        <w:rPr>
          <w:rFonts w:hint="eastAsia" w:ascii="方正魏碑_GBK" w:hAnsi="方正魏碑_GBK" w:eastAsia="方正魏碑_GBK" w:cs="方正魏碑_GBK"/>
          <w:b/>
          <w:bCs/>
          <w:color w:val="ff0000"/>
          <w:sz w:val="24"/>
          <w:szCs w:val="24"/>
        </w:rPr>
      </w:r>
    </w:p>
    <w:p>
      <w:pPr>
        <w:jc w:val="center"/>
        <w:rPr>
          <w:rFonts w:hint="eastAsia" w:ascii="方正魏碑_GBK" w:hAnsi="方正魏碑_GBK" w:eastAsia="方正魏碑_GBK" w:cs="方正魏碑_GBK"/>
          <w:b/>
          <w:bCs/>
          <w:color w:val="ff0000"/>
          <w:sz w:val="24"/>
          <w:szCs w:val="24"/>
        </w:rPr>
      </w:pPr>
      <w:r>
        <w:rPr>
          <w:rFonts w:hint="eastAsia" w:ascii="方正魏碑_GBK" w:hAnsi="方正魏碑_GBK" w:eastAsia="方正魏碑_GBK" w:cs="方正魏碑_GBK"/>
          <w:b/>
          <w:bCs/>
          <w:color w:val="ff0000"/>
          <w:sz w:val="24"/>
          <w:szCs w:val="24"/>
        </w:rPr>
      </w:r>
      <w:r>
        <w:rPr>
          <w:rFonts w:hint="eastAsia" w:ascii="方正魏碑_GBK" w:hAnsi="方正魏碑_GBK" w:eastAsia="方正魏碑_GBK" w:cs="方正魏碑_GBK"/>
          <w:b/>
          <w:bCs/>
          <w:color w:val="ff0000"/>
          <w:sz w:val="24"/>
          <w:szCs w:val="24"/>
        </w:rPr>
      </w:r>
    </w:p>
    <w:p>
      <w:pPr>
        <w:jc w:val="center"/>
        <w:rPr>
          <w:rFonts w:hint="eastAsia" w:ascii="方正魏碑_GBK" w:hAnsi="方正魏碑_GBK" w:eastAsia="方正魏碑_GBK" w:cs="方正魏碑_GBK"/>
          <w:b/>
          <w:bCs/>
          <w:color w:val="ff0000"/>
          <w:sz w:val="24"/>
          <w:szCs w:val="24"/>
        </w:rPr>
      </w:pPr>
      <w:r>
        <w:rPr>
          <w:rFonts w:hint="eastAsia" w:ascii="方正魏碑_GBK" w:hAnsi="方正魏碑_GBK" w:eastAsia="方正魏碑_GBK" w:cs="方正魏碑_GBK"/>
          <w:b/>
          <w:bCs/>
          <w:color w:val="ff0000"/>
          <w:sz w:val="24"/>
          <w:szCs w:val="24"/>
        </w:rPr>
      </w:r>
      <w:r>
        <w:rPr>
          <w:rFonts w:hint="eastAsia" w:ascii="方正魏碑_GBK" w:hAnsi="方正魏碑_GBK" w:eastAsia="方正魏碑_GBK" w:cs="方正魏碑_GBK"/>
          <w:b/>
          <w:bCs/>
          <w:color w:val="ff0000"/>
          <w:sz w:val="24"/>
          <w:szCs w:val="24"/>
        </w:rPr>
      </w:r>
    </w:p>
    <w:p>
      <w:pPr>
        <w:jc w:val="center"/>
        <w:rPr>
          <w:rFonts w:hint="eastAsia" w:ascii="方正魏碑_GBK" w:hAnsi="方正魏碑_GBK" w:eastAsia="方正魏碑_GBK" w:cs="方正魏碑_GBK"/>
          <w:b/>
          <w:bCs/>
          <w:color w:val="ff0000"/>
          <w:sz w:val="24"/>
          <w:szCs w:val="24"/>
        </w:rPr>
      </w:pPr>
      <w:r>
        <w:rPr>
          <w:rFonts w:hint="eastAsia" w:ascii="方正魏碑_GBK" w:hAnsi="方正魏碑_GBK" w:eastAsia="方正魏碑_GBK" w:cs="方正魏碑_GBK"/>
          <w:b/>
          <w:bCs/>
          <w:color w:val="ff0000"/>
          <w:sz w:val="24"/>
          <w:szCs w:val="24"/>
        </w:rPr>
      </w:r>
      <w:r>
        <w:rPr>
          <w:rFonts w:hint="eastAsia" w:ascii="方正魏碑_GBK" w:hAnsi="方正魏碑_GBK" w:eastAsia="方正魏碑_GBK" w:cs="方正魏碑_GBK"/>
          <w:b/>
          <w:bCs/>
          <w:color w:val="ff0000"/>
          <w:sz w:val="24"/>
          <w:szCs w:val="24"/>
        </w:rPr>
      </w:r>
    </w:p>
    <w:p>
      <w:pPr>
        <w:jc w:val="center"/>
        <w:rPr>
          <w:rFonts w:hint="eastAsia" w:ascii="方正魏碑_GBK" w:hAnsi="方正魏碑_GBK" w:eastAsia="方正魏碑_GBK" w:cs="方正魏碑_GBK"/>
          <w:b/>
          <w:bCs/>
          <w:color w:val="ff0000"/>
          <w:sz w:val="24"/>
          <w:szCs w:val="24"/>
        </w:rPr>
      </w:pPr>
      <w:r>
        <w:rPr>
          <w:rFonts w:hint="eastAsia" w:ascii="方正魏碑_GBK" w:hAnsi="方正魏碑_GBK" w:eastAsia="方正魏碑_GBK" w:cs="方正魏碑_GBK"/>
          <w:b/>
          <w:bCs/>
          <w:color w:val="ff0000"/>
          <w:sz w:val="24"/>
          <w:szCs w:val="24"/>
        </w:rPr>
      </w:r>
      <w:r>
        <w:rPr>
          <w:rFonts w:hint="eastAsia" w:ascii="方正魏碑_GBK" w:hAnsi="方正魏碑_GBK" w:eastAsia="方正魏碑_GBK" w:cs="方正魏碑_GBK"/>
          <w:b/>
          <w:bCs/>
          <w:color w:val="ff0000"/>
          <w:sz w:val="24"/>
          <w:szCs w:val="24"/>
        </w:rPr>
      </w:r>
    </w:p>
    <w:p>
      <w:pPr>
        <w:jc w:val="center"/>
        <w:rPr>
          <w:rFonts w:hint="eastAsia" w:ascii="方正魏碑_GBK" w:hAnsi="方正魏碑_GBK" w:eastAsia="方正魏碑_GBK" w:cs="方正魏碑_GBK"/>
          <w:b/>
          <w:bCs/>
          <w:color w:val="ff0000"/>
          <w:sz w:val="24"/>
          <w:szCs w:val="24"/>
        </w:rPr>
      </w:pPr>
      <w:r>
        <w:rPr>
          <w:rFonts w:hint="eastAsia" w:ascii="方正魏碑_GBK" w:hAnsi="方正魏碑_GBK" w:eastAsia="方正魏碑_GBK" w:cs="方正魏碑_GBK"/>
          <w:b/>
          <w:bCs/>
          <w:color w:val="ff0000"/>
          <w:sz w:val="24"/>
          <w:szCs w:val="24"/>
        </w:rPr>
      </w:r>
      <w:r>
        <w:rPr>
          <w:rFonts w:hint="eastAsia" w:ascii="方正魏碑_GBK" w:hAnsi="方正魏碑_GBK" w:eastAsia="方正魏碑_GBK" w:cs="方正魏碑_GBK"/>
          <w:b/>
          <w:bCs/>
          <w:color w:val="ff0000"/>
          <w:sz w:val="24"/>
          <w:szCs w:val="24"/>
        </w:rPr>
      </w:r>
    </w:p>
    <w:p>
      <w:pPr>
        <w:jc w:val="center"/>
        <w:rPr>
          <w:rFonts w:hint="eastAsia" w:ascii="方正魏碑_GBK" w:hAnsi="方正魏碑_GBK" w:eastAsia="方正魏碑_GBK" w:cs="方正魏碑_GBK"/>
          <w:b/>
          <w:bCs/>
          <w:color w:val="ff0000"/>
          <w:sz w:val="24"/>
          <w:szCs w:val="24"/>
        </w:rPr>
      </w:pPr>
      <w:r>
        <w:rPr>
          <w:rFonts w:hint="eastAsia" w:ascii="方正魏碑_GBK" w:hAnsi="方正魏碑_GBK" w:eastAsia="方正魏碑_GBK" w:cs="方正魏碑_GBK"/>
          <w:b/>
          <w:bCs/>
          <w:color w:val="ff0000"/>
          <w:sz w:val="24"/>
          <w:szCs w:val="24"/>
        </w:rPr>
      </w:r>
      <w:r>
        <w:rPr>
          <w:rFonts w:hint="eastAsia" w:ascii="方正魏碑_GBK" w:hAnsi="方正魏碑_GBK" w:eastAsia="方正魏碑_GBK" w:cs="方正魏碑_GBK"/>
          <w:b/>
          <w:bCs/>
          <w:color w:val="ff0000"/>
          <w:sz w:val="24"/>
          <w:szCs w:val="24"/>
        </w:rPr>
      </w:r>
    </w:p>
    <w:p>
      <w:pPr>
        <w:jc w:val="center"/>
        <w:rPr>
          <w:rFonts w:hint="eastAsia" w:ascii="方正魏碑_GBK" w:hAnsi="方正魏碑_GBK" w:eastAsia="方正魏碑_GBK" w:cs="方正魏碑_GBK"/>
          <w:b/>
          <w:bCs/>
          <w:color w:val="ff0000"/>
          <w:sz w:val="24"/>
          <w:szCs w:val="24"/>
        </w:rPr>
      </w:pPr>
      <w:r>
        <w:rPr>
          <w:rFonts w:hint="eastAsia" w:ascii="方正魏碑_GBK" w:hAnsi="方正魏碑_GBK" w:eastAsia="方正魏碑_GBK" w:cs="方正魏碑_GBK"/>
          <w:b/>
          <w:bCs/>
          <w:color w:val="ff0000"/>
          <w:sz w:val="24"/>
          <w:szCs w:val="24"/>
        </w:rPr>
      </w:r>
      <w:r>
        <w:rPr>
          <w:rFonts w:hint="eastAsia" w:ascii="方正魏碑_GBK" w:hAnsi="方正魏碑_GBK" w:eastAsia="方正魏碑_GBK" w:cs="方正魏碑_GBK"/>
          <w:b/>
          <w:bCs/>
          <w:color w:val="ff0000"/>
          <w:sz w:val="24"/>
          <w:szCs w:val="24"/>
        </w:rPr>
      </w:r>
    </w:p>
    <w:p>
      <w:pPr>
        <w:jc w:val="center"/>
        <w:rPr>
          <w:rFonts w:hint="eastAsia" w:ascii="方正魏碑_GBK" w:hAnsi="方正魏碑_GBK" w:eastAsia="方正魏碑_GBK" w:cs="方正魏碑_GBK"/>
          <w:b/>
          <w:bCs/>
          <w:color w:val="ff0000"/>
          <w:sz w:val="24"/>
          <w:szCs w:val="24"/>
        </w:rPr>
      </w:pPr>
      <w:r>
        <w:rPr>
          <w:rFonts w:hint="eastAsia" w:ascii="方正魏碑_GBK" w:hAnsi="方正魏碑_GBK" w:eastAsia="方正魏碑_GBK" w:cs="方正魏碑_GBK"/>
          <w:b/>
          <w:bCs/>
          <w:color w:val="ff0000"/>
          <w:sz w:val="24"/>
          <w:szCs w:val="24"/>
        </w:rPr>
      </w:r>
      <w:r>
        <w:rPr>
          <w:rFonts w:hint="eastAsia" w:ascii="方正魏碑_GBK" w:hAnsi="方正魏碑_GBK" w:eastAsia="方正魏碑_GBK" w:cs="方正魏碑_GBK"/>
          <w:b/>
          <w:bCs/>
          <w:color w:val="ff0000"/>
          <w:sz w:val="24"/>
          <w:szCs w:val="24"/>
        </w:rPr>
      </w:r>
    </w:p>
    <w:p>
      <w:pPr>
        <w:jc w:val="center"/>
        <w:rPr>
          <w:rFonts w:hint="eastAsia" w:ascii="方正魏碑_GBK" w:hAnsi="方正魏碑_GBK" w:eastAsia="方正魏碑_GBK" w:cs="方正魏碑_GBK"/>
          <w:b/>
          <w:bCs/>
          <w:color w:val="ff0000"/>
          <w:sz w:val="24"/>
          <w:szCs w:val="24"/>
        </w:rPr>
      </w:pPr>
      <w:r>
        <w:rPr>
          <w:rFonts w:hint="eastAsia" w:ascii="方正魏碑_GBK" w:hAnsi="方正魏碑_GBK" w:eastAsia="方正魏碑_GBK" w:cs="方正魏碑_GBK"/>
          <w:b/>
          <w:bCs/>
          <w:color w:val="ff0000"/>
          <w:sz w:val="24"/>
          <w:szCs w:val="24"/>
        </w:rPr>
      </w:r>
      <w:r>
        <w:rPr>
          <w:rFonts w:hint="eastAsia" w:ascii="方正魏碑_GBK" w:hAnsi="方正魏碑_GBK" w:eastAsia="方正魏碑_GBK" w:cs="方正魏碑_GBK"/>
          <w:b/>
          <w:bCs/>
          <w:color w:val="ff0000"/>
          <w:sz w:val="24"/>
          <w:szCs w:val="24"/>
        </w:rPr>
      </w:r>
    </w:p>
    <w:p>
      <w:pPr>
        <w:jc w:val="center"/>
        <w:rPr>
          <w:rFonts w:hint="eastAsia" w:ascii="方正魏碑_GBK" w:hAnsi="方正魏碑_GBK" w:eastAsia="方正魏碑_GBK" w:cs="方正魏碑_GBK"/>
          <w:b/>
          <w:bCs/>
          <w:color w:val="ff0000"/>
          <w:sz w:val="24"/>
          <w:szCs w:val="24"/>
        </w:rPr>
      </w:pPr>
      <w:r>
        <w:rPr>
          <w:rFonts w:hint="eastAsia" w:ascii="方正魏碑_GBK" w:hAnsi="方正魏碑_GBK" w:eastAsia="方正魏碑_GBK" w:cs="方正魏碑_GBK"/>
          <w:b/>
          <w:bCs/>
          <w:color w:val="ff0000"/>
          <w:sz w:val="24"/>
          <w:szCs w:val="24"/>
        </w:rPr>
      </w:r>
      <w:r>
        <w:rPr>
          <w:rFonts w:hint="eastAsia" w:ascii="方正魏碑_GBK" w:hAnsi="方正魏碑_GBK" w:eastAsia="方正魏碑_GBK" w:cs="方正魏碑_GBK"/>
          <w:b/>
          <w:bCs/>
          <w:color w:val="ff0000"/>
          <w:sz w:val="24"/>
          <w:szCs w:val="24"/>
        </w:rPr>
      </w:r>
    </w:p>
    <w:p>
      <w:pPr>
        <w:jc w:val="center"/>
        <w:rPr>
          <w:rFonts w:hint="eastAsia" w:ascii="方正魏碑_GBK" w:hAnsi="方正魏碑_GBK" w:eastAsia="方正魏碑_GBK" w:cs="方正魏碑_GBK"/>
          <w:b/>
          <w:bCs/>
          <w:color w:val="ff0000"/>
          <w:sz w:val="24"/>
          <w:szCs w:val="24"/>
        </w:rPr>
      </w:pPr>
      <w:r>
        <w:rPr>
          <w:rFonts w:hint="eastAsia" w:ascii="方正魏碑_GBK" w:hAnsi="方正魏碑_GBK" w:eastAsia="方正魏碑_GBK" w:cs="方正魏碑_GBK"/>
          <w:b/>
          <w:bCs/>
          <w:color w:val="ff0000"/>
          <w:sz w:val="24"/>
          <w:szCs w:val="24"/>
        </w:rPr>
      </w:r>
      <w:r>
        <w:rPr>
          <w:rFonts w:hint="eastAsia" w:ascii="方正魏碑_GBK" w:hAnsi="方正魏碑_GBK" w:eastAsia="方正魏碑_GBK" w:cs="方正魏碑_GBK"/>
          <w:b/>
          <w:bCs/>
          <w:color w:val="ff0000"/>
          <w:sz w:val="24"/>
          <w:szCs w:val="24"/>
        </w:rPr>
      </w:r>
    </w:p>
    <w:p>
      <w:pPr>
        <w:jc w:val="center"/>
        <w:rPr>
          <w:rFonts w:hint="eastAsia" w:ascii="方正魏碑_GBK" w:hAnsi="方正魏碑_GBK" w:eastAsia="方正魏碑_GBK" w:cs="方正魏碑_GBK"/>
          <w:b/>
          <w:bCs/>
          <w:color w:val="ff0000"/>
          <w:sz w:val="24"/>
          <w:szCs w:val="24"/>
        </w:rPr>
      </w:pPr>
      <w:r>
        <w:rPr>
          <w:rFonts w:hint="eastAsia" w:ascii="方正魏碑_GBK" w:hAnsi="方正魏碑_GBK" w:eastAsia="方正魏碑_GBK" w:cs="方正魏碑_GBK"/>
          <w:b/>
          <w:bCs/>
          <w:color w:val="ff0000"/>
          <w:sz w:val="24"/>
          <w:szCs w:val="24"/>
        </w:rPr>
      </w:r>
      <w:r>
        <w:rPr>
          <w:rFonts w:hint="eastAsia" w:ascii="方正魏碑_GBK" w:hAnsi="方正魏碑_GBK" w:eastAsia="方正魏碑_GBK" w:cs="方正魏碑_GBK"/>
          <w:b/>
          <w:bCs/>
          <w:color w:val="ff0000"/>
          <w:sz w:val="24"/>
          <w:szCs w:val="24"/>
        </w:rPr>
      </w:r>
    </w:p>
    <w:p>
      <w:pPr>
        <w:jc w:val="center"/>
        <w:rPr>
          <w:rFonts w:hint="eastAsia" w:ascii="方正魏碑_GBK" w:hAnsi="方正魏碑_GBK" w:eastAsia="方正魏碑_GBK" w:cs="方正魏碑_GBK"/>
          <w:b/>
          <w:bCs/>
          <w:color w:val="ff0000"/>
          <w:sz w:val="24"/>
          <w:szCs w:val="24"/>
        </w:rPr>
      </w:pPr>
      <w:r>
        <w:rPr>
          <w:rFonts w:hint="eastAsia" w:ascii="方正魏碑_GBK" w:hAnsi="方正魏碑_GBK" w:eastAsia="方正魏碑_GBK" w:cs="方正魏碑_GBK"/>
          <w:b/>
          <w:bCs/>
          <w:color w:val="ff0000"/>
          <w:sz w:val="24"/>
          <w:szCs w:val="24"/>
        </w:rPr>
      </w:r>
      <w:r>
        <w:rPr>
          <w:rFonts w:hint="eastAsia" w:ascii="方正魏碑_GBK" w:hAnsi="方正魏碑_GBK" w:eastAsia="方正魏碑_GBK" w:cs="方正魏碑_GBK"/>
          <w:b/>
          <w:bCs/>
          <w:color w:val="ff0000"/>
          <w:sz w:val="24"/>
          <w:szCs w:val="24"/>
        </w:rPr>
      </w:r>
    </w:p>
    <w:p>
      <w:pPr>
        <w:jc w:val="center"/>
        <w:rPr>
          <w:rFonts w:hint="eastAsia" w:ascii="方正魏碑_GBK" w:hAnsi="方正魏碑_GBK" w:eastAsia="方正魏碑_GBK" w:cs="方正魏碑_GBK"/>
          <w:b/>
          <w:bCs/>
          <w:color w:val="ff0000"/>
          <w:sz w:val="24"/>
          <w:szCs w:val="24"/>
        </w:rPr>
      </w:pPr>
      <w:r>
        <w:rPr>
          <w:rFonts w:hint="eastAsia" w:ascii="方正魏碑_GBK" w:hAnsi="方正魏碑_GBK" w:eastAsia="方正魏碑_GBK" w:cs="方正魏碑_GBK"/>
          <w:b/>
          <w:bCs/>
          <w:color w:val="ff0000"/>
          <w:sz w:val="24"/>
          <w:szCs w:val="24"/>
        </w:rPr>
      </w:r>
      <w:r>
        <w:rPr>
          <w:rFonts w:hint="eastAsia" w:ascii="方正魏碑_GBK" w:hAnsi="方正魏碑_GBK" w:eastAsia="方正魏碑_GBK" w:cs="方正魏碑_GBK"/>
          <w:b/>
          <w:bCs/>
          <w:color w:val="ff0000"/>
          <w:sz w:val="24"/>
          <w:szCs w:val="24"/>
        </w:rPr>
      </w:r>
    </w:p>
    <w:p>
      <w:pPr>
        <w:jc w:val="center"/>
        <w:rPr>
          <w:rFonts w:hint="eastAsia" w:ascii="方正魏碑_GBK" w:hAnsi="方正魏碑_GBK" w:eastAsia="方正魏碑_GBK" w:cs="方正魏碑_GBK"/>
          <w:b/>
          <w:bCs/>
          <w:color w:val="ff0000"/>
          <w:sz w:val="24"/>
          <w:szCs w:val="24"/>
        </w:rPr>
      </w:pPr>
      <w:r>
        <w:rPr>
          <w:rFonts w:hint="eastAsia" w:ascii="方正魏碑_GBK" w:hAnsi="方正魏碑_GBK" w:eastAsia="方正魏碑_GBK" w:cs="方正魏碑_GBK"/>
          <w:b/>
          <w:bCs/>
          <w:color w:val="ff0000"/>
          <w:sz w:val="24"/>
          <w:szCs w:val="24"/>
        </w:rPr>
      </w:r>
      <w:r>
        <w:rPr>
          <w:rFonts w:hint="eastAsia" w:ascii="方正魏碑_GBK" w:hAnsi="方正魏碑_GBK" w:eastAsia="方正魏碑_GBK" w:cs="方正魏碑_GBK"/>
          <w:b/>
          <w:bCs/>
          <w:color w:val="ff0000"/>
          <w:sz w:val="24"/>
          <w:szCs w:val="24"/>
        </w:rPr>
      </w:r>
    </w:p>
    <w:p>
      <w:pPr>
        <w:jc w:val="center"/>
        <w:rPr>
          <w:rFonts w:hint="eastAsia" w:ascii="方正魏碑_GBK" w:hAnsi="方正魏碑_GBK" w:eastAsia="方正魏碑_GBK" w:cs="方正魏碑_GBK"/>
          <w:b/>
          <w:bCs/>
          <w:color w:val="ff0000"/>
          <w:sz w:val="24"/>
          <w:szCs w:val="24"/>
        </w:rPr>
      </w:pPr>
      <w:r>
        <w:rPr>
          <w:rFonts w:hint="eastAsia" w:ascii="方正魏碑_GBK" w:hAnsi="方正魏碑_GBK" w:eastAsia="方正魏碑_GBK" w:cs="方正魏碑_GBK"/>
          <w:b/>
          <w:bCs/>
          <w:color w:val="ff0000"/>
          <w:sz w:val="24"/>
          <w:szCs w:val="24"/>
        </w:rPr>
      </w:r>
      <w:r>
        <w:rPr>
          <w:rFonts w:hint="eastAsia" w:ascii="方正魏碑_GBK" w:hAnsi="方正魏碑_GBK" w:eastAsia="方正魏碑_GBK" w:cs="方正魏碑_GBK"/>
          <w:b/>
          <w:bCs/>
          <w:color w:val="ff0000"/>
          <w:sz w:val="24"/>
          <w:szCs w:val="24"/>
        </w:rPr>
      </w:r>
    </w:p>
    <w:p>
      <w:pPr>
        <w:jc w:val="center"/>
        <w:rPr>
          <w:rFonts w:hint="eastAsia" w:ascii="方正魏碑_GBK" w:hAnsi="方正魏碑_GBK" w:eastAsia="方正魏碑_GBK" w:cs="方正魏碑_GBK"/>
          <w:b/>
          <w:bCs/>
          <w:color w:val="ff0000"/>
          <w:sz w:val="24"/>
          <w:szCs w:val="24"/>
        </w:rPr>
      </w:pPr>
      <w:r>
        <w:rPr>
          <w:rFonts w:hint="eastAsia" w:ascii="方正魏碑_GBK" w:hAnsi="方正魏碑_GBK" w:eastAsia="方正魏碑_GBK" w:cs="方正魏碑_GBK"/>
          <w:b/>
          <w:bCs/>
          <w:color w:val="ff0000"/>
          <w:sz w:val="24"/>
          <w:szCs w:val="24"/>
        </w:rPr>
      </w:r>
      <w:r>
        <w:rPr>
          <w:rFonts w:hint="eastAsia" w:ascii="方正魏碑_GBK" w:hAnsi="方正魏碑_GBK" w:eastAsia="方正魏碑_GBK" w:cs="方正魏碑_GBK"/>
          <w:b/>
          <w:bCs/>
          <w:color w:val="ff0000"/>
          <w:sz w:val="24"/>
          <w:szCs w:val="24"/>
        </w:rPr>
      </w:r>
    </w:p>
    <w:p>
      <w:pPr>
        <w:jc w:val="center"/>
        <w:rPr>
          <w:rFonts w:hint="eastAsia" w:ascii="方正魏碑_GBK" w:hAnsi="方正魏碑_GBK" w:eastAsia="方正魏碑_GBK" w:cs="方正魏碑_GBK"/>
          <w:b/>
          <w:bCs/>
          <w:color w:val="ff0000"/>
          <w:sz w:val="24"/>
          <w:szCs w:val="24"/>
        </w:rPr>
      </w:pPr>
      <w:r>
        <w:rPr>
          <w:rFonts w:hint="eastAsia" w:ascii="方正魏碑_GBK" w:hAnsi="方正魏碑_GBK" w:eastAsia="方正魏碑_GBK" w:cs="方正魏碑_GBK"/>
          <w:b/>
          <w:bCs/>
          <w:color w:val="ff0000"/>
          <w:sz w:val="24"/>
          <w:szCs w:val="24"/>
        </w:rPr>
      </w:r>
      <w:r>
        <w:rPr>
          <w:rFonts w:hint="eastAsia" w:ascii="方正魏碑_GBK" w:hAnsi="方正魏碑_GBK" w:eastAsia="方正魏碑_GBK" w:cs="方正魏碑_GBK"/>
          <w:b/>
          <w:bCs/>
          <w:color w:val="ff0000"/>
          <w:sz w:val="24"/>
          <w:szCs w:val="24"/>
        </w:rPr>
      </w:r>
    </w:p>
    <w:p>
      <w:pPr>
        <w:jc w:val="center"/>
        <w:rPr>
          <w:rFonts w:hint="eastAsia" w:ascii="方正魏碑_GBK" w:hAnsi="方正魏碑_GBK" w:eastAsia="方正魏碑_GBK" w:cs="方正魏碑_GBK"/>
          <w:b/>
          <w:bCs/>
          <w:color w:val="ff0000"/>
          <w:sz w:val="24"/>
          <w:szCs w:val="24"/>
        </w:rPr>
      </w:pPr>
      <w:r>
        <w:rPr>
          <w:rFonts w:hint="eastAsia" w:ascii="方正魏碑_GBK" w:hAnsi="方正魏碑_GBK" w:eastAsia="方正魏碑_GBK" w:cs="方正魏碑_GBK"/>
          <w:b/>
          <w:bCs/>
          <w:color w:val="ff0000"/>
          <w:sz w:val="24"/>
          <w:szCs w:val="24"/>
        </w:rPr>
      </w:r>
      <w:r>
        <w:rPr>
          <w:rFonts w:hint="eastAsia" w:ascii="方正魏碑_GBK" w:hAnsi="方正魏碑_GBK" w:eastAsia="方正魏碑_GBK" w:cs="方正魏碑_GBK"/>
          <w:b/>
          <w:bCs/>
          <w:color w:val="ff0000"/>
          <w:sz w:val="24"/>
          <w:szCs w:val="24"/>
        </w:rPr>
      </w:r>
    </w:p>
    <w:p>
      <w:pPr>
        <w:jc w:val="center"/>
        <w:rPr>
          <w:rFonts w:hint="eastAsia" w:ascii="方正魏碑_GBK" w:hAnsi="方正魏碑_GBK" w:eastAsia="方正魏碑_GBK" w:cs="方正魏碑_GBK"/>
          <w:b/>
          <w:bCs/>
          <w:color w:val="ff0000"/>
          <w:sz w:val="24"/>
          <w:szCs w:val="24"/>
        </w:rPr>
      </w:pPr>
      <w:r>
        <w:rPr>
          <w:rFonts w:hint="eastAsia" w:ascii="方正魏碑_GBK" w:hAnsi="方正魏碑_GBK" w:eastAsia="方正魏碑_GBK" w:cs="方正魏碑_GBK"/>
          <w:b/>
          <w:bCs/>
          <w:color w:val="ff0000"/>
          <w:sz w:val="24"/>
          <w:szCs w:val="24"/>
        </w:rPr>
      </w:r>
      <w:r>
        <w:rPr>
          <w:rFonts w:hint="eastAsia" w:ascii="方正魏碑_GBK" w:hAnsi="方正魏碑_GBK" w:eastAsia="方正魏碑_GBK" w:cs="方正魏碑_GBK"/>
          <w:b/>
          <w:bCs/>
          <w:color w:val="ff0000"/>
          <w:sz w:val="24"/>
          <w:szCs w:val="24"/>
        </w:rPr>
      </w:r>
    </w:p>
    <w:p>
      <w:pPr>
        <w:jc w:val="center"/>
        <w:rPr>
          <w:rFonts w:hint="eastAsia" w:ascii="方正魏碑_GBK" w:hAnsi="方正魏碑_GBK" w:eastAsia="方正魏碑_GBK" w:cs="方正魏碑_GBK"/>
          <w:b/>
          <w:bCs/>
          <w:color w:val="ff0000"/>
          <w:sz w:val="24"/>
          <w:szCs w:val="24"/>
        </w:rPr>
      </w:pPr>
      <w:r>
        <w:rPr>
          <w:rFonts w:hint="eastAsia" w:ascii="方正魏碑_GBK" w:hAnsi="方正魏碑_GBK" w:eastAsia="方正魏碑_GBK" w:cs="方正魏碑_GBK"/>
          <w:b/>
          <w:bCs/>
          <w:color w:val="ff0000"/>
          <w:sz w:val="24"/>
          <w:szCs w:val="24"/>
        </w:rPr>
      </w:r>
      <w:r>
        <w:rPr>
          <w:rFonts w:hint="eastAsia" w:ascii="方正魏碑_GBK" w:hAnsi="方正魏碑_GBK" w:eastAsia="方正魏碑_GBK" w:cs="方正魏碑_GBK"/>
          <w:b/>
          <w:bCs/>
          <w:color w:val="ff0000"/>
          <w:sz w:val="24"/>
          <w:szCs w:val="24"/>
        </w:rPr>
      </w:r>
    </w:p>
    <w:p>
      <w:pPr>
        <w:jc w:val="center"/>
        <w:rPr>
          <w:rFonts w:hint="eastAsia" w:ascii="方正魏碑_GBK" w:hAnsi="方正魏碑_GBK" w:eastAsia="方正魏碑_GBK" w:cs="方正魏碑_GBK"/>
          <w:b/>
          <w:bCs/>
          <w:color w:val="ff0000"/>
          <w:sz w:val="24"/>
          <w:szCs w:val="24"/>
        </w:rPr>
      </w:pPr>
      <w:r>
        <w:rPr>
          <w:rFonts w:hint="eastAsia" w:ascii="方正魏碑_GBK" w:hAnsi="方正魏碑_GBK" w:eastAsia="方正魏碑_GBK" w:cs="方正魏碑_GBK"/>
          <w:b/>
          <w:color w:val="ff0000"/>
          <w:sz w:val="24"/>
          <w:szCs w:val="24"/>
        </w:rPr>
      </w:r>
      <w:r/>
    </w:p>
    <w:p>
      <w:pPr>
        <w:spacing w:line="560" w:lineRule="exact"/>
        <w:rPr>
          <w:rFonts w:hint="eastAsia" w:ascii="楷体" w:hAnsi="楷体" w:eastAsia="楷体"/>
          <w:b/>
          <w:sz w:val="32"/>
          <w:szCs w:val="32"/>
        </w:rPr>
      </w:pPr>
      <w:r>
        <w:rPr>
          <w:rFonts w:hint="eastAsia" w:ascii="楷体" w:hAnsi="楷体" w:eastAsia="楷体"/>
          <w:b/>
          <w:sz w:val="32"/>
          <w:szCs w:val="32"/>
        </w:rPr>
        <w:t xml:space="preserve">附件十  关于符合本国产品标准的声明函（采购包号：**）</w:t>
      </w:r>
      <w:r/>
    </w:p>
    <w:p>
      <w:pPr>
        <w:pStyle w:val="1142"/>
        <w:ind w:firstLine="0"/>
        <w:rPr>
          <w:rFonts w:hint="eastAsia" w:ascii="仿宋" w:hAnsi="仿宋" w:eastAsia="仿宋"/>
          <w:color w:val="000000"/>
          <w:szCs w:val="28"/>
        </w:rPr>
      </w:pPr>
      <w:r>
        <w:rPr>
          <w:rFonts w:hint="eastAsia" w:ascii="仿宋" w:hAnsi="仿宋" w:eastAsia="仿宋"/>
          <w:color w:val="000000"/>
          <w:szCs w:val="28"/>
        </w:rPr>
      </w:r>
      <w:r/>
    </w:p>
    <w:p>
      <w:pPr>
        <w:pStyle w:val="1142"/>
        <w:rPr>
          <w:rFonts w:hint="eastAsia" w:ascii="仿宋" w:hAnsi="仿宋" w:eastAsia="仿宋"/>
          <w:color w:val="000000"/>
          <w:szCs w:val="28"/>
        </w:rPr>
      </w:pPr>
      <w:r>
        <w:rPr>
          <w:rFonts w:hint="eastAsia" w:ascii="仿宋" w:hAnsi="仿宋" w:eastAsia="仿宋"/>
          <w:color w:val="000000"/>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142"/>
        <w:rPr>
          <w:rFonts w:hint="eastAsia" w:ascii="仿宋" w:hAnsi="仿宋" w:eastAsia="仿宋"/>
          <w:color w:val="000000"/>
          <w:szCs w:val="28"/>
        </w:rPr>
      </w:pPr>
      <w:r>
        <w:rPr>
          <w:rFonts w:hint="eastAsia" w:ascii="仿宋" w:hAnsi="仿宋" w:eastAsia="仿宋"/>
          <w:color w:val="000000"/>
          <w:szCs w:val="28"/>
        </w:rPr>
        <w:t xml:space="preserve">1.（产品名称1）</w:t>
      </w:r>
      <w:r>
        <w:rPr>
          <w:rFonts w:hint="eastAsia" w:ascii="仿宋" w:hAnsi="仿宋" w:eastAsia="仿宋"/>
          <w:color w:val="000000"/>
          <w:szCs w:val="28"/>
          <w:vertAlign w:val="superscript"/>
        </w:rPr>
        <w:t xml:space="preserve">1</w:t>
      </w:r>
      <w:r>
        <w:rPr>
          <w:rFonts w:hint="eastAsia" w:ascii="仿宋" w:hAnsi="仿宋" w:eastAsia="仿宋"/>
          <w:color w:val="000000"/>
          <w:szCs w:val="28"/>
        </w:rPr>
        <w:t xml:space="preserve">，生产厂为（厂名）</w:t>
      </w:r>
      <w:r>
        <w:rPr>
          <w:rFonts w:hint="eastAsia" w:ascii="仿宋" w:hAnsi="仿宋" w:eastAsia="仿宋"/>
          <w:color w:val="000000"/>
          <w:szCs w:val="28"/>
          <w:vertAlign w:val="superscript"/>
        </w:rPr>
        <w:t xml:space="preserve">2</w:t>
      </w:r>
      <w:r>
        <w:rPr>
          <w:rFonts w:hint="eastAsia" w:ascii="仿宋" w:hAnsi="仿宋" w:eastAsia="仿宋"/>
          <w:color w:val="000000"/>
          <w:szCs w:val="28"/>
        </w:rPr>
        <w:t xml:space="preserve">，厂址为（生产厂址）。（产品名称1）的中国境内生产的组件成本占比≥（规定比例）</w:t>
      </w:r>
      <w:r>
        <w:rPr>
          <w:rFonts w:hint="eastAsia" w:ascii="仿宋" w:hAnsi="仿宋" w:eastAsia="仿宋"/>
          <w:color w:val="000000"/>
          <w:szCs w:val="28"/>
          <w:vertAlign w:val="superscript"/>
        </w:rPr>
        <w:t xml:space="preserve">3</w:t>
      </w:r>
      <w:r>
        <w:rPr>
          <w:rFonts w:hint="eastAsia" w:ascii="仿宋" w:hAnsi="仿宋" w:eastAsia="仿宋"/>
          <w:color w:val="000000"/>
          <w:szCs w:val="28"/>
        </w:rPr>
        <w:t xml:space="preserve">。（产品名称1）的（关键组件）</w:t>
      </w:r>
      <w:r>
        <w:rPr>
          <w:rFonts w:hint="eastAsia" w:ascii="仿宋" w:hAnsi="仿宋" w:eastAsia="仿宋"/>
          <w:color w:val="000000"/>
          <w:szCs w:val="28"/>
          <w:vertAlign w:val="superscript"/>
        </w:rPr>
        <w:t xml:space="preserve">4</w:t>
      </w:r>
      <w:r>
        <w:rPr>
          <w:rFonts w:hint="eastAsia" w:ascii="仿宋" w:hAnsi="仿宋" w:eastAsia="仿宋"/>
          <w:color w:val="000000"/>
          <w:szCs w:val="28"/>
        </w:rPr>
        <w:t xml:space="preserve">在中国境内生产。（产品名称1）的（关键工序）</w:t>
      </w:r>
      <w:r>
        <w:rPr>
          <w:rFonts w:hint="eastAsia" w:ascii="仿宋" w:hAnsi="仿宋" w:eastAsia="仿宋"/>
          <w:color w:val="000000"/>
          <w:szCs w:val="28"/>
          <w:vertAlign w:val="superscript"/>
        </w:rPr>
        <w:t xml:space="preserve">5</w:t>
      </w:r>
      <w:r>
        <w:rPr>
          <w:rFonts w:hint="eastAsia" w:ascii="仿宋" w:hAnsi="仿宋" w:eastAsia="仿宋"/>
          <w:color w:val="000000"/>
          <w:szCs w:val="28"/>
        </w:rPr>
        <w:t xml:space="preserve">在中国境内完成。</w:t>
      </w:r>
      <w:r/>
    </w:p>
    <w:p>
      <w:pPr>
        <w:pStyle w:val="1142"/>
        <w:rPr>
          <w:rFonts w:hint="eastAsia" w:ascii="仿宋" w:hAnsi="仿宋" w:eastAsia="仿宋"/>
          <w:color w:val="000000"/>
          <w:szCs w:val="28"/>
        </w:rPr>
      </w:pPr>
      <w:r>
        <w:rPr>
          <w:rFonts w:hint="eastAsia" w:ascii="仿宋" w:hAnsi="仿宋" w:eastAsia="仿宋"/>
          <w:color w:val="000000"/>
          <w:szCs w:val="28"/>
        </w:rPr>
        <w:t xml:space="preserve">2.（产品名称2），生产厂为（厂名），厂址为（生产厂址）。（产品名称2）的中国境内生产的组件成本占比≥（规定比例）。（产品名称2）的（关键组件）在中国境内生产。（产品名称2）的（关键工序）在中国境内完成。</w:t>
      </w:r>
      <w:r/>
    </w:p>
    <w:p>
      <w:pPr>
        <w:pStyle w:val="1142"/>
        <w:rPr>
          <w:rFonts w:hint="eastAsia" w:ascii="仿宋" w:hAnsi="仿宋" w:eastAsia="仿宋"/>
          <w:color w:val="000000"/>
          <w:szCs w:val="28"/>
        </w:rPr>
      </w:pPr>
      <w:r>
        <w:rPr>
          <w:rFonts w:hint="eastAsia" w:ascii="仿宋" w:hAnsi="仿宋" w:eastAsia="仿宋"/>
          <w:color w:val="000000"/>
          <w:szCs w:val="28"/>
        </w:rPr>
        <w:t xml:space="preserve">……</w:t>
      </w:r>
      <w:r/>
    </w:p>
    <w:p>
      <w:pPr>
        <w:pStyle w:val="1142"/>
        <w:rPr>
          <w:rFonts w:hint="eastAsia" w:ascii="仿宋" w:hAnsi="仿宋" w:eastAsia="仿宋"/>
          <w:color w:val="000000"/>
          <w:szCs w:val="28"/>
        </w:rPr>
      </w:pPr>
      <w:r>
        <w:rPr>
          <w:rFonts w:hint="eastAsia" w:ascii="仿宋" w:hAnsi="仿宋" w:eastAsia="仿宋"/>
          <w:color w:val="000000"/>
          <w:szCs w:val="28"/>
        </w:rPr>
        <w:t xml:space="preserve">本公司（单位）对上述声明内容的真实性负责。如有虚假，愿承担相应法律责任。</w:t>
      </w:r>
      <w:r/>
    </w:p>
    <w:p>
      <w:pPr>
        <w:pStyle w:val="1142"/>
        <w:jc w:val="right"/>
        <w:rPr>
          <w:rFonts w:hint="eastAsia" w:ascii="仿宋" w:hAnsi="仿宋" w:eastAsia="仿宋"/>
          <w:color w:val="000000"/>
          <w:szCs w:val="28"/>
        </w:rPr>
      </w:pPr>
      <w:r>
        <w:rPr>
          <w:rFonts w:hint="eastAsia" w:ascii="仿宋" w:hAnsi="仿宋" w:eastAsia="仿宋"/>
          <w:color w:val="000000"/>
          <w:szCs w:val="28"/>
        </w:rPr>
        <w:t xml:space="preserve">公司（单位）名称（盖章）：      </w:t>
      </w:r>
      <w:r/>
    </w:p>
    <w:p>
      <w:pPr>
        <w:pStyle w:val="1142"/>
        <w:jc w:val="right"/>
        <w:rPr>
          <w:rFonts w:hint="eastAsia" w:ascii="仿宋" w:hAnsi="仿宋" w:eastAsia="仿宋"/>
          <w:color w:val="000000"/>
          <w:szCs w:val="28"/>
        </w:rPr>
      </w:pPr>
      <w:r>
        <w:rPr>
          <w:rFonts w:hint="eastAsia" w:ascii="仿宋" w:hAnsi="仿宋" w:eastAsia="仿宋"/>
          <w:color w:val="000000"/>
          <w:szCs w:val="28"/>
        </w:rPr>
        <w:t xml:space="preserve">日期：　　年　　月　日    </w:t>
      </w:r>
      <w:r/>
    </w:p>
    <w:p>
      <w:pPr>
        <w:pStyle w:val="1142"/>
        <w:rPr>
          <w:rFonts w:hint="eastAsia" w:ascii="仿宋" w:hAnsi="仿宋" w:eastAsia="仿宋"/>
          <w:color w:val="000000"/>
          <w:szCs w:val="28"/>
        </w:rPr>
      </w:pPr>
      <w:r>
        <w:rPr>
          <w:rFonts w:hint="eastAsia" w:ascii="仿宋" w:hAnsi="仿宋" w:eastAsia="仿宋"/>
          <w:color w:val="000000"/>
          <w:szCs w:val="28"/>
        </w:rPr>
      </w:r>
      <w:r/>
    </w:p>
    <w:p>
      <w:pPr>
        <w:pStyle w:val="1142"/>
        <w:rPr>
          <w:rFonts w:hint="eastAsia" w:ascii="仿宋" w:hAnsi="仿宋" w:eastAsia="仿宋"/>
          <w:color w:val="000000"/>
          <w:szCs w:val="28"/>
        </w:rPr>
      </w:pPr>
      <w:r>
        <w:rPr>
          <w:rFonts w:hint="eastAsia" w:ascii="仿宋" w:hAnsi="仿宋" w:eastAsia="仿宋"/>
          <w:color w:val="000000"/>
          <w:szCs w:val="28"/>
        </w:rPr>
      </w:r>
      <w:r/>
    </w:p>
    <w:p>
      <w:pPr>
        <w:pStyle w:val="1142"/>
        <w:rPr>
          <w:rFonts w:hint="eastAsia" w:ascii="仿宋" w:hAnsi="仿宋" w:eastAsia="仿宋"/>
          <w:color w:val="000000"/>
          <w:szCs w:val="28"/>
        </w:rPr>
      </w:pPr>
      <w:r>
        <w:rPr>
          <w:rFonts w:hint="eastAsia" w:ascii="仿宋" w:hAnsi="仿宋" w:eastAsia="仿宋"/>
          <w:color w:val="000000"/>
          <w:szCs w:val="28"/>
        </w:rPr>
        <w:t xml:space="preserve">_____________________________</w:t>
      </w:r>
      <w:r/>
    </w:p>
    <w:p>
      <w:pPr>
        <w:pStyle w:val="1142"/>
        <w:rPr>
          <w:rFonts w:hint="eastAsia" w:ascii="仿宋" w:hAnsi="仿宋" w:eastAsia="仿宋"/>
          <w:color w:val="000000"/>
          <w:szCs w:val="28"/>
        </w:rPr>
      </w:pPr>
      <w:r>
        <w:rPr>
          <w:rFonts w:hint="eastAsia" w:ascii="仿宋" w:hAnsi="仿宋" w:eastAsia="仿宋"/>
          <w:color w:val="000000"/>
          <w:szCs w:val="28"/>
        </w:rPr>
        <w:t xml:space="preserve">1.产品如有型号，请在“产品名称”栏一并填写。</w:t>
      </w:r>
      <w:r/>
    </w:p>
    <w:p>
      <w:pPr>
        <w:pStyle w:val="1142"/>
        <w:rPr>
          <w:rFonts w:hint="eastAsia" w:ascii="仿宋" w:hAnsi="仿宋" w:eastAsia="仿宋"/>
          <w:color w:val="000000"/>
          <w:szCs w:val="28"/>
        </w:rPr>
      </w:pPr>
      <w:r>
        <w:rPr>
          <w:rFonts w:hint="eastAsia" w:ascii="仿宋" w:hAnsi="仿宋" w:eastAsia="仿宋"/>
          <w:color w:val="000000"/>
          <w:szCs w:val="28"/>
        </w:rPr>
        <w:t xml:space="preserve">2.生产厂名与厂址应与生产厂营业执照载明的相关信息保持一致。</w:t>
      </w:r>
      <w:r/>
    </w:p>
    <w:p>
      <w:pPr>
        <w:pStyle w:val="1142"/>
        <w:rPr>
          <w:rFonts w:hint="eastAsia" w:ascii="仿宋" w:hAnsi="仿宋" w:eastAsia="仿宋"/>
          <w:color w:val="000000"/>
          <w:szCs w:val="28"/>
        </w:rPr>
      </w:pPr>
      <w:r>
        <w:rPr>
          <w:rFonts w:hint="eastAsia" w:ascii="仿宋" w:hAnsi="仿宋" w:eastAsia="仿宋"/>
          <w:color w:val="000000"/>
          <w:szCs w:val="28"/>
        </w:rPr>
        <w:t xml:space="preserve">3.该产品的中国境内生产的组件成本占比相关要求实施前，“规定比例”栏可不填，下同。</w:t>
      </w:r>
      <w:r/>
    </w:p>
    <w:p>
      <w:pPr>
        <w:pStyle w:val="1142"/>
        <w:rPr>
          <w:rFonts w:hint="eastAsia" w:ascii="仿宋" w:hAnsi="仿宋" w:eastAsia="仿宋"/>
          <w:color w:val="000000"/>
          <w:szCs w:val="28"/>
        </w:rPr>
      </w:pPr>
      <w:r>
        <w:rPr>
          <w:rFonts w:hint="eastAsia" w:ascii="仿宋" w:hAnsi="仿宋" w:eastAsia="仿宋"/>
          <w:color w:val="000000"/>
          <w:szCs w:val="28"/>
        </w:rPr>
        <w:t xml:space="preserve">4.该产品的关键组件要求实施前，“关键组件”栏可不填，下同。</w:t>
      </w:r>
      <w:r/>
    </w:p>
    <w:p>
      <w:pPr>
        <w:pStyle w:val="1142"/>
        <w:rPr>
          <w:rFonts w:hint="eastAsia" w:ascii="仿宋" w:hAnsi="仿宋" w:eastAsia="仿宋"/>
          <w:color w:val="000000"/>
          <w:szCs w:val="28"/>
        </w:rPr>
      </w:pPr>
      <w:r>
        <w:rPr>
          <w:rFonts w:hint="eastAsia" w:ascii="仿宋" w:hAnsi="仿宋" w:eastAsia="仿宋"/>
          <w:color w:val="000000"/>
          <w:szCs w:val="28"/>
        </w:rPr>
        <w:t xml:space="preserve">5.该产品的关键工序要求实施前，“关键工序”栏可不填，下同。</w:t>
      </w:r>
      <w:r/>
    </w:p>
    <w:p>
      <w:pPr>
        <w:pStyle w:val="1142"/>
      </w:pPr>
      <w:r/>
      <w:r/>
    </w:p>
    <w:p>
      <w:r/>
      <w:r/>
    </w:p>
    <w:p>
      <w:pPr>
        <w:jc w:val="left"/>
        <w:rPr>
          <w:rFonts w:hint="eastAsia" w:ascii="仿宋" w:hAnsi="仿宋" w:eastAsia="仿宋"/>
          <w:sz w:val="32"/>
          <w:szCs w:val="32"/>
        </w:rPr>
      </w:pPr>
      <w:r>
        <w:rPr>
          <w:rFonts w:hint="eastAsia" w:ascii="仿宋" w:hAnsi="仿宋" w:eastAsia="仿宋"/>
          <w:sz w:val="32"/>
          <w:szCs w:val="32"/>
        </w:rPr>
      </w:r>
      <w:r/>
    </w:p>
    <w:p>
      <w:pPr>
        <w:jc w:val="left"/>
        <w:rPr>
          <w:rFonts w:hint="eastAsia" w:ascii="仿宋" w:hAnsi="仿宋" w:eastAsia="仿宋" w:cs="仿宋"/>
          <w:bCs/>
          <w:sz w:val="44"/>
          <w:szCs w:val="44"/>
        </w:rPr>
      </w:pPr>
      <w:r>
        <w:rPr>
          <w:rFonts w:hint="eastAsia" w:ascii="仿宋" w:hAnsi="仿宋" w:eastAsia="仿宋"/>
          <w:sz w:val="32"/>
          <w:szCs w:val="32"/>
        </w:rPr>
        <w:t xml:space="preserve">附件十</w:t>
      </w:r>
      <w:r>
        <w:rPr>
          <w:rFonts w:hint="eastAsia" w:ascii="仿宋" w:hAnsi="仿宋" w:eastAsia="仿宋" w:cs="仿宋"/>
          <w:bCs/>
          <w:sz w:val="44"/>
          <w:szCs w:val="44"/>
        </w:rPr>
        <w:t xml:space="preserve">一            质疑函范本</w:t>
      </w:r>
      <w:r/>
    </w:p>
    <w:p>
      <w:pPr>
        <w:spacing w:before="287" w:line="360" w:lineRule="auto"/>
        <w:rPr>
          <w:rFonts w:hint="eastAsia" w:ascii="黑体" w:hAnsi="黑体" w:eastAsia="黑体" w:cs="仿宋"/>
          <w:bCs/>
          <w:sz w:val="32"/>
          <w:szCs w:val="32"/>
        </w:rPr>
      </w:pPr>
      <w:r>
        <w:rPr>
          <w:rFonts w:hint="eastAsia" w:ascii="黑体" w:hAnsi="黑体" w:eastAsia="黑体" w:cs="仿宋"/>
          <w:bCs/>
          <w:sz w:val="32"/>
          <w:szCs w:val="32"/>
        </w:rPr>
        <w:t xml:space="preserve">一、质疑供应商基本信息</w:t>
      </w:r>
      <w:r/>
    </w:p>
    <w:p>
      <w:pPr>
        <w:spacing w:line="360" w:lineRule="auto"/>
        <w:rPr>
          <w:rFonts w:hint="eastAsia" w:ascii="仿宋" w:hAnsi="仿宋" w:eastAsia="仿宋" w:cs="仿宋"/>
          <w:sz w:val="32"/>
          <w:szCs w:val="32"/>
          <w:u w:val="single"/>
        </w:rPr>
      </w:pPr>
      <w:r>
        <w:rPr>
          <w:rFonts w:hint="eastAsia" w:ascii="仿宋" w:hAnsi="仿宋" w:eastAsia="仿宋" w:cs="仿宋"/>
          <w:sz w:val="32"/>
          <w:szCs w:val="32"/>
        </w:rPr>
        <w:t xml:space="preserve">质疑供应商：</w:t>
      </w:r>
      <w:r>
        <w:rPr>
          <w:rFonts w:hint="eastAsia" w:ascii="仿宋" w:hAnsi="仿宋" w:eastAsia="仿宋" w:cs="仿宋"/>
          <w:sz w:val="32"/>
          <w:szCs w:val="32"/>
          <w:u w:val="single"/>
        </w:rPr>
        <w:t xml:space="preserve">                                        </w:t>
      </w:r>
      <w:r/>
    </w:p>
    <w:p>
      <w:pPr>
        <w:spacing w:line="360" w:lineRule="auto"/>
        <w:rPr>
          <w:rFonts w:hint="eastAsia" w:ascii="仿宋" w:hAnsi="仿宋" w:eastAsia="仿宋" w:cs="仿宋"/>
          <w:sz w:val="32"/>
          <w:szCs w:val="32"/>
        </w:rPr>
      </w:pPr>
      <w:r>
        <w:rPr>
          <w:rFonts w:hint="eastAsia" w:ascii="仿宋" w:hAnsi="仿宋" w:eastAsia="仿宋" w:cs="仿宋"/>
          <w:sz w:val="32"/>
          <w:szCs w:val="32"/>
        </w:rPr>
        <w:t xml:space="preserve">地址：</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邮编：</w:t>
      </w:r>
      <w:r>
        <w:rPr>
          <w:rFonts w:hint="eastAsia" w:ascii="仿宋" w:hAnsi="仿宋" w:eastAsia="仿宋" w:cs="仿宋"/>
          <w:sz w:val="32"/>
          <w:szCs w:val="32"/>
          <w:u w:val="single"/>
        </w:rPr>
        <w:t xml:space="preserve">                                                   </w:t>
      </w:r>
      <w:r/>
    </w:p>
    <w:p>
      <w:pPr>
        <w:spacing w:line="360" w:lineRule="auto"/>
        <w:rPr>
          <w:rFonts w:hint="eastAsia" w:ascii="仿宋" w:hAnsi="仿宋" w:eastAsia="仿宋" w:cs="仿宋"/>
          <w:sz w:val="32"/>
          <w:szCs w:val="32"/>
        </w:rPr>
      </w:pPr>
      <w:r>
        <w:rPr>
          <w:rFonts w:hint="eastAsia" w:ascii="仿宋" w:hAnsi="仿宋" w:eastAsia="仿宋" w:cs="仿宋"/>
          <w:sz w:val="32"/>
          <w:szCs w:val="32"/>
        </w:rPr>
        <w:t xml:space="preserve">联系人：</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联系电话：</w:t>
      </w:r>
      <w:r>
        <w:rPr>
          <w:rFonts w:hint="eastAsia" w:ascii="仿宋" w:hAnsi="仿宋" w:eastAsia="仿宋" w:cs="仿宋"/>
          <w:sz w:val="32"/>
          <w:szCs w:val="32"/>
          <w:u w:val="single"/>
        </w:rPr>
        <w:t xml:space="preserve">                              </w:t>
      </w:r>
      <w:r/>
    </w:p>
    <w:p>
      <w:pPr>
        <w:spacing w:line="360" w:lineRule="auto"/>
        <w:rPr>
          <w:rFonts w:hint="eastAsia" w:ascii="仿宋" w:hAnsi="仿宋" w:eastAsia="仿宋" w:cs="仿宋"/>
          <w:sz w:val="32"/>
          <w:szCs w:val="32"/>
          <w:u w:val="single"/>
        </w:rPr>
      </w:pPr>
      <w:r>
        <w:rPr>
          <w:rFonts w:hint="eastAsia" w:ascii="仿宋" w:hAnsi="仿宋" w:eastAsia="仿宋" w:cs="仿宋"/>
          <w:sz w:val="32"/>
          <w:szCs w:val="32"/>
        </w:rPr>
        <w:t xml:space="preserve">授权代表：</w:t>
      </w:r>
      <w:r>
        <w:rPr>
          <w:rFonts w:hint="eastAsia" w:ascii="仿宋" w:hAnsi="仿宋" w:eastAsia="仿宋" w:cs="仿宋"/>
          <w:sz w:val="32"/>
          <w:szCs w:val="32"/>
          <w:u w:val="single"/>
        </w:rPr>
        <w:t xml:space="preserve">                                          </w:t>
      </w:r>
      <w:r/>
    </w:p>
    <w:p>
      <w:pPr>
        <w:spacing w:line="360" w:lineRule="auto"/>
        <w:rPr>
          <w:rFonts w:hint="eastAsia" w:ascii="仿宋" w:hAnsi="仿宋" w:eastAsia="仿宋" w:cs="仿宋"/>
          <w:sz w:val="32"/>
          <w:szCs w:val="32"/>
        </w:rPr>
      </w:pPr>
      <w:r>
        <w:rPr>
          <w:rFonts w:hint="eastAsia" w:ascii="仿宋" w:hAnsi="仿宋" w:eastAsia="仿宋" w:cs="仿宋"/>
          <w:sz w:val="32"/>
          <w:szCs w:val="32"/>
        </w:rPr>
        <w:t xml:space="preserve">联系电话：</w:t>
      </w:r>
      <w:r>
        <w:rPr>
          <w:rFonts w:hint="eastAsia" w:ascii="仿宋" w:hAnsi="仿宋" w:eastAsia="仿宋" w:cs="仿宋"/>
          <w:sz w:val="32"/>
          <w:szCs w:val="32"/>
          <w:u w:val="single"/>
        </w:rPr>
        <w:t xml:space="preserve">                                           </w:t>
      </w:r>
      <w:r>
        <w:rPr>
          <w:rFonts w:ascii="仿宋" w:hAnsi="仿宋" w:eastAsia="仿宋" w:cs="仿宋"/>
          <w:sz w:val="32"/>
          <w:szCs w:val="32"/>
        </w:rPr>
        <w:t xml:space="preserve"> </w:t>
      </w:r>
      <w:r/>
    </w:p>
    <w:p>
      <w:pPr>
        <w:spacing w:line="360" w:lineRule="auto"/>
        <w:rPr>
          <w:rFonts w:hint="eastAsia" w:ascii="仿宋" w:hAnsi="仿宋" w:eastAsia="仿宋" w:cs="仿宋"/>
          <w:sz w:val="32"/>
          <w:szCs w:val="32"/>
        </w:rPr>
      </w:pPr>
      <w:r>
        <w:rPr>
          <w:rFonts w:hint="eastAsia" w:ascii="仿宋" w:hAnsi="仿宋" w:eastAsia="仿宋" w:cs="仿宋"/>
          <w:sz w:val="32"/>
          <w:szCs w:val="32"/>
        </w:rPr>
        <w:t xml:space="preserve">地址：</w:t>
      </w:r>
      <w:r>
        <w:rPr>
          <w:rFonts w:ascii="仿宋" w:hAnsi="仿宋" w:eastAsia="仿宋" w:cs="仿宋"/>
          <w:sz w:val="32"/>
          <w:szCs w:val="32"/>
        </w:rPr>
        <w:t xml:space="preserve"> </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邮编：</w:t>
      </w:r>
      <w:r>
        <w:rPr>
          <w:rFonts w:hint="eastAsia" w:ascii="仿宋" w:hAnsi="仿宋" w:eastAsia="仿宋" w:cs="仿宋"/>
          <w:sz w:val="32"/>
          <w:szCs w:val="32"/>
          <w:u w:val="single"/>
        </w:rPr>
        <w:t xml:space="preserve">                                                </w:t>
      </w:r>
      <w:r/>
    </w:p>
    <w:p>
      <w:pPr>
        <w:spacing w:line="360" w:lineRule="auto"/>
        <w:rPr>
          <w:rFonts w:hint="eastAsia" w:ascii="黑体" w:hAnsi="黑体" w:eastAsia="黑体" w:cs="仿宋"/>
          <w:bCs/>
          <w:sz w:val="32"/>
          <w:szCs w:val="32"/>
        </w:rPr>
      </w:pPr>
      <w:r>
        <w:rPr>
          <w:rFonts w:hint="eastAsia" w:ascii="黑体" w:hAnsi="黑体" w:eastAsia="黑体" w:cs="仿宋"/>
          <w:bCs/>
          <w:sz w:val="32"/>
          <w:szCs w:val="32"/>
        </w:rPr>
        <w:t xml:space="preserve">二、质疑项目基本情况</w:t>
      </w:r>
      <w:r/>
    </w:p>
    <w:p>
      <w:pPr>
        <w:spacing w:line="360" w:lineRule="auto"/>
        <w:rPr>
          <w:rFonts w:hint="eastAsia" w:ascii="仿宋" w:hAnsi="仿宋" w:eastAsia="仿宋" w:cs="仿宋"/>
          <w:sz w:val="32"/>
          <w:szCs w:val="32"/>
        </w:rPr>
      </w:pPr>
      <w:r>
        <w:rPr>
          <w:rFonts w:hint="eastAsia" w:ascii="仿宋" w:hAnsi="仿宋" w:eastAsia="仿宋" w:cs="仿宋"/>
          <w:sz w:val="32"/>
          <w:szCs w:val="32"/>
        </w:rPr>
        <w:t xml:space="preserve">质疑项目的名称：</w:t>
      </w:r>
      <w:r>
        <w:rPr>
          <w:rFonts w:hint="eastAsia" w:ascii="仿宋" w:hAnsi="仿宋" w:eastAsia="仿宋" w:cs="仿宋"/>
          <w:sz w:val="32"/>
          <w:szCs w:val="32"/>
          <w:u w:val="single"/>
        </w:rPr>
        <w:t xml:space="preserve">                                      </w:t>
      </w:r>
      <w:r/>
    </w:p>
    <w:p>
      <w:pPr>
        <w:spacing w:line="360" w:lineRule="auto"/>
        <w:rPr>
          <w:rFonts w:hint="eastAsia" w:ascii="仿宋" w:hAnsi="仿宋" w:eastAsia="仿宋" w:cs="仿宋"/>
          <w:sz w:val="32"/>
          <w:szCs w:val="32"/>
        </w:rPr>
      </w:pPr>
      <w:r>
        <w:rPr>
          <w:rFonts w:hint="eastAsia" w:ascii="仿宋" w:hAnsi="仿宋" w:eastAsia="仿宋" w:cs="仿宋"/>
          <w:sz w:val="32"/>
          <w:szCs w:val="32"/>
        </w:rPr>
        <w:t xml:space="preserve">质疑项目的编号：</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包号：</w:t>
      </w:r>
      <w:r>
        <w:rPr>
          <w:rFonts w:hint="eastAsia" w:ascii="仿宋" w:hAnsi="仿宋" w:eastAsia="仿宋" w:cs="仿宋"/>
          <w:sz w:val="32"/>
          <w:szCs w:val="32"/>
          <w:u w:val="single"/>
        </w:rPr>
        <w:t xml:space="preserve">                 </w:t>
      </w:r>
      <w:r/>
    </w:p>
    <w:p>
      <w:pPr>
        <w:spacing w:line="360" w:lineRule="auto"/>
        <w:rPr>
          <w:rFonts w:hint="eastAsia" w:ascii="仿宋" w:hAnsi="仿宋" w:eastAsia="仿宋" w:cs="仿宋"/>
          <w:sz w:val="32"/>
          <w:szCs w:val="32"/>
          <w:u w:val="single"/>
        </w:rPr>
      </w:pPr>
      <w:r>
        <w:rPr>
          <w:rFonts w:hint="eastAsia" w:ascii="仿宋" w:hAnsi="仿宋" w:eastAsia="仿宋" w:cs="仿宋"/>
          <w:sz w:val="32"/>
          <w:szCs w:val="32"/>
        </w:rPr>
        <w:t xml:space="preserve">采购人名称：</w:t>
      </w:r>
      <w:r>
        <w:rPr>
          <w:rFonts w:hint="eastAsia" w:ascii="仿宋" w:hAnsi="仿宋" w:eastAsia="仿宋" w:cs="仿宋"/>
          <w:sz w:val="32"/>
          <w:szCs w:val="32"/>
          <w:u w:val="single"/>
        </w:rPr>
        <w:t xml:space="preserve">                                         </w:t>
      </w:r>
      <w:r/>
    </w:p>
    <w:p>
      <w:pPr>
        <w:spacing w:line="360" w:lineRule="auto"/>
        <w:rPr>
          <w:rFonts w:hint="eastAsia" w:ascii="仿宋" w:hAnsi="仿宋" w:eastAsia="仿宋" w:cs="仿宋"/>
          <w:sz w:val="32"/>
          <w:szCs w:val="32"/>
        </w:rPr>
      </w:pPr>
      <w:r>
        <w:rPr>
          <w:rFonts w:hint="eastAsia" w:ascii="仿宋" w:hAnsi="仿宋" w:eastAsia="仿宋" w:cs="仿宋"/>
          <w:sz w:val="32"/>
          <w:szCs w:val="32"/>
        </w:rPr>
        <w:t xml:space="preserve">采购文件获取日期：</w:t>
      </w:r>
      <w:r>
        <w:rPr>
          <w:rFonts w:hint="eastAsia" w:ascii="仿宋" w:hAnsi="仿宋" w:eastAsia="仿宋" w:cs="仿宋"/>
          <w:sz w:val="32"/>
          <w:szCs w:val="32"/>
          <w:u w:val="single"/>
        </w:rPr>
        <w:t xml:space="preserve">                                           </w:t>
      </w:r>
      <w:r/>
    </w:p>
    <w:p>
      <w:pPr>
        <w:spacing w:line="360" w:lineRule="auto"/>
        <w:rPr>
          <w:rFonts w:hint="eastAsia" w:ascii="黑体" w:hAnsi="黑体" w:eastAsia="黑体" w:cs="仿宋"/>
          <w:bCs/>
          <w:sz w:val="32"/>
          <w:szCs w:val="32"/>
        </w:rPr>
      </w:pPr>
      <w:r>
        <w:rPr>
          <w:rFonts w:hint="eastAsia" w:ascii="黑体" w:hAnsi="黑体" w:eastAsia="黑体" w:cs="仿宋"/>
          <w:bCs/>
          <w:sz w:val="32"/>
          <w:szCs w:val="32"/>
        </w:rPr>
        <w:t xml:space="preserve">三、质疑事项具体内容</w:t>
      </w:r>
      <w:r/>
    </w:p>
    <w:p>
      <w:pPr>
        <w:spacing w:line="360" w:lineRule="auto"/>
        <w:rPr>
          <w:rFonts w:hint="eastAsia" w:ascii="仿宋" w:hAnsi="仿宋" w:eastAsia="仿宋" w:cs="仿宋"/>
          <w:sz w:val="32"/>
          <w:szCs w:val="32"/>
          <w:u w:val="single"/>
        </w:rPr>
      </w:pPr>
      <w:r>
        <w:rPr>
          <w:rFonts w:hint="eastAsia" w:ascii="仿宋" w:hAnsi="仿宋" w:eastAsia="仿宋" w:cs="仿宋"/>
          <w:sz w:val="32"/>
          <w:szCs w:val="32"/>
        </w:rPr>
        <w:t xml:space="preserve">质疑事项1：</w:t>
      </w:r>
      <w:r>
        <w:rPr>
          <w:rFonts w:hint="eastAsia" w:ascii="仿宋" w:hAnsi="仿宋" w:eastAsia="仿宋" w:cs="仿宋"/>
          <w:sz w:val="32"/>
          <w:szCs w:val="32"/>
          <w:u w:val="single"/>
        </w:rPr>
        <w:t xml:space="preserve">                                         </w:t>
      </w:r>
      <w:r/>
    </w:p>
    <w:p>
      <w:pPr>
        <w:spacing w:line="360" w:lineRule="auto"/>
        <w:rPr>
          <w:rFonts w:hint="eastAsia" w:ascii="仿宋" w:hAnsi="仿宋" w:eastAsia="仿宋" w:cs="仿宋"/>
          <w:sz w:val="32"/>
          <w:szCs w:val="32"/>
          <w:u w:val="single"/>
        </w:rPr>
      </w:pPr>
      <w:r>
        <w:rPr>
          <w:rFonts w:hint="eastAsia" w:ascii="仿宋" w:hAnsi="仿宋" w:eastAsia="仿宋" w:cs="仿宋"/>
          <w:sz w:val="32"/>
          <w:szCs w:val="32"/>
        </w:rPr>
        <w:t xml:space="preserve">事实依据：</w:t>
      </w:r>
      <w:r>
        <w:rPr>
          <w:rFonts w:hint="eastAsia" w:ascii="仿宋" w:hAnsi="仿宋" w:eastAsia="仿宋" w:cs="仿宋"/>
          <w:sz w:val="32"/>
          <w:szCs w:val="32"/>
          <w:u w:val="single"/>
        </w:rPr>
        <w:t xml:space="preserve">                                          </w:t>
      </w:r>
      <w:r/>
    </w:p>
    <w:p>
      <w:pPr>
        <w:spacing w:line="360" w:lineRule="auto"/>
        <w:rPr>
          <w:rFonts w:hint="eastAsia" w:ascii="仿宋" w:hAnsi="仿宋" w:eastAsia="仿宋" w:cs="仿宋"/>
          <w:sz w:val="32"/>
          <w:szCs w:val="32"/>
        </w:rPr>
      </w:pPr>
      <w:r>
        <w:rPr>
          <w:rFonts w:hint="eastAsia" w:ascii="仿宋" w:hAnsi="仿宋" w:eastAsia="仿宋" w:cs="仿宋"/>
          <w:sz w:val="32"/>
          <w:szCs w:val="32"/>
          <w:u w:val="single"/>
        </w:rPr>
        <w:t xml:space="preserve">                                                       </w:t>
      </w:r>
      <w:r/>
    </w:p>
    <w:p>
      <w:pPr>
        <w:spacing w:line="360" w:lineRule="auto"/>
        <w:rPr>
          <w:rFonts w:hint="eastAsia" w:ascii="仿宋" w:hAnsi="仿宋" w:eastAsia="仿宋" w:cs="仿宋"/>
          <w:sz w:val="32"/>
          <w:szCs w:val="32"/>
          <w:u w:val="single"/>
        </w:rPr>
      </w:pPr>
      <w:r>
        <w:rPr>
          <w:rFonts w:hint="eastAsia" w:ascii="仿宋" w:hAnsi="仿宋" w:eastAsia="仿宋" w:cs="仿宋"/>
          <w:sz w:val="32"/>
          <w:szCs w:val="32"/>
        </w:rPr>
        <w:t xml:space="preserve">法律依据：</w:t>
      </w:r>
      <w:r>
        <w:rPr>
          <w:rFonts w:hint="eastAsia" w:ascii="仿宋" w:hAnsi="仿宋" w:eastAsia="仿宋" w:cs="仿宋"/>
          <w:sz w:val="32"/>
          <w:szCs w:val="32"/>
          <w:u w:val="single"/>
        </w:rPr>
        <w:t xml:space="preserve">                                          </w:t>
      </w:r>
      <w:r/>
    </w:p>
    <w:p>
      <w:pPr>
        <w:spacing w:line="360" w:lineRule="auto"/>
        <w:rPr>
          <w:rFonts w:hint="eastAsia" w:ascii="仿宋" w:hAnsi="仿宋" w:eastAsia="仿宋" w:cs="仿宋"/>
          <w:sz w:val="32"/>
          <w:szCs w:val="32"/>
          <w:u w:val="single"/>
        </w:rPr>
      </w:pPr>
      <w:r>
        <w:rPr>
          <w:rFonts w:hint="eastAsia" w:ascii="仿宋" w:hAnsi="仿宋" w:eastAsia="仿宋" w:cs="仿宋"/>
          <w:sz w:val="32"/>
          <w:szCs w:val="32"/>
          <w:u w:val="single"/>
        </w:rPr>
        <w:t xml:space="preserve">                                                     </w:t>
      </w:r>
      <w:r/>
    </w:p>
    <w:p>
      <w:pPr>
        <w:spacing w:line="360" w:lineRule="auto"/>
        <w:rPr>
          <w:rFonts w:hint="eastAsia" w:ascii="仿宋" w:hAnsi="仿宋" w:eastAsia="仿宋" w:cs="仿宋"/>
          <w:sz w:val="32"/>
          <w:szCs w:val="32"/>
          <w:u w:val="single"/>
        </w:rPr>
      </w:pPr>
      <w:r>
        <w:rPr>
          <w:rFonts w:hint="eastAsia" w:ascii="仿宋" w:hAnsi="仿宋" w:eastAsia="仿宋" w:cs="仿宋"/>
          <w:sz w:val="32"/>
          <w:szCs w:val="32"/>
        </w:rPr>
        <w:t xml:space="preserve">质疑事项2</w:t>
      </w:r>
      <w:r/>
    </w:p>
    <w:p>
      <w:pPr>
        <w:spacing w:line="360" w:lineRule="auto"/>
        <w:rPr>
          <w:rFonts w:hint="eastAsia" w:ascii="黑体" w:hAnsi="黑体" w:eastAsia="黑体" w:cs="仿宋"/>
          <w:bCs/>
          <w:sz w:val="32"/>
          <w:szCs w:val="32"/>
        </w:rPr>
      </w:pPr>
      <w:r>
        <w:rPr>
          <w:rFonts w:hint="eastAsia" w:ascii="黑体" w:hAnsi="黑体" w:eastAsia="黑体" w:cs="仿宋"/>
          <w:bCs/>
          <w:sz w:val="32"/>
          <w:szCs w:val="32"/>
        </w:rPr>
        <w:t xml:space="preserve">四、与质疑事项相关的质疑请求</w:t>
      </w:r>
      <w:r/>
    </w:p>
    <w:p>
      <w:pPr>
        <w:spacing w:line="360" w:lineRule="auto"/>
        <w:rPr>
          <w:rFonts w:hint="eastAsia" w:ascii="仿宋" w:hAnsi="仿宋" w:eastAsia="仿宋" w:cs="仿宋"/>
          <w:sz w:val="32"/>
          <w:szCs w:val="32"/>
          <w:u w:val="single"/>
        </w:rPr>
      </w:pPr>
      <w:r>
        <w:rPr>
          <w:rFonts w:hint="eastAsia" w:ascii="仿宋" w:hAnsi="仿宋" w:eastAsia="仿宋" w:cs="仿宋"/>
          <w:sz w:val="32"/>
          <w:szCs w:val="32"/>
        </w:rPr>
        <w:t xml:space="preserve">请求：</w:t>
      </w:r>
      <w:r>
        <w:rPr>
          <w:rFonts w:hint="eastAsia" w:ascii="仿宋" w:hAnsi="仿宋" w:eastAsia="仿宋" w:cs="仿宋"/>
          <w:sz w:val="32"/>
          <w:szCs w:val="32"/>
          <w:u w:val="single"/>
        </w:rPr>
        <w:t xml:space="preserve">                                               </w:t>
      </w:r>
      <w:r/>
    </w:p>
    <w:p>
      <w:pPr>
        <w:rPr>
          <w:rFonts w:ascii="仿宋_GB2312" w:eastAsia="仿宋_GB2312"/>
          <w:sz w:val="30"/>
          <w:szCs w:val="30"/>
        </w:rPr>
      </w:pPr>
      <w:r>
        <w:rPr>
          <w:rFonts w:hint="eastAsia" w:ascii="仿宋_GB2312" w:eastAsia="仿宋_GB2312"/>
          <w:sz w:val="30"/>
          <w:szCs w:val="30"/>
        </w:rPr>
        <w:t xml:space="preserve">签字(签章)：                   公章：                      </w:t>
      </w:r>
      <w:r/>
    </w:p>
    <w:p>
      <w:pPr>
        <w:rPr>
          <w:rFonts w:ascii="仿宋_GB2312" w:eastAsia="仿宋_GB2312"/>
          <w:sz w:val="30"/>
          <w:szCs w:val="30"/>
        </w:rPr>
      </w:pPr>
      <w:r>
        <w:rPr>
          <w:rFonts w:hint="eastAsia" w:ascii="仿宋_GB2312" w:eastAsia="仿宋_GB2312"/>
          <w:sz w:val="30"/>
          <w:szCs w:val="30"/>
        </w:rPr>
        <w:t xml:space="preserve">日期：    </w:t>
      </w:r>
      <w:r/>
    </w:p>
    <w:p>
      <w:pPr>
        <w:rPr>
          <w:rFonts w:hint="eastAsia" w:ascii="仿宋" w:hAnsi="仿宋" w:eastAsia="仿宋" w:cs="仿宋"/>
          <w:b/>
          <w:bCs/>
          <w:sz w:val="32"/>
          <w:szCs w:val="32"/>
        </w:rPr>
      </w:pPr>
      <w:r>
        <w:rPr>
          <w:rFonts w:hint="eastAsia" w:ascii="仿宋" w:hAnsi="仿宋" w:eastAsia="仿宋" w:cs="仿宋"/>
          <w:b/>
          <w:bCs/>
          <w:sz w:val="32"/>
          <w:szCs w:val="32"/>
        </w:rPr>
      </w:r>
      <w:r/>
    </w:p>
    <w:p>
      <w:pPr>
        <w:rPr>
          <w:rFonts w:hint="eastAsia" w:ascii="黑体" w:hAnsi="黑体" w:eastAsia="黑体"/>
          <w:b/>
          <w:sz w:val="32"/>
          <w:szCs w:val="32"/>
        </w:rPr>
      </w:pPr>
      <w:r>
        <w:rPr>
          <w:rFonts w:hint="eastAsia" w:ascii="黑体" w:hAnsi="黑体" w:eastAsia="黑体"/>
          <w:b/>
          <w:sz w:val="32"/>
          <w:szCs w:val="32"/>
        </w:rPr>
      </w:r>
      <w:r/>
    </w:p>
    <w:p>
      <w:pPr>
        <w:rPr>
          <w:rFonts w:hint="eastAsia" w:ascii="黑体" w:hAnsi="黑体" w:eastAsia="黑体"/>
          <w:b/>
          <w:sz w:val="32"/>
          <w:szCs w:val="32"/>
        </w:rPr>
      </w:pPr>
      <w:r>
        <w:rPr>
          <w:rFonts w:hint="eastAsia" w:ascii="黑体" w:hAnsi="黑体" w:eastAsia="黑体"/>
          <w:b/>
          <w:sz w:val="32"/>
          <w:szCs w:val="32"/>
        </w:rPr>
        <w:t xml:space="preserve">质疑函制作说明：</w:t>
      </w:r>
      <w:r/>
    </w:p>
    <w:p>
      <w:pPr>
        <w:ind w:firstLine="598"/>
        <w:jc w:val="left"/>
        <w:widowControl/>
        <w:rPr>
          <w:rFonts w:ascii="仿宋_GB2312" w:eastAsia="仿宋_GB2312"/>
          <w:sz w:val="32"/>
          <w:szCs w:val="32"/>
        </w:rPr>
      </w:pPr>
      <w:r>
        <w:rPr>
          <w:rFonts w:hint="eastAsia" w:ascii="仿宋_GB2312" w:eastAsia="仿宋_GB2312"/>
          <w:sz w:val="32"/>
          <w:szCs w:val="32"/>
        </w:rPr>
        <w:t xml:space="preserve">1.供应商提出质疑时，应提交质疑函和必要的证明材料。</w:t>
      </w:r>
      <w:r/>
    </w:p>
    <w:p>
      <w:pPr>
        <w:ind w:firstLine="598"/>
        <w:jc w:val="left"/>
        <w:widowControl/>
        <w:rPr>
          <w:rFonts w:ascii="仿宋_GB2312" w:eastAsia="仿宋_GB2312"/>
          <w:sz w:val="32"/>
          <w:szCs w:val="32"/>
        </w:rPr>
      </w:pPr>
      <w:r>
        <w:rPr>
          <w:rFonts w:hint="eastAsia" w:ascii="仿宋_GB2312" w:eastAsia="仿宋_GB2312"/>
          <w:sz w:val="32"/>
          <w:szCs w:val="32"/>
        </w:rPr>
        <w:t xml:space="preserve">2.质疑供应商若委托代理人进行质疑的，质疑函应按要求列明“授权代表”的有关内容，并在附件中提交由质疑</w:t>
      </w:r>
      <w:r>
        <w:rPr>
          <w:rFonts w:hint="eastAsia" w:ascii="仿宋_GB2312" w:hAnsi="宋体" w:eastAsia="仿宋_GB2312" w:cs="宋体"/>
          <w:sz w:val="32"/>
          <w:szCs w:val="32"/>
        </w:rPr>
        <w:t xml:space="preserve">供应商签署的授权委托书。授权委托书应载明代理人的姓名或者名称、代理事项、具体权限、期限和相关事项。</w:t>
      </w:r>
      <w:r/>
    </w:p>
    <w:p>
      <w:pPr>
        <w:ind w:firstLine="598"/>
        <w:jc w:val="left"/>
        <w:widowControl/>
        <w:rPr>
          <w:rFonts w:ascii="仿宋_GB2312" w:eastAsia="仿宋_GB2312"/>
          <w:sz w:val="32"/>
          <w:szCs w:val="32"/>
        </w:rPr>
      </w:pPr>
      <w:r>
        <w:rPr>
          <w:rFonts w:hint="eastAsia" w:ascii="仿宋_GB2312" w:eastAsia="仿宋_GB2312"/>
          <w:sz w:val="32"/>
          <w:szCs w:val="32"/>
        </w:rPr>
        <w:t xml:space="preserve">3.质疑供应商若对项目的某一分包进行质疑，质疑函中应列明具体分包号。</w:t>
      </w:r>
      <w:r/>
    </w:p>
    <w:p>
      <w:pPr>
        <w:ind w:firstLine="598"/>
        <w:jc w:val="left"/>
        <w:widowControl/>
        <w:rPr>
          <w:rFonts w:ascii="仿宋_GB2312" w:eastAsia="仿宋_GB2312"/>
          <w:sz w:val="32"/>
          <w:szCs w:val="32"/>
        </w:rPr>
      </w:pPr>
      <w:r>
        <w:rPr>
          <w:rFonts w:hint="eastAsia" w:ascii="仿宋_GB2312" w:eastAsia="仿宋_GB2312"/>
          <w:sz w:val="32"/>
          <w:szCs w:val="32"/>
        </w:rPr>
        <w:t xml:space="preserve">4.质疑函的质疑事项应具体、明确，并有必要的事实依据和法律依据。</w:t>
      </w:r>
      <w:r/>
    </w:p>
    <w:p>
      <w:pPr>
        <w:ind w:firstLine="598"/>
        <w:jc w:val="left"/>
        <w:widowControl/>
        <w:rPr>
          <w:rFonts w:ascii="仿宋_GB2312" w:eastAsia="仿宋_GB2312"/>
          <w:sz w:val="32"/>
          <w:szCs w:val="32"/>
        </w:rPr>
      </w:pPr>
      <w:r>
        <w:rPr>
          <w:rFonts w:hint="eastAsia" w:ascii="仿宋_GB2312" w:eastAsia="仿宋_GB2312"/>
          <w:sz w:val="32"/>
          <w:szCs w:val="32"/>
        </w:rPr>
        <w:t xml:space="preserve">5.质疑函的质疑请求应与质疑事项相关。</w:t>
      </w:r>
      <w:r/>
    </w:p>
    <w:p>
      <w:pPr>
        <w:ind w:firstLine="598"/>
        <w:jc w:val="left"/>
        <w:widowControl/>
        <w:rPr>
          <w:rFonts w:ascii="仿宋_GB2312" w:eastAsia="仿宋_GB2312"/>
          <w:sz w:val="32"/>
          <w:szCs w:val="32"/>
        </w:rPr>
      </w:pPr>
      <w:r>
        <w:rPr>
          <w:rFonts w:hint="eastAsia" w:ascii="仿宋_GB2312" w:eastAsia="仿宋_GB2312"/>
          <w:sz w:val="32"/>
          <w:szCs w:val="32"/>
        </w:rPr>
        <w:t xml:space="preserve">6.质疑供应商为自然人的，质疑函应由本人签字；质疑供应商为法人或者其他组织的，质疑函应由法定代表人、主要负责人，或者其授权代表签字或者盖章，并加盖公章。</w:t>
      </w:r>
      <w:r/>
    </w:p>
    <w:p>
      <w:pPr>
        <w:ind w:left="-108"/>
        <w:rPr>
          <w:rFonts w:ascii="仿宋_GB2312" w:hAnsi="宋体" w:eastAsia="仿宋_GB2312"/>
          <w:sz w:val="28"/>
          <w:szCs w:val="28"/>
          <w:u w:val="single"/>
        </w:rPr>
      </w:pPr>
      <w:r>
        <w:rPr>
          <w:rFonts w:hint="eastAsia" w:ascii="仿宋_GB2312" w:eastAsia="仿宋_GB2312"/>
          <w:sz w:val="32"/>
          <w:szCs w:val="32"/>
        </w:rPr>
        <w:t xml:space="preserve">     7.按该表格填写，一式两份，并将该函和相关证据盖公章在规定的时间内分别送达采购人和采购代理机构。</w:t>
      </w:r>
      <w:bookmarkEnd w:id="52"/>
      <w:r/>
      <w:r/>
    </w:p>
    <w:sectPr>
      <w:headerReference w:type="default" r:id="rId10"/>
      <w:headerReference w:type="first" r:id="rId11"/>
      <w:footerReference w:type="default" r:id="rId14"/>
      <w:footerReference w:type="first" r:id="rId15"/>
      <w:footnotePr/>
      <w:endnotePr/>
      <w:type w:val="nextPage"/>
      <w:pgSz w:w="11907" w:h="16840" w:orient="portrait"/>
      <w:pgMar w:top="1474" w:right="1021" w:bottom="1134" w:left="1247" w:header="851" w:footer="62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方正魏碑_GBK">
    <w:panose1 w:val="020B0503020202020204"/>
  </w:font>
  <w:font w:name="华文中宋">
    <w:panose1 w:val="02010600040101010101"/>
  </w:font>
  <w:font w:name="方正小标宋_GBK">
    <w:panose1 w:val="020B0503020202020204"/>
  </w:font>
  <w:font w:name="方正小标宋简体">
    <w:panose1 w:val="020B0503020202020204"/>
  </w:font>
  <w:font w:name="Segoe UI Symbol">
    <w:panose1 w:val="020B0502040204020203"/>
  </w:font>
  <w:font w:name="华文新魏">
    <w:panose1 w:val="02010800040101010101"/>
  </w:font>
  <w:font w:name="Helvetica">
    <w:panose1 w:val="020B0604020202020204"/>
  </w:font>
  <w:font w:name="隶书">
    <w:panose1 w:val="02010509060101010101"/>
  </w:font>
  <w:font w:name="Calibri Light">
    <w:panose1 w:val="020F0302020204030204"/>
  </w:font>
  <w:font w:name="仿宋">
    <w:panose1 w:val="02010609060101010101"/>
  </w:font>
  <w:font w:name="等线 Light">
    <w:panose1 w:val="02010600030101010101"/>
  </w:font>
  <w:font w:name="等线">
    <w:panose1 w:val="02010600030101010101"/>
  </w:font>
  <w:font w:name="Symbol">
    <w:panose1 w:val="05050102010706020507"/>
  </w:font>
  <w:font w:name=".a..DD..">
    <w:panose1 w:val="020B0503020202020204"/>
  </w:font>
  <w:font w:name="Times">
    <w:panose1 w:val="02020603050405020304"/>
  </w:font>
  <w:font w:name="Tahoma">
    <w:panose1 w:val="020B0604030504040204"/>
  </w:font>
  <w:font w:name="Cambria">
    <w:panose1 w:val="02040503050406030204"/>
  </w:font>
  <w:font w:name="Courier New">
    <w:panose1 w:val="02070309020205020404"/>
  </w:font>
  <w:font w:name="微软雅黑">
    <w:panose1 w:val="020B0503020204020204"/>
  </w:font>
  <w:font w:name="Calibri">
    <w:panose1 w:val="020F0502020204030204"/>
  </w:font>
  <w:font w:name="楷体">
    <w:panose1 w:val="02010609060101010101"/>
  </w:font>
  <w:font w:name="仿宋体">
    <w:panose1 w:val="02010609060101010101"/>
  </w:font>
  <w:font w:name="FuturaA Bk BT">
    <w:panose1 w:val="020B0503020202020204"/>
  </w:font>
  <w:font w:name="楷体_GB2312">
    <w:panose1 w:val="02010609060101010101"/>
  </w:font>
  <w:font w:name="Verdana">
    <w:panose1 w:val="020B0604030504040204"/>
  </w:font>
  <w:font w:name="仿宋_GB2312">
    <w:panose1 w:val="02010609060101010101"/>
  </w:font>
  <w:font w:name="黑体">
    <w:panose1 w:val="02010609060101010101"/>
  </w:font>
  <w:font w:name="Wingdings">
    <w:panose1 w:val="05000000000000000000"/>
  </w:font>
  <w:font w:name="Century Schoolbook">
    <w:panose1 w:val="02040604050505020304"/>
  </w:font>
  <w:font w:name="长城仿宋">
    <w:panose1 w:val="020B0503020202020204"/>
  </w:font>
  <w:font w:name="Arial Unicode MS">
    <w:panose1 w:val="020B0604020202020204"/>
  </w:font>
  <w:font w:name="Arial">
    <w:panose1 w:val="020B0604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3"/>
      <w:ind w:firstLine="360"/>
      <w:jc w:val="right"/>
      <w:rPr>
        <w:rFonts w:hint="eastAsia" w:ascii="华文新魏" w:hAnsi="宋体" w:eastAsia="华文新魏"/>
      </w:rPr>
    </w:pPr>
    <w:r>
      <w:rPr>
        <w:rFonts w:hint="eastAsia" w:ascii="华文新魏" w:hAnsi="宋体" w:eastAsia="华文新魏"/>
      </w:rPr>
    </w:r>
    <w:r/>
  </w:p>
  <w:p>
    <w:pPr>
      <w:ind w:firstLine="105"/>
      <w:rPr>
        <w:rFonts w:ascii="隶书" w:eastAsia="隶书"/>
      </w:rP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0</wp:posOffset>
              </wp:positionH>
              <wp:positionV relativeFrom="paragraph">
                <wp:posOffset>-28575</wp:posOffset>
              </wp:positionV>
              <wp:extent cx="6240780" cy="0"/>
              <wp:effectExtent l="0" t="0" r="0" b="0"/>
              <wp:wrapNone/>
              <wp:docPr id="4" name="直接连接符 2"/>
              <wp:cNvGraphicFramePr/>
              <a:graphic xmlns:a="http://schemas.openxmlformats.org/drawingml/2006/main">
                <a:graphicData uri="http://schemas.microsoft.com/office/word/2010/wordprocessingShape">
                  <wps:wsp>
                    <wps:cNvPr id="0" name=""/>
                    <wps:cNvSpPr/>
                    <wps:spPr bwMode="auto">
                      <a:xfrm>
                        <a:off x="0" y="0"/>
                        <a:ext cx="6240780" cy="0"/>
                      </a:xfrm>
                      <a:prstGeom prst="line">
                        <a:avLst/>
                      </a:prstGeom>
                      <a:noFill/>
                      <a:ln w="9525">
                        <a:solidFill>
                          <a:srgbClr val="000000"/>
                        </a:solidFill>
                        <a:round/>
                      </a:ln>
                    </wps:spPr>
                    <wps:bodyPr rot="0">
                      <a:prstTxWarp prst="textNoShape">
                        <a:avLst/>
                      </a:prstTxWarp>
                      <a:noAutofit/>
                    </wps:bodyPr>
                  </wps:wsp>
                </a:graphicData>
              </a:graphic>
            </wp:anchor>
          </w:drawing>
        </mc:Choice>
        <mc:Fallback>
          <w:pict>
            <v:line id="shape 3" o:spid="_x0000_s3" style="position:absolute;left:0;text-align:left;z-index:251664384;mso-wrap-distance-left:9.0pt;mso-wrap-distance-top:0.0pt;mso-wrap-distance-right:9.0pt;mso-wrap-distance-bottom:0.0pt;visibility:visible;" from="0.0pt,-2.2pt" to="491.4pt,-2.2pt" filled="f" strokecolor="#000000" strokeweight="0.75pt"/>
          </w:pict>
        </mc:Fallback>
      </mc:AlternateContent>
    </w:r>
    <w:r>
      <w:rPr>
        <w:rFonts w:hint="eastAsia" w:ascii="隶书" w:eastAsia="隶书"/>
      </w:rPr>
      <w:t xml:space="preserve">地址:  兴化市五里东路1</w:t>
    </w:r>
    <w:r>
      <w:rPr>
        <w:rFonts w:ascii="隶书" w:eastAsia="隶书"/>
      </w:rPr>
      <w:t xml:space="preserve">81</w:t>
    </w:r>
    <w:r>
      <w:rPr>
        <w:rFonts w:hint="eastAsia" w:ascii="隶书" w:eastAsia="隶书"/>
      </w:rPr>
      <w:t xml:space="preserve">号城投国际8号公馆1</w:t>
    </w:r>
    <w:r>
      <w:rPr>
        <w:rFonts w:ascii="隶书" w:eastAsia="隶书"/>
      </w:rPr>
      <w:t xml:space="preserve">6</w:t>
    </w:r>
    <w:r>
      <w:rPr>
        <w:rFonts w:hint="eastAsia" w:ascii="隶书" w:eastAsia="隶书"/>
      </w:rPr>
      <w:t xml:space="preserve">层     电话:</w:t>
    </w:r>
    <w:r>
      <w:rPr>
        <w:rFonts w:ascii="隶书" w:eastAsia="隶书"/>
      </w:rPr>
      <w:t xml:space="preserve">13961069761</w:t>
    </w:r>
    <w:r>
      <w:rPr>
        <w:rFonts w:hint="eastAsia" w:ascii="隶书" w:eastAsia="隶书"/>
      </w:rPr>
      <w:t xml:space="preserve">  邮政编码:225700</w:t>
    </w:r>
    <w:r/>
  </w:p>
  <w:p>
    <w:pPr>
      <w:pStyle w:val="1183"/>
      <w:ind w:firstLine="422"/>
      <w:jc w:val="center"/>
    </w:pPr>
    <w:r>
      <w:fldChar w:fldCharType="begin"/>
    </w:r>
    <w:r>
      <w:rPr>
        <w:rStyle w:val="1209"/>
      </w:rPr>
      <w:instrText xml:space="preserve"> PAGE </w:instrText>
    </w:r>
    <w:r>
      <w:fldChar w:fldCharType="separate"/>
    </w:r>
    <w:r>
      <w:t xml:space="preserve">2</w:t>
    </w:r>
    <w:r>
      <w:fldChar w:fldCharType="end"/>
    </w:r>
    <w:r/>
  </w:p>
  <w:p>
    <w:pPr>
      <w:ind w:right="360"/>
    </w:pPr>
    <w:r/>
    <w:r/>
  </w:p>
  <w:p>
    <w:r/>
    <w:r/>
  </w:p>
  <w:p>
    <w:pPr>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3"/>
      <w:rPr>
        <w:rStyle w:val="1209"/>
      </w:rPr>
      <w:framePr w:wrap="around" w:vAnchor="text" w:hAnchor="margin" w:xAlign="center" w:y="1"/>
    </w:pPr>
    <w:r>
      <w:fldChar w:fldCharType="begin"/>
    </w:r>
    <w:r>
      <w:rPr>
        <w:rStyle w:val="1209"/>
      </w:rPr>
      <w:instrText xml:space="preserve">PAGE  </w:instrText>
    </w:r>
    <w:r>
      <w:fldChar w:fldCharType="end"/>
    </w:r>
    <w:r/>
  </w:p>
  <w:p>
    <w:pPr>
      <w:pStyle w:val="1183"/>
      <w:ind w:right="360" w:firstLine="360"/>
    </w:pPr>
    <w:r/>
    <w:r/>
  </w:p>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3"/>
      <w:ind w:firstLine="360"/>
      <w:jc w:val="right"/>
      <w:rPr>
        <w:rFonts w:hint="eastAsia" w:ascii="华文新魏" w:hAnsi="宋体" w:eastAsia="华文新魏"/>
      </w:rPr>
    </w:pPr>
    <w:r>
      <w:rPr>
        <w:rFonts w:hint="eastAsia" w:ascii="华文新魏" w:hAnsi="宋体" w:eastAsia="华文新魏"/>
      </w:rPr>
    </w:r>
    <w:r/>
  </w:p>
  <w:p>
    <w:pPr>
      <w:rPr>
        <w:rFonts w:ascii="隶书" w:eastAsia="隶书"/>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2847094</wp:posOffset>
              </wp:positionH>
              <wp:positionV relativeFrom="paragraph">
                <wp:posOffset>175104</wp:posOffset>
              </wp:positionV>
              <wp:extent cx="267270" cy="242596"/>
              <wp:effectExtent l="0" t="0" r="0" b="5080"/>
              <wp:wrapNone/>
              <wp:docPr id="5" name="文本框 13"/>
              <wp:cNvGraphicFramePr/>
              <a:graphic xmlns:a="http://schemas.openxmlformats.org/drawingml/2006/main">
                <a:graphicData uri="http://schemas.microsoft.com/office/word/2010/wordprocessingShape">
                  <wps:wsp>
                    <wps:cNvPr id="0" name=""/>
                    <wps:cNvSpPr txBox="1"/>
                    <wps:spPr bwMode="auto">
                      <a:xfrm>
                        <a:off x="0" y="0"/>
                        <a:ext cx="267270" cy="242596"/>
                      </a:xfrm>
                      <a:prstGeom prst="rect">
                        <a:avLst/>
                      </a:prstGeom>
                      <a:noFill/>
                      <a:ln w="6350">
                        <a:noFill/>
                      </a:ln>
                    </wps:spPr>
                    <wps:txbx>
                      <w:txbxContent>
                        <w:p>
                          <w:pPr>
                            <w:pStyle w:val="1183"/>
                            <w:jc w:val="center"/>
                          </w:pPr>
                          <w:r>
                            <w:fldChar w:fldCharType="begin"/>
                          </w:r>
                          <w:r>
                            <w:rPr>
                              <w:rStyle w:val="1209"/>
                            </w:rPr>
                            <w:instrText xml:space="preserve"> PAGE </w:instrText>
                          </w:r>
                          <w:r>
                            <w:fldChar w:fldCharType="separate"/>
                          </w:r>
                          <w:r>
                            <w:rPr>
                              <w:rStyle w:val="1209"/>
                            </w:rPr>
                            <w:t xml:space="preserve">75</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id="shape 4" o:spid="_x0000_s4" o:spt="202" type="#_x0000_t202" style="position:absolute;z-index:251660288;o:allowoverlap:true;o:allowincell:true;mso-position-horizontal-relative:margin;margin-left:224.2pt;mso-position-horizontal:absolute;mso-position-vertical-relative:text;margin-top:13.8pt;mso-position-vertical:absolute;width:21.0pt;height:19.1pt;mso-wrap-distance-left:9.0pt;mso-wrap-distance-top:0.0pt;mso-wrap-distance-right:9.0pt;mso-wrap-distance-bottom:0.0pt;v-text-anchor:top;visibility:visible;" filled="f" stroked="f" strokeweight="0.50pt">
              <v:textbox inset="0,0,0,0">
                <w:txbxContent>
                  <w:p>
                    <w:pPr>
                      <w:pStyle w:val="1183"/>
                      <w:jc w:val="center"/>
                    </w:pPr>
                    <w:r>
                      <w:fldChar w:fldCharType="begin"/>
                    </w:r>
                    <w:r>
                      <w:rPr>
                        <w:rStyle w:val="1209"/>
                      </w:rPr>
                      <w:instrText xml:space="preserve"> PAGE </w:instrText>
                    </w:r>
                    <w:r>
                      <w:fldChar w:fldCharType="separate"/>
                    </w:r>
                    <w:r>
                      <w:rPr>
                        <w:rStyle w:val="1209"/>
                      </w:rPr>
                      <w:t xml:space="preserve">75</w:t>
                    </w:r>
                    <w:r>
                      <w:fldChar w:fldCharType="end"/>
                    </w:r>
                    <w:r/>
                  </w:p>
                </w:txbxContent>
              </v:textbox>
            </v:shape>
          </w:pict>
        </mc:Fallback>
      </mc:AlternateContent>
    </w:r>
    <w:r>
      <w:rPr>
        <w:rFonts w:ascii="隶书" w:eastAsia="隶书"/>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-28575</wp:posOffset>
              </wp:positionV>
              <wp:extent cx="6240780" cy="0"/>
              <wp:effectExtent l="0" t="0" r="26670" b="19050"/>
              <wp:wrapNone/>
              <wp:docPr id="6" name="直线 2"/>
              <wp:cNvGraphicFramePr/>
              <a:graphic xmlns:a="http://schemas.openxmlformats.org/drawingml/2006/main">
                <a:graphicData uri="http://schemas.microsoft.com/office/word/2010/wordprocessingShape">
                  <wps:wsp>
                    <wps:cNvPr id="0" name=""/>
                    <wps:cNvSpPr/>
                    <wps:spPr bwMode="auto">
                      <a:xfrm>
                        <a:off x="0" y="0"/>
                        <a:ext cx="6240780"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5" o:spid="_x0000_s5" style="position:absolute;left:0;text-align:left;z-index:251659264;mso-wrap-distance-left:9.0pt;mso-wrap-distance-top:0.0pt;mso-wrap-distance-right:9.0pt;mso-wrap-distance-bottom:0.0pt;visibility:visible;" from="0.0pt,-2.2pt" to="491.4pt,-2.2pt" filled="f" strokecolor="#000000" strokeweight="0.75pt">
              <v:stroke dashstyle="solid"/>
            </v:line>
          </w:pict>
        </mc:Fallback>
      </mc:AlternateContent>
    </w:r>
    <w:r>
      <w:rPr>
        <w:rFonts w:hint="eastAsia" w:ascii="隶书" w:eastAsia="隶书"/>
      </w:rPr>
      <w:t xml:space="preserve">地址:  兴化市五里东路1</w:t>
    </w:r>
    <w:r>
      <w:rPr>
        <w:rFonts w:ascii="隶书" w:eastAsia="隶书"/>
      </w:rPr>
      <w:t xml:space="preserve">81</w:t>
    </w:r>
    <w:r>
      <w:rPr>
        <w:rFonts w:hint="eastAsia" w:ascii="隶书" w:eastAsia="隶书"/>
      </w:rPr>
      <w:t xml:space="preserve">号城投国际8号公馆1</w:t>
    </w:r>
    <w:r>
      <w:rPr>
        <w:rFonts w:ascii="隶书" w:eastAsia="隶书"/>
      </w:rPr>
      <w:t xml:space="preserve">6</w:t>
    </w:r>
    <w:r>
      <w:rPr>
        <w:rFonts w:hint="eastAsia" w:ascii="隶书" w:eastAsia="隶书"/>
      </w:rPr>
      <w:t xml:space="preserve">层     电话:</w:t>
    </w:r>
    <w:r>
      <w:rPr>
        <w:rFonts w:ascii="隶书" w:eastAsia="隶书"/>
      </w:rPr>
      <w:t xml:space="preserve">13961069761</w:t>
    </w:r>
    <w:r>
      <w:rPr>
        <w:rFonts w:hint="eastAsia" w:ascii="隶书" w:eastAsia="隶书"/>
      </w:rPr>
      <w:t xml:space="preserve">  邮政编码:225700</w:t>
    </w:r>
    <w:r/>
  </w:p>
  <w:p>
    <w:pPr>
      <w:pStyle w:val="1183"/>
      <w:jc w:val="center"/>
      <w:rPr>
        <w:rFonts w:ascii="黑体" w:eastAsia="黑体"/>
        <w:sz w:val="21"/>
      </w:rPr>
    </w:pPr>
    <w:r>
      <w:rPr>
        <w:rFonts w:ascii="黑体" w:eastAsia="黑体"/>
        <w:sz w:val="21"/>
      </w:rPr>
    </w:r>
    <w:r/>
  </w:p>
  <w:p>
    <w:pPr>
      <w:pStyle w:val="1183"/>
      <w:ind w:firstLine="360"/>
      <w:jc w:val="right"/>
      <w:rPr>
        <w:rFonts w:hint="eastAsia" w:ascii="华文新魏" w:hAnsi="宋体" w:eastAsia="华文新魏"/>
      </w:rPr>
    </w:pPr>
    <w:r>
      <w:rPr>
        <w:rFonts w:hint="eastAsia" w:ascii="华文新魏" w:hAnsi="宋体" w:eastAsia="华文新魏"/>
      </w:rPr>
    </w:r>
    <w:r/>
  </w:p>
  <w:p>
    <w:pPr>
      <w:ind w:right="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隶书" w:eastAsia="隶书"/>
      </w:rPr>
    </w:pPr>
    <w:r>
      <w:rPr>
        <w:rFonts w:ascii="隶书" w:eastAsia="隶书"/>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0</wp:posOffset>
              </wp:positionH>
              <wp:positionV relativeFrom="paragraph">
                <wp:posOffset>-28575</wp:posOffset>
              </wp:positionV>
              <wp:extent cx="6240780" cy="0"/>
              <wp:effectExtent l="0" t="0" r="0" b="0"/>
              <wp:wrapNone/>
              <wp:docPr id="7" name="直线 2"/>
              <wp:cNvGraphicFramePr/>
              <a:graphic xmlns:a="http://schemas.openxmlformats.org/drawingml/2006/main">
                <a:graphicData uri="http://schemas.microsoft.com/office/word/2010/wordprocessingShape">
                  <wps:wsp>
                    <wps:cNvPr id="0" name=""/>
                    <wps:cNvSpPr/>
                    <wps:spPr bwMode="auto">
                      <a:xfrm>
                        <a:off x="0" y="0"/>
                        <a:ext cx="6240780"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6" o:spid="_x0000_s6" style="position:absolute;left:0;text-align:left;z-index:251662336;mso-wrap-distance-left:9.0pt;mso-wrap-distance-top:0.0pt;mso-wrap-distance-right:9.0pt;mso-wrap-distance-bottom:0.0pt;visibility:visible;" from="0.0pt,-2.2pt" to="491.4pt,-2.2pt" filled="f" strokecolor="#000000" strokeweight="0.75pt">
              <v:stroke dashstyle="solid"/>
            </v:line>
          </w:pict>
        </mc:Fallback>
      </mc:AlternateContent>
    </w:r>
    <w:r>
      <w:rPr>
        <w:rFonts w:hint="eastAsia" w:ascii="隶书" w:eastAsia="隶书"/>
      </w:rPr>
      <w:t xml:space="preserve">地址:  兴化市五里东路1</w:t>
    </w:r>
    <w:r>
      <w:rPr>
        <w:rFonts w:ascii="隶书" w:eastAsia="隶书"/>
      </w:rPr>
      <w:t xml:space="preserve">81</w:t>
    </w:r>
    <w:r>
      <w:rPr>
        <w:rFonts w:hint="eastAsia" w:ascii="隶书" w:eastAsia="隶书"/>
      </w:rPr>
      <w:t xml:space="preserve">号城投国际8号公馆1</w:t>
    </w:r>
    <w:r>
      <w:rPr>
        <w:rFonts w:ascii="隶书" w:eastAsia="隶书"/>
      </w:rPr>
      <w:t xml:space="preserve">6</w:t>
    </w:r>
    <w:r>
      <w:rPr>
        <w:rFonts w:hint="eastAsia" w:ascii="隶书" w:eastAsia="隶书"/>
      </w:rPr>
      <w:t xml:space="preserve">层     电话:</w:t>
    </w:r>
    <w:r>
      <w:rPr>
        <w:rFonts w:ascii="隶书" w:eastAsia="隶书"/>
      </w:rPr>
      <w:t xml:space="preserve">13961069761</w:t>
    </w:r>
    <w:r>
      <w:rPr>
        <w:rFonts w:hint="eastAsia" w:ascii="隶书" w:eastAsia="隶书"/>
      </w:rPr>
      <w:t xml:space="preserve">  邮政编码:225700</w:t>
    </w:r>
    <w:r/>
  </w:p>
  <w:p>
    <w:pPr>
      <w:pStyle w:val="1183"/>
      <w:jc w:val="center"/>
      <w:rPr>
        <w:rFonts w:ascii="黑体" w:eastAsia="黑体"/>
        <w:sz w:val="21"/>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posOffset>2971165</wp:posOffset>
              </wp:positionH>
              <wp:positionV relativeFrom="paragraph">
                <wp:posOffset>0</wp:posOffset>
              </wp:positionV>
              <wp:extent cx="1828800" cy="1828800"/>
              <wp:effectExtent l="0" t="0" r="0" b="0"/>
              <wp:wrapNone/>
              <wp:docPr id="8" name="文本框 2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83"/>
                            <w:jc w:val="center"/>
                          </w:pPr>
                          <w:r>
                            <w:fldChar w:fldCharType="begin"/>
                          </w:r>
                          <w:r>
                            <w:rPr>
                              <w:rStyle w:val="1209"/>
                            </w:rPr>
                            <w:instrText xml:space="preserve"> PAGE </w:instrText>
                          </w:r>
                          <w:r>
                            <w:fldChar w:fldCharType="separate"/>
                          </w:r>
                          <w:r>
                            <w:rPr>
                              <w:rStyle w:val="1209"/>
                            </w:rPr>
                            <w:t xml:space="preserve">4</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7" o:spid="_x0000_s7" o:spt="202" type="#_x0000_t202" style="position:absolute;z-index:251663360;o:allowoverlap:true;o:allowincell:true;mso-position-horizontal-relative:margin;margin-left:233.9pt;mso-position-horizontal:absolute;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183"/>
                      <w:jc w:val="center"/>
                    </w:pPr>
                    <w:r>
                      <w:fldChar w:fldCharType="begin"/>
                    </w:r>
                    <w:r>
                      <w:rPr>
                        <w:rStyle w:val="1209"/>
                      </w:rPr>
                      <w:instrText xml:space="preserve"> PAGE </w:instrText>
                    </w:r>
                    <w:r>
                      <w:fldChar w:fldCharType="separate"/>
                    </w:r>
                    <w:r>
                      <w:rPr>
                        <w:rStyle w:val="1209"/>
                      </w:rPr>
                      <w:t xml:space="preserve">4</w:t>
                    </w:r>
                    <w:r>
                      <w:fldChar w:fldCharType="end"/>
                    </w:r>
                    <w:r/>
                  </w:p>
                </w:txbxContent>
              </v:textbox>
            </v:shape>
          </w:pict>
        </mc:Fallback>
      </mc:AlternateContent>
    </w:r>
    <w:r/>
  </w:p>
  <w:p>
    <w:pPr>
      <w:pStyle w:val="1183"/>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14935" cy="131445"/>
              <wp:effectExtent l="0" t="0" r="12065" b="14604"/>
              <wp:wrapNone/>
              <wp:docPr id="9" name="文本框 14"/>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w="6350">
                        <a:noFill/>
                      </a:ln>
                    </wps:spPr>
                    <wps:txbx>
                      <w:txbxContent>
                        <w:p>
                          <w:pPr>
                            <w:pStyle w:val="1183"/>
                          </w:pPr>
                          <w:r>
                            <w:fldChar w:fldCharType="begin"/>
                          </w:r>
                          <w:r>
                            <w:instrText xml:space="preserve"> PAGE  \* MERGEFORMAT </w:instrText>
                          </w:r>
                          <w:r>
                            <w:fldChar w:fldCharType="separate"/>
                          </w:r>
                          <w:r>
                            <w:t xml:space="preserve">93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8" o:spid="_x0000_s8" o:spt="202" type="#_x0000_t202" style="position:absolute;z-index:251661312;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text-anchor:top;visibility:visible;" filled="f" stroked="f" strokeweight="0.50pt">
              <v:textbox inset="0,0,0,0">
                <w:txbxContent>
                  <w:p>
                    <w:pPr>
                      <w:pStyle w:val="1183"/>
                    </w:pPr>
                    <w:r>
                      <w:fldChar w:fldCharType="begin"/>
                    </w:r>
                    <w:r>
                      <w:instrText xml:space="preserve"> PAGE  \* MERGEFORMAT </w:instrText>
                    </w:r>
                    <w:r>
                      <w:fldChar w:fldCharType="separate"/>
                    </w:r>
                    <w:r>
                      <w:t xml:space="preserve">93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4"/>
      <w:jc w:val="both"/>
      <w:rPr>
        <w:rFonts w:eastAsia="隶书"/>
        <w:sz w:val="24"/>
      </w:rPr>
      <w:pBdr>
        <w:bottom w:val="single" w:color="auto" w:sz="6" w:space="0"/>
      </w:pBdr>
    </w:pPr>
    <w:r>
      <w:rPr>
        <w:rFonts w:eastAsia="隶书"/>
        <w:sz w:val="24"/>
      </w:rPr>
    </w:r>
    <w:r/>
  </w:p>
  <w:p>
    <w:pPr>
      <w:pStyle w:val="1184"/>
      <w:jc w:val="both"/>
      <w:rPr>
        <w:rFonts w:eastAsia="隶书"/>
        <w:sz w:val="24"/>
      </w:rPr>
      <w:pBdr>
        <w:bottom w:val="single" w:color="auto" w:sz="6" w:space="0"/>
      </w:pBdr>
    </w:pPr>
    <w:r>
      <w:rPr>
        <w:rFonts w:eastAsia="隶书"/>
        <w:sz w:val="24"/>
      </w:rPr>
    </w:r>
    <w:r/>
  </w:p>
  <w:p>
    <w:pPr>
      <w:pStyle w:val="1184"/>
      <w:jc w:val="both"/>
      <w:rPr>
        <w:rFonts w:eastAsia="隶书"/>
        <w:iCs/>
        <w:sz w:val="24"/>
      </w:rPr>
      <w:pBdr>
        <w:bottom w:val="single" w:color="auto" w:sz="6" w:space="0"/>
      </w:pBdr>
    </w:pPr>
    <w:r>
      <w:rPr>
        <w:rFonts w:hint="eastAsia" w:eastAsia="隶书"/>
        <w:sz w:val="24"/>
      </w:rPr>
      <w:t xml:space="preserve">江苏泰禾房地产土地造价咨询评估有限公司</w:t>
    </w:r>
    <w:r>
      <mc:AlternateContent>
        <mc:Choice Requires="wpg">
          <w:drawing>
            <wp:inline xmlns:wp="http://schemas.openxmlformats.org/drawingml/2006/wordprocessingDrawing" distT="0" distB="0" distL="0" distR="0">
              <wp:extent cx="422275" cy="377190"/>
              <wp:effectExtent l="0" t="0" r="0" b="381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4873024" name="图片 1"/>
                      <pic:cNvPicPr>
                        <a:picLocks noChangeAspect="1"/>
                      </pic:cNvPicPr>
                      <pic:nvPr/>
                    </pic:nvPicPr>
                    <pic:blipFill>
                      <a:blip r:embed="rId1"/>
                      <a:stretch/>
                    </pic:blipFill>
                    <pic:spPr bwMode="auto">
                      <a:xfrm>
                        <a:off x="0" y="0"/>
                        <a:ext cx="422275" cy="37718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3.2pt;height:29.7pt;mso-wrap-distance-left:0.0pt;mso-wrap-distance-top:0.0pt;mso-wrap-distance-right:0.0pt;mso-wrap-distance-bottom:0.0pt;" stroked="f">
              <v:path textboxrect="0,0,0,0"/>
              <v:imagedata r:id="rId1" o:title=""/>
            </v:shape>
          </w:pict>
        </mc:Fallback>
      </mc:AlternateContent>
    </w:r>
    <w:r>
      <w:rPr>
        <w:rFonts w:hint="eastAsia" w:eastAsia="隶书"/>
        <w:sz w:val="24"/>
      </w:rPr>
      <w:t xml:space="preserve">网址</w:t>
    </w:r>
    <w:r>
      <w:rPr>
        <w:rFonts w:hint="eastAsia" w:eastAsia="隶书"/>
        <w:sz w:val="24"/>
      </w:rPr>
      <w:t xml:space="preserve">: http://jszfcg.jsczt.cn/</w:t>
    </w:r>
    <w:r/>
  </w:p>
  <w:p>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rPr>
        <w:rFonts w:ascii="宋体"/>
        <w:sz w:val="24"/>
      </w:rPr>
    </w:pPr>
    <w:r>
      <w:rPr>
        <w:rFonts w:ascii="宋体"/>
        <w:sz w:val="24"/>
      </w:rPr>
    </w:r>
    <w:r/>
  </w:p>
  <w:p>
    <w:pPr>
      <w:pStyle w:val="1184"/>
      <w:jc w:val="both"/>
      <w:rPr>
        <w:rFonts w:eastAsia="隶书"/>
        <w:iCs/>
        <w:sz w:val="24"/>
      </w:rPr>
      <w:pBdr>
        <w:bottom w:val="single" w:color="auto" w:sz="6" w:space="0"/>
      </w:pBdr>
    </w:pPr>
    <w:r>
      <w:rPr>
        <w:rFonts w:hint="eastAsia" w:eastAsia="隶书"/>
        <w:sz w:val="24"/>
      </w:rPr>
      <w:t xml:space="preserve">江苏泰禾房地产土地造价咨询评估有限公司</w:t>
    </w:r>
    <w:r>
      <mc:AlternateContent>
        <mc:Choice Requires="wpg">
          <w:drawing>
            <wp:inline xmlns:wp="http://schemas.openxmlformats.org/drawingml/2006/wordprocessingDrawing" distT="0" distB="0" distL="0" distR="0">
              <wp:extent cx="422275" cy="377190"/>
              <wp:effectExtent l="0" t="0" r="0" b="381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042273" name="图片 1"/>
                      <pic:cNvPicPr>
                        <a:picLocks noChangeAspect="1"/>
                      </pic:cNvPicPr>
                      <pic:nvPr/>
                    </pic:nvPicPr>
                    <pic:blipFill>
                      <a:blip r:embed="rId1"/>
                      <a:stretch/>
                    </pic:blipFill>
                    <pic:spPr bwMode="auto">
                      <a:xfrm>
                        <a:off x="0" y="0"/>
                        <a:ext cx="422275" cy="37718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3.2pt;height:29.7pt;mso-wrap-distance-left:0.0pt;mso-wrap-distance-top:0.0pt;mso-wrap-distance-right:0.0pt;mso-wrap-distance-bottom:0.0pt;" stroked="f">
              <v:path textboxrect="0,0,0,0"/>
              <v:imagedata r:id="rId1" o:title=""/>
            </v:shape>
          </w:pict>
        </mc:Fallback>
      </mc:AlternateContent>
    </w:r>
    <w:r>
      <w:rPr>
        <w:rFonts w:hint="eastAsia" w:eastAsia="隶书"/>
        <w:sz w:val="24"/>
      </w:rPr>
      <w:t xml:space="preserve">网址</w:t>
    </w:r>
    <w:r>
      <w:rPr>
        <w:rFonts w:hint="eastAsia" w:eastAsia="隶书"/>
        <w:sz w:val="24"/>
      </w:rPr>
      <w:t xml:space="preserve">: http://jszfcg.jsczt.cn/</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84"/>
      <w:jc w:val="both"/>
      <w:rPr>
        <w:rFonts w:eastAsia="隶书"/>
        <w:sz w:val="24"/>
      </w:rPr>
      <w:pBdr>
        <w:bottom w:val="single" w:color="auto" w:sz="6" w:space="0"/>
      </w:pBdr>
    </w:pPr>
    <w:r>
      <w:rPr>
        <w:rFonts w:eastAsia="隶书"/>
        <w:sz w:val="24"/>
      </w:rPr>
    </w:r>
    <w:r/>
  </w:p>
  <w:p>
    <w:pPr>
      <w:pStyle w:val="1184"/>
      <w:jc w:val="both"/>
      <w:rPr>
        <w:rFonts w:eastAsia="隶书"/>
        <w:iCs/>
        <w:sz w:val="24"/>
      </w:rPr>
      <w:pBdr>
        <w:bottom w:val="single" w:color="auto" w:sz="6" w:space="0"/>
      </w:pBdr>
    </w:pPr>
    <w:r>
      <w:rPr>
        <w:rFonts w:hint="eastAsia" w:eastAsia="隶书"/>
        <w:sz w:val="24"/>
      </w:rPr>
      <w:t xml:space="preserve">江苏泰禾房地产土地造价咨询评估有限公司</w:t>
    </w:r>
    <w:r>
      <mc:AlternateContent>
        <mc:Choice Requires="wpg">
          <w:drawing>
            <wp:inline xmlns:wp="http://schemas.openxmlformats.org/drawingml/2006/wordprocessingDrawing" distT="0" distB="0" distL="0" distR="0">
              <wp:extent cx="422275" cy="377190"/>
              <wp:effectExtent l="0" t="0" r="0" b="381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0921765" name="图片 1"/>
                      <pic:cNvPicPr>
                        <a:picLocks noChangeAspect="1"/>
                      </pic:cNvPicPr>
                      <pic:nvPr/>
                    </pic:nvPicPr>
                    <pic:blipFill>
                      <a:blip r:embed="rId1"/>
                      <a:stretch/>
                    </pic:blipFill>
                    <pic:spPr bwMode="auto">
                      <a:xfrm>
                        <a:off x="0" y="0"/>
                        <a:ext cx="422275" cy="37718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3.2pt;height:29.7pt;mso-wrap-distance-left:0.0pt;mso-wrap-distance-top:0.0pt;mso-wrap-distance-right:0.0pt;mso-wrap-distance-bottom:0.0pt;" stroked="f">
              <v:path textboxrect="0,0,0,0"/>
              <v:imagedata r:id="rId1" o:title=""/>
            </v:shape>
          </w:pict>
        </mc:Fallback>
      </mc:AlternateContent>
    </w:r>
    <w:r>
      <w:rPr>
        <w:rFonts w:hint="eastAsia" w:eastAsia="隶书"/>
        <w:sz w:val="24"/>
      </w:rPr>
      <w:t xml:space="preserve">网址</w:t>
    </w:r>
    <w:r>
      <w:rPr>
        <w:rFonts w:hint="eastAsia" w:eastAsia="隶书"/>
        <w:sz w:val="24"/>
      </w:rPr>
      <w:t xml:space="preserve">: http://jszfcg.jsczt.cn/</w:t>
    </w:r>
    <w:r/>
  </w:p>
  <w:p>
    <w:pPr>
      <w:pStyle w:val="1184"/>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176"/>
      <w:isLgl w:val="false"/>
      <w:suff w:val="tab"/>
      <w:lvlText w:val="%1."/>
      <w:lvlJc w:val="left"/>
      <w:pPr>
        <w:ind w:left="1620" w:hanging="360"/>
        <w:tabs>
          <w:tab w:val="left" w:pos="16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35" w:hanging="435"/>
        <w:tabs>
          <w:tab w:val="left" w:pos="435" w:leader="none"/>
        </w:tabs>
      </w:pPr>
      <w:rPr>
        <w:rFonts w:hint="default"/>
      </w:rPr>
    </w:lvl>
    <w:lvl w:ilvl="1">
      <w:start w:val="1"/>
      <w:numFmt w:val="decimal"/>
      <w:pStyle w:val="1248"/>
      <w:isLgl w:val="false"/>
      <w:suff w:val="tab"/>
      <w:lvlText w:val="%1.%2."/>
      <w:lvlJc w:val="left"/>
      <w:pPr>
        <w:ind w:left="720" w:hanging="720"/>
        <w:tabs>
          <w:tab w:val="left" w:pos="720" w:leader="none"/>
        </w:tabs>
      </w:pPr>
      <w:rPr>
        <w:rFonts w:hint="default"/>
      </w:rPr>
    </w:lvl>
    <w:lvl w:ilvl="2">
      <w:start w:val="1"/>
      <w:numFmt w:val="decimal"/>
      <w:isLgl w:val="false"/>
      <w:suff w:val="tab"/>
      <w:lvlText w:val="%1.%2.%3."/>
      <w:lvlJc w:val="left"/>
      <w:pPr>
        <w:ind w:left="720" w:hanging="720"/>
        <w:tabs>
          <w:tab w:val="left" w:pos="720" w:leader="none"/>
        </w:tabs>
      </w:pPr>
      <w:rPr>
        <w:rFonts w:hint="default"/>
      </w:rPr>
    </w:lvl>
    <w:lvl w:ilvl="3">
      <w:start w:val="1"/>
      <w:numFmt w:val="decimal"/>
      <w:isLgl w:val="false"/>
      <w:suff w:val="tab"/>
      <w:lvlText w:val="%1.%2.%3.%4."/>
      <w:lvlJc w:val="left"/>
      <w:pPr>
        <w:ind w:left="1080" w:hanging="1080"/>
        <w:tabs>
          <w:tab w:val="left" w:pos="1080" w:leader="none"/>
        </w:tabs>
      </w:pPr>
      <w:rPr>
        <w:rFonts w:hint="default"/>
      </w:rPr>
    </w:lvl>
    <w:lvl w:ilvl="4">
      <w:start w:val="1"/>
      <w:numFmt w:val="decimal"/>
      <w:isLgl w:val="false"/>
      <w:suff w:val="tab"/>
      <w:lvlText w:val="%1.%2.%3.%4.%5."/>
      <w:lvlJc w:val="left"/>
      <w:pPr>
        <w:ind w:left="1080" w:hanging="1080"/>
        <w:tabs>
          <w:tab w:val="left" w:pos="1080" w:leader="none"/>
        </w:tabs>
      </w:pPr>
      <w:rPr>
        <w:rFonts w:hint="default"/>
      </w:rPr>
    </w:lvl>
    <w:lvl w:ilvl="5">
      <w:start w:val="1"/>
      <w:numFmt w:val="decimal"/>
      <w:isLgl w:val="false"/>
      <w:suff w:val="tab"/>
      <w:lvlText w:val="%1.%2.%3.%4.%5.%6."/>
      <w:lvlJc w:val="left"/>
      <w:pPr>
        <w:ind w:left="1440" w:hanging="1440"/>
        <w:tabs>
          <w:tab w:val="left" w:pos="1440" w:leader="none"/>
        </w:tabs>
      </w:pPr>
      <w:rPr>
        <w:rFonts w:hint="default"/>
      </w:rPr>
    </w:lvl>
    <w:lvl w:ilvl="6">
      <w:start w:val="1"/>
      <w:numFmt w:val="decimal"/>
      <w:isLgl w:val="false"/>
      <w:suff w:val="tab"/>
      <w:lvlText w:val="%1.%2.%3.%4.%5.%6.%7."/>
      <w:lvlJc w:val="left"/>
      <w:pPr>
        <w:ind w:left="1800" w:hanging="1800"/>
        <w:tabs>
          <w:tab w:val="left" w:pos="1800" w:leader="none"/>
        </w:tabs>
      </w:pPr>
      <w:rPr>
        <w:rFonts w:hint="default"/>
      </w:rPr>
    </w:lvl>
    <w:lvl w:ilvl="7">
      <w:start w:val="1"/>
      <w:numFmt w:val="decimal"/>
      <w:isLgl w:val="false"/>
      <w:suff w:val="tab"/>
      <w:lvlText w:val="%1.%2.%3.%4.%5.%6.%7.%8."/>
      <w:lvlJc w:val="left"/>
      <w:pPr>
        <w:ind w:left="1800" w:hanging="1800"/>
        <w:tabs>
          <w:tab w:val="left" w:pos="1800" w:leader="none"/>
        </w:tabs>
      </w:pPr>
      <w:rPr>
        <w:rFonts w:hint="default"/>
      </w:rPr>
    </w:lvl>
    <w:lvl w:ilvl="8">
      <w:start w:val="1"/>
      <w:numFmt w:val="decimal"/>
      <w:isLgl w:val="false"/>
      <w:suff w:val="tab"/>
      <w:lvlText w:val="%1.%2.%3.%4.%5.%6.%7.%8.%9."/>
      <w:lvlJc w:val="left"/>
      <w:pPr>
        <w:ind w:left="2160" w:hanging="2160"/>
        <w:tabs>
          <w:tab w:val="left" w:pos="2160" w:leader="none"/>
        </w:tabs>
      </w:pPr>
      <w:rPr>
        <w:rFonts w:hint="default"/>
      </w:rPr>
    </w:lvl>
  </w:abstractNum>
  <w:abstractNum w:abstractNumId="3">
    <w:multiLevelType w:val="hybridMultilevel"/>
    <w:lvl w:ilvl="0">
      <w:start w:val="1"/>
      <w:numFmt w:val="decimal"/>
      <w:pStyle w:val="1451"/>
      <w:isLgl w:val="false"/>
      <w:suff w:val="space"/>
      <w:lvlText w:val="第%1章"/>
      <w:lvlJc w:val="center"/>
      <w:pPr>
        <w:ind w:left="2689" w:firstLine="288"/>
      </w:pPr>
      <w:rPr>
        <w:rFonts w:hint="eastAsia" w:ascii="宋体" w:hAnsi="宋体" w:eastAsia="宋体"/>
        <w:b/>
        <w:i w:val="0"/>
        <w:sz w:val="32"/>
        <w:szCs w:val="28"/>
      </w:rPr>
    </w:lvl>
    <w:lvl w:ilvl="1">
      <w:start w:val="1"/>
      <w:numFmt w:val="decimal"/>
      <w:pStyle w:val="1452"/>
      <w:isLgl w:val="false"/>
      <w:suff w:val="space"/>
      <w:lvlText w:val="%1.%2"/>
      <w:lvlJc w:val="left"/>
      <w:pPr>
        <w:ind w:left="0" w:firstLine="0"/>
      </w:pPr>
      <w:rPr>
        <w:rFonts w:hint="eastAsia" w:ascii="宋体" w:hAnsi="宋体" w:eastAsia="宋体"/>
        <w:b/>
        <w:i w:val="0"/>
        <w:sz w:val="30"/>
        <w:szCs w:val="24"/>
      </w:rPr>
    </w:lvl>
    <w:lvl w:ilvl="2">
      <w:start w:val="1"/>
      <w:numFmt w:val="decimal"/>
      <w:isLgl w:val="false"/>
      <w:suff w:val="space"/>
      <w:lvlText w:val="%1.%2.%3"/>
      <w:lvlJc w:val="left"/>
      <w:pPr>
        <w:ind w:left="426" w:firstLine="0"/>
      </w:pPr>
      <w:rPr>
        <w:rFonts w:hint="eastAsia" w:ascii="宋体" w:hAnsi="宋体" w:eastAsia="宋体"/>
        <w:b/>
        <w:i w:val="0"/>
        <w:sz w:val="28"/>
        <w:szCs w:val="24"/>
      </w:rPr>
    </w:lvl>
    <w:lvl w:ilvl="3">
      <w:start w:val="1"/>
      <w:numFmt w:val="decimal"/>
      <w:isLgl w:val="false"/>
      <w:suff w:val="space"/>
      <w:lvlText w:val="%1.%2.%3.%4"/>
      <w:lvlJc w:val="left"/>
      <w:pPr>
        <w:ind w:left="0" w:firstLine="737"/>
      </w:pPr>
      <w:rPr>
        <w:rFonts w:hint="eastAsia" w:ascii="宋体" w:hAnsi="宋体" w:eastAsia="宋体"/>
        <w:b/>
        <w:i w:val="0"/>
        <w:sz w:val="24"/>
      </w:rPr>
    </w:lvl>
    <w:lvl w:ilvl="4">
      <w:start w:val="1"/>
      <w:numFmt w:val="decimal"/>
      <w:isLgl w:val="false"/>
      <w:suff w:val="tab"/>
      <w:lvlText w:val="%1.%2.%3.%4.%5"/>
      <w:lvlJc w:val="left"/>
      <w:pPr>
        <w:ind w:left="0" w:firstLine="0"/>
      </w:pPr>
      <w:rPr>
        <w:rFonts w:hint="eastAsia"/>
      </w:rPr>
    </w:lvl>
    <w:lvl w:ilvl="5">
      <w:start w:val="1"/>
      <w:numFmt w:val="decimal"/>
      <w:isLgl w:val="false"/>
      <w:suff w:val="tab"/>
      <w:lvlText w:val="%1.%2.%3.%4.%5.%6"/>
      <w:lvlJc w:val="left"/>
      <w:pPr>
        <w:ind w:left="0" w:firstLine="0"/>
      </w:pPr>
      <w:rPr>
        <w:rFonts w:hint="eastAsia"/>
      </w:rPr>
    </w:lvl>
    <w:lvl w:ilvl="6">
      <w:start w:val="1"/>
      <w:numFmt w:val="decimal"/>
      <w:isLgl w:val="false"/>
      <w:suff w:val="tab"/>
      <w:lvlText w:val="%1.%2.%3.%4.%5.%6.%7"/>
      <w:lvlJc w:val="left"/>
      <w:pPr>
        <w:ind w:left="0" w:firstLine="0"/>
      </w:pPr>
      <w:rPr>
        <w:rFonts w:hint="eastAsia"/>
      </w:rPr>
    </w:lvl>
    <w:lvl w:ilvl="7">
      <w:start w:val="1"/>
      <w:numFmt w:val="decimal"/>
      <w:isLgl w:val="false"/>
      <w:suff w:val="tab"/>
      <w:lvlText w:val="%1.%2.%3.%4.%5.%6.%7.%8"/>
      <w:lvlJc w:val="left"/>
      <w:pPr>
        <w:ind w:left="0" w:firstLine="0"/>
      </w:pPr>
      <w:rPr>
        <w:rFonts w:hint="eastAsia"/>
      </w:rPr>
    </w:lvl>
    <w:lvl w:ilvl="8">
      <w:start w:val="1"/>
      <w:numFmt w:val="decimal"/>
      <w:isLgl w:val="false"/>
      <w:suff w:val="tab"/>
      <w:lvlText w:val="%1.%2.%3.%4.%5.%6.%7.%8.%9"/>
      <w:lvlJc w:val="left"/>
      <w:pPr>
        <w:ind w:left="0" w:firstLine="0"/>
      </w:pPr>
      <w:rPr>
        <w:rFonts w:hint="eastAsia"/>
      </w:rPr>
    </w:lvl>
  </w:abstractNum>
  <w:abstractNum w:abstractNumId="4">
    <w:multiLevelType w:val="hybridMultilevel"/>
    <w:lvl w:ilvl="0">
      <w:start w:val="1"/>
      <w:numFmt w:val="bullet"/>
      <w:pStyle w:val="1259"/>
      <w:isLgl w:val="false"/>
      <w:suff w:val="tab"/>
      <w:lvlText w:val=""/>
      <w:lvlJc w:val="left"/>
      <w:pPr>
        <w:ind w:left="340" w:hanging="34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640"/>
      <w:isLgl w:val="false"/>
      <w:suff w:val="tab"/>
      <w:lvlText w:val="%1、"/>
      <w:lvlJc w:val="left"/>
      <w:pPr>
        <w:ind w:left="360" w:hanging="360"/>
        <w:tabs>
          <w:tab w:val="left" w:pos="360" w:leader="none"/>
        </w:tabs>
      </w:pPr>
      <w:rPr>
        <w:rFonts w:hint="default"/>
      </w:rPr>
    </w:lvl>
    <w:lvl w:ilvl="1">
      <w:start w:val="1"/>
      <w:numFmt w:val="lowerLetter"/>
      <w:pStyle w:val="1350"/>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1"/>
      <w:numFmt w:val="bullet"/>
      <w:pStyle w:val="1263"/>
      <w:isLgl w:val="false"/>
      <w:suff w:val="tab"/>
      <w:lvlText w:val=""/>
      <w:lvlJc w:val="left"/>
      <w:pPr>
        <w:ind w:left="1260" w:hanging="420"/>
        <w:tabs>
          <w:tab w:val="left" w:pos="1260" w:leader="none"/>
        </w:tabs>
      </w:pPr>
      <w:rPr>
        <w:rFonts w:hint="default" w:ascii="Wingdings" w:hAnsi="Wingdings"/>
      </w:rPr>
    </w:lvl>
    <w:lvl w:ilvl="1">
      <w:start w:val="1"/>
      <w:numFmt w:val="decimal"/>
      <w:isLgl w:val="false"/>
      <w:suff w:val="tab"/>
      <w:lvlText w:val="%2."/>
      <w:lvlJc w:val="left"/>
      <w:pPr>
        <w:ind w:left="1053" w:hanging="360"/>
        <w:tabs>
          <w:tab w:val="left" w:pos="1053" w:leader="none"/>
        </w:tabs>
      </w:pPr>
      <w:rPr>
        <w:rFonts w:hint="eastAsia"/>
      </w:rPr>
    </w:lvl>
    <w:lvl w:ilvl="2">
      <w:start w:val="1"/>
      <w:numFmt w:val="bullet"/>
      <w:isLgl w:val="false"/>
      <w:suff w:val="tab"/>
      <w:lvlText w:val=""/>
      <w:lvlJc w:val="left"/>
      <w:pPr>
        <w:ind w:left="1533" w:hanging="420"/>
        <w:tabs>
          <w:tab w:val="left" w:pos="1533" w:leader="none"/>
        </w:tabs>
      </w:pPr>
      <w:rPr>
        <w:rFonts w:hint="default" w:ascii="Wingdings" w:hAnsi="Wingdings"/>
      </w:rPr>
    </w:lvl>
    <w:lvl w:ilvl="3">
      <w:start w:val="1"/>
      <w:numFmt w:val="bullet"/>
      <w:isLgl w:val="false"/>
      <w:suff w:val="tab"/>
      <w:lvlText w:val=""/>
      <w:lvlJc w:val="left"/>
      <w:pPr>
        <w:ind w:left="1953" w:hanging="420"/>
        <w:tabs>
          <w:tab w:val="left" w:pos="1953" w:leader="none"/>
        </w:tabs>
      </w:pPr>
      <w:rPr>
        <w:rFonts w:hint="default" w:ascii="Wingdings" w:hAnsi="Wingdings"/>
      </w:rPr>
    </w:lvl>
    <w:lvl w:ilvl="4">
      <w:start w:val="1"/>
      <w:numFmt w:val="bullet"/>
      <w:isLgl w:val="false"/>
      <w:suff w:val="tab"/>
      <w:lvlText w:val=""/>
      <w:lvlJc w:val="left"/>
      <w:pPr>
        <w:ind w:left="2373" w:hanging="420"/>
        <w:tabs>
          <w:tab w:val="left" w:pos="2373" w:leader="none"/>
        </w:tabs>
      </w:pPr>
      <w:rPr>
        <w:rFonts w:hint="default" w:ascii="Wingdings" w:hAnsi="Wingdings"/>
      </w:rPr>
    </w:lvl>
    <w:lvl w:ilvl="5">
      <w:start w:val="1"/>
      <w:numFmt w:val="bullet"/>
      <w:isLgl w:val="false"/>
      <w:suff w:val="tab"/>
      <w:lvlText w:val=""/>
      <w:lvlJc w:val="left"/>
      <w:pPr>
        <w:ind w:left="2793" w:hanging="420"/>
        <w:tabs>
          <w:tab w:val="left" w:pos="2793" w:leader="none"/>
        </w:tabs>
      </w:pPr>
      <w:rPr>
        <w:rFonts w:hint="default" w:ascii="Wingdings" w:hAnsi="Wingdings"/>
      </w:rPr>
    </w:lvl>
    <w:lvl w:ilvl="6">
      <w:start w:val="1"/>
      <w:numFmt w:val="bullet"/>
      <w:isLgl w:val="false"/>
      <w:suff w:val="tab"/>
      <w:lvlText w:val=""/>
      <w:lvlJc w:val="left"/>
      <w:pPr>
        <w:ind w:left="3213" w:hanging="420"/>
        <w:tabs>
          <w:tab w:val="left" w:pos="3213" w:leader="none"/>
        </w:tabs>
      </w:pPr>
      <w:rPr>
        <w:rFonts w:hint="default" w:ascii="Wingdings" w:hAnsi="Wingdings"/>
      </w:rPr>
    </w:lvl>
    <w:lvl w:ilvl="7">
      <w:start w:val="1"/>
      <w:numFmt w:val="bullet"/>
      <w:isLgl w:val="false"/>
      <w:suff w:val="tab"/>
      <w:lvlText w:val=""/>
      <w:lvlJc w:val="left"/>
      <w:pPr>
        <w:ind w:left="3633" w:hanging="420"/>
        <w:tabs>
          <w:tab w:val="left" w:pos="3633" w:leader="none"/>
        </w:tabs>
      </w:pPr>
      <w:rPr>
        <w:rFonts w:hint="default" w:ascii="Wingdings" w:hAnsi="Wingdings"/>
      </w:rPr>
    </w:lvl>
    <w:lvl w:ilvl="8">
      <w:start w:val="1"/>
      <w:numFmt w:val="bullet"/>
      <w:isLgl w:val="false"/>
      <w:suff w:val="tab"/>
      <w:lvlText w:val=""/>
      <w:lvlJc w:val="left"/>
      <w:pPr>
        <w:ind w:left="4053" w:hanging="420"/>
        <w:tabs>
          <w:tab w:val="left" w:pos="4053" w:leader="none"/>
        </w:tabs>
      </w:pPr>
      <w:rPr>
        <w:rFonts w:hint="default" w:ascii="Wingdings" w:hAnsi="Wingdings"/>
      </w:rPr>
    </w:lvl>
  </w:abstractNum>
  <w:abstractNum w:abstractNumId="7">
    <w:multiLevelType w:val="hybridMultilevel"/>
    <w:lvl w:ilvl="0">
      <w:start w:val="1"/>
      <w:numFmt w:val="decimal"/>
      <w:pStyle w:val="1664"/>
      <w:isLgl w:val="false"/>
      <w:suff w:val="space"/>
      <w:lvlText w:val="图%1"/>
      <w:lvlJc w:val="left"/>
      <w:pPr>
        <w:ind w:left="0" w:firstLine="0"/>
      </w:pPr>
      <w:rPr>
        <w:rFonts w:hint="eastAsia" w:ascii="宋体" w:hAnsi="宋体" w:eastAsia="宋体"/>
        <w:b w:val="0"/>
        <w:bCs w:val="0"/>
        <w:i w:val="0"/>
        <w:iCs w:val="0"/>
        <w:caps w:val="0"/>
        <w:strike w:val="0"/>
        <w:vanish w:val="0"/>
        <w:spacing w:val="0"/>
        <w:position w:val="0"/>
        <w:u w:val="none"/>
        <w:vertAlign w:val="baseline"/>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bullet"/>
      <w:pStyle w:val="1171"/>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9">
    <w:multiLevelType w:val="hybridMultilevel"/>
    <w:lvl w:ilvl="0">
      <w:start w:val="1"/>
      <w:numFmt w:val="decimal"/>
      <w:pStyle w:val="1258"/>
      <w:isLgl w:val="false"/>
      <w:suff w:val="tab"/>
      <w:lvlText w:val="(%1)"/>
      <w:lvlJc w:val="left"/>
      <w:pPr>
        <w:ind w:left="798" w:hanging="360"/>
        <w:tabs>
          <w:tab w:val="left" w:pos="798" w:leader="none"/>
        </w:tabs>
      </w:pPr>
      <w:rPr>
        <w:rFonts w:hint="eastAsia"/>
      </w:rPr>
    </w:lvl>
    <w:lvl w:ilvl="1">
      <w:start w:val="1"/>
      <w:numFmt w:val="lowerLetter"/>
      <w:isLgl w:val="false"/>
      <w:suff w:val="tab"/>
      <w:lvlText w:val="%2)"/>
      <w:lvlJc w:val="left"/>
      <w:pPr>
        <w:ind w:left="1278" w:hanging="420"/>
        <w:tabs>
          <w:tab w:val="left" w:pos="1278" w:leader="none"/>
        </w:tabs>
      </w:pPr>
    </w:lvl>
    <w:lvl w:ilvl="2">
      <w:start w:val="1"/>
      <w:numFmt w:val="lowerRoman"/>
      <w:isLgl w:val="false"/>
      <w:suff w:val="tab"/>
      <w:lvlText w:val="%3."/>
      <w:lvlJc w:val="right"/>
      <w:pPr>
        <w:ind w:left="1698" w:hanging="420"/>
        <w:tabs>
          <w:tab w:val="left" w:pos="1698" w:leader="none"/>
        </w:tabs>
      </w:pPr>
    </w:lvl>
    <w:lvl w:ilvl="3">
      <w:start w:val="1"/>
      <w:numFmt w:val="decimal"/>
      <w:isLgl w:val="false"/>
      <w:suff w:val="tab"/>
      <w:lvlText w:val="%4."/>
      <w:lvlJc w:val="left"/>
      <w:pPr>
        <w:ind w:left="2118" w:hanging="420"/>
        <w:tabs>
          <w:tab w:val="left" w:pos="2118" w:leader="none"/>
        </w:tabs>
      </w:pPr>
    </w:lvl>
    <w:lvl w:ilvl="4">
      <w:start w:val="1"/>
      <w:numFmt w:val="lowerLetter"/>
      <w:isLgl w:val="false"/>
      <w:suff w:val="tab"/>
      <w:lvlText w:val="%5)"/>
      <w:lvlJc w:val="left"/>
      <w:pPr>
        <w:ind w:left="2538" w:hanging="420"/>
        <w:tabs>
          <w:tab w:val="left" w:pos="2538" w:leader="none"/>
        </w:tabs>
      </w:pPr>
    </w:lvl>
    <w:lvl w:ilvl="5">
      <w:start w:val="1"/>
      <w:numFmt w:val="lowerRoman"/>
      <w:isLgl w:val="false"/>
      <w:suff w:val="tab"/>
      <w:lvlText w:val="%6."/>
      <w:lvlJc w:val="right"/>
      <w:pPr>
        <w:ind w:left="2958" w:hanging="420"/>
        <w:tabs>
          <w:tab w:val="left" w:pos="2958" w:leader="none"/>
        </w:tabs>
      </w:pPr>
    </w:lvl>
    <w:lvl w:ilvl="6">
      <w:start w:val="1"/>
      <w:numFmt w:val="decimal"/>
      <w:isLgl w:val="false"/>
      <w:suff w:val="tab"/>
      <w:lvlText w:val="%7."/>
      <w:lvlJc w:val="left"/>
      <w:pPr>
        <w:ind w:left="3378" w:hanging="420"/>
        <w:tabs>
          <w:tab w:val="left" w:pos="3378" w:leader="none"/>
        </w:tabs>
      </w:pPr>
    </w:lvl>
    <w:lvl w:ilvl="7">
      <w:start w:val="1"/>
      <w:numFmt w:val="lowerLetter"/>
      <w:isLgl w:val="false"/>
      <w:suff w:val="tab"/>
      <w:lvlText w:val="%8)"/>
      <w:lvlJc w:val="left"/>
      <w:pPr>
        <w:ind w:left="3798" w:hanging="420"/>
        <w:tabs>
          <w:tab w:val="left" w:pos="3798" w:leader="none"/>
        </w:tabs>
      </w:pPr>
    </w:lvl>
    <w:lvl w:ilvl="8">
      <w:start w:val="1"/>
      <w:numFmt w:val="lowerRoman"/>
      <w:isLgl w:val="false"/>
      <w:suff w:val="tab"/>
      <w:lvlText w:val="%9."/>
      <w:lvlJc w:val="right"/>
      <w:pPr>
        <w:ind w:left="4218" w:hanging="420"/>
        <w:tabs>
          <w:tab w:val="left" w:pos="4218" w:leader="none"/>
        </w:tabs>
      </w:pPr>
    </w:lvl>
  </w:abstractNum>
  <w:abstractNum w:abstractNumId="10">
    <w:multiLevelType w:val="hybridMultilevel"/>
    <w:lvl w:ilvl="0">
      <w:start w:val="1"/>
      <w:numFmt w:val="decimal"/>
      <w:pStyle w:val="1653"/>
      <w:isLgl w:val="false"/>
      <w:suff w:val="space"/>
      <w:lvlText w:val="%1)"/>
      <w:lvlJc w:val="left"/>
      <w:pPr>
        <w:ind w:left="567" w:firstLine="0"/>
      </w:pPr>
      <w:rPr>
        <w:b w:val="0"/>
        <w:bCs w:val="0"/>
        <w:i w:val="0"/>
        <w:iCs w:val="0"/>
        <w:caps w:val="0"/>
        <w:smallCaps w:val="0"/>
        <w:strike w:val="0"/>
        <w:vanish w:val="0"/>
        <w:spacing w:val="0"/>
        <w:position w:val="0"/>
        <w:u w:val="none"/>
        <w:vertAlign w:val="baseline"/>
      </w:rPr>
    </w:lvl>
    <w:lvl w:ilvl="1">
      <w:start w:val="1"/>
      <w:numFmt w:val="lowerLetter"/>
      <w:isLgl w:val="false"/>
      <w:suff w:val="tab"/>
      <w:lvlText w:val="%2)"/>
      <w:lvlJc w:val="left"/>
      <w:pPr>
        <w:ind w:left="420" w:hanging="420"/>
      </w:pPr>
    </w:lvl>
    <w:lvl w:ilvl="2">
      <w:start w:val="1"/>
      <w:numFmt w:val="lowerRoman"/>
      <w:isLgl w:val="false"/>
      <w:suff w:val="tab"/>
      <w:lvlText w:val="%3."/>
      <w:lvlJc w:val="right"/>
      <w:pPr>
        <w:ind w:left="840" w:hanging="420"/>
      </w:pPr>
    </w:lvl>
    <w:lvl w:ilvl="3">
      <w:start w:val="1"/>
      <w:numFmt w:val="decimal"/>
      <w:isLgl w:val="false"/>
      <w:suff w:val="tab"/>
      <w:lvlText w:val="%4."/>
      <w:lvlJc w:val="left"/>
      <w:pPr>
        <w:ind w:left="1260" w:hanging="420"/>
      </w:pPr>
    </w:lvl>
    <w:lvl w:ilvl="4">
      <w:start w:val="1"/>
      <w:numFmt w:val="lowerLetter"/>
      <w:isLgl w:val="false"/>
      <w:suff w:val="tab"/>
      <w:lvlText w:val="%5)"/>
      <w:lvlJc w:val="left"/>
      <w:pPr>
        <w:ind w:left="1680" w:hanging="420"/>
      </w:pPr>
    </w:lvl>
    <w:lvl w:ilvl="5">
      <w:start w:val="1"/>
      <w:numFmt w:val="lowerRoman"/>
      <w:isLgl w:val="false"/>
      <w:suff w:val="tab"/>
      <w:lvlText w:val="%6."/>
      <w:lvlJc w:val="right"/>
      <w:pPr>
        <w:ind w:left="2100" w:hanging="420"/>
      </w:pPr>
    </w:lvl>
    <w:lvl w:ilvl="6">
      <w:start w:val="1"/>
      <w:numFmt w:val="decimal"/>
      <w:isLgl w:val="false"/>
      <w:suff w:val="tab"/>
      <w:lvlText w:val="%7."/>
      <w:lvlJc w:val="left"/>
      <w:pPr>
        <w:ind w:left="2520" w:hanging="420"/>
      </w:pPr>
    </w:lvl>
    <w:lvl w:ilvl="7">
      <w:start w:val="1"/>
      <w:numFmt w:val="lowerLetter"/>
      <w:isLgl w:val="false"/>
      <w:suff w:val="tab"/>
      <w:lvlText w:val="%8)"/>
      <w:lvlJc w:val="left"/>
      <w:pPr>
        <w:ind w:left="2940" w:hanging="420"/>
      </w:pPr>
    </w:lvl>
    <w:lvl w:ilvl="8">
      <w:start w:val="1"/>
      <w:numFmt w:val="lowerRoman"/>
      <w:isLgl w:val="false"/>
      <w:suff w:val="tab"/>
      <w:lvlText w:val="%9."/>
      <w:lvlJc w:val="right"/>
      <w:pPr>
        <w:ind w:left="3360" w:hanging="420"/>
      </w:pPr>
    </w:lvl>
  </w:abstractNum>
  <w:abstractNum w:abstractNumId="11">
    <w:multiLevelType w:val="hybridMultilevel"/>
    <w:lvl w:ilvl="0">
      <w:start w:val="1"/>
      <w:numFmt w:val="bullet"/>
      <w:pStyle w:val="1264"/>
      <w:isLgl w:val="false"/>
      <w:suff w:val="tab"/>
      <w:lvlText w:val=""/>
      <w:lvlJc w:val="left"/>
      <w:pPr>
        <w:ind w:left="1021" w:hanging="454"/>
        <w:tabs>
          <w:tab w:val="left" w:pos="1021"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12">
    <w:multiLevelType w:val="hybridMultilevel"/>
    <w:lvl w:ilvl="0">
      <w:start w:val="1"/>
      <w:numFmt w:val="bullet"/>
      <w:pStyle w:val="1639"/>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13">
    <w:multiLevelType w:val="hybridMultilevel"/>
    <w:lvl w:ilvl="0">
      <w:start w:val="1"/>
      <w:numFmt w:val="bullet"/>
      <w:pStyle w:val="1260"/>
      <w:isLgl w:val="false"/>
      <w:suff w:val="tab"/>
      <w:lvlText w:val=""/>
      <w:lvlJc w:val="left"/>
      <w:pPr>
        <w:ind w:left="562" w:hanging="420"/>
        <w:tabs>
          <w:tab w:val="left" w:pos="562" w:leader="none"/>
        </w:tabs>
      </w:pPr>
      <w:rPr>
        <w:rFonts w:hint="default" w:ascii="Wingdings" w:hAnsi="Wingdings"/>
      </w:rPr>
    </w:lvl>
    <w:lvl w:ilvl="1">
      <w:start w:val="1"/>
      <w:numFmt w:val="bullet"/>
      <w:isLgl w:val="false"/>
      <w:suff w:val="tab"/>
      <w:lvlText w:val=""/>
      <w:lvlJc w:val="left"/>
      <w:pPr>
        <w:ind w:left="982" w:hanging="420"/>
        <w:tabs>
          <w:tab w:val="left" w:pos="982" w:leader="none"/>
        </w:tabs>
      </w:pPr>
      <w:rPr>
        <w:rFonts w:hint="default" w:ascii="Wingdings" w:hAnsi="Wingdings"/>
      </w:rPr>
    </w:lvl>
    <w:lvl w:ilvl="2">
      <w:start w:val="1"/>
      <w:numFmt w:val="bullet"/>
      <w:isLgl w:val="false"/>
      <w:suff w:val="tab"/>
      <w:lvlText w:val=""/>
      <w:lvlJc w:val="left"/>
      <w:pPr>
        <w:ind w:left="1402" w:hanging="420"/>
        <w:tabs>
          <w:tab w:val="left" w:pos="1402" w:leader="none"/>
        </w:tabs>
      </w:pPr>
      <w:rPr>
        <w:rFonts w:hint="default" w:ascii="Wingdings" w:hAnsi="Wingdings"/>
      </w:rPr>
    </w:lvl>
    <w:lvl w:ilvl="3">
      <w:start w:val="1"/>
      <w:numFmt w:val="bullet"/>
      <w:isLgl w:val="false"/>
      <w:suff w:val="tab"/>
      <w:lvlText w:val=""/>
      <w:lvlJc w:val="left"/>
      <w:pPr>
        <w:ind w:left="1822" w:hanging="420"/>
        <w:tabs>
          <w:tab w:val="left" w:pos="1822" w:leader="none"/>
        </w:tabs>
      </w:pPr>
      <w:rPr>
        <w:rFonts w:hint="default" w:ascii="Wingdings" w:hAnsi="Wingdings"/>
      </w:rPr>
    </w:lvl>
    <w:lvl w:ilvl="4">
      <w:start w:val="1"/>
      <w:numFmt w:val="bullet"/>
      <w:isLgl w:val="false"/>
      <w:suff w:val="tab"/>
      <w:lvlText w:val=""/>
      <w:lvlJc w:val="left"/>
      <w:pPr>
        <w:ind w:left="2242" w:hanging="420"/>
        <w:tabs>
          <w:tab w:val="left" w:pos="2242" w:leader="none"/>
        </w:tabs>
      </w:pPr>
      <w:rPr>
        <w:rFonts w:hint="default" w:ascii="Wingdings" w:hAnsi="Wingdings"/>
      </w:rPr>
    </w:lvl>
    <w:lvl w:ilvl="5">
      <w:start w:val="1"/>
      <w:numFmt w:val="bullet"/>
      <w:isLgl w:val="false"/>
      <w:suff w:val="tab"/>
      <w:lvlText w:val=""/>
      <w:lvlJc w:val="left"/>
      <w:pPr>
        <w:ind w:left="2662" w:hanging="420"/>
        <w:tabs>
          <w:tab w:val="left" w:pos="2662" w:leader="none"/>
        </w:tabs>
      </w:pPr>
      <w:rPr>
        <w:rFonts w:hint="default" w:ascii="Wingdings" w:hAnsi="Wingdings"/>
      </w:rPr>
    </w:lvl>
    <w:lvl w:ilvl="6">
      <w:start w:val="1"/>
      <w:numFmt w:val="bullet"/>
      <w:isLgl w:val="false"/>
      <w:suff w:val="tab"/>
      <w:lvlText w:val=""/>
      <w:lvlJc w:val="left"/>
      <w:pPr>
        <w:ind w:left="3082" w:hanging="420"/>
        <w:tabs>
          <w:tab w:val="left" w:pos="3082" w:leader="none"/>
        </w:tabs>
      </w:pPr>
      <w:rPr>
        <w:rFonts w:hint="default" w:ascii="Wingdings" w:hAnsi="Wingdings"/>
      </w:rPr>
    </w:lvl>
    <w:lvl w:ilvl="7">
      <w:start w:val="1"/>
      <w:numFmt w:val="bullet"/>
      <w:isLgl w:val="false"/>
      <w:suff w:val="tab"/>
      <w:lvlText w:val=""/>
      <w:lvlJc w:val="left"/>
      <w:pPr>
        <w:ind w:left="3502" w:hanging="420"/>
        <w:tabs>
          <w:tab w:val="left" w:pos="3502" w:leader="none"/>
        </w:tabs>
      </w:pPr>
      <w:rPr>
        <w:rFonts w:hint="default" w:ascii="Wingdings" w:hAnsi="Wingdings"/>
      </w:rPr>
    </w:lvl>
    <w:lvl w:ilvl="8">
      <w:start w:val="1"/>
      <w:numFmt w:val="bullet"/>
      <w:isLgl w:val="false"/>
      <w:suff w:val="tab"/>
      <w:lvlText w:val=""/>
      <w:lvlJc w:val="left"/>
      <w:pPr>
        <w:ind w:left="3922" w:hanging="420"/>
        <w:tabs>
          <w:tab w:val="left" w:pos="3922" w:leader="none"/>
        </w:tabs>
      </w:pPr>
      <w:rPr>
        <w:rFonts w:hint="default" w:ascii="Wingdings" w:hAnsi="Wingdings"/>
      </w:rPr>
    </w:lvl>
  </w:abstractNum>
  <w:abstractNum w:abstractNumId="14">
    <w:multiLevelType w:val="hybridMultilevel"/>
    <w:lvl w:ilvl="0">
      <w:start w:val="1"/>
      <w:numFmt w:val="bullet"/>
      <w:isLgl w:val="false"/>
      <w:suff w:val="tab"/>
      <w:lvlText w:val=""/>
      <w:lvlJc w:val="left"/>
      <w:pPr>
        <w:ind w:left="1021" w:hanging="454"/>
        <w:tabs>
          <w:tab w:val="left" w:pos="1021" w:leader="none"/>
        </w:tabs>
      </w:pPr>
      <w:rPr>
        <w:rFonts w:hint="default" w:ascii="Wingdings" w:hAnsi="Wingdings"/>
      </w:rPr>
    </w:lvl>
    <w:lvl w:ilvl="1">
      <w:start w:val="1"/>
      <w:numFmt w:val="bullet"/>
      <w:isLgl w:val="false"/>
      <w:suff w:val="tab"/>
      <w:lvlText w:val=""/>
      <w:lvlJc w:val="left"/>
      <w:pPr>
        <w:ind w:left="150" w:hanging="420"/>
        <w:tabs>
          <w:tab w:val="left" w:pos="150" w:leader="none"/>
        </w:tabs>
      </w:pPr>
      <w:rPr>
        <w:rFonts w:hint="default" w:ascii="Wingdings" w:hAnsi="Wingdings"/>
      </w:rPr>
    </w:lvl>
    <w:lvl w:ilvl="2">
      <w:start w:val="1"/>
      <w:numFmt w:val="bullet"/>
      <w:isLgl w:val="false"/>
      <w:suff w:val="tab"/>
      <w:lvlText w:val=""/>
      <w:lvlJc w:val="left"/>
      <w:pPr>
        <w:ind w:left="570" w:hanging="420"/>
        <w:tabs>
          <w:tab w:val="left" w:pos="570" w:leader="none"/>
        </w:tabs>
      </w:pPr>
      <w:rPr>
        <w:rFonts w:hint="default" w:ascii="Wingdings" w:hAnsi="Wingdings"/>
      </w:rPr>
    </w:lvl>
    <w:lvl w:ilvl="3">
      <w:start w:val="1"/>
      <w:numFmt w:val="bullet"/>
      <w:pStyle w:val="1431"/>
      <w:isLgl w:val="false"/>
      <w:suff w:val="tab"/>
      <w:lvlText w:val=""/>
      <w:lvlJc w:val="left"/>
      <w:pPr>
        <w:ind w:left="964" w:hanging="510"/>
        <w:tabs>
          <w:tab w:val="left" w:pos="964" w:leader="none"/>
        </w:tabs>
      </w:pPr>
      <w:rPr>
        <w:rFonts w:hint="default" w:ascii="Wingdings" w:hAnsi="Wingdings"/>
      </w:rPr>
    </w:lvl>
    <w:lvl w:ilvl="4">
      <w:start w:val="1"/>
      <w:numFmt w:val="chineseCountingThousand"/>
      <w:isLgl w:val="false"/>
      <w:suff w:val="tab"/>
      <w:lvlText w:val="第%5章"/>
      <w:lvlJc w:val="right"/>
      <w:pPr>
        <w:ind w:left="1410" w:hanging="420"/>
        <w:tabs>
          <w:tab w:val="left" w:pos="1410" w:leader="none"/>
        </w:tabs>
      </w:pPr>
      <w:rPr>
        <w:rFonts w:hint="eastAsia"/>
      </w:rPr>
    </w:lvl>
    <w:lvl w:ilvl="5">
      <w:start w:val="1"/>
      <w:numFmt w:val="bullet"/>
      <w:isLgl w:val="false"/>
      <w:suff w:val="tab"/>
      <w:lvlText w:val=""/>
      <w:lvlJc w:val="left"/>
      <w:pPr>
        <w:ind w:left="1830" w:hanging="420"/>
        <w:tabs>
          <w:tab w:val="left" w:pos="1830" w:leader="none"/>
        </w:tabs>
      </w:pPr>
      <w:rPr>
        <w:rFonts w:hint="default" w:ascii="Wingdings" w:hAnsi="Wingdings"/>
      </w:rPr>
    </w:lvl>
    <w:lvl w:ilvl="6">
      <w:start w:val="1"/>
      <w:numFmt w:val="bullet"/>
      <w:isLgl w:val="false"/>
      <w:suff w:val="tab"/>
      <w:lvlText w:val=""/>
      <w:lvlJc w:val="left"/>
      <w:pPr>
        <w:ind w:left="2250" w:hanging="420"/>
        <w:tabs>
          <w:tab w:val="left" w:pos="2250" w:leader="none"/>
        </w:tabs>
      </w:pPr>
      <w:rPr>
        <w:rFonts w:hint="default" w:ascii="Wingdings" w:hAnsi="Wingdings"/>
      </w:rPr>
    </w:lvl>
    <w:lvl w:ilvl="7">
      <w:start w:val="1"/>
      <w:numFmt w:val="decimal"/>
      <w:isLgl w:val="false"/>
      <w:suff w:val="tab"/>
      <w:lvlText w:val="%8、"/>
      <w:lvlJc w:val="left"/>
      <w:pPr>
        <w:ind w:left="2745" w:hanging="495"/>
        <w:tabs>
          <w:tab w:val="left" w:pos="2745" w:leader="none"/>
        </w:tabs>
      </w:pPr>
      <w:rPr>
        <w:rFonts w:hint="default"/>
      </w:rPr>
    </w:lvl>
    <w:lvl w:ilvl="8">
      <w:start w:val="1"/>
      <w:numFmt w:val="bullet"/>
      <w:isLgl w:val="false"/>
      <w:suff w:val="tab"/>
      <w:lvlText w:val=""/>
      <w:lvlJc w:val="left"/>
      <w:pPr>
        <w:ind w:left="3090" w:hanging="420"/>
        <w:tabs>
          <w:tab w:val="left" w:pos="3090" w:leader="none"/>
        </w:tabs>
      </w:pPr>
      <w:rPr>
        <w:rFonts w:hint="default" w:ascii="Wingdings" w:hAnsi="Wingdings"/>
      </w:rPr>
    </w:lvl>
  </w:abstractNum>
  <w:abstractNum w:abstractNumId="15">
    <w:multiLevelType w:val="hybridMultilevel"/>
    <w:lvl w:ilvl="0">
      <w:start w:val="1"/>
      <w:numFmt w:val="decimal"/>
      <w:pStyle w:val="1244"/>
      <w:isLgl w:val="false"/>
      <w:suff w:val="tab"/>
      <w:lvlText w:val="%1."/>
      <w:lvlJc w:val="left"/>
      <w:pPr>
        <w:ind w:left="340" w:hanging="340"/>
        <w:tabs>
          <w:tab w:val="left" w:pos="360" w:leader="none"/>
        </w:tabs>
      </w:pPr>
      <w:rPr>
        <w:rFonts w:hint="default" w:ascii="Arial Narrow" w:hAnsi="Arial Narrow"/>
        <w:b/>
        <w:i w:val="0"/>
        <w:sz w:val="24"/>
        <w:szCs w:val="24"/>
      </w:rPr>
    </w:lvl>
    <w:lvl w:ilvl="1">
      <w:start w:val="1"/>
      <w:numFmt w:val="decimal"/>
      <w:pStyle w:val="1245"/>
      <w:isLgl w:val="false"/>
      <w:suff w:val="tab"/>
      <w:lvlText w:val="%1.%2"/>
      <w:lvlJc w:val="left"/>
      <w:pPr>
        <w:ind w:left="397" w:hanging="397"/>
        <w:tabs>
          <w:tab w:val="left" w:pos="397" w:leader="none"/>
        </w:tabs>
      </w:pPr>
      <w:rPr>
        <w:rFonts w:hint="default" w:ascii="Arial Narrow" w:hAnsi="Arial Narrow" w:cs="Times New Roman"/>
        <w:b w:val="0"/>
        <w:bCs w:val="0"/>
        <w:i w:val="0"/>
        <w:iCs w:val="0"/>
        <w:caps w:val="0"/>
        <w:smallCaps w:val="0"/>
        <w:strike w:val="0"/>
        <w:vanish w:val="0"/>
        <w:color w:val="000000"/>
        <w:spacing w:val="0"/>
        <w:position w:val="0"/>
        <w:sz w:val="24"/>
        <w:szCs w:val="24"/>
        <w:u w:val="none"/>
        <w:vertAlign w:val="baseline"/>
      </w:rPr>
    </w:lvl>
    <w:lvl w:ilvl="2">
      <w:start w:val="1"/>
      <w:numFmt w:val="decimal"/>
      <w:pStyle w:val="1246"/>
      <w:isLgl w:val="false"/>
      <w:suff w:val="tab"/>
      <w:lvlText w:val="%1.%2.%3"/>
      <w:lvlJc w:val="left"/>
      <w:pPr>
        <w:ind w:left="567" w:hanging="567"/>
        <w:tabs>
          <w:tab w:val="left" w:pos="720" w:leader="none"/>
        </w:tabs>
      </w:pPr>
      <w:rPr>
        <w:rFonts w:hint="default" w:ascii="Arial Narrow" w:hAnsi="Arial Narrow"/>
        <w:b/>
        <w:i w:val="0"/>
        <w:sz w:val="24"/>
        <w:szCs w:val="24"/>
      </w:rPr>
    </w:lvl>
    <w:lvl w:ilvl="3">
      <w:start w:val="1"/>
      <w:numFmt w:val="decimal"/>
      <w:pStyle w:val="1247"/>
      <w:isLgl w:val="false"/>
      <w:suff w:val="tab"/>
      <w:lvlText w:val="%1.%2.%3.%4"/>
      <w:lvlJc w:val="left"/>
      <w:pPr>
        <w:ind w:left="737" w:hanging="737"/>
        <w:tabs>
          <w:tab w:val="left" w:pos="1080" w:leader="none"/>
        </w:tabs>
      </w:pPr>
      <w:rPr>
        <w:rFonts w:hint="default" w:ascii="Arial Narrow" w:hAnsi="Arial Narrow"/>
        <w:b/>
        <w:i w:val="0"/>
        <w:sz w:val="24"/>
        <w:szCs w:val="24"/>
      </w:rPr>
    </w:lvl>
    <w:lvl w:ilvl="4">
      <w:start w:val="1"/>
      <w:numFmt w:val="decimal"/>
      <w:isLgl w:val="false"/>
      <w:suff w:val="tab"/>
      <w:lvlText w:val="%1.%2.%3.%4.%5"/>
      <w:lvlJc w:val="left"/>
      <w:pPr>
        <w:ind w:left="2551" w:hanging="850"/>
        <w:tabs>
          <w:tab w:val="left" w:pos="2551" w:leader="none"/>
        </w:tabs>
      </w:pPr>
      <w:rPr>
        <w:rFonts w:hint="eastAsia"/>
      </w:rPr>
    </w:lvl>
    <w:lvl w:ilvl="5">
      <w:start w:val="1"/>
      <w:numFmt w:val="decimal"/>
      <w:isLgl w:val="false"/>
      <w:suff w:val="tab"/>
      <w:lvlText w:val="%1.%2.%3.%4.%5.%6"/>
      <w:lvlJc w:val="left"/>
      <w:pPr>
        <w:ind w:left="3260" w:hanging="1134"/>
        <w:tabs>
          <w:tab w:val="left" w:pos="3260" w:leader="none"/>
        </w:tabs>
      </w:pPr>
      <w:rPr>
        <w:rFonts w:hint="eastAsia"/>
      </w:rPr>
    </w:lvl>
    <w:lvl w:ilvl="6">
      <w:start w:val="1"/>
      <w:numFmt w:val="decimal"/>
      <w:isLgl w:val="false"/>
      <w:suff w:val="tab"/>
      <w:lvlText w:val="%1.%2.%3.%4.%5.%6.%7"/>
      <w:lvlJc w:val="left"/>
      <w:pPr>
        <w:ind w:left="3827" w:hanging="1276"/>
        <w:tabs>
          <w:tab w:val="left" w:pos="3827" w:leader="none"/>
        </w:tabs>
      </w:pPr>
      <w:rPr>
        <w:rFonts w:hint="eastAsia"/>
      </w:rPr>
    </w:lvl>
    <w:lvl w:ilvl="7">
      <w:start w:val="1"/>
      <w:numFmt w:val="decimal"/>
      <w:isLgl w:val="false"/>
      <w:suff w:val="tab"/>
      <w:lvlText w:val="%1.%2.%3.%4.%5.%6.%7.%8"/>
      <w:lvlJc w:val="left"/>
      <w:pPr>
        <w:ind w:left="4394" w:hanging="1418"/>
        <w:tabs>
          <w:tab w:val="left" w:pos="4394" w:leader="none"/>
        </w:tabs>
      </w:pPr>
      <w:rPr>
        <w:rFonts w:hint="eastAsia"/>
      </w:rPr>
    </w:lvl>
    <w:lvl w:ilvl="8">
      <w:start w:val="1"/>
      <w:numFmt w:val="decimal"/>
      <w:isLgl w:val="false"/>
      <w:suff w:val="tab"/>
      <w:lvlText w:val="%1.%2.%3.%4.%5.%6.%7.%8.%9"/>
      <w:lvlJc w:val="left"/>
      <w:pPr>
        <w:ind w:left="5102" w:hanging="1700"/>
        <w:tabs>
          <w:tab w:val="left" w:pos="5102" w:leader="none"/>
        </w:tabs>
      </w:pPr>
      <w:rPr>
        <w:rFonts w:hint="eastAsia"/>
      </w:rPr>
    </w:lvl>
  </w:abstractNum>
  <w:abstractNum w:abstractNumId="16">
    <w:multiLevelType w:val="hybridMultilevel"/>
    <w:lvl w:ilvl="0">
      <w:start w:val="1"/>
      <w:numFmt w:val="decimal"/>
      <w:pStyle w:val="1160"/>
      <w:isLgl w:val="false"/>
      <w:suff w:val="tab"/>
      <w:lvlText w:val="(%1)"/>
      <w:lvlJc w:val="left"/>
      <w:pPr>
        <w:ind w:left="798" w:hanging="360"/>
        <w:tabs>
          <w:tab w:val="left" w:pos="798" w:leader="none"/>
        </w:tabs>
      </w:pPr>
      <w:rPr>
        <w:rFonts w:hint="eastAsia"/>
      </w:rPr>
    </w:lvl>
    <w:lvl w:ilvl="1">
      <w:start w:val="1"/>
      <w:numFmt w:val="decimal"/>
      <w:isLgl w:val="false"/>
      <w:suff w:val="tab"/>
      <w:lvlText w:val="（%2）"/>
      <w:lvlJc w:val="left"/>
      <w:pPr>
        <w:ind w:left="1578" w:hanging="720"/>
        <w:tabs>
          <w:tab w:val="left" w:pos="1578" w:leader="none"/>
        </w:tabs>
      </w:pPr>
      <w:rPr>
        <w:rFonts w:hint="eastAsia"/>
      </w:rPr>
    </w:lvl>
    <w:lvl w:ilvl="2">
      <w:start w:val="4"/>
      <w:numFmt w:val="decimal"/>
      <w:isLgl w:val="false"/>
      <w:suff w:val="tab"/>
      <w:lvlText w:val="%3、"/>
      <w:lvlJc w:val="left"/>
      <w:pPr>
        <w:ind w:left="1638" w:hanging="360"/>
        <w:tabs>
          <w:tab w:val="left" w:pos="1638" w:leader="none"/>
        </w:tabs>
      </w:pPr>
      <w:rPr>
        <w:rFonts w:hint="default"/>
      </w:rPr>
    </w:lvl>
    <w:lvl w:ilvl="3">
      <w:start w:val="1"/>
      <w:numFmt w:val="decimal"/>
      <w:isLgl w:val="false"/>
      <w:suff w:val="tab"/>
      <w:lvlText w:val="%4."/>
      <w:lvlJc w:val="left"/>
      <w:pPr>
        <w:ind w:left="2118" w:hanging="420"/>
        <w:tabs>
          <w:tab w:val="left" w:pos="2118" w:leader="none"/>
        </w:tabs>
      </w:pPr>
    </w:lvl>
    <w:lvl w:ilvl="4">
      <w:start w:val="1"/>
      <w:numFmt w:val="lowerLetter"/>
      <w:isLgl w:val="false"/>
      <w:suff w:val="tab"/>
      <w:lvlText w:val="%5)"/>
      <w:lvlJc w:val="left"/>
      <w:pPr>
        <w:ind w:left="2538" w:hanging="420"/>
        <w:tabs>
          <w:tab w:val="left" w:pos="2538" w:leader="none"/>
        </w:tabs>
      </w:pPr>
    </w:lvl>
    <w:lvl w:ilvl="5">
      <w:start w:val="1"/>
      <w:numFmt w:val="lowerRoman"/>
      <w:isLgl w:val="false"/>
      <w:suff w:val="tab"/>
      <w:lvlText w:val="%6."/>
      <w:lvlJc w:val="right"/>
      <w:pPr>
        <w:ind w:left="2958" w:hanging="420"/>
        <w:tabs>
          <w:tab w:val="left" w:pos="2958" w:leader="none"/>
        </w:tabs>
      </w:pPr>
    </w:lvl>
    <w:lvl w:ilvl="6">
      <w:start w:val="1"/>
      <w:numFmt w:val="decimal"/>
      <w:isLgl w:val="false"/>
      <w:suff w:val="tab"/>
      <w:lvlText w:val="%7."/>
      <w:lvlJc w:val="left"/>
      <w:pPr>
        <w:ind w:left="3378" w:hanging="420"/>
        <w:tabs>
          <w:tab w:val="left" w:pos="3378" w:leader="none"/>
        </w:tabs>
      </w:pPr>
    </w:lvl>
    <w:lvl w:ilvl="7">
      <w:start w:val="1"/>
      <w:numFmt w:val="lowerLetter"/>
      <w:isLgl w:val="false"/>
      <w:suff w:val="tab"/>
      <w:lvlText w:val="%8)"/>
      <w:lvlJc w:val="left"/>
      <w:pPr>
        <w:ind w:left="3798" w:hanging="420"/>
        <w:tabs>
          <w:tab w:val="left" w:pos="3798" w:leader="none"/>
        </w:tabs>
      </w:pPr>
    </w:lvl>
    <w:lvl w:ilvl="8">
      <w:start w:val="1"/>
      <w:numFmt w:val="lowerRoman"/>
      <w:isLgl w:val="false"/>
      <w:suff w:val="tab"/>
      <w:lvlText w:val="%9."/>
      <w:lvlJc w:val="right"/>
      <w:pPr>
        <w:ind w:left="4218" w:hanging="420"/>
        <w:tabs>
          <w:tab w:val="left" w:pos="4218" w:leader="none"/>
        </w:tabs>
      </w:pPr>
    </w:lvl>
  </w:abstractNum>
  <w:abstractNum w:abstractNumId="17">
    <w:multiLevelType w:val="hybridMultilevel"/>
    <w:lvl w:ilvl="0">
      <w:start w:val="1"/>
      <w:numFmt w:val="japaneseCounting"/>
      <w:pStyle w:val="1159"/>
      <w:isLgl w:val="false"/>
      <w:suff w:val="tab"/>
      <w:lvlText w:val="第%1条"/>
      <w:lvlJc w:val="left"/>
      <w:pPr>
        <w:ind w:left="1830" w:hanging="1200"/>
        <w:tabs>
          <w:tab w:val="left" w:pos="1830" w:leader="none"/>
        </w:tabs>
      </w:pPr>
      <w:rPr>
        <w:rFonts w:hint="default"/>
      </w:rPr>
    </w:lvl>
    <w:lvl w:ilvl="1">
      <w:start w:val="1"/>
      <w:numFmt w:val="lowerLetter"/>
      <w:isLgl w:val="false"/>
      <w:suff w:val="tab"/>
      <w:lvlText w:val="%2)"/>
      <w:lvlJc w:val="left"/>
      <w:pPr>
        <w:ind w:left="1470" w:hanging="420"/>
        <w:tabs>
          <w:tab w:val="left" w:pos="1470" w:leader="none"/>
        </w:tabs>
      </w:pPr>
    </w:lvl>
    <w:lvl w:ilvl="2">
      <w:start w:val="1"/>
      <w:numFmt w:val="lowerRoman"/>
      <w:isLgl w:val="false"/>
      <w:suff w:val="tab"/>
      <w:lvlText w:val="%3."/>
      <w:lvlJc w:val="right"/>
      <w:pPr>
        <w:ind w:left="1890" w:hanging="420"/>
        <w:tabs>
          <w:tab w:val="left" w:pos="1890" w:leader="none"/>
        </w:tabs>
      </w:pPr>
    </w:lvl>
    <w:lvl w:ilvl="3">
      <w:start w:val="1"/>
      <w:numFmt w:val="decimal"/>
      <w:isLgl w:val="false"/>
      <w:suff w:val="tab"/>
      <w:lvlText w:val="%4."/>
      <w:lvlJc w:val="left"/>
      <w:pPr>
        <w:ind w:left="2310" w:hanging="420"/>
        <w:tabs>
          <w:tab w:val="left" w:pos="2310" w:leader="none"/>
        </w:tabs>
      </w:pPr>
    </w:lvl>
    <w:lvl w:ilvl="4">
      <w:start w:val="1"/>
      <w:numFmt w:val="lowerLetter"/>
      <w:isLgl w:val="false"/>
      <w:suff w:val="tab"/>
      <w:lvlText w:val="%5)"/>
      <w:lvlJc w:val="left"/>
      <w:pPr>
        <w:ind w:left="2730" w:hanging="420"/>
        <w:tabs>
          <w:tab w:val="left" w:pos="2730" w:leader="none"/>
        </w:tabs>
      </w:pPr>
    </w:lvl>
    <w:lvl w:ilvl="5">
      <w:start w:val="1"/>
      <w:numFmt w:val="lowerRoman"/>
      <w:isLgl w:val="false"/>
      <w:suff w:val="tab"/>
      <w:lvlText w:val="%6."/>
      <w:lvlJc w:val="right"/>
      <w:pPr>
        <w:ind w:left="3150" w:hanging="420"/>
        <w:tabs>
          <w:tab w:val="left" w:pos="3150" w:leader="none"/>
        </w:tabs>
      </w:pPr>
    </w:lvl>
    <w:lvl w:ilvl="6">
      <w:start w:val="1"/>
      <w:numFmt w:val="decimal"/>
      <w:isLgl w:val="false"/>
      <w:suff w:val="tab"/>
      <w:lvlText w:val="%7."/>
      <w:lvlJc w:val="left"/>
      <w:pPr>
        <w:ind w:left="3570" w:hanging="420"/>
        <w:tabs>
          <w:tab w:val="left" w:pos="3570" w:leader="none"/>
        </w:tabs>
      </w:pPr>
    </w:lvl>
    <w:lvl w:ilvl="7">
      <w:start w:val="1"/>
      <w:numFmt w:val="lowerLetter"/>
      <w:isLgl w:val="false"/>
      <w:suff w:val="tab"/>
      <w:lvlText w:val="%8)"/>
      <w:lvlJc w:val="left"/>
      <w:pPr>
        <w:ind w:left="3990" w:hanging="420"/>
        <w:tabs>
          <w:tab w:val="left" w:pos="3990" w:leader="none"/>
        </w:tabs>
      </w:pPr>
    </w:lvl>
    <w:lvl w:ilvl="8">
      <w:start w:val="1"/>
      <w:numFmt w:val="lowerRoman"/>
      <w:isLgl w:val="false"/>
      <w:suff w:val="tab"/>
      <w:lvlText w:val="%9."/>
      <w:lvlJc w:val="right"/>
      <w:pPr>
        <w:ind w:left="4410" w:hanging="420"/>
        <w:tabs>
          <w:tab w:val="left" w:pos="4410" w:leader="none"/>
        </w:tabs>
      </w:pPr>
    </w:lvl>
  </w:abstractNum>
  <w:num w:numId="1">
    <w:abstractNumId w:val="17"/>
  </w:num>
  <w:num w:numId="2">
    <w:abstractNumId w:val="16"/>
  </w:num>
  <w:num w:numId="3">
    <w:abstractNumId w:val="8"/>
  </w:num>
  <w:num w:numId="4">
    <w:abstractNumId w:val="1"/>
  </w:num>
  <w:num w:numId="5">
    <w:abstractNumId w:val="15"/>
  </w:num>
  <w:num w:numId="6">
    <w:abstractNumId w:val="2"/>
  </w:num>
  <w:num w:numId="7">
    <w:abstractNumId w:val="9"/>
  </w:num>
  <w:num w:numId="8">
    <w:abstractNumId w:val="4"/>
  </w:num>
  <w:num w:numId="9">
    <w:abstractNumId w:val="13"/>
  </w:num>
  <w:num w:numId="10">
    <w:abstractNumId w:val="6"/>
  </w:num>
  <w:num w:numId="11">
    <w:abstractNumId w:val="11"/>
  </w:num>
  <w:num w:numId="12">
    <w:abstractNumId w:val="5"/>
  </w:num>
  <w:num w:numId="13">
    <w:abstractNumId w:val="14"/>
  </w:num>
  <w:num w:numId="14">
    <w:abstractNumId w:val="3"/>
  </w:num>
  <w:num w:numId="15">
    <w:abstractNumId w:val="12"/>
  </w:num>
  <w:num w:numId="16">
    <w:abstractNumId w:val="10"/>
  </w:num>
  <w:num w:numId="17">
    <w:abstractNumId w:val="7"/>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gutterAtTop w:val="true"/>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92">
    <w:name w:val="Heading 1 Char"/>
    <w:basedOn w:val="1150"/>
    <w:link w:val="1141"/>
    <w:uiPriority w:val="9"/>
    <w:rPr>
      <w:rFonts w:ascii="Arial" w:hAnsi="Arial" w:eastAsia="Arial" w:cs="Arial"/>
      <w:sz w:val="40"/>
      <w:szCs w:val="40"/>
    </w:rPr>
  </w:style>
  <w:style w:type="character" w:styleId="993">
    <w:name w:val="Heading 2 Char"/>
    <w:basedOn w:val="1150"/>
    <w:link w:val="1142"/>
    <w:uiPriority w:val="9"/>
    <w:rPr>
      <w:rFonts w:ascii="Arial" w:hAnsi="Arial" w:eastAsia="Arial" w:cs="Arial"/>
      <w:sz w:val="34"/>
    </w:rPr>
  </w:style>
  <w:style w:type="character" w:styleId="994">
    <w:name w:val="Heading 3 Char"/>
    <w:basedOn w:val="1150"/>
    <w:link w:val="1143"/>
    <w:uiPriority w:val="9"/>
    <w:rPr>
      <w:rFonts w:ascii="Arial" w:hAnsi="Arial" w:eastAsia="Arial" w:cs="Arial"/>
      <w:sz w:val="30"/>
      <w:szCs w:val="30"/>
    </w:rPr>
  </w:style>
  <w:style w:type="character" w:styleId="995">
    <w:name w:val="Heading 4 Char"/>
    <w:basedOn w:val="1150"/>
    <w:link w:val="1144"/>
    <w:uiPriority w:val="9"/>
    <w:rPr>
      <w:rFonts w:ascii="Arial" w:hAnsi="Arial" w:eastAsia="Arial" w:cs="Arial"/>
      <w:b/>
      <w:bCs/>
      <w:sz w:val="26"/>
      <w:szCs w:val="26"/>
    </w:rPr>
  </w:style>
  <w:style w:type="character" w:styleId="996">
    <w:name w:val="Heading 5 Char"/>
    <w:basedOn w:val="1150"/>
    <w:link w:val="1145"/>
    <w:uiPriority w:val="9"/>
    <w:rPr>
      <w:rFonts w:ascii="Arial" w:hAnsi="Arial" w:eastAsia="Arial" w:cs="Arial"/>
      <w:b/>
      <w:bCs/>
      <w:sz w:val="24"/>
      <w:szCs w:val="24"/>
    </w:rPr>
  </w:style>
  <w:style w:type="character" w:styleId="997">
    <w:name w:val="Heading 6 Char"/>
    <w:basedOn w:val="1150"/>
    <w:link w:val="1146"/>
    <w:uiPriority w:val="9"/>
    <w:rPr>
      <w:rFonts w:ascii="Arial" w:hAnsi="Arial" w:eastAsia="Arial" w:cs="Arial"/>
      <w:b/>
      <w:bCs/>
      <w:sz w:val="22"/>
      <w:szCs w:val="22"/>
    </w:rPr>
  </w:style>
  <w:style w:type="character" w:styleId="998">
    <w:name w:val="Heading 7 Char"/>
    <w:basedOn w:val="1150"/>
    <w:link w:val="1147"/>
    <w:uiPriority w:val="9"/>
    <w:rPr>
      <w:rFonts w:ascii="Arial" w:hAnsi="Arial" w:eastAsia="Arial" w:cs="Arial"/>
      <w:b/>
      <w:bCs/>
      <w:i/>
      <w:iCs/>
      <w:sz w:val="22"/>
      <w:szCs w:val="22"/>
    </w:rPr>
  </w:style>
  <w:style w:type="character" w:styleId="999">
    <w:name w:val="Heading 8 Char"/>
    <w:basedOn w:val="1150"/>
    <w:link w:val="1148"/>
    <w:uiPriority w:val="9"/>
    <w:rPr>
      <w:rFonts w:ascii="Arial" w:hAnsi="Arial" w:eastAsia="Arial" w:cs="Arial"/>
      <w:i/>
      <w:iCs/>
      <w:sz w:val="22"/>
      <w:szCs w:val="22"/>
    </w:rPr>
  </w:style>
  <w:style w:type="character" w:styleId="1000">
    <w:name w:val="Heading 9 Char"/>
    <w:basedOn w:val="1150"/>
    <w:link w:val="1149"/>
    <w:uiPriority w:val="9"/>
    <w:rPr>
      <w:rFonts w:ascii="Arial" w:hAnsi="Arial" w:eastAsia="Arial" w:cs="Arial"/>
      <w:i/>
      <w:iCs/>
      <w:sz w:val="21"/>
      <w:szCs w:val="21"/>
    </w:rPr>
  </w:style>
  <w:style w:type="character" w:styleId="1001">
    <w:name w:val="Subtitle Char"/>
    <w:basedOn w:val="1150"/>
    <w:link w:val="1189"/>
    <w:uiPriority w:val="11"/>
    <w:rPr>
      <w:sz w:val="24"/>
      <w:szCs w:val="24"/>
    </w:rPr>
  </w:style>
  <w:style w:type="paragraph" w:styleId="1002">
    <w:name w:val="Quote"/>
    <w:basedOn w:val="1140"/>
    <w:next w:val="1140"/>
    <w:link w:val="1003"/>
    <w:uiPriority w:val="29"/>
    <w:qFormat/>
    <w:pPr>
      <w:ind w:left="720" w:right="720"/>
    </w:pPr>
    <w:rPr>
      <w:i/>
    </w:rPr>
  </w:style>
  <w:style w:type="character" w:styleId="1003">
    <w:name w:val="Quote Char"/>
    <w:link w:val="1002"/>
    <w:uiPriority w:val="29"/>
    <w:rPr>
      <w:i/>
    </w:rPr>
  </w:style>
  <w:style w:type="paragraph" w:styleId="1004">
    <w:name w:val="Intense Quote"/>
    <w:basedOn w:val="1140"/>
    <w:next w:val="1140"/>
    <w:link w:val="100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05">
    <w:name w:val="Intense Quote Char"/>
    <w:link w:val="1004"/>
    <w:uiPriority w:val="30"/>
    <w:rPr>
      <w:i/>
    </w:rPr>
  </w:style>
  <w:style w:type="character" w:styleId="1006">
    <w:name w:val="Header Char"/>
    <w:basedOn w:val="1150"/>
    <w:link w:val="1184"/>
    <w:uiPriority w:val="99"/>
  </w:style>
  <w:style w:type="character" w:styleId="1007">
    <w:name w:val="Footer Char"/>
    <w:basedOn w:val="1150"/>
    <w:link w:val="1183"/>
    <w:uiPriority w:val="99"/>
  </w:style>
  <w:style w:type="character" w:styleId="1008">
    <w:name w:val="Caption Char"/>
    <w:basedOn w:val="1160"/>
    <w:link w:val="1183"/>
    <w:uiPriority w:val="99"/>
  </w:style>
  <w:style w:type="table" w:styleId="1009">
    <w:name w:val="Table Grid Light"/>
    <w:basedOn w:val="115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010">
    <w:name w:val="Plain Table 1"/>
    <w:basedOn w:val="115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11">
    <w:name w:val="Plain Table 2"/>
    <w:basedOn w:val="115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12">
    <w:name w:val="Plain Table 3"/>
    <w:basedOn w:val="11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13">
    <w:name w:val="Plain Table 4"/>
    <w:basedOn w:val="11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14">
    <w:name w:val="Plain Table 5"/>
    <w:basedOn w:val="11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15">
    <w:name w:val="Grid Table 1 Light"/>
    <w:basedOn w:val="115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16">
    <w:name w:val="Grid Table 1 Light - Accent 1"/>
    <w:basedOn w:val="115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017">
    <w:name w:val="Grid Table 1 Light - Accent 2"/>
    <w:basedOn w:val="115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018">
    <w:name w:val="Grid Table 1 Light - Accent 3"/>
    <w:basedOn w:val="115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019">
    <w:name w:val="Grid Table 1 Light - Accent 4"/>
    <w:basedOn w:val="115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020">
    <w:name w:val="Grid Table 1 Light - Accent 5"/>
    <w:basedOn w:val="115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21">
    <w:name w:val="Grid Table 1 Light - Accent 6"/>
    <w:basedOn w:val="115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22">
    <w:name w:val="Grid Table 2"/>
    <w:basedOn w:val="11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23">
    <w:name w:val="Grid Table 2 - Accent 1"/>
    <w:basedOn w:val="115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24">
    <w:name w:val="Grid Table 2 - Accent 2"/>
    <w:basedOn w:val="115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25">
    <w:name w:val="Grid Table 2 - Accent 3"/>
    <w:basedOn w:val="115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26">
    <w:name w:val="Grid Table 2 - Accent 4"/>
    <w:basedOn w:val="115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27">
    <w:name w:val="Grid Table 2 - Accent 5"/>
    <w:basedOn w:val="115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28">
    <w:name w:val="Grid Table 2 - Accent 6"/>
    <w:basedOn w:val="115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29">
    <w:name w:val="Grid Table 3"/>
    <w:basedOn w:val="11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30">
    <w:name w:val="Grid Table 3 - Accent 1"/>
    <w:basedOn w:val="115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31">
    <w:name w:val="Grid Table 3 - Accent 2"/>
    <w:basedOn w:val="115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32">
    <w:name w:val="Grid Table 3 - Accent 3"/>
    <w:basedOn w:val="115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33">
    <w:name w:val="Grid Table 3 - Accent 4"/>
    <w:basedOn w:val="115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34">
    <w:name w:val="Grid Table 3 - Accent 5"/>
    <w:basedOn w:val="115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35">
    <w:name w:val="Grid Table 3 - Accent 6"/>
    <w:basedOn w:val="115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36">
    <w:name w:val="Grid Table 4"/>
    <w:basedOn w:val="115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37">
    <w:name w:val="Grid Table 4 - Accent 1"/>
    <w:basedOn w:val="115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38">
    <w:name w:val="Grid Table 4 - Accent 2"/>
    <w:basedOn w:val="115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39">
    <w:name w:val="Grid Table 4 - Accent 3"/>
    <w:basedOn w:val="115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40">
    <w:name w:val="Grid Table 4 - Accent 4"/>
    <w:basedOn w:val="115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41">
    <w:name w:val="Grid Table 4 - Accent 5"/>
    <w:basedOn w:val="115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42">
    <w:name w:val="Grid Table 4 - Accent 6"/>
    <w:basedOn w:val="115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43">
    <w:name w:val="Grid Table 5 Dark"/>
    <w:basedOn w:val="11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44">
    <w:name w:val="Grid Table 5 Dark- Accent 1"/>
    <w:basedOn w:val="11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45">
    <w:name w:val="Grid Table 5 Dark - Accent 2"/>
    <w:basedOn w:val="11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46">
    <w:name w:val="Grid Table 5 Dark - Accent 3"/>
    <w:basedOn w:val="11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47">
    <w:name w:val="Grid Table 5 Dark- Accent 4"/>
    <w:basedOn w:val="11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48">
    <w:name w:val="Grid Table 5 Dark - Accent 5"/>
    <w:basedOn w:val="11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49">
    <w:name w:val="Grid Table 5 Dark - Accent 6"/>
    <w:basedOn w:val="11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50">
    <w:name w:val="Grid Table 6 Colorful"/>
    <w:basedOn w:val="115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51">
    <w:name w:val="Grid Table 6 Colorful - Accent 1"/>
    <w:basedOn w:val="115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52">
    <w:name w:val="Grid Table 6 Colorful - Accent 2"/>
    <w:basedOn w:val="115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53">
    <w:name w:val="Grid Table 6 Colorful - Accent 3"/>
    <w:basedOn w:val="115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54">
    <w:name w:val="Grid Table 6 Colorful - Accent 4"/>
    <w:basedOn w:val="115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55">
    <w:name w:val="Grid Table 6 Colorful - Accent 5"/>
    <w:basedOn w:val="115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56">
    <w:name w:val="Grid Table 6 Colorful - Accent 6"/>
    <w:basedOn w:val="115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57">
    <w:name w:val="Grid Table 7 Colorful"/>
    <w:basedOn w:val="115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58">
    <w:name w:val="Grid Table 7 Colorful - Accent 1"/>
    <w:basedOn w:val="115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59">
    <w:name w:val="Grid Table 7 Colorful - Accent 2"/>
    <w:basedOn w:val="115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60">
    <w:name w:val="Grid Table 7 Colorful - Accent 3"/>
    <w:basedOn w:val="115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61">
    <w:name w:val="Grid Table 7 Colorful - Accent 4"/>
    <w:basedOn w:val="115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62">
    <w:name w:val="Grid Table 7 Colorful - Accent 5"/>
    <w:basedOn w:val="115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63">
    <w:name w:val="Grid Table 7 Colorful - Accent 6"/>
    <w:basedOn w:val="115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64">
    <w:name w:val="List Table 1 Light"/>
    <w:basedOn w:val="115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65">
    <w:name w:val="List Table 1 Light - Accent 1"/>
    <w:basedOn w:val="115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66">
    <w:name w:val="List Table 1 Light - Accent 2"/>
    <w:basedOn w:val="115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7">
    <w:name w:val="List Table 1 Light - Accent 3"/>
    <w:basedOn w:val="115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68">
    <w:name w:val="List Table 1 Light - Accent 4"/>
    <w:basedOn w:val="115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69">
    <w:name w:val="List Table 1 Light - Accent 5"/>
    <w:basedOn w:val="115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70">
    <w:name w:val="List Table 1 Light - Accent 6"/>
    <w:basedOn w:val="115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71">
    <w:name w:val="List Table 2"/>
    <w:basedOn w:val="115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72">
    <w:name w:val="List Table 2 - Accent 1"/>
    <w:basedOn w:val="115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73">
    <w:name w:val="List Table 2 - Accent 2"/>
    <w:basedOn w:val="115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74">
    <w:name w:val="List Table 2 - Accent 3"/>
    <w:basedOn w:val="115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75">
    <w:name w:val="List Table 2 - Accent 4"/>
    <w:basedOn w:val="115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76">
    <w:name w:val="List Table 2 - Accent 5"/>
    <w:basedOn w:val="115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77">
    <w:name w:val="List Table 2 - Accent 6"/>
    <w:basedOn w:val="115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78">
    <w:name w:val="List Table 3"/>
    <w:basedOn w:val="11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79">
    <w:name w:val="List Table 3 - Accent 1"/>
    <w:basedOn w:val="115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80">
    <w:name w:val="List Table 3 - Accent 2"/>
    <w:basedOn w:val="115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81">
    <w:name w:val="List Table 3 - Accent 3"/>
    <w:basedOn w:val="115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82">
    <w:name w:val="List Table 3 - Accent 4"/>
    <w:basedOn w:val="115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83">
    <w:name w:val="List Table 3 - Accent 5"/>
    <w:basedOn w:val="115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84">
    <w:name w:val="List Table 3 - Accent 6"/>
    <w:basedOn w:val="115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85">
    <w:name w:val="List Table 4"/>
    <w:basedOn w:val="11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86">
    <w:name w:val="List Table 4 - Accent 1"/>
    <w:basedOn w:val="115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87">
    <w:name w:val="List Table 4 - Accent 2"/>
    <w:basedOn w:val="115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88">
    <w:name w:val="List Table 4 - Accent 3"/>
    <w:basedOn w:val="115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89">
    <w:name w:val="List Table 4 - Accent 4"/>
    <w:basedOn w:val="115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90">
    <w:name w:val="List Table 4 - Accent 5"/>
    <w:basedOn w:val="115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91">
    <w:name w:val="List Table 4 - Accent 6"/>
    <w:basedOn w:val="115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92">
    <w:name w:val="List Table 5 Dark"/>
    <w:basedOn w:val="115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93">
    <w:name w:val="List Table 5 Dark - Accent 1"/>
    <w:basedOn w:val="115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94">
    <w:name w:val="List Table 5 Dark - Accent 2"/>
    <w:basedOn w:val="115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95">
    <w:name w:val="List Table 5 Dark - Accent 3"/>
    <w:basedOn w:val="115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96">
    <w:name w:val="List Table 5 Dark - Accent 4"/>
    <w:basedOn w:val="115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97">
    <w:name w:val="List Table 5 Dark - Accent 5"/>
    <w:basedOn w:val="115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98">
    <w:name w:val="List Table 5 Dark - Accent 6"/>
    <w:basedOn w:val="115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99">
    <w:name w:val="List Table 6 Colorful"/>
    <w:basedOn w:val="115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100">
    <w:name w:val="List Table 6 Colorful - Accent 1"/>
    <w:basedOn w:val="115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101">
    <w:name w:val="List Table 6 Colorful - Accent 2"/>
    <w:basedOn w:val="115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102">
    <w:name w:val="List Table 6 Colorful - Accent 3"/>
    <w:basedOn w:val="115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103">
    <w:name w:val="List Table 6 Colorful - Accent 4"/>
    <w:basedOn w:val="115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104">
    <w:name w:val="List Table 6 Colorful - Accent 5"/>
    <w:basedOn w:val="115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105">
    <w:name w:val="List Table 6 Colorful - Accent 6"/>
    <w:basedOn w:val="115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106">
    <w:name w:val="List Table 7 Colorful"/>
    <w:basedOn w:val="115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107">
    <w:name w:val="List Table 7 Colorful - Accent 1"/>
    <w:basedOn w:val="115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108">
    <w:name w:val="List Table 7 Colorful - Accent 2"/>
    <w:basedOn w:val="115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109">
    <w:name w:val="List Table 7 Colorful - Accent 3"/>
    <w:basedOn w:val="115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110">
    <w:name w:val="List Table 7 Colorful - Accent 4"/>
    <w:basedOn w:val="115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111">
    <w:name w:val="List Table 7 Colorful - Accent 5"/>
    <w:basedOn w:val="115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112">
    <w:name w:val="List Table 7 Colorful - Accent 6"/>
    <w:basedOn w:val="115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113">
    <w:name w:val="Lined - Accent"/>
    <w:basedOn w:val="11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14">
    <w:name w:val="Lined - Accent 1"/>
    <w:basedOn w:val="11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15">
    <w:name w:val="Lined - Accent 2"/>
    <w:basedOn w:val="11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16">
    <w:name w:val="Lined - Accent 3"/>
    <w:basedOn w:val="11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17">
    <w:name w:val="Lined - Accent 4"/>
    <w:basedOn w:val="11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18">
    <w:name w:val="Lined - Accent 5"/>
    <w:basedOn w:val="11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19">
    <w:name w:val="Lined - Accent 6"/>
    <w:basedOn w:val="115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20">
    <w:name w:val="Bordered &amp; Lined - Accent"/>
    <w:basedOn w:val="115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21">
    <w:name w:val="Bordered &amp; Lined - Accent 1"/>
    <w:basedOn w:val="115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22">
    <w:name w:val="Bordered &amp; Lined - Accent 2"/>
    <w:basedOn w:val="115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23">
    <w:name w:val="Bordered &amp; Lined - Accent 3"/>
    <w:basedOn w:val="115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24">
    <w:name w:val="Bordered &amp; Lined - Accent 4"/>
    <w:basedOn w:val="115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25">
    <w:name w:val="Bordered &amp; Lined - Accent 5"/>
    <w:basedOn w:val="115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26">
    <w:name w:val="Bordered &amp; Lined - Accent 6"/>
    <w:basedOn w:val="115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27">
    <w:name w:val="Bordered"/>
    <w:basedOn w:val="115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28">
    <w:name w:val="Bordered - Accent 1"/>
    <w:basedOn w:val="115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29">
    <w:name w:val="Bordered - Accent 2"/>
    <w:basedOn w:val="115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30">
    <w:name w:val="Bordered - Accent 3"/>
    <w:basedOn w:val="115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31">
    <w:name w:val="Bordered - Accent 4"/>
    <w:basedOn w:val="115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32">
    <w:name w:val="Bordered - Accent 5"/>
    <w:basedOn w:val="115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33">
    <w:name w:val="Bordered - Accent 6"/>
    <w:basedOn w:val="115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134">
    <w:name w:val="footnote text"/>
    <w:basedOn w:val="1140"/>
    <w:link w:val="1135"/>
    <w:uiPriority w:val="99"/>
    <w:semiHidden/>
    <w:unhideWhenUsed/>
    <w:pPr>
      <w:spacing w:after="40" w:line="240" w:lineRule="auto"/>
    </w:pPr>
    <w:rPr>
      <w:sz w:val="18"/>
    </w:rPr>
  </w:style>
  <w:style w:type="character" w:styleId="1135">
    <w:name w:val="Footnote Text Char"/>
    <w:link w:val="1134"/>
    <w:uiPriority w:val="99"/>
    <w:rPr>
      <w:sz w:val="18"/>
    </w:rPr>
  </w:style>
  <w:style w:type="character" w:styleId="1136">
    <w:name w:val="footnote reference"/>
    <w:basedOn w:val="1150"/>
    <w:uiPriority w:val="99"/>
    <w:unhideWhenUsed/>
    <w:rPr>
      <w:vertAlign w:val="superscript"/>
    </w:rPr>
  </w:style>
  <w:style w:type="character" w:styleId="1137">
    <w:name w:val="Endnote Text Char"/>
    <w:link w:val="1181"/>
    <w:uiPriority w:val="99"/>
    <w:rPr>
      <w:sz w:val="20"/>
    </w:rPr>
  </w:style>
  <w:style w:type="character" w:styleId="1138">
    <w:name w:val="endnote reference"/>
    <w:basedOn w:val="1150"/>
    <w:uiPriority w:val="99"/>
    <w:semiHidden/>
    <w:unhideWhenUsed/>
    <w:rPr>
      <w:vertAlign w:val="superscript"/>
    </w:rPr>
  </w:style>
  <w:style w:type="paragraph" w:styleId="1139">
    <w:name w:val="TOC Heading"/>
    <w:uiPriority w:val="39"/>
    <w:unhideWhenUsed/>
  </w:style>
  <w:style w:type="paragraph" w:styleId="1140" w:default="1">
    <w:name w:val="Normal"/>
    <w:next w:val="1142"/>
    <w:qFormat/>
    <w:pPr>
      <w:jc w:val="both"/>
      <w:widowControl w:val="off"/>
    </w:pPr>
    <w:rPr>
      <w:sz w:val="21"/>
    </w:rPr>
  </w:style>
  <w:style w:type="paragraph" w:styleId="1141">
    <w:name w:val="Heading 1"/>
    <w:basedOn w:val="1140"/>
    <w:next w:val="1140"/>
    <w:link w:val="1299"/>
    <w:qFormat/>
    <w:pPr>
      <w:keepLines/>
      <w:keepNext/>
      <w:spacing w:before="340" w:after="330" w:line="578" w:lineRule="auto"/>
      <w:outlineLvl w:val="0"/>
    </w:pPr>
    <w:rPr>
      <w:b/>
      <w:bCs/>
      <w:sz w:val="44"/>
      <w:szCs w:val="44"/>
    </w:rPr>
  </w:style>
  <w:style w:type="paragraph" w:styleId="1142">
    <w:name w:val="Heading 2"/>
    <w:basedOn w:val="1140"/>
    <w:next w:val="1140"/>
    <w:link w:val="1454"/>
    <w:uiPriority w:val="9"/>
    <w:qFormat/>
    <w:pPr>
      <w:ind w:firstLine="567"/>
      <w:keepLines/>
      <w:keepNext/>
      <w:spacing w:line="305" w:lineRule="auto"/>
      <w:outlineLvl w:val="1"/>
    </w:pPr>
    <w:rPr>
      <w:rFonts w:ascii="Century Schoolbook" w:hAnsi="Century Schoolbook" w:eastAsia="黑体"/>
      <w:bCs/>
      <w:sz w:val="28"/>
      <w:szCs w:val="32"/>
    </w:rPr>
  </w:style>
  <w:style w:type="paragraph" w:styleId="1143">
    <w:name w:val="Heading 3"/>
    <w:basedOn w:val="1140"/>
    <w:next w:val="1153"/>
    <w:link w:val="1300"/>
    <w:qFormat/>
    <w:pPr>
      <w:keepLines/>
      <w:keepNext/>
      <w:spacing w:before="260" w:after="260" w:line="416" w:lineRule="auto"/>
      <w:outlineLvl w:val="2"/>
    </w:pPr>
    <w:rPr>
      <w:b/>
      <w:sz w:val="32"/>
    </w:rPr>
  </w:style>
  <w:style w:type="paragraph" w:styleId="1144">
    <w:name w:val="Heading 4"/>
    <w:basedOn w:val="1140"/>
    <w:next w:val="1140"/>
    <w:link w:val="1455"/>
    <w:qFormat/>
    <w:pPr>
      <w:jc w:val="center"/>
      <w:keepLines/>
      <w:keepNext/>
      <w:spacing w:before="440" w:after="960" w:line="305" w:lineRule="auto"/>
      <w:outlineLvl w:val="3"/>
    </w:pPr>
    <w:rPr>
      <w:rFonts w:ascii="Century Schoolbook" w:hAnsi="Century Schoolbook" w:eastAsia="楷体_GB2312"/>
      <w:bCs/>
      <w:sz w:val="28"/>
      <w:szCs w:val="28"/>
    </w:rPr>
  </w:style>
  <w:style w:type="paragraph" w:styleId="1145">
    <w:name w:val="Heading 5"/>
    <w:basedOn w:val="1140"/>
    <w:next w:val="1140"/>
    <w:link w:val="1511"/>
    <w:qFormat/>
    <w:pPr>
      <w:jc w:val="left"/>
      <w:keepLines/>
      <w:keepNext/>
      <w:spacing w:before="280" w:after="290" w:line="376" w:lineRule="atLeast"/>
      <w:outlineLvl w:val="4"/>
    </w:pPr>
    <w:rPr>
      <w:rFonts w:ascii="楷体" w:eastAsia="楷体"/>
      <w:b/>
      <w:bCs/>
      <w:spacing w:val="8"/>
      <w:sz w:val="28"/>
      <w:szCs w:val="28"/>
    </w:rPr>
  </w:style>
  <w:style w:type="paragraph" w:styleId="1146">
    <w:name w:val="Heading 6"/>
    <w:basedOn w:val="1140"/>
    <w:next w:val="1140"/>
    <w:link w:val="1512"/>
    <w:qFormat/>
    <w:pPr>
      <w:jc w:val="left"/>
      <w:keepLines/>
      <w:keepNext/>
      <w:spacing w:before="240" w:after="64" w:line="320" w:lineRule="atLeast"/>
      <w:outlineLvl w:val="5"/>
    </w:pPr>
    <w:rPr>
      <w:rFonts w:ascii="Arial" w:hAnsi="Arial" w:eastAsia="黑体"/>
      <w:b/>
      <w:bCs/>
      <w:spacing w:val="8"/>
      <w:sz w:val="24"/>
      <w:szCs w:val="24"/>
    </w:rPr>
  </w:style>
  <w:style w:type="paragraph" w:styleId="1147">
    <w:name w:val="Heading 7"/>
    <w:basedOn w:val="1140"/>
    <w:next w:val="1140"/>
    <w:link w:val="1513"/>
    <w:qFormat/>
    <w:pPr>
      <w:jc w:val="left"/>
      <w:keepLines/>
      <w:keepNext/>
      <w:spacing w:before="240" w:after="64" w:line="320" w:lineRule="atLeast"/>
      <w:outlineLvl w:val="6"/>
    </w:pPr>
    <w:rPr>
      <w:rFonts w:ascii="楷体" w:eastAsia="楷体"/>
      <w:b/>
      <w:bCs/>
      <w:spacing w:val="8"/>
      <w:sz w:val="24"/>
      <w:szCs w:val="24"/>
    </w:rPr>
  </w:style>
  <w:style w:type="paragraph" w:styleId="1148">
    <w:name w:val="Heading 8"/>
    <w:basedOn w:val="1140"/>
    <w:next w:val="1140"/>
    <w:link w:val="1514"/>
    <w:qFormat/>
    <w:pPr>
      <w:jc w:val="left"/>
      <w:keepLines/>
      <w:keepNext/>
      <w:spacing w:before="240" w:after="64" w:line="320" w:lineRule="atLeast"/>
      <w:outlineLvl w:val="7"/>
    </w:pPr>
    <w:rPr>
      <w:rFonts w:ascii="Arial" w:hAnsi="Arial" w:eastAsia="黑体"/>
      <w:spacing w:val="8"/>
      <w:sz w:val="24"/>
      <w:szCs w:val="24"/>
    </w:rPr>
  </w:style>
  <w:style w:type="paragraph" w:styleId="1149">
    <w:name w:val="Heading 9"/>
    <w:basedOn w:val="1140"/>
    <w:next w:val="1140"/>
    <w:link w:val="1515"/>
    <w:qFormat/>
    <w:pPr>
      <w:jc w:val="left"/>
      <w:keepLines/>
      <w:keepNext/>
      <w:spacing w:before="240" w:after="64" w:line="320" w:lineRule="atLeast"/>
      <w:outlineLvl w:val="8"/>
    </w:pPr>
    <w:rPr>
      <w:rFonts w:ascii="Arial" w:hAnsi="Arial" w:eastAsia="黑体"/>
      <w:spacing w:val="8"/>
      <w:szCs w:val="21"/>
    </w:rPr>
  </w:style>
  <w:style w:type="character" w:styleId="1150" w:default="1">
    <w:name w:val="Default Paragraph Font"/>
    <w:uiPriority w:val="1"/>
    <w:semiHidden/>
    <w:unhideWhenUsed/>
  </w:style>
  <w:style w:type="table" w:styleId="1151" w:default="1">
    <w:name w:val="Normal Table"/>
    <w:uiPriority w:val="99"/>
    <w:semiHidden/>
    <w:unhideWhenUsed/>
    <w:tblPr>
      <w:tblInd w:w="0" w:type="dxa"/>
      <w:tblCellMar>
        <w:left w:w="108" w:type="dxa"/>
        <w:top w:w="0" w:type="dxa"/>
        <w:right w:w="108" w:type="dxa"/>
        <w:bottom w:w="0" w:type="dxa"/>
      </w:tblCellMar>
    </w:tblPr>
  </w:style>
  <w:style w:type="numbering" w:styleId="1152" w:default="1">
    <w:name w:val="No List"/>
    <w:uiPriority w:val="99"/>
    <w:semiHidden/>
    <w:unhideWhenUsed/>
  </w:style>
  <w:style w:type="paragraph" w:styleId="1153">
    <w:name w:val="Normal Indent"/>
    <w:basedOn w:val="1140"/>
    <w:link w:val="1285"/>
    <w:qFormat/>
    <w:pPr>
      <w:ind w:firstLine="420"/>
    </w:pPr>
  </w:style>
  <w:style w:type="paragraph" w:styleId="1154">
    <w:name w:val="List 3"/>
    <w:basedOn w:val="1140"/>
    <w:qFormat/>
    <w:pPr>
      <w:ind w:left="100" w:hanging="200"/>
    </w:pPr>
    <w:rPr>
      <w:szCs w:val="24"/>
    </w:rPr>
  </w:style>
  <w:style w:type="paragraph" w:styleId="1155">
    <w:name w:val="toc 7"/>
    <w:basedOn w:val="1140"/>
    <w:next w:val="1140"/>
    <w:qFormat/>
    <w:pPr>
      <w:ind w:left="2520"/>
    </w:pPr>
  </w:style>
  <w:style w:type="paragraph" w:styleId="1156">
    <w:name w:val="List Number 2"/>
    <w:basedOn w:val="1140"/>
    <w:qFormat/>
    <w:pPr>
      <w:jc w:val="left"/>
      <w:spacing w:before="120" w:after="120"/>
      <w:widowControl/>
      <w:tabs>
        <w:tab w:val="left" w:pos="2948" w:leader="none"/>
      </w:tabs>
    </w:pPr>
    <w:rPr>
      <w:sz w:val="22"/>
      <w:lang w:eastAsia="en-US"/>
    </w:rPr>
  </w:style>
  <w:style w:type="paragraph" w:styleId="1157">
    <w:name w:val="table of authorities"/>
    <w:basedOn w:val="1140"/>
    <w:next w:val="1140"/>
    <w:qFormat/>
    <w:pPr>
      <w:ind w:left="420"/>
      <w:spacing w:line="300" w:lineRule="auto"/>
    </w:pPr>
    <w:rPr>
      <w:rFonts w:ascii="Calibri" w:hAnsi="Calibri"/>
    </w:rPr>
  </w:style>
  <w:style w:type="paragraph" w:styleId="1158">
    <w:name w:val="index 8"/>
    <w:basedOn w:val="1140"/>
    <w:next w:val="1140"/>
    <w:uiPriority w:val="99"/>
    <w:qFormat/>
    <w:pPr>
      <w:ind w:left="1680" w:hanging="210"/>
      <w:jc w:val="left"/>
    </w:pPr>
    <w:rPr>
      <w:szCs w:val="21"/>
    </w:rPr>
  </w:style>
  <w:style w:type="paragraph" w:styleId="1159">
    <w:name w:val="List Number"/>
    <w:basedOn w:val="1140"/>
    <w:qFormat/>
    <w:pPr>
      <w:numPr>
        <w:numId w:val="1"/>
      </w:numPr>
    </w:pPr>
    <w:rPr>
      <w:szCs w:val="24"/>
    </w:rPr>
  </w:style>
  <w:style w:type="paragraph" w:styleId="1160">
    <w:name w:val="Caption"/>
    <w:basedOn w:val="1140"/>
    <w:next w:val="1161"/>
    <w:link w:val="1522"/>
    <w:qFormat/>
    <w:pPr>
      <w:numPr>
        <w:numId w:val="2"/>
      </w:numPr>
      <w:jc w:val="left"/>
      <w:keepNext/>
      <w:spacing w:before="60" w:after="240" w:line="220" w:lineRule="atLeast"/>
      <w:widowControl/>
    </w:pPr>
    <w:rPr>
      <w:rFonts w:ascii="Arial Narrow" w:hAnsi="Arial Narrow" w:eastAsia="仿宋体"/>
      <w:sz w:val="18"/>
    </w:rPr>
  </w:style>
  <w:style w:type="paragraph" w:styleId="1161">
    <w:name w:val="Body Text"/>
    <w:basedOn w:val="1140"/>
    <w:link w:val="1325"/>
    <w:qFormat/>
    <w:rPr>
      <w:rFonts w:ascii="楷体_GB2312" w:hAnsi="Arial" w:eastAsia="楷体_GB2312"/>
      <w:sz w:val="28"/>
    </w:rPr>
  </w:style>
  <w:style w:type="paragraph" w:styleId="1162">
    <w:name w:val="index 5"/>
    <w:basedOn w:val="1140"/>
    <w:next w:val="1140"/>
    <w:semiHidden/>
    <w:qFormat/>
    <w:pPr>
      <w:ind w:left="1050" w:hanging="210"/>
      <w:jc w:val="left"/>
    </w:pPr>
    <w:rPr>
      <w:szCs w:val="21"/>
    </w:rPr>
  </w:style>
  <w:style w:type="paragraph" w:styleId="1163">
    <w:name w:val="Document Map"/>
    <w:basedOn w:val="1140"/>
    <w:link w:val="1450"/>
    <w:uiPriority w:val="99"/>
    <w:qFormat/>
    <w:pPr>
      <w:shd w:val="clear" w:color="auto" w:fill="000080"/>
    </w:pPr>
    <w:rPr>
      <w:szCs w:val="24"/>
    </w:rPr>
  </w:style>
  <w:style w:type="paragraph" w:styleId="1164">
    <w:name w:val="annotation text"/>
    <w:basedOn w:val="1140"/>
    <w:link w:val="1504"/>
    <w:unhideWhenUsed/>
    <w:qFormat/>
    <w:pPr>
      <w:jc w:val="left"/>
    </w:pPr>
    <w:rPr>
      <w:rFonts w:ascii="Calibri" w:hAnsi="Calibri"/>
      <w:szCs w:val="22"/>
    </w:rPr>
  </w:style>
  <w:style w:type="paragraph" w:styleId="1165">
    <w:name w:val="index 6"/>
    <w:basedOn w:val="1140"/>
    <w:next w:val="1140"/>
    <w:uiPriority w:val="99"/>
    <w:qFormat/>
    <w:pPr>
      <w:ind w:left="1260" w:hanging="210"/>
      <w:jc w:val="left"/>
    </w:pPr>
    <w:rPr>
      <w:szCs w:val="21"/>
    </w:rPr>
  </w:style>
  <w:style w:type="paragraph" w:styleId="1166">
    <w:name w:val="Salutation"/>
    <w:basedOn w:val="1140"/>
    <w:next w:val="1140"/>
    <w:link w:val="1327"/>
    <w:qFormat/>
    <w:rPr>
      <w:sz w:val="28"/>
      <w:szCs w:val="24"/>
    </w:rPr>
  </w:style>
  <w:style w:type="paragraph" w:styleId="1167">
    <w:name w:val="Body Text 3"/>
    <w:basedOn w:val="1140"/>
    <w:link w:val="1309"/>
    <w:qFormat/>
    <w:pPr>
      <w:spacing w:line="480" w:lineRule="exact"/>
    </w:pPr>
    <w:rPr>
      <w:rFonts w:ascii="仿宋_GB2312" w:eastAsia="仿宋_GB2312"/>
      <w:sz w:val="24"/>
      <w:szCs w:val="24"/>
    </w:rPr>
  </w:style>
  <w:style w:type="paragraph" w:styleId="1168">
    <w:name w:val="Body Text Indent"/>
    <w:basedOn w:val="1140"/>
    <w:link w:val="1302"/>
    <w:uiPriority w:val="99"/>
    <w:qFormat/>
    <w:pPr>
      <w:ind w:firstLine="358"/>
    </w:pPr>
    <w:rPr>
      <w:sz w:val="28"/>
      <w:szCs w:val="24"/>
    </w:rPr>
  </w:style>
  <w:style w:type="paragraph" w:styleId="1169">
    <w:name w:val="List 2"/>
    <w:basedOn w:val="1140"/>
    <w:qFormat/>
    <w:pPr>
      <w:ind w:left="100" w:hanging="200"/>
    </w:pPr>
    <w:rPr>
      <w:szCs w:val="24"/>
    </w:rPr>
  </w:style>
  <w:style w:type="paragraph" w:styleId="1170">
    <w:name w:val="Block Text"/>
    <w:basedOn w:val="1140"/>
    <w:qFormat/>
    <w:pPr>
      <w:ind w:left="525" w:right="-1" w:firstLine="525"/>
      <w:spacing w:line="312" w:lineRule="atLeast"/>
    </w:pPr>
    <w:rPr>
      <w:sz w:val="28"/>
      <w:szCs w:val="28"/>
    </w:rPr>
  </w:style>
  <w:style w:type="paragraph" w:styleId="1171">
    <w:name w:val="List Bullet 2"/>
    <w:basedOn w:val="1140"/>
    <w:qFormat/>
    <w:pPr>
      <w:numPr>
        <w:numId w:val="3"/>
      </w:numPr>
      <w:ind w:left="1080" w:hanging="540"/>
      <w:spacing w:line="360" w:lineRule="auto"/>
    </w:pPr>
    <w:rPr>
      <w:sz w:val="24"/>
    </w:rPr>
  </w:style>
  <w:style w:type="paragraph" w:styleId="1172">
    <w:name w:val="index 4"/>
    <w:basedOn w:val="1140"/>
    <w:next w:val="1140"/>
    <w:semiHidden/>
    <w:qFormat/>
    <w:pPr>
      <w:ind w:left="840" w:hanging="210"/>
      <w:jc w:val="left"/>
    </w:pPr>
    <w:rPr>
      <w:szCs w:val="21"/>
    </w:rPr>
  </w:style>
  <w:style w:type="paragraph" w:styleId="1173">
    <w:name w:val="toc 5"/>
    <w:basedOn w:val="1140"/>
    <w:next w:val="1140"/>
    <w:qFormat/>
    <w:pPr>
      <w:ind w:left="1680"/>
    </w:pPr>
  </w:style>
  <w:style w:type="paragraph" w:styleId="1174">
    <w:name w:val="toc 3"/>
    <w:basedOn w:val="1140"/>
    <w:next w:val="1140"/>
    <w:uiPriority w:val="39"/>
    <w:qFormat/>
    <w:pPr>
      <w:ind w:left="840"/>
    </w:pPr>
  </w:style>
  <w:style w:type="paragraph" w:styleId="1175">
    <w:name w:val="Plain Text"/>
    <w:basedOn w:val="1140"/>
    <w:link w:val="1508"/>
    <w:qFormat/>
    <w:rPr>
      <w:rFonts w:ascii="宋体" w:hAnsi="Courier New"/>
      <w:sz w:val="24"/>
      <w:szCs w:val="24"/>
    </w:rPr>
  </w:style>
  <w:style w:type="paragraph" w:styleId="1176">
    <w:name w:val="List Number 4"/>
    <w:basedOn w:val="1140"/>
    <w:qFormat/>
    <w:pPr>
      <w:numPr>
        <w:numId w:val="4"/>
      </w:numPr>
    </w:pPr>
  </w:style>
  <w:style w:type="paragraph" w:styleId="1177">
    <w:name w:val="toc 8"/>
    <w:basedOn w:val="1140"/>
    <w:next w:val="1140"/>
    <w:qFormat/>
    <w:pPr>
      <w:ind w:left="2940"/>
    </w:pPr>
  </w:style>
  <w:style w:type="paragraph" w:styleId="1178">
    <w:name w:val="index 3"/>
    <w:basedOn w:val="1140"/>
    <w:next w:val="1140"/>
    <w:semiHidden/>
    <w:qFormat/>
    <w:pPr>
      <w:ind w:left="630" w:hanging="210"/>
      <w:jc w:val="left"/>
    </w:pPr>
    <w:rPr>
      <w:szCs w:val="21"/>
    </w:rPr>
  </w:style>
  <w:style w:type="paragraph" w:styleId="1179">
    <w:name w:val="Date"/>
    <w:basedOn w:val="1140"/>
    <w:next w:val="1140"/>
    <w:link w:val="1303"/>
    <w:uiPriority w:val="99"/>
    <w:qFormat/>
    <w:pPr>
      <w:ind w:left="100"/>
    </w:pPr>
    <w:rPr>
      <w:rFonts w:ascii="仿宋_GB2312" w:eastAsia="仿宋_GB2312"/>
      <w:color w:val="000000"/>
      <w:sz w:val="32"/>
    </w:rPr>
  </w:style>
  <w:style w:type="paragraph" w:styleId="1180">
    <w:name w:val="Body Text Indent 2"/>
    <w:basedOn w:val="1140"/>
    <w:link w:val="1301"/>
    <w:qFormat/>
    <w:pPr>
      <w:ind w:firstLine="560"/>
      <w:spacing w:line="640" w:lineRule="exact"/>
    </w:pPr>
    <w:rPr>
      <w:sz w:val="28"/>
    </w:rPr>
  </w:style>
  <w:style w:type="paragraph" w:styleId="1181">
    <w:name w:val="endnote text"/>
    <w:basedOn w:val="1140"/>
    <w:semiHidden/>
    <w:qFormat/>
    <w:pPr>
      <w:jc w:val="left"/>
      <w:spacing w:line="360" w:lineRule="atLeast"/>
    </w:pPr>
    <w:rPr>
      <w:rFonts w:ascii="楷体" w:eastAsia="楷体"/>
      <w:spacing w:val="8"/>
      <w:sz w:val="24"/>
    </w:rPr>
  </w:style>
  <w:style w:type="paragraph" w:styleId="1182">
    <w:name w:val="Balloon Text"/>
    <w:basedOn w:val="1140"/>
    <w:link w:val="1440"/>
    <w:qFormat/>
    <w:rPr>
      <w:sz w:val="18"/>
      <w:szCs w:val="18"/>
    </w:rPr>
  </w:style>
  <w:style w:type="paragraph" w:styleId="1183">
    <w:name w:val="Footer"/>
    <w:basedOn w:val="1140"/>
    <w:link w:val="1441"/>
    <w:qFormat/>
    <w:pPr>
      <w:jc w:val="left"/>
      <w:tabs>
        <w:tab w:val="center" w:pos="4153" w:leader="none"/>
        <w:tab w:val="right" w:pos="8306" w:leader="none"/>
      </w:tabs>
    </w:pPr>
    <w:rPr>
      <w:sz w:val="18"/>
    </w:rPr>
  </w:style>
  <w:style w:type="paragraph" w:styleId="1184">
    <w:name w:val="Header"/>
    <w:basedOn w:val="1140"/>
    <w:link w:val="1304"/>
    <w:qFormat/>
    <w:pPr>
      <w:jc w:val="center"/>
      <w:tabs>
        <w:tab w:val="center" w:pos="4153" w:leader="none"/>
        <w:tab w:val="right" w:pos="8306" w:leader="none"/>
      </w:tabs>
      <w:pBdr>
        <w:bottom w:val="single" w:color="auto" w:sz="6" w:space="1"/>
      </w:pBdr>
    </w:pPr>
    <w:rPr>
      <w:sz w:val="18"/>
    </w:rPr>
  </w:style>
  <w:style w:type="paragraph" w:styleId="1185">
    <w:name w:val="toc 1"/>
    <w:basedOn w:val="1140"/>
    <w:next w:val="1140"/>
    <w:uiPriority w:val="39"/>
    <w:qFormat/>
  </w:style>
  <w:style w:type="paragraph" w:styleId="1186">
    <w:name w:val="toc 4"/>
    <w:basedOn w:val="1140"/>
    <w:next w:val="1140"/>
    <w:qFormat/>
    <w:pPr>
      <w:ind w:left="1260"/>
    </w:pPr>
  </w:style>
  <w:style w:type="paragraph" w:styleId="1187">
    <w:name w:val="index heading"/>
    <w:basedOn w:val="1140"/>
    <w:next w:val="1188"/>
    <w:semiHidden/>
    <w:qFormat/>
    <w:pPr>
      <w:jc w:val="center"/>
      <w:spacing w:before="240" w:after="120"/>
      <w:pBdr>
        <w:top w:val="single" w:color="auto" w:sz="6" w:space="0"/>
        <w:left w:val="single" w:color="auto" w:sz="6" w:space="0"/>
        <w:bottom w:val="single" w:color="auto" w:sz="6" w:space="0"/>
        <w:right w:val="single" w:color="auto" w:sz="6" w:space="0"/>
      </w:pBdr>
    </w:pPr>
    <w:rPr>
      <w:rFonts w:ascii="Arial" w:hAnsi="Arial"/>
      <w:b/>
      <w:bCs/>
      <w:szCs w:val="26"/>
    </w:rPr>
  </w:style>
  <w:style w:type="paragraph" w:styleId="1188">
    <w:name w:val="index 1"/>
    <w:basedOn w:val="1140"/>
    <w:next w:val="1140"/>
    <w:semiHidden/>
    <w:qFormat/>
    <w:pPr>
      <w:ind w:left="210" w:hanging="210"/>
      <w:jc w:val="left"/>
    </w:pPr>
    <w:rPr>
      <w:szCs w:val="21"/>
    </w:rPr>
  </w:style>
  <w:style w:type="paragraph" w:styleId="1189">
    <w:name w:val="Subtitle"/>
    <w:basedOn w:val="1140"/>
    <w:next w:val="1140"/>
    <w:link w:val="1438"/>
    <w:qFormat/>
    <w:pPr>
      <w:ind w:firstLine="200"/>
      <w:jc w:val="left"/>
      <w:spacing w:line="400" w:lineRule="exact"/>
      <w:outlineLvl w:val="1"/>
    </w:pPr>
    <w:rPr>
      <w:rFonts w:ascii="Cambria" w:hAnsi="Cambria" w:eastAsia="黑体"/>
      <w:b/>
      <w:bCs/>
      <w:szCs w:val="32"/>
    </w:rPr>
  </w:style>
  <w:style w:type="paragraph" w:styleId="1190">
    <w:name w:val="List"/>
    <w:basedOn w:val="1140"/>
    <w:qFormat/>
    <w:pPr>
      <w:ind w:left="200" w:hanging="200"/>
    </w:pPr>
    <w:rPr>
      <w:szCs w:val="24"/>
    </w:rPr>
  </w:style>
  <w:style w:type="paragraph" w:styleId="1191">
    <w:name w:val="toc 6"/>
    <w:basedOn w:val="1140"/>
    <w:next w:val="1140"/>
    <w:qFormat/>
    <w:pPr>
      <w:ind w:left="2100"/>
    </w:pPr>
  </w:style>
  <w:style w:type="paragraph" w:styleId="1192">
    <w:name w:val="Body Text Indent 3"/>
    <w:basedOn w:val="1140"/>
    <w:link w:val="1456"/>
    <w:qFormat/>
    <w:pPr>
      <w:ind w:firstLine="438"/>
      <w:jc w:val="left"/>
    </w:pPr>
    <w:rPr>
      <w:rFonts w:ascii="楷体_GB2312" w:eastAsia="楷体_GB2312"/>
      <w:b/>
      <w:bCs/>
      <w:color w:val="000000"/>
      <w:sz w:val="24"/>
      <w:u w:val="single"/>
    </w:rPr>
  </w:style>
  <w:style w:type="paragraph" w:styleId="1193">
    <w:name w:val="index 7"/>
    <w:basedOn w:val="1140"/>
    <w:next w:val="1140"/>
    <w:semiHidden/>
    <w:qFormat/>
    <w:pPr>
      <w:ind w:left="1470" w:hanging="210"/>
      <w:jc w:val="left"/>
    </w:pPr>
    <w:rPr>
      <w:szCs w:val="21"/>
    </w:rPr>
  </w:style>
  <w:style w:type="paragraph" w:styleId="1194">
    <w:name w:val="index 9"/>
    <w:basedOn w:val="1140"/>
    <w:next w:val="1140"/>
    <w:semiHidden/>
    <w:qFormat/>
    <w:pPr>
      <w:ind w:left="1890" w:hanging="210"/>
      <w:jc w:val="left"/>
    </w:pPr>
    <w:rPr>
      <w:szCs w:val="21"/>
    </w:rPr>
  </w:style>
  <w:style w:type="paragraph" w:styleId="1195">
    <w:name w:val="table of figures"/>
    <w:basedOn w:val="1140"/>
    <w:next w:val="1140"/>
    <w:semiHidden/>
    <w:qFormat/>
    <w:pPr>
      <w:ind w:left="840" w:hanging="420"/>
    </w:pPr>
    <w:rPr>
      <w:szCs w:val="21"/>
    </w:rPr>
  </w:style>
  <w:style w:type="paragraph" w:styleId="1196">
    <w:name w:val="toc 2"/>
    <w:basedOn w:val="1140"/>
    <w:next w:val="1140"/>
    <w:uiPriority w:val="39"/>
    <w:qFormat/>
    <w:pPr>
      <w:ind w:left="420"/>
    </w:pPr>
  </w:style>
  <w:style w:type="paragraph" w:styleId="1197">
    <w:name w:val="toc 9"/>
    <w:basedOn w:val="1140"/>
    <w:next w:val="1140"/>
    <w:qFormat/>
    <w:pPr>
      <w:ind w:left="3360"/>
    </w:pPr>
  </w:style>
  <w:style w:type="paragraph" w:styleId="1198">
    <w:name w:val="Body Text 2"/>
    <w:basedOn w:val="1140"/>
    <w:link w:val="1306"/>
    <w:qFormat/>
    <w:rPr>
      <w:rFonts w:eastAsia="仿宋_GB2312"/>
      <w:sz w:val="24"/>
    </w:rPr>
  </w:style>
  <w:style w:type="paragraph" w:styleId="1199">
    <w:name w:val="List Continue 2"/>
    <w:basedOn w:val="1140"/>
    <w:qFormat/>
    <w:pPr>
      <w:ind w:left="840"/>
      <w:spacing w:after="120"/>
    </w:pPr>
    <w:rPr>
      <w:szCs w:val="24"/>
    </w:rPr>
  </w:style>
  <w:style w:type="paragraph" w:styleId="1200">
    <w:name w:val="HTML Preformatted"/>
    <w:basedOn w:val="1140"/>
    <w:link w:val="1517"/>
    <w:qFormat/>
    <w:rPr>
      <w:rFonts w:ascii="Courier New" w:hAnsi="Courier New"/>
      <w:sz w:val="20"/>
    </w:rPr>
  </w:style>
  <w:style w:type="paragraph" w:styleId="1201">
    <w:name w:val="Normal (Web)"/>
    <w:basedOn w:val="1140"/>
    <w:link w:val="1534"/>
    <w:qFormat/>
    <w:pPr>
      <w:jc w:val="left"/>
      <w:spacing w:before="100" w:beforeAutospacing="1" w:after="100" w:afterAutospacing="1"/>
      <w:widowControl/>
    </w:pPr>
    <w:rPr>
      <w:rFonts w:ascii="宋体" w:hAnsi="宋体"/>
      <w:color w:val="000000"/>
      <w:sz w:val="24"/>
      <w:szCs w:val="24"/>
    </w:rPr>
  </w:style>
  <w:style w:type="paragraph" w:styleId="1202">
    <w:name w:val="index 2"/>
    <w:basedOn w:val="1140"/>
    <w:next w:val="1140"/>
    <w:semiHidden/>
    <w:qFormat/>
    <w:pPr>
      <w:ind w:left="420" w:hanging="210"/>
      <w:jc w:val="left"/>
    </w:pPr>
    <w:rPr>
      <w:szCs w:val="21"/>
    </w:rPr>
  </w:style>
  <w:style w:type="paragraph" w:styleId="1203">
    <w:name w:val="Title"/>
    <w:basedOn w:val="1140"/>
    <w:link w:val="1338"/>
    <w:qFormat/>
    <w:pPr>
      <w:jc w:val="left"/>
      <w:spacing w:before="240" w:after="60" w:line="360" w:lineRule="auto"/>
      <w:outlineLvl w:val="0"/>
    </w:pPr>
    <w:rPr>
      <w:rFonts w:ascii="Arial" w:hAnsi="Arial" w:eastAsia="黑体"/>
      <w:b/>
      <w:sz w:val="84"/>
      <w:lang w:val="en-GB"/>
    </w:rPr>
  </w:style>
  <w:style w:type="paragraph" w:styleId="1204">
    <w:name w:val="annotation subject"/>
    <w:basedOn w:val="1164"/>
    <w:next w:val="1164"/>
    <w:link w:val="1554"/>
    <w:unhideWhenUsed/>
    <w:qFormat/>
    <w:pPr>
      <w:ind w:firstLine="200"/>
      <w:spacing w:line="360" w:lineRule="auto"/>
    </w:pPr>
    <w:rPr>
      <w:rFonts w:ascii="Times New Roman" w:hAnsi="Times New Roman"/>
      <w:b/>
      <w:bCs/>
      <w:sz w:val="24"/>
      <w:szCs w:val="20"/>
    </w:rPr>
  </w:style>
  <w:style w:type="paragraph" w:styleId="1205">
    <w:name w:val="Body Text First Indent"/>
    <w:basedOn w:val="1161"/>
    <w:link w:val="1326"/>
    <w:qFormat/>
    <w:pPr>
      <w:ind w:firstLine="420"/>
      <w:spacing w:after="120"/>
    </w:pPr>
    <w:rPr>
      <w:rFonts w:ascii="Times New Roman" w:hAnsi="Times New Roman" w:eastAsia="宋体"/>
      <w:sz w:val="21"/>
      <w:szCs w:val="24"/>
    </w:rPr>
  </w:style>
  <w:style w:type="paragraph" w:styleId="1206">
    <w:name w:val="Body Text First Indent 2"/>
    <w:basedOn w:val="1168"/>
    <w:link w:val="1576"/>
    <w:qFormat/>
    <w:pPr>
      <w:ind w:left="420" w:firstLine="420"/>
      <w:spacing w:after="120"/>
    </w:pPr>
    <w:rPr>
      <w:sz w:val="21"/>
      <w:szCs w:val="20"/>
    </w:rPr>
  </w:style>
  <w:style w:type="table" w:styleId="1207">
    <w:name w:val="Table Grid"/>
    <w:basedOn w:val="1151"/>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08">
    <w:name w:val="Strong"/>
    <w:basedOn w:val="1150"/>
    <w:uiPriority w:val="22"/>
    <w:qFormat/>
    <w:rPr>
      <w:b/>
      <w:bCs/>
    </w:rPr>
  </w:style>
  <w:style w:type="character" w:styleId="1209">
    <w:name w:val="page number"/>
    <w:basedOn w:val="1150"/>
    <w:qFormat/>
  </w:style>
  <w:style w:type="character" w:styleId="1210">
    <w:name w:val="FollowedHyperlink"/>
    <w:basedOn w:val="1150"/>
    <w:uiPriority w:val="99"/>
    <w:qFormat/>
    <w:rPr>
      <w:color w:val="800080"/>
      <w:u w:val="single"/>
    </w:rPr>
  </w:style>
  <w:style w:type="character" w:styleId="1211">
    <w:name w:val="Emphasis"/>
    <w:basedOn w:val="1150"/>
    <w:qFormat/>
    <w:rPr>
      <w:i/>
      <w:iCs/>
    </w:rPr>
  </w:style>
  <w:style w:type="character" w:styleId="1212">
    <w:name w:val="HTML Typewriter"/>
    <w:uiPriority w:val="99"/>
    <w:unhideWhenUsed/>
    <w:qFormat/>
    <w:rPr>
      <w:rFonts w:hint="eastAsia" w:ascii="宋体" w:hAnsi="宋体" w:eastAsia="宋体" w:cs="宋体"/>
      <w:sz w:val="24"/>
      <w:szCs w:val="24"/>
    </w:rPr>
  </w:style>
  <w:style w:type="character" w:styleId="1213">
    <w:name w:val="Hyperlink"/>
    <w:basedOn w:val="1150"/>
    <w:qFormat/>
    <w:rPr>
      <w:color w:val="0000ff"/>
      <w:u w:val="single"/>
    </w:rPr>
  </w:style>
  <w:style w:type="character" w:styleId="1214">
    <w:name w:val="annotation reference"/>
    <w:unhideWhenUsed/>
    <w:qFormat/>
    <w:rPr>
      <w:sz w:val="21"/>
      <w:szCs w:val="21"/>
    </w:rPr>
  </w:style>
  <w:style w:type="character" w:styleId="1215" w:customStyle="1">
    <w:name w:val="title1"/>
    <w:basedOn w:val="1150"/>
    <w:qFormat/>
    <w:rPr>
      <w:b/>
      <w:bCs/>
      <w:sz w:val="21"/>
      <w:szCs w:val="21"/>
      <w:u w:val="none"/>
    </w:rPr>
  </w:style>
  <w:style w:type="paragraph" w:styleId="1216" w:customStyle="1">
    <w:name w:val="pc"/>
    <w:basedOn w:val="1140"/>
    <w:qFormat/>
    <w:pPr>
      <w:jc w:val="left"/>
      <w:spacing w:before="100" w:beforeAutospacing="1" w:after="100" w:afterAutospacing="1" w:line="355" w:lineRule="auto"/>
      <w:widowControl/>
    </w:pPr>
    <w:rPr>
      <w:rFonts w:hint="eastAsia" w:ascii="宋体" w:hAnsi="宋体"/>
      <w:color w:val="313131"/>
      <w:sz w:val="18"/>
      <w:szCs w:val="18"/>
    </w:rPr>
  </w:style>
  <w:style w:type="paragraph" w:styleId="1217" w:customStyle="1">
    <w:name w:val="Char Char Char"/>
    <w:basedOn w:val="1140"/>
    <w:qFormat/>
    <w:rPr>
      <w:rFonts w:ascii="Tahoma" w:hAnsi="Tahoma"/>
      <w:sz w:val="24"/>
    </w:rPr>
  </w:style>
  <w:style w:type="paragraph" w:styleId="1218" w:customStyle="1">
    <w:name w:val="Char"/>
    <w:basedOn w:val="1140"/>
    <w:semiHidden/>
    <w:qFormat/>
    <w:pPr>
      <w:jc w:val="center"/>
      <w:spacing w:line="400" w:lineRule="exact"/>
      <w:widowControl/>
    </w:pPr>
    <w:rPr>
      <w:rFonts w:ascii="Verdana" w:hAnsi="Verdana"/>
      <w:lang w:eastAsia="en-US"/>
    </w:rPr>
  </w:style>
  <w:style w:type="paragraph" w:styleId="1219" w:customStyle="1">
    <w:name w:val="百姓X"/>
    <w:basedOn w:val="1140"/>
    <w:qFormat/>
    <w:pPr>
      <w:ind w:firstLine="539"/>
      <w:spacing w:before="120" w:after="120" w:line="360" w:lineRule="auto"/>
    </w:pPr>
    <w:rPr>
      <w:rFonts w:ascii="宋体" w:hAnsi="宋体"/>
      <w:sz w:val="24"/>
    </w:rPr>
  </w:style>
  <w:style w:type="paragraph" w:styleId="1220" w:customStyle="1">
    <w:name w:val="图片"/>
    <w:basedOn w:val="1140"/>
    <w:qFormat/>
    <w:pPr>
      <w:spacing w:line="312" w:lineRule="atLeast"/>
    </w:pPr>
    <w:rPr>
      <w:szCs w:val="21"/>
    </w:rPr>
  </w:style>
  <w:style w:type="paragraph" w:styleId="1221" w:customStyle="1">
    <w:name w:val="样式2"/>
    <w:basedOn w:val="1140"/>
    <w:link w:val="1319"/>
    <w:qFormat/>
    <w:pPr>
      <w:ind w:right="-8"/>
      <w:spacing w:before="60" w:after="60" w:line="480" w:lineRule="atLeast"/>
      <w:widowControl/>
    </w:pPr>
    <w:rPr>
      <w:rFonts w:ascii="黑体" w:hAnsi="Arial" w:eastAsia="黑体"/>
      <w:sz w:val="24"/>
      <w:szCs w:val="24"/>
    </w:rPr>
  </w:style>
  <w:style w:type="paragraph" w:styleId="1222" w:customStyle="1">
    <w:name w:val="小四楷粗"/>
    <w:basedOn w:val="1140"/>
    <w:qFormat/>
    <w:pPr>
      <w:jc w:val="center"/>
    </w:pPr>
    <w:rPr>
      <w:rFonts w:ascii="宋体"/>
      <w:b/>
      <w:bCs/>
      <w:color w:val="000000"/>
      <w:szCs w:val="21"/>
    </w:rPr>
  </w:style>
  <w:style w:type="paragraph" w:styleId="1223" w:customStyle="1">
    <w:name w:val="小四楷"/>
    <w:basedOn w:val="1140"/>
    <w:qFormat/>
    <w:pPr>
      <w:jc w:val="center"/>
      <w:spacing w:line="400" w:lineRule="exact"/>
      <w:tabs>
        <w:tab w:val="left" w:pos="-762" w:leader="none"/>
        <w:tab w:val="left" w:pos="-606" w:leader="none"/>
        <w:tab w:val="left" w:pos="235" w:leader="none"/>
        <w:tab w:val="left" w:pos="525" w:leader="none"/>
      </w:tabs>
    </w:pPr>
    <w:rPr>
      <w:rFonts w:ascii="宋体" w:hAnsi="宋体"/>
      <w:color w:val="000000"/>
      <w:spacing w:val="-2"/>
      <w:szCs w:val="21"/>
    </w:rPr>
  </w:style>
  <w:style w:type="paragraph" w:styleId="1224" w:customStyle="1">
    <w:name w:val="五楷"/>
    <w:basedOn w:val="1140"/>
    <w:qFormat/>
    <w:pPr>
      <w:jc w:val="center"/>
    </w:pPr>
    <w:rPr>
      <w:rFonts w:ascii="宋体" w:hAnsi="宋体"/>
      <w:color w:val="000000"/>
      <w:sz w:val="24"/>
      <w:szCs w:val="21"/>
    </w:rPr>
  </w:style>
  <w:style w:type="paragraph" w:styleId="1225" w:customStyle="1">
    <w:name w:val="xl24"/>
    <w:basedOn w:val="1140"/>
    <w:qFormat/>
    <w:pPr>
      <w:jc w:val="center"/>
      <w:spacing w:before="100" w:after="100"/>
      <w:widowControl/>
    </w:pPr>
    <w:rPr>
      <w:rFonts w:ascii="楷体_GB2312" w:hAnsi="宋体" w:eastAsia="楷体_GB2312"/>
      <w:sz w:val="24"/>
      <w:szCs w:val="24"/>
    </w:rPr>
  </w:style>
  <w:style w:type="paragraph" w:styleId="1226" w:customStyle="1">
    <w:name w:val="head2"/>
    <w:basedOn w:val="1140"/>
    <w:qFormat/>
    <w:pPr>
      <w:jc w:val="left"/>
      <w:widowControl/>
    </w:pPr>
    <w:rPr>
      <w:rFonts w:ascii="Arial" w:hAnsi="Arial"/>
      <w:b/>
      <w:bCs/>
      <w:sz w:val="28"/>
      <w:szCs w:val="28"/>
    </w:rPr>
  </w:style>
  <w:style w:type="paragraph" w:styleId="1227" w:customStyle="1">
    <w:name w:val="font0"/>
    <w:basedOn w:val="1140"/>
    <w:qFormat/>
    <w:pPr>
      <w:jc w:val="left"/>
      <w:spacing w:before="100" w:beforeAutospacing="1" w:after="100" w:afterAutospacing="1"/>
      <w:widowControl/>
    </w:pPr>
    <w:rPr>
      <w:rFonts w:hint="eastAsia" w:ascii="宋体" w:hAnsi="宋体" w:cs="Arial Unicode MS"/>
      <w:sz w:val="24"/>
      <w:szCs w:val="24"/>
    </w:rPr>
  </w:style>
  <w:style w:type="paragraph" w:styleId="1228" w:customStyle="1">
    <w:name w:val="font5"/>
    <w:basedOn w:val="1140"/>
    <w:qFormat/>
    <w:pPr>
      <w:jc w:val="left"/>
      <w:spacing w:before="100" w:beforeAutospacing="1" w:after="100" w:afterAutospacing="1"/>
      <w:widowControl/>
    </w:pPr>
    <w:rPr>
      <w:rFonts w:hint="eastAsia" w:ascii="宋体" w:hAnsi="宋体" w:cs="Arial Unicode MS"/>
      <w:sz w:val="18"/>
      <w:szCs w:val="18"/>
    </w:rPr>
  </w:style>
  <w:style w:type="paragraph" w:styleId="1229" w:customStyle="1">
    <w:name w:val="font6"/>
    <w:basedOn w:val="1140"/>
    <w:qFormat/>
    <w:pPr>
      <w:jc w:val="left"/>
      <w:spacing w:before="100" w:beforeAutospacing="1" w:after="100" w:afterAutospacing="1"/>
      <w:widowControl/>
    </w:pPr>
    <w:rPr>
      <w:rFonts w:hint="eastAsia" w:ascii="宋体" w:hAnsi="宋体" w:cs="Arial Unicode MS"/>
      <w:sz w:val="24"/>
      <w:szCs w:val="24"/>
    </w:rPr>
  </w:style>
  <w:style w:type="paragraph" w:styleId="1230" w:customStyle="1">
    <w:name w:val="xl25"/>
    <w:basedOn w:val="114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4"/>
      <w:szCs w:val="24"/>
    </w:rPr>
  </w:style>
  <w:style w:type="paragraph" w:styleId="1231" w:customStyle="1">
    <w:name w:val="xl26"/>
    <w:basedOn w:val="114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4"/>
      <w:szCs w:val="24"/>
    </w:rPr>
  </w:style>
  <w:style w:type="paragraph" w:styleId="1232" w:customStyle="1">
    <w:name w:val="xl27"/>
    <w:basedOn w:val="114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4"/>
      <w:szCs w:val="24"/>
    </w:rPr>
  </w:style>
  <w:style w:type="paragraph" w:styleId="1233" w:customStyle="1">
    <w:name w:val="xl28"/>
    <w:basedOn w:val="114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4"/>
      <w:szCs w:val="24"/>
    </w:rPr>
  </w:style>
  <w:style w:type="paragraph" w:styleId="1234" w:customStyle="1">
    <w:name w:val="xl29"/>
    <w:basedOn w:val="114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4"/>
      <w:szCs w:val="24"/>
    </w:rPr>
  </w:style>
  <w:style w:type="paragraph" w:styleId="1235" w:customStyle="1">
    <w:name w:val="xl30"/>
    <w:basedOn w:val="114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4"/>
      <w:szCs w:val="24"/>
    </w:rPr>
  </w:style>
  <w:style w:type="paragraph" w:styleId="1236" w:customStyle="1">
    <w:name w:val="xl31"/>
    <w:basedOn w:val="114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24"/>
      <w:szCs w:val="24"/>
    </w:rPr>
  </w:style>
  <w:style w:type="paragraph" w:styleId="1237" w:customStyle="1">
    <w:name w:val="纯文本1"/>
    <w:basedOn w:val="1140"/>
    <w:qFormat/>
    <w:rPr>
      <w:rFonts w:ascii="宋体"/>
      <w:sz w:val="28"/>
    </w:rPr>
  </w:style>
  <w:style w:type="paragraph" w:styleId="1238" w:customStyle="1">
    <w:name w:val="插图说明"/>
    <w:next w:val="1140"/>
    <w:qFormat/>
    <w:pPr>
      <w:jc w:val="center"/>
      <w:spacing w:before="120" w:after="240"/>
    </w:pPr>
    <w:rPr>
      <w:rFonts w:eastAsia="楷体_GB2312"/>
      <w:sz w:val="24"/>
    </w:rPr>
  </w:style>
  <w:style w:type="character" w:styleId="1239" w:customStyle="1">
    <w:name w:val="font111"/>
    <w:basedOn w:val="1150"/>
    <w:qFormat/>
    <w:rPr>
      <w:spacing w:val="500"/>
      <w:sz w:val="21"/>
      <w:szCs w:val="21"/>
    </w:rPr>
  </w:style>
  <w:style w:type="paragraph" w:styleId="1240" w:customStyle="1">
    <w:name w:val="design"/>
    <w:basedOn w:val="1140"/>
    <w:qFormat/>
    <w:pPr>
      <w:jc w:val="left"/>
      <w:spacing w:before="100" w:beforeAutospacing="1" w:after="100" w:afterAutospacing="1" w:line="400" w:lineRule="atLeast"/>
      <w:widowControl/>
    </w:pPr>
    <w:rPr>
      <w:rFonts w:ascii="Arial Unicode MS" w:hAnsi="Arial Unicode MS"/>
      <w:color w:val="000000"/>
      <w:sz w:val="18"/>
      <w:szCs w:val="18"/>
    </w:rPr>
  </w:style>
  <w:style w:type="character" w:styleId="1241" w:customStyle="1">
    <w:name w:val="design1"/>
    <w:basedOn w:val="1150"/>
    <w:qFormat/>
    <w:rPr>
      <w:spacing w:val="400"/>
      <w:sz w:val="18"/>
      <w:szCs w:val="18"/>
    </w:rPr>
  </w:style>
  <w:style w:type="paragraph" w:styleId="1242" w:customStyle="1">
    <w:name w:val="T4"/>
    <w:basedOn w:val="1140"/>
    <w:qFormat/>
    <w:pPr>
      <w:spacing w:line="360" w:lineRule="atLeast"/>
    </w:pPr>
    <w:rPr>
      <w:rFonts w:ascii="宋体"/>
      <w:sz w:val="22"/>
    </w:rPr>
  </w:style>
  <w:style w:type="paragraph" w:styleId="1243" w:customStyle="1">
    <w:name w:val="5"/>
    <w:basedOn w:val="1140"/>
    <w:next w:val="120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paragraph" w:styleId="1244" w:customStyle="1">
    <w:name w:val="1B"/>
    <w:basedOn w:val="1141"/>
    <w:qFormat/>
    <w:pPr>
      <w:numPr>
        <w:numId w:val="5"/>
      </w:numPr>
      <w:spacing w:before="360" w:after="360" w:line="480" w:lineRule="auto"/>
    </w:pPr>
    <w:rPr>
      <w:sz w:val="28"/>
      <w:szCs w:val="24"/>
    </w:rPr>
  </w:style>
  <w:style w:type="paragraph" w:styleId="1245" w:customStyle="1">
    <w:name w:val="1.1B Char"/>
    <w:basedOn w:val="1143"/>
    <w:qFormat/>
    <w:pPr>
      <w:numPr>
        <w:ilvl w:val="1"/>
        <w:numId w:val="5"/>
      </w:numPr>
      <w:spacing w:before="240" w:after="240" w:line="240" w:lineRule="auto"/>
    </w:pPr>
    <w:rPr>
      <w:rFonts w:ascii="黑体" w:hAnsi="宋体" w:eastAsia="黑体"/>
      <w:bCs/>
      <w:sz w:val="24"/>
      <w:szCs w:val="24"/>
    </w:rPr>
  </w:style>
  <w:style w:type="paragraph" w:styleId="1246" w:customStyle="1">
    <w:name w:val="1.1.1B"/>
    <w:basedOn w:val="1143"/>
    <w:qFormat/>
    <w:pPr>
      <w:numPr>
        <w:ilvl w:val="2"/>
        <w:numId w:val="5"/>
      </w:numPr>
      <w:spacing w:before="240" w:after="240" w:line="240" w:lineRule="auto"/>
    </w:pPr>
    <w:rPr>
      <w:bCs/>
      <w:sz w:val="24"/>
      <w:szCs w:val="32"/>
    </w:rPr>
  </w:style>
  <w:style w:type="paragraph" w:styleId="1247" w:customStyle="1">
    <w:name w:val="1.1.1.1B"/>
    <w:basedOn w:val="1144"/>
    <w:qFormat/>
    <w:pPr>
      <w:numPr>
        <w:ilvl w:val="3"/>
        <w:numId w:val="5"/>
      </w:numPr>
      <w:jc w:val="both"/>
      <w:spacing w:before="240" w:after="240" w:line="240" w:lineRule="auto"/>
    </w:pPr>
    <w:rPr>
      <w:rFonts w:ascii="Arial" w:hAnsi="Arial" w:eastAsia="宋体"/>
      <w:b/>
      <w:sz w:val="24"/>
      <w:szCs w:val="24"/>
    </w:rPr>
  </w:style>
  <w:style w:type="paragraph" w:styleId="1248" w:customStyle="1">
    <w:name w:val="样式1"/>
    <w:basedOn w:val="1144"/>
    <w:link w:val="1318"/>
    <w:qFormat/>
    <w:pPr>
      <w:numPr>
        <w:ilvl w:val="1"/>
        <w:numId w:val="6"/>
      </w:numPr>
      <w:jc w:val="both"/>
      <w:spacing w:before="280" w:after="290" w:line="376" w:lineRule="auto"/>
    </w:pPr>
    <w:rPr>
      <w:rFonts w:ascii="Arial" w:hAnsi="Arial" w:eastAsia="宋体"/>
      <w:b/>
    </w:rPr>
  </w:style>
  <w:style w:type="paragraph" w:styleId="1249" w:customStyle="1">
    <w:name w:val="南通方案正文"/>
    <w:basedOn w:val="1140"/>
    <w:qFormat/>
    <w:pPr>
      <w:ind w:firstLine="480"/>
      <w:spacing w:line="360" w:lineRule="auto"/>
    </w:pPr>
    <w:rPr>
      <w:rFonts w:cs="宋体"/>
      <w:sz w:val="24"/>
    </w:rPr>
  </w:style>
  <w:style w:type="paragraph" w:styleId="1250" w:customStyle="1">
    <w:name w:val="方案正文"/>
    <w:basedOn w:val="1140"/>
    <w:qFormat/>
    <w:pPr>
      <w:spacing w:line="360" w:lineRule="auto"/>
    </w:pPr>
    <w:rPr>
      <w:sz w:val="24"/>
      <w:szCs w:val="24"/>
    </w:rPr>
  </w:style>
  <w:style w:type="paragraph" w:styleId="1251" w:customStyle="1">
    <w:name w:val="TOC Base"/>
    <w:basedOn w:val="1140"/>
    <w:qFormat/>
    <w:pPr>
      <w:jc w:val="left"/>
      <w:spacing w:after="240" w:line="240" w:lineRule="atLeast"/>
      <w:widowControl/>
      <w:tabs>
        <w:tab w:val="right" w:pos="6480" w:leader="dot"/>
      </w:tabs>
    </w:pPr>
    <w:rPr>
      <w:rFonts w:ascii="仿宋体" w:hAnsi="Arial" w:eastAsia="仿宋体"/>
      <w:spacing w:val="-5"/>
      <w:sz w:val="28"/>
      <w:lang w:eastAsia="en-US"/>
    </w:rPr>
  </w:style>
  <w:style w:type="paragraph" w:styleId="1252" w:customStyle="1">
    <w:name w:val="正文段"/>
    <w:basedOn w:val="1140"/>
    <w:qFormat/>
    <w:pPr>
      <w:ind w:firstLine="454"/>
      <w:spacing w:after="240" w:line="240" w:lineRule="atLeast"/>
      <w:widowControl/>
    </w:pPr>
    <w:rPr>
      <w:rFonts w:ascii="宋体"/>
      <w:sz w:val="24"/>
    </w:rPr>
  </w:style>
  <w:style w:type="paragraph" w:styleId="1253" w:customStyle="1">
    <w:name w:val="Picture"/>
    <w:basedOn w:val="1140"/>
    <w:next w:val="1160"/>
    <w:qFormat/>
    <w:pPr>
      <w:ind w:left="1080"/>
      <w:jc w:val="left"/>
      <w:keepNext/>
      <w:widowControl/>
    </w:pPr>
    <w:rPr>
      <w:rFonts w:ascii="Arial" w:hAnsi="Arial" w:eastAsia="仿宋体"/>
      <w:spacing w:val="-5"/>
      <w:sz w:val="28"/>
    </w:rPr>
  </w:style>
  <w:style w:type="paragraph" w:styleId="1254" w:customStyle="1">
    <w:name w:val="标题7"/>
    <w:basedOn w:val="1175"/>
    <w:next w:val="1147"/>
    <w:qFormat/>
    <w:pPr>
      <w:ind w:firstLine="720"/>
      <w:spacing w:before="120" w:after="60" w:line="360" w:lineRule="exact"/>
    </w:pPr>
    <w:rPr>
      <w:rFonts w:hAnsi="宋体"/>
      <w:szCs w:val="20"/>
    </w:rPr>
  </w:style>
  <w:style w:type="character" w:styleId="1255" w:customStyle="1">
    <w:name w:val="a9"/>
    <w:basedOn w:val="1150"/>
    <w:qFormat/>
  </w:style>
  <w:style w:type="paragraph" w:styleId="1256" w:customStyle="1">
    <w:name w:val="Paragraph H3"/>
    <w:basedOn w:val="1140"/>
    <w:qFormat/>
    <w:pPr>
      <w:ind w:firstLine="426"/>
      <w:jc w:val="left"/>
      <w:spacing w:before="40" w:after="40" w:line="360" w:lineRule="auto"/>
      <w:widowControl/>
    </w:pPr>
    <w:rPr>
      <w:rFonts w:ascii="FuturaA Bk BT" w:hAnsi="FuturaA Bk BT"/>
      <w:sz w:val="20"/>
    </w:rPr>
  </w:style>
  <w:style w:type="paragraph" w:styleId="1257" w:customStyle="1">
    <w:name w:val="Paragraph H4"/>
    <w:basedOn w:val="1140"/>
    <w:qFormat/>
    <w:pPr>
      <w:ind w:firstLine="426"/>
      <w:jc w:val="left"/>
      <w:spacing w:line="360" w:lineRule="auto"/>
      <w:widowControl/>
    </w:pPr>
    <w:rPr>
      <w:rFonts w:ascii="FuturaA Bk BT" w:hAnsi="FuturaA Bk BT"/>
      <w:sz w:val="20"/>
      <w:lang w:eastAsia="fr-FR"/>
    </w:rPr>
  </w:style>
  <w:style w:type="paragraph" w:styleId="1258" w:customStyle="1">
    <w:name w:val="Bullet P3"/>
    <w:basedOn w:val="1140"/>
    <w:qFormat/>
    <w:pPr>
      <w:numPr>
        <w:numId w:val="7"/>
      </w:numPr>
      <w:ind w:left="794"/>
      <w:jc w:val="left"/>
      <w:spacing w:before="20" w:after="20"/>
      <w:widowControl/>
    </w:pPr>
    <w:rPr>
      <w:rFonts w:ascii="FuturaA Bk BT" w:hAnsi="FuturaA Bk BT"/>
      <w:sz w:val="20"/>
      <w:lang w:eastAsia="en-US"/>
    </w:rPr>
  </w:style>
  <w:style w:type="paragraph" w:styleId="1259" w:customStyle="1">
    <w:name w:val="Bullet P1&amp;2"/>
    <w:basedOn w:val="1140"/>
    <w:qFormat/>
    <w:pPr>
      <w:numPr>
        <w:numId w:val="8"/>
      </w:numPr>
      <w:ind w:left="562" w:right="85" w:hanging="420"/>
      <w:jc w:val="left"/>
      <w:spacing w:before="20" w:after="20" w:line="360" w:lineRule="auto"/>
      <w:widowControl/>
      <w:tabs>
        <w:tab w:val="clear" w:pos="360" w:leader="none"/>
        <w:tab w:val="left" w:pos="562" w:leader="none"/>
      </w:tabs>
    </w:pPr>
    <w:rPr>
      <w:rFonts w:ascii="FuturaA Bk BT" w:hAnsi="FuturaA Bk BT"/>
      <w:sz w:val="20"/>
    </w:rPr>
  </w:style>
  <w:style w:type="paragraph" w:styleId="1260" w:customStyle="1">
    <w:name w:val="Bullet P4"/>
    <w:basedOn w:val="1140"/>
    <w:qFormat/>
    <w:pPr>
      <w:numPr>
        <w:numId w:val="9"/>
      </w:numPr>
      <w:ind w:left="907" w:firstLine="0"/>
      <w:jc w:val="left"/>
      <w:spacing w:line="360" w:lineRule="auto"/>
      <w:widowControl/>
      <w:tabs>
        <w:tab w:val="clear" w:pos="562" w:leader="none"/>
      </w:tabs>
    </w:pPr>
    <w:rPr>
      <w:rFonts w:ascii="FuturaA Bk BT" w:hAnsi="FuturaA Bk BT"/>
      <w:sz w:val="20"/>
      <w:lang w:eastAsia="en-US"/>
    </w:rPr>
  </w:style>
  <w:style w:type="paragraph" w:styleId="1261" w:customStyle="1">
    <w:name w:val="Paragraph P1&amp;2"/>
    <w:basedOn w:val="1140"/>
    <w:qFormat/>
    <w:pPr>
      <w:ind w:firstLine="511"/>
      <w:jc w:val="left"/>
      <w:spacing w:before="40" w:after="60" w:line="360" w:lineRule="auto"/>
      <w:widowControl/>
    </w:pPr>
    <w:rPr>
      <w:rFonts w:ascii="FuturaA Bk BT" w:hAnsi="FuturaA Bk BT"/>
      <w:color w:val="000000"/>
      <w:sz w:val="24"/>
      <w:szCs w:val="24"/>
      <w:lang w:val="fr-FR"/>
    </w:rPr>
  </w:style>
  <w:style w:type="paragraph" w:styleId="1262" w:customStyle="1">
    <w:name w:val="项目符号A"/>
    <w:basedOn w:val="1140"/>
    <w:qFormat/>
    <w:pPr>
      <w:spacing w:line="360" w:lineRule="auto"/>
    </w:pPr>
    <w:rPr>
      <w:rFonts w:ascii="Arial" w:hAnsi="Arial"/>
      <w:sz w:val="24"/>
    </w:rPr>
  </w:style>
  <w:style w:type="paragraph" w:styleId="1263" w:customStyle="1">
    <w:name w:val="项目符号B"/>
    <w:basedOn w:val="1140"/>
    <w:qFormat/>
    <w:pPr>
      <w:numPr>
        <w:numId w:val="10"/>
      </w:numPr>
      <w:spacing w:line="360" w:lineRule="auto"/>
    </w:pPr>
    <w:rPr>
      <w:rFonts w:ascii="Arial" w:hAnsi="Arial"/>
      <w:sz w:val="24"/>
    </w:rPr>
  </w:style>
  <w:style w:type="paragraph" w:styleId="1264" w:customStyle="1">
    <w:name w:val="项目符号C"/>
    <w:basedOn w:val="1140"/>
    <w:qFormat/>
    <w:pPr>
      <w:numPr>
        <w:numId w:val="11"/>
      </w:numPr>
      <w:spacing w:line="360" w:lineRule="auto"/>
    </w:pPr>
    <w:rPr>
      <w:rFonts w:ascii="Arial" w:hAnsi="Arial"/>
      <w:sz w:val="24"/>
    </w:rPr>
  </w:style>
  <w:style w:type="paragraph" w:styleId="1265" w:customStyle="1">
    <w:name w:val="方案文档"/>
    <w:basedOn w:val="1140"/>
    <w:qFormat/>
    <w:pPr>
      <w:ind w:firstLine="566"/>
      <w:spacing w:before="120" w:after="120" w:line="360" w:lineRule="auto"/>
    </w:pPr>
    <w:rPr>
      <w:rFonts w:ascii="Arial" w:hAnsi="Arial"/>
      <w:sz w:val="24"/>
    </w:rPr>
  </w:style>
  <w:style w:type="paragraph" w:styleId="1266" w:customStyle="1">
    <w:name w:val="简单回函地址"/>
    <w:basedOn w:val="1140"/>
    <w:qFormat/>
    <w:rPr>
      <w:szCs w:val="24"/>
    </w:rPr>
  </w:style>
  <w:style w:type="paragraph" w:styleId="1267" w:customStyle="1">
    <w:name w:val="小四 段落 宋体 Char Char"/>
    <w:basedOn w:val="1159"/>
    <w:qFormat/>
    <w:pPr>
      <w:numPr>
        <w:numId w:val="0"/>
      </w:numPr>
      <w:ind w:left="100" w:right="113" w:firstLine="425"/>
      <w:jc w:val="left"/>
      <w:spacing w:line="360" w:lineRule="auto"/>
    </w:pPr>
    <w:rPr>
      <w:rFonts w:ascii="宋体" w:hAnsi="宋体"/>
      <w:bCs/>
      <w:sz w:val="24"/>
    </w:rPr>
  </w:style>
  <w:style w:type="paragraph" w:styleId="1268" w:customStyle="1">
    <w:name w:val="7"/>
    <w:basedOn w:val="1140"/>
    <w:next w:val="1201"/>
    <w:qFormat/>
    <w:pPr>
      <w:jc w:val="left"/>
      <w:spacing w:before="100" w:beforeAutospacing="1" w:after="100" w:afterAutospacing="1"/>
      <w:widowControl/>
    </w:pPr>
    <w:rPr>
      <w:rFonts w:ascii="宋体" w:hAnsi="宋体"/>
      <w:sz w:val="24"/>
    </w:rPr>
  </w:style>
  <w:style w:type="paragraph" w:styleId="1269" w:customStyle="1">
    <w:name w:val="Brieftext"/>
    <w:basedOn w:val="1140"/>
    <w:qFormat/>
    <w:pPr>
      <w:ind w:firstLine="426"/>
      <w:spacing w:line="300" w:lineRule="exact"/>
      <w:widowControl/>
    </w:pPr>
    <w:rPr>
      <w:rFonts w:ascii="仿宋体" w:hAnsi="Arial" w:eastAsia="Times"/>
      <w:sz w:val="22"/>
      <w:lang w:val="en-GB"/>
    </w:rPr>
  </w:style>
  <w:style w:type="character" w:styleId="1270" w:customStyle="1">
    <w:name w:val="style31"/>
    <w:basedOn w:val="1150"/>
    <w:qFormat/>
    <w:rPr>
      <w:sz w:val="28"/>
      <w:szCs w:val="28"/>
    </w:rPr>
  </w:style>
  <w:style w:type="paragraph" w:styleId="1271" w:customStyle="1">
    <w:name w:val="正文首行缩进1"/>
    <w:basedOn w:val="1153"/>
    <w:qFormat/>
    <w:pPr>
      <w:ind w:firstLine="480"/>
      <w:spacing w:line="360" w:lineRule="auto"/>
    </w:pPr>
    <w:rPr>
      <w:rFonts w:ascii="宋体" w:hAnsi="宋体"/>
      <w:sz w:val="24"/>
      <w:szCs w:val="24"/>
    </w:rPr>
  </w:style>
  <w:style w:type="paragraph" w:styleId="1272" w:customStyle="1">
    <w:name w:val="Body Text Keep"/>
    <w:basedOn w:val="1161"/>
    <w:qFormat/>
    <w:pPr>
      <w:ind w:left="420"/>
      <w:keepNext/>
      <w:spacing w:before="120" w:after="220" w:line="220" w:lineRule="atLeast"/>
    </w:pPr>
    <w:rPr>
      <w:rFonts w:ascii="宋体" w:hAnsi="Times New Roman" w:eastAsia="宋体"/>
      <w:sz w:val="21"/>
    </w:rPr>
  </w:style>
  <w:style w:type="paragraph" w:styleId="1273" w:customStyle="1">
    <w:name w:val="xl44"/>
    <w:basedOn w:val="1140"/>
    <w:qFormat/>
    <w:pPr>
      <w:jc w:val="center"/>
      <w:spacing w:before="100" w:beforeAutospacing="1" w:after="100" w:afterAutospacing="1"/>
      <w:widowControl/>
      <w:pBdr>
        <w:left w:val="single" w:color="auto" w:sz="4" w:space="0"/>
        <w:right w:val="single" w:color="auto" w:sz="4" w:space="0"/>
      </w:pBdr>
    </w:pPr>
    <w:rPr>
      <w:rFonts w:ascii="Arial Unicode MS" w:hAnsi="Arial Unicode MS" w:eastAsia="Arial Unicode MS" w:cs="Arial Unicode MS"/>
      <w:b/>
      <w:bCs/>
      <w:sz w:val="24"/>
      <w:szCs w:val="24"/>
    </w:rPr>
  </w:style>
  <w:style w:type="paragraph" w:styleId="1274" w:customStyle="1">
    <w:name w:val="正文-电视"/>
    <w:basedOn w:val="1140"/>
    <w:qFormat/>
    <w:pPr>
      <w:ind w:firstLine="540"/>
      <w:spacing w:line="360" w:lineRule="auto"/>
    </w:pPr>
    <w:rPr>
      <w:rFonts w:ascii="宋体" w:hAnsi="宋体"/>
      <w:sz w:val="24"/>
      <w:szCs w:val="24"/>
    </w:rPr>
  </w:style>
  <w:style w:type="paragraph" w:styleId="1275" w:customStyle="1">
    <w:name w:val="Char11"/>
    <w:basedOn w:val="1153"/>
    <w:qFormat/>
    <w:pPr>
      <w:ind w:firstLine="480"/>
      <w:spacing w:before="100" w:beforeAutospacing="1" w:after="100" w:afterAutospacing="1" w:line="360" w:lineRule="auto"/>
    </w:pPr>
    <w:rPr>
      <w:sz w:val="24"/>
      <w:szCs w:val="24"/>
    </w:rPr>
  </w:style>
  <w:style w:type="paragraph" w:styleId="1276" w:customStyle="1">
    <w:name w:val="文字"/>
    <w:basedOn w:val="1142"/>
    <w:qFormat/>
    <w:pPr>
      <w:keepLines w:val="0"/>
      <w:keepNext w:val="0"/>
      <w:spacing w:line="360" w:lineRule="auto"/>
      <w:outlineLvl w:val="9"/>
    </w:pPr>
    <w:rPr>
      <w:rFonts w:ascii="宋体" w:hAnsi="Times New Roman" w:eastAsia="宋体"/>
      <w:bCs w:val="0"/>
      <w:sz w:val="24"/>
      <w:szCs w:val="20"/>
    </w:rPr>
  </w:style>
  <w:style w:type="paragraph" w:styleId="1277" w:customStyle="1">
    <w:name w:val="font7"/>
    <w:basedOn w:val="1140"/>
    <w:qFormat/>
    <w:pPr>
      <w:jc w:val="left"/>
      <w:spacing w:before="100" w:beforeAutospacing="1" w:after="100" w:afterAutospacing="1"/>
      <w:widowControl/>
    </w:pPr>
    <w:rPr>
      <w:sz w:val="18"/>
      <w:szCs w:val="18"/>
    </w:rPr>
  </w:style>
  <w:style w:type="paragraph" w:styleId="1278" w:customStyle="1">
    <w:name w:val="xl32"/>
    <w:basedOn w:val="114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24"/>
      <w:szCs w:val="24"/>
    </w:rPr>
  </w:style>
  <w:style w:type="paragraph" w:styleId="1279" w:customStyle="1">
    <w:name w:val="xl33"/>
    <w:basedOn w:val="114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szCs w:val="24"/>
    </w:rPr>
  </w:style>
  <w:style w:type="paragraph" w:styleId="1280" w:customStyle="1">
    <w:name w:val="xl34"/>
    <w:basedOn w:val="114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24"/>
      <w:szCs w:val="24"/>
    </w:rPr>
  </w:style>
  <w:style w:type="paragraph" w:styleId="1281" w:customStyle="1">
    <w:name w:val="xl35"/>
    <w:basedOn w:val="114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24"/>
      <w:szCs w:val="24"/>
    </w:rPr>
  </w:style>
  <w:style w:type="paragraph" w:styleId="1282" w:customStyle="1">
    <w:name w:val="txt14"/>
    <w:basedOn w:val="1140"/>
    <w:qFormat/>
    <w:pPr>
      <w:jc w:val="left"/>
      <w:spacing w:before="100" w:beforeAutospacing="1" w:after="100" w:afterAutospacing="1"/>
      <w:widowControl/>
    </w:pPr>
    <w:rPr>
      <w:rFonts w:ascii="宋体" w:hAnsi="宋体" w:cs="宋体"/>
      <w:color w:val="000000"/>
      <w:sz w:val="22"/>
      <w:szCs w:val="22"/>
    </w:rPr>
  </w:style>
  <w:style w:type="paragraph" w:styleId="1283" w:customStyle="1">
    <w:name w:val="Char Char Char Char Char Char Char Char Char Char Char Char Char"/>
    <w:basedOn w:val="1163"/>
    <w:qFormat/>
    <w:rPr>
      <w:rFonts w:ascii="Tahoma" w:hAnsi="Tahoma"/>
      <w:sz w:val="24"/>
    </w:rPr>
  </w:style>
  <w:style w:type="paragraph" w:styleId="1284" w:customStyle="1">
    <w:name w:val="默认段落字体 Para Char Char Char Char"/>
    <w:basedOn w:val="1140"/>
    <w:qFormat/>
    <w:pPr>
      <w:ind w:left="420" w:firstLine="420"/>
      <w:spacing w:line="240" w:lineRule="atLeast"/>
    </w:pPr>
    <w:rPr>
      <w:szCs w:val="21"/>
    </w:rPr>
  </w:style>
  <w:style w:type="character" w:styleId="1285" w:customStyle="1">
    <w:name w:val="正文缩进 字符"/>
    <w:basedOn w:val="1150"/>
    <w:link w:val="1153"/>
    <w:qFormat/>
    <w:rPr>
      <w:rFonts w:eastAsia="宋体"/>
      <w:sz w:val="21"/>
      <w:lang w:val="en-US" w:eastAsia="zh-CN" w:bidi="ar-SA"/>
    </w:rPr>
  </w:style>
  <w:style w:type="paragraph" w:styleId="1286" w:customStyle="1">
    <w:name w:val="Default"/>
    <w:qFormat/>
    <w:pPr>
      <w:widowControl w:val="off"/>
    </w:pPr>
    <w:rPr>
      <w:rFonts w:ascii=".a..DD.." w:eastAsia=".a..DD.."/>
      <w:color w:val="000000"/>
      <w:sz w:val="24"/>
      <w:szCs w:val="24"/>
    </w:rPr>
  </w:style>
  <w:style w:type="paragraph" w:styleId="1287" w:customStyle="1">
    <w:name w:val="CM3"/>
    <w:basedOn w:val="1286"/>
    <w:next w:val="1286"/>
    <w:qFormat/>
    <w:pPr>
      <w:spacing w:line="626" w:lineRule="atLeast"/>
    </w:pPr>
    <w:rPr>
      <w:color w:val="auto"/>
    </w:rPr>
  </w:style>
  <w:style w:type="character" w:styleId="1288" w:customStyle="1">
    <w:name w:val="缩进 Char Char Char Char Char Char"/>
    <w:basedOn w:val="1150"/>
    <w:qFormat/>
    <w:rPr>
      <w:rFonts w:eastAsia="宋体"/>
      <w:sz w:val="21"/>
      <w:lang w:val="en-US" w:eastAsia="zh-CN" w:bidi="ar-SA"/>
    </w:rPr>
  </w:style>
  <w:style w:type="paragraph" w:styleId="1289" w:customStyle="1">
    <w:name w:val="图形文字"/>
    <w:next w:val="1140"/>
    <w:qFormat/>
    <w:pPr>
      <w:jc w:val="center"/>
    </w:pPr>
    <w:rPr>
      <w:color w:val="000000"/>
      <w:sz w:val="24"/>
    </w:rPr>
  </w:style>
  <w:style w:type="character" w:styleId="1290" w:customStyle="1">
    <w:name w:val="style41"/>
    <w:basedOn w:val="1150"/>
    <w:qFormat/>
    <w:rPr>
      <w:sz w:val="24"/>
      <w:szCs w:val="24"/>
    </w:rPr>
  </w:style>
  <w:style w:type="paragraph" w:styleId="1291" w:customStyle="1">
    <w:name w:val="默认段落字体 Para Char"/>
    <w:basedOn w:val="1140"/>
    <w:qFormat/>
    <w:pPr>
      <w:spacing w:line="360" w:lineRule="auto"/>
    </w:pPr>
    <w:rPr>
      <w:sz w:val="24"/>
    </w:rPr>
  </w:style>
  <w:style w:type="paragraph" w:styleId="1292" w:customStyle="1">
    <w:name w:val="样式3"/>
    <w:basedOn w:val="1269"/>
    <w:qFormat/>
  </w:style>
  <w:style w:type="paragraph" w:styleId="1293" w:customStyle="1">
    <w:name w:val="样式4"/>
    <w:basedOn w:val="1140"/>
    <w:qFormat/>
    <w:pPr>
      <w:ind w:left="420" w:hanging="420"/>
      <w:spacing w:line="360" w:lineRule="auto"/>
      <w:tabs>
        <w:tab w:val="left" w:pos="420" w:leader="none"/>
      </w:tabs>
    </w:pPr>
    <w:rPr>
      <w:rFonts w:ascii="宋体" w:hAnsi="宋体"/>
      <w:bCs/>
      <w:sz w:val="24"/>
      <w:szCs w:val="24"/>
    </w:rPr>
  </w:style>
  <w:style w:type="paragraph" w:styleId="1294" w:customStyle="1">
    <w:name w:val="样式5"/>
    <w:basedOn w:val="1140"/>
    <w:qFormat/>
    <w:pPr>
      <w:spacing w:line="360" w:lineRule="auto"/>
    </w:pPr>
    <w:rPr>
      <w:rFonts w:ascii="宋体" w:hAnsi="宋体"/>
      <w:bCs/>
      <w:sz w:val="24"/>
      <w:szCs w:val="24"/>
    </w:rPr>
  </w:style>
  <w:style w:type="character" w:styleId="1295" w:customStyle="1">
    <w:name w:val="top1"/>
    <w:basedOn w:val="1150"/>
    <w:qFormat/>
    <w:rPr>
      <w:b/>
      <w:bCs/>
      <w:color w:val="ff3300"/>
      <w:sz w:val="30"/>
      <w:szCs w:val="30"/>
    </w:rPr>
  </w:style>
  <w:style w:type="character" w:styleId="1296" w:customStyle="1">
    <w:name w:val="5a1"/>
    <w:basedOn w:val="1150"/>
    <w:qFormat/>
    <w:rPr>
      <w:color w:val="5a779f"/>
      <w:sz w:val="18"/>
      <w:szCs w:val="18"/>
    </w:rPr>
  </w:style>
  <w:style w:type="paragraph" w:styleId="1297" w:customStyle="1">
    <w:name w:val="样式 标题 1 + 居中"/>
    <w:basedOn w:val="1141"/>
    <w:qFormat/>
    <w:pPr>
      <w:ind w:left="432" w:hanging="432"/>
      <w:jc w:val="center"/>
      <w:spacing w:before="100" w:beforeAutospacing="1" w:after="100" w:afterAutospacing="1" w:line="360" w:lineRule="auto"/>
      <w:tabs>
        <w:tab w:val="left" w:pos="0" w:leader="none"/>
      </w:tabs>
    </w:pPr>
    <w:rPr>
      <w:rFonts w:cs="宋体"/>
      <w:sz w:val="28"/>
      <w:szCs w:val="20"/>
    </w:rPr>
  </w:style>
  <w:style w:type="paragraph" w:styleId="1298" w:customStyle="1">
    <w:name w:val="华宇段落1"/>
    <w:basedOn w:val="1140"/>
    <w:qFormat/>
    <w:pPr>
      <w:ind w:firstLine="420"/>
      <w:spacing w:line="360" w:lineRule="auto"/>
    </w:pPr>
    <w:rPr>
      <w:rFonts w:ascii="宋体" w:hAnsi="宋体"/>
      <w:sz w:val="24"/>
    </w:rPr>
  </w:style>
  <w:style w:type="character" w:styleId="1299" w:customStyle="1">
    <w:name w:val="标题 1 字符"/>
    <w:basedOn w:val="1150"/>
    <w:link w:val="1141"/>
    <w:qFormat/>
    <w:rPr>
      <w:rFonts w:eastAsia="宋体"/>
      <w:b/>
      <w:bCs/>
      <w:sz w:val="44"/>
      <w:szCs w:val="44"/>
      <w:lang w:val="en-US" w:eastAsia="zh-CN" w:bidi="ar-SA"/>
    </w:rPr>
  </w:style>
  <w:style w:type="character" w:styleId="1300" w:customStyle="1">
    <w:name w:val="标题 3 字符"/>
    <w:basedOn w:val="1150"/>
    <w:link w:val="1143"/>
    <w:qFormat/>
    <w:rPr>
      <w:rFonts w:eastAsia="宋体"/>
      <w:b/>
      <w:sz w:val="32"/>
      <w:lang w:val="en-US" w:eastAsia="zh-CN" w:bidi="ar-SA"/>
    </w:rPr>
  </w:style>
  <w:style w:type="character" w:styleId="1301" w:customStyle="1">
    <w:name w:val="正文文本缩进 2 字符"/>
    <w:basedOn w:val="1150"/>
    <w:link w:val="1180"/>
    <w:qFormat/>
    <w:rPr>
      <w:rFonts w:eastAsia="宋体"/>
      <w:sz w:val="28"/>
      <w:lang w:val="en-US" w:eastAsia="zh-CN" w:bidi="ar-SA"/>
    </w:rPr>
  </w:style>
  <w:style w:type="character" w:styleId="1302" w:customStyle="1">
    <w:name w:val="正文文本缩进 字符"/>
    <w:basedOn w:val="1150"/>
    <w:link w:val="1168"/>
    <w:qFormat/>
    <w:rPr>
      <w:rFonts w:eastAsia="宋体"/>
      <w:sz w:val="28"/>
      <w:szCs w:val="24"/>
      <w:lang w:val="en-US" w:eastAsia="zh-CN" w:bidi="ar-SA"/>
    </w:rPr>
  </w:style>
  <w:style w:type="character" w:styleId="1303" w:customStyle="1">
    <w:name w:val="日期 字符"/>
    <w:basedOn w:val="1150"/>
    <w:link w:val="1179"/>
    <w:uiPriority w:val="99"/>
    <w:qFormat/>
    <w:rPr>
      <w:rFonts w:ascii="仿宋_GB2312" w:eastAsia="仿宋_GB2312"/>
      <w:color w:val="000000"/>
      <w:sz w:val="32"/>
      <w:lang w:val="en-US" w:eastAsia="zh-CN" w:bidi="ar-SA"/>
    </w:rPr>
  </w:style>
  <w:style w:type="character" w:styleId="1304" w:customStyle="1">
    <w:name w:val="页眉 字符"/>
    <w:basedOn w:val="1150"/>
    <w:link w:val="1184"/>
    <w:qFormat/>
    <w:rPr>
      <w:rFonts w:eastAsia="宋体"/>
      <w:sz w:val="18"/>
      <w:lang w:val="en-US" w:eastAsia="zh-CN" w:bidi="ar-SA"/>
    </w:rPr>
  </w:style>
  <w:style w:type="character" w:styleId="1305" w:customStyle="1">
    <w:name w:val="hilite"/>
    <w:basedOn w:val="1150"/>
    <w:qFormat/>
  </w:style>
  <w:style w:type="character" w:styleId="1306" w:customStyle="1">
    <w:name w:val="正文文本 2 字符"/>
    <w:basedOn w:val="1150"/>
    <w:link w:val="1198"/>
    <w:qFormat/>
    <w:rPr>
      <w:rFonts w:eastAsia="仿宋_GB2312"/>
      <w:sz w:val="24"/>
      <w:lang w:val="en-US" w:eastAsia="zh-CN" w:bidi="ar-SA"/>
    </w:rPr>
  </w:style>
  <w:style w:type="paragraph" w:styleId="1307" w:customStyle="1">
    <w:name w:val="font9"/>
    <w:basedOn w:val="1140"/>
    <w:qFormat/>
    <w:pPr>
      <w:jc w:val="left"/>
      <w:spacing w:before="100" w:beforeAutospacing="1" w:after="100" w:afterAutospacing="1"/>
      <w:widowControl/>
    </w:pPr>
    <w:rPr>
      <w:sz w:val="24"/>
      <w:szCs w:val="24"/>
    </w:rPr>
  </w:style>
  <w:style w:type="paragraph" w:styleId="1308" w:customStyle="1">
    <w:name w:val="font8"/>
    <w:basedOn w:val="1140"/>
    <w:qFormat/>
    <w:pPr>
      <w:jc w:val="left"/>
      <w:spacing w:before="100" w:beforeAutospacing="1" w:after="100" w:afterAutospacing="1"/>
      <w:widowControl/>
    </w:pPr>
    <w:rPr>
      <w:b/>
      <w:bCs/>
      <w:i/>
      <w:iCs/>
      <w:sz w:val="24"/>
      <w:szCs w:val="24"/>
    </w:rPr>
  </w:style>
  <w:style w:type="character" w:styleId="1309" w:customStyle="1">
    <w:name w:val="正文文本 3 字符"/>
    <w:basedOn w:val="1150"/>
    <w:link w:val="1167"/>
    <w:qFormat/>
    <w:rPr>
      <w:rFonts w:ascii="仿宋_GB2312" w:eastAsia="仿宋_GB2312"/>
      <w:sz w:val="24"/>
      <w:szCs w:val="24"/>
      <w:lang w:val="en-US" w:eastAsia="zh-CN" w:bidi="ar-SA"/>
    </w:rPr>
  </w:style>
  <w:style w:type="paragraph" w:styleId="1310" w:customStyle="1">
    <w:name w:val="xl36"/>
    <w:basedOn w:val="114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rPr>
  </w:style>
  <w:style w:type="paragraph" w:styleId="1311" w:customStyle="1">
    <w:name w:val="xl37"/>
    <w:basedOn w:val="1140"/>
    <w:qFormat/>
    <w:pPr>
      <w:jc w:val="center"/>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cs="Arial Unicode MS"/>
      <w:sz w:val="20"/>
    </w:rPr>
  </w:style>
  <w:style w:type="paragraph" w:styleId="1312" w:customStyle="1">
    <w:name w:val="xl38"/>
    <w:basedOn w:val="1140"/>
    <w:qFormat/>
    <w:pPr>
      <w:jc w:val="center"/>
      <w:spacing w:before="100" w:beforeAutospacing="1" w:after="100" w:afterAutospacing="1"/>
      <w:widowControl/>
      <w:pBdr>
        <w:left w:val="single" w:color="auto" w:sz="4" w:space="0"/>
        <w:right w:val="single" w:color="auto" w:sz="4" w:space="0"/>
      </w:pBdr>
    </w:pPr>
    <w:rPr>
      <w:rFonts w:ascii="Arial Unicode MS" w:hAnsi="Arial Unicode MS" w:eastAsia="Arial Unicode MS" w:cs="Arial Unicode MS"/>
      <w:sz w:val="20"/>
    </w:rPr>
  </w:style>
  <w:style w:type="paragraph" w:styleId="1313" w:customStyle="1">
    <w:name w:val="xl39"/>
    <w:basedOn w:val="114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cs="Arial Unicode MS"/>
      <w:sz w:val="20"/>
    </w:rPr>
  </w:style>
  <w:style w:type="paragraph" w:styleId="1314" w:customStyle="1">
    <w:name w:val="xl40"/>
    <w:basedOn w:val="1140"/>
    <w:qFormat/>
    <w:pPr>
      <w:jc w:val="center"/>
      <w:spacing w:before="100" w:beforeAutospacing="1" w:after="100" w:afterAutospacing="1"/>
      <w:widowControl/>
      <w:pBdr>
        <w:top w:val="single" w:color="auto" w:sz="4" w:space="0"/>
        <w:left w:val="single" w:color="auto" w:sz="4" w:space="0"/>
        <w:right w:val="single" w:color="auto" w:sz="4" w:space="0"/>
      </w:pBdr>
    </w:pPr>
    <w:rPr>
      <w:rFonts w:hint="eastAsia" w:ascii="黑体" w:hAnsi="Arial Unicode MS" w:eastAsia="黑体" w:cs="Arial Unicode MS"/>
      <w:sz w:val="20"/>
    </w:rPr>
  </w:style>
  <w:style w:type="paragraph" w:styleId="1315" w:customStyle="1">
    <w:name w:val="xl41"/>
    <w:basedOn w:val="1140"/>
    <w:qFormat/>
    <w:pPr>
      <w:jc w:val="center"/>
      <w:spacing w:before="100" w:beforeAutospacing="1" w:after="100" w:afterAutospacing="1"/>
      <w:widowControl/>
      <w:pBdr>
        <w:left w:val="single" w:color="auto" w:sz="4" w:space="0"/>
        <w:right w:val="single" w:color="auto" w:sz="4" w:space="0"/>
      </w:pBdr>
    </w:pPr>
    <w:rPr>
      <w:rFonts w:hint="eastAsia" w:ascii="黑体" w:hAnsi="Arial Unicode MS" w:eastAsia="黑体" w:cs="Arial Unicode MS"/>
      <w:sz w:val="20"/>
    </w:rPr>
  </w:style>
  <w:style w:type="paragraph" w:styleId="1316" w:customStyle="1">
    <w:name w:val="xl42"/>
    <w:basedOn w:val="1140"/>
    <w:qFormat/>
    <w:pPr>
      <w:jc w:val="center"/>
      <w:spacing w:before="100" w:beforeAutospacing="1" w:after="100" w:afterAutospacing="1"/>
      <w:widowControl/>
      <w:pBdr>
        <w:left w:val="single" w:color="auto" w:sz="4" w:space="0"/>
        <w:bottom w:val="single" w:color="auto" w:sz="4" w:space="0"/>
        <w:right w:val="single" w:color="auto" w:sz="4" w:space="0"/>
      </w:pBdr>
    </w:pPr>
    <w:rPr>
      <w:rFonts w:hint="eastAsia" w:ascii="黑体" w:hAnsi="Arial Unicode MS" w:eastAsia="黑体" w:cs="Arial Unicode MS"/>
      <w:sz w:val="20"/>
    </w:rPr>
  </w:style>
  <w:style w:type="character" w:styleId="1317" w:customStyle="1">
    <w:name w:val="highlight1"/>
    <w:basedOn w:val="1150"/>
    <w:qFormat/>
    <w:rPr>
      <w:sz w:val="23"/>
      <w:szCs w:val="23"/>
    </w:rPr>
  </w:style>
  <w:style w:type="character" w:styleId="1318" w:customStyle="1">
    <w:name w:val="样式1 Char"/>
    <w:basedOn w:val="1150"/>
    <w:link w:val="1248"/>
    <w:qFormat/>
    <w:rPr>
      <w:rFonts w:ascii="Arial" w:hAnsi="Arial"/>
      <w:b/>
      <w:bCs/>
      <w:sz w:val="28"/>
      <w:szCs w:val="28"/>
    </w:rPr>
  </w:style>
  <w:style w:type="character" w:styleId="1319" w:customStyle="1">
    <w:name w:val="样式2 Char"/>
    <w:basedOn w:val="1150"/>
    <w:link w:val="1221"/>
    <w:qFormat/>
    <w:rPr>
      <w:rFonts w:ascii="黑体" w:hAnsi="Arial" w:eastAsia="黑体"/>
      <w:sz w:val="24"/>
      <w:szCs w:val="24"/>
      <w:lang w:val="en-US" w:eastAsia="zh-CN" w:bidi="ar-SA"/>
    </w:rPr>
  </w:style>
  <w:style w:type="paragraph" w:styleId="1320" w:customStyle="1">
    <w:name w:val="Char Char Char Char Char Char"/>
    <w:basedOn w:val="1140"/>
    <w:qFormat/>
    <w:rPr>
      <w:rFonts w:ascii="Tahoma" w:hAnsi="Tahoma"/>
      <w:sz w:val="24"/>
    </w:rPr>
  </w:style>
  <w:style w:type="paragraph" w:styleId="1321" w:customStyle="1">
    <w:name w:val="Char Char Char Char Char"/>
    <w:basedOn w:val="1140"/>
    <w:qFormat/>
    <w:rPr>
      <w:szCs w:val="24"/>
    </w:rPr>
  </w:style>
  <w:style w:type="character" w:styleId="1322" w:customStyle="1">
    <w:name w:val="style103"/>
    <w:basedOn w:val="1150"/>
    <w:qFormat/>
    <w:rPr>
      <w:color w:val="000000"/>
      <w:sz w:val="18"/>
      <w:szCs w:val="18"/>
      <w:u w:val="none"/>
    </w:rPr>
  </w:style>
  <w:style w:type="paragraph" w:styleId="1323" w:customStyle="1">
    <w:name w:val="Char Char Char Char Char Char Char Char Char Char"/>
    <w:basedOn w:val="1140"/>
    <w:qFormat/>
    <w:pPr>
      <w:spacing w:line="360" w:lineRule="auto"/>
    </w:pPr>
    <w:rPr>
      <w:sz w:val="24"/>
    </w:rPr>
  </w:style>
  <w:style w:type="paragraph" w:styleId="1324" w:customStyle="1">
    <w:name w:val="11"/>
    <w:basedOn w:val="1141"/>
    <w:qFormat/>
    <w:pPr>
      <w:jc w:val="center"/>
      <w:keepLines w:val="0"/>
      <w:keepNext w:val="0"/>
      <w:spacing w:before="100" w:beforeAutospacing="1" w:after="100" w:afterAutospacing="1" w:line="360" w:lineRule="auto"/>
    </w:pPr>
    <w:rPr>
      <w:rFonts w:ascii="黑体" w:hAnsi="宋体" w:eastAsia="黑体"/>
      <w:sz w:val="32"/>
      <w:szCs w:val="32"/>
    </w:rPr>
  </w:style>
  <w:style w:type="character" w:styleId="1325" w:customStyle="1">
    <w:name w:val="正文文本 字符"/>
    <w:basedOn w:val="1150"/>
    <w:link w:val="1161"/>
    <w:qFormat/>
    <w:rPr>
      <w:rFonts w:ascii="楷体_GB2312" w:hAnsi="Arial" w:eastAsia="楷体_GB2312"/>
      <w:sz w:val="28"/>
      <w:lang w:val="en-US" w:eastAsia="zh-CN" w:bidi="ar-SA"/>
    </w:rPr>
  </w:style>
  <w:style w:type="character" w:styleId="1326" w:customStyle="1">
    <w:name w:val="正文文本首行缩进 字符"/>
    <w:basedOn w:val="1325"/>
    <w:link w:val="1205"/>
    <w:qFormat/>
    <w:rPr>
      <w:rFonts w:ascii="楷体_GB2312" w:hAnsi="Arial" w:eastAsia="宋体"/>
      <w:sz w:val="21"/>
      <w:szCs w:val="24"/>
      <w:lang w:val="en-US" w:eastAsia="zh-CN" w:bidi="ar-SA"/>
    </w:rPr>
  </w:style>
  <w:style w:type="character" w:styleId="1327" w:customStyle="1">
    <w:name w:val="称呼 字符"/>
    <w:basedOn w:val="1150"/>
    <w:link w:val="1166"/>
    <w:qFormat/>
    <w:rPr>
      <w:rFonts w:eastAsia="宋体"/>
      <w:sz w:val="28"/>
      <w:szCs w:val="24"/>
      <w:lang w:val="en-US" w:eastAsia="zh-CN" w:bidi="ar-SA"/>
    </w:rPr>
  </w:style>
  <w:style w:type="paragraph" w:styleId="1328" w:customStyle="1">
    <w:name w:val="zw1"/>
    <w:basedOn w:val="1140"/>
    <w:qFormat/>
    <w:pPr>
      <w:jc w:val="left"/>
      <w:spacing w:before="100" w:beforeAutospacing="1" w:after="100" w:afterAutospacing="1"/>
      <w:widowControl/>
    </w:pPr>
    <w:rPr>
      <w:rFonts w:ascii="宋体" w:hAnsi="宋体" w:cs="宋体"/>
      <w:sz w:val="24"/>
      <w:szCs w:val="24"/>
    </w:rPr>
  </w:style>
  <w:style w:type="paragraph" w:styleId="1329" w:customStyle="1">
    <w:name w:val="zi12"/>
    <w:basedOn w:val="1140"/>
    <w:qFormat/>
    <w:pPr>
      <w:jc w:val="left"/>
      <w:spacing w:before="100" w:beforeAutospacing="1" w:after="100" w:afterAutospacing="1"/>
      <w:widowControl/>
    </w:pPr>
    <w:rPr>
      <w:rFonts w:ascii="宋体" w:hAnsi="宋体" w:cs="宋体"/>
      <w:sz w:val="24"/>
      <w:szCs w:val="24"/>
    </w:rPr>
  </w:style>
  <w:style w:type="paragraph" w:styleId="1330" w:customStyle="1">
    <w:name w:val="正文1"/>
    <w:basedOn w:val="1140"/>
    <w:link w:val="1683"/>
    <w:qFormat/>
    <w:pPr>
      <w:spacing w:before="60" w:after="60" w:line="360" w:lineRule="auto"/>
      <w:outlineLvl w:val="6"/>
    </w:pPr>
    <w:rPr>
      <w:sz w:val="24"/>
      <w:szCs w:val="24"/>
    </w:rPr>
  </w:style>
  <w:style w:type="paragraph" w:styleId="1331" w:customStyle="1">
    <w:name w:val="正文2"/>
    <w:basedOn w:val="1140"/>
    <w:qFormat/>
    <w:pPr>
      <w:ind w:left="980" w:hanging="420"/>
      <w:spacing w:line="360" w:lineRule="auto"/>
      <w:widowControl/>
      <w:tabs>
        <w:tab w:val="left" w:pos="980" w:leader="none"/>
      </w:tabs>
    </w:pPr>
    <w:rPr>
      <w:rFonts w:ascii="宋体"/>
      <w:sz w:val="24"/>
    </w:rPr>
  </w:style>
  <w:style w:type="character" w:styleId="1332" w:customStyle="1">
    <w:name w:val="content"/>
    <w:basedOn w:val="1150"/>
    <w:qFormat/>
    <w:rPr>
      <w:rFonts w:ascii="黑体" w:hAnsi="宋体" w:eastAsia="黑体"/>
      <w:b/>
      <w:bCs/>
      <w:sz w:val="32"/>
      <w:szCs w:val="32"/>
      <w:lang w:val="en-US" w:eastAsia="zh-CN" w:bidi="ar-SA"/>
    </w:rPr>
  </w:style>
  <w:style w:type="character" w:styleId="1333" w:customStyle="1">
    <w:name w:val="content1"/>
    <w:basedOn w:val="1150"/>
    <w:qFormat/>
    <w:rPr>
      <w:rFonts w:hint="eastAsia" w:ascii="宋体" w:hAnsi="宋体" w:eastAsia="宋体"/>
      <w:b/>
      <w:bCs/>
      <w:spacing w:val="300"/>
      <w:sz w:val="21"/>
      <w:szCs w:val="21"/>
      <w:lang w:val="en-US" w:eastAsia="zh-CN" w:bidi="ar-SA"/>
    </w:rPr>
  </w:style>
  <w:style w:type="character" w:styleId="1334" w:customStyle="1">
    <w:name w:val="font2"/>
    <w:basedOn w:val="1150"/>
    <w:qFormat/>
    <w:rPr>
      <w:rFonts w:hint="default" w:ascii="Arial" w:hAnsi="Arial" w:eastAsia="黑体" w:cs="Arial"/>
      <w:b/>
      <w:bCs/>
      <w:color w:val="333333"/>
      <w:sz w:val="15"/>
      <w:szCs w:val="15"/>
      <w:lang w:val="en-US" w:eastAsia="zh-CN" w:bidi="ar-SA"/>
    </w:rPr>
  </w:style>
  <w:style w:type="paragraph" w:styleId="1335" w:customStyle="1">
    <w:name w:val="2册标题2"/>
    <w:basedOn w:val="1140"/>
    <w:next w:val="1140"/>
    <w:qFormat/>
    <w:pPr>
      <w:spacing w:line="300" w:lineRule="auto"/>
      <w:outlineLvl w:val="1"/>
    </w:pPr>
    <w:rPr>
      <w:rFonts w:ascii="宋体" w:hAnsi="宋体" w:cs="Arial"/>
      <w:b/>
      <w:sz w:val="24"/>
      <w:szCs w:val="30"/>
    </w:rPr>
  </w:style>
  <w:style w:type="paragraph" w:styleId="1336" w:customStyle="1">
    <w:name w:val="2册标题4"/>
    <w:basedOn w:val="1140"/>
    <w:next w:val="1140"/>
    <w:qFormat/>
    <w:pPr>
      <w:ind w:left="120"/>
      <w:spacing w:before="120" w:after="120" w:line="300" w:lineRule="auto"/>
      <w:outlineLvl w:val="3"/>
    </w:pPr>
    <w:rPr>
      <w:rFonts w:ascii="Arial" w:hAnsi="Arial" w:cs="Arial"/>
      <w:szCs w:val="24"/>
    </w:rPr>
  </w:style>
  <w:style w:type="paragraph" w:styleId="1337" w:customStyle="1">
    <w:name w:val="标题 4宋体"/>
    <w:basedOn w:val="1144"/>
    <w:qFormat/>
    <w:pPr>
      <w:jc w:val="left"/>
      <w:keepLines w:val="0"/>
      <w:spacing w:before="0" w:after="0" w:line="360" w:lineRule="auto"/>
    </w:pPr>
    <w:rPr>
      <w:rFonts w:ascii="宋体" w:hAnsi="宋体" w:eastAsia="宋体"/>
      <w:b/>
      <w:color w:val="000000"/>
      <w:sz w:val="24"/>
      <w:szCs w:val="20"/>
    </w:rPr>
  </w:style>
  <w:style w:type="character" w:styleId="1338" w:customStyle="1">
    <w:name w:val="标题 字符1"/>
    <w:basedOn w:val="1150"/>
    <w:link w:val="1203"/>
    <w:qFormat/>
    <w:rPr>
      <w:rFonts w:ascii="Arial" w:hAnsi="Arial" w:eastAsia="黑体"/>
      <w:b/>
      <w:sz w:val="84"/>
      <w:lang w:val="en-GB" w:eastAsia="zh-CN" w:bidi="ar-SA"/>
    </w:rPr>
  </w:style>
  <w:style w:type="character" w:styleId="1339" w:customStyle="1">
    <w:name w:val="tle_cn1"/>
    <w:basedOn w:val="1150"/>
    <w:qFormat/>
    <w:rPr>
      <w:rFonts w:hint="default" w:ascii="Arial" w:hAnsi="Arial" w:eastAsia="黑体" w:cs="Arial"/>
      <w:b/>
      <w:bCs/>
      <w:color w:val="7c7c7c"/>
      <w:sz w:val="21"/>
      <w:szCs w:val="21"/>
      <w:lang w:val="en-US" w:eastAsia="zh-CN" w:bidi="ar-SA"/>
    </w:rPr>
  </w:style>
  <w:style w:type="paragraph" w:styleId="1340" w:customStyle="1">
    <w:name w:val="样式 样式2 + 黑体 加粗 行距: 1.5 倍行距"/>
    <w:basedOn w:val="1221"/>
    <w:link w:val="1341"/>
    <w:qFormat/>
    <w:pPr>
      <w:ind w:right="0"/>
      <w:spacing w:before="0" w:after="0" w:line="360" w:lineRule="auto"/>
      <w:widowControl w:val="off"/>
      <w:outlineLvl w:val="1"/>
    </w:pPr>
    <w:rPr>
      <w:rFonts w:hAnsi="黑体" w:cs="宋体"/>
      <w:b/>
      <w:sz w:val="28"/>
      <w:szCs w:val="20"/>
      <w:lang w:val="zh-CN"/>
    </w:rPr>
  </w:style>
  <w:style w:type="character" w:styleId="1341" w:customStyle="1">
    <w:name w:val="样式 样式2 + 黑体 加粗 行距: 1.5 倍行距 Char"/>
    <w:basedOn w:val="1150"/>
    <w:link w:val="1340"/>
    <w:qFormat/>
    <w:rPr>
      <w:rFonts w:ascii="黑体" w:hAnsi="黑体" w:eastAsia="黑体" w:cs="宋体"/>
      <w:b/>
      <w:sz w:val="28"/>
      <w:lang w:val="zh-CN" w:eastAsia="zh-CN" w:bidi="ar-SA"/>
    </w:rPr>
  </w:style>
  <w:style w:type="paragraph" w:styleId="1342" w:customStyle="1">
    <w:name w:val="样式 样式 样式2 + 黑体 加粗 行距: 1.5 倍行距 + Arial"/>
    <w:basedOn w:val="1340"/>
    <w:link w:val="1343"/>
    <w:qFormat/>
    <w:rPr>
      <w:rFonts w:ascii="Arial" w:hAnsi="Arial"/>
      <w:bCs/>
    </w:rPr>
  </w:style>
  <w:style w:type="character" w:styleId="1343" w:customStyle="1">
    <w:name w:val="样式 样式 样式2 + 黑体 加粗 行距: 1.5 倍行距 + Arial Char"/>
    <w:basedOn w:val="1341"/>
    <w:link w:val="1342"/>
    <w:qFormat/>
    <w:rPr>
      <w:rFonts w:ascii="Arial" w:hAnsi="Arial" w:eastAsia="黑体" w:cs="宋体"/>
      <w:b/>
      <w:bCs/>
      <w:sz w:val="28"/>
      <w:lang w:val="zh-CN" w:eastAsia="zh-CN" w:bidi="ar-SA"/>
    </w:rPr>
  </w:style>
  <w:style w:type="paragraph" w:styleId="1344" w:customStyle="1">
    <w:name w:val="Char1 Char Char Char Char Char Char Char Char"/>
    <w:basedOn w:val="1163"/>
    <w:qFormat/>
    <w:pPr>
      <w:ind w:left="357"/>
      <w:jc w:val="left"/>
      <w:spacing w:line="436" w:lineRule="exact"/>
      <w:outlineLvl w:val="3"/>
    </w:pPr>
    <w:rPr>
      <w:rFonts w:ascii="Tahoma" w:hAnsi="Tahoma" w:eastAsia="黑体"/>
      <w:b/>
      <w:sz w:val="28"/>
    </w:rPr>
  </w:style>
  <w:style w:type="paragraph" w:styleId="1345" w:customStyle="1">
    <w:name w:val="样式8"/>
    <w:qFormat/>
    <w:rPr>
      <w:b/>
      <w:bCs/>
      <w:sz w:val="32"/>
      <w:szCs w:val="44"/>
    </w:rPr>
  </w:style>
  <w:style w:type="paragraph" w:styleId="1346" w:customStyle="1">
    <w:name w:val="样式 样式2 + 黑体 加粗"/>
    <w:basedOn w:val="1221"/>
    <w:link w:val="1347"/>
    <w:qFormat/>
    <w:pPr>
      <w:ind w:right="0"/>
      <w:spacing w:before="0" w:after="0" w:line="360" w:lineRule="auto"/>
      <w:widowControl w:val="off"/>
      <w:outlineLvl w:val="1"/>
    </w:pPr>
    <w:rPr>
      <w:rFonts w:hAnsi="黑体"/>
      <w:b/>
      <w:sz w:val="28"/>
      <w:szCs w:val="28"/>
      <w:lang w:val="zh-CN"/>
    </w:rPr>
  </w:style>
  <w:style w:type="character" w:styleId="1347" w:customStyle="1">
    <w:name w:val="样式 样式2 + 黑体 加粗 Char"/>
    <w:basedOn w:val="1319"/>
    <w:link w:val="1346"/>
    <w:qFormat/>
    <w:rPr>
      <w:rFonts w:ascii="黑体" w:hAnsi="黑体" w:eastAsia="黑体"/>
      <w:b/>
      <w:sz w:val="28"/>
      <w:szCs w:val="28"/>
      <w:lang w:val="zh-CN" w:eastAsia="zh-CN" w:bidi="ar-SA"/>
    </w:rPr>
  </w:style>
  <w:style w:type="paragraph" w:styleId="1348" w:customStyle="1">
    <w:name w:val="Char1"/>
    <w:basedOn w:val="1140"/>
    <w:link w:val="1349"/>
    <w:qFormat/>
    <w:pPr>
      <w:jc w:val="left"/>
      <w:spacing w:after="160" w:line="360" w:lineRule="auto"/>
      <w:widowControl/>
    </w:pPr>
    <w:rPr>
      <w:sz w:val="24"/>
      <w:szCs w:val="24"/>
      <w:lang w:eastAsia="en-US"/>
    </w:rPr>
  </w:style>
  <w:style w:type="character" w:styleId="1349" w:customStyle="1">
    <w:name w:val="Char1 Char"/>
    <w:basedOn w:val="1150"/>
    <w:link w:val="1348"/>
    <w:qFormat/>
    <w:rPr>
      <w:rFonts w:eastAsia="宋体"/>
      <w:sz w:val="24"/>
      <w:szCs w:val="24"/>
      <w:lang w:val="en-US" w:eastAsia="en-US" w:bidi="ar-SA"/>
    </w:rPr>
  </w:style>
  <w:style w:type="paragraph" w:styleId="1350" w:customStyle="1">
    <w:name w:val="样式 标题 2H22nd levelh22Header 2l2Titre2Head 2Underrubrik1..."/>
    <w:basedOn w:val="1142"/>
    <w:qFormat/>
    <w:pPr>
      <w:numPr>
        <w:ilvl w:val="1"/>
        <w:numId w:val="12"/>
      </w:numPr>
      <w:spacing w:before="120" w:line="360" w:lineRule="auto"/>
    </w:pPr>
    <w:rPr>
      <w:rFonts w:ascii="黑体" w:hAnsi="宋体"/>
      <w:b/>
      <w:sz w:val="24"/>
      <w:szCs w:val="20"/>
    </w:rPr>
  </w:style>
  <w:style w:type="paragraph" w:styleId="1351" w:customStyle="1">
    <w:name w:val="样式 标题 1H1 + Arial"/>
    <w:basedOn w:val="1140"/>
    <w:qFormat/>
    <w:pPr>
      <w:ind w:left="360" w:hanging="360"/>
      <w:tabs>
        <w:tab w:val="left" w:pos="360" w:leader="none"/>
      </w:tabs>
    </w:pPr>
    <w:rPr>
      <w:szCs w:val="24"/>
    </w:rPr>
  </w:style>
  <w:style w:type="paragraph" w:styleId="1352" w:customStyle="1">
    <w:name w:val="xl43"/>
    <w:basedOn w:val="1140"/>
    <w:qFormat/>
    <w:pPr>
      <w:jc w:val="center"/>
      <w:spacing w:before="100" w:beforeAutospacing="1" w:after="100" w:afterAutospacing="1"/>
      <w:widowControl/>
      <w:pBdr>
        <w:top w:val="single" w:color="auto" w:sz="8" w:space="0"/>
        <w:left w:val="single" w:color="auto" w:sz="8" w:space="0"/>
        <w:right w:val="single" w:color="auto" w:sz="4" w:space="0"/>
      </w:pBdr>
    </w:pPr>
    <w:rPr>
      <w:rFonts w:ascii="Arial Unicode MS" w:hAnsi="Arial Unicode MS" w:eastAsia="Arial Unicode MS" w:cs="Arial Unicode MS"/>
      <w:sz w:val="20"/>
    </w:rPr>
  </w:style>
  <w:style w:type="paragraph" w:styleId="1353" w:customStyle="1">
    <w:name w:val="xl45"/>
    <w:basedOn w:val="114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rPr>
  </w:style>
  <w:style w:type="paragraph" w:styleId="1354" w:customStyle="1">
    <w:name w:val="xl46"/>
    <w:basedOn w:val="114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0"/>
    </w:rPr>
  </w:style>
  <w:style w:type="paragraph" w:styleId="1355" w:customStyle="1">
    <w:name w:val="xl47"/>
    <w:basedOn w:val="1140"/>
    <w:qFormat/>
    <w:pPr>
      <w:jc w:val="left"/>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cs="Arial Unicode MS"/>
      <w:sz w:val="20"/>
    </w:rPr>
  </w:style>
  <w:style w:type="paragraph" w:styleId="1356" w:customStyle="1">
    <w:name w:val="xl48"/>
    <w:basedOn w:val="1140"/>
    <w:qFormat/>
    <w:pPr>
      <w:jc w:val="center"/>
      <w:spacing w:before="100" w:beforeAutospacing="1" w:after="100" w:afterAutospacing="1"/>
      <w:widowControl/>
      <w:pBdr>
        <w:top w:val="single" w:color="auto" w:sz="4" w:space="0"/>
        <w:left w:val="single" w:color="auto" w:sz="4" w:space="0"/>
        <w:right w:val="single" w:color="auto" w:sz="4" w:space="0"/>
      </w:pBdr>
    </w:pPr>
    <w:rPr>
      <w:rFonts w:ascii="Arial" w:hAnsi="Arial" w:eastAsia="Arial Unicode MS" w:cs="Arial"/>
      <w:sz w:val="20"/>
    </w:rPr>
  </w:style>
  <w:style w:type="paragraph" w:styleId="1357" w:customStyle="1">
    <w:name w:val="xl49"/>
    <w:basedOn w:val="1140"/>
    <w:qFormat/>
    <w:pPr>
      <w:jc w:val="center"/>
      <w:spacing w:before="100" w:beforeAutospacing="1" w:after="100" w:afterAutospacing="1"/>
      <w:widowControl/>
      <w:pBdr>
        <w:top w:val="single" w:color="auto" w:sz="4" w:space="0"/>
        <w:left w:val="single" w:color="auto" w:sz="4" w:space="0"/>
        <w:right w:val="single" w:color="auto" w:sz="4" w:space="0"/>
      </w:pBdr>
    </w:pPr>
    <w:rPr>
      <w:rFonts w:ascii="Arial" w:hAnsi="Arial" w:eastAsia="Arial Unicode MS" w:cs="Arial"/>
      <w:sz w:val="20"/>
    </w:rPr>
  </w:style>
  <w:style w:type="paragraph" w:styleId="1358" w:customStyle="1">
    <w:name w:val="xl50"/>
    <w:basedOn w:val="114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w:hAnsi="Arial" w:eastAsia="Arial Unicode MS" w:cs="Arial"/>
      <w:sz w:val="20"/>
    </w:rPr>
  </w:style>
  <w:style w:type="paragraph" w:styleId="1359" w:customStyle="1">
    <w:name w:val="xl51"/>
    <w:basedOn w:val="114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w:hAnsi="Arial" w:eastAsia="Arial Unicode MS" w:cs="Arial"/>
      <w:sz w:val="20"/>
    </w:rPr>
  </w:style>
  <w:style w:type="paragraph" w:styleId="1360" w:customStyle="1">
    <w:name w:val="xl52"/>
    <w:basedOn w:val="1140"/>
    <w:qFormat/>
    <w:pPr>
      <w:jc w:val="center"/>
      <w:spacing w:before="100" w:beforeAutospacing="1" w:after="100" w:afterAutospacing="1"/>
      <w:widowControl/>
      <w:pBdr>
        <w:top w:val="single" w:color="auto" w:sz="4" w:space="0"/>
        <w:left w:val="single" w:color="auto" w:sz="4" w:space="0"/>
      </w:pBdr>
    </w:pPr>
    <w:rPr>
      <w:rFonts w:ascii="Arial" w:hAnsi="Arial" w:eastAsia="Arial Unicode MS" w:cs="Arial"/>
      <w:sz w:val="20"/>
    </w:rPr>
  </w:style>
  <w:style w:type="paragraph" w:styleId="1361" w:customStyle="1">
    <w:name w:val="xl53"/>
    <w:basedOn w:val="1140"/>
    <w:qFormat/>
    <w:pPr>
      <w:spacing w:before="100" w:beforeAutospacing="1" w:after="100" w:afterAutospacing="1"/>
      <w:widowControl/>
      <w:pBdr>
        <w:top w:val="single" w:color="auto" w:sz="4" w:space="0"/>
        <w:left w:val="single" w:color="auto" w:sz="4" w:space="0"/>
        <w:bottom w:val="single" w:color="auto" w:sz="8" w:space="0"/>
      </w:pBdr>
    </w:pPr>
    <w:rPr>
      <w:rFonts w:ascii="Arial" w:hAnsi="Arial" w:eastAsia="Arial Unicode MS" w:cs="Arial"/>
      <w:sz w:val="20"/>
    </w:rPr>
  </w:style>
  <w:style w:type="paragraph" w:styleId="1362" w:customStyle="1">
    <w:name w:val="xl54"/>
    <w:basedOn w:val="1140"/>
    <w:qFormat/>
    <w:pPr>
      <w:jc w:val="center"/>
      <w:spacing w:before="100" w:beforeAutospacing="1" w:after="100" w:afterAutospacing="1"/>
      <w:widowControl/>
      <w:pBdr>
        <w:top w:val="single" w:color="auto" w:sz="8" w:space="0"/>
        <w:left w:val="single" w:color="auto" w:sz="4" w:space="0"/>
        <w:right w:val="single" w:color="auto" w:sz="4" w:space="0"/>
      </w:pBdr>
    </w:pPr>
    <w:rPr>
      <w:rFonts w:ascii="Arial Unicode MS" w:hAnsi="Arial Unicode MS" w:eastAsia="Arial Unicode MS" w:cs="Arial Unicode MS"/>
      <w:sz w:val="20"/>
    </w:rPr>
  </w:style>
  <w:style w:type="paragraph" w:styleId="1363" w:customStyle="1">
    <w:name w:val="xl55"/>
    <w:basedOn w:val="1140"/>
    <w:qFormat/>
    <w:pPr>
      <w:jc w:val="center"/>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cs="Arial Unicode MS"/>
      <w:sz w:val="20"/>
    </w:rPr>
  </w:style>
  <w:style w:type="paragraph" w:styleId="1364" w:customStyle="1">
    <w:name w:val="xl56"/>
    <w:basedOn w:val="1140"/>
    <w:qFormat/>
    <w:pPr>
      <w:spacing w:before="100" w:beforeAutospacing="1" w:after="100" w:afterAutospacing="1"/>
      <w:widowControl/>
      <w:pBdr>
        <w:top w:val="single" w:color="auto" w:sz="4" w:space="0"/>
        <w:left w:val="single" w:color="auto" w:sz="4" w:space="0"/>
        <w:bottom w:val="single" w:color="auto" w:sz="4" w:space="0"/>
      </w:pBdr>
    </w:pPr>
    <w:rPr>
      <w:rFonts w:ascii="Arial" w:hAnsi="Arial" w:eastAsia="Arial Unicode MS" w:cs="Arial"/>
      <w:sz w:val="20"/>
    </w:rPr>
  </w:style>
  <w:style w:type="paragraph" w:styleId="1365" w:customStyle="1">
    <w:name w:val="xl57"/>
    <w:basedOn w:val="1140"/>
    <w:qFormat/>
    <w:pPr>
      <w:jc w:val="lef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Arial" w:hAnsi="Arial" w:eastAsia="Arial Unicode MS" w:cs="Arial"/>
      <w:sz w:val="20"/>
    </w:rPr>
  </w:style>
  <w:style w:type="paragraph" w:styleId="1366" w:customStyle="1">
    <w:name w:val="xl58"/>
    <w:basedOn w:val="1140"/>
    <w:qFormat/>
    <w:pPr>
      <w:jc w:val="left"/>
      <w:spacing w:before="100" w:beforeAutospacing="1" w:after="100" w:afterAutospacing="1"/>
      <w:widowControl/>
      <w:pBdr>
        <w:top w:val="single" w:color="auto" w:sz="8" w:space="0"/>
        <w:left w:val="single" w:color="auto" w:sz="4" w:space="0"/>
        <w:right w:val="single" w:color="auto" w:sz="4" w:space="0"/>
      </w:pBdr>
    </w:pPr>
    <w:rPr>
      <w:rFonts w:ascii="Arial Unicode MS" w:hAnsi="Arial Unicode MS" w:eastAsia="Arial Unicode MS" w:cs="Arial Unicode MS"/>
      <w:sz w:val="20"/>
    </w:rPr>
  </w:style>
  <w:style w:type="paragraph" w:styleId="1367" w:customStyle="1">
    <w:name w:val="xl59"/>
    <w:basedOn w:val="1140"/>
    <w:qFormat/>
    <w:pPr>
      <w:jc w:val="left"/>
      <w:spacing w:before="100" w:beforeAutospacing="1" w:after="100" w:afterAutospacing="1"/>
      <w:widowControl/>
      <w:pBdr>
        <w:top w:val="single" w:color="auto" w:sz="8" w:space="0"/>
        <w:left w:val="single" w:color="auto" w:sz="4" w:space="0"/>
        <w:right w:val="single" w:color="auto" w:sz="8" w:space="0"/>
      </w:pBdr>
    </w:pPr>
    <w:rPr>
      <w:rFonts w:ascii="Arial Unicode MS" w:hAnsi="Arial Unicode MS" w:eastAsia="Arial Unicode MS" w:cs="Arial Unicode MS"/>
      <w:sz w:val="20"/>
    </w:rPr>
  </w:style>
  <w:style w:type="paragraph" w:styleId="1368" w:customStyle="1">
    <w:name w:val="xl60"/>
    <w:basedOn w:val="1140"/>
    <w:qFormat/>
    <w:pPr>
      <w:jc w:val="left"/>
      <w:spacing w:before="100" w:beforeAutospacing="1" w:after="100" w:afterAutospacing="1"/>
      <w:widowControl/>
      <w:pBdr>
        <w:top w:val="single" w:color="auto" w:sz="8" w:space="0"/>
        <w:left w:val="single" w:color="auto" w:sz="4" w:space="0"/>
      </w:pBdr>
    </w:pPr>
    <w:rPr>
      <w:rFonts w:ascii="Arial Unicode MS" w:hAnsi="Arial Unicode MS" w:eastAsia="Arial Unicode MS" w:cs="Arial Unicode MS"/>
      <w:sz w:val="20"/>
    </w:rPr>
  </w:style>
  <w:style w:type="paragraph" w:styleId="1369" w:customStyle="1">
    <w:name w:val="xl61"/>
    <w:basedOn w:val="1140"/>
    <w:qFormat/>
    <w:pPr>
      <w:jc w:val="left"/>
      <w:spacing w:before="100" w:beforeAutospacing="1" w:after="100" w:afterAutospacing="1"/>
      <w:widowControl/>
      <w:pBdr>
        <w:top w:val="single" w:color="auto" w:sz="8" w:space="0"/>
        <w:left w:val="single" w:color="auto" w:sz="8" w:space="0"/>
        <w:right w:val="single" w:color="auto" w:sz="4" w:space="0"/>
      </w:pBdr>
    </w:pPr>
    <w:rPr>
      <w:rFonts w:ascii="Arial Unicode MS" w:hAnsi="Arial Unicode MS" w:eastAsia="Arial Unicode MS" w:cs="Arial Unicode MS"/>
      <w:sz w:val="20"/>
    </w:rPr>
  </w:style>
  <w:style w:type="paragraph" w:styleId="1370" w:customStyle="1">
    <w:name w:val="xl62"/>
    <w:basedOn w:val="1140"/>
    <w:qFormat/>
    <w:pPr>
      <w:jc w:val="lef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Arial Unicode MS" w:hAnsi="Arial Unicode MS" w:eastAsia="Arial Unicode MS" w:cs="Arial Unicode MS"/>
      <w:sz w:val="20"/>
    </w:rPr>
  </w:style>
  <w:style w:type="paragraph" w:styleId="1371" w:customStyle="1">
    <w:name w:val="xl63"/>
    <w:basedOn w:val="114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0"/>
    </w:rPr>
  </w:style>
  <w:style w:type="paragraph" w:styleId="1372" w:customStyle="1">
    <w:name w:val="xl64"/>
    <w:basedOn w:val="114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20"/>
    </w:rPr>
  </w:style>
  <w:style w:type="paragraph" w:styleId="1373" w:customStyle="1">
    <w:name w:val="xl65"/>
    <w:basedOn w:val="114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sz w:val="20"/>
    </w:rPr>
  </w:style>
  <w:style w:type="paragraph" w:styleId="1374" w:customStyle="1">
    <w:name w:val="xl66"/>
    <w:basedOn w:val="114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sz w:val="20"/>
    </w:rPr>
  </w:style>
  <w:style w:type="paragraph" w:styleId="1375" w:customStyle="1">
    <w:name w:val="xl67"/>
    <w:basedOn w:val="1140"/>
    <w:qFormat/>
    <w:pPr>
      <w:jc w:val="left"/>
      <w:spacing w:before="100" w:beforeAutospacing="1" w:after="100" w:afterAutospacing="1"/>
      <w:widowControl/>
      <w:pBdr>
        <w:top w:val="single" w:color="auto" w:sz="4" w:space="0"/>
        <w:left w:val="single" w:color="auto" w:sz="4" w:space="0"/>
        <w:bottom w:val="single" w:color="auto" w:sz="4" w:space="0"/>
      </w:pBdr>
    </w:pPr>
    <w:rPr>
      <w:rFonts w:ascii="Arial" w:hAnsi="Arial" w:eastAsia="Arial Unicode MS" w:cs="Arial"/>
      <w:sz w:val="20"/>
    </w:rPr>
  </w:style>
  <w:style w:type="paragraph" w:styleId="1376" w:customStyle="1">
    <w:name w:val="xl68"/>
    <w:basedOn w:val="1140"/>
    <w:qFormat/>
    <w:pPr>
      <w:jc w:val="left"/>
      <w:spacing w:before="100" w:beforeAutospacing="1" w:after="100" w:afterAutospacing="1"/>
      <w:widowControl/>
      <w:pBdr>
        <w:top w:val="single" w:color="auto" w:sz="4" w:space="0"/>
        <w:left w:val="single" w:color="auto" w:sz="4" w:space="0"/>
        <w:bottom w:val="single" w:color="auto" w:sz="4" w:space="0"/>
      </w:pBdr>
    </w:pPr>
    <w:rPr>
      <w:rFonts w:ascii="Arial" w:hAnsi="Arial" w:eastAsia="Arial Unicode MS" w:cs="Arial"/>
      <w:sz w:val="20"/>
    </w:rPr>
  </w:style>
  <w:style w:type="paragraph" w:styleId="1377" w:customStyle="1">
    <w:name w:val="xl69"/>
    <w:basedOn w:val="114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rPr>
  </w:style>
  <w:style w:type="paragraph" w:styleId="1378" w:customStyle="1">
    <w:name w:val="xl70"/>
    <w:basedOn w:val="1140"/>
    <w:qFormat/>
    <w:pPr>
      <w:jc w:val="left"/>
      <w:spacing w:before="100" w:beforeAutospacing="1" w:after="100" w:afterAutospacing="1"/>
      <w:widowControl/>
      <w:pBdr>
        <w:top w:val="single" w:color="auto" w:sz="8" w:space="0"/>
        <w:left w:val="single" w:color="auto" w:sz="8" w:space="0"/>
        <w:bottom w:val="single" w:color="auto" w:sz="4" w:space="0"/>
        <w:right w:val="single" w:color="auto" w:sz="4" w:space="0"/>
      </w:pBdr>
    </w:pPr>
    <w:rPr>
      <w:rFonts w:ascii="Arial Unicode MS" w:hAnsi="Arial Unicode MS" w:eastAsia="Arial Unicode MS" w:cs="Arial Unicode MS"/>
      <w:sz w:val="20"/>
    </w:rPr>
  </w:style>
  <w:style w:type="paragraph" w:styleId="1379" w:customStyle="1">
    <w:name w:val="xl71"/>
    <w:basedOn w:val="1140"/>
    <w:qFormat/>
    <w:pPr>
      <w:jc w:val="left"/>
      <w:spacing w:before="100" w:beforeAutospacing="1" w:after="100" w:afterAutospacing="1"/>
      <w:widowControl/>
      <w:pBdr>
        <w:top w:val="single" w:color="auto" w:sz="8" w:space="0"/>
        <w:left w:val="single" w:color="auto" w:sz="4" w:space="0"/>
        <w:bottom w:val="single" w:color="auto" w:sz="4" w:space="0"/>
        <w:right w:val="single" w:color="auto" w:sz="4" w:space="0"/>
      </w:pBdr>
    </w:pPr>
    <w:rPr>
      <w:rFonts w:ascii="Arial Unicode MS" w:hAnsi="Arial Unicode MS" w:eastAsia="Arial Unicode MS" w:cs="Arial Unicode MS"/>
      <w:sz w:val="20"/>
    </w:rPr>
  </w:style>
  <w:style w:type="paragraph" w:styleId="1380" w:customStyle="1">
    <w:name w:val="xl72"/>
    <w:basedOn w:val="1140"/>
    <w:qFormat/>
    <w:pPr>
      <w:jc w:val="left"/>
      <w:spacing w:before="100" w:beforeAutospacing="1" w:after="100" w:afterAutospacing="1"/>
      <w:widowControl/>
      <w:pBdr>
        <w:top w:val="single" w:color="auto" w:sz="8" w:space="0"/>
        <w:left w:val="single" w:color="auto" w:sz="4" w:space="0"/>
        <w:bottom w:val="single" w:color="auto" w:sz="4" w:space="0"/>
        <w:right w:val="single" w:color="auto" w:sz="8" w:space="0"/>
      </w:pBdr>
    </w:pPr>
    <w:rPr>
      <w:rFonts w:ascii="Arial Unicode MS" w:hAnsi="Arial Unicode MS" w:eastAsia="Arial Unicode MS" w:cs="Arial Unicode MS"/>
      <w:sz w:val="20"/>
    </w:rPr>
  </w:style>
  <w:style w:type="paragraph" w:styleId="1381" w:customStyle="1">
    <w:name w:val="xl73"/>
    <w:basedOn w:val="114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ff0000"/>
      <w:sz w:val="20"/>
    </w:rPr>
  </w:style>
  <w:style w:type="paragraph" w:styleId="1382" w:customStyle="1">
    <w:name w:val="xl74"/>
    <w:basedOn w:val="114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sz w:val="20"/>
    </w:rPr>
  </w:style>
  <w:style w:type="paragraph" w:styleId="1383" w:customStyle="1">
    <w:name w:val="xl75"/>
    <w:basedOn w:val="114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rPr>
  </w:style>
  <w:style w:type="paragraph" w:styleId="1384" w:customStyle="1">
    <w:name w:val="xl76"/>
    <w:basedOn w:val="114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eastAsia="Arial Unicode MS" w:cs="Arial"/>
      <w:sz w:val="20"/>
    </w:rPr>
  </w:style>
  <w:style w:type="paragraph" w:styleId="1385" w:customStyle="1">
    <w:name w:val="xl77"/>
    <w:basedOn w:val="1140"/>
    <w:qFormat/>
    <w:pPr>
      <w:jc w:val="center"/>
      <w:spacing w:before="100" w:beforeAutospacing="1" w:after="100" w:afterAutospacing="1"/>
      <w:widowControl/>
      <w:pBdr>
        <w:top w:val="single" w:color="auto" w:sz="4" w:space="0"/>
        <w:left w:val="single" w:color="auto" w:sz="4" w:space="0"/>
        <w:right w:val="single" w:color="auto" w:sz="4" w:space="0"/>
      </w:pBdr>
    </w:pPr>
    <w:rPr>
      <w:rFonts w:ascii="Arial" w:hAnsi="Arial" w:eastAsia="Arial Unicode MS" w:cs="Arial"/>
      <w:sz w:val="20"/>
    </w:rPr>
  </w:style>
  <w:style w:type="paragraph" w:styleId="1386" w:customStyle="1">
    <w:name w:val="xl78"/>
    <w:basedOn w:val="1140"/>
    <w:qFormat/>
    <w:pPr>
      <w:jc w:val="center"/>
      <w:spacing w:before="100" w:beforeAutospacing="1" w:after="100" w:afterAutospacing="1"/>
      <w:widowControl/>
      <w:pBdr>
        <w:left w:val="single" w:color="auto" w:sz="4" w:space="0"/>
        <w:right w:val="single" w:color="auto" w:sz="4" w:space="0"/>
      </w:pBdr>
    </w:pPr>
    <w:rPr>
      <w:rFonts w:ascii="Arial" w:hAnsi="Arial" w:eastAsia="Arial Unicode MS" w:cs="Arial"/>
      <w:sz w:val="20"/>
    </w:rPr>
  </w:style>
  <w:style w:type="paragraph" w:styleId="1387" w:customStyle="1">
    <w:name w:val="xl79"/>
    <w:basedOn w:val="114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eastAsia="Arial Unicode MS" w:cs="Arial"/>
      <w:sz w:val="20"/>
    </w:rPr>
  </w:style>
  <w:style w:type="paragraph" w:styleId="1388" w:customStyle="1">
    <w:name w:val="xl80"/>
    <w:basedOn w:val="1140"/>
    <w:qFormat/>
    <w:pPr>
      <w:jc w:val="left"/>
      <w:spacing w:before="100" w:beforeAutospacing="1" w:after="100" w:afterAutospacing="1"/>
      <w:widowControl/>
      <w:pBdr>
        <w:left w:val="single" w:color="auto" w:sz="8" w:space="0"/>
        <w:right w:val="single" w:color="auto" w:sz="4" w:space="0"/>
      </w:pBdr>
    </w:pPr>
    <w:rPr>
      <w:rFonts w:ascii="Arial Unicode MS" w:hAnsi="Arial Unicode MS" w:eastAsia="Arial Unicode MS" w:cs="Arial Unicode MS"/>
      <w:b/>
      <w:bCs/>
      <w:sz w:val="20"/>
    </w:rPr>
  </w:style>
  <w:style w:type="paragraph" w:styleId="1389" w:customStyle="1">
    <w:name w:val="xl81"/>
    <w:basedOn w:val="1140"/>
    <w:qFormat/>
    <w:pPr>
      <w:jc w:val="left"/>
      <w:spacing w:before="100" w:beforeAutospacing="1" w:after="100" w:afterAutospacing="1"/>
      <w:widowControl/>
      <w:pBdr>
        <w:left w:val="single" w:color="auto" w:sz="4" w:space="0"/>
        <w:right w:val="single" w:color="auto" w:sz="4" w:space="0"/>
      </w:pBdr>
    </w:pPr>
    <w:rPr>
      <w:rFonts w:ascii="Arial Unicode MS" w:hAnsi="Arial Unicode MS" w:eastAsia="Arial Unicode MS" w:cs="Arial Unicode MS"/>
      <w:b/>
      <w:bCs/>
      <w:sz w:val="20"/>
    </w:rPr>
  </w:style>
  <w:style w:type="paragraph" w:styleId="1390" w:customStyle="1">
    <w:name w:val="xl82"/>
    <w:basedOn w:val="1140"/>
    <w:qFormat/>
    <w:pPr>
      <w:jc w:val="left"/>
      <w:spacing w:before="100" w:beforeAutospacing="1" w:after="100" w:afterAutospacing="1"/>
      <w:widowControl/>
      <w:pBdr>
        <w:left w:val="single" w:color="auto" w:sz="4" w:space="0"/>
        <w:right w:val="single" w:color="auto" w:sz="8" w:space="0"/>
      </w:pBdr>
    </w:pPr>
    <w:rPr>
      <w:rFonts w:ascii="Arial Unicode MS" w:hAnsi="Arial Unicode MS" w:eastAsia="Arial Unicode MS" w:cs="Arial Unicode MS"/>
      <w:b/>
      <w:bCs/>
      <w:sz w:val="20"/>
    </w:rPr>
  </w:style>
  <w:style w:type="paragraph" w:styleId="1391" w:customStyle="1">
    <w:name w:val="xl83"/>
    <w:basedOn w:val="1140"/>
    <w:qFormat/>
    <w:pPr>
      <w:jc w:val="left"/>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cs="Arial Unicode MS"/>
      <w:sz w:val="20"/>
    </w:rPr>
  </w:style>
  <w:style w:type="paragraph" w:styleId="1392" w:customStyle="1">
    <w:name w:val="xl84"/>
    <w:basedOn w:val="1140"/>
    <w:qFormat/>
    <w:pPr>
      <w:jc w:val="left"/>
      <w:spacing w:before="100" w:beforeAutospacing="1" w:after="100" w:afterAutospacing="1"/>
      <w:widowControl/>
      <w:pBdr>
        <w:left w:val="single" w:color="auto" w:sz="4" w:space="0"/>
        <w:right w:val="single" w:color="auto" w:sz="4" w:space="0"/>
      </w:pBdr>
    </w:pPr>
    <w:rPr>
      <w:rFonts w:ascii="Arial" w:hAnsi="Arial" w:eastAsia="Arial Unicode MS" w:cs="Arial"/>
      <w:sz w:val="20"/>
    </w:rPr>
  </w:style>
  <w:style w:type="paragraph" w:styleId="1393" w:customStyle="1">
    <w:name w:val="xl85"/>
    <w:basedOn w:val="1140"/>
    <w:qFormat/>
    <w:pPr>
      <w:jc w:val="left"/>
      <w:spacing w:before="100" w:beforeAutospacing="1" w:after="100" w:afterAutospacing="1"/>
      <w:widowControl/>
      <w:pBdr>
        <w:left w:val="single" w:color="auto" w:sz="4" w:space="0"/>
        <w:bottom w:val="single" w:color="auto" w:sz="4" w:space="0"/>
        <w:right w:val="single" w:color="auto" w:sz="4" w:space="0"/>
      </w:pBdr>
    </w:pPr>
    <w:rPr>
      <w:rFonts w:ascii="Arial" w:hAnsi="Arial" w:eastAsia="Arial Unicode MS" w:cs="Arial"/>
      <w:sz w:val="20"/>
    </w:rPr>
  </w:style>
  <w:style w:type="paragraph" w:styleId="1394" w:customStyle="1">
    <w:name w:val="xl86"/>
    <w:basedOn w:val="1140"/>
    <w:qFormat/>
    <w:pPr>
      <w:jc w:val="left"/>
      <w:spacing w:before="100" w:beforeAutospacing="1" w:after="100" w:afterAutospacing="1"/>
      <w:widowControl/>
      <w:pBdr>
        <w:top w:val="single" w:color="auto" w:sz="4" w:space="0"/>
        <w:left w:val="single" w:color="auto" w:sz="4" w:space="0"/>
        <w:right w:val="single" w:color="auto" w:sz="4" w:space="0"/>
      </w:pBdr>
    </w:pPr>
    <w:rPr>
      <w:rFonts w:ascii="Arial" w:hAnsi="Arial" w:eastAsia="Arial Unicode MS" w:cs="Arial"/>
      <w:sz w:val="20"/>
    </w:rPr>
  </w:style>
  <w:style w:type="paragraph" w:styleId="1395" w:customStyle="1">
    <w:name w:val="xl87"/>
    <w:basedOn w:val="1140"/>
    <w:qFormat/>
    <w:pPr>
      <w:jc w:val="left"/>
      <w:spacing w:before="100" w:beforeAutospacing="1" w:after="100" w:afterAutospacing="1"/>
      <w:widowControl/>
      <w:pBdr>
        <w:left w:val="single" w:color="auto" w:sz="4" w:space="0"/>
        <w:right w:val="single" w:color="auto" w:sz="4" w:space="0"/>
      </w:pBdr>
    </w:pPr>
    <w:rPr>
      <w:rFonts w:ascii="Arial" w:hAnsi="Arial" w:eastAsia="Arial Unicode MS" w:cs="Arial"/>
      <w:sz w:val="24"/>
      <w:szCs w:val="24"/>
    </w:rPr>
  </w:style>
  <w:style w:type="paragraph" w:styleId="1396" w:customStyle="1">
    <w:name w:val="xl88"/>
    <w:basedOn w:val="1140"/>
    <w:qFormat/>
    <w:pPr>
      <w:jc w:val="left"/>
      <w:spacing w:before="100" w:beforeAutospacing="1" w:after="100" w:afterAutospacing="1"/>
      <w:widowControl/>
      <w:pBdr>
        <w:left w:val="single" w:color="auto" w:sz="4" w:space="0"/>
        <w:bottom w:val="single" w:color="auto" w:sz="4" w:space="0"/>
        <w:right w:val="single" w:color="auto" w:sz="4" w:space="0"/>
      </w:pBdr>
    </w:pPr>
    <w:rPr>
      <w:rFonts w:ascii="Arial" w:hAnsi="Arial" w:eastAsia="Arial Unicode MS" w:cs="Arial"/>
      <w:sz w:val="24"/>
      <w:szCs w:val="24"/>
    </w:rPr>
  </w:style>
  <w:style w:type="paragraph" w:styleId="1397" w:customStyle="1">
    <w:name w:val="xl89"/>
    <w:basedOn w:val="1140"/>
    <w:qFormat/>
    <w:pPr>
      <w:jc w:val="left"/>
      <w:spacing w:before="100" w:beforeAutospacing="1" w:after="100" w:afterAutospacing="1"/>
      <w:widowControl/>
      <w:pBdr>
        <w:top w:val="single" w:color="auto" w:sz="4" w:space="0"/>
        <w:left w:val="single" w:color="auto" w:sz="8" w:space="0"/>
        <w:bottom w:val="single" w:color="auto" w:sz="4" w:space="0"/>
      </w:pBdr>
    </w:pPr>
    <w:rPr>
      <w:rFonts w:ascii="Arial Unicode MS" w:hAnsi="Arial Unicode MS" w:eastAsia="Arial Unicode MS" w:cs="Arial Unicode MS"/>
      <w:b/>
      <w:bCs/>
      <w:sz w:val="20"/>
    </w:rPr>
  </w:style>
  <w:style w:type="paragraph" w:styleId="1398" w:customStyle="1">
    <w:name w:val="xl90"/>
    <w:basedOn w:val="1140"/>
    <w:qFormat/>
    <w:pPr>
      <w:jc w:val="left"/>
      <w:spacing w:before="100" w:beforeAutospacing="1" w:after="100" w:afterAutospacing="1"/>
      <w:widowControl/>
      <w:pBdr>
        <w:top w:val="single" w:color="auto" w:sz="4" w:space="0"/>
        <w:bottom w:val="single" w:color="auto" w:sz="4" w:space="0"/>
      </w:pBdr>
    </w:pPr>
    <w:rPr>
      <w:rFonts w:ascii="Arial" w:hAnsi="Arial" w:eastAsia="Arial Unicode MS" w:cs="Arial"/>
      <w:b/>
      <w:bCs/>
      <w:sz w:val="20"/>
    </w:rPr>
  </w:style>
  <w:style w:type="paragraph" w:styleId="1399" w:customStyle="1">
    <w:name w:val="xl91"/>
    <w:basedOn w:val="1140"/>
    <w:qFormat/>
    <w:pPr>
      <w:jc w:val="left"/>
      <w:spacing w:before="100" w:beforeAutospacing="1" w:after="100" w:afterAutospacing="1"/>
      <w:widowControl/>
      <w:pBdr>
        <w:top w:val="single" w:color="auto" w:sz="4" w:space="0"/>
        <w:bottom w:val="single" w:color="auto" w:sz="4" w:space="0"/>
        <w:right w:val="single" w:color="auto" w:sz="8" w:space="0"/>
      </w:pBdr>
    </w:pPr>
    <w:rPr>
      <w:rFonts w:ascii="Arial" w:hAnsi="Arial" w:eastAsia="Arial Unicode MS" w:cs="Arial"/>
      <w:b/>
      <w:bCs/>
      <w:sz w:val="20"/>
    </w:rPr>
  </w:style>
  <w:style w:type="paragraph" w:styleId="1400" w:customStyle="1">
    <w:name w:val="xl92"/>
    <w:basedOn w:val="1140"/>
    <w:qFormat/>
    <w:pPr>
      <w:jc w:val="left"/>
      <w:spacing w:before="100" w:beforeAutospacing="1" w:after="100" w:afterAutospacing="1"/>
      <w:widowControl/>
      <w:pBdr>
        <w:top w:val="single" w:color="auto" w:sz="4" w:space="0"/>
        <w:left w:val="single" w:color="auto" w:sz="4" w:space="0"/>
        <w:right w:val="single" w:color="auto" w:sz="8" w:space="0"/>
      </w:pBdr>
    </w:pPr>
    <w:rPr>
      <w:rFonts w:ascii="Arial Unicode MS" w:hAnsi="Arial Unicode MS" w:eastAsia="Arial Unicode MS" w:cs="Arial Unicode MS"/>
      <w:sz w:val="20"/>
    </w:rPr>
  </w:style>
  <w:style w:type="paragraph" w:styleId="1401" w:customStyle="1">
    <w:name w:val="xl93"/>
    <w:basedOn w:val="1140"/>
    <w:qFormat/>
    <w:pPr>
      <w:jc w:val="left"/>
      <w:spacing w:before="100" w:beforeAutospacing="1" w:after="100" w:afterAutospacing="1"/>
      <w:widowControl/>
      <w:pBdr>
        <w:left w:val="single" w:color="auto" w:sz="4" w:space="0"/>
        <w:bottom w:val="single" w:color="auto" w:sz="4" w:space="0"/>
        <w:right w:val="single" w:color="auto" w:sz="8" w:space="0"/>
      </w:pBdr>
    </w:pPr>
    <w:rPr>
      <w:rFonts w:ascii="Arial" w:hAnsi="Arial" w:eastAsia="Arial Unicode MS" w:cs="Arial"/>
      <w:sz w:val="20"/>
    </w:rPr>
  </w:style>
  <w:style w:type="paragraph" w:styleId="1402" w:customStyle="1">
    <w:name w:val="xl94"/>
    <w:basedOn w:val="1140"/>
    <w:qFormat/>
    <w:pPr>
      <w:jc w:val="left"/>
      <w:spacing w:before="100" w:beforeAutospacing="1" w:after="100" w:afterAutospacing="1"/>
      <w:widowControl/>
      <w:pBdr>
        <w:bottom w:val="single" w:color="auto" w:sz="8" w:space="0"/>
      </w:pBdr>
    </w:pPr>
    <w:rPr>
      <w:rFonts w:ascii="Arial Unicode MS" w:hAnsi="Arial Unicode MS" w:eastAsia="Arial Unicode MS" w:cs="Arial Unicode MS"/>
      <w:b/>
      <w:bCs/>
      <w:sz w:val="24"/>
      <w:szCs w:val="24"/>
    </w:rPr>
  </w:style>
  <w:style w:type="paragraph" w:styleId="1403" w:customStyle="1">
    <w:name w:val="xl95"/>
    <w:basedOn w:val="1140"/>
    <w:qFormat/>
    <w:pPr>
      <w:jc w:val="left"/>
      <w:spacing w:before="100" w:beforeAutospacing="1" w:after="100" w:afterAutospacing="1"/>
      <w:widowControl/>
      <w:pBdr>
        <w:bottom w:val="single" w:color="auto" w:sz="8" w:space="0"/>
      </w:pBdr>
    </w:pPr>
    <w:rPr>
      <w:rFonts w:ascii="Arial" w:hAnsi="Arial" w:eastAsia="Arial Unicode MS" w:cs="Arial"/>
      <w:b/>
      <w:bCs/>
      <w:sz w:val="24"/>
      <w:szCs w:val="24"/>
    </w:rPr>
  </w:style>
  <w:style w:type="paragraph" w:styleId="1404" w:customStyle="1">
    <w:name w:val="xl96"/>
    <w:basedOn w:val="1140"/>
    <w:qFormat/>
    <w:pPr>
      <w:jc w:val="left"/>
      <w:spacing w:before="100" w:beforeAutospacing="1" w:after="100" w:afterAutospacing="1"/>
      <w:widowControl/>
      <w:pBdr>
        <w:top w:val="single" w:color="auto" w:sz="4" w:space="0"/>
        <w:left w:val="single" w:color="auto" w:sz="4" w:space="0"/>
        <w:right w:val="single" w:color="auto" w:sz="8" w:space="0"/>
      </w:pBdr>
    </w:pPr>
    <w:rPr>
      <w:rFonts w:ascii="Arial Unicode MS" w:hAnsi="Arial Unicode MS" w:eastAsia="Arial Unicode MS" w:cs="Arial Unicode MS"/>
      <w:sz w:val="20"/>
    </w:rPr>
  </w:style>
  <w:style w:type="paragraph" w:styleId="1405" w:customStyle="1">
    <w:name w:val="xl97"/>
    <w:basedOn w:val="1140"/>
    <w:qFormat/>
    <w:pPr>
      <w:jc w:val="left"/>
      <w:spacing w:before="100" w:beforeAutospacing="1" w:after="100" w:afterAutospacing="1"/>
      <w:widowControl/>
      <w:pBdr>
        <w:left w:val="single" w:color="auto" w:sz="4" w:space="0"/>
        <w:bottom w:val="single" w:color="auto" w:sz="4" w:space="0"/>
        <w:right w:val="single" w:color="auto" w:sz="8" w:space="0"/>
      </w:pBdr>
    </w:pPr>
    <w:rPr>
      <w:rFonts w:ascii="Arial" w:hAnsi="Arial" w:eastAsia="Arial Unicode MS" w:cs="Arial"/>
      <w:sz w:val="24"/>
      <w:szCs w:val="24"/>
    </w:rPr>
  </w:style>
  <w:style w:type="paragraph" w:styleId="1406" w:customStyle="1">
    <w:name w:val="xl98"/>
    <w:basedOn w:val="1140"/>
    <w:qFormat/>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1407" w:customStyle="1">
    <w:name w:val="xl99"/>
    <w:basedOn w:val="1140"/>
    <w:qFormat/>
    <w:pPr>
      <w:jc w:val="center"/>
      <w:spacing w:before="100" w:beforeAutospacing="1" w:after="100" w:afterAutospacing="1"/>
      <w:widowControl/>
    </w:pPr>
    <w:rPr>
      <w:rFonts w:ascii="Arial" w:hAnsi="Arial" w:eastAsia="Arial Unicode MS" w:cs="Arial"/>
      <w:b/>
      <w:bCs/>
      <w:sz w:val="32"/>
      <w:szCs w:val="32"/>
    </w:rPr>
  </w:style>
  <w:style w:type="paragraph" w:styleId="1408" w:customStyle="1">
    <w:name w:val="xl100"/>
    <w:basedOn w:val="1140"/>
    <w:qFormat/>
    <w:pPr>
      <w:jc w:val="left"/>
      <w:spacing w:before="100" w:beforeAutospacing="1" w:after="100" w:afterAutospacing="1"/>
      <w:widowControl/>
      <w:pBdr>
        <w:top w:val="single" w:color="auto" w:sz="8" w:space="0"/>
        <w:left w:val="single" w:color="auto" w:sz="8" w:space="0"/>
        <w:bottom w:val="single" w:color="auto" w:sz="8" w:space="0"/>
      </w:pBdr>
    </w:pPr>
    <w:rPr>
      <w:rFonts w:ascii="Arial Unicode MS" w:hAnsi="Arial Unicode MS" w:eastAsia="Arial Unicode MS" w:cs="Arial Unicode MS"/>
      <w:b/>
      <w:bCs/>
      <w:sz w:val="24"/>
      <w:szCs w:val="24"/>
    </w:rPr>
  </w:style>
  <w:style w:type="paragraph" w:styleId="1409" w:customStyle="1">
    <w:name w:val="xl101"/>
    <w:basedOn w:val="1140"/>
    <w:qFormat/>
    <w:pPr>
      <w:jc w:val="left"/>
      <w:spacing w:before="100" w:beforeAutospacing="1" w:after="100" w:afterAutospacing="1"/>
      <w:widowControl/>
      <w:pBdr>
        <w:top w:val="single" w:color="auto" w:sz="8" w:space="0"/>
        <w:bottom w:val="single" w:color="auto" w:sz="8" w:space="0"/>
      </w:pBdr>
    </w:pPr>
    <w:rPr>
      <w:rFonts w:ascii="Arial" w:hAnsi="Arial" w:eastAsia="Arial Unicode MS" w:cs="Arial"/>
      <w:b/>
      <w:bCs/>
      <w:sz w:val="24"/>
      <w:szCs w:val="24"/>
    </w:rPr>
  </w:style>
  <w:style w:type="paragraph" w:styleId="1410" w:customStyle="1">
    <w:name w:val="xl102"/>
    <w:basedOn w:val="1140"/>
    <w:qFormat/>
    <w:pPr>
      <w:jc w:val="left"/>
      <w:spacing w:before="100" w:beforeAutospacing="1" w:after="100" w:afterAutospacing="1"/>
      <w:widowControl/>
      <w:pBdr>
        <w:top w:val="single" w:color="auto" w:sz="8" w:space="0"/>
        <w:bottom w:val="single" w:color="auto" w:sz="8" w:space="0"/>
        <w:right w:val="single" w:color="auto" w:sz="8" w:space="0"/>
      </w:pBdr>
    </w:pPr>
    <w:rPr>
      <w:rFonts w:ascii="Arial" w:hAnsi="Arial" w:eastAsia="Arial Unicode MS" w:cs="Arial"/>
      <w:b/>
      <w:bCs/>
      <w:sz w:val="24"/>
      <w:szCs w:val="24"/>
    </w:rPr>
  </w:style>
  <w:style w:type="paragraph" w:styleId="1411" w:customStyle="1">
    <w:name w:val="xl103"/>
    <w:basedOn w:val="1140"/>
    <w:qFormat/>
    <w:pPr>
      <w:jc w:val="left"/>
      <w:spacing w:before="100" w:beforeAutospacing="1" w:after="100" w:afterAutospacing="1"/>
      <w:widowControl/>
    </w:pPr>
    <w:rPr>
      <w:rFonts w:ascii="Arial Unicode MS" w:hAnsi="Arial Unicode MS" w:eastAsia="Arial Unicode MS" w:cs="Arial Unicode MS"/>
      <w:b/>
      <w:bCs/>
      <w:sz w:val="20"/>
    </w:rPr>
  </w:style>
  <w:style w:type="paragraph" w:styleId="1412" w:customStyle="1">
    <w:name w:val="xl104"/>
    <w:basedOn w:val="1140"/>
    <w:qFormat/>
    <w:pPr>
      <w:jc w:val="left"/>
      <w:spacing w:before="100" w:beforeAutospacing="1" w:after="100" w:afterAutospacing="1"/>
      <w:widowControl/>
    </w:pPr>
    <w:rPr>
      <w:rFonts w:ascii="Arial Unicode MS" w:hAnsi="Arial Unicode MS" w:eastAsia="Arial Unicode MS" w:cs="Arial Unicode MS"/>
      <w:sz w:val="20"/>
    </w:rPr>
  </w:style>
  <w:style w:type="paragraph" w:styleId="1413" w:customStyle="1">
    <w:name w:val="xl105"/>
    <w:basedOn w:val="1140"/>
    <w:qFormat/>
    <w:pPr>
      <w:jc w:val="left"/>
      <w:spacing w:before="100" w:beforeAutospacing="1" w:after="100" w:afterAutospacing="1"/>
      <w:widowControl/>
      <w:pBdr>
        <w:left w:val="single" w:color="auto" w:sz="4" w:space="0"/>
        <w:right w:val="single" w:color="auto" w:sz="8" w:space="0"/>
      </w:pBdr>
    </w:pPr>
    <w:rPr>
      <w:rFonts w:ascii="Arial" w:hAnsi="Arial" w:eastAsia="Arial Unicode MS" w:cs="Arial"/>
      <w:sz w:val="20"/>
    </w:rPr>
  </w:style>
  <w:style w:type="paragraph" w:styleId="1414" w:customStyle="1">
    <w:name w:val="xl106"/>
    <w:basedOn w:val="1140"/>
    <w:qFormat/>
    <w:pPr>
      <w:jc w:val="left"/>
      <w:spacing w:before="100" w:beforeAutospacing="1" w:after="100" w:afterAutospacing="1"/>
      <w:widowControl/>
      <w:pBdr>
        <w:left w:val="single" w:color="auto" w:sz="4" w:space="0"/>
        <w:right w:val="single" w:color="auto" w:sz="4" w:space="0"/>
      </w:pBdr>
    </w:pPr>
    <w:rPr>
      <w:rFonts w:ascii="Arial" w:hAnsi="Arial" w:eastAsia="Arial Unicode MS" w:cs="Arial"/>
      <w:sz w:val="20"/>
    </w:rPr>
  </w:style>
  <w:style w:type="paragraph" w:styleId="1415" w:customStyle="1">
    <w:name w:val="xl107"/>
    <w:basedOn w:val="1140"/>
    <w:qFormat/>
    <w:pPr>
      <w:jc w:val="left"/>
      <w:spacing w:before="100" w:beforeAutospacing="1" w:after="100" w:afterAutospacing="1"/>
      <w:widowControl/>
      <w:pBdr>
        <w:left w:val="single" w:color="auto" w:sz="4" w:space="0"/>
        <w:bottom w:val="single" w:color="auto" w:sz="4" w:space="0"/>
        <w:right w:val="single" w:color="auto" w:sz="4" w:space="0"/>
      </w:pBdr>
    </w:pPr>
    <w:rPr>
      <w:rFonts w:ascii="Arial" w:hAnsi="Arial" w:eastAsia="Arial Unicode MS" w:cs="Arial"/>
      <w:sz w:val="20"/>
    </w:rPr>
  </w:style>
  <w:style w:type="paragraph" w:styleId="1416" w:customStyle="1">
    <w:name w:val="xl108"/>
    <w:basedOn w:val="1140"/>
    <w:qFormat/>
    <w:pPr>
      <w:jc w:val="left"/>
      <w:spacing w:before="100" w:beforeAutospacing="1" w:after="100" w:afterAutospacing="1"/>
      <w:widowControl/>
      <w:pBdr>
        <w:left w:val="single" w:color="auto" w:sz="4" w:space="0"/>
        <w:bottom w:val="single" w:color="auto" w:sz="4" w:space="0"/>
        <w:right w:val="single" w:color="auto" w:sz="8" w:space="0"/>
      </w:pBdr>
    </w:pPr>
    <w:rPr>
      <w:rFonts w:ascii="Arial" w:hAnsi="Arial" w:eastAsia="Arial Unicode MS" w:cs="Arial"/>
      <w:sz w:val="20"/>
    </w:rPr>
  </w:style>
  <w:style w:type="paragraph" w:styleId="1417" w:customStyle="1">
    <w:name w:val="xl109"/>
    <w:basedOn w:val="1140"/>
    <w:qFormat/>
    <w:pPr>
      <w:jc w:val="center"/>
      <w:spacing w:before="100" w:beforeAutospacing="1" w:after="100" w:afterAutospacing="1"/>
      <w:widowControl/>
      <w:pBdr>
        <w:top w:val="single" w:color="auto" w:sz="4" w:space="0"/>
        <w:left w:val="single" w:color="auto" w:sz="4" w:space="0"/>
        <w:right w:val="single" w:color="auto" w:sz="8" w:space="0"/>
      </w:pBdr>
    </w:pPr>
    <w:rPr>
      <w:rFonts w:ascii="Arial" w:hAnsi="Arial" w:eastAsia="Arial Unicode MS" w:cs="Arial"/>
      <w:sz w:val="20"/>
    </w:rPr>
  </w:style>
  <w:style w:type="paragraph" w:styleId="1418" w:customStyle="1">
    <w:name w:val="xl110"/>
    <w:basedOn w:val="1140"/>
    <w:qFormat/>
    <w:pPr>
      <w:jc w:val="center"/>
      <w:spacing w:before="100" w:beforeAutospacing="1" w:after="100" w:afterAutospacing="1"/>
      <w:widowControl/>
      <w:pBdr>
        <w:left w:val="single" w:color="auto" w:sz="4" w:space="0"/>
        <w:bottom w:val="single" w:color="auto" w:sz="4" w:space="0"/>
        <w:right w:val="single" w:color="auto" w:sz="8" w:space="0"/>
      </w:pBdr>
    </w:pPr>
    <w:rPr>
      <w:rFonts w:ascii="Arial" w:hAnsi="Arial" w:eastAsia="Arial Unicode MS" w:cs="Arial"/>
      <w:sz w:val="20"/>
    </w:rPr>
  </w:style>
  <w:style w:type="paragraph" w:styleId="1419" w:customStyle="1">
    <w:name w:val="xl111"/>
    <w:basedOn w:val="1140"/>
    <w:qFormat/>
    <w:pPr>
      <w:jc w:val="center"/>
      <w:spacing w:before="100" w:beforeAutospacing="1" w:after="100" w:afterAutospacing="1"/>
      <w:widowControl/>
      <w:pBdr>
        <w:left w:val="single" w:color="auto" w:sz="4" w:space="0"/>
        <w:right w:val="single" w:color="auto" w:sz="4" w:space="0"/>
      </w:pBdr>
    </w:pPr>
    <w:rPr>
      <w:rFonts w:ascii="Arial" w:hAnsi="Arial" w:eastAsia="Arial Unicode MS" w:cs="Arial"/>
      <w:sz w:val="20"/>
    </w:rPr>
  </w:style>
  <w:style w:type="paragraph" w:styleId="1420" w:customStyle="1">
    <w:name w:val="xl112"/>
    <w:basedOn w:val="1140"/>
    <w:qFormat/>
    <w:pPr>
      <w:spacing w:before="100" w:beforeAutospacing="1" w:after="100" w:afterAutospacing="1"/>
      <w:widowControl/>
      <w:pBdr>
        <w:top w:val="single" w:color="auto" w:sz="4" w:space="0"/>
        <w:left w:val="single" w:color="auto" w:sz="4" w:space="0"/>
        <w:bottom w:val="single" w:color="auto" w:sz="8" w:space="0"/>
        <w:right w:val="single" w:color="auto" w:sz="4" w:space="0"/>
      </w:pBdr>
    </w:pPr>
    <w:rPr>
      <w:rFonts w:ascii="Arial Unicode MS" w:hAnsi="Arial Unicode MS" w:eastAsia="Arial Unicode MS" w:cs="Arial Unicode MS"/>
      <w:sz w:val="20"/>
    </w:rPr>
  </w:style>
  <w:style w:type="paragraph" w:styleId="1421" w:customStyle="1">
    <w:name w:val="样式 标题 3 + 小四"/>
    <w:basedOn w:val="1143"/>
    <w:qFormat/>
    <w:pPr>
      <w:spacing w:line="360" w:lineRule="auto"/>
    </w:pPr>
    <w:rPr>
      <w:rFonts w:ascii="宋体" w:hAnsi="宋体"/>
      <w:bCs/>
      <w:sz w:val="30"/>
      <w:szCs w:val="24"/>
    </w:rPr>
  </w:style>
  <w:style w:type="paragraph" w:styleId="1422" w:customStyle="1">
    <w:name w:val="3 Char"/>
    <w:basedOn w:val="1140"/>
    <w:qFormat/>
    <w:rPr>
      <w:rFonts w:ascii="Tahoma" w:hAnsi="Tahoma"/>
      <w:sz w:val="24"/>
    </w:rPr>
  </w:style>
  <w:style w:type="paragraph" w:styleId="1423" w:customStyle="1">
    <w:name w:val="Style 标书正文 + First line:  2 ch"/>
    <w:basedOn w:val="1140"/>
    <w:qFormat/>
    <w:pPr>
      <w:ind w:firstLine="480"/>
      <w:spacing w:before="120" w:after="20" w:line="360" w:lineRule="exact"/>
    </w:pPr>
    <w:rPr>
      <w:rFonts w:cs="宋体"/>
      <w:sz w:val="24"/>
    </w:rPr>
  </w:style>
  <w:style w:type="paragraph" w:styleId="1424" w:customStyle="1">
    <w:name w:val="样式 标题 1合同标题H1h11st levelSection Headl11H11H12H13H14H..."/>
    <w:basedOn w:val="1141"/>
    <w:qFormat/>
    <w:pPr>
      <w:spacing w:line="360" w:lineRule="auto"/>
    </w:pPr>
    <w:rPr>
      <w:rFonts w:ascii="宋体" w:hAnsi="宋体"/>
      <w:b w:val="0"/>
      <w:sz w:val="30"/>
    </w:rPr>
  </w:style>
  <w:style w:type="paragraph" w:styleId="1425" w:customStyle="1">
    <w:name w:val="标题1-1"/>
    <w:basedOn w:val="1140"/>
    <w:qFormat/>
    <w:pPr>
      <w:jc w:val="center"/>
      <w:spacing w:line="360" w:lineRule="auto"/>
    </w:pPr>
    <w:rPr>
      <w:rFonts w:ascii="宋体" w:hAnsi="宋体"/>
      <w:b/>
      <w:sz w:val="52"/>
      <w:szCs w:val="52"/>
    </w:rPr>
  </w:style>
  <w:style w:type="paragraph" w:styleId="1426" w:customStyle="1">
    <w:name w:val="标题1-2"/>
    <w:basedOn w:val="1140"/>
    <w:qFormat/>
    <w:pPr>
      <w:jc w:val="center"/>
      <w:spacing w:line="360" w:lineRule="auto"/>
    </w:pPr>
    <w:rPr>
      <w:rFonts w:ascii="宋体" w:hAnsi="宋体"/>
      <w:b/>
      <w:sz w:val="32"/>
      <w:szCs w:val="52"/>
    </w:rPr>
  </w:style>
  <w:style w:type="paragraph" w:styleId="1427" w:customStyle="1">
    <w:name w:val="标题1-3"/>
    <w:basedOn w:val="1140"/>
    <w:qFormat/>
    <w:pPr>
      <w:jc w:val="left"/>
      <w:spacing w:line="360" w:lineRule="auto"/>
    </w:pPr>
    <w:rPr>
      <w:rFonts w:ascii="宋体" w:hAnsi="宋体"/>
      <w:b/>
      <w:bCs/>
      <w:sz w:val="32"/>
      <w:szCs w:val="52"/>
    </w:rPr>
  </w:style>
  <w:style w:type="paragraph" w:styleId="1428" w:customStyle="1">
    <w:name w:val="格式1-1"/>
    <w:basedOn w:val="1140"/>
    <w:qFormat/>
    <w:pPr>
      <w:jc w:val="center"/>
    </w:pPr>
    <w:rPr>
      <w:b/>
      <w:sz w:val="52"/>
      <w:szCs w:val="24"/>
    </w:rPr>
  </w:style>
  <w:style w:type="paragraph" w:styleId="1429" w:customStyle="1">
    <w:name w:val="格式1-2"/>
    <w:basedOn w:val="1140"/>
    <w:qFormat/>
    <w:rPr>
      <w:b/>
      <w:sz w:val="32"/>
      <w:szCs w:val="24"/>
    </w:rPr>
  </w:style>
  <w:style w:type="paragraph" w:styleId="1430" w:customStyle="1">
    <w:name w:val="格式1-3"/>
    <w:basedOn w:val="1140"/>
    <w:qFormat/>
    <w:pPr>
      <w:spacing w:line="360" w:lineRule="auto"/>
    </w:pPr>
    <w:rPr>
      <w:sz w:val="24"/>
      <w:szCs w:val="24"/>
    </w:rPr>
  </w:style>
  <w:style w:type="paragraph" w:styleId="1431" w:customStyle="1">
    <w:name w:val="符号列表"/>
    <w:basedOn w:val="1140"/>
    <w:qFormat/>
    <w:pPr>
      <w:numPr>
        <w:ilvl w:val="3"/>
        <w:numId w:val="13"/>
      </w:numPr>
      <w:jc w:val="left"/>
      <w:spacing w:line="440" w:lineRule="exact"/>
      <w:widowControl/>
    </w:pPr>
    <w:rPr>
      <w:color w:val="000000"/>
      <w:sz w:val="24"/>
      <w:szCs w:val="24"/>
    </w:rPr>
  </w:style>
  <w:style w:type="character" w:styleId="1432" w:customStyle="1">
    <w:name w:val="样式 下划线"/>
    <w:basedOn w:val="1150"/>
    <w:qFormat/>
    <w:rPr>
      <w:u w:val="single"/>
    </w:rPr>
  </w:style>
  <w:style w:type="character" w:styleId="1433" w:customStyle="1">
    <w:name w:val="标题3 Char"/>
    <w:basedOn w:val="1150"/>
    <w:qFormat/>
    <w:rPr>
      <w:rFonts w:eastAsia="宋体"/>
      <w:b/>
      <w:sz w:val="32"/>
      <w:lang w:val="en-US" w:eastAsia="zh-CN" w:bidi="ar-SA"/>
    </w:rPr>
  </w:style>
  <w:style w:type="character" w:styleId="1434" w:customStyle="1">
    <w:name w:val="小黑点符号 Char"/>
    <w:basedOn w:val="1150"/>
    <w:qFormat/>
    <w:rPr>
      <w:rFonts w:eastAsia="宋体"/>
      <w:sz w:val="28"/>
      <w:szCs w:val="24"/>
      <w:lang w:val="en-US" w:eastAsia="zh-CN" w:bidi="ar-SA"/>
    </w:rPr>
  </w:style>
  <w:style w:type="paragraph" w:styleId="1435" w:customStyle="1">
    <w:name w:val="List Paragraph1"/>
    <w:basedOn w:val="1140"/>
    <w:qFormat/>
    <w:pPr>
      <w:ind w:firstLine="420"/>
    </w:pPr>
    <w:rPr>
      <w:rFonts w:ascii="Calibri" w:hAnsi="Calibri" w:eastAsia="仿宋" w:cs="宋体"/>
      <w:sz w:val="28"/>
      <w:szCs w:val="28"/>
    </w:rPr>
  </w:style>
  <w:style w:type="character" w:styleId="1436" w:customStyle="1">
    <w:name w:val="Title Char"/>
    <w:basedOn w:val="1150"/>
    <w:qFormat/>
    <w:rPr>
      <w:rFonts w:ascii="Cambria" w:hAnsi="Cambria" w:eastAsia="宋体"/>
      <w:b/>
      <w:bCs/>
      <w:sz w:val="32"/>
      <w:szCs w:val="32"/>
      <w:lang w:val="en-US" w:eastAsia="zh-CN" w:bidi="ar-SA"/>
    </w:rPr>
  </w:style>
  <w:style w:type="paragraph" w:styleId="1437" w:customStyle="1">
    <w:name w:val="black1"/>
    <w:basedOn w:val="1140"/>
    <w:qFormat/>
    <w:pPr>
      <w:jc w:val="left"/>
      <w:spacing w:before="100" w:beforeAutospacing="1" w:after="100" w:afterAutospacing="1"/>
      <w:widowControl/>
    </w:pPr>
    <w:rPr>
      <w:rFonts w:ascii="宋体" w:hAnsi="宋体"/>
      <w:sz w:val="24"/>
      <w:szCs w:val="24"/>
    </w:rPr>
  </w:style>
  <w:style w:type="character" w:styleId="1438" w:customStyle="1">
    <w:name w:val="副标题 字符"/>
    <w:link w:val="1189"/>
    <w:qFormat/>
    <w:rPr>
      <w:rFonts w:ascii="Cambria" w:hAnsi="Cambria" w:eastAsia="黑体"/>
      <w:b/>
      <w:bCs/>
      <w:sz w:val="21"/>
      <w:szCs w:val="32"/>
      <w:lang w:bidi="ar-SA"/>
    </w:rPr>
  </w:style>
  <w:style w:type="character" w:styleId="1439" w:customStyle="1">
    <w:name w:val="apple-converted-space"/>
    <w:basedOn w:val="1150"/>
    <w:qFormat/>
  </w:style>
  <w:style w:type="character" w:styleId="1440" w:customStyle="1">
    <w:name w:val="批注框文本 字符"/>
    <w:link w:val="1182"/>
    <w:qFormat/>
    <w:rPr>
      <w:sz w:val="18"/>
      <w:szCs w:val="18"/>
    </w:rPr>
  </w:style>
  <w:style w:type="character" w:styleId="1441" w:customStyle="1">
    <w:name w:val="页脚 字符"/>
    <w:link w:val="1183"/>
    <w:uiPriority w:val="99"/>
    <w:qFormat/>
    <w:rPr>
      <w:sz w:val="18"/>
    </w:rPr>
  </w:style>
  <w:style w:type="paragraph" w:styleId="1442" w:customStyle="1">
    <w:name w:val="TOC 标题1"/>
    <w:basedOn w:val="1141"/>
    <w:next w:val="1140"/>
    <w:uiPriority w:val="39"/>
    <w:qFormat/>
    <w:pPr>
      <w:jc w:val="left"/>
      <w:spacing w:before="480" w:after="0" w:line="276" w:lineRule="auto"/>
      <w:widowControl/>
      <w:outlineLvl w:val="9"/>
    </w:pPr>
    <w:rPr>
      <w:rFonts w:ascii="Cambria" w:hAnsi="Cambria"/>
      <w:color w:val="365f91"/>
      <w:sz w:val="28"/>
      <w:szCs w:val="28"/>
    </w:rPr>
  </w:style>
  <w:style w:type="paragraph" w:styleId="1443" w:customStyle="1">
    <w:name w:val="GP正文(首行缩进)"/>
    <w:basedOn w:val="1140"/>
    <w:link w:val="1545"/>
    <w:qFormat/>
    <w:pPr>
      <w:ind w:firstLine="480"/>
      <w:jc w:val="left"/>
    </w:pPr>
    <w:rPr>
      <w:szCs w:val="24"/>
    </w:rPr>
  </w:style>
  <w:style w:type="paragraph" w:styleId="1444">
    <w:name w:val="No Spacing"/>
    <w:uiPriority w:val="1"/>
    <w:qFormat/>
    <w:pPr>
      <w:widowControl w:val="off"/>
    </w:pPr>
    <w:rPr>
      <w:sz w:val="21"/>
    </w:rPr>
  </w:style>
  <w:style w:type="paragraph" w:styleId="1445" w:customStyle="1">
    <w:name w:val="GP正文(无首行缩进)"/>
    <w:basedOn w:val="1443"/>
    <w:qFormat/>
  </w:style>
  <w:style w:type="paragraph" w:styleId="1446">
    <w:name w:val="List Paragraph"/>
    <w:basedOn w:val="1140"/>
    <w:uiPriority w:val="1"/>
    <w:qFormat/>
    <w:pPr>
      <w:ind w:firstLine="420"/>
    </w:pPr>
  </w:style>
  <w:style w:type="paragraph" w:styleId="1447" w:customStyle="1">
    <w:name w:val="样式 首行缩进:  0 字符"/>
    <w:basedOn w:val="1140"/>
    <w:link w:val="1531"/>
    <w:qFormat/>
    <w:pPr>
      <w:ind w:firstLine="200"/>
      <w:spacing w:line="360" w:lineRule="auto"/>
    </w:pPr>
    <w:rPr>
      <w:rFonts w:ascii="Arial" w:hAnsi="Arial"/>
      <w:sz w:val="24"/>
    </w:rPr>
  </w:style>
  <w:style w:type="paragraph" w:styleId="1448" w:customStyle="1">
    <w:name w:val="编号，小四"/>
    <w:basedOn w:val="1140"/>
    <w:link w:val="1618"/>
    <w:qFormat/>
    <w:pPr>
      <w:ind w:left="567"/>
    </w:pPr>
    <w:rPr>
      <w:rFonts w:ascii="Arial" w:hAnsi="Arial" w:cs="宋体"/>
    </w:rPr>
  </w:style>
  <w:style w:type="paragraph" w:styleId="1449" w:customStyle="1">
    <w:name w:val="图片标题"/>
    <w:basedOn w:val="1160"/>
    <w:qFormat/>
    <w:pPr>
      <w:numPr>
        <w:numId w:val="0"/>
      </w:numPr>
      <w:jc w:val="center"/>
      <w:keepNext w:val="0"/>
      <w:spacing w:before="0" w:after="0" w:line="240" w:lineRule="auto"/>
      <w:widowControl w:val="off"/>
    </w:pPr>
    <w:rPr>
      <w:rFonts w:ascii="宋体" w:hAnsi="宋体" w:eastAsia="宋体"/>
      <w:sz w:val="21"/>
    </w:rPr>
  </w:style>
  <w:style w:type="character" w:styleId="1450" w:customStyle="1">
    <w:name w:val="文档结构图 字符"/>
    <w:basedOn w:val="1150"/>
    <w:link w:val="1163"/>
    <w:uiPriority w:val="99"/>
    <w:qFormat/>
    <w:rPr>
      <w:sz w:val="21"/>
      <w:szCs w:val="24"/>
      <w:shd w:val="clear" w:color="auto" w:fill="000080"/>
    </w:rPr>
  </w:style>
  <w:style w:type="paragraph" w:styleId="1451" w:customStyle="1">
    <w:name w:val="常用1级标题"/>
    <w:basedOn w:val="1140"/>
    <w:qFormat/>
    <w:pPr>
      <w:numPr>
        <w:numId w:val="14"/>
      </w:numPr>
      <w:contextualSpacing/>
      <w:jc w:val="center"/>
      <w:keepLines/>
      <w:pageBreakBefore/>
      <w:spacing w:line="360" w:lineRule="auto"/>
      <w:widowControl/>
      <w:outlineLvl w:val="0"/>
    </w:pPr>
    <w:rPr>
      <w:rFonts w:ascii="宋体" w:hAnsi="宋体"/>
      <w:b/>
      <w:sz w:val="32"/>
      <w:szCs w:val="28"/>
      <w:lang w:eastAsia="en-US" w:bidi="en-US"/>
    </w:rPr>
  </w:style>
  <w:style w:type="paragraph" w:styleId="1452" w:customStyle="1">
    <w:name w:val="常用2级标题"/>
    <w:basedOn w:val="1140"/>
    <w:qFormat/>
    <w:pPr>
      <w:numPr>
        <w:ilvl w:val="1"/>
        <w:numId w:val="14"/>
      </w:numPr>
      <w:contextualSpacing/>
      <w:jc w:val="left"/>
      <w:keepLines/>
      <w:spacing w:line="360" w:lineRule="auto"/>
      <w:widowControl/>
      <w:outlineLvl w:val="1"/>
    </w:pPr>
    <w:rPr>
      <w:rFonts w:ascii="宋体" w:hAnsi="宋体"/>
      <w:b/>
      <w:bCs/>
      <w:sz w:val="30"/>
      <w:szCs w:val="30"/>
      <w:lang w:eastAsia="en-US" w:bidi="en-US"/>
    </w:rPr>
  </w:style>
  <w:style w:type="paragraph" w:styleId="1453" w:customStyle="1">
    <w:name w:val="列出段落1"/>
    <w:basedOn w:val="1140"/>
    <w:link w:val="1521"/>
    <w:qFormat/>
    <w:pPr>
      <w:ind w:firstLine="420"/>
    </w:pPr>
    <w:rPr>
      <w:szCs w:val="22"/>
    </w:rPr>
  </w:style>
  <w:style w:type="character" w:styleId="1454" w:customStyle="1">
    <w:name w:val="标题 2 字符"/>
    <w:basedOn w:val="1150"/>
    <w:link w:val="1142"/>
    <w:qFormat/>
    <w:rPr>
      <w:rFonts w:ascii="Century Schoolbook" w:hAnsi="Century Schoolbook" w:eastAsia="黑体"/>
      <w:bCs/>
      <w:sz w:val="28"/>
      <w:szCs w:val="32"/>
    </w:rPr>
  </w:style>
  <w:style w:type="character" w:styleId="1455" w:customStyle="1">
    <w:name w:val="标题 4 字符"/>
    <w:basedOn w:val="1150"/>
    <w:link w:val="1144"/>
    <w:qFormat/>
    <w:rPr>
      <w:rFonts w:ascii="Century Schoolbook" w:hAnsi="Century Schoolbook" w:eastAsia="楷体_GB2312"/>
      <w:bCs/>
      <w:sz w:val="28"/>
      <w:szCs w:val="28"/>
    </w:rPr>
  </w:style>
  <w:style w:type="character" w:styleId="1456" w:customStyle="1">
    <w:name w:val="正文文本缩进 3 字符"/>
    <w:basedOn w:val="1150"/>
    <w:link w:val="1192"/>
    <w:qFormat/>
    <w:rPr>
      <w:rFonts w:ascii="楷体_GB2312" w:eastAsia="楷体_GB2312"/>
      <w:b/>
      <w:bCs/>
      <w:color w:val="000000"/>
      <w:sz w:val="24"/>
      <w:u w:val="single"/>
    </w:rPr>
  </w:style>
  <w:style w:type="paragraph" w:styleId="1457" w:customStyle="1">
    <w:name w:val="模板普通正文"/>
    <w:basedOn w:val="1168"/>
    <w:qFormat/>
    <w:pPr>
      <w:ind w:firstLine="490"/>
      <w:jc w:val="left"/>
      <w:spacing w:line="360" w:lineRule="auto"/>
    </w:pPr>
    <w:rPr>
      <w:sz w:val="24"/>
      <w:szCs w:val="20"/>
    </w:rPr>
  </w:style>
  <w:style w:type="paragraph" w:styleId="1458" w:customStyle="1">
    <w:name w:val="正文文本缩进1"/>
    <w:basedOn w:val="1140"/>
    <w:qFormat/>
    <w:pPr>
      <w:ind w:left="420"/>
    </w:pPr>
    <w:rPr>
      <w:rFonts w:ascii="Calibri" w:hAnsi="Calibri"/>
      <w:szCs w:val="22"/>
    </w:rPr>
  </w:style>
  <w:style w:type="character" w:styleId="1459" w:customStyle="1">
    <w:name w:val="headline-content3"/>
    <w:basedOn w:val="1150"/>
    <w:qFormat/>
  </w:style>
  <w:style w:type="paragraph" w:styleId="1460" w:customStyle="1">
    <w:name w:val="GW-正文"/>
    <w:qFormat/>
    <w:pPr>
      <w:ind w:firstLine="200"/>
      <w:spacing w:line="360" w:lineRule="auto"/>
    </w:pPr>
    <w:rPr>
      <w:rFonts w:eastAsia="仿宋_GB2312"/>
      <w:sz w:val="24"/>
      <w:szCs w:val="24"/>
    </w:rPr>
  </w:style>
  <w:style w:type="paragraph" w:styleId="1461" w:customStyle="1">
    <w:name w:val="段"/>
    <w:link w:val="1626"/>
    <w:qFormat/>
    <w:pPr>
      <w:ind w:firstLine="200"/>
      <w:jc w:val="both"/>
    </w:pPr>
    <w:rPr>
      <w:rFonts w:ascii="宋体"/>
      <w:sz w:val="21"/>
      <w:szCs w:val="22"/>
    </w:rPr>
  </w:style>
  <w:style w:type="paragraph" w:styleId="1462" w:customStyle="1">
    <w:name w:val="正文首行缩进 21"/>
    <w:basedOn w:val="1458"/>
    <w:qFormat/>
    <w:pPr>
      <w:ind w:firstLine="420"/>
    </w:pPr>
    <w:rPr>
      <w:rFonts w:ascii="Times New Roman" w:hAnsi="Times New Roman"/>
      <w:szCs w:val="24"/>
    </w:rPr>
  </w:style>
  <w:style w:type="paragraph" w:styleId="1463" w:customStyle="1">
    <w:name w:val="_Style 2"/>
    <w:basedOn w:val="1140"/>
    <w:qFormat/>
    <w:pPr>
      <w:ind w:firstLine="420"/>
      <w:spacing w:line="360" w:lineRule="auto"/>
    </w:pPr>
    <w:rPr>
      <w:rFonts w:ascii="宋体" w:hAnsi="Calibri"/>
      <w:sz w:val="24"/>
      <w:szCs w:val="22"/>
    </w:rPr>
  </w:style>
  <w:style w:type="paragraph" w:styleId="1464" w:customStyle="1">
    <w:name w:val="列出段落2"/>
    <w:basedOn w:val="1140"/>
    <w:link w:val="1516"/>
    <w:uiPriority w:val="34"/>
    <w:qFormat/>
    <w:pPr>
      <w:ind w:firstLine="420"/>
    </w:pPr>
    <w:rPr>
      <w:szCs w:val="22"/>
    </w:rPr>
  </w:style>
  <w:style w:type="paragraph" w:styleId="1465" w:customStyle="1">
    <w:name w:val="xl294"/>
    <w:basedOn w:val="1140"/>
    <w:qFormat/>
    <w:pPr>
      <w:jc w:val="center"/>
      <w:spacing w:before="100" w:beforeAutospacing="1" w:after="100" w:afterAutospacing="1"/>
      <w:widowControl/>
    </w:pPr>
    <w:rPr>
      <w:rFonts w:ascii="宋体" w:hAnsi="宋体" w:cs="宋体"/>
      <w:sz w:val="24"/>
      <w:szCs w:val="24"/>
    </w:rPr>
  </w:style>
  <w:style w:type="paragraph" w:styleId="1466" w:customStyle="1">
    <w:name w:val="xl295"/>
    <w:basedOn w:val="114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467" w:customStyle="1">
    <w:name w:val="xl296"/>
    <w:basedOn w:val="114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rPr>
  </w:style>
  <w:style w:type="paragraph" w:styleId="1468" w:customStyle="1">
    <w:name w:val="xl297"/>
    <w:basedOn w:val="114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rPr>
  </w:style>
  <w:style w:type="paragraph" w:styleId="1469" w:customStyle="1">
    <w:name w:val="xl298"/>
    <w:basedOn w:val="114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470" w:customStyle="1">
    <w:name w:val="xl299"/>
    <w:basedOn w:val="114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71" w:customStyle="1">
    <w:name w:val="xl300"/>
    <w:basedOn w:val="114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472" w:customStyle="1">
    <w:name w:val="xl301"/>
    <w:basedOn w:val="114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73" w:customStyle="1">
    <w:name w:val="xl302"/>
    <w:basedOn w:val="114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74" w:customStyle="1">
    <w:name w:val="xl303"/>
    <w:basedOn w:val="114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75" w:customStyle="1">
    <w:name w:val="xl304"/>
    <w:basedOn w:val="114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76" w:customStyle="1">
    <w:name w:val="xl305"/>
    <w:basedOn w:val="114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77" w:customStyle="1">
    <w:name w:val="xl306"/>
    <w:basedOn w:val="114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78" w:customStyle="1">
    <w:name w:val="xl307"/>
    <w:basedOn w:val="114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79" w:customStyle="1">
    <w:name w:val="xl308"/>
    <w:basedOn w:val="114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80" w:customStyle="1">
    <w:name w:val="xl309"/>
    <w:basedOn w:val="114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81" w:customStyle="1">
    <w:name w:val="xl310"/>
    <w:basedOn w:val="114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482" w:customStyle="1">
    <w:name w:val="xl311"/>
    <w:basedOn w:val="114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483" w:customStyle="1">
    <w:name w:val="xl312"/>
    <w:basedOn w:val="114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484" w:customStyle="1">
    <w:name w:val="xl313"/>
    <w:basedOn w:val="114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485" w:customStyle="1">
    <w:name w:val="xl314"/>
    <w:basedOn w:val="114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486" w:customStyle="1">
    <w:name w:val="xl315"/>
    <w:basedOn w:val="114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87" w:customStyle="1">
    <w:name w:val="xl316"/>
    <w:basedOn w:val="114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88" w:customStyle="1">
    <w:name w:val="xl317"/>
    <w:basedOn w:val="114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89" w:customStyle="1">
    <w:name w:val="xl318"/>
    <w:basedOn w:val="114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90" w:customStyle="1">
    <w:name w:val="xl319"/>
    <w:basedOn w:val="114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491" w:customStyle="1">
    <w:name w:val="xl320"/>
    <w:basedOn w:val="114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92" w:customStyle="1">
    <w:name w:val="xl321"/>
    <w:basedOn w:val="114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93" w:customStyle="1">
    <w:name w:val="xl322"/>
    <w:basedOn w:val="114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494" w:customStyle="1">
    <w:name w:val="xl323"/>
    <w:basedOn w:val="114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95" w:customStyle="1">
    <w:name w:val="xl324"/>
    <w:basedOn w:val="114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496" w:customStyle="1">
    <w:name w:val="xl325"/>
    <w:basedOn w:val="114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497" w:customStyle="1">
    <w:name w:val="xl326"/>
    <w:basedOn w:val="114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98" w:customStyle="1">
    <w:name w:val="xl327"/>
    <w:basedOn w:val="114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99" w:customStyle="1">
    <w:name w:val="xl328"/>
    <w:basedOn w:val="114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00" w:customStyle="1">
    <w:name w:val="xl329"/>
    <w:basedOn w:val="114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501" w:customStyle="1">
    <w:name w:val="xl330"/>
    <w:basedOn w:val="114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1502" w:customStyle="1">
    <w:name w:val="xl331"/>
    <w:basedOn w:val="114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503" w:customStyle="1">
    <w:name w:val="xl332"/>
    <w:basedOn w:val="114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character" w:styleId="1504" w:customStyle="1">
    <w:name w:val="批注文字 字符"/>
    <w:basedOn w:val="1150"/>
    <w:link w:val="1164"/>
    <w:qFormat/>
    <w:rPr>
      <w:rFonts w:ascii="Calibri" w:hAnsi="Calibri" w:eastAsia="宋体" w:cs="Times New Roman"/>
      <w:sz w:val="21"/>
      <w:szCs w:val="22"/>
    </w:rPr>
  </w:style>
  <w:style w:type="paragraph" w:styleId="1505" w:customStyle="1">
    <w:name w:val="Plain Text1"/>
    <w:basedOn w:val="1140"/>
    <w:qFormat/>
    <w:rPr>
      <w:rFonts w:ascii="宋体" w:hAnsi="Courier New" w:eastAsia="楷体_GB2312"/>
      <w:sz w:val="28"/>
    </w:rPr>
  </w:style>
  <w:style w:type="paragraph" w:styleId="1506" w:customStyle="1">
    <w:name w:val="纯文本11"/>
    <w:basedOn w:val="1140"/>
    <w:qFormat/>
    <w:pPr>
      <w:jc w:val="left"/>
      <w:widowControl/>
    </w:pPr>
    <w:rPr>
      <w:rFonts w:ascii="宋体" w:hAnsi="Courier New" w:eastAsia="楷体_GB2312"/>
      <w:sz w:val="26"/>
    </w:rPr>
  </w:style>
  <w:style w:type="paragraph" w:styleId="1507" w:customStyle="1">
    <w:name w:val="纯文本2"/>
    <w:basedOn w:val="1140"/>
    <w:qFormat/>
    <w:pPr>
      <w:jc w:val="left"/>
      <w:widowControl/>
    </w:pPr>
    <w:rPr>
      <w:rFonts w:ascii="宋体" w:hAnsi="Courier New" w:eastAsia="楷体_GB2312"/>
      <w:sz w:val="26"/>
    </w:rPr>
  </w:style>
  <w:style w:type="character" w:styleId="1508" w:customStyle="1">
    <w:name w:val="纯文本 字符"/>
    <w:basedOn w:val="1150"/>
    <w:link w:val="1175"/>
    <w:qFormat/>
    <w:rPr>
      <w:rFonts w:ascii="宋体" w:hAnsi="Courier New"/>
      <w:sz w:val="24"/>
      <w:szCs w:val="24"/>
    </w:rPr>
  </w:style>
  <w:style w:type="table" w:styleId="1509" w:customStyle="1">
    <w:name w:val="Table Normal"/>
    <w:qFormat/>
    <w:tblPr>
      <w:tblCellMar>
        <w:left w:w="0" w:type="dxa"/>
        <w:top w:w="0" w:type="dxa"/>
        <w:right w:w="0" w:type="dxa"/>
        <w:bottom w:w="0" w:type="dxa"/>
      </w:tblCellMar>
    </w:tblPr>
  </w:style>
  <w:style w:type="paragraph" w:styleId="1510" w:customStyle="1">
    <w:name w:val="正文 A"/>
    <w:qFormat/>
    <w:pPr>
      <w:jc w:val="both"/>
      <w:widowControl w:val="off"/>
    </w:pPr>
    <w:rPr>
      <w:rFonts w:ascii="Calibri" w:hAnsi="Calibri" w:eastAsia="Calibri" w:cs="Calibri"/>
      <w:color w:val="000000"/>
      <w:sz w:val="21"/>
      <w:szCs w:val="21"/>
    </w:rPr>
  </w:style>
  <w:style w:type="character" w:styleId="1511" w:customStyle="1">
    <w:name w:val="标题 5 字符"/>
    <w:basedOn w:val="1150"/>
    <w:link w:val="1145"/>
    <w:qFormat/>
    <w:rPr>
      <w:rFonts w:ascii="楷体" w:eastAsia="楷体"/>
      <w:b/>
      <w:bCs/>
      <w:spacing w:val="8"/>
      <w:sz w:val="28"/>
      <w:szCs w:val="28"/>
    </w:rPr>
  </w:style>
  <w:style w:type="character" w:styleId="1512" w:customStyle="1">
    <w:name w:val="标题 6 字符"/>
    <w:basedOn w:val="1150"/>
    <w:link w:val="1146"/>
    <w:qFormat/>
    <w:rPr>
      <w:rFonts w:ascii="Arial" w:hAnsi="Arial" w:eastAsia="黑体"/>
      <w:b/>
      <w:bCs/>
      <w:spacing w:val="8"/>
      <w:sz w:val="24"/>
      <w:szCs w:val="24"/>
    </w:rPr>
  </w:style>
  <w:style w:type="character" w:styleId="1513" w:customStyle="1">
    <w:name w:val="标题 7 字符"/>
    <w:basedOn w:val="1150"/>
    <w:link w:val="1147"/>
    <w:qFormat/>
    <w:rPr>
      <w:rFonts w:ascii="楷体" w:eastAsia="楷体"/>
      <w:b/>
      <w:bCs/>
      <w:spacing w:val="8"/>
      <w:sz w:val="24"/>
      <w:szCs w:val="24"/>
    </w:rPr>
  </w:style>
  <w:style w:type="character" w:styleId="1514" w:customStyle="1">
    <w:name w:val="标题 8 字符"/>
    <w:basedOn w:val="1150"/>
    <w:link w:val="1148"/>
    <w:qFormat/>
    <w:rPr>
      <w:rFonts w:ascii="Arial" w:hAnsi="Arial" w:eastAsia="黑体"/>
      <w:spacing w:val="8"/>
      <w:sz w:val="24"/>
      <w:szCs w:val="24"/>
    </w:rPr>
  </w:style>
  <w:style w:type="character" w:styleId="1515" w:customStyle="1">
    <w:name w:val="标题 9 字符"/>
    <w:basedOn w:val="1150"/>
    <w:link w:val="1149"/>
    <w:qFormat/>
    <w:rPr>
      <w:rFonts w:ascii="Arial" w:hAnsi="Arial" w:eastAsia="黑体"/>
      <w:spacing w:val="8"/>
      <w:sz w:val="21"/>
      <w:szCs w:val="21"/>
    </w:rPr>
  </w:style>
  <w:style w:type="character" w:styleId="1516" w:customStyle="1">
    <w:name w:val="列表段落 字符"/>
    <w:link w:val="1464"/>
    <w:qFormat/>
    <w:rPr>
      <w:sz w:val="21"/>
      <w:szCs w:val="22"/>
    </w:rPr>
  </w:style>
  <w:style w:type="character" w:styleId="1517" w:customStyle="1">
    <w:name w:val="HTML 预设格式 字符"/>
    <w:link w:val="1200"/>
    <w:uiPriority w:val="99"/>
    <w:qFormat/>
    <w:rPr>
      <w:rFonts w:ascii="Courier New" w:hAnsi="Courier New" w:cs="Courier New"/>
    </w:rPr>
  </w:style>
  <w:style w:type="character" w:styleId="1518" w:customStyle="1">
    <w:name w:val="页脚 Char1"/>
    <w:uiPriority w:val="99"/>
    <w:qFormat/>
    <w:rPr>
      <w:sz w:val="18"/>
      <w:szCs w:val="18"/>
    </w:rPr>
  </w:style>
  <w:style w:type="character" w:styleId="1519" w:customStyle="1">
    <w:name w:val="正文首行缩进2字符 Char"/>
    <w:link w:val="1520"/>
    <w:qFormat/>
    <w:rPr>
      <w:rFonts w:cs="宋体"/>
      <w:iCs/>
      <w:sz w:val="24"/>
      <w:szCs w:val="24"/>
    </w:rPr>
  </w:style>
  <w:style w:type="paragraph" w:styleId="1520" w:customStyle="1">
    <w:name w:val="正文首行缩进2字符"/>
    <w:basedOn w:val="1140"/>
    <w:link w:val="1519"/>
    <w:qFormat/>
    <w:pPr>
      <w:ind w:firstLine="482"/>
      <w:spacing w:line="360" w:lineRule="auto"/>
    </w:pPr>
    <w:rPr>
      <w:iCs/>
      <w:sz w:val="24"/>
      <w:szCs w:val="24"/>
    </w:rPr>
  </w:style>
  <w:style w:type="character" w:styleId="1521" w:customStyle="1">
    <w:name w:val="列出段落 Char2"/>
    <w:link w:val="1453"/>
    <w:qFormat/>
    <w:rPr>
      <w:sz w:val="21"/>
      <w:szCs w:val="22"/>
    </w:rPr>
  </w:style>
  <w:style w:type="character" w:styleId="1522" w:customStyle="1">
    <w:name w:val="题注 字符"/>
    <w:link w:val="1160"/>
    <w:qFormat/>
    <w:rPr>
      <w:rFonts w:ascii="Arial Narrow" w:hAnsi="Arial Narrow" w:eastAsia="仿宋体"/>
      <w:sz w:val="18"/>
    </w:rPr>
  </w:style>
  <w:style w:type="character" w:styleId="1523" w:customStyle="1">
    <w:name w:val="hik 正文 Char"/>
    <w:link w:val="1524"/>
    <w:qFormat/>
    <w:rPr>
      <w:sz w:val="24"/>
      <w:szCs w:val="24"/>
    </w:rPr>
  </w:style>
  <w:style w:type="paragraph" w:styleId="1524" w:customStyle="1">
    <w:name w:val="hik 正文"/>
    <w:basedOn w:val="1140"/>
    <w:link w:val="1523"/>
    <w:qFormat/>
    <w:pPr>
      <w:ind w:firstLine="480"/>
      <w:spacing w:line="360" w:lineRule="auto"/>
    </w:pPr>
    <w:rPr>
      <w:sz w:val="24"/>
      <w:szCs w:val="24"/>
    </w:rPr>
  </w:style>
  <w:style w:type="character" w:styleId="1525" w:customStyle="1">
    <w:name w:val="列出段落 Char3"/>
    <w:qFormat/>
    <w:rPr>
      <w:rFonts w:ascii="Arial" w:hAnsi="Arial"/>
      <w:sz w:val="24"/>
    </w:rPr>
  </w:style>
  <w:style w:type="character" w:styleId="1526" w:customStyle="1">
    <w:name w:val="列出段落 Char4"/>
    <w:link w:val="1527"/>
    <w:qFormat/>
  </w:style>
  <w:style w:type="paragraph" w:styleId="1527" w:customStyle="1">
    <w:name w:val="列出段落4"/>
    <w:basedOn w:val="1140"/>
    <w:link w:val="1526"/>
    <w:qFormat/>
    <w:pPr>
      <w:ind w:firstLine="420"/>
      <w:spacing w:line="360" w:lineRule="auto"/>
    </w:pPr>
    <w:rPr>
      <w:sz w:val="20"/>
    </w:rPr>
  </w:style>
  <w:style w:type="character" w:styleId="1528" w:customStyle="1">
    <w:name w:val="题注 字符1"/>
    <w:qFormat/>
    <w:rPr>
      <w:rFonts w:ascii="宋体" w:hAnsi="宋体"/>
      <w:sz w:val="21"/>
      <w:szCs w:val="22"/>
    </w:rPr>
  </w:style>
  <w:style w:type="character" w:styleId="1529" w:customStyle="1">
    <w:name w:val="表格正文 Char"/>
    <w:link w:val="1530"/>
    <w:qFormat/>
    <w:rPr>
      <w:rFonts w:ascii="等线" w:hAnsi="等线" w:eastAsia="等线"/>
    </w:rPr>
  </w:style>
  <w:style w:type="paragraph" w:styleId="1530" w:customStyle="1">
    <w:name w:val="表格正文"/>
    <w:basedOn w:val="1140"/>
    <w:link w:val="1529"/>
    <w:qFormat/>
    <w:pPr>
      <w:ind w:firstLine="200"/>
      <w:jc w:val="left"/>
      <w:spacing w:line="360" w:lineRule="auto"/>
    </w:pPr>
    <w:rPr>
      <w:rFonts w:ascii="等线" w:hAnsi="等线" w:eastAsia="等线"/>
      <w:sz w:val="20"/>
    </w:rPr>
  </w:style>
  <w:style w:type="character" w:styleId="1531" w:customStyle="1">
    <w:name w:val="样式 首行缩进:  0 字符 Char"/>
    <w:link w:val="1447"/>
    <w:qFormat/>
    <w:rPr>
      <w:rFonts w:ascii="Arial" w:hAnsi="Arial" w:cs="宋体"/>
      <w:sz w:val="24"/>
    </w:rPr>
  </w:style>
  <w:style w:type="character" w:styleId="1532" w:customStyle="1">
    <w:name w:val="题注 Char2"/>
    <w:qFormat/>
    <w:rPr>
      <w:sz w:val="21"/>
    </w:rPr>
  </w:style>
  <w:style w:type="character" w:styleId="1533" w:customStyle="1">
    <w:name w:val="批注主题 Char"/>
    <w:qFormat/>
    <w:rPr>
      <w:b/>
      <w:bCs/>
      <w:sz w:val="24"/>
    </w:rPr>
  </w:style>
  <w:style w:type="character" w:styleId="1534" w:customStyle="1">
    <w:name w:val="普通(网站) 字符"/>
    <w:link w:val="1201"/>
    <w:uiPriority w:val="99"/>
    <w:qFormat/>
    <w:rPr>
      <w:rFonts w:ascii="宋体" w:hAnsi="宋体"/>
      <w:color w:val="000000"/>
      <w:sz w:val="24"/>
      <w:szCs w:val="24"/>
    </w:rPr>
  </w:style>
  <w:style w:type="character" w:styleId="1535" w:customStyle="1">
    <w:name w:val="3级标题 Char"/>
    <w:link w:val="1536"/>
    <w:qFormat/>
    <w:rPr>
      <w:rFonts w:ascii="黑体" w:hAnsi="黑体" w:eastAsia="黑体"/>
      <w:b/>
      <w:sz w:val="28"/>
      <w:szCs w:val="36"/>
      <w:lang w:val="zh-CN" w:eastAsia="en-US" w:bidi="en-US"/>
    </w:rPr>
  </w:style>
  <w:style w:type="paragraph" w:styleId="1536" w:customStyle="1">
    <w:name w:val="3级标题"/>
    <w:basedOn w:val="1537"/>
    <w:link w:val="1535"/>
    <w:qFormat/>
    <w:pPr>
      <w:contextualSpacing/>
      <w:ind w:firstLine="0"/>
      <w:jc w:val="left"/>
      <w:keepLines/>
      <w:spacing w:before="120" w:after="120"/>
      <w:tabs>
        <w:tab w:val="left" w:pos="312" w:leader="none"/>
      </w:tabs>
      <w:outlineLvl w:val="2"/>
    </w:pPr>
    <w:rPr>
      <w:rFonts w:ascii="黑体" w:hAnsi="黑体" w:eastAsia="黑体"/>
      <w:b/>
      <w:sz w:val="28"/>
      <w:szCs w:val="36"/>
      <w:lang w:val="zh-CN" w:eastAsia="en-US" w:bidi="en-US"/>
    </w:rPr>
  </w:style>
  <w:style w:type="paragraph" w:styleId="1537" w:customStyle="1">
    <w:name w:val="列表段落2"/>
    <w:basedOn w:val="1140"/>
    <w:uiPriority w:val="34"/>
    <w:qFormat/>
    <w:pPr>
      <w:ind w:firstLine="420"/>
      <w:spacing w:line="360" w:lineRule="auto"/>
    </w:pPr>
    <w:rPr>
      <w:rFonts w:ascii="Calibri" w:hAnsi="Calibri"/>
      <w:sz w:val="24"/>
      <w:szCs w:val="22"/>
    </w:rPr>
  </w:style>
  <w:style w:type="character" w:styleId="1538" w:customStyle="1">
    <w:name w:val="HTML 预设格式 字符1"/>
    <w:uiPriority w:val="99"/>
    <w:semiHidden/>
    <w:qFormat/>
    <w:rPr>
      <w:rFonts w:ascii="Courier New" w:hAnsi="Courier New" w:cs="Courier New"/>
      <w:sz w:val="20"/>
      <w:szCs w:val="20"/>
    </w:rPr>
  </w:style>
  <w:style w:type="character" w:styleId="1539" w:customStyle="1">
    <w:name w:val="无间隔 字符"/>
    <w:link w:val="1540"/>
    <w:uiPriority w:val="1"/>
    <w:qFormat/>
    <w:rPr>
      <w:rFonts w:ascii="等线" w:hAnsi="等线" w:eastAsia="等线"/>
      <w:sz w:val="22"/>
      <w:lang w:val="en-US" w:eastAsia="zh-CN" w:bidi="ar-SA"/>
    </w:rPr>
  </w:style>
  <w:style w:type="paragraph" w:styleId="1540" w:customStyle="1">
    <w:name w:val="无间隔2"/>
    <w:link w:val="1539"/>
    <w:uiPriority w:val="1"/>
    <w:qFormat/>
    <w:rPr>
      <w:rFonts w:ascii="等线" w:hAnsi="等线" w:eastAsia="等线"/>
      <w:sz w:val="22"/>
    </w:rPr>
  </w:style>
  <w:style w:type="character" w:styleId="1541" w:customStyle="1">
    <w:name w:val="无间隔 字符1"/>
    <w:uiPriority w:val="1"/>
    <w:qFormat/>
    <w:rPr>
      <w:rFonts w:ascii="宋体" w:hAnsi="宋体"/>
      <w:color w:val="000000"/>
      <w:sz w:val="24"/>
      <w:szCs w:val="24"/>
    </w:rPr>
  </w:style>
  <w:style w:type="character" w:styleId="1542" w:customStyle="1">
    <w:name w:val="未处理的提及1"/>
    <w:uiPriority w:val="99"/>
    <w:unhideWhenUsed/>
    <w:qFormat/>
    <w:rPr>
      <w:color w:val="605e5c"/>
      <w:shd w:val="clear" w:color="auto" w:fill="e1dfdd"/>
    </w:rPr>
  </w:style>
  <w:style w:type="character" w:styleId="1543" w:customStyle="1">
    <w:name w:val="列出段落 Char"/>
    <w:uiPriority w:val="34"/>
    <w:qFormat/>
    <w:rPr>
      <w:rFonts w:eastAsia="仿宋"/>
      <w:sz w:val="28"/>
    </w:rPr>
  </w:style>
  <w:style w:type="character" w:styleId="1544" w:customStyle="1">
    <w:name w:val="未处理的提及11"/>
    <w:uiPriority w:val="99"/>
    <w:unhideWhenUsed/>
    <w:qFormat/>
    <w:rPr>
      <w:color w:val="605e5c"/>
      <w:shd w:val="clear" w:color="auto" w:fill="e1dfdd"/>
    </w:rPr>
  </w:style>
  <w:style w:type="character" w:styleId="1545" w:customStyle="1">
    <w:name w:val="GP正文(首行缩进) Char"/>
    <w:link w:val="1443"/>
    <w:qFormat/>
    <w:rPr>
      <w:sz w:val="21"/>
      <w:szCs w:val="24"/>
    </w:rPr>
  </w:style>
  <w:style w:type="character" w:styleId="1546" w:customStyle="1">
    <w:name w:val="未处理的提及2"/>
    <w:uiPriority w:val="99"/>
    <w:unhideWhenUsed/>
    <w:qFormat/>
    <w:rPr>
      <w:color w:val="605e5c"/>
      <w:shd w:val="clear" w:color="auto" w:fill="e1dfdd"/>
    </w:rPr>
  </w:style>
  <w:style w:type="character" w:styleId="1547" w:customStyle="1">
    <w:name w:val="*正文 Char"/>
    <w:link w:val="1548"/>
    <w:qFormat/>
    <w:rPr>
      <w:rFonts w:ascii="宋体" w:hAnsi="宋体"/>
      <w:sz w:val="22"/>
      <w:szCs w:val="24"/>
    </w:rPr>
  </w:style>
  <w:style w:type="paragraph" w:styleId="1548" w:customStyle="1">
    <w:name w:val="*正文"/>
    <w:basedOn w:val="1140"/>
    <w:next w:val="1176"/>
    <w:link w:val="1547"/>
    <w:qFormat/>
    <w:pPr>
      <w:ind w:firstLine="200"/>
      <w:spacing w:line="360" w:lineRule="auto"/>
    </w:pPr>
    <w:rPr>
      <w:rFonts w:ascii="宋体" w:hAnsi="宋体"/>
      <w:sz w:val="22"/>
      <w:szCs w:val="24"/>
    </w:rPr>
  </w:style>
  <w:style w:type="character" w:styleId="1549" w:customStyle="1">
    <w:name w:val="列出段落 字符"/>
    <w:link w:val="1550"/>
    <w:uiPriority w:val="34"/>
    <w:qFormat/>
    <w:rPr>
      <w:sz w:val="24"/>
    </w:rPr>
  </w:style>
  <w:style w:type="paragraph" w:styleId="1550" w:customStyle="1">
    <w:name w:val="列表段落1"/>
    <w:basedOn w:val="1140"/>
    <w:link w:val="1549"/>
    <w:uiPriority w:val="34"/>
    <w:qFormat/>
    <w:pPr>
      <w:ind w:firstLine="420"/>
      <w:spacing w:line="360" w:lineRule="auto"/>
    </w:pPr>
    <w:rPr>
      <w:sz w:val="24"/>
    </w:rPr>
  </w:style>
  <w:style w:type="character" w:styleId="1551" w:customStyle="1">
    <w:name w:val="5级标题 Char"/>
    <w:link w:val="1552"/>
    <w:qFormat/>
    <w:rPr>
      <w:b/>
      <w:sz w:val="22"/>
      <w:lang w:val="zh-CN"/>
    </w:rPr>
  </w:style>
  <w:style w:type="paragraph" w:styleId="1552" w:customStyle="1">
    <w:name w:val="5级标题"/>
    <w:basedOn w:val="1537"/>
    <w:link w:val="1551"/>
    <w:qFormat/>
    <w:pPr>
      <w:tabs>
        <w:tab w:val="left" w:pos="312" w:leader="none"/>
      </w:tabs>
    </w:pPr>
    <w:rPr>
      <w:rFonts w:ascii="Times New Roman" w:hAnsi="Times New Roman"/>
      <w:b/>
      <w:sz w:val="22"/>
      <w:szCs w:val="20"/>
      <w:lang w:val="zh-CN"/>
    </w:rPr>
  </w:style>
  <w:style w:type="paragraph" w:styleId="1553" w:customStyle="1">
    <w:name w:val="无间隔1"/>
    <w:basedOn w:val="1140"/>
    <w:link w:val="1603"/>
    <w:uiPriority w:val="1"/>
    <w:qFormat/>
    <w:pPr>
      <w:ind w:firstLine="200"/>
      <w:jc w:val="left"/>
      <w:spacing w:line="360" w:lineRule="auto"/>
      <w:widowControl/>
    </w:pPr>
    <w:rPr>
      <w:rFonts w:ascii="Calibri" w:hAnsi="Calibri"/>
      <w:sz w:val="22"/>
      <w:szCs w:val="22"/>
    </w:rPr>
  </w:style>
  <w:style w:type="character" w:styleId="1554" w:customStyle="1">
    <w:name w:val="批注主题 字符"/>
    <w:basedOn w:val="1504"/>
    <w:link w:val="1204"/>
    <w:uiPriority w:val="99"/>
    <w:qFormat/>
    <w:rPr>
      <w:rFonts w:ascii="Calibri" w:hAnsi="Calibri" w:eastAsia="宋体" w:cs="Times New Roman"/>
      <w:b/>
      <w:bCs/>
      <w:sz w:val="21"/>
      <w:szCs w:val="22"/>
    </w:rPr>
  </w:style>
  <w:style w:type="character" w:styleId="1555" w:customStyle="1">
    <w:name w:val="HTML 预设格式 Char1"/>
    <w:basedOn w:val="1150"/>
    <w:uiPriority w:val="99"/>
    <w:semiHidden/>
    <w:qFormat/>
    <w:rPr>
      <w:rFonts w:ascii="Courier New" w:hAnsi="Courier New" w:eastAsia="等线" w:cs="Courier New"/>
      <w:sz w:val="20"/>
      <w:szCs w:val="20"/>
    </w:rPr>
  </w:style>
  <w:style w:type="paragraph" w:styleId="1556" w:customStyle="1">
    <w:name w:val="四级条标题"/>
    <w:basedOn w:val="1557"/>
    <w:next w:val="1140"/>
    <w:qFormat/>
    <w:pPr>
      <w:outlineLvl w:val="5"/>
    </w:pPr>
  </w:style>
  <w:style w:type="paragraph" w:styleId="1557" w:customStyle="1">
    <w:name w:val="三级条标题"/>
    <w:basedOn w:val="1558"/>
    <w:next w:val="1140"/>
    <w:qFormat/>
    <w:pPr>
      <w:outlineLvl w:val="4"/>
    </w:pPr>
  </w:style>
  <w:style w:type="paragraph" w:styleId="1558" w:customStyle="1">
    <w:name w:val="二级条标题"/>
    <w:basedOn w:val="1140"/>
    <w:next w:val="1140"/>
    <w:qFormat/>
    <w:pPr>
      <w:ind w:firstLine="200"/>
      <w:jc w:val="left"/>
      <w:spacing w:line="360" w:lineRule="auto"/>
      <w:widowControl/>
      <w:outlineLvl w:val="3"/>
    </w:pPr>
    <w:rPr>
      <w:rFonts w:eastAsia="黑体"/>
    </w:rPr>
  </w:style>
  <w:style w:type="paragraph" w:styleId="1559" w:customStyle="1">
    <w:name w:val="表格表头"/>
    <w:basedOn w:val="1140"/>
    <w:qFormat/>
    <w:pPr>
      <w:ind w:firstLine="200"/>
      <w:jc w:val="center"/>
      <w:spacing w:line="360" w:lineRule="auto"/>
      <w:outlineLvl w:val="0"/>
    </w:pPr>
    <w:rPr>
      <w:rFonts w:ascii="宋体" w:hAnsi="宋体" w:eastAsia="黑体" w:cs="宋体"/>
      <w:sz w:val="24"/>
      <w:szCs w:val="21"/>
    </w:rPr>
  </w:style>
  <w:style w:type="paragraph" w:styleId="1560" w:customStyle="1">
    <w:name w:val="列表段落11"/>
    <w:basedOn w:val="1140"/>
    <w:uiPriority w:val="34"/>
    <w:qFormat/>
    <w:pPr>
      <w:ind w:firstLine="420"/>
      <w:spacing w:line="360" w:lineRule="auto"/>
    </w:pPr>
    <w:rPr>
      <w:rFonts w:ascii="等线" w:hAnsi="等线" w:eastAsia="等线"/>
      <w:sz w:val="24"/>
      <w:szCs w:val="22"/>
    </w:rPr>
  </w:style>
  <w:style w:type="paragraph" w:styleId="1561" w:customStyle="1">
    <w:name w:val="4级标题"/>
    <w:basedOn w:val="1537"/>
    <w:qFormat/>
    <w:pPr>
      <w:contextualSpacing/>
      <w:ind w:firstLine="0"/>
      <w:jc w:val="left"/>
      <w:keepLines/>
      <w:tabs>
        <w:tab w:val="left" w:pos="312" w:leader="none"/>
      </w:tabs>
      <w:outlineLvl w:val="3"/>
    </w:pPr>
    <w:rPr>
      <w:rFonts w:ascii="黑体" w:hAnsi="黑体" w:eastAsia="黑体"/>
      <w:b/>
      <w:szCs w:val="24"/>
      <w:lang w:val="zh-CN" w:eastAsia="en-US" w:bidi="en-US"/>
    </w:rPr>
  </w:style>
  <w:style w:type="paragraph" w:styleId="1562" w:customStyle="1">
    <w:name w:val="标题8"/>
    <w:basedOn w:val="1148"/>
    <w:next w:val="1140"/>
    <w:qFormat/>
    <w:pPr>
      <w:ind w:left="432" w:hanging="432"/>
      <w:spacing w:line="360" w:lineRule="auto"/>
    </w:pPr>
    <w:rPr>
      <w:spacing w:val="0"/>
      <w:sz w:val="21"/>
      <w:szCs w:val="20"/>
    </w:rPr>
  </w:style>
  <w:style w:type="paragraph" w:styleId="1563" w:customStyle="1">
    <w:name w:val="示例"/>
    <w:next w:val="1140"/>
    <w:qFormat/>
    <w:pPr>
      <w:jc w:val="both"/>
      <w:widowControl w:val="off"/>
    </w:pPr>
    <w:rPr>
      <w:rFonts w:ascii="宋体"/>
      <w:sz w:val="18"/>
      <w:szCs w:val="18"/>
    </w:rPr>
  </w:style>
  <w:style w:type="paragraph" w:styleId="1564" w:customStyle="1">
    <w:name w:val="msonormal"/>
    <w:basedOn w:val="1140"/>
    <w:qFormat/>
    <w:pPr>
      <w:jc w:val="left"/>
      <w:spacing w:before="100" w:beforeAutospacing="1" w:after="100" w:afterAutospacing="1"/>
      <w:widowControl/>
    </w:pPr>
    <w:rPr>
      <w:rFonts w:ascii="宋体" w:hAnsi="宋体" w:cs="宋体"/>
      <w:sz w:val="24"/>
      <w:szCs w:val="24"/>
    </w:rPr>
  </w:style>
  <w:style w:type="paragraph" w:styleId="1565" w:customStyle="1">
    <w:name w:val="表格格式-yisa"/>
    <w:basedOn w:val="1140"/>
    <w:qFormat/>
    <w:rPr>
      <w:rFonts w:ascii="宋体" w:hAnsi="宋体" w:cs="黑体"/>
      <w:szCs w:val="21"/>
    </w:rPr>
  </w:style>
  <w:style w:type="paragraph" w:styleId="1566" w:customStyle="1">
    <w:name w:val="列出段落3"/>
    <w:basedOn w:val="1140"/>
    <w:qFormat/>
    <w:pPr>
      <w:ind w:firstLine="420"/>
      <w:spacing w:line="360" w:lineRule="auto"/>
    </w:pPr>
    <w:rPr>
      <w:rFonts w:ascii="Arial" w:hAnsi="Arial"/>
      <w:sz w:val="24"/>
    </w:rPr>
  </w:style>
  <w:style w:type="paragraph" w:styleId="1567" w:customStyle="1">
    <w:name w:val="五级条标题"/>
    <w:basedOn w:val="1556"/>
    <w:next w:val="1140"/>
    <w:qFormat/>
    <w:pPr>
      <w:outlineLvl w:val="6"/>
    </w:pPr>
  </w:style>
  <w:style w:type="paragraph" w:styleId="1568" w:customStyle="1">
    <w:name w:val="·ûºÅÁÐ±í"/>
    <w:basedOn w:val="1140"/>
    <w:next w:val="1464"/>
    <w:uiPriority w:val="34"/>
    <w:qFormat/>
    <w:pPr>
      <w:ind w:firstLine="420"/>
      <w:spacing w:line="360" w:lineRule="auto"/>
    </w:pPr>
    <w:rPr>
      <w:rFonts w:ascii="Calibri" w:hAnsi="Calibri"/>
      <w:sz w:val="24"/>
      <w:szCs w:val="22"/>
    </w:rPr>
  </w:style>
  <w:style w:type="paragraph" w:styleId="1569" w:customStyle="1">
    <w:name w:val="TOC 标题11"/>
    <w:basedOn w:val="1141"/>
    <w:next w:val="1140"/>
    <w:uiPriority w:val="39"/>
    <w:unhideWhenUsed/>
    <w:qFormat/>
    <w:pPr>
      <w:jc w:val="left"/>
      <w:spacing w:before="240" w:after="0" w:line="259" w:lineRule="auto"/>
      <w:widowControl/>
      <w:outlineLvl w:val="9"/>
    </w:pPr>
    <w:rPr>
      <w:rFonts w:ascii="等线 Light" w:hAnsi="等线 Light" w:eastAsia="等线 Light"/>
      <w:b w:val="0"/>
      <w:bCs w:val="0"/>
      <w:color w:val="2f5496"/>
      <w:sz w:val="32"/>
      <w:szCs w:val="32"/>
    </w:rPr>
  </w:style>
  <w:style w:type="paragraph" w:styleId="1570" w:customStyle="1">
    <w:name w:val="表1"/>
    <w:basedOn w:val="1140"/>
    <w:qFormat/>
    <w:pPr>
      <w:ind w:left="110" w:firstLine="200"/>
      <w:jc w:val="center"/>
      <w:spacing w:line="360" w:lineRule="auto"/>
    </w:pPr>
    <w:rPr>
      <w:rFonts w:ascii="Arial" w:hAnsi="Arial" w:cs="宋体"/>
    </w:rPr>
  </w:style>
  <w:style w:type="paragraph" w:styleId="1571" w:customStyle="1">
    <w:name w:val="TOC 标题2"/>
    <w:basedOn w:val="1141"/>
    <w:next w:val="1140"/>
    <w:uiPriority w:val="39"/>
    <w:unhideWhenUsed/>
    <w:qFormat/>
    <w:pPr>
      <w:jc w:val="left"/>
      <w:spacing w:before="240" w:after="0" w:line="259" w:lineRule="auto"/>
      <w:widowControl/>
      <w:outlineLvl w:val="9"/>
    </w:pPr>
    <w:rPr>
      <w:rFonts w:ascii="Calibri Light" w:hAnsi="Calibri Light"/>
      <w:b w:val="0"/>
      <w:bCs w:val="0"/>
      <w:color w:val="2e75b5"/>
      <w:sz w:val="32"/>
      <w:szCs w:val="32"/>
    </w:rPr>
  </w:style>
  <w:style w:type="paragraph" w:styleId="1572" w:customStyle="1">
    <w:name w:val="2级标题"/>
    <w:basedOn w:val="1537"/>
    <w:qFormat/>
    <w:pPr>
      <w:contextualSpacing/>
      <w:ind w:firstLine="0"/>
      <w:jc w:val="left"/>
      <w:keepLines/>
      <w:spacing w:before="240" w:after="120"/>
      <w:tabs>
        <w:tab w:val="left" w:pos="312" w:leader="none"/>
      </w:tabs>
      <w:outlineLvl w:val="1"/>
    </w:pPr>
    <w:rPr>
      <w:rFonts w:ascii="黑体" w:hAnsi="黑体" w:eastAsia="黑体"/>
      <w:b/>
      <w:sz w:val="32"/>
      <w:szCs w:val="36"/>
      <w:lang w:val="zh-CN" w:eastAsia="en-US" w:bidi="en-US"/>
    </w:rPr>
  </w:style>
  <w:style w:type="paragraph" w:styleId="1573" w:customStyle="1">
    <w:name w:val="1级标题"/>
    <w:basedOn w:val="1537"/>
    <w:qFormat/>
    <w:pPr>
      <w:contextualSpacing/>
      <w:ind w:firstLine="0"/>
      <w:jc w:val="center"/>
      <w:keepLines/>
      <w:pageBreakBefore/>
      <w:spacing w:before="120" w:after="120"/>
      <w:tabs>
        <w:tab w:val="left" w:pos="312" w:leader="none"/>
      </w:tabs>
      <w:outlineLvl w:val="0"/>
    </w:pPr>
    <w:rPr>
      <w:rFonts w:ascii="宋体" w:hAnsi="黑体"/>
      <w:b/>
      <w:sz w:val="36"/>
      <w:szCs w:val="36"/>
      <w:lang w:val="zh-CN" w:eastAsia="en-US" w:bidi="en-US"/>
    </w:rPr>
  </w:style>
  <w:style w:type="character" w:styleId="1574" w:customStyle="1">
    <w:name w:val="font01"/>
    <w:qFormat/>
    <w:rPr>
      <w:rFonts w:hint="eastAsia" w:ascii="宋体" w:hAnsi="宋体" w:eastAsia="宋体" w:cs="宋体"/>
      <w:color w:val="000000"/>
      <w:sz w:val="20"/>
      <w:szCs w:val="20"/>
      <w:u w:val="none"/>
    </w:rPr>
  </w:style>
  <w:style w:type="paragraph" w:styleId="1575" w:customStyle="1">
    <w:name w:val="普通正文"/>
    <w:basedOn w:val="1140"/>
    <w:qFormat/>
    <w:pPr>
      <w:ind w:firstLine="480"/>
      <w:jc w:val="left"/>
      <w:spacing w:before="120" w:after="120" w:line="360" w:lineRule="auto"/>
    </w:pPr>
    <w:rPr>
      <w:rFonts w:ascii="Arial" w:hAnsi="Arial"/>
      <w:sz w:val="24"/>
      <w:szCs w:val="24"/>
    </w:rPr>
  </w:style>
  <w:style w:type="character" w:styleId="1576" w:customStyle="1">
    <w:name w:val="正文文本首行缩进 2 字符"/>
    <w:basedOn w:val="1302"/>
    <w:link w:val="1206"/>
    <w:qFormat/>
    <w:rPr>
      <w:rFonts w:eastAsia="宋体"/>
      <w:sz w:val="21"/>
      <w:szCs w:val="24"/>
      <w:lang w:val="en-US" w:eastAsia="zh-CN" w:bidi="ar-SA"/>
    </w:rPr>
  </w:style>
  <w:style w:type="character" w:styleId="1577" w:customStyle="1">
    <w:name w:val="纯文本 Char1"/>
    <w:qFormat/>
    <w:rPr>
      <w:rFonts w:ascii="宋体" w:hAnsi="Courier New"/>
      <w:sz w:val="24"/>
      <w:szCs w:val="24"/>
    </w:rPr>
  </w:style>
  <w:style w:type="character" w:styleId="1578" w:customStyle="1">
    <w:name w:val="省厅标题3 Char"/>
    <w:link w:val="1579"/>
    <w:qFormat/>
    <w:rPr>
      <w:rFonts w:eastAsia="仿宋_GB2312"/>
      <w:sz w:val="32"/>
      <w:szCs w:val="32"/>
    </w:rPr>
  </w:style>
  <w:style w:type="paragraph" w:styleId="1579" w:customStyle="1">
    <w:name w:val="省厅标题3"/>
    <w:basedOn w:val="1140"/>
    <w:link w:val="1578"/>
    <w:qFormat/>
    <w:pPr>
      <w:ind w:firstLine="640"/>
      <w:spacing w:line="336" w:lineRule="auto"/>
      <w:outlineLvl w:val="2"/>
    </w:pPr>
    <w:rPr>
      <w:rFonts w:eastAsia="仿宋_GB2312"/>
      <w:sz w:val="32"/>
      <w:szCs w:val="32"/>
    </w:rPr>
  </w:style>
  <w:style w:type="character" w:styleId="1580" w:customStyle="1">
    <w:name w:val="正文四号 Char"/>
    <w:link w:val="1581"/>
    <w:qFormat/>
    <w:rPr>
      <w:rFonts w:ascii="Verdana" w:hAnsi="Verdana"/>
      <w:sz w:val="28"/>
    </w:rPr>
  </w:style>
  <w:style w:type="paragraph" w:styleId="1581" w:customStyle="1">
    <w:name w:val="正文四号"/>
    <w:basedOn w:val="1140"/>
    <w:link w:val="1580"/>
    <w:qFormat/>
    <w:pPr>
      <w:ind w:firstLine="200"/>
      <w:spacing w:line="360" w:lineRule="auto"/>
    </w:pPr>
    <w:rPr>
      <w:rFonts w:ascii="Verdana" w:hAnsi="Verdana"/>
      <w:sz w:val="28"/>
    </w:rPr>
  </w:style>
  <w:style w:type="character" w:styleId="1582" w:customStyle="1">
    <w:name w:val="Char Char5"/>
    <w:qFormat/>
    <w:rPr>
      <w:rFonts w:ascii="Times New Roman" w:hAnsi="Times New Roman" w:eastAsia="宋体" w:cs="Times New Roman"/>
      <w:b/>
      <w:bCs/>
      <w:sz w:val="44"/>
      <w:szCs w:val="44"/>
    </w:rPr>
  </w:style>
  <w:style w:type="character" w:styleId="1583" w:customStyle="1">
    <w:name w:val="省厅正文 Char"/>
    <w:link w:val="1584"/>
    <w:qFormat/>
    <w:rPr>
      <w:rFonts w:eastAsia="仿宋_GB2312"/>
      <w:sz w:val="32"/>
      <w:szCs w:val="32"/>
    </w:rPr>
  </w:style>
  <w:style w:type="paragraph" w:styleId="1584" w:customStyle="1">
    <w:name w:val="省厅正文"/>
    <w:basedOn w:val="1140"/>
    <w:link w:val="1583"/>
    <w:qFormat/>
    <w:pPr>
      <w:ind w:firstLine="640"/>
      <w:spacing w:line="336" w:lineRule="auto"/>
    </w:pPr>
    <w:rPr>
      <w:rFonts w:eastAsia="仿宋_GB2312"/>
      <w:sz w:val="32"/>
      <w:szCs w:val="32"/>
    </w:rPr>
  </w:style>
  <w:style w:type="character" w:styleId="1585" w:customStyle="1">
    <w:name w:val="不明显强调1"/>
    <w:uiPriority w:val="19"/>
    <w:qFormat/>
    <w:rPr>
      <w:i/>
      <w:iCs/>
      <w:color w:val="808080"/>
    </w:rPr>
  </w:style>
  <w:style w:type="character" w:styleId="1586" w:customStyle="1">
    <w:name w:val="bjh-p"/>
    <w:qFormat/>
  </w:style>
  <w:style w:type="character" w:styleId="1587" w:customStyle="1">
    <w:name w:val="正文（标记） Char"/>
    <w:link w:val="1588"/>
    <w:qFormat/>
    <w:rPr>
      <w:sz w:val="24"/>
      <w:szCs w:val="24"/>
    </w:rPr>
  </w:style>
  <w:style w:type="paragraph" w:styleId="1588" w:customStyle="1">
    <w:name w:val="正文（标记）"/>
    <w:basedOn w:val="1140"/>
    <w:link w:val="1587"/>
    <w:qFormat/>
    <w:pPr>
      <w:ind w:left="704" w:hanging="420"/>
      <w:tabs>
        <w:tab w:val="left" w:pos="704" w:leader="none"/>
      </w:tabs>
    </w:pPr>
    <w:rPr>
      <w:sz w:val="24"/>
      <w:szCs w:val="24"/>
    </w:rPr>
  </w:style>
  <w:style w:type="character" w:styleId="1589" w:customStyle="1">
    <w:name w:val="引用 Char"/>
    <w:link w:val="1590"/>
    <w:uiPriority w:val="29"/>
    <w:qFormat/>
    <w:rPr>
      <w:i/>
      <w:iCs/>
      <w:color w:val="000000"/>
      <w:sz w:val="21"/>
      <w:szCs w:val="24"/>
    </w:rPr>
  </w:style>
  <w:style w:type="paragraph" w:styleId="1590" w:customStyle="1">
    <w:name w:val="引用1"/>
    <w:basedOn w:val="1140"/>
    <w:next w:val="1140"/>
    <w:link w:val="1589"/>
    <w:uiPriority w:val="29"/>
    <w:qFormat/>
    <w:rPr>
      <w:i/>
      <w:iCs/>
      <w:color w:val="000000"/>
      <w:szCs w:val="24"/>
    </w:rPr>
  </w:style>
  <w:style w:type="character" w:styleId="1591" w:customStyle="1">
    <w:name w:val="*我是正文的格式 字符"/>
    <w:link w:val="1592"/>
    <w:qFormat/>
    <w:rPr>
      <w:rFonts w:ascii="Arial" w:hAnsi="Arial"/>
      <w:sz w:val="24"/>
    </w:rPr>
  </w:style>
  <w:style w:type="paragraph" w:styleId="1592" w:customStyle="1">
    <w:name w:val="*我是正文的格式"/>
    <w:basedOn w:val="1140"/>
    <w:next w:val="1161"/>
    <w:link w:val="1591"/>
    <w:qFormat/>
    <w:pPr>
      <w:ind w:firstLine="560"/>
      <w:spacing w:line="360" w:lineRule="auto"/>
    </w:pPr>
    <w:rPr>
      <w:rFonts w:ascii="Arial" w:hAnsi="Arial"/>
      <w:sz w:val="24"/>
    </w:rPr>
  </w:style>
  <w:style w:type="character" w:styleId="1593" w:customStyle="1">
    <w:name w:val="font51"/>
    <w:qFormat/>
    <w:rPr>
      <w:rFonts w:hint="eastAsia" w:ascii="宋体" w:hAnsi="宋体" w:eastAsia="宋体" w:cs="宋体"/>
      <w:color w:val="000000"/>
      <w:sz w:val="22"/>
      <w:szCs w:val="22"/>
      <w:u w:val="none"/>
    </w:rPr>
  </w:style>
  <w:style w:type="character" w:styleId="1594" w:customStyle="1">
    <w:name w:val="明显强调1"/>
    <w:uiPriority w:val="21"/>
    <w:qFormat/>
    <w:rPr>
      <w:b/>
      <w:bCs/>
      <w:i/>
      <w:iCs/>
      <w:color w:val="4f81bd"/>
    </w:rPr>
  </w:style>
  <w:style w:type="character" w:styleId="1595" w:customStyle="1">
    <w:name w:val="题注 Char1"/>
    <w:qFormat/>
    <w:rPr>
      <w:rFonts w:ascii="Arial Unicode MS" w:hAnsi="Arial Unicode MS" w:eastAsia="宋体" w:cs="宋体"/>
      <w:szCs w:val="20"/>
      <w:lang w:val="en-US" w:eastAsia="zh-CN"/>
    </w:rPr>
  </w:style>
  <w:style w:type="character" w:styleId="1596" w:customStyle="1">
    <w:name w:val="正文首行缩进 Char1"/>
    <w:uiPriority w:val="99"/>
    <w:semiHidden/>
    <w:qFormat/>
    <w:rPr>
      <w:rFonts w:ascii="Times New Roman" w:hAnsi="Times New Roman" w:eastAsia="宋体" w:cs="Times New Roman"/>
      <w:sz w:val="28"/>
      <w:szCs w:val="24"/>
      <w:lang w:val="en-US" w:eastAsia="zh-CN" w:bidi="ar-SA"/>
    </w:rPr>
  </w:style>
  <w:style w:type="character" w:styleId="1597" w:customStyle="1">
    <w:name w:val="标题 1 Char1"/>
    <w:uiPriority w:val="9"/>
    <w:qFormat/>
    <w:rPr>
      <w:b/>
      <w:bCs/>
      <w:sz w:val="44"/>
      <w:szCs w:val="44"/>
    </w:rPr>
  </w:style>
  <w:style w:type="character" w:styleId="1598" w:customStyle="1">
    <w:name w:val="正文（缩进） Char"/>
    <w:link w:val="1599"/>
    <w:qFormat/>
    <w:rPr>
      <w:sz w:val="24"/>
    </w:rPr>
  </w:style>
  <w:style w:type="paragraph" w:styleId="1599" w:customStyle="1">
    <w:name w:val="正文（缩进）"/>
    <w:basedOn w:val="1140"/>
    <w:link w:val="1598"/>
    <w:qFormat/>
    <w:pPr>
      <w:ind w:firstLine="480"/>
      <w:spacing w:line="360" w:lineRule="auto"/>
      <w:widowControl/>
    </w:pPr>
    <w:rPr>
      <w:sz w:val="24"/>
    </w:rPr>
  </w:style>
  <w:style w:type="character" w:styleId="1600" w:customStyle="1">
    <w:name w:val="font41"/>
    <w:qFormat/>
    <w:rPr>
      <w:rFonts w:hint="eastAsia" w:ascii="宋体" w:hAnsi="宋体" w:eastAsia="宋体" w:cs="宋体"/>
      <w:color w:val="000000"/>
      <w:sz w:val="20"/>
      <w:szCs w:val="20"/>
      <w:u w:val="none"/>
    </w:rPr>
  </w:style>
  <w:style w:type="character" w:styleId="1601" w:customStyle="1">
    <w:name w:val="H4 Char3"/>
    <w:qFormat/>
    <w:rPr>
      <w:rFonts w:ascii="Arial" w:hAnsi="Arial" w:eastAsia="黑体"/>
      <w:b/>
      <w:bCs/>
      <w:color w:val="0000ff"/>
      <w:sz w:val="28"/>
      <w:szCs w:val="28"/>
      <w:lang w:val="en-US" w:eastAsia="zh-CN" w:bidi="ar-SA"/>
    </w:rPr>
  </w:style>
  <w:style w:type="character" w:styleId="1602" w:customStyle="1">
    <w:name w:val="标题 2 Char1"/>
    <w:uiPriority w:val="9"/>
    <w:semiHidden/>
    <w:qFormat/>
    <w:rPr>
      <w:rFonts w:ascii="Cambria" w:hAnsi="Cambria" w:eastAsia="宋体" w:cs="Times New Roman"/>
      <w:b/>
      <w:bCs/>
      <w:sz w:val="32"/>
      <w:szCs w:val="32"/>
    </w:rPr>
  </w:style>
  <w:style w:type="character" w:styleId="1603" w:customStyle="1">
    <w:name w:val="无间隔字符"/>
    <w:link w:val="1553"/>
    <w:uiPriority w:val="1"/>
    <w:qFormat/>
    <w:rPr>
      <w:rFonts w:ascii="Calibri" w:hAnsi="Calibri"/>
      <w:sz w:val="22"/>
      <w:szCs w:val="22"/>
    </w:rPr>
  </w:style>
  <w:style w:type="character" w:styleId="1604" w:customStyle="1">
    <w:name w:val="段落 Char1"/>
    <w:link w:val="1605"/>
    <w:qFormat/>
    <w:rPr>
      <w:rFonts w:eastAsia="仿宋_GB2312"/>
      <w:sz w:val="24"/>
      <w:szCs w:val="24"/>
    </w:rPr>
  </w:style>
  <w:style w:type="paragraph" w:styleId="1605" w:customStyle="1">
    <w:name w:val="段落"/>
    <w:link w:val="1604"/>
    <w:qFormat/>
    <w:pPr>
      <w:ind w:firstLine="540"/>
      <w:jc w:val="both"/>
      <w:spacing w:after="160" w:line="360" w:lineRule="auto"/>
    </w:pPr>
    <w:rPr>
      <w:rFonts w:eastAsia="仿宋_GB2312"/>
      <w:sz w:val="24"/>
      <w:szCs w:val="24"/>
    </w:rPr>
  </w:style>
  <w:style w:type="character" w:styleId="1606" w:customStyle="1">
    <w:name w:val="一级缩进 Char"/>
    <w:link w:val="1607"/>
    <w:qFormat/>
    <w:rPr>
      <w:rFonts w:eastAsia="仿宋_GB2312"/>
      <w:sz w:val="24"/>
      <w:szCs w:val="24"/>
    </w:rPr>
  </w:style>
  <w:style w:type="paragraph" w:styleId="1607" w:customStyle="1">
    <w:name w:val="一级缩进"/>
    <w:link w:val="1606"/>
    <w:qFormat/>
    <w:pPr>
      <w:ind w:left="1290" w:hanging="1290"/>
      <w:jc w:val="both"/>
      <w:spacing w:before="120" w:after="120" w:line="360" w:lineRule="auto"/>
      <w:tabs>
        <w:tab w:val="left" w:pos="1290" w:leader="none"/>
      </w:tabs>
    </w:pPr>
    <w:rPr>
      <w:rFonts w:eastAsia="仿宋_GB2312"/>
      <w:sz w:val="24"/>
      <w:szCs w:val="24"/>
    </w:rPr>
  </w:style>
  <w:style w:type="character" w:styleId="1608" w:customStyle="1">
    <w:name w:val="正文 + 宋体 Char"/>
    <w:link w:val="1609"/>
    <w:qFormat/>
    <w:rPr>
      <w:rFonts w:ascii="宋体" w:hAnsi="宋体"/>
      <w:b/>
      <w:sz w:val="24"/>
    </w:rPr>
  </w:style>
  <w:style w:type="paragraph" w:styleId="1609" w:customStyle="1">
    <w:name w:val="正文 + 宋体"/>
    <w:basedOn w:val="1180"/>
    <w:link w:val="1608"/>
    <w:qFormat/>
    <w:pPr>
      <w:spacing w:line="480" w:lineRule="exact"/>
    </w:pPr>
    <w:rPr>
      <w:rFonts w:ascii="宋体" w:hAnsi="宋体"/>
      <w:b/>
      <w:sz w:val="24"/>
    </w:rPr>
  </w:style>
  <w:style w:type="character" w:styleId="1610" w:customStyle="1">
    <w:name w:val="省厅标题1 Char"/>
    <w:link w:val="1611"/>
    <w:qFormat/>
    <w:rPr>
      <w:rFonts w:eastAsia="黑体"/>
      <w:sz w:val="32"/>
      <w:szCs w:val="32"/>
    </w:rPr>
  </w:style>
  <w:style w:type="paragraph" w:styleId="1611" w:customStyle="1">
    <w:name w:val="省厅标题1"/>
    <w:basedOn w:val="1140"/>
    <w:link w:val="1610"/>
    <w:qFormat/>
    <w:pPr>
      <w:ind w:firstLine="640"/>
      <w:spacing w:line="336" w:lineRule="auto"/>
      <w:outlineLvl w:val="0"/>
    </w:pPr>
    <w:rPr>
      <w:rFonts w:eastAsia="黑体"/>
      <w:sz w:val="32"/>
      <w:szCs w:val="32"/>
    </w:rPr>
  </w:style>
  <w:style w:type="character" w:styleId="1612" w:customStyle="1">
    <w:name w:val="font11"/>
    <w:qFormat/>
    <w:rPr>
      <w:rFonts w:hint="eastAsia" w:ascii="宋体" w:hAnsi="宋体" w:eastAsia="宋体" w:cs="宋体"/>
      <w:color w:val="ff0000"/>
      <w:sz w:val="20"/>
      <w:szCs w:val="20"/>
      <w:u w:val="none"/>
    </w:rPr>
  </w:style>
  <w:style w:type="character" w:styleId="1613" w:customStyle="1">
    <w:name w:val="param_td12"/>
    <w:qFormat/>
  </w:style>
  <w:style w:type="character" w:styleId="1614" w:customStyle="1">
    <w:name w:val="书籍标题1"/>
    <w:uiPriority w:val="33"/>
    <w:qFormat/>
    <w:rPr>
      <w:b/>
      <w:bCs/>
      <w:smallCaps/>
      <w:spacing w:val="5"/>
    </w:rPr>
  </w:style>
  <w:style w:type="character" w:styleId="1615" w:customStyle="1">
    <w:name w:val="正文（编号） Char"/>
    <w:link w:val="1616"/>
    <w:qFormat/>
    <w:rPr>
      <w:rFonts w:ascii="Calibri" w:hAnsi="Calibri"/>
      <w:sz w:val="24"/>
      <w:szCs w:val="24"/>
    </w:rPr>
  </w:style>
  <w:style w:type="paragraph" w:styleId="1616" w:customStyle="1">
    <w:name w:val="正文（编号）"/>
    <w:basedOn w:val="1140"/>
    <w:link w:val="1615"/>
    <w:qFormat/>
    <w:pPr>
      <w:ind w:left="1243"/>
      <w:spacing w:before="50" w:after="50"/>
      <w:tabs>
        <w:tab w:val="left" w:pos="786" w:leader="none"/>
      </w:tabs>
    </w:pPr>
    <w:rPr>
      <w:rFonts w:ascii="Calibri" w:hAnsi="Calibri"/>
      <w:sz w:val="24"/>
      <w:szCs w:val="24"/>
    </w:rPr>
  </w:style>
  <w:style w:type="character" w:styleId="1617" w:customStyle="1">
    <w:name w:val="超链接1"/>
    <w:uiPriority w:val="99"/>
    <w:unhideWhenUsed/>
    <w:qFormat/>
    <w:rPr>
      <w:color w:val="0000ff"/>
      <w:u w:val="single"/>
    </w:rPr>
  </w:style>
  <w:style w:type="character" w:styleId="1618" w:customStyle="1">
    <w:name w:val="编号，小四 Char"/>
    <w:link w:val="1448"/>
    <w:qFormat/>
    <w:rPr>
      <w:rFonts w:ascii="Arial" w:hAnsi="Arial" w:cs="宋体"/>
      <w:sz w:val="21"/>
    </w:rPr>
  </w:style>
  <w:style w:type="character" w:styleId="1619" w:customStyle="1">
    <w:name w:val="标题 字符"/>
    <w:uiPriority w:val="10"/>
    <w:qFormat/>
    <w:rPr>
      <w:rFonts w:ascii="Cambria" w:hAnsi="Cambria" w:eastAsia="宋体" w:cs="Times New Roman"/>
      <w:b/>
      <w:bCs/>
      <w:sz w:val="32"/>
      <w:szCs w:val="32"/>
    </w:rPr>
  </w:style>
  <w:style w:type="character" w:styleId="1620" w:customStyle="1">
    <w:name w:val="apple-style-span"/>
    <w:uiPriority w:val="99"/>
    <w:qFormat/>
    <w:rPr>
      <w:rFonts w:ascii="Times New Roman" w:hAnsi="Times New Roman" w:eastAsia="宋体"/>
    </w:rPr>
  </w:style>
  <w:style w:type="character" w:styleId="1621" w:customStyle="1">
    <w:name w:val="表内容 Char"/>
    <w:link w:val="1622"/>
    <w:uiPriority w:val="99"/>
    <w:qFormat/>
    <w:rPr>
      <w:rFonts w:eastAsia="仿宋"/>
      <w:sz w:val="24"/>
    </w:rPr>
  </w:style>
  <w:style w:type="paragraph" w:styleId="1622" w:customStyle="1">
    <w:name w:val="表内容"/>
    <w:basedOn w:val="1140"/>
    <w:next w:val="1140"/>
    <w:link w:val="1621"/>
    <w:uiPriority w:val="99"/>
    <w:qFormat/>
    <w:pPr>
      <w:jc w:val="left"/>
      <w:widowControl/>
    </w:pPr>
    <w:rPr>
      <w:rFonts w:eastAsia="仿宋"/>
      <w:sz w:val="24"/>
    </w:rPr>
  </w:style>
  <w:style w:type="character" w:styleId="1623" w:customStyle="1">
    <w:name w:val="Char1 Char1"/>
    <w:link w:val="1624"/>
    <w:qFormat/>
    <w:rPr>
      <w:sz w:val="24"/>
      <w:szCs w:val="24"/>
      <w:lang w:eastAsia="en-US"/>
    </w:rPr>
  </w:style>
  <w:style w:type="paragraph" w:styleId="1624" w:customStyle="1">
    <w:name w:val="Char12"/>
    <w:basedOn w:val="1140"/>
    <w:link w:val="1623"/>
    <w:qFormat/>
    <w:pPr>
      <w:jc w:val="left"/>
      <w:spacing w:after="160" w:line="360" w:lineRule="auto"/>
      <w:widowControl/>
    </w:pPr>
    <w:rPr>
      <w:sz w:val="24"/>
      <w:szCs w:val="24"/>
      <w:lang w:eastAsia="en-US"/>
    </w:rPr>
  </w:style>
  <w:style w:type="character" w:styleId="1625" w:customStyle="1">
    <w:name w:val="font21"/>
    <w:qFormat/>
    <w:rPr>
      <w:rFonts w:hint="eastAsia" w:ascii="宋体" w:hAnsi="宋体" w:eastAsia="宋体" w:cs="宋体"/>
      <w:color w:val="ff0000"/>
      <w:sz w:val="20"/>
      <w:szCs w:val="20"/>
      <w:u w:val="none"/>
    </w:rPr>
  </w:style>
  <w:style w:type="character" w:styleId="1626" w:customStyle="1">
    <w:name w:val="段 Char"/>
    <w:link w:val="1461"/>
    <w:qFormat/>
    <w:rPr>
      <w:rFonts w:ascii="宋体"/>
      <w:sz w:val="21"/>
      <w:szCs w:val="22"/>
    </w:rPr>
  </w:style>
  <w:style w:type="paragraph" w:styleId="1627" w:customStyle="1">
    <w:name w:val="paragraphindent"/>
    <w:basedOn w:val="1140"/>
    <w:qFormat/>
    <w:pPr>
      <w:jc w:val="left"/>
      <w:spacing w:before="100" w:beforeAutospacing="1" w:after="100" w:afterAutospacing="1"/>
      <w:widowControl/>
    </w:pPr>
    <w:rPr>
      <w:rFonts w:ascii="宋体" w:hAnsi="宋体" w:eastAsia="微软雅黑" w:cs="宋体"/>
      <w:sz w:val="24"/>
      <w:szCs w:val="24"/>
    </w:rPr>
  </w:style>
  <w:style w:type="paragraph" w:styleId="1628" w:customStyle="1">
    <w:name w:val="Char Char Char1"/>
    <w:basedOn w:val="1140"/>
    <w:qFormat/>
    <w:rPr>
      <w:rFonts w:ascii="Tahoma" w:hAnsi="Tahoma" w:eastAsia="微软雅黑"/>
      <w:sz w:val="24"/>
    </w:rPr>
  </w:style>
  <w:style w:type="paragraph" w:styleId="1629" w:customStyle="1">
    <w:name w:val="a2"/>
    <w:basedOn w:val="1140"/>
    <w:uiPriority w:val="99"/>
    <w:qFormat/>
    <w:pPr>
      <w:jc w:val="left"/>
      <w:spacing w:before="100" w:beforeAutospacing="1" w:after="100" w:afterAutospacing="1"/>
      <w:widowControl/>
    </w:pPr>
    <w:rPr>
      <w:rFonts w:ascii="宋体" w:hAnsi="宋体" w:eastAsia="微软雅黑" w:cs="宋体"/>
      <w:sz w:val="24"/>
      <w:szCs w:val="24"/>
    </w:rPr>
  </w:style>
  <w:style w:type="paragraph" w:styleId="1630" w:customStyle="1">
    <w:name w:val="列出段落11"/>
    <w:basedOn w:val="1140"/>
    <w:uiPriority w:val="34"/>
    <w:qFormat/>
    <w:pPr>
      <w:ind w:firstLine="420"/>
    </w:pPr>
    <w:rPr>
      <w:rFonts w:ascii="Calibri" w:hAnsi="Calibri" w:eastAsia="微软雅黑"/>
      <w:szCs w:val="22"/>
    </w:rPr>
  </w:style>
  <w:style w:type="paragraph" w:styleId="1631" w:customStyle="1">
    <w:name w:val="一级条标题"/>
    <w:basedOn w:val="1632"/>
    <w:next w:val="1461"/>
    <w:qFormat/>
    <w:pPr>
      <w:ind w:left="315"/>
      <w:outlineLvl w:val="2"/>
    </w:pPr>
  </w:style>
  <w:style w:type="paragraph" w:styleId="1632" w:customStyle="1">
    <w:name w:val="章标题"/>
    <w:next w:val="1461"/>
    <w:qFormat/>
    <w:pPr>
      <w:jc w:val="both"/>
      <w:outlineLvl w:val="1"/>
    </w:pPr>
    <w:rPr>
      <w:rFonts w:ascii="黑体" w:eastAsia="黑体" w:cs="Calibri"/>
      <w:sz w:val="21"/>
    </w:rPr>
  </w:style>
  <w:style w:type="paragraph" w:styleId="1633" w:customStyle="1">
    <w:name w:val="Char2"/>
    <w:basedOn w:val="1153"/>
    <w:qFormat/>
    <w:pPr>
      <w:ind w:firstLine="480"/>
      <w:spacing w:before="100" w:beforeAutospacing="1" w:after="100" w:afterAutospacing="1" w:line="360" w:lineRule="auto"/>
    </w:pPr>
    <w:rPr>
      <w:rFonts w:ascii="Calibri" w:hAnsi="Calibri" w:eastAsia="微软雅黑"/>
      <w:sz w:val="24"/>
      <w:szCs w:val="24"/>
    </w:rPr>
  </w:style>
  <w:style w:type="paragraph" w:styleId="1634" w:customStyle="1">
    <w:name w:val="def正文"/>
    <w:basedOn w:val="1140"/>
    <w:qFormat/>
    <w:pPr>
      <w:jc w:val="center"/>
      <w:widowControl/>
    </w:pPr>
    <w:rPr>
      <w:rFonts w:ascii="Calibri" w:hAnsi="Calibri" w:eastAsia="微软雅黑"/>
      <w:b/>
      <w:szCs w:val="21"/>
    </w:rPr>
  </w:style>
  <w:style w:type="paragraph" w:styleId="1635" w:customStyle="1">
    <w:name w:val="Char Char Char Char Char1"/>
    <w:basedOn w:val="1140"/>
    <w:qFormat/>
    <w:rPr>
      <w:rFonts w:ascii="Calibri" w:hAnsi="Calibri" w:eastAsia="微软雅黑"/>
      <w:szCs w:val="24"/>
    </w:rPr>
  </w:style>
  <w:style w:type="paragraph" w:styleId="1636" w:customStyle="1">
    <w:name w:val="p15"/>
    <w:basedOn w:val="1140"/>
    <w:qFormat/>
    <w:pPr>
      <w:ind w:left="420"/>
      <w:spacing w:line="360" w:lineRule="auto"/>
      <w:widowControl/>
    </w:pPr>
    <w:rPr>
      <w:rFonts w:ascii="Arial" w:hAnsi="Arial" w:eastAsia="微软雅黑" w:cs="Arial"/>
      <w:sz w:val="24"/>
      <w:szCs w:val="24"/>
    </w:rPr>
  </w:style>
  <w:style w:type="paragraph" w:styleId="1637" w:customStyle="1">
    <w:name w:val="Char Char Char Char Char Char1"/>
    <w:basedOn w:val="1140"/>
    <w:qFormat/>
    <w:rPr>
      <w:rFonts w:ascii="Tahoma" w:hAnsi="Tahoma" w:eastAsia="微软雅黑"/>
      <w:sz w:val="24"/>
    </w:rPr>
  </w:style>
  <w:style w:type="paragraph" w:styleId="1638" w:customStyle="1">
    <w:name w:val="WPSOffice手动目录 3"/>
    <w:qFormat/>
    <w:pPr>
      <w:ind w:left="400"/>
    </w:pPr>
    <w:rPr>
      <w:sz w:val="21"/>
      <w:szCs w:val="22"/>
    </w:rPr>
  </w:style>
  <w:style w:type="paragraph" w:styleId="1639" w:customStyle="1">
    <w:name w:val="列表内容"/>
    <w:basedOn w:val="1140"/>
    <w:next w:val="1140"/>
    <w:uiPriority w:val="99"/>
    <w:qFormat/>
    <w:pPr>
      <w:numPr>
        <w:numId w:val="15"/>
      </w:numPr>
      <w:jc w:val="left"/>
      <w:widowControl/>
      <w:tabs>
        <w:tab w:val="left" w:pos="840" w:leader="none"/>
      </w:tabs>
    </w:pPr>
    <w:rPr>
      <w:rFonts w:ascii="Calibri" w:hAnsi="Calibri" w:eastAsia="微软雅黑"/>
      <w:sz w:val="18"/>
      <w:szCs w:val="24"/>
    </w:rPr>
  </w:style>
  <w:style w:type="paragraph" w:styleId="1640" w:customStyle="1">
    <w:name w:val="Item List"/>
    <w:qFormat/>
    <w:pPr>
      <w:numPr>
        <w:numId w:val="12"/>
      </w:numPr>
      <w:spacing w:before="80" w:after="80" w:line="240" w:lineRule="atLeast"/>
      <w:tabs>
        <w:tab w:val="left" w:pos="709" w:leader="none"/>
      </w:tabs>
    </w:pPr>
    <w:rPr>
      <w:sz w:val="21"/>
      <w:szCs w:val="21"/>
    </w:rPr>
  </w:style>
  <w:style w:type="paragraph" w:styleId="1641" w:customStyle="1">
    <w:name w:val="纯文本3"/>
    <w:basedOn w:val="1140"/>
    <w:qFormat/>
    <w:rPr>
      <w:rFonts w:ascii="宋体" w:hAnsi="Calibri" w:eastAsia="微软雅黑"/>
      <w:sz w:val="28"/>
    </w:rPr>
  </w:style>
  <w:style w:type="paragraph" w:styleId="1642" w:customStyle="1">
    <w:name w:val="Char3 Char Char Char"/>
    <w:basedOn w:val="1140"/>
    <w:qFormat/>
    <w:pPr>
      <w:jc w:val="left"/>
      <w:spacing w:after="160" w:line="240" w:lineRule="exact"/>
      <w:widowControl/>
    </w:pPr>
    <w:rPr>
      <w:rFonts w:ascii="Verdana" w:hAnsi="Verdana" w:eastAsia="微软雅黑"/>
      <w:sz w:val="20"/>
      <w:lang w:eastAsia="en-US"/>
    </w:rPr>
  </w:style>
  <w:style w:type="paragraph" w:styleId="1643" w:customStyle="1">
    <w:name w:val="编号1"/>
    <w:basedOn w:val="1140"/>
    <w:qFormat/>
    <w:pPr>
      <w:spacing w:line="360" w:lineRule="auto"/>
    </w:pPr>
    <w:rPr>
      <w:rFonts w:ascii="Calibri" w:hAnsi="Calibri" w:eastAsia="微软雅黑"/>
      <w:sz w:val="24"/>
      <w:szCs w:val="24"/>
    </w:rPr>
  </w:style>
  <w:style w:type="paragraph" w:styleId="1644" w:customStyle="1">
    <w:name w:val="篇名"/>
    <w:next w:val="1141"/>
    <w:qFormat/>
    <w:pPr>
      <w:jc w:val="center"/>
      <w:pageBreakBefore/>
      <w:spacing w:before="480" w:after="480"/>
    </w:pPr>
    <w:rPr>
      <w:rFonts w:eastAsia="黑体" w:cs="Calibri"/>
      <w:b/>
      <w:sz w:val="44"/>
      <w:szCs w:val="24"/>
    </w:rPr>
  </w:style>
  <w:style w:type="paragraph" w:styleId="1645" w:customStyle="1">
    <w:name w:val="Char Char1 Char Char Char Char Char Char Char Char Char Char Char Char Char Char Char Char Char1 Char"/>
    <w:basedOn w:val="1140"/>
    <w:qFormat/>
    <w:pPr>
      <w:jc w:val="left"/>
      <w:spacing w:after="160" w:line="240" w:lineRule="exact"/>
      <w:widowControl/>
    </w:pPr>
    <w:rPr>
      <w:rFonts w:ascii="Verdana" w:hAnsi="Verdana" w:eastAsia="微软雅黑"/>
      <w:sz w:val="20"/>
      <w:lang w:eastAsia="en-US"/>
    </w:rPr>
  </w:style>
  <w:style w:type="paragraph" w:styleId="1646" w:customStyle="1">
    <w:name w:val="正文(首行缩进)"/>
    <w:basedOn w:val="1140"/>
    <w:qFormat/>
    <w:pPr>
      <w:ind w:firstLine="200"/>
      <w:spacing w:line="360" w:lineRule="auto"/>
    </w:pPr>
    <w:rPr>
      <w:rFonts w:ascii="Arial Narrow" w:hAnsi="Arial Narrow" w:eastAsia="微软雅黑"/>
      <w:sz w:val="24"/>
      <w:szCs w:val="24"/>
    </w:rPr>
  </w:style>
  <w:style w:type="paragraph" w:styleId="1647" w:customStyle="1">
    <w:name w:val="Char Char1 Char"/>
    <w:basedOn w:val="1142"/>
    <w:next w:val="1142"/>
    <w:qFormat/>
    <w:pPr>
      <w:ind w:firstLine="0"/>
      <w:spacing w:before="260" w:after="260" w:line="416" w:lineRule="auto"/>
    </w:pPr>
    <w:rPr>
      <w:rFonts w:ascii="宋体" w:hAnsi="宋体" w:eastAsia="宋体"/>
      <w:b/>
      <w:sz w:val="24"/>
      <w:szCs w:val="24"/>
    </w:rPr>
  </w:style>
  <w:style w:type="paragraph" w:styleId="1648" w:customStyle="1">
    <w:name w:val="附录图标题"/>
    <w:next w:val="1140"/>
    <w:qFormat/>
    <w:pPr>
      <w:jc w:val="center"/>
    </w:pPr>
    <w:rPr>
      <w:rFonts w:ascii="黑体" w:eastAsia="黑体" w:cs="Calibri"/>
      <w:sz w:val="21"/>
    </w:rPr>
  </w:style>
  <w:style w:type="paragraph" w:styleId="1649" w:customStyle="1">
    <w:name w:val="正文 B"/>
    <w:qFormat/>
    <w:rPr>
      <w:rFonts w:ascii="Arial Unicode MS" w:hAnsi="Arial Unicode MS" w:eastAsia="Helvetica" w:cs="Arial Unicode MS"/>
      <w:color w:val="000000"/>
      <w:sz w:val="22"/>
      <w:szCs w:val="22"/>
      <w:lang w:val="ja-JP" w:eastAsia="ja-JP"/>
    </w:rPr>
  </w:style>
  <w:style w:type="paragraph" w:styleId="1650" w:customStyle="1">
    <w:name w:val="文档正文"/>
    <w:basedOn w:val="1140"/>
    <w:qFormat/>
    <w:pPr>
      <w:ind w:firstLine="567"/>
      <w:spacing w:line="312" w:lineRule="atLeast"/>
    </w:pPr>
    <w:rPr>
      <w:rFonts w:ascii="长城仿宋" w:hAnsi="Calibri" w:eastAsia="长城仿宋"/>
      <w:sz w:val="28"/>
    </w:rPr>
  </w:style>
  <w:style w:type="paragraph" w:styleId="1651" w:customStyle="1">
    <w:name w:val="WPSOffice手动目录 1"/>
    <w:qFormat/>
    <w:rPr>
      <w:sz w:val="21"/>
      <w:szCs w:val="22"/>
    </w:rPr>
  </w:style>
  <w:style w:type="paragraph" w:styleId="1652" w:customStyle="1">
    <w:name w:val="慧尔视正文"/>
    <w:basedOn w:val="1140"/>
    <w:qFormat/>
    <w:pPr>
      <w:ind w:firstLine="480"/>
    </w:pPr>
    <w:rPr>
      <w:rFonts w:ascii="宋体" w:hAnsi="Calibri" w:eastAsia="微软雅黑"/>
      <w:szCs w:val="24"/>
    </w:rPr>
  </w:style>
  <w:style w:type="paragraph" w:styleId="1653" w:customStyle="1">
    <w:name w:val="样式 EHL二级项目 + 段前: 0.5 行 段后: 0.5 行"/>
    <w:basedOn w:val="1140"/>
    <w:qFormat/>
    <w:pPr>
      <w:numPr>
        <w:numId w:val="16"/>
      </w:numPr>
      <w:spacing w:line="360" w:lineRule="auto"/>
      <w:tabs>
        <w:tab w:val="left" w:pos="1446" w:leader="none"/>
      </w:tabs>
    </w:pPr>
    <w:rPr>
      <w:rFonts w:ascii="Calibri" w:hAnsi="Calibri" w:eastAsia="微软雅黑" w:cs="宋体"/>
      <w:b/>
      <w:sz w:val="24"/>
      <w:szCs w:val="24"/>
    </w:rPr>
  </w:style>
  <w:style w:type="paragraph" w:styleId="1654" w:customStyle="1">
    <w:name w:val="xl113"/>
    <w:basedOn w:val="114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微软雅黑" w:cs="宋体"/>
      <w:b/>
      <w:bCs/>
      <w:sz w:val="28"/>
      <w:szCs w:val="28"/>
    </w:rPr>
  </w:style>
  <w:style w:type="paragraph" w:styleId="1655" w:customStyle="1">
    <w:name w:val="List Paragraph2"/>
    <w:basedOn w:val="1140"/>
    <w:qFormat/>
    <w:pPr>
      <w:ind w:firstLine="420"/>
    </w:pPr>
    <w:rPr>
      <w:rFonts w:ascii="Calibri" w:hAnsi="Calibri" w:eastAsia="微软雅黑"/>
      <w:szCs w:val="24"/>
    </w:rPr>
  </w:style>
  <w:style w:type="paragraph" w:styleId="1656" w:customStyle="1">
    <w:name w:val="WPSOffice手动目录 2"/>
    <w:qFormat/>
    <w:pPr>
      <w:ind w:left="200"/>
    </w:pPr>
    <w:rPr>
      <w:sz w:val="21"/>
      <w:szCs w:val="22"/>
    </w:rPr>
  </w:style>
  <w:style w:type="paragraph" w:styleId="1657" w:customStyle="1">
    <w:name w:val="bg"/>
    <w:basedOn w:val="1140"/>
    <w:qFormat/>
    <w:pPr>
      <w:jc w:val="center"/>
    </w:pPr>
    <w:rPr>
      <w:rFonts w:ascii="Calibri" w:hAnsi="Calibri" w:eastAsia="楷体_GB2312"/>
      <w:sz w:val="24"/>
    </w:rPr>
  </w:style>
  <w:style w:type="paragraph" w:styleId="1658" w:customStyle="1">
    <w:name w:val="前言、引言标题"/>
    <w:next w:val="1140"/>
    <w:qFormat/>
    <w:pPr>
      <w:jc w:val="center"/>
      <w:spacing w:before="640" w:after="560"/>
      <w:shd w:val="clear" w:color="ffffff" w:fill="ffffff"/>
      <w:outlineLvl w:val="0"/>
    </w:pPr>
    <w:rPr>
      <w:rFonts w:ascii="黑体" w:eastAsia="黑体" w:cs="Calibri"/>
      <w:sz w:val="32"/>
    </w:rPr>
  </w:style>
  <w:style w:type="paragraph" w:styleId="1659" w:customStyle="1">
    <w:name w:val="样式 正文缩进表正文正文非缩进特点ALT+Z段1四号水上软件缩进正文编号正文对齐正文不缩进特点 Char...1"/>
    <w:basedOn w:val="1153"/>
    <w:qFormat/>
    <w:pPr>
      <w:ind w:left="1446" w:firstLine="200"/>
      <w:spacing w:before="156" w:after="156" w:line="360" w:lineRule="auto"/>
    </w:pPr>
    <w:rPr>
      <w:rFonts w:ascii="Calibri" w:hAnsi="Calibri" w:eastAsia="微软雅黑" w:cs="宋体"/>
      <w:sz w:val="24"/>
    </w:rPr>
  </w:style>
  <w:style w:type="paragraph" w:styleId="1660" w:customStyle="1">
    <w:name w:val="msolistparagraph"/>
    <w:basedOn w:val="1140"/>
    <w:qFormat/>
    <w:pPr>
      <w:ind w:firstLine="420"/>
    </w:pPr>
    <w:rPr>
      <w:rFonts w:ascii="Calibri" w:hAnsi="Calibri" w:eastAsia="微软雅黑"/>
      <w:szCs w:val="24"/>
    </w:rPr>
  </w:style>
  <w:style w:type="paragraph" w:styleId="1661" w:customStyle="1">
    <w:name w:val="正文格式（小四）"/>
    <w:basedOn w:val="1140"/>
    <w:qFormat/>
    <w:pPr>
      <w:ind w:firstLine="391"/>
      <w:spacing w:line="360" w:lineRule="auto"/>
      <w:widowControl/>
    </w:pPr>
    <w:rPr>
      <w:rFonts w:hint="eastAsia" w:ascii="Calibri" w:hAnsi="Calibri" w:eastAsia="微软雅黑"/>
      <w:sz w:val="24"/>
      <w:szCs w:val="24"/>
    </w:rPr>
  </w:style>
  <w:style w:type="paragraph" w:styleId="1662" w:customStyle="1">
    <w:name w:val="p0"/>
    <w:basedOn w:val="1140"/>
    <w:qFormat/>
    <w:pPr>
      <w:jc w:val="left"/>
      <w:spacing w:line="360" w:lineRule="auto"/>
      <w:widowControl/>
    </w:pPr>
    <w:rPr>
      <w:rFonts w:ascii="Calibri" w:hAnsi="Calibri" w:eastAsia="微软雅黑"/>
      <w:sz w:val="24"/>
      <w:szCs w:val="24"/>
    </w:rPr>
  </w:style>
  <w:style w:type="paragraph" w:styleId="1663" w:customStyle="1">
    <w:name w:val="标准样式"/>
    <w:basedOn w:val="1140"/>
    <w:qFormat/>
    <w:pPr>
      <w:ind w:firstLine="200"/>
    </w:pPr>
    <w:rPr>
      <w:rFonts w:ascii="Tahoma" w:hAnsi="Tahoma" w:eastAsia="微软雅黑"/>
      <w:sz w:val="24"/>
    </w:rPr>
  </w:style>
  <w:style w:type="paragraph" w:styleId="1664" w:customStyle="1">
    <w:name w:val="样式 样式 EHL编号 + 段前: 0.5 行 段后: 0.5 行 + 段前: 0.5 行 段后: 0.5 行"/>
    <w:basedOn w:val="1140"/>
    <w:qFormat/>
    <w:pPr>
      <w:numPr>
        <w:numId w:val="17"/>
      </w:numPr>
      <w:spacing w:line="360" w:lineRule="auto"/>
      <w:tabs>
        <w:tab w:val="left" w:pos="964" w:leader="none"/>
      </w:tabs>
    </w:pPr>
    <w:rPr>
      <w:rFonts w:ascii="Calibri" w:hAnsi="Calibri" w:eastAsia="微软雅黑" w:cs="宋体"/>
      <w:b/>
      <w:bCs/>
      <w:sz w:val="24"/>
    </w:rPr>
  </w:style>
  <w:style w:type="paragraph" w:styleId="1665" w:customStyle="1">
    <w:name w:val="正文首缩两字"/>
    <w:basedOn w:val="1140"/>
    <w:uiPriority w:val="99"/>
    <w:qFormat/>
    <w:pPr>
      <w:ind w:firstLine="200"/>
      <w:spacing w:line="360" w:lineRule="auto"/>
    </w:pPr>
    <w:rPr>
      <w:rFonts w:ascii="Calibri" w:hAnsi="Calibri" w:eastAsia="微软雅黑"/>
      <w:sz w:val="24"/>
      <w:szCs w:val="24"/>
    </w:rPr>
  </w:style>
  <w:style w:type="paragraph" w:styleId="1666" w:customStyle="1">
    <w:name w:val="首信标准正文"/>
    <w:basedOn w:val="1140"/>
    <w:qFormat/>
    <w:pPr>
      <w:ind w:left="540"/>
      <w:jc w:val="left"/>
      <w:spacing w:after="200" w:line="360" w:lineRule="auto"/>
      <w:widowControl/>
    </w:pPr>
    <w:rPr>
      <w:rFonts w:ascii="仿宋_GB2312" w:hAnsi="Tahoma" w:eastAsia="仿宋_GB2312"/>
      <w:sz w:val="24"/>
    </w:rPr>
  </w:style>
  <w:style w:type="paragraph" w:styleId="1667" w:customStyle="1">
    <w:name w:val="sss"/>
    <w:basedOn w:val="1140"/>
    <w:qFormat/>
    <w:pPr>
      <w:spacing w:line="240" w:lineRule="exact"/>
    </w:pPr>
    <w:rPr>
      <w:rFonts w:ascii="宋体" w:hAnsi="宋体" w:eastAsia="微软雅黑"/>
    </w:rPr>
  </w:style>
  <w:style w:type="paragraph" w:styleId="1668" w:customStyle="1">
    <w:name w:val="附录表标题"/>
    <w:next w:val="1140"/>
    <w:qFormat/>
    <w:pPr>
      <w:jc w:val="center"/>
    </w:pPr>
    <w:rPr>
      <w:rFonts w:ascii="黑体" w:eastAsia="黑体" w:cs="Calibri"/>
      <w:sz w:val="21"/>
    </w:rPr>
  </w:style>
  <w:style w:type="paragraph" w:styleId="1669" w:customStyle="1">
    <w:name w:val="Char Char Char Char Char Char Char Char Char Char Char Char Char Char Char Char"/>
    <w:basedOn w:val="1140"/>
    <w:qFormat/>
    <w:pPr>
      <w:tabs>
        <w:tab w:val="left" w:pos="360" w:leader="none"/>
      </w:tabs>
    </w:pPr>
    <w:rPr>
      <w:rFonts w:ascii="Calibri" w:hAnsi="Calibri" w:eastAsia="微软雅黑"/>
      <w:sz w:val="24"/>
      <w:szCs w:val="24"/>
    </w:rPr>
  </w:style>
  <w:style w:type="paragraph" w:styleId="1670" w:customStyle="1">
    <w:name w:val="L11"/>
    <w:basedOn w:val="1140"/>
    <w:next w:val="1140"/>
    <w:qFormat/>
    <w:pPr>
      <w:ind w:left="431" w:hanging="431"/>
      <w:keepLines/>
      <w:keepNext/>
      <w:spacing w:before="240" w:after="240" w:line="300" w:lineRule="auto"/>
      <w:outlineLvl w:val="0"/>
    </w:pPr>
    <w:rPr>
      <w:rFonts w:ascii="宋体" w:hAnsi="宋体" w:eastAsia="微软雅黑"/>
      <w:b/>
      <w:bCs/>
      <w:sz w:val="24"/>
      <w:szCs w:val="24"/>
    </w:rPr>
  </w:style>
  <w:style w:type="paragraph" w:styleId="1671" w:customStyle="1">
    <w:name w:val="点序列"/>
    <w:basedOn w:val="1140"/>
    <w:qFormat/>
    <w:pPr>
      <w:ind w:left="1412" w:hanging="420"/>
      <w:jc w:val="left"/>
      <w:spacing w:line="400" w:lineRule="atLeast"/>
      <w:widowControl/>
      <w:tabs>
        <w:tab w:val="left" w:pos="1412" w:leader="none"/>
      </w:tabs>
    </w:pPr>
    <w:rPr>
      <w:rFonts w:hint="eastAsia" w:ascii="Calibri" w:hAnsi="Calibri" w:eastAsia="微软雅黑"/>
      <w:sz w:val="24"/>
    </w:rPr>
  </w:style>
  <w:style w:type="paragraph" w:styleId="1672" w:customStyle="1">
    <w:name w:val="正文文字 + 首行缩进:  2 字符"/>
    <w:basedOn w:val="1140"/>
    <w:qFormat/>
    <w:pPr>
      <w:ind w:firstLine="480"/>
      <w:spacing w:line="360" w:lineRule="auto"/>
    </w:pPr>
    <w:rPr>
      <w:rFonts w:ascii="Calibri" w:hAnsi="Calibri" w:eastAsia="微软雅黑" w:cs="宋体"/>
      <w:sz w:val="24"/>
    </w:rPr>
  </w:style>
  <w:style w:type="paragraph" w:styleId="1673" w:customStyle="1">
    <w:name w:val="Char Char Char Char Char Char Char Char Char Char Char Char Char1"/>
    <w:basedOn w:val="1163"/>
    <w:qFormat/>
    <w:rPr>
      <w:rFonts w:ascii="Tahoma" w:hAnsi="Tahoma" w:eastAsia="微软雅黑"/>
      <w:sz w:val="24"/>
    </w:rPr>
  </w:style>
  <w:style w:type="paragraph" w:styleId="1674" w:customStyle="1">
    <w:name w:val="Char Char Char Char Char Char Char Char Char Char Char Char Char Char Char Char Char Char Char"/>
    <w:basedOn w:val="1140"/>
    <w:qFormat/>
    <w:pPr>
      <w:tabs>
        <w:tab w:val="left" w:pos="360" w:leader="none"/>
      </w:tabs>
    </w:pPr>
    <w:rPr>
      <w:rFonts w:ascii="Calibri" w:hAnsi="Calibri" w:eastAsia="微软雅黑"/>
      <w:sz w:val="24"/>
      <w:szCs w:val="24"/>
    </w:rPr>
  </w:style>
  <w:style w:type="paragraph" w:styleId="1675" w:customStyle="1">
    <w:name w:val="A1"/>
    <w:basedOn w:val="1140"/>
    <w:next w:val="1140"/>
    <w:qFormat/>
    <w:pPr>
      <w:ind w:left="860" w:hanging="576"/>
      <w:jc w:val="left"/>
      <w:keepLines/>
      <w:keepNext/>
      <w:spacing w:line="300" w:lineRule="auto"/>
      <w:outlineLvl w:val="1"/>
    </w:pPr>
    <w:rPr>
      <w:rFonts w:ascii="宋体" w:hAnsi="宋体" w:eastAsia="微软雅黑"/>
      <w:b/>
      <w:bCs/>
      <w:sz w:val="24"/>
      <w:szCs w:val="24"/>
    </w:rPr>
  </w:style>
  <w:style w:type="paragraph" w:styleId="1676" w:customStyle="1">
    <w:name w:val="Char Char Char Char Char Char Char Char Char Char1"/>
    <w:basedOn w:val="1140"/>
    <w:qFormat/>
    <w:pPr>
      <w:spacing w:line="360" w:lineRule="auto"/>
    </w:pPr>
    <w:rPr>
      <w:rFonts w:ascii="Calibri" w:hAnsi="Calibri" w:eastAsia="微软雅黑"/>
      <w:sz w:val="24"/>
    </w:rPr>
  </w:style>
  <w:style w:type="character" w:styleId="1677" w:customStyle="1">
    <w:name w:val="font61"/>
    <w:qFormat/>
    <w:rPr>
      <w:rFonts w:hint="eastAsia" w:ascii="仿宋" w:hAnsi="仿宋" w:eastAsia="仿宋" w:cs="仿宋"/>
      <w:color w:val="000000"/>
      <w:sz w:val="18"/>
      <w:szCs w:val="18"/>
      <w:u w:val="none"/>
    </w:rPr>
  </w:style>
  <w:style w:type="character" w:styleId="1678" w:customStyle="1">
    <w:name w:val="font151"/>
    <w:qFormat/>
    <w:rPr>
      <w:rFonts w:hint="eastAsia" w:ascii="仿宋" w:hAnsi="仿宋" w:eastAsia="仿宋" w:cs="仿宋"/>
      <w:color w:val="000000"/>
      <w:sz w:val="20"/>
      <w:szCs w:val="20"/>
      <w:u w:val="none"/>
    </w:rPr>
  </w:style>
  <w:style w:type="character" w:styleId="1679" w:customStyle="1">
    <w:name w:val="font201"/>
    <w:qFormat/>
    <w:rPr>
      <w:rFonts w:hint="eastAsia" w:ascii="仿宋" w:hAnsi="仿宋" w:eastAsia="仿宋" w:cs="仿宋"/>
      <w:color w:val="000000"/>
      <w:sz w:val="21"/>
      <w:szCs w:val="21"/>
      <w:u w:val="none"/>
    </w:rPr>
  </w:style>
  <w:style w:type="paragraph" w:styleId="1680" w:customStyle="1">
    <w:name w:val="Body text|1"/>
    <w:basedOn w:val="1140"/>
    <w:qFormat/>
    <w:pPr>
      <w:ind w:firstLine="400"/>
      <w:jc w:val="left"/>
      <w:spacing w:line="422" w:lineRule="auto"/>
    </w:pPr>
    <w:rPr>
      <w:rFonts w:ascii="宋体" w:hAnsi="宋体" w:cs="宋体"/>
      <w:sz w:val="28"/>
      <w:szCs w:val="28"/>
      <w:lang w:val="zh-TW" w:eastAsia="zh-TW" w:bidi="zh-TW"/>
    </w:rPr>
  </w:style>
  <w:style w:type="character" w:styleId="1681" w:customStyle="1">
    <w:name w:val="页脚 Char"/>
    <w:uiPriority w:val="99"/>
    <w:qFormat/>
    <w:rPr>
      <w:sz w:val="18"/>
      <w:szCs w:val="18"/>
    </w:rPr>
  </w:style>
  <w:style w:type="character" w:styleId="1682" w:customStyle="1">
    <w:name w:val="副标题 Char"/>
    <w:qFormat/>
    <w:rPr>
      <w:rFonts w:ascii="Cambria" w:hAnsi="Cambria" w:eastAsia="黑体"/>
      <w:b/>
      <w:bCs/>
      <w:sz w:val="21"/>
      <w:szCs w:val="32"/>
      <w:lang w:bidi="ar-SA"/>
    </w:rPr>
  </w:style>
  <w:style w:type="character" w:styleId="1683" w:customStyle="1">
    <w:name w:val="正文1 Char Char"/>
    <w:link w:val="1330"/>
    <w:qFormat/>
    <w:rPr>
      <w:sz w:val="24"/>
      <w:szCs w:val="24"/>
    </w:rPr>
  </w:style>
  <w:style w:type="paragraph" w:styleId="1684" w:customStyle="1">
    <w:name w:val="1"/>
    <w:basedOn w:val="1685"/>
    <w:next w:val="1168"/>
    <w:qFormat/>
    <w:rPr>
      <w:rFonts w:ascii="宋体" w:hAnsi="宋体" w:cs="Courier New"/>
      <w:sz w:val="20"/>
      <w:szCs w:val="20"/>
    </w:rPr>
  </w:style>
  <w:style w:type="paragraph" w:styleId="1685" w:customStyle="1">
    <w:name w:val="正文 New New New"/>
    <w:qFormat/>
    <w:pPr>
      <w:jc w:val="both"/>
      <w:widowControl w:val="off"/>
    </w:pPr>
    <w:rPr>
      <w:sz w:val="21"/>
      <w:szCs w:val="24"/>
    </w:rPr>
  </w:style>
  <w:style w:type="character" w:styleId="1686" w:customStyle="1">
    <w:name w:val="NormalCharacter"/>
    <w:semiHidden/>
    <w:qFormat/>
    <w:rPr>
      <w:rFonts w:ascii="Calibri" w:hAnsi="Calibri"/>
      <w:sz w:val="21"/>
      <w:szCs w:val="24"/>
      <w:lang w:val="en-US" w:eastAsia="zh-CN" w:bidi="ar-SA"/>
    </w:rPr>
  </w:style>
  <w:style w:type="character" w:styleId="1687" w:customStyle="1">
    <w:name w:val="font81"/>
    <w:basedOn w:val="1150"/>
    <w:qFormat/>
    <w:rPr>
      <w:rFonts w:hint="eastAsia" w:ascii="宋体" w:hAnsi="宋体" w:eastAsia="宋体" w:cs="宋体"/>
      <w:color w:val="000000"/>
      <w:sz w:val="21"/>
      <w:szCs w:val="21"/>
      <w:u w:val="none"/>
    </w:rPr>
  </w:style>
  <w:style w:type="character" w:styleId="1688" w:customStyle="1">
    <w:name w:val="font101"/>
    <w:basedOn w:val="1150"/>
    <w:qFormat/>
    <w:rPr>
      <w:rFonts w:hint="eastAsia" w:ascii="宋体" w:hAnsi="宋体" w:eastAsia="宋体" w:cs="宋体"/>
      <w:color w:val="000000"/>
      <w:sz w:val="24"/>
      <w:szCs w:val="24"/>
      <w:u w:val="none"/>
    </w:rPr>
  </w:style>
  <w:style w:type="character" w:styleId="1689" w:customStyle="1">
    <w:name w:val="font91"/>
    <w:basedOn w:val="1150"/>
    <w:qFormat/>
    <w:rPr>
      <w:rFonts w:hint="default" w:ascii="Calibri" w:hAnsi="Calibri" w:cs="Calibri"/>
      <w:color w:val="000000"/>
      <w:sz w:val="21"/>
      <w:szCs w:val="21"/>
      <w:u w:val="none"/>
    </w:rPr>
  </w:style>
  <w:style w:type="character" w:styleId="1690" w:customStyle="1">
    <w:name w:val="未处理的提及3"/>
    <w:basedOn w:val="1150"/>
    <w:uiPriority w:val="99"/>
    <w:semiHidden/>
    <w:unhideWhenUsed/>
    <w:qFormat/>
    <w:rPr>
      <w:color w:val="605e5c"/>
      <w:shd w:val="clear" w:color="auto" w:fill="e1dfdd"/>
    </w:rPr>
  </w:style>
  <w:style w:type="character" w:styleId="1691" w:customStyle="1">
    <w:name w:val="font31"/>
    <w:basedOn w:val="1150"/>
    <w:qFormat/>
    <w:rPr>
      <w:rFonts w:hint="eastAsia" w:ascii="宋体" w:hAnsi="宋体" w:eastAsia="宋体" w:cs="宋体"/>
      <w:b/>
      <w:bCs/>
      <w:color w:val="000000"/>
      <w:sz w:val="18"/>
      <w:szCs w:val="18"/>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image" Target="media/image2.png"/><Relationship Id="rId19" Type="http://schemas.openxmlformats.org/officeDocument/2006/relationships/hyperlink" Target="http://www.ccgp-jiangsu.gov.cn/jiangsu/paying.html" TargetMode="External"/><Relationship Id="rId20" Type="http://schemas.openxmlformats.org/officeDocument/2006/relationships/hyperlink" Target="https://www.crcrfsp.com/" TargetMode="External"/><Relationship Id="rId21" Type="http://schemas.openxmlformats.org/officeDocument/2006/relationships/hyperlink" Target="http://czj.taizhou.gov.cn/art/2022/12/9/art_61762_3436049.html" TargetMode="External"/><Relationship Id="rId22" Type="http://schemas.openxmlformats.org/officeDocument/2006/relationships/hyperlink" Target="http://www.ccgp-jiangsu.gov.cn/jiangsu/zlxz" TargetMode="External"/><Relationship Id="rId23" Type="http://schemas.openxmlformats.org/officeDocument/2006/relationships/hyperlink" Target="http://jszfcg.jsczt.cn/" TargetMode="External"/><Relationship Id="rId24" Type="http://schemas.openxmlformats.org/officeDocument/2006/relationships/hyperlink" Target="http://jszfcg.jsczt.cn/&#65289;&#33719;&#21462;&#37319;&#36141;&#25991;&#20214;&#65292;&#24182;&#20110;2026&#24180;" TargetMode="External"/><Relationship Id="rId25" Type="http://schemas.openxmlformats.org/officeDocument/2006/relationships/hyperlink" Target="http://czj.taizhou.gov.cn/art/2022/12/9/art_61762_3436049.html" TargetMode="External"/><Relationship Id="rId26" Type="http://schemas.openxmlformats.org/officeDocument/2006/relationships/hyperlink" Target="http://www.creditchina.gov.cn" TargetMode="External"/><Relationship Id="rId27" Type="http://schemas.openxmlformats.org/officeDocument/2006/relationships/image" Target="media/image3.jpg"/><Relationship Id="rId28" Type="http://schemas.openxmlformats.org/officeDocument/2006/relationships/hyperlink" Target="http://download.ccgp.gov.cn/2018/zhiyihanfanben.zip"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2E22E42B-0839-41F5-A92E-D1FD190BDE28}">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Hewlett-Packard Company</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      录</dc:title>
  <dc:creator>Tekchain</dc:creator>
  <cp:lastModifiedBy>陈燕</cp:lastModifiedBy>
  <cp:revision>225</cp:revision>
  <dcterms:created xsi:type="dcterms:W3CDTF">2021-08-25T09:39:00Z</dcterms:created>
  <dcterms:modified xsi:type="dcterms:W3CDTF">2026-06-25T01:22:01Z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158E6D34B5BB4AC69CFB149E4B7CA1F7_13</vt:lpwstr>
  </property>
  <property fmtid="{D5CDD505-2E9C-101B-9397-08002B2CF9AE}" pid="4" name="KSOTemplateDocerSaveRecord">
    <vt:lpwstr>eyJoZGlkIjoiNDYyYzQ2MWM5ODEzYTZiZjgwMTNkYTA3OGE3MDk5NDMiLCJ1c2VySWQiOiI0MDQ0NjU4MjkifQ==</vt:lpwstr>
  </property>
</Properties>
</file>