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7688A7">
      <w:pPr>
        <w:pStyle w:val="326"/>
        <w:ind w:firstLine="0"/>
        <w:jc w:val="righ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政府采购</w:t>
      </w:r>
    </w:p>
    <w:p w14:paraId="7338FA56">
      <w:pPr>
        <w:pStyle w:val="326"/>
        <w:ind w:firstLine="0"/>
        <w:jc w:val="right"/>
        <w:rPr>
          <w:rFonts w:hint="eastAsia" w:ascii="宋体" w:hAnsi="宋体" w:cs="宋体"/>
          <w:b/>
          <w:bCs/>
          <w:color w:val="auto"/>
          <w:sz w:val="28"/>
          <w:szCs w:val="28"/>
          <w:highlight w:val="none"/>
        </w:rPr>
      </w:pPr>
    </w:p>
    <w:p w14:paraId="7E480BB9">
      <w:pPr>
        <w:pStyle w:val="326"/>
        <w:ind w:firstLine="0"/>
        <w:jc w:val="center"/>
        <w:rPr>
          <w:rFonts w:hint="eastAsia" w:ascii="宋体" w:hAnsi="宋体" w:cs="宋体"/>
          <w:b/>
          <w:bCs/>
          <w:color w:val="auto"/>
          <w:sz w:val="28"/>
          <w:szCs w:val="28"/>
          <w:highlight w:val="none"/>
        </w:rPr>
      </w:pPr>
    </w:p>
    <w:p w14:paraId="1B923189">
      <w:pPr>
        <w:pStyle w:val="326"/>
        <w:ind w:firstLine="0"/>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招　标　文　件</w:t>
      </w:r>
    </w:p>
    <w:p w14:paraId="168EECB6">
      <w:pPr>
        <w:spacing w:before="120" w:after="120" w:line="360" w:lineRule="auto"/>
        <w:ind w:firstLine="1968"/>
        <w:jc w:val="left"/>
        <w:rPr>
          <w:rFonts w:hint="eastAsia" w:ascii="宋体" w:hAnsi="宋体" w:cs="宋体"/>
          <w:b/>
          <w:bCs/>
          <w:color w:val="auto"/>
          <w:sz w:val="28"/>
          <w:szCs w:val="28"/>
          <w:highlight w:val="none"/>
        </w:rPr>
      </w:pPr>
    </w:p>
    <w:p w14:paraId="1B2F13E9">
      <w:pPr>
        <w:spacing w:before="120" w:after="120" w:line="360" w:lineRule="auto"/>
        <w:ind w:firstLine="1968"/>
        <w:jc w:val="left"/>
        <w:rPr>
          <w:rFonts w:hint="eastAsia" w:ascii="宋体" w:hAnsi="宋体" w:cs="宋体"/>
          <w:b/>
          <w:bCs/>
          <w:color w:val="auto"/>
          <w:sz w:val="28"/>
          <w:szCs w:val="28"/>
          <w:highlight w:val="none"/>
        </w:rPr>
      </w:pPr>
    </w:p>
    <w:tbl>
      <w:tblPr>
        <w:tblStyle w:val="35"/>
        <w:tblW w:w="0" w:type="auto"/>
        <w:jc w:val="center"/>
        <w:tblLayout w:type="fixed"/>
        <w:tblCellMar>
          <w:top w:w="0" w:type="dxa"/>
          <w:left w:w="108" w:type="dxa"/>
          <w:bottom w:w="0" w:type="dxa"/>
          <w:right w:w="108" w:type="dxa"/>
        </w:tblCellMar>
      </w:tblPr>
      <w:tblGrid>
        <w:gridCol w:w="2060"/>
        <w:gridCol w:w="6070"/>
      </w:tblGrid>
      <w:tr w14:paraId="72264BB9">
        <w:tblPrEx>
          <w:tblCellMar>
            <w:top w:w="0" w:type="dxa"/>
            <w:left w:w="108" w:type="dxa"/>
            <w:bottom w:w="0" w:type="dxa"/>
            <w:right w:w="108" w:type="dxa"/>
          </w:tblCellMar>
        </w:tblPrEx>
        <w:trPr>
          <w:trHeight w:val="584" w:hRule="atLeast"/>
          <w:jc w:val="center"/>
        </w:trPr>
        <w:tc>
          <w:tcPr>
            <w:tcW w:w="2060" w:type="dxa"/>
            <w:tcBorders>
              <w:top w:val="nil"/>
              <w:left w:val="nil"/>
              <w:bottom w:val="nil"/>
              <w:right w:val="nil"/>
            </w:tcBorders>
            <w:noWrap w:val="0"/>
            <w:vAlign w:val="center"/>
          </w:tcPr>
          <w:p w14:paraId="4F588A94">
            <w:pPr>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项目名称：</w:t>
            </w:r>
          </w:p>
        </w:tc>
        <w:tc>
          <w:tcPr>
            <w:tcW w:w="6070" w:type="dxa"/>
            <w:tcBorders>
              <w:top w:val="nil"/>
              <w:left w:val="nil"/>
              <w:bottom w:val="nil"/>
              <w:right w:val="nil"/>
            </w:tcBorders>
            <w:noWrap w:val="0"/>
            <w:vAlign w:val="center"/>
          </w:tcPr>
          <w:p w14:paraId="34F7C115">
            <w:pPr>
              <w:spacing w:line="500" w:lineRule="exact"/>
              <w:rPr>
                <w:rFonts w:hint="eastAsia" w:ascii="宋体" w:hAnsi="宋体" w:cs="宋体"/>
                <w:color w:val="auto"/>
                <w:sz w:val="28"/>
                <w:szCs w:val="28"/>
                <w:highlight w:val="none"/>
              </w:rPr>
            </w:pPr>
            <w:r>
              <w:rPr>
                <w:rFonts w:hint="eastAsia" w:ascii="宋体" w:hAnsi="宋体" w:cs="宋体"/>
                <w:b/>
                <w:bCs/>
                <w:color w:val="auto"/>
                <w:sz w:val="28"/>
                <w:szCs w:val="28"/>
                <w:highlight w:val="none"/>
              </w:rPr>
              <w:t>宿迁市“苏政源”数字资源底座落地实施项目</w:t>
            </w:r>
          </w:p>
        </w:tc>
      </w:tr>
      <w:tr w14:paraId="6D570A83">
        <w:tblPrEx>
          <w:tblCellMar>
            <w:top w:w="0" w:type="dxa"/>
            <w:left w:w="108" w:type="dxa"/>
            <w:bottom w:w="0" w:type="dxa"/>
            <w:right w:w="108" w:type="dxa"/>
          </w:tblCellMar>
        </w:tblPrEx>
        <w:trPr>
          <w:trHeight w:val="603" w:hRule="atLeast"/>
          <w:jc w:val="center"/>
        </w:trPr>
        <w:tc>
          <w:tcPr>
            <w:tcW w:w="2060" w:type="dxa"/>
            <w:tcBorders>
              <w:top w:val="nil"/>
              <w:left w:val="nil"/>
              <w:bottom w:val="nil"/>
              <w:right w:val="nil"/>
            </w:tcBorders>
            <w:noWrap w:val="0"/>
            <w:vAlign w:val="center"/>
          </w:tcPr>
          <w:p w14:paraId="638A6F08">
            <w:pPr>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项目编号：</w:t>
            </w:r>
          </w:p>
        </w:tc>
        <w:tc>
          <w:tcPr>
            <w:tcW w:w="6070" w:type="dxa"/>
            <w:tcBorders>
              <w:top w:val="nil"/>
              <w:left w:val="nil"/>
              <w:bottom w:val="nil"/>
              <w:right w:val="nil"/>
            </w:tcBorders>
            <w:noWrap w:val="0"/>
            <w:vAlign w:val="center"/>
          </w:tcPr>
          <w:p w14:paraId="33505630">
            <w:pPr>
              <w:spacing w:line="500" w:lineRule="exact"/>
              <w:rPr>
                <w:rFonts w:hint="eastAsia" w:ascii="宋体" w:hAnsi="宋体" w:eastAsia="宋体" w:cs="宋体"/>
                <w:color w:val="auto"/>
                <w:sz w:val="28"/>
                <w:szCs w:val="28"/>
                <w:highlight w:val="none"/>
                <w:lang w:eastAsia="zh-CN"/>
              </w:rPr>
            </w:pPr>
            <w:r>
              <w:rPr>
                <w:rFonts w:hint="eastAsia" w:ascii="宋体" w:hAnsi="宋体" w:cs="宋体"/>
                <w:b/>
                <w:bCs/>
                <w:color w:val="auto"/>
                <w:sz w:val="28"/>
                <w:szCs w:val="28"/>
                <w:highlight w:val="none"/>
                <w:lang w:eastAsia="zh-CN"/>
              </w:rPr>
              <w:t>JSZC-321300-SQDJ-G2026-0007</w:t>
            </w:r>
          </w:p>
        </w:tc>
      </w:tr>
    </w:tbl>
    <w:p w14:paraId="4531E754">
      <w:pPr>
        <w:spacing w:before="120" w:after="120" w:line="360" w:lineRule="auto"/>
        <w:jc w:val="center"/>
        <w:rPr>
          <w:rFonts w:hint="eastAsia" w:ascii="宋体" w:hAnsi="宋体" w:cs="宋体"/>
          <w:b/>
          <w:color w:val="auto"/>
          <w:sz w:val="28"/>
          <w:szCs w:val="28"/>
          <w:highlight w:val="none"/>
        </w:rPr>
      </w:pPr>
      <w:r>
        <w:rPr>
          <w:rFonts w:hint="eastAsia" w:ascii="宋体" w:hAnsi="宋体" w:cs="宋体"/>
          <w:b/>
          <w:bCs/>
          <w:color w:val="auto"/>
          <w:sz w:val="28"/>
          <w:szCs w:val="28"/>
          <w:highlight w:val="none"/>
        </w:rPr>
        <w:t>（</w:t>
      </w:r>
      <w:r>
        <w:rPr>
          <w:rFonts w:hint="eastAsia" w:ascii="宋体" w:hAnsi="宋体" w:cs="宋体"/>
          <w:b/>
          <w:bCs/>
          <w:color w:val="auto"/>
          <w:sz w:val="28"/>
          <w:szCs w:val="28"/>
          <w:highlight w:val="none"/>
          <w:u w:val="single"/>
        </w:rPr>
        <w:t>服务</w:t>
      </w:r>
      <w:r>
        <w:rPr>
          <w:rFonts w:hint="eastAsia" w:ascii="宋体" w:hAnsi="宋体" w:cs="宋体"/>
          <w:b/>
          <w:bCs/>
          <w:color w:val="auto"/>
          <w:sz w:val="28"/>
          <w:szCs w:val="28"/>
          <w:highlight w:val="none"/>
        </w:rPr>
        <w:t>类项目，</w:t>
      </w:r>
      <w:r>
        <w:rPr>
          <w:rFonts w:hint="eastAsia" w:ascii="宋体" w:hAnsi="宋体" w:cs="宋体"/>
          <w:b/>
          <w:bCs/>
          <w:color w:val="auto"/>
          <w:sz w:val="28"/>
          <w:szCs w:val="28"/>
          <w:highlight w:val="none"/>
          <w:u w:val="single"/>
        </w:rPr>
        <w:t>是</w:t>
      </w:r>
      <w:r>
        <w:rPr>
          <w:rFonts w:hint="eastAsia" w:ascii="宋体" w:hAnsi="宋体" w:cs="宋体"/>
          <w:b/>
          <w:bCs/>
          <w:color w:val="auto"/>
          <w:sz w:val="28"/>
          <w:szCs w:val="28"/>
          <w:highlight w:val="none"/>
        </w:rPr>
        <w:t>专门面向中小企业）</w:t>
      </w:r>
    </w:p>
    <w:p w14:paraId="0B3F6FC2">
      <w:pPr>
        <w:spacing w:line="360" w:lineRule="auto"/>
        <w:jc w:val="left"/>
        <w:rPr>
          <w:rFonts w:hint="eastAsia" w:ascii="宋体" w:hAnsi="宋体" w:cs="宋体"/>
          <w:color w:val="auto"/>
          <w:sz w:val="28"/>
          <w:szCs w:val="28"/>
          <w:highlight w:val="none"/>
        </w:rPr>
      </w:pPr>
    </w:p>
    <w:p w14:paraId="7C475693">
      <w:pPr>
        <w:spacing w:line="360" w:lineRule="auto"/>
        <w:jc w:val="left"/>
        <w:rPr>
          <w:rFonts w:hint="eastAsia" w:ascii="宋体" w:hAnsi="宋体" w:cs="宋体"/>
          <w:color w:val="auto"/>
          <w:sz w:val="28"/>
          <w:szCs w:val="28"/>
          <w:highlight w:val="none"/>
        </w:rPr>
      </w:pPr>
    </w:p>
    <w:p w14:paraId="67DEC271">
      <w:pPr>
        <w:spacing w:line="360" w:lineRule="auto"/>
        <w:jc w:val="left"/>
        <w:rPr>
          <w:rFonts w:hint="eastAsia" w:ascii="宋体" w:hAnsi="宋体" w:cs="宋体"/>
          <w:color w:val="auto"/>
          <w:sz w:val="28"/>
          <w:szCs w:val="28"/>
          <w:highlight w:val="none"/>
        </w:rPr>
      </w:pPr>
    </w:p>
    <w:tbl>
      <w:tblPr>
        <w:tblStyle w:val="35"/>
        <w:tblW w:w="0" w:type="auto"/>
        <w:jc w:val="center"/>
        <w:tblLayout w:type="fixed"/>
        <w:tblCellMar>
          <w:top w:w="0" w:type="dxa"/>
          <w:left w:w="108" w:type="dxa"/>
          <w:bottom w:w="0" w:type="dxa"/>
          <w:right w:w="108" w:type="dxa"/>
        </w:tblCellMar>
      </w:tblPr>
      <w:tblGrid>
        <w:gridCol w:w="2414"/>
        <w:gridCol w:w="5673"/>
      </w:tblGrid>
      <w:tr w14:paraId="66344AFF">
        <w:tblPrEx>
          <w:tblCellMar>
            <w:top w:w="0" w:type="dxa"/>
            <w:left w:w="108" w:type="dxa"/>
            <w:bottom w:w="0" w:type="dxa"/>
            <w:right w:w="108" w:type="dxa"/>
          </w:tblCellMar>
        </w:tblPrEx>
        <w:trPr>
          <w:trHeight w:val="800" w:hRule="atLeast"/>
          <w:jc w:val="center"/>
        </w:trPr>
        <w:tc>
          <w:tcPr>
            <w:tcW w:w="2414" w:type="dxa"/>
            <w:tcBorders>
              <w:top w:val="nil"/>
              <w:left w:val="nil"/>
              <w:bottom w:val="nil"/>
              <w:right w:val="nil"/>
            </w:tcBorders>
            <w:noWrap w:val="0"/>
            <w:vAlign w:val="center"/>
          </w:tcPr>
          <w:p w14:paraId="79A51A61">
            <w:pPr>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采购人：</w:t>
            </w:r>
          </w:p>
        </w:tc>
        <w:tc>
          <w:tcPr>
            <w:tcW w:w="5673" w:type="dxa"/>
            <w:tcBorders>
              <w:top w:val="nil"/>
              <w:left w:val="nil"/>
              <w:bottom w:val="nil"/>
              <w:right w:val="nil"/>
            </w:tcBorders>
            <w:noWrap w:val="0"/>
            <w:vAlign w:val="center"/>
          </w:tcPr>
          <w:p w14:paraId="25A70D37">
            <w:pPr>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宿迁市市域社会治理现代化指挥中心</w:t>
            </w:r>
          </w:p>
        </w:tc>
      </w:tr>
      <w:tr w14:paraId="2F1F1524">
        <w:tblPrEx>
          <w:tblCellMar>
            <w:top w:w="0" w:type="dxa"/>
            <w:left w:w="108" w:type="dxa"/>
            <w:bottom w:w="0" w:type="dxa"/>
            <w:right w:w="108" w:type="dxa"/>
          </w:tblCellMar>
        </w:tblPrEx>
        <w:trPr>
          <w:trHeight w:val="800" w:hRule="atLeast"/>
          <w:jc w:val="center"/>
        </w:trPr>
        <w:tc>
          <w:tcPr>
            <w:tcW w:w="2414" w:type="dxa"/>
            <w:tcBorders>
              <w:top w:val="nil"/>
              <w:left w:val="nil"/>
              <w:bottom w:val="nil"/>
              <w:right w:val="nil"/>
            </w:tcBorders>
            <w:noWrap w:val="0"/>
            <w:vAlign w:val="center"/>
          </w:tcPr>
          <w:p w14:paraId="72E0E3A8">
            <w:pPr>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采购代理机构：</w:t>
            </w:r>
          </w:p>
        </w:tc>
        <w:tc>
          <w:tcPr>
            <w:tcW w:w="5673" w:type="dxa"/>
            <w:tcBorders>
              <w:top w:val="nil"/>
              <w:left w:val="nil"/>
              <w:bottom w:val="nil"/>
              <w:right w:val="nil"/>
            </w:tcBorders>
            <w:noWrap w:val="0"/>
            <w:vAlign w:val="center"/>
          </w:tcPr>
          <w:p w14:paraId="16E0AB31">
            <w:pPr>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宿迁鼎匠工程咨询有限公司</w:t>
            </w:r>
          </w:p>
        </w:tc>
      </w:tr>
      <w:tr w14:paraId="5722B2FF">
        <w:tblPrEx>
          <w:tblCellMar>
            <w:top w:w="0" w:type="dxa"/>
            <w:left w:w="108" w:type="dxa"/>
            <w:bottom w:w="0" w:type="dxa"/>
            <w:right w:w="108" w:type="dxa"/>
          </w:tblCellMar>
        </w:tblPrEx>
        <w:trPr>
          <w:trHeight w:val="800" w:hRule="atLeast"/>
          <w:jc w:val="center"/>
        </w:trPr>
        <w:tc>
          <w:tcPr>
            <w:tcW w:w="2414" w:type="dxa"/>
            <w:tcBorders>
              <w:top w:val="nil"/>
              <w:left w:val="nil"/>
              <w:bottom w:val="nil"/>
              <w:right w:val="nil"/>
            </w:tcBorders>
            <w:noWrap w:val="0"/>
            <w:vAlign w:val="center"/>
          </w:tcPr>
          <w:p w14:paraId="6E614B2E">
            <w:pPr>
              <w:spacing w:line="50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日  期：</w:t>
            </w:r>
          </w:p>
        </w:tc>
        <w:tc>
          <w:tcPr>
            <w:tcW w:w="5673" w:type="dxa"/>
            <w:tcBorders>
              <w:top w:val="nil"/>
              <w:left w:val="nil"/>
              <w:bottom w:val="nil"/>
              <w:right w:val="nil"/>
            </w:tcBorders>
            <w:noWrap w:val="0"/>
            <w:vAlign w:val="center"/>
          </w:tcPr>
          <w:p w14:paraId="196BF0CB">
            <w:pPr>
              <w:tabs>
                <w:tab w:val="center" w:pos="2728"/>
              </w:tabs>
              <w:spacing w:after="156"/>
              <w:rPr>
                <w:rFonts w:hint="eastAsia" w:ascii="宋体" w:hAnsi="宋体" w:cs="宋体"/>
                <w:b/>
                <w:bCs/>
                <w:color w:val="auto"/>
                <w:sz w:val="28"/>
                <w:szCs w:val="28"/>
                <w:highlight w:val="none"/>
              </w:rPr>
            </w:pPr>
            <w:bookmarkStart w:id="0" w:name="EB0fd9ce30eb754b71a75bf113b0320af1"/>
            <w:bookmarkEnd w:id="0"/>
            <w:r>
              <w:rPr>
                <w:rFonts w:hint="eastAsia" w:ascii="宋体" w:hAnsi="宋体" w:cs="宋体"/>
                <w:b/>
                <w:bCs/>
                <w:color w:val="auto"/>
                <w:sz w:val="28"/>
                <w:szCs w:val="28"/>
                <w:highlight w:val="none"/>
              </w:rPr>
              <w:t>2026年6月</w:t>
            </w:r>
            <w:r>
              <w:rPr>
                <w:rFonts w:hint="eastAsia" w:ascii="宋体" w:hAnsi="宋体" w:cs="宋体"/>
                <w:b/>
                <w:bCs/>
                <w:color w:val="auto"/>
                <w:sz w:val="28"/>
                <w:szCs w:val="28"/>
                <w:highlight w:val="none"/>
                <w:lang w:val="en-US" w:eastAsia="zh-CN"/>
              </w:rPr>
              <w:t>30</w:t>
            </w:r>
            <w:r>
              <w:rPr>
                <w:rFonts w:hint="eastAsia" w:ascii="宋体" w:hAnsi="宋体" w:cs="宋体"/>
                <w:b/>
                <w:bCs/>
                <w:color w:val="auto"/>
                <w:sz w:val="28"/>
                <w:szCs w:val="28"/>
                <w:highlight w:val="none"/>
              </w:rPr>
              <w:t>日</w:t>
            </w:r>
            <w:r>
              <w:tab/>
            </w:r>
          </w:p>
        </w:tc>
      </w:tr>
    </w:tbl>
    <w:p w14:paraId="1B5CFC42">
      <w:pPr>
        <w:pStyle w:val="326"/>
        <w:ind w:firstLine="1968"/>
        <w:rPr>
          <w:rFonts w:hint="eastAsia" w:ascii="宋体" w:hAnsi="宋体" w:cs="宋体"/>
          <w:b/>
          <w:bCs/>
          <w:color w:val="auto"/>
          <w:sz w:val="28"/>
          <w:szCs w:val="28"/>
          <w:highlight w:val="none"/>
        </w:rPr>
      </w:pPr>
    </w:p>
    <w:p w14:paraId="5C1F2ACE">
      <w:pPr>
        <w:pStyle w:val="326"/>
        <w:ind w:firstLine="0"/>
        <w:jc w:val="both"/>
        <w:rPr>
          <w:rFonts w:hint="eastAsia" w:ascii="宋体" w:hAnsi="宋体" w:cs="宋体"/>
          <w:color w:val="auto"/>
          <w:sz w:val="28"/>
          <w:szCs w:val="28"/>
          <w:highlight w:val="none"/>
        </w:rPr>
      </w:pPr>
    </w:p>
    <w:p w14:paraId="55B4C99E">
      <w:pPr>
        <w:spacing w:line="480" w:lineRule="auto"/>
        <w:jc w:val="center"/>
        <w:rPr>
          <w:rFonts w:hint="eastAsia" w:ascii="宋体" w:hAnsi="宋体" w:cs="宋体"/>
          <w:b/>
          <w:color w:val="auto"/>
          <w:sz w:val="28"/>
          <w:szCs w:val="28"/>
          <w:highlight w:val="none"/>
        </w:rPr>
        <w:sectPr>
          <w:headerReference r:id="rId3" w:type="default"/>
          <w:footerReference r:id="rId4" w:type="default"/>
          <w:footerReference r:id="rId5" w:type="even"/>
          <w:pgSz w:w="11906" w:h="16838"/>
          <w:pgMar w:top="1418" w:right="1588" w:bottom="1418" w:left="1365" w:header="851" w:footer="1077" w:gutter="0"/>
          <w:cols w:space="1701" w:num="1"/>
          <w:titlePg/>
          <w:docGrid w:linePitch="360" w:charSpace="0"/>
        </w:sectPr>
      </w:pPr>
      <w:bookmarkStart w:id="1" w:name="_Toc120614210"/>
      <w:bookmarkStart w:id="2" w:name="_Toc16938516"/>
      <w:bookmarkStart w:id="3" w:name="_Toc513029200"/>
      <w:bookmarkStart w:id="4" w:name="_Toc479757206"/>
      <w:bookmarkStart w:id="5" w:name="_Toc20823272"/>
      <w:bookmarkStart w:id="6" w:name="_Toc523127445"/>
    </w:p>
    <w:p w14:paraId="2FD8FBD0">
      <w:pPr>
        <w:pStyle w:val="278"/>
        <w:tabs>
          <w:tab w:val="right" w:leader="hyphen" w:pos="8953"/>
        </w:tabs>
        <w:jc w:val="center"/>
        <w:rPr>
          <w:rFonts w:hint="eastAsia" w:cs="宋体"/>
          <w:b/>
          <w:bCs/>
          <w:color w:val="auto"/>
          <w:sz w:val="28"/>
          <w:szCs w:val="28"/>
          <w:highlight w:val="none"/>
        </w:rPr>
      </w:pPr>
      <w:r>
        <w:rPr>
          <w:rFonts w:hint="eastAsia" w:cs="宋体"/>
          <w:b/>
          <w:bCs/>
          <w:color w:val="auto"/>
          <w:sz w:val="28"/>
          <w:szCs w:val="28"/>
          <w:highlight w:val="none"/>
        </w:rPr>
        <w:t>总 目 录</w:t>
      </w:r>
    </w:p>
    <w:p w14:paraId="0045BF36">
      <w:pPr>
        <w:pStyle w:val="23"/>
        <w:tabs>
          <w:tab w:val="right" w:leader="dot" w:pos="8953"/>
        </w:tabs>
        <w:rPr>
          <w:color w:val="auto"/>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"1-2" \h \u </w:instrText>
      </w:r>
      <w:r>
        <w:rPr>
          <w:rFonts w:hint="eastAsia" w:ascii="宋体" w:hAnsi="宋体" w:cs="宋体"/>
          <w:color w:val="auto"/>
          <w:sz w:val="28"/>
          <w:szCs w:val="28"/>
          <w:highlight w:val="none"/>
        </w:rPr>
        <w:fldChar w:fldCharType="separate"/>
      </w: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_Toc32085 </w:instrText>
      </w:r>
      <w:r>
        <w:rPr>
          <w:rFonts w:hint="eastAsia" w:ascii="宋体" w:hAnsi="宋体" w:cs="宋体"/>
          <w:color w:val="auto"/>
          <w:szCs w:val="28"/>
          <w:highlight w:val="none"/>
        </w:rPr>
        <w:fldChar w:fldCharType="separate"/>
      </w:r>
      <w:r>
        <w:rPr>
          <w:rFonts w:hint="eastAsia" w:ascii="宋体" w:hAnsi="宋体" w:eastAsia="宋体" w:cs="宋体"/>
          <w:bCs/>
          <w:color w:val="auto"/>
          <w:szCs w:val="36"/>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_Toc32085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cs="宋体"/>
          <w:color w:val="auto"/>
          <w:szCs w:val="28"/>
          <w:highlight w:val="none"/>
        </w:rPr>
        <w:fldChar w:fldCharType="end"/>
      </w:r>
    </w:p>
    <w:p w14:paraId="7BD9039D">
      <w:pPr>
        <w:pStyle w:val="23"/>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_Toc17465 </w:instrText>
      </w:r>
      <w:r>
        <w:rPr>
          <w:rFonts w:hint="eastAsia" w:ascii="宋体" w:hAnsi="宋体" w:cs="宋体"/>
          <w:color w:val="auto"/>
          <w:szCs w:val="28"/>
          <w:highlight w:val="none"/>
        </w:rPr>
        <w:fldChar w:fldCharType="separate"/>
      </w:r>
      <w:r>
        <w:rPr>
          <w:rFonts w:hint="eastAsia" w:ascii="宋体" w:hAnsi="宋体" w:eastAsia="宋体" w:cs="宋体"/>
          <w:bCs/>
          <w:color w:val="auto"/>
          <w:szCs w:val="36"/>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_Toc17465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cs="宋体"/>
          <w:color w:val="auto"/>
          <w:szCs w:val="28"/>
          <w:highlight w:val="none"/>
        </w:rPr>
        <w:fldChar w:fldCharType="end"/>
      </w:r>
    </w:p>
    <w:p w14:paraId="75AC21C4">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_Toc11348 </w:instrText>
      </w:r>
      <w:r>
        <w:rPr>
          <w:rFonts w:hint="eastAsia" w:ascii="宋体" w:hAnsi="宋体" w:cs="宋体"/>
          <w:color w:val="auto"/>
          <w:szCs w:val="28"/>
          <w:highlight w:val="none"/>
        </w:rPr>
        <w:fldChar w:fldCharType="separate"/>
      </w:r>
      <w:r>
        <w:rPr>
          <w:rFonts w:hint="eastAsia" w:ascii="宋体" w:hAnsi="宋体" w:eastAsia="宋体" w:cs="宋体"/>
          <w:color w:val="auto"/>
          <w:szCs w:val="28"/>
          <w:highlight w:val="none"/>
        </w:rPr>
        <w:t>一、总则</w:t>
      </w:r>
      <w:r>
        <w:rPr>
          <w:color w:val="auto"/>
          <w:highlight w:val="none"/>
        </w:rPr>
        <w:tab/>
      </w:r>
      <w:r>
        <w:rPr>
          <w:color w:val="auto"/>
          <w:highlight w:val="none"/>
        </w:rPr>
        <w:fldChar w:fldCharType="begin"/>
      </w:r>
      <w:r>
        <w:rPr>
          <w:color w:val="auto"/>
          <w:highlight w:val="none"/>
        </w:rPr>
        <w:instrText xml:space="preserve"> PAGEREF _Toc11348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cs="宋体"/>
          <w:color w:val="auto"/>
          <w:szCs w:val="28"/>
          <w:highlight w:val="none"/>
        </w:rPr>
        <w:fldChar w:fldCharType="end"/>
      </w:r>
    </w:p>
    <w:p w14:paraId="142DF6EE">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_Toc27995 </w:instrText>
      </w:r>
      <w:r>
        <w:rPr>
          <w:rFonts w:hint="eastAsia" w:ascii="宋体" w:hAnsi="宋体" w:cs="宋体"/>
          <w:color w:val="auto"/>
          <w:szCs w:val="28"/>
          <w:highlight w:val="none"/>
        </w:rPr>
        <w:fldChar w:fldCharType="separate"/>
      </w:r>
      <w:r>
        <w:rPr>
          <w:rFonts w:hint="eastAsia" w:ascii="宋体" w:hAnsi="宋体" w:eastAsia="宋体" w:cs="宋体"/>
          <w:color w:val="auto"/>
          <w:szCs w:val="28"/>
          <w:highlight w:val="none"/>
        </w:rPr>
        <w:t>二、招标文件</w:t>
      </w:r>
      <w:r>
        <w:rPr>
          <w:color w:val="auto"/>
          <w:highlight w:val="none"/>
        </w:rPr>
        <w:tab/>
      </w:r>
      <w:r>
        <w:rPr>
          <w:color w:val="auto"/>
          <w:highlight w:val="none"/>
        </w:rPr>
        <w:fldChar w:fldCharType="begin"/>
      </w:r>
      <w:r>
        <w:rPr>
          <w:color w:val="auto"/>
          <w:highlight w:val="none"/>
        </w:rPr>
        <w:instrText xml:space="preserve"> PAGEREF _Toc27995 \h </w:instrText>
      </w:r>
      <w:r>
        <w:rPr>
          <w:color w:val="auto"/>
          <w:highlight w:val="none"/>
        </w:rPr>
        <w:fldChar w:fldCharType="separate"/>
      </w:r>
      <w:r>
        <w:rPr>
          <w:color w:val="auto"/>
          <w:highlight w:val="none"/>
        </w:rPr>
        <w:t>5</w:t>
      </w:r>
      <w:r>
        <w:rPr>
          <w:color w:val="auto"/>
          <w:highlight w:val="none"/>
        </w:rPr>
        <w:fldChar w:fldCharType="end"/>
      </w:r>
      <w:r>
        <w:rPr>
          <w:rFonts w:hint="eastAsia" w:ascii="宋体" w:hAnsi="宋体" w:cs="宋体"/>
          <w:color w:val="auto"/>
          <w:szCs w:val="28"/>
          <w:highlight w:val="none"/>
        </w:rPr>
        <w:fldChar w:fldCharType="end"/>
      </w:r>
    </w:p>
    <w:p w14:paraId="21005DA6">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_Toc28465 </w:instrText>
      </w:r>
      <w:r>
        <w:rPr>
          <w:rFonts w:hint="eastAsia" w:ascii="宋体" w:hAnsi="宋体" w:cs="宋体"/>
          <w:color w:val="auto"/>
          <w:szCs w:val="28"/>
          <w:highlight w:val="none"/>
        </w:rPr>
        <w:fldChar w:fldCharType="separate"/>
      </w:r>
      <w:r>
        <w:rPr>
          <w:rFonts w:hint="eastAsia" w:ascii="宋体" w:hAnsi="宋体" w:eastAsia="宋体" w:cs="宋体"/>
          <w:color w:val="auto"/>
          <w:szCs w:val="28"/>
          <w:highlight w:val="none"/>
        </w:rPr>
        <w:t>三、投标文件的编制</w:t>
      </w:r>
      <w:r>
        <w:rPr>
          <w:color w:val="auto"/>
          <w:highlight w:val="none"/>
        </w:rPr>
        <w:tab/>
      </w:r>
      <w:r>
        <w:rPr>
          <w:color w:val="auto"/>
          <w:highlight w:val="none"/>
        </w:rPr>
        <w:fldChar w:fldCharType="begin"/>
      </w:r>
      <w:r>
        <w:rPr>
          <w:color w:val="auto"/>
          <w:highlight w:val="none"/>
        </w:rPr>
        <w:instrText xml:space="preserve"> PAGEREF _Toc28465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cs="宋体"/>
          <w:color w:val="auto"/>
          <w:szCs w:val="28"/>
          <w:highlight w:val="none"/>
        </w:rPr>
        <w:fldChar w:fldCharType="end"/>
      </w:r>
    </w:p>
    <w:p w14:paraId="579AA528">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_Toc18464 </w:instrText>
      </w:r>
      <w:r>
        <w:rPr>
          <w:rFonts w:hint="eastAsia" w:ascii="宋体" w:hAnsi="宋体" w:cs="宋体"/>
          <w:color w:val="auto"/>
          <w:szCs w:val="28"/>
          <w:highlight w:val="none"/>
        </w:rPr>
        <w:fldChar w:fldCharType="separate"/>
      </w:r>
      <w:r>
        <w:rPr>
          <w:rFonts w:hint="eastAsia" w:ascii="宋体" w:hAnsi="宋体" w:eastAsia="宋体" w:cs="宋体"/>
          <w:color w:val="auto"/>
          <w:szCs w:val="28"/>
          <w:highlight w:val="none"/>
        </w:rPr>
        <w:t>四、投标文件的递交</w:t>
      </w:r>
      <w:r>
        <w:rPr>
          <w:color w:val="auto"/>
          <w:highlight w:val="none"/>
        </w:rPr>
        <w:tab/>
      </w:r>
      <w:r>
        <w:rPr>
          <w:color w:val="auto"/>
          <w:highlight w:val="none"/>
        </w:rPr>
        <w:fldChar w:fldCharType="begin"/>
      </w:r>
      <w:r>
        <w:rPr>
          <w:color w:val="auto"/>
          <w:highlight w:val="none"/>
        </w:rPr>
        <w:instrText xml:space="preserve"> PAGEREF _Toc18464 \h </w:instrText>
      </w:r>
      <w:r>
        <w:rPr>
          <w:color w:val="auto"/>
          <w:highlight w:val="none"/>
        </w:rPr>
        <w:fldChar w:fldCharType="separate"/>
      </w:r>
      <w:r>
        <w:rPr>
          <w:color w:val="auto"/>
          <w:highlight w:val="none"/>
        </w:rPr>
        <w:t>9</w:t>
      </w:r>
      <w:r>
        <w:rPr>
          <w:color w:val="auto"/>
          <w:highlight w:val="none"/>
        </w:rPr>
        <w:fldChar w:fldCharType="end"/>
      </w:r>
      <w:r>
        <w:rPr>
          <w:rFonts w:hint="eastAsia" w:ascii="宋体" w:hAnsi="宋体" w:cs="宋体"/>
          <w:color w:val="auto"/>
          <w:szCs w:val="28"/>
          <w:highlight w:val="none"/>
        </w:rPr>
        <w:fldChar w:fldCharType="end"/>
      </w:r>
    </w:p>
    <w:p w14:paraId="2BA11124">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_Toc23146 </w:instrText>
      </w:r>
      <w:r>
        <w:rPr>
          <w:rFonts w:hint="eastAsia" w:ascii="宋体" w:hAnsi="宋体" w:cs="宋体"/>
          <w:color w:val="auto"/>
          <w:szCs w:val="28"/>
          <w:highlight w:val="none"/>
        </w:rPr>
        <w:fldChar w:fldCharType="separate"/>
      </w:r>
      <w:r>
        <w:rPr>
          <w:rFonts w:hint="eastAsia" w:ascii="宋体" w:hAnsi="宋体" w:eastAsia="宋体" w:cs="宋体"/>
          <w:color w:val="auto"/>
          <w:szCs w:val="28"/>
          <w:highlight w:val="none"/>
        </w:rPr>
        <w:t>五、开标与评标</w:t>
      </w:r>
      <w:r>
        <w:rPr>
          <w:color w:val="auto"/>
          <w:highlight w:val="none"/>
        </w:rPr>
        <w:tab/>
      </w:r>
      <w:r>
        <w:rPr>
          <w:color w:val="auto"/>
          <w:highlight w:val="none"/>
        </w:rPr>
        <w:fldChar w:fldCharType="begin"/>
      </w:r>
      <w:r>
        <w:rPr>
          <w:color w:val="auto"/>
          <w:highlight w:val="none"/>
        </w:rPr>
        <w:instrText xml:space="preserve"> PAGEREF _Toc23146 \h </w:instrText>
      </w:r>
      <w:r>
        <w:rPr>
          <w:color w:val="auto"/>
          <w:highlight w:val="none"/>
        </w:rPr>
        <w:fldChar w:fldCharType="separate"/>
      </w:r>
      <w:r>
        <w:rPr>
          <w:color w:val="auto"/>
          <w:highlight w:val="none"/>
        </w:rPr>
        <w:t>10</w:t>
      </w:r>
      <w:r>
        <w:rPr>
          <w:color w:val="auto"/>
          <w:highlight w:val="none"/>
        </w:rPr>
        <w:fldChar w:fldCharType="end"/>
      </w:r>
      <w:r>
        <w:rPr>
          <w:rFonts w:hint="eastAsia" w:ascii="宋体" w:hAnsi="宋体" w:cs="宋体"/>
          <w:color w:val="auto"/>
          <w:szCs w:val="28"/>
          <w:highlight w:val="none"/>
        </w:rPr>
        <w:fldChar w:fldCharType="end"/>
      </w:r>
    </w:p>
    <w:p w14:paraId="3460270B">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_Toc25338 </w:instrText>
      </w:r>
      <w:r>
        <w:rPr>
          <w:rFonts w:hint="eastAsia" w:ascii="宋体" w:hAnsi="宋体" w:cs="宋体"/>
          <w:color w:val="auto"/>
          <w:szCs w:val="28"/>
          <w:highlight w:val="none"/>
        </w:rPr>
        <w:fldChar w:fldCharType="separate"/>
      </w:r>
      <w:r>
        <w:rPr>
          <w:rFonts w:hint="eastAsia" w:ascii="宋体" w:hAnsi="宋体" w:eastAsia="宋体" w:cs="宋体"/>
          <w:color w:val="auto"/>
          <w:szCs w:val="28"/>
          <w:highlight w:val="none"/>
        </w:rPr>
        <w:t>六、定标</w:t>
      </w:r>
      <w:r>
        <w:rPr>
          <w:color w:val="auto"/>
          <w:highlight w:val="none"/>
        </w:rPr>
        <w:tab/>
      </w:r>
      <w:r>
        <w:rPr>
          <w:color w:val="auto"/>
          <w:highlight w:val="none"/>
        </w:rPr>
        <w:fldChar w:fldCharType="begin"/>
      </w:r>
      <w:r>
        <w:rPr>
          <w:color w:val="auto"/>
          <w:highlight w:val="none"/>
        </w:rPr>
        <w:instrText xml:space="preserve"> PAGEREF _Toc25338 \h </w:instrText>
      </w:r>
      <w:r>
        <w:rPr>
          <w:color w:val="auto"/>
          <w:highlight w:val="none"/>
        </w:rPr>
        <w:fldChar w:fldCharType="separate"/>
      </w:r>
      <w:r>
        <w:rPr>
          <w:color w:val="auto"/>
          <w:highlight w:val="none"/>
        </w:rPr>
        <w:t>15</w:t>
      </w:r>
      <w:r>
        <w:rPr>
          <w:color w:val="auto"/>
          <w:highlight w:val="none"/>
        </w:rPr>
        <w:fldChar w:fldCharType="end"/>
      </w:r>
      <w:r>
        <w:rPr>
          <w:rFonts w:hint="eastAsia" w:ascii="宋体" w:hAnsi="宋体" w:cs="宋体"/>
          <w:color w:val="auto"/>
          <w:szCs w:val="28"/>
          <w:highlight w:val="none"/>
        </w:rPr>
        <w:fldChar w:fldCharType="end"/>
      </w:r>
    </w:p>
    <w:p w14:paraId="51A65111">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_Toc1776 </w:instrText>
      </w:r>
      <w:r>
        <w:rPr>
          <w:rFonts w:hint="eastAsia" w:ascii="宋体" w:hAnsi="宋体" w:cs="宋体"/>
          <w:color w:val="auto"/>
          <w:szCs w:val="28"/>
          <w:highlight w:val="none"/>
        </w:rPr>
        <w:fldChar w:fldCharType="separate"/>
      </w:r>
      <w:r>
        <w:rPr>
          <w:rFonts w:hint="eastAsia" w:ascii="宋体" w:hAnsi="宋体" w:eastAsia="宋体" w:cs="宋体"/>
          <w:color w:val="auto"/>
          <w:szCs w:val="28"/>
          <w:highlight w:val="none"/>
        </w:rPr>
        <w:t>七、授予合同</w:t>
      </w:r>
      <w:r>
        <w:rPr>
          <w:color w:val="auto"/>
          <w:highlight w:val="none"/>
        </w:rPr>
        <w:tab/>
      </w:r>
      <w:r>
        <w:rPr>
          <w:color w:val="auto"/>
          <w:highlight w:val="none"/>
        </w:rPr>
        <w:fldChar w:fldCharType="begin"/>
      </w:r>
      <w:r>
        <w:rPr>
          <w:color w:val="auto"/>
          <w:highlight w:val="none"/>
        </w:rPr>
        <w:instrText xml:space="preserve"> PAGEREF _Toc1776 \h </w:instrText>
      </w:r>
      <w:r>
        <w:rPr>
          <w:color w:val="auto"/>
          <w:highlight w:val="none"/>
        </w:rPr>
        <w:fldChar w:fldCharType="separate"/>
      </w:r>
      <w:r>
        <w:rPr>
          <w:color w:val="auto"/>
          <w:highlight w:val="none"/>
        </w:rPr>
        <w:t>17</w:t>
      </w:r>
      <w:r>
        <w:rPr>
          <w:color w:val="auto"/>
          <w:highlight w:val="none"/>
        </w:rPr>
        <w:fldChar w:fldCharType="end"/>
      </w:r>
      <w:r>
        <w:rPr>
          <w:rFonts w:hint="eastAsia" w:ascii="宋体" w:hAnsi="宋体" w:cs="宋体"/>
          <w:color w:val="auto"/>
          <w:szCs w:val="28"/>
          <w:highlight w:val="none"/>
        </w:rPr>
        <w:fldChar w:fldCharType="end"/>
      </w:r>
    </w:p>
    <w:p w14:paraId="5E3C18F7">
      <w:pPr>
        <w:pStyle w:val="23"/>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_Toc11854 </w:instrText>
      </w:r>
      <w:r>
        <w:rPr>
          <w:rFonts w:hint="eastAsia" w:ascii="宋体" w:hAnsi="宋体" w:cs="宋体"/>
          <w:color w:val="auto"/>
          <w:szCs w:val="28"/>
          <w:highlight w:val="none"/>
        </w:rPr>
        <w:fldChar w:fldCharType="separate"/>
      </w:r>
      <w:r>
        <w:rPr>
          <w:rFonts w:hint="eastAsia" w:ascii="宋体" w:hAnsi="宋体" w:eastAsia="宋体" w:cs="宋体"/>
          <w:bCs/>
          <w:color w:val="auto"/>
          <w:szCs w:val="36"/>
          <w:highlight w:val="none"/>
        </w:rPr>
        <w:t>第</w:t>
      </w:r>
      <w:r>
        <w:rPr>
          <w:rFonts w:hint="eastAsia" w:ascii="宋体" w:hAnsi="宋体" w:eastAsia="宋体" w:cs="宋体"/>
          <w:bCs/>
          <w:color w:val="auto"/>
          <w:szCs w:val="36"/>
          <w:highlight w:val="none"/>
          <w:lang w:val="en-US" w:eastAsia="zh-CN"/>
        </w:rPr>
        <w:t>三</w:t>
      </w:r>
      <w:r>
        <w:rPr>
          <w:rFonts w:hint="eastAsia" w:ascii="宋体" w:hAnsi="宋体" w:eastAsia="宋体" w:cs="宋体"/>
          <w:bCs/>
          <w:color w:val="auto"/>
          <w:szCs w:val="36"/>
          <w:highlight w:val="none"/>
        </w:rPr>
        <w:t xml:space="preserve">章  </w:t>
      </w:r>
      <w:r>
        <w:rPr>
          <w:rFonts w:hint="eastAsia" w:ascii="宋体" w:hAnsi="宋体" w:cs="宋体"/>
          <w:bCs/>
          <w:color w:val="auto"/>
          <w:szCs w:val="36"/>
          <w:highlight w:val="none"/>
        </w:rPr>
        <w:t>合同文本</w:t>
      </w:r>
      <w:r>
        <w:rPr>
          <w:color w:val="auto"/>
          <w:highlight w:val="none"/>
        </w:rPr>
        <w:tab/>
      </w:r>
      <w:r>
        <w:rPr>
          <w:color w:val="auto"/>
          <w:highlight w:val="none"/>
        </w:rPr>
        <w:fldChar w:fldCharType="begin"/>
      </w:r>
      <w:r>
        <w:rPr>
          <w:color w:val="auto"/>
          <w:highlight w:val="none"/>
        </w:rPr>
        <w:instrText xml:space="preserve"> PAGEREF _Toc11854 \h </w:instrText>
      </w:r>
      <w:r>
        <w:rPr>
          <w:color w:val="auto"/>
          <w:highlight w:val="none"/>
        </w:rPr>
        <w:fldChar w:fldCharType="separate"/>
      </w:r>
      <w:r>
        <w:rPr>
          <w:color w:val="auto"/>
          <w:highlight w:val="none"/>
        </w:rPr>
        <w:t>21</w:t>
      </w:r>
      <w:r>
        <w:rPr>
          <w:color w:val="auto"/>
          <w:highlight w:val="none"/>
        </w:rPr>
        <w:fldChar w:fldCharType="end"/>
      </w:r>
      <w:r>
        <w:rPr>
          <w:rFonts w:hint="eastAsia" w:ascii="宋体" w:hAnsi="宋体" w:cs="宋体"/>
          <w:color w:val="auto"/>
          <w:szCs w:val="28"/>
          <w:highlight w:val="none"/>
        </w:rPr>
        <w:fldChar w:fldCharType="end"/>
      </w:r>
    </w:p>
    <w:p w14:paraId="64DBDD8D">
      <w:pPr>
        <w:pStyle w:val="23"/>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_Toc23013 </w:instrText>
      </w:r>
      <w:r>
        <w:rPr>
          <w:rFonts w:hint="eastAsia" w:ascii="宋体" w:hAnsi="宋体" w:cs="宋体"/>
          <w:color w:val="auto"/>
          <w:szCs w:val="28"/>
          <w:highlight w:val="none"/>
        </w:rPr>
        <w:fldChar w:fldCharType="separate"/>
      </w:r>
      <w:r>
        <w:rPr>
          <w:rFonts w:hint="eastAsia" w:ascii="宋体" w:hAnsi="宋体" w:cs="宋体"/>
          <w:bCs/>
          <w:color w:val="auto"/>
          <w:szCs w:val="36"/>
          <w:highlight w:val="none"/>
        </w:rPr>
        <w:t>第四章  采购需求</w:t>
      </w:r>
      <w:r>
        <w:rPr>
          <w:color w:val="auto"/>
          <w:highlight w:val="none"/>
        </w:rPr>
        <w:tab/>
      </w:r>
      <w:r>
        <w:rPr>
          <w:color w:val="auto"/>
          <w:highlight w:val="none"/>
        </w:rPr>
        <w:fldChar w:fldCharType="begin"/>
      </w:r>
      <w:r>
        <w:rPr>
          <w:color w:val="auto"/>
          <w:highlight w:val="none"/>
        </w:rPr>
        <w:instrText xml:space="preserve"> PAGEREF _Toc23013 \h </w:instrText>
      </w:r>
      <w:r>
        <w:rPr>
          <w:color w:val="auto"/>
          <w:highlight w:val="none"/>
        </w:rPr>
        <w:fldChar w:fldCharType="separate"/>
      </w:r>
      <w:r>
        <w:rPr>
          <w:color w:val="auto"/>
          <w:highlight w:val="none"/>
        </w:rPr>
        <w:t>29</w:t>
      </w:r>
      <w:r>
        <w:rPr>
          <w:color w:val="auto"/>
          <w:highlight w:val="none"/>
        </w:rPr>
        <w:fldChar w:fldCharType="end"/>
      </w:r>
      <w:r>
        <w:rPr>
          <w:rFonts w:hint="eastAsia" w:ascii="宋体" w:hAnsi="宋体" w:cs="宋体"/>
          <w:color w:val="auto"/>
          <w:szCs w:val="28"/>
          <w:highlight w:val="none"/>
        </w:rPr>
        <w:fldChar w:fldCharType="end"/>
      </w:r>
    </w:p>
    <w:p w14:paraId="12B960EC">
      <w:pPr>
        <w:pStyle w:val="23"/>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_Toc8128 </w:instrText>
      </w:r>
      <w:r>
        <w:rPr>
          <w:rFonts w:hint="eastAsia" w:ascii="宋体" w:hAnsi="宋体" w:cs="宋体"/>
          <w:color w:val="auto"/>
          <w:szCs w:val="28"/>
          <w:highlight w:val="none"/>
        </w:rPr>
        <w:fldChar w:fldCharType="separate"/>
      </w:r>
      <w:r>
        <w:rPr>
          <w:rFonts w:hint="eastAsia" w:ascii="宋体" w:hAnsi="宋体" w:cs="宋体"/>
          <w:bCs/>
          <w:color w:val="auto"/>
          <w:szCs w:val="36"/>
          <w:highlight w:val="none"/>
        </w:rPr>
        <w:t>第五章  评标方法与评标标准</w:t>
      </w:r>
      <w:r>
        <w:rPr>
          <w:color w:val="auto"/>
          <w:highlight w:val="none"/>
        </w:rPr>
        <w:tab/>
      </w:r>
      <w:r>
        <w:rPr>
          <w:color w:val="auto"/>
          <w:highlight w:val="none"/>
        </w:rPr>
        <w:fldChar w:fldCharType="begin"/>
      </w:r>
      <w:r>
        <w:rPr>
          <w:color w:val="auto"/>
          <w:highlight w:val="none"/>
        </w:rPr>
        <w:instrText xml:space="preserve"> PAGEREF _Toc8128 \h </w:instrText>
      </w:r>
      <w:r>
        <w:rPr>
          <w:color w:val="auto"/>
          <w:highlight w:val="none"/>
        </w:rPr>
        <w:fldChar w:fldCharType="separate"/>
      </w:r>
      <w:r>
        <w:rPr>
          <w:color w:val="auto"/>
          <w:highlight w:val="none"/>
        </w:rPr>
        <w:t>40</w:t>
      </w:r>
      <w:r>
        <w:rPr>
          <w:color w:val="auto"/>
          <w:highlight w:val="none"/>
        </w:rPr>
        <w:fldChar w:fldCharType="end"/>
      </w:r>
      <w:r>
        <w:rPr>
          <w:rFonts w:hint="eastAsia" w:ascii="宋体" w:hAnsi="宋体" w:cs="宋体"/>
          <w:color w:val="auto"/>
          <w:szCs w:val="28"/>
          <w:highlight w:val="none"/>
        </w:rPr>
        <w:fldChar w:fldCharType="end"/>
      </w:r>
    </w:p>
    <w:p w14:paraId="6AEFC019">
      <w:pPr>
        <w:pStyle w:val="23"/>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_Toc11068 </w:instrText>
      </w:r>
      <w:r>
        <w:rPr>
          <w:rFonts w:hint="eastAsia" w:ascii="宋体" w:hAnsi="宋体" w:cs="宋体"/>
          <w:color w:val="auto"/>
          <w:szCs w:val="28"/>
          <w:highlight w:val="none"/>
        </w:rPr>
        <w:fldChar w:fldCharType="separate"/>
      </w:r>
      <w:r>
        <w:rPr>
          <w:rFonts w:hint="eastAsia" w:ascii="宋体" w:hAnsi="宋体" w:eastAsia="宋体" w:cs="宋体"/>
          <w:bCs/>
          <w:color w:val="auto"/>
          <w:szCs w:val="36"/>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_Toc11068 \h </w:instrText>
      </w:r>
      <w:r>
        <w:rPr>
          <w:color w:val="auto"/>
          <w:highlight w:val="none"/>
        </w:rPr>
        <w:fldChar w:fldCharType="separate"/>
      </w:r>
      <w:r>
        <w:rPr>
          <w:color w:val="auto"/>
          <w:highlight w:val="none"/>
        </w:rPr>
        <w:t>46</w:t>
      </w:r>
      <w:r>
        <w:rPr>
          <w:color w:val="auto"/>
          <w:highlight w:val="none"/>
        </w:rPr>
        <w:fldChar w:fldCharType="end"/>
      </w:r>
      <w:r>
        <w:rPr>
          <w:rFonts w:hint="eastAsia" w:ascii="宋体" w:hAnsi="宋体" w:cs="宋体"/>
          <w:color w:val="auto"/>
          <w:szCs w:val="28"/>
          <w:highlight w:val="none"/>
        </w:rPr>
        <w:fldChar w:fldCharType="end"/>
      </w:r>
    </w:p>
    <w:p w14:paraId="30B89690">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_Toc3280 </w:instrText>
      </w:r>
      <w:r>
        <w:rPr>
          <w:rFonts w:hint="eastAsia" w:ascii="宋体" w:hAnsi="宋体" w:cs="宋体"/>
          <w:color w:val="auto"/>
          <w:szCs w:val="28"/>
          <w:highlight w:val="none"/>
        </w:rPr>
        <w:fldChar w:fldCharType="separate"/>
      </w:r>
      <w:r>
        <w:rPr>
          <w:rFonts w:hint="eastAsia" w:ascii="宋体" w:hAnsi="宋体" w:cs="宋体"/>
          <w:bCs/>
          <w:color w:val="auto"/>
          <w:szCs w:val="28"/>
          <w:highlight w:val="none"/>
        </w:rPr>
        <w:t>投标文件目录</w:t>
      </w:r>
      <w:r>
        <w:rPr>
          <w:color w:val="auto"/>
          <w:highlight w:val="none"/>
        </w:rPr>
        <w:tab/>
      </w:r>
      <w:r>
        <w:rPr>
          <w:color w:val="auto"/>
          <w:highlight w:val="none"/>
        </w:rPr>
        <w:fldChar w:fldCharType="begin"/>
      </w:r>
      <w:r>
        <w:rPr>
          <w:color w:val="auto"/>
          <w:highlight w:val="none"/>
        </w:rPr>
        <w:instrText xml:space="preserve"> PAGEREF _Toc3280 \h </w:instrText>
      </w:r>
      <w:r>
        <w:rPr>
          <w:color w:val="auto"/>
          <w:highlight w:val="none"/>
        </w:rPr>
        <w:fldChar w:fldCharType="separate"/>
      </w:r>
      <w:r>
        <w:rPr>
          <w:color w:val="auto"/>
          <w:highlight w:val="none"/>
        </w:rPr>
        <w:t>47</w:t>
      </w:r>
      <w:r>
        <w:rPr>
          <w:color w:val="auto"/>
          <w:highlight w:val="none"/>
        </w:rPr>
        <w:fldChar w:fldCharType="end"/>
      </w:r>
      <w:r>
        <w:rPr>
          <w:rFonts w:hint="eastAsia" w:ascii="宋体" w:hAnsi="宋体" w:cs="宋体"/>
          <w:color w:val="auto"/>
          <w:szCs w:val="28"/>
          <w:highlight w:val="none"/>
        </w:rPr>
        <w:fldChar w:fldCharType="end"/>
      </w:r>
    </w:p>
    <w:p w14:paraId="0482E4F2">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_Toc19050 </w:instrText>
      </w:r>
      <w:r>
        <w:rPr>
          <w:rFonts w:hint="eastAsia" w:ascii="宋体" w:hAnsi="宋体" w:cs="宋体"/>
          <w:color w:val="auto"/>
          <w:szCs w:val="28"/>
          <w:highlight w:val="none"/>
        </w:rPr>
        <w:fldChar w:fldCharType="separate"/>
      </w:r>
      <w:r>
        <w:rPr>
          <w:rFonts w:hint="eastAsia" w:ascii="宋体" w:hAnsi="宋体" w:eastAsia="宋体" w:cs="宋体"/>
          <w:color w:val="auto"/>
          <w:szCs w:val="28"/>
          <w:highlight w:val="none"/>
        </w:rPr>
        <w:t>一、投标声明及承诺函</w:t>
      </w:r>
      <w:r>
        <w:rPr>
          <w:color w:val="auto"/>
          <w:highlight w:val="none"/>
        </w:rPr>
        <w:tab/>
      </w:r>
      <w:r>
        <w:rPr>
          <w:color w:val="auto"/>
          <w:highlight w:val="none"/>
        </w:rPr>
        <w:fldChar w:fldCharType="begin"/>
      </w:r>
      <w:r>
        <w:rPr>
          <w:color w:val="auto"/>
          <w:highlight w:val="none"/>
        </w:rPr>
        <w:instrText xml:space="preserve"> PAGEREF _Toc19050 \h </w:instrText>
      </w:r>
      <w:r>
        <w:rPr>
          <w:color w:val="auto"/>
          <w:highlight w:val="none"/>
        </w:rPr>
        <w:fldChar w:fldCharType="separate"/>
      </w:r>
      <w:r>
        <w:rPr>
          <w:color w:val="auto"/>
          <w:highlight w:val="none"/>
        </w:rPr>
        <w:t>48</w:t>
      </w:r>
      <w:r>
        <w:rPr>
          <w:color w:val="auto"/>
          <w:highlight w:val="none"/>
        </w:rPr>
        <w:fldChar w:fldCharType="end"/>
      </w:r>
      <w:r>
        <w:rPr>
          <w:rFonts w:hint="eastAsia" w:ascii="宋体" w:hAnsi="宋体" w:cs="宋体"/>
          <w:color w:val="auto"/>
          <w:szCs w:val="28"/>
          <w:highlight w:val="none"/>
        </w:rPr>
        <w:fldChar w:fldCharType="end"/>
      </w:r>
    </w:p>
    <w:p w14:paraId="04A013AB">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_Toc24396 </w:instrText>
      </w:r>
      <w:r>
        <w:rPr>
          <w:rFonts w:hint="eastAsia" w:ascii="宋体" w:hAnsi="宋体" w:cs="宋体"/>
          <w:color w:val="auto"/>
          <w:szCs w:val="28"/>
          <w:highlight w:val="none"/>
        </w:rPr>
        <w:fldChar w:fldCharType="separate"/>
      </w:r>
      <w:r>
        <w:rPr>
          <w:rFonts w:hint="eastAsia" w:ascii="宋体" w:hAnsi="宋体" w:eastAsia="宋体" w:cs="宋体"/>
          <w:color w:val="auto"/>
          <w:szCs w:val="28"/>
          <w:highlight w:val="none"/>
        </w:rPr>
        <w:t>二、投标人基本情况</w:t>
      </w:r>
      <w:r>
        <w:rPr>
          <w:color w:val="auto"/>
          <w:highlight w:val="none"/>
        </w:rPr>
        <w:tab/>
      </w:r>
      <w:r>
        <w:rPr>
          <w:color w:val="auto"/>
          <w:highlight w:val="none"/>
        </w:rPr>
        <w:fldChar w:fldCharType="begin"/>
      </w:r>
      <w:r>
        <w:rPr>
          <w:color w:val="auto"/>
          <w:highlight w:val="none"/>
        </w:rPr>
        <w:instrText xml:space="preserve"> PAGEREF _Toc24396 \h </w:instrText>
      </w:r>
      <w:r>
        <w:rPr>
          <w:color w:val="auto"/>
          <w:highlight w:val="none"/>
        </w:rPr>
        <w:fldChar w:fldCharType="separate"/>
      </w:r>
      <w:r>
        <w:rPr>
          <w:color w:val="auto"/>
          <w:highlight w:val="none"/>
        </w:rPr>
        <w:t>49</w:t>
      </w:r>
      <w:r>
        <w:rPr>
          <w:color w:val="auto"/>
          <w:highlight w:val="none"/>
        </w:rPr>
        <w:fldChar w:fldCharType="end"/>
      </w:r>
      <w:r>
        <w:rPr>
          <w:rFonts w:hint="eastAsia" w:ascii="宋体" w:hAnsi="宋体" w:cs="宋体"/>
          <w:color w:val="auto"/>
          <w:szCs w:val="28"/>
          <w:highlight w:val="none"/>
        </w:rPr>
        <w:fldChar w:fldCharType="end"/>
      </w:r>
    </w:p>
    <w:p w14:paraId="35BC75B3">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_Toc6534 </w:instrText>
      </w:r>
      <w:r>
        <w:rPr>
          <w:rFonts w:hint="eastAsia" w:ascii="宋体" w:hAnsi="宋体" w:cs="宋体"/>
          <w:color w:val="auto"/>
          <w:szCs w:val="28"/>
          <w:highlight w:val="none"/>
        </w:rPr>
        <w:fldChar w:fldCharType="separate"/>
      </w:r>
      <w:r>
        <w:rPr>
          <w:rFonts w:hint="eastAsia" w:ascii="宋体" w:hAnsi="宋体" w:cs="宋体"/>
          <w:color w:val="auto"/>
          <w:szCs w:val="28"/>
          <w:highlight w:val="none"/>
        </w:rPr>
        <w:t>三、特定资格要求的证明文件</w:t>
      </w:r>
      <w:r>
        <w:rPr>
          <w:color w:val="auto"/>
          <w:highlight w:val="none"/>
        </w:rPr>
        <w:tab/>
      </w:r>
      <w:r>
        <w:rPr>
          <w:color w:val="auto"/>
          <w:highlight w:val="none"/>
        </w:rPr>
        <w:fldChar w:fldCharType="begin"/>
      </w:r>
      <w:r>
        <w:rPr>
          <w:color w:val="auto"/>
          <w:highlight w:val="none"/>
        </w:rPr>
        <w:instrText xml:space="preserve"> PAGEREF _Toc6534 \h </w:instrText>
      </w:r>
      <w:r>
        <w:rPr>
          <w:color w:val="auto"/>
          <w:highlight w:val="none"/>
        </w:rPr>
        <w:fldChar w:fldCharType="separate"/>
      </w:r>
      <w:r>
        <w:rPr>
          <w:color w:val="auto"/>
          <w:highlight w:val="none"/>
        </w:rPr>
        <w:t>50</w:t>
      </w:r>
      <w:r>
        <w:rPr>
          <w:color w:val="auto"/>
          <w:highlight w:val="none"/>
        </w:rPr>
        <w:fldChar w:fldCharType="end"/>
      </w:r>
      <w:r>
        <w:rPr>
          <w:rFonts w:hint="eastAsia" w:ascii="宋体" w:hAnsi="宋体" w:cs="宋体"/>
          <w:color w:val="auto"/>
          <w:szCs w:val="28"/>
          <w:highlight w:val="none"/>
        </w:rPr>
        <w:fldChar w:fldCharType="end"/>
      </w:r>
    </w:p>
    <w:p w14:paraId="2C6A87D1">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_Toc6758 </w:instrText>
      </w:r>
      <w:r>
        <w:rPr>
          <w:rFonts w:hint="eastAsia" w:ascii="宋体" w:hAnsi="宋体" w:cs="宋体"/>
          <w:color w:val="auto"/>
          <w:szCs w:val="28"/>
          <w:highlight w:val="none"/>
        </w:rPr>
        <w:fldChar w:fldCharType="separate"/>
      </w:r>
      <w:r>
        <w:rPr>
          <w:rFonts w:hint="eastAsia" w:ascii="宋体" w:hAnsi="宋体" w:cs="宋体"/>
          <w:color w:val="auto"/>
          <w:szCs w:val="28"/>
          <w:highlight w:val="none"/>
        </w:rPr>
        <w:t>四、法定代表人身份证明或法人授权书</w:t>
      </w:r>
      <w:r>
        <w:rPr>
          <w:color w:val="auto"/>
          <w:highlight w:val="none"/>
        </w:rPr>
        <w:tab/>
      </w:r>
      <w:r>
        <w:rPr>
          <w:color w:val="auto"/>
          <w:highlight w:val="none"/>
        </w:rPr>
        <w:fldChar w:fldCharType="begin"/>
      </w:r>
      <w:r>
        <w:rPr>
          <w:color w:val="auto"/>
          <w:highlight w:val="none"/>
        </w:rPr>
        <w:instrText xml:space="preserve"> PAGEREF _Toc6758 \h </w:instrText>
      </w:r>
      <w:r>
        <w:rPr>
          <w:color w:val="auto"/>
          <w:highlight w:val="none"/>
        </w:rPr>
        <w:fldChar w:fldCharType="separate"/>
      </w:r>
      <w:r>
        <w:rPr>
          <w:color w:val="auto"/>
          <w:highlight w:val="none"/>
        </w:rPr>
        <w:t>51</w:t>
      </w:r>
      <w:r>
        <w:rPr>
          <w:color w:val="auto"/>
          <w:highlight w:val="none"/>
        </w:rPr>
        <w:fldChar w:fldCharType="end"/>
      </w:r>
      <w:r>
        <w:rPr>
          <w:rFonts w:hint="eastAsia" w:ascii="宋体" w:hAnsi="宋体" w:cs="宋体"/>
          <w:color w:val="auto"/>
          <w:szCs w:val="28"/>
          <w:highlight w:val="none"/>
        </w:rPr>
        <w:fldChar w:fldCharType="end"/>
      </w:r>
    </w:p>
    <w:p w14:paraId="2E590226">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_Toc31374 </w:instrText>
      </w:r>
      <w:r>
        <w:rPr>
          <w:rFonts w:hint="eastAsia" w:ascii="宋体" w:hAnsi="宋体" w:cs="宋体"/>
          <w:color w:val="auto"/>
          <w:szCs w:val="28"/>
          <w:highlight w:val="none"/>
        </w:rPr>
        <w:fldChar w:fldCharType="separate"/>
      </w:r>
      <w:r>
        <w:rPr>
          <w:rFonts w:hint="eastAsia" w:ascii="宋体" w:hAnsi="宋体" w:cs="宋体"/>
          <w:color w:val="auto"/>
          <w:szCs w:val="28"/>
          <w:highlight w:val="none"/>
        </w:rPr>
        <w:t>五、开标一览表</w:t>
      </w:r>
      <w:r>
        <w:rPr>
          <w:color w:val="auto"/>
          <w:highlight w:val="none"/>
        </w:rPr>
        <w:tab/>
      </w:r>
      <w:r>
        <w:rPr>
          <w:color w:val="auto"/>
          <w:highlight w:val="none"/>
        </w:rPr>
        <w:fldChar w:fldCharType="begin"/>
      </w:r>
      <w:r>
        <w:rPr>
          <w:color w:val="auto"/>
          <w:highlight w:val="none"/>
        </w:rPr>
        <w:instrText xml:space="preserve"> PAGEREF _Toc31374 \h </w:instrText>
      </w:r>
      <w:r>
        <w:rPr>
          <w:color w:val="auto"/>
          <w:highlight w:val="none"/>
        </w:rPr>
        <w:fldChar w:fldCharType="separate"/>
      </w:r>
      <w:r>
        <w:rPr>
          <w:color w:val="auto"/>
          <w:highlight w:val="none"/>
        </w:rPr>
        <w:t>53</w:t>
      </w:r>
      <w:r>
        <w:rPr>
          <w:color w:val="auto"/>
          <w:highlight w:val="none"/>
        </w:rPr>
        <w:fldChar w:fldCharType="end"/>
      </w:r>
      <w:r>
        <w:rPr>
          <w:rFonts w:hint="eastAsia" w:ascii="宋体" w:hAnsi="宋体" w:cs="宋体"/>
          <w:color w:val="auto"/>
          <w:szCs w:val="28"/>
          <w:highlight w:val="none"/>
        </w:rPr>
        <w:fldChar w:fldCharType="end"/>
      </w:r>
    </w:p>
    <w:p w14:paraId="621E9CE8">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_Toc7537 </w:instrText>
      </w:r>
      <w:r>
        <w:rPr>
          <w:rFonts w:hint="eastAsia" w:ascii="宋体" w:hAnsi="宋体" w:cs="宋体"/>
          <w:color w:val="auto"/>
          <w:szCs w:val="28"/>
          <w:highlight w:val="none"/>
        </w:rPr>
        <w:fldChar w:fldCharType="separate"/>
      </w:r>
      <w:r>
        <w:rPr>
          <w:rFonts w:hint="eastAsia" w:ascii="宋体" w:hAnsi="宋体" w:cs="宋体"/>
          <w:color w:val="auto"/>
          <w:szCs w:val="28"/>
          <w:highlight w:val="none"/>
        </w:rPr>
        <w:t>六、中小企业或残疾人福利性单位声明函</w:t>
      </w:r>
      <w:r>
        <w:rPr>
          <w:color w:val="auto"/>
          <w:highlight w:val="none"/>
        </w:rPr>
        <w:tab/>
      </w:r>
      <w:r>
        <w:rPr>
          <w:color w:val="auto"/>
          <w:highlight w:val="none"/>
        </w:rPr>
        <w:fldChar w:fldCharType="begin"/>
      </w:r>
      <w:r>
        <w:rPr>
          <w:color w:val="auto"/>
          <w:highlight w:val="none"/>
        </w:rPr>
        <w:instrText xml:space="preserve"> PAGEREF _Toc7537 \h </w:instrText>
      </w:r>
      <w:r>
        <w:rPr>
          <w:color w:val="auto"/>
          <w:highlight w:val="none"/>
        </w:rPr>
        <w:fldChar w:fldCharType="separate"/>
      </w:r>
      <w:r>
        <w:rPr>
          <w:color w:val="auto"/>
          <w:highlight w:val="none"/>
        </w:rPr>
        <w:t>55</w:t>
      </w:r>
      <w:r>
        <w:rPr>
          <w:color w:val="auto"/>
          <w:highlight w:val="none"/>
        </w:rPr>
        <w:fldChar w:fldCharType="end"/>
      </w:r>
      <w:r>
        <w:rPr>
          <w:rFonts w:hint="eastAsia" w:ascii="宋体" w:hAnsi="宋体" w:cs="宋体"/>
          <w:color w:val="auto"/>
          <w:szCs w:val="28"/>
          <w:highlight w:val="none"/>
        </w:rPr>
        <w:fldChar w:fldCharType="end"/>
      </w:r>
    </w:p>
    <w:p w14:paraId="2D679865">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_Toc26536 </w:instrText>
      </w:r>
      <w:r>
        <w:rPr>
          <w:rFonts w:hint="eastAsia" w:ascii="宋体" w:hAnsi="宋体" w:cs="宋体"/>
          <w:color w:val="auto"/>
          <w:szCs w:val="28"/>
          <w:highlight w:val="none"/>
        </w:rPr>
        <w:fldChar w:fldCharType="separate"/>
      </w:r>
      <w:r>
        <w:rPr>
          <w:rFonts w:hint="eastAsia" w:ascii="宋体" w:hAnsi="宋体" w:cs="宋体"/>
          <w:bCs/>
          <w:color w:val="auto"/>
          <w:szCs w:val="28"/>
          <w:highlight w:val="none"/>
        </w:rPr>
        <w:t>七、响应及偏离表</w:t>
      </w:r>
      <w:r>
        <w:rPr>
          <w:color w:val="auto"/>
          <w:highlight w:val="none"/>
        </w:rPr>
        <w:tab/>
      </w:r>
      <w:r>
        <w:rPr>
          <w:color w:val="auto"/>
          <w:highlight w:val="none"/>
        </w:rPr>
        <w:fldChar w:fldCharType="begin"/>
      </w:r>
      <w:r>
        <w:rPr>
          <w:color w:val="auto"/>
          <w:highlight w:val="none"/>
        </w:rPr>
        <w:instrText xml:space="preserve"> PAGEREF _Toc26536 \h </w:instrText>
      </w:r>
      <w:r>
        <w:rPr>
          <w:color w:val="auto"/>
          <w:highlight w:val="none"/>
        </w:rPr>
        <w:fldChar w:fldCharType="separate"/>
      </w:r>
      <w:r>
        <w:rPr>
          <w:color w:val="auto"/>
          <w:highlight w:val="none"/>
        </w:rPr>
        <w:t>57</w:t>
      </w:r>
      <w:r>
        <w:rPr>
          <w:color w:val="auto"/>
          <w:highlight w:val="none"/>
        </w:rPr>
        <w:fldChar w:fldCharType="end"/>
      </w:r>
      <w:r>
        <w:rPr>
          <w:rFonts w:hint="eastAsia" w:ascii="宋体" w:hAnsi="宋体" w:cs="宋体"/>
          <w:color w:val="auto"/>
          <w:szCs w:val="28"/>
          <w:highlight w:val="none"/>
        </w:rPr>
        <w:fldChar w:fldCharType="end"/>
      </w:r>
    </w:p>
    <w:p w14:paraId="2B3478D3">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_Toc14738 </w:instrText>
      </w:r>
      <w:r>
        <w:rPr>
          <w:rFonts w:hint="eastAsia" w:ascii="宋体" w:hAnsi="宋体" w:cs="宋体"/>
          <w:color w:val="auto"/>
          <w:szCs w:val="28"/>
          <w:highlight w:val="none"/>
        </w:rPr>
        <w:fldChar w:fldCharType="separate"/>
      </w:r>
      <w:r>
        <w:rPr>
          <w:rFonts w:hint="eastAsia" w:ascii="宋体" w:hAnsi="宋体" w:eastAsia="宋体" w:cs="宋体"/>
          <w:color w:val="auto"/>
          <w:szCs w:val="28"/>
          <w:highlight w:val="none"/>
        </w:rPr>
        <w:t>八、项目组人员</w:t>
      </w:r>
      <w:r>
        <w:rPr>
          <w:color w:val="auto"/>
          <w:highlight w:val="none"/>
        </w:rPr>
        <w:tab/>
      </w:r>
      <w:r>
        <w:rPr>
          <w:color w:val="auto"/>
          <w:highlight w:val="none"/>
        </w:rPr>
        <w:fldChar w:fldCharType="begin"/>
      </w:r>
      <w:r>
        <w:rPr>
          <w:color w:val="auto"/>
          <w:highlight w:val="none"/>
        </w:rPr>
        <w:instrText xml:space="preserve"> PAGEREF _Toc14738 \h </w:instrText>
      </w:r>
      <w:r>
        <w:rPr>
          <w:color w:val="auto"/>
          <w:highlight w:val="none"/>
        </w:rPr>
        <w:fldChar w:fldCharType="separate"/>
      </w:r>
      <w:r>
        <w:rPr>
          <w:color w:val="auto"/>
          <w:highlight w:val="none"/>
        </w:rPr>
        <w:t>58</w:t>
      </w:r>
      <w:r>
        <w:rPr>
          <w:color w:val="auto"/>
          <w:highlight w:val="none"/>
        </w:rPr>
        <w:fldChar w:fldCharType="end"/>
      </w:r>
      <w:r>
        <w:rPr>
          <w:rFonts w:hint="eastAsia" w:ascii="宋体" w:hAnsi="宋体" w:cs="宋体"/>
          <w:color w:val="auto"/>
          <w:szCs w:val="28"/>
          <w:highlight w:val="none"/>
        </w:rPr>
        <w:fldChar w:fldCharType="end"/>
      </w:r>
    </w:p>
    <w:p w14:paraId="31B2E5AA">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_Toc5784 </w:instrText>
      </w:r>
      <w:r>
        <w:rPr>
          <w:rFonts w:hint="eastAsia" w:ascii="宋体" w:hAnsi="宋体" w:cs="宋体"/>
          <w:color w:val="auto"/>
          <w:szCs w:val="28"/>
          <w:highlight w:val="none"/>
        </w:rPr>
        <w:fldChar w:fldCharType="separate"/>
      </w:r>
      <w:r>
        <w:rPr>
          <w:rFonts w:hint="eastAsia" w:ascii="宋体" w:hAnsi="宋体" w:cs="宋体"/>
          <w:bCs/>
          <w:color w:val="auto"/>
          <w:szCs w:val="28"/>
          <w:highlight w:val="none"/>
        </w:rPr>
        <w:t>九、企业业绩</w:t>
      </w:r>
      <w:r>
        <w:rPr>
          <w:color w:val="auto"/>
          <w:highlight w:val="none"/>
        </w:rPr>
        <w:tab/>
      </w:r>
      <w:r>
        <w:rPr>
          <w:color w:val="auto"/>
          <w:highlight w:val="none"/>
        </w:rPr>
        <w:fldChar w:fldCharType="begin"/>
      </w:r>
      <w:r>
        <w:rPr>
          <w:color w:val="auto"/>
          <w:highlight w:val="none"/>
        </w:rPr>
        <w:instrText xml:space="preserve"> PAGEREF _Toc5784 \h </w:instrText>
      </w:r>
      <w:r>
        <w:rPr>
          <w:color w:val="auto"/>
          <w:highlight w:val="none"/>
        </w:rPr>
        <w:fldChar w:fldCharType="separate"/>
      </w:r>
      <w:r>
        <w:rPr>
          <w:color w:val="auto"/>
          <w:highlight w:val="none"/>
        </w:rPr>
        <w:t>59</w:t>
      </w:r>
      <w:r>
        <w:rPr>
          <w:color w:val="auto"/>
          <w:highlight w:val="none"/>
        </w:rPr>
        <w:fldChar w:fldCharType="end"/>
      </w:r>
      <w:r>
        <w:rPr>
          <w:rFonts w:hint="eastAsia" w:ascii="宋体" w:hAnsi="宋体" w:cs="宋体"/>
          <w:color w:val="auto"/>
          <w:szCs w:val="28"/>
          <w:highlight w:val="none"/>
        </w:rPr>
        <w:fldChar w:fldCharType="end"/>
      </w:r>
    </w:p>
    <w:p w14:paraId="3DE63663">
      <w:pPr>
        <w:pStyle w:val="29"/>
        <w:tabs>
          <w:tab w:val="right" w:leader="dot" w:pos="8953"/>
        </w:tabs>
        <w:rPr>
          <w:color w:val="auto"/>
          <w:highlight w:val="none"/>
        </w:rPr>
      </w:pPr>
      <w:r>
        <w:rPr>
          <w:rFonts w:hint="eastAsia" w:ascii="宋体" w:hAnsi="宋体" w:cs="宋体"/>
          <w:color w:val="auto"/>
          <w:szCs w:val="28"/>
          <w:highlight w:val="none"/>
        </w:rPr>
        <w:fldChar w:fldCharType="begin"/>
      </w:r>
      <w:r>
        <w:rPr>
          <w:rFonts w:hint="eastAsia" w:ascii="宋体" w:hAnsi="宋体" w:cs="宋体"/>
          <w:color w:val="auto"/>
          <w:szCs w:val="28"/>
          <w:highlight w:val="none"/>
        </w:rPr>
        <w:instrText xml:space="preserve"> HYPERLINK \l _Toc6630 </w:instrText>
      </w:r>
      <w:r>
        <w:rPr>
          <w:rFonts w:hint="eastAsia" w:ascii="宋体" w:hAnsi="宋体" w:cs="宋体"/>
          <w:color w:val="auto"/>
          <w:szCs w:val="28"/>
          <w:highlight w:val="none"/>
        </w:rPr>
        <w:fldChar w:fldCharType="separate"/>
      </w:r>
      <w:r>
        <w:rPr>
          <w:rFonts w:hint="eastAsia" w:ascii="宋体" w:hAnsi="宋体" w:eastAsia="宋体" w:cs="宋体"/>
          <w:color w:val="auto"/>
          <w:szCs w:val="28"/>
          <w:highlight w:val="none"/>
        </w:rPr>
        <w:t>十、投标所需其他材料</w:t>
      </w:r>
      <w:r>
        <w:rPr>
          <w:color w:val="auto"/>
          <w:highlight w:val="none"/>
        </w:rPr>
        <w:tab/>
      </w:r>
      <w:r>
        <w:rPr>
          <w:color w:val="auto"/>
          <w:highlight w:val="none"/>
        </w:rPr>
        <w:fldChar w:fldCharType="begin"/>
      </w:r>
      <w:r>
        <w:rPr>
          <w:color w:val="auto"/>
          <w:highlight w:val="none"/>
        </w:rPr>
        <w:instrText xml:space="preserve"> PAGEREF _Toc6630 \h </w:instrText>
      </w:r>
      <w:r>
        <w:rPr>
          <w:color w:val="auto"/>
          <w:highlight w:val="none"/>
        </w:rPr>
        <w:fldChar w:fldCharType="separate"/>
      </w:r>
      <w:r>
        <w:rPr>
          <w:color w:val="auto"/>
          <w:highlight w:val="none"/>
        </w:rPr>
        <w:t>60</w:t>
      </w:r>
      <w:r>
        <w:rPr>
          <w:color w:val="auto"/>
          <w:highlight w:val="none"/>
        </w:rPr>
        <w:fldChar w:fldCharType="end"/>
      </w:r>
      <w:r>
        <w:rPr>
          <w:rFonts w:hint="eastAsia" w:ascii="宋体" w:hAnsi="宋体" w:cs="宋体"/>
          <w:color w:val="auto"/>
          <w:szCs w:val="28"/>
          <w:highlight w:val="none"/>
        </w:rPr>
        <w:fldChar w:fldCharType="end"/>
      </w:r>
    </w:p>
    <w:p w14:paraId="3DE289B6">
      <w:pPr>
        <w:rPr>
          <w:rFonts w:hint="eastAsia" w:ascii="宋体" w:hAnsi="宋体" w:cs="宋体"/>
          <w:color w:val="auto"/>
          <w:sz w:val="28"/>
          <w:szCs w:val="28"/>
          <w:highlight w:val="none"/>
        </w:rPr>
      </w:pPr>
      <w:r>
        <w:rPr>
          <w:rFonts w:hint="eastAsia" w:ascii="宋体" w:hAnsi="宋体" w:cs="宋体"/>
          <w:color w:val="auto"/>
          <w:szCs w:val="28"/>
          <w:highlight w:val="none"/>
        </w:rPr>
        <w:fldChar w:fldCharType="end"/>
      </w:r>
    </w:p>
    <w:p w14:paraId="6C4FF8E4">
      <w:pPr>
        <w:pStyle w:val="228"/>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bookmarkStart w:id="7" w:name="_Toc26175"/>
      <w:bookmarkStart w:id="8" w:name="_Toc32085"/>
      <w:bookmarkStart w:id="9" w:name="_Toc10790"/>
      <w:bookmarkStart w:id="10" w:name="_Toc11451"/>
      <w:r>
        <w:rPr>
          <w:rFonts w:hint="eastAsia" w:ascii="宋体" w:hAnsi="宋体" w:eastAsia="宋体" w:cs="宋体"/>
          <w:b/>
          <w:bCs/>
          <w:color w:val="auto"/>
          <w:sz w:val="36"/>
          <w:szCs w:val="36"/>
          <w:highlight w:val="none"/>
        </w:rPr>
        <w:t xml:space="preserve">第一章  </w:t>
      </w:r>
      <w:bookmarkEnd w:id="1"/>
      <w:r>
        <w:rPr>
          <w:rFonts w:hint="eastAsia" w:ascii="宋体" w:hAnsi="宋体" w:eastAsia="宋体" w:cs="宋体"/>
          <w:b/>
          <w:bCs/>
          <w:color w:val="auto"/>
          <w:sz w:val="36"/>
          <w:szCs w:val="36"/>
          <w:highlight w:val="none"/>
        </w:rPr>
        <w:t>投标邀请</w:t>
      </w:r>
      <w:bookmarkEnd w:id="7"/>
      <w:bookmarkEnd w:id="8"/>
      <w:bookmarkEnd w:id="9"/>
      <w:bookmarkEnd w:id="10"/>
    </w:p>
    <w:p w14:paraId="1A6521DB">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受</w:t>
      </w:r>
      <w:r>
        <w:rPr>
          <w:rFonts w:hint="eastAsia" w:ascii="宋体" w:hAnsi="宋体" w:cs="宋体"/>
          <w:color w:val="auto"/>
          <w:sz w:val="28"/>
          <w:szCs w:val="28"/>
          <w:highlight w:val="none"/>
          <w:u w:val="single"/>
        </w:rPr>
        <w:t>宿迁市市域社会治理现代化指挥中心</w:t>
      </w:r>
      <w:r>
        <w:rPr>
          <w:rFonts w:hint="eastAsia" w:ascii="宋体" w:hAnsi="宋体" w:cs="宋体"/>
          <w:color w:val="auto"/>
          <w:sz w:val="28"/>
          <w:szCs w:val="28"/>
          <w:highlight w:val="none"/>
        </w:rPr>
        <w:t>的委托，</w:t>
      </w:r>
      <w:r>
        <w:rPr>
          <w:rFonts w:hint="eastAsia" w:ascii="宋体" w:hAnsi="宋体" w:cs="宋体"/>
          <w:color w:val="auto"/>
          <w:sz w:val="28"/>
          <w:szCs w:val="28"/>
          <w:highlight w:val="none"/>
          <w:u w:val="single"/>
        </w:rPr>
        <w:t>宿迁鼎匠工程咨询有限公司</w:t>
      </w:r>
      <w:r>
        <w:rPr>
          <w:rFonts w:hint="eastAsia" w:ascii="宋体" w:hAnsi="宋体" w:cs="宋体"/>
          <w:color w:val="auto"/>
          <w:sz w:val="28"/>
          <w:szCs w:val="28"/>
          <w:highlight w:val="none"/>
        </w:rPr>
        <w:t>就</w:t>
      </w:r>
      <w:r>
        <w:rPr>
          <w:rFonts w:hint="eastAsia" w:ascii="宋体" w:hAnsi="宋体" w:cs="宋体"/>
          <w:color w:val="auto"/>
          <w:sz w:val="28"/>
          <w:szCs w:val="28"/>
          <w:highlight w:val="none"/>
          <w:u w:val="single"/>
        </w:rPr>
        <w:t>宿迁市“苏政源”数字资源底座落地实施项目（</w:t>
      </w:r>
      <w:r>
        <w:rPr>
          <w:rFonts w:hint="eastAsia" w:ascii="宋体" w:hAnsi="宋体" w:cs="宋体"/>
          <w:color w:val="auto"/>
          <w:sz w:val="28"/>
          <w:szCs w:val="28"/>
          <w:highlight w:val="none"/>
          <w:u w:val="single"/>
          <w:lang w:eastAsia="zh-CN"/>
        </w:rPr>
        <w:t>JSZC-321300-SQDJ-G2026-0007</w:t>
      </w:r>
      <w:r>
        <w:rPr>
          <w:rFonts w:hint="eastAsia" w:ascii="宋体" w:hAnsi="宋体" w:cs="宋体"/>
          <w:color w:val="auto"/>
          <w:sz w:val="28"/>
          <w:szCs w:val="28"/>
          <w:highlight w:val="none"/>
          <w:u w:val="single"/>
        </w:rPr>
        <w:t>）</w:t>
      </w:r>
      <w:r>
        <w:rPr>
          <w:rFonts w:hint="eastAsia" w:ascii="宋体" w:hAnsi="宋体" w:cs="宋体"/>
          <w:color w:val="auto"/>
          <w:sz w:val="28"/>
          <w:szCs w:val="28"/>
          <w:highlight w:val="none"/>
        </w:rPr>
        <w:t>项目进行公开招标采购，欢迎符合条件的投标人投标。</w:t>
      </w:r>
    </w:p>
    <w:p w14:paraId="72D0BD14">
      <w:pPr>
        <w:pBdr>
          <w:top w:val="single" w:color="000000" w:sz="4" w:space="1"/>
          <w:left w:val="single" w:color="000000" w:sz="4" w:space="4"/>
          <w:bottom w:val="single" w:color="000000" w:sz="4" w:space="1"/>
          <w:right w:val="single" w:color="000000" w:sz="4" w:space="4"/>
        </w:pBd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项目概况</w:t>
      </w:r>
    </w:p>
    <w:p w14:paraId="52FDCC82">
      <w:pPr>
        <w:pBdr>
          <w:top w:val="single" w:color="000000" w:sz="4" w:space="1"/>
          <w:left w:val="single" w:color="000000" w:sz="4" w:space="4"/>
          <w:bottom w:val="single" w:color="000000" w:sz="4" w:space="1"/>
          <w:right w:val="single" w:color="000000" w:sz="4" w:space="4"/>
        </w:pBd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宿迁市“苏政源”数字资源底座落地实施项目</w:t>
      </w:r>
      <w:r>
        <w:rPr>
          <w:rFonts w:hint="eastAsia" w:ascii="宋体" w:hAnsi="宋体" w:cs="宋体"/>
          <w:color w:val="auto"/>
          <w:sz w:val="28"/>
          <w:szCs w:val="28"/>
          <w:highlight w:val="none"/>
        </w:rPr>
        <w:t>招标项目的潜在投标人可在</w:t>
      </w:r>
      <w:r>
        <w:rPr>
          <w:rFonts w:hint="eastAsia" w:ascii="宋体" w:hAnsi="宋体" w:cs="宋体"/>
          <w:color w:val="auto"/>
          <w:sz w:val="28"/>
          <w:szCs w:val="28"/>
          <w:highlight w:val="none"/>
          <w:u w:val="single"/>
        </w:rPr>
        <w:t>“宿迁市政府采购网”自行免费下载</w:t>
      </w:r>
      <w:r>
        <w:rPr>
          <w:rFonts w:hint="eastAsia" w:ascii="宋体" w:hAnsi="宋体" w:cs="宋体"/>
          <w:color w:val="auto"/>
          <w:sz w:val="28"/>
          <w:szCs w:val="28"/>
          <w:highlight w:val="none"/>
        </w:rPr>
        <w:t>招标文件，并于2026</w:t>
      </w:r>
      <w:r>
        <w:rPr>
          <w:rFonts w:hint="eastAsia" w:ascii="宋体" w:hAnsi="宋体" w:cs="宋体"/>
          <w:bCs/>
          <w:color w:val="auto"/>
          <w:sz w:val="28"/>
          <w:szCs w:val="28"/>
          <w:highlight w:val="none"/>
        </w:rPr>
        <w:t>-0</w:t>
      </w:r>
      <w:r>
        <w:rPr>
          <w:rFonts w:hint="eastAsia" w:ascii="宋体" w:hAnsi="宋体" w:cs="宋体"/>
          <w:bCs/>
          <w:color w:val="auto"/>
          <w:sz w:val="28"/>
          <w:szCs w:val="28"/>
          <w:highlight w:val="none"/>
          <w:lang w:val="en-US" w:eastAsia="zh-CN"/>
        </w:rPr>
        <w:t>7</w:t>
      </w:r>
      <w:r>
        <w:rPr>
          <w:rFonts w:hint="eastAsia" w:ascii="宋体" w:hAnsi="宋体" w:cs="宋体"/>
          <w:bCs/>
          <w:color w:val="auto"/>
          <w:sz w:val="28"/>
          <w:szCs w:val="28"/>
          <w:highlight w:val="none"/>
        </w:rPr>
        <w:t>-24</w:t>
      </w:r>
      <w:r>
        <w:rPr>
          <w:rFonts w:hint="eastAsia" w:ascii="宋体" w:hAnsi="宋体" w:cs="宋体"/>
          <w:color w:val="auto"/>
          <w:sz w:val="28"/>
          <w:szCs w:val="28"/>
          <w:highlight w:val="none"/>
          <w:lang w:val="en-US" w:eastAsia="zh-CN"/>
        </w:rPr>
        <w:t xml:space="preserve"> </w:t>
      </w:r>
      <w:r>
        <w:rPr>
          <w:rFonts w:hint="eastAsia" w:ascii="宋体" w:hAnsi="宋体" w:cs="宋体"/>
          <w:bCs/>
          <w:color w:val="auto"/>
          <w:sz w:val="28"/>
          <w:szCs w:val="28"/>
          <w:highlight w:val="none"/>
        </w:rPr>
        <w:t>09:30（北京时间）前递交投标文件</w:t>
      </w:r>
      <w:r>
        <w:rPr>
          <w:rFonts w:hint="eastAsia" w:ascii="宋体" w:hAnsi="宋体" w:cs="宋体"/>
          <w:color w:val="auto"/>
          <w:sz w:val="28"/>
          <w:szCs w:val="28"/>
          <w:highlight w:val="none"/>
        </w:rPr>
        <w:t>。</w:t>
      </w:r>
    </w:p>
    <w:p w14:paraId="688B1756">
      <w:pPr>
        <w:spacing w:line="500" w:lineRule="exact"/>
        <w:ind w:firstLine="562"/>
        <w:rPr>
          <w:rFonts w:hint="eastAsia" w:ascii="宋体" w:hAnsi="宋体" w:cs="宋体"/>
          <w:b/>
          <w:bCs/>
          <w:color w:val="auto"/>
          <w:sz w:val="28"/>
          <w:szCs w:val="28"/>
          <w:highlight w:val="none"/>
        </w:rPr>
      </w:pPr>
      <w:bookmarkStart w:id="11" w:name="_Toc35393790"/>
      <w:bookmarkStart w:id="12" w:name="_Toc28359002"/>
      <w:bookmarkStart w:id="13" w:name="_Toc38985263"/>
      <w:bookmarkStart w:id="14" w:name="_Toc35393621"/>
      <w:bookmarkStart w:id="15" w:name="_Toc28359079"/>
      <w:bookmarkStart w:id="16" w:name="_Hlk24379207"/>
      <w:r>
        <w:rPr>
          <w:rFonts w:hint="eastAsia" w:ascii="宋体" w:hAnsi="宋体" w:cs="宋体"/>
          <w:b/>
          <w:bCs/>
          <w:color w:val="auto"/>
          <w:sz w:val="28"/>
          <w:szCs w:val="28"/>
          <w:highlight w:val="none"/>
        </w:rPr>
        <w:t>一、项目基本情况</w:t>
      </w:r>
      <w:bookmarkEnd w:id="11"/>
      <w:bookmarkEnd w:id="12"/>
      <w:bookmarkEnd w:id="13"/>
      <w:bookmarkEnd w:id="14"/>
      <w:bookmarkEnd w:id="15"/>
    </w:p>
    <w:p w14:paraId="718570A2">
      <w:pPr>
        <w:spacing w:line="500" w:lineRule="exact"/>
        <w:ind w:firstLine="56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1.项目编号：</w:t>
      </w:r>
      <w:r>
        <w:rPr>
          <w:rFonts w:hint="eastAsia" w:ascii="宋体" w:hAnsi="宋体" w:cs="宋体"/>
          <w:color w:val="auto"/>
          <w:sz w:val="28"/>
          <w:szCs w:val="28"/>
          <w:highlight w:val="none"/>
          <w:lang w:eastAsia="zh-CN"/>
        </w:rPr>
        <w:t>JSZC-321300-SQDJ-G2026-0007</w:t>
      </w:r>
    </w:p>
    <w:p w14:paraId="5EC8958C">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2.项目名称：</w:t>
      </w:r>
      <w:bookmarkEnd w:id="16"/>
      <w:r>
        <w:rPr>
          <w:rFonts w:hint="eastAsia" w:ascii="宋体" w:hAnsi="宋体" w:cs="宋体"/>
          <w:color w:val="auto"/>
          <w:sz w:val="28"/>
          <w:szCs w:val="28"/>
          <w:highlight w:val="none"/>
        </w:rPr>
        <w:t>宿迁市“苏政源”数字资源底座落地实施项目</w:t>
      </w:r>
    </w:p>
    <w:p w14:paraId="6589BB8C">
      <w:pPr>
        <w:spacing w:line="500" w:lineRule="exact"/>
        <w:ind w:firstLine="560"/>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3.预算金额：</w:t>
      </w:r>
      <w:r>
        <w:rPr>
          <w:rFonts w:hint="eastAsia" w:ascii="宋体" w:hAnsi="宋体" w:cs="宋体"/>
          <w:color w:val="auto"/>
          <w:sz w:val="28"/>
          <w:szCs w:val="28"/>
          <w:highlight w:val="none"/>
          <w:u w:val="none"/>
          <w:lang w:val="en-US" w:eastAsia="zh-CN"/>
        </w:rPr>
        <w:t>86</w:t>
      </w:r>
      <w:r>
        <w:rPr>
          <w:rFonts w:hint="eastAsia" w:ascii="宋体" w:hAnsi="宋体" w:cs="宋体"/>
          <w:color w:val="auto"/>
          <w:sz w:val="28"/>
          <w:szCs w:val="28"/>
          <w:highlight w:val="none"/>
          <w:u w:val="none"/>
        </w:rPr>
        <w:t>2万元</w:t>
      </w:r>
    </w:p>
    <w:p w14:paraId="3E3A1CA6">
      <w:pPr>
        <w:spacing w:line="500" w:lineRule="exact"/>
        <w:ind w:firstLine="560"/>
        <w:rPr>
          <w:rFonts w:hint="eastAsia" w:ascii="宋体" w:hAnsi="宋体" w:cs="宋体"/>
          <w:color w:val="auto"/>
          <w:sz w:val="28"/>
          <w:szCs w:val="28"/>
          <w:highlight w:val="none"/>
          <w:u w:val="none"/>
        </w:rPr>
      </w:pPr>
      <w:r>
        <w:rPr>
          <w:rFonts w:hint="eastAsia" w:ascii="宋体" w:hAnsi="宋体" w:cs="宋体"/>
          <w:color w:val="auto"/>
          <w:sz w:val="28"/>
          <w:szCs w:val="28"/>
          <w:highlight w:val="none"/>
          <w:u w:val="none"/>
        </w:rPr>
        <w:t>4.本项目设定最高限价，最高限价为</w:t>
      </w:r>
      <w:r>
        <w:rPr>
          <w:rFonts w:hint="eastAsia" w:ascii="宋体" w:hAnsi="宋体" w:cs="宋体"/>
          <w:color w:val="auto"/>
          <w:sz w:val="28"/>
          <w:szCs w:val="28"/>
          <w:highlight w:val="none"/>
          <w:u w:val="none"/>
          <w:lang w:val="en-US" w:eastAsia="zh-CN"/>
        </w:rPr>
        <w:t>86</w:t>
      </w:r>
      <w:r>
        <w:rPr>
          <w:rFonts w:hint="eastAsia" w:ascii="宋体" w:hAnsi="宋体" w:cs="宋体"/>
          <w:color w:val="auto"/>
          <w:sz w:val="28"/>
          <w:szCs w:val="28"/>
          <w:highlight w:val="none"/>
          <w:u w:val="none"/>
        </w:rPr>
        <w:t>2万元</w:t>
      </w:r>
    </w:p>
    <w:p w14:paraId="2F2F80FD">
      <w:pPr>
        <w:spacing w:line="500" w:lineRule="exact"/>
        <w:ind w:firstLine="56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5.采购需求（简介）：宿迁市“苏政源”数字资源底座落地实施项目，</w:t>
      </w:r>
      <w:r>
        <w:rPr>
          <w:rFonts w:hint="eastAsia" w:ascii="宋体" w:hAnsi="宋体" w:cs="宋体"/>
          <w:color w:val="auto"/>
          <w:sz w:val="28"/>
          <w:szCs w:val="28"/>
          <w:highlight w:val="none"/>
          <w:lang w:val="en-US" w:eastAsia="zh-CN"/>
        </w:rPr>
        <w:t>按照</w:t>
      </w:r>
      <w:r>
        <w:rPr>
          <w:rFonts w:hint="eastAsia" w:ascii="宋体" w:hAnsi="宋体" w:cs="宋体"/>
          <w:color w:val="auto"/>
          <w:sz w:val="28"/>
          <w:szCs w:val="28"/>
          <w:highlight w:val="none"/>
        </w:rPr>
        <w:t>“苏政源”</w:t>
      </w:r>
      <w:r>
        <w:rPr>
          <w:rFonts w:hint="eastAsia" w:ascii="宋体" w:hAnsi="宋体" w:cs="宋体"/>
          <w:color w:val="auto"/>
          <w:sz w:val="28"/>
          <w:szCs w:val="28"/>
          <w:highlight w:val="none"/>
          <w:lang w:val="en-US" w:eastAsia="zh-CN"/>
        </w:rPr>
        <w:t>省市协同</w:t>
      </w:r>
      <w:r>
        <w:rPr>
          <w:rFonts w:hint="eastAsia" w:ascii="宋体" w:hAnsi="宋体" w:eastAsia="宋体" w:cs="宋体"/>
          <w:color w:val="auto"/>
          <w:sz w:val="28"/>
          <w:szCs w:val="28"/>
          <w:highlight w:val="none"/>
        </w:rPr>
        <w:t>建设要求实施，推进</w:t>
      </w:r>
      <w:r>
        <w:rPr>
          <w:rFonts w:hint="eastAsia" w:ascii="宋体" w:hAnsi="宋体" w:cs="宋体"/>
          <w:color w:val="auto"/>
          <w:sz w:val="28"/>
          <w:szCs w:val="28"/>
          <w:highlight w:val="none"/>
        </w:rPr>
        <w:t>“苏政源”</w:t>
      </w:r>
      <w:r>
        <w:rPr>
          <w:rFonts w:hint="eastAsia" w:ascii="宋体" w:hAnsi="宋体" w:eastAsia="宋体" w:cs="宋体"/>
          <w:color w:val="auto"/>
          <w:sz w:val="28"/>
          <w:szCs w:val="28"/>
          <w:highlight w:val="none"/>
        </w:rPr>
        <w:t>平台功能的宿迁本地化部署落地</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包括系统部署实施</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基础环境准备</w:t>
      </w:r>
      <w:r>
        <w:rPr>
          <w:rFonts w:hint="eastAsia" w:ascii="宋体" w:hAnsi="宋体" w:eastAsia="宋体" w:cs="宋体"/>
          <w:color w:val="auto"/>
          <w:sz w:val="28"/>
          <w:szCs w:val="28"/>
          <w:highlight w:val="none"/>
        </w:rPr>
        <w:t>、存量数据迁移、</w:t>
      </w:r>
      <w:r>
        <w:rPr>
          <w:rFonts w:hint="eastAsia" w:ascii="宋体" w:hAnsi="宋体" w:cs="宋体"/>
          <w:color w:val="auto"/>
          <w:sz w:val="28"/>
          <w:szCs w:val="28"/>
          <w:highlight w:val="none"/>
          <w:lang w:val="en-US" w:eastAsia="zh-CN"/>
        </w:rPr>
        <w:t>系统</w:t>
      </w:r>
      <w:r>
        <w:rPr>
          <w:rFonts w:hint="eastAsia" w:ascii="宋体" w:hAnsi="宋体" w:eastAsia="宋体" w:cs="宋体"/>
          <w:color w:val="auto"/>
          <w:sz w:val="28"/>
          <w:szCs w:val="28"/>
          <w:highlight w:val="none"/>
        </w:rPr>
        <w:t>运维等配套支撑</w:t>
      </w:r>
      <w:r>
        <w:rPr>
          <w:rFonts w:hint="eastAsia" w:ascii="宋体" w:hAnsi="宋体" w:cs="宋体"/>
          <w:color w:val="auto"/>
          <w:sz w:val="28"/>
          <w:szCs w:val="28"/>
          <w:highlight w:val="none"/>
          <w:lang w:val="en-US" w:eastAsia="zh-CN"/>
        </w:rPr>
        <w:t>服务</w:t>
      </w:r>
      <w:r>
        <w:rPr>
          <w:rFonts w:hint="eastAsia" w:ascii="宋体" w:hAnsi="宋体" w:eastAsia="宋体" w:cs="宋体"/>
          <w:color w:val="auto"/>
          <w:sz w:val="28"/>
          <w:szCs w:val="28"/>
          <w:highlight w:val="none"/>
        </w:rPr>
        <w:t>工作。</w:t>
      </w:r>
      <w:r>
        <w:rPr>
          <w:rFonts w:hint="eastAsia" w:ascii="宋体" w:hAnsi="宋体" w:cs="宋体"/>
          <w:color w:val="auto"/>
          <w:sz w:val="28"/>
          <w:szCs w:val="28"/>
          <w:highlight w:val="none"/>
        </w:rPr>
        <w:t xml:space="preserve">（详细内容见本招标文件第四章） </w:t>
      </w:r>
    </w:p>
    <w:p w14:paraId="0FAAF2E2">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6.合同履行期限：自合同签约起三年。</w:t>
      </w:r>
    </w:p>
    <w:p w14:paraId="0720B4BC">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7.本项目</w:t>
      </w:r>
      <w:r>
        <w:rPr>
          <w:rFonts w:hint="eastAsia" w:ascii="宋体" w:hAnsi="宋体" w:cs="宋体"/>
          <w:color w:val="auto"/>
          <w:sz w:val="28"/>
          <w:szCs w:val="28"/>
          <w:highlight w:val="none"/>
          <w:u w:val="single"/>
        </w:rPr>
        <w:t>不接受</w:t>
      </w:r>
      <w:r>
        <w:rPr>
          <w:rFonts w:hint="eastAsia" w:ascii="宋体" w:hAnsi="宋体" w:cs="宋体"/>
          <w:color w:val="auto"/>
          <w:sz w:val="28"/>
          <w:szCs w:val="28"/>
          <w:highlight w:val="none"/>
        </w:rPr>
        <w:t>联合体投标。</w:t>
      </w:r>
    </w:p>
    <w:p w14:paraId="67AA5A8C">
      <w:pPr>
        <w:spacing w:line="500" w:lineRule="exact"/>
        <w:ind w:firstLine="562"/>
        <w:rPr>
          <w:rFonts w:hint="eastAsia" w:ascii="宋体" w:hAnsi="宋体" w:cs="宋体"/>
          <w:b/>
          <w:bCs/>
          <w:color w:val="auto"/>
          <w:sz w:val="28"/>
          <w:szCs w:val="28"/>
          <w:highlight w:val="none"/>
        </w:rPr>
      </w:pPr>
      <w:bookmarkStart w:id="17" w:name="_Toc38985264"/>
      <w:bookmarkStart w:id="18" w:name="_Toc28359003"/>
      <w:bookmarkStart w:id="19" w:name="_Toc35393622"/>
      <w:bookmarkStart w:id="20" w:name="_Toc35393791"/>
      <w:bookmarkStart w:id="21" w:name="_Toc28359080"/>
      <w:r>
        <w:rPr>
          <w:rFonts w:hint="eastAsia" w:ascii="宋体" w:hAnsi="宋体" w:cs="宋体"/>
          <w:b/>
          <w:bCs/>
          <w:color w:val="auto"/>
          <w:sz w:val="28"/>
          <w:szCs w:val="28"/>
          <w:highlight w:val="none"/>
        </w:rPr>
        <w:t>二、申请人的资格要求</w:t>
      </w:r>
      <w:bookmarkEnd w:id="17"/>
      <w:bookmarkEnd w:id="18"/>
      <w:bookmarkEnd w:id="19"/>
      <w:bookmarkEnd w:id="20"/>
      <w:bookmarkEnd w:id="21"/>
    </w:p>
    <w:p w14:paraId="0166EFDB">
      <w:pPr>
        <w:spacing w:line="500" w:lineRule="exact"/>
        <w:ind w:firstLine="560"/>
        <w:rPr>
          <w:rFonts w:hint="eastAsia" w:ascii="宋体" w:hAnsi="宋体" w:cs="宋体"/>
          <w:color w:val="auto"/>
          <w:sz w:val="28"/>
          <w:szCs w:val="28"/>
          <w:highlight w:val="none"/>
        </w:rPr>
      </w:pPr>
      <w:bookmarkStart w:id="22" w:name="_Toc28359004"/>
      <w:bookmarkStart w:id="23" w:name="_Toc35393623"/>
      <w:bookmarkStart w:id="24" w:name="_Toc28359081"/>
      <w:bookmarkStart w:id="25" w:name="_Toc35393792"/>
      <w:bookmarkStart w:id="26" w:name="_Toc38985265"/>
      <w:r>
        <w:rPr>
          <w:rFonts w:hint="eastAsia" w:ascii="宋体" w:hAnsi="宋体" w:cs="宋体"/>
          <w:color w:val="auto"/>
          <w:sz w:val="28"/>
          <w:szCs w:val="28"/>
          <w:highlight w:val="none"/>
        </w:rPr>
        <w:t>（一）通用资格要求</w:t>
      </w:r>
    </w:p>
    <w:p w14:paraId="20D1190F">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1.具备《中华人民共和国政府采购法》第二十二条第一款规定的6项条件（按要求提供投标声明及承诺函）。</w:t>
      </w:r>
    </w:p>
    <w:p w14:paraId="01DD5640">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2.信用信息。信用信息查询渠道：“信用中国”网（www.creditchina.gov.cn）、“中国政府采购”网（www.ccgp.gov.cn）、江苏政府采购网（www.ccgp-jiangsu.gov.cn）。</w:t>
      </w:r>
    </w:p>
    <w:p w14:paraId="7B06F697">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p>
    <w:p w14:paraId="534CA46C">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p>
    <w:p w14:paraId="706C4CEA">
      <w:pPr>
        <w:spacing w:line="500" w:lineRule="exact"/>
        <w:ind w:firstLine="560"/>
        <w:rPr>
          <w:rFonts w:hint="eastAsia" w:ascii="宋体" w:hAnsi="宋体" w:cs="宋体"/>
          <w:color w:val="auto"/>
          <w:highlight w:val="none"/>
        </w:rPr>
      </w:pPr>
      <w:r>
        <w:rPr>
          <w:rFonts w:hint="eastAsia" w:ascii="宋体" w:hAnsi="宋体" w:cs="宋体"/>
          <w:color w:val="auto"/>
          <w:sz w:val="28"/>
          <w:szCs w:val="28"/>
          <w:highlight w:val="none"/>
        </w:rPr>
        <w:t>（二）本项目的特定资格要求：无。</w:t>
      </w:r>
    </w:p>
    <w:p w14:paraId="12E0618D">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单位负责人为同一人或者存在直接控股、管理关系的不同投标人，不得参加同一合同项下的政府采购活动。否则，相关投标均无效。</w:t>
      </w:r>
    </w:p>
    <w:p w14:paraId="07E84A84">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三、获取招标文件</w:t>
      </w:r>
      <w:bookmarkEnd w:id="22"/>
      <w:bookmarkEnd w:id="23"/>
      <w:bookmarkEnd w:id="24"/>
      <w:bookmarkEnd w:id="25"/>
      <w:bookmarkEnd w:id="26"/>
    </w:p>
    <w:p w14:paraId="19B379E4">
      <w:pPr>
        <w:spacing w:line="500" w:lineRule="exact"/>
        <w:ind w:firstLine="560"/>
        <w:rPr>
          <w:rFonts w:hint="eastAsia" w:ascii="宋体" w:hAnsi="宋体" w:cs="宋体"/>
          <w:color w:val="auto"/>
          <w:sz w:val="28"/>
          <w:szCs w:val="28"/>
          <w:highlight w:val="none"/>
        </w:rPr>
      </w:pPr>
      <w:bookmarkStart w:id="27" w:name="_Toc28359005"/>
      <w:bookmarkStart w:id="28" w:name="_Toc28359082"/>
      <w:bookmarkStart w:id="29" w:name="_Toc35393793"/>
      <w:bookmarkStart w:id="30" w:name="_Toc38985266"/>
      <w:bookmarkStart w:id="31" w:name="_Toc35393624"/>
      <w:r>
        <w:rPr>
          <w:rFonts w:hint="eastAsia" w:ascii="宋体" w:hAnsi="宋体" w:cs="宋体"/>
          <w:color w:val="auto"/>
          <w:sz w:val="28"/>
          <w:szCs w:val="28"/>
          <w:highlight w:val="none"/>
        </w:rPr>
        <w:t>1.时间：自招标文件公告发布之日起5个工作日。</w:t>
      </w:r>
    </w:p>
    <w:p w14:paraId="6212C43D">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p>
    <w:p w14:paraId="7EF63EF9">
      <w:pPr>
        <w:spacing w:line="500" w:lineRule="exact"/>
        <w:ind w:firstLine="560"/>
        <w:rPr>
          <w:rFonts w:hint="eastAsia" w:ascii="宋体" w:hAnsi="宋体" w:cs="宋体"/>
          <w:color w:val="auto"/>
          <w:sz w:val="28"/>
          <w:szCs w:val="28"/>
          <w:highlight w:val="none"/>
        </w:rPr>
      </w:pPr>
      <w:bookmarkStart w:id="32" w:name="EB0c44ff4da61f4af989d119fe214be450"/>
      <w:r>
        <w:rPr>
          <w:rFonts w:hint="eastAsia" w:ascii="宋体" w:hAnsi="宋体" w:cs="宋体"/>
          <w:color w:val="auto"/>
          <w:sz w:val="28"/>
          <w:szCs w:val="28"/>
          <w:highlight w:val="none"/>
        </w:rPr>
        <w:t>3.本项目共分1个采购包。投标人未按要求获取招标文件导致无法投标的，后果自负（其投标文件不予接受）。</w:t>
      </w:r>
      <w:bookmarkEnd w:id="32"/>
    </w:p>
    <w:p w14:paraId="6F4C6CD3">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四、提交投标文件</w:t>
      </w:r>
      <w:bookmarkEnd w:id="27"/>
      <w:bookmarkEnd w:id="28"/>
      <w:r>
        <w:rPr>
          <w:rFonts w:hint="eastAsia" w:ascii="宋体" w:hAnsi="宋体" w:cs="宋体"/>
          <w:b/>
          <w:bCs/>
          <w:color w:val="auto"/>
          <w:sz w:val="28"/>
          <w:szCs w:val="28"/>
          <w:highlight w:val="none"/>
        </w:rPr>
        <w:t>截止时间、开标时间和地点</w:t>
      </w:r>
      <w:bookmarkEnd w:id="29"/>
      <w:bookmarkEnd w:id="30"/>
      <w:bookmarkEnd w:id="31"/>
    </w:p>
    <w:p w14:paraId="201BF639">
      <w:pPr>
        <w:spacing w:line="500" w:lineRule="exact"/>
        <w:ind w:firstLine="560"/>
        <w:rPr>
          <w:rFonts w:hint="eastAsia" w:ascii="宋体" w:hAnsi="宋体" w:cs="宋体"/>
          <w:bCs/>
          <w:color w:val="auto"/>
          <w:sz w:val="28"/>
          <w:szCs w:val="28"/>
          <w:highlight w:val="none"/>
          <w:u w:val="singl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提交投标文件截止时间、开标时间：2026</w:t>
      </w:r>
      <w:r>
        <w:rPr>
          <w:rFonts w:hint="eastAsia" w:ascii="宋体" w:hAnsi="宋体" w:cs="宋体"/>
          <w:bCs/>
          <w:color w:val="auto"/>
          <w:sz w:val="28"/>
          <w:szCs w:val="28"/>
          <w:highlight w:val="none"/>
        </w:rPr>
        <w:t>-0</w:t>
      </w:r>
      <w:r>
        <w:rPr>
          <w:rFonts w:hint="eastAsia" w:ascii="宋体" w:hAnsi="宋体" w:cs="宋体"/>
          <w:bCs/>
          <w:color w:val="auto"/>
          <w:sz w:val="28"/>
          <w:szCs w:val="28"/>
          <w:highlight w:val="none"/>
          <w:lang w:val="en-US" w:eastAsia="zh-CN"/>
        </w:rPr>
        <w:t>7</w:t>
      </w:r>
      <w:r>
        <w:rPr>
          <w:rFonts w:hint="eastAsia" w:ascii="宋体" w:hAnsi="宋体" w:cs="宋体"/>
          <w:bCs/>
          <w:color w:val="auto"/>
          <w:sz w:val="28"/>
          <w:szCs w:val="28"/>
          <w:highlight w:val="none"/>
        </w:rPr>
        <w:t>-24</w:t>
      </w:r>
      <w:r>
        <w:rPr>
          <w:rFonts w:hint="eastAsia" w:ascii="宋体" w:hAnsi="宋体" w:cs="宋体"/>
          <w:bCs/>
          <w:color w:val="auto"/>
          <w:sz w:val="28"/>
          <w:szCs w:val="28"/>
          <w:highlight w:val="none"/>
          <w:lang w:val="en-US" w:eastAsia="zh-CN"/>
        </w:rPr>
        <w:t xml:space="preserve"> </w:t>
      </w:r>
      <w:r>
        <w:rPr>
          <w:rFonts w:hint="eastAsia" w:ascii="宋体" w:hAnsi="宋体" w:cs="宋体"/>
          <w:bCs/>
          <w:color w:val="auto"/>
          <w:sz w:val="28"/>
          <w:szCs w:val="28"/>
          <w:highlight w:val="none"/>
        </w:rPr>
        <w:t>09：30（北京时间）</w:t>
      </w:r>
    </w:p>
    <w:p w14:paraId="136166EE">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2.地点：“苏采云”政府采购交易系统网上开标大厅。</w:t>
      </w:r>
    </w:p>
    <w:p w14:paraId="3D280ED0">
      <w:pPr>
        <w:spacing w:line="500" w:lineRule="exact"/>
        <w:ind w:firstLine="562"/>
        <w:rPr>
          <w:rFonts w:hint="eastAsia" w:ascii="宋体" w:hAnsi="宋体" w:cs="宋体"/>
          <w:b/>
          <w:bCs/>
          <w:color w:val="auto"/>
          <w:sz w:val="28"/>
          <w:szCs w:val="28"/>
          <w:highlight w:val="none"/>
        </w:rPr>
      </w:pPr>
      <w:bookmarkStart w:id="33" w:name="_Toc38985267"/>
      <w:bookmarkStart w:id="34" w:name="_Toc35393625"/>
      <w:bookmarkStart w:id="35" w:name="_Toc28359084"/>
      <w:bookmarkStart w:id="36" w:name="_Toc35393794"/>
      <w:bookmarkStart w:id="37" w:name="_Toc28359007"/>
      <w:r>
        <w:rPr>
          <w:rFonts w:hint="eastAsia" w:ascii="宋体" w:hAnsi="宋体" w:cs="宋体"/>
          <w:b/>
          <w:bCs/>
          <w:color w:val="auto"/>
          <w:sz w:val="28"/>
          <w:szCs w:val="28"/>
          <w:highlight w:val="none"/>
        </w:rPr>
        <w:t>五、公告期限</w:t>
      </w:r>
      <w:bookmarkEnd w:id="33"/>
      <w:bookmarkEnd w:id="34"/>
      <w:bookmarkEnd w:id="35"/>
      <w:bookmarkEnd w:id="36"/>
      <w:bookmarkEnd w:id="37"/>
    </w:p>
    <w:p w14:paraId="2C239345">
      <w:pPr>
        <w:spacing w:line="500" w:lineRule="exact"/>
        <w:ind w:firstLine="560"/>
        <w:rPr>
          <w:rFonts w:hint="eastAsia" w:ascii="宋体" w:hAnsi="宋体" w:cs="宋体"/>
          <w:color w:val="auto"/>
          <w:sz w:val="28"/>
          <w:szCs w:val="28"/>
          <w:highlight w:val="none"/>
        </w:rPr>
      </w:pPr>
      <w:bookmarkStart w:id="38" w:name="_Toc35393795"/>
      <w:bookmarkStart w:id="39" w:name="_Toc38985268"/>
      <w:bookmarkStart w:id="40" w:name="_Toc35393626"/>
      <w:r>
        <w:rPr>
          <w:rFonts w:hint="eastAsia" w:ascii="宋体" w:hAnsi="宋体" w:cs="宋体"/>
          <w:color w:val="auto"/>
          <w:sz w:val="28"/>
          <w:szCs w:val="28"/>
          <w:highlight w:val="none"/>
        </w:rPr>
        <w:t>自本公告发布之日起5个工作日。</w:t>
      </w:r>
    </w:p>
    <w:p w14:paraId="1B1ED03E">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招标公告发布媒体：宿迁市政府采购网、江苏省财政部门指定的媒体。</w:t>
      </w:r>
    </w:p>
    <w:p w14:paraId="0D747059">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六、其他补充事宜</w:t>
      </w:r>
      <w:bookmarkEnd w:id="38"/>
      <w:bookmarkEnd w:id="39"/>
      <w:bookmarkEnd w:id="40"/>
    </w:p>
    <w:p w14:paraId="22861E32">
      <w:pPr>
        <w:spacing w:line="500" w:lineRule="exact"/>
        <w:ind w:firstLine="560"/>
        <w:rPr>
          <w:rFonts w:hint="eastAsia" w:ascii="宋体" w:hAnsi="宋体" w:cs="宋体"/>
          <w:color w:val="auto"/>
          <w:sz w:val="28"/>
          <w:szCs w:val="28"/>
          <w:highlight w:val="none"/>
        </w:rPr>
      </w:pPr>
      <w:bookmarkStart w:id="41" w:name="EB64e1f522fd8c43fcb4d3ba471386b3e7"/>
      <w:bookmarkStart w:id="42" w:name="_Toc35393796"/>
      <w:bookmarkStart w:id="43" w:name="_Toc28359085"/>
      <w:bookmarkStart w:id="44" w:name="_Toc38985269"/>
      <w:bookmarkStart w:id="45" w:name="_Toc28359008"/>
      <w:bookmarkStart w:id="46" w:name="_Toc35393627"/>
      <w:r>
        <w:rPr>
          <w:rFonts w:hint="eastAsia" w:ascii="宋体" w:hAnsi="宋体" w:cs="宋体"/>
          <w:color w:val="auto"/>
          <w:sz w:val="28"/>
          <w:szCs w:val="28"/>
          <w:highlight w:val="none"/>
        </w:rPr>
        <w:t>1.财政部门监督电话：0527-84363063。</w:t>
      </w:r>
    </w:p>
    <w:p w14:paraId="1BC1CC3C">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2.“CA”数字证书办理：“苏采云”系统目前仅支持“苏采云”系统下的意源CA。省内各地区办理的“苏采云”系统下的意源CA全省通用。宿迁地区CA数字证书办理联系方式：18351098172。</w:t>
      </w:r>
    </w:p>
    <w:p w14:paraId="222A0B11">
      <w:pPr>
        <w:pStyle w:val="313"/>
        <w:spacing w:line="500" w:lineRule="exact"/>
        <w:ind w:firstLine="560"/>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rPr>
        <w:t>3.宿迁地区“苏采云”技术支持客服电话：0527-84225125、0519-86722806。</w:t>
      </w:r>
    </w:p>
    <w:p w14:paraId="198F2046">
      <w:pPr>
        <w:pStyle w:val="313"/>
        <w:spacing w:line="500" w:lineRule="exact"/>
        <w:ind w:firstLine="560"/>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rPr>
        <w:t>4.如果投标人通过苏采云系统参与政府采购项目，相关操作手册详见链接：</w:t>
      </w:r>
      <w:r>
        <w:rPr>
          <w:rFonts w:hint="eastAsia" w:ascii="宋体" w:hAnsi="宋体" w:eastAsia="宋体" w:cs="宋体"/>
          <w:color w:val="auto"/>
          <w:spacing w:val="-6"/>
          <w:sz w:val="28"/>
          <w:szCs w:val="28"/>
          <w:highlight w:val="none"/>
          <w:lang w:val="en-US"/>
        </w:rPr>
        <w:t>http://www.ccgp-jiangsu.gov.cn/jiangsu/zlxz/ee/ee3a4bc5a3454aa2b0d9312230633ce9.html。</w:t>
      </w:r>
      <w:bookmarkEnd w:id="41"/>
    </w:p>
    <w:p w14:paraId="0AF57987">
      <w:pPr>
        <w:spacing w:line="500" w:lineRule="exact"/>
        <w:ind w:firstLine="560"/>
        <w:rPr>
          <w:rFonts w:hint="eastAsia" w:ascii="宋体" w:hAnsi="宋体" w:cs="宋体"/>
          <w:b/>
          <w:bCs/>
          <w:iCs/>
          <w:color w:val="auto"/>
          <w:sz w:val="28"/>
          <w:szCs w:val="28"/>
          <w:highlight w:val="none"/>
        </w:rPr>
      </w:pPr>
      <w:r>
        <w:rPr>
          <w:rFonts w:hint="eastAsia" w:ascii="宋体" w:hAnsi="宋体" w:cs="宋体"/>
          <w:color w:val="auto"/>
          <w:sz w:val="28"/>
          <w:szCs w:val="28"/>
          <w:highlight w:val="none"/>
        </w:rPr>
        <w:t>5.现场勘察及答疑：本项目不组织集中勘察及答疑，投标人如对采购需求有疑问，请咨询采购单位联系人。</w:t>
      </w:r>
    </w:p>
    <w:p w14:paraId="74024A23">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七、本次招标联系方式</w:t>
      </w:r>
      <w:bookmarkEnd w:id="42"/>
      <w:bookmarkEnd w:id="43"/>
      <w:bookmarkEnd w:id="44"/>
      <w:bookmarkEnd w:id="45"/>
      <w:bookmarkEnd w:id="46"/>
    </w:p>
    <w:p w14:paraId="675271CE">
      <w:pPr>
        <w:widowControl/>
        <w:spacing w:line="5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1.采购人信息</w:t>
      </w:r>
    </w:p>
    <w:p w14:paraId="3414D939">
      <w:pPr>
        <w:spacing w:line="5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名称：宿迁市市域社会治理现代化指挥中心</w:t>
      </w:r>
    </w:p>
    <w:p w14:paraId="5F7651FD">
      <w:pPr>
        <w:spacing w:line="5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地址：宿迁市宿豫区三峰路宿迁国际会展中心副馆智慧城市科技馆</w:t>
      </w:r>
    </w:p>
    <w:p w14:paraId="10458DAD">
      <w:pPr>
        <w:spacing w:line="5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联系人：</w:t>
      </w:r>
      <w:r>
        <w:rPr>
          <w:rFonts w:hint="eastAsia" w:ascii="宋体" w:hAnsi="宋体" w:cs="宋体"/>
          <w:color w:val="auto"/>
          <w:sz w:val="28"/>
          <w:szCs w:val="28"/>
          <w:highlight w:val="none"/>
          <w:lang w:val="en-US" w:eastAsia="zh-CN"/>
        </w:rPr>
        <w:t>王丙朝</w:t>
      </w:r>
      <w:r>
        <w:rPr>
          <w:rFonts w:hint="eastAsia" w:ascii="宋体" w:hAnsi="宋体" w:cs="宋体"/>
          <w:color w:val="auto"/>
          <w:sz w:val="28"/>
          <w:szCs w:val="28"/>
          <w:highlight w:val="none"/>
        </w:rPr>
        <w:t xml:space="preserve">    </w:t>
      </w:r>
    </w:p>
    <w:p w14:paraId="4B27A461">
      <w:pPr>
        <w:spacing w:line="500" w:lineRule="exact"/>
        <w:ind w:firstLine="560"/>
        <w:jc w:val="left"/>
        <w:rPr>
          <w:rFonts w:hint="default" w:ascii="宋体" w:hAnsi="宋体" w:eastAsia="宋体" w:cs="宋体"/>
          <w:color w:val="auto"/>
          <w:sz w:val="28"/>
          <w:szCs w:val="28"/>
          <w:highlight w:val="green"/>
          <w:lang w:val="en-US" w:eastAsia="zh-CN"/>
        </w:rPr>
      </w:pPr>
      <w:r>
        <w:rPr>
          <w:rFonts w:hint="eastAsia" w:ascii="宋体" w:hAnsi="宋体" w:cs="宋体"/>
          <w:color w:val="auto"/>
          <w:sz w:val="28"/>
          <w:szCs w:val="28"/>
          <w:highlight w:val="none"/>
        </w:rPr>
        <w:t>联系方式：</w:t>
      </w:r>
      <w:bookmarkStart w:id="47" w:name="_Toc28359086"/>
      <w:bookmarkStart w:id="48" w:name="_Toc28359009"/>
      <w:r>
        <w:rPr>
          <w:rFonts w:hint="eastAsia" w:ascii="宋体" w:hAnsi="宋体" w:cs="宋体"/>
          <w:color w:val="auto"/>
          <w:sz w:val="28"/>
          <w:szCs w:val="28"/>
          <w:highlight w:val="none"/>
          <w:lang w:val="en-US" w:eastAsia="zh-CN"/>
        </w:rPr>
        <w:t>0527-84368912</w:t>
      </w:r>
    </w:p>
    <w:p w14:paraId="5A5D49E8">
      <w:pPr>
        <w:widowControl/>
        <w:spacing w:line="5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w:t>
      </w:r>
      <w:bookmarkEnd w:id="47"/>
      <w:bookmarkEnd w:id="48"/>
      <w:r>
        <w:rPr>
          <w:rFonts w:hint="eastAsia" w:ascii="宋体" w:hAnsi="宋体" w:cs="宋体"/>
          <w:color w:val="auto"/>
          <w:sz w:val="28"/>
          <w:szCs w:val="28"/>
          <w:highlight w:val="none"/>
        </w:rPr>
        <w:t>采购代理机构信息</w:t>
      </w:r>
    </w:p>
    <w:p w14:paraId="5B8986F8">
      <w:pPr>
        <w:spacing w:line="5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名称：宿迁鼎匠工程咨询有限公司</w:t>
      </w:r>
    </w:p>
    <w:p w14:paraId="36FB4E03">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地址：宿迁市宿豫区电子商务产业园电商大厦B栋4楼</w:t>
      </w:r>
    </w:p>
    <w:p w14:paraId="2785A04B">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联系人：张翠青</w:t>
      </w:r>
    </w:p>
    <w:p w14:paraId="3E86FF9F">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联系方式：18151456617</w:t>
      </w:r>
    </w:p>
    <w:p w14:paraId="04F99EED">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八、其他</w:t>
      </w:r>
    </w:p>
    <w:p w14:paraId="6B9DFF2C">
      <w:pPr>
        <w:spacing w:line="500" w:lineRule="exact"/>
        <w:ind w:firstLine="560"/>
        <w:rPr>
          <w:rFonts w:hint="eastAsia" w:ascii="宋体" w:hAnsi="宋体" w:cs="宋体"/>
          <w:iCs/>
          <w:color w:val="auto"/>
          <w:sz w:val="28"/>
          <w:szCs w:val="28"/>
          <w:highlight w:val="none"/>
        </w:rPr>
      </w:pPr>
      <w:r>
        <w:rPr>
          <w:rFonts w:hint="eastAsia" w:ascii="宋体" w:hAnsi="宋体" w:cs="宋体"/>
          <w:iCs/>
          <w:color w:val="auto"/>
          <w:sz w:val="28"/>
          <w:szCs w:val="28"/>
          <w:highlight w:val="none"/>
        </w:rPr>
        <w:t>1.有关本次招标的事项若存在变动或修改，敬请及时关注“宿迁市政府采购网”等平台更正公告。</w:t>
      </w:r>
    </w:p>
    <w:p w14:paraId="00B07315">
      <w:pPr>
        <w:tabs>
          <w:tab w:val="left" w:pos="900"/>
        </w:tabs>
        <w:spacing w:line="500" w:lineRule="exact"/>
        <w:ind w:firstLine="560"/>
        <w:rPr>
          <w:rFonts w:hint="eastAsia" w:ascii="宋体" w:hAnsi="宋体" w:cs="宋体"/>
          <w:bCs/>
          <w:color w:val="auto"/>
          <w:sz w:val="28"/>
          <w:szCs w:val="28"/>
          <w:highlight w:val="none"/>
        </w:rPr>
      </w:pPr>
      <w:r>
        <w:rPr>
          <w:rFonts w:hint="eastAsia" w:ascii="宋体" w:hAnsi="宋体" w:cs="宋体"/>
          <w:iCs/>
          <w:color w:val="auto"/>
          <w:sz w:val="28"/>
          <w:szCs w:val="28"/>
          <w:highlight w:val="none"/>
        </w:rPr>
        <w:t>2.本</w:t>
      </w:r>
      <w:r>
        <w:rPr>
          <w:rFonts w:hint="eastAsia" w:ascii="宋体" w:hAnsi="宋体" w:cs="宋体"/>
          <w:bCs/>
          <w:color w:val="auto"/>
          <w:sz w:val="28"/>
          <w:szCs w:val="28"/>
          <w:highlight w:val="none"/>
        </w:rPr>
        <w:t>次招标不收取投标保证金。</w:t>
      </w:r>
    </w:p>
    <w:p w14:paraId="1A46ECC5">
      <w:pPr>
        <w:pStyle w:val="228"/>
        <w:rPr>
          <w:rFonts w:hint="eastAsia" w:ascii="宋体" w:hAnsi="宋体" w:eastAsia="宋体" w:cs="宋体"/>
          <w:b/>
          <w:bCs/>
          <w:color w:val="auto"/>
          <w:highlight w:val="none"/>
        </w:rPr>
      </w:pPr>
      <w:bookmarkStart w:id="49" w:name="_Toc120614211"/>
      <w:r>
        <w:rPr>
          <w:rFonts w:hint="eastAsia" w:ascii="宋体" w:hAnsi="宋体" w:eastAsia="宋体" w:cs="宋体"/>
          <w:color w:val="auto"/>
          <w:highlight w:val="none"/>
        </w:rPr>
        <w:br w:type="page" w:clear="all"/>
      </w:r>
      <w:bookmarkStart w:id="50" w:name="_Toc17465"/>
      <w:bookmarkStart w:id="51" w:name="_Toc11553"/>
      <w:bookmarkStart w:id="52" w:name="_Toc31823"/>
      <w:bookmarkStart w:id="53" w:name="_Toc30159"/>
      <w:r>
        <w:rPr>
          <w:rFonts w:hint="eastAsia" w:ascii="宋体" w:hAnsi="宋体" w:eastAsia="宋体" w:cs="宋体"/>
          <w:b/>
          <w:bCs/>
          <w:color w:val="auto"/>
          <w:sz w:val="36"/>
          <w:szCs w:val="36"/>
          <w:highlight w:val="none"/>
        </w:rPr>
        <w:t xml:space="preserve">第二章  </w:t>
      </w:r>
      <w:bookmarkEnd w:id="2"/>
      <w:bookmarkEnd w:id="3"/>
      <w:bookmarkEnd w:id="4"/>
      <w:bookmarkEnd w:id="5"/>
      <w:bookmarkEnd w:id="6"/>
      <w:bookmarkEnd w:id="49"/>
      <w:bookmarkStart w:id="54" w:name="_Toc513029202"/>
      <w:bookmarkStart w:id="55" w:name="_Toc16938518"/>
      <w:bookmarkStart w:id="56" w:name="_Toc120614213"/>
      <w:bookmarkStart w:id="57" w:name="_Toc20823274"/>
      <w:r>
        <w:rPr>
          <w:rFonts w:hint="eastAsia" w:ascii="宋体" w:hAnsi="宋体" w:eastAsia="宋体" w:cs="宋体"/>
          <w:b/>
          <w:bCs/>
          <w:color w:val="auto"/>
          <w:sz w:val="36"/>
          <w:szCs w:val="36"/>
          <w:highlight w:val="none"/>
        </w:rPr>
        <w:t>投标人须知</w:t>
      </w:r>
      <w:bookmarkEnd w:id="50"/>
      <w:bookmarkEnd w:id="51"/>
      <w:bookmarkEnd w:id="52"/>
      <w:bookmarkEnd w:id="53"/>
      <w:bookmarkEnd w:id="54"/>
      <w:bookmarkEnd w:id="55"/>
      <w:bookmarkEnd w:id="56"/>
      <w:bookmarkEnd w:id="57"/>
    </w:p>
    <w:p w14:paraId="77D1EB51">
      <w:pPr>
        <w:pStyle w:val="229"/>
        <w:spacing w:before="291" w:after="0" w:line="500" w:lineRule="exact"/>
        <w:ind w:firstLine="562"/>
        <w:rPr>
          <w:rFonts w:hint="eastAsia" w:ascii="宋体" w:hAnsi="宋体" w:eastAsia="宋体" w:cs="宋体"/>
          <w:color w:val="auto"/>
          <w:sz w:val="28"/>
          <w:szCs w:val="28"/>
          <w:highlight w:val="none"/>
        </w:rPr>
      </w:pPr>
      <w:bookmarkStart w:id="58" w:name="_Toc32310"/>
      <w:bookmarkStart w:id="59" w:name="_Toc30792"/>
      <w:bookmarkStart w:id="60" w:name="_Toc16938519"/>
      <w:bookmarkStart w:id="61" w:name="_Toc4343"/>
      <w:bookmarkStart w:id="62" w:name="_Toc20823275"/>
      <w:bookmarkStart w:id="63" w:name="_Toc11348"/>
      <w:bookmarkStart w:id="64" w:name="_Toc120614214"/>
      <w:bookmarkStart w:id="65" w:name="_Toc513029203"/>
      <w:r>
        <w:rPr>
          <w:rFonts w:hint="eastAsia" w:ascii="宋体" w:hAnsi="宋体" w:eastAsia="宋体" w:cs="宋体"/>
          <w:color w:val="auto"/>
          <w:sz w:val="28"/>
          <w:szCs w:val="28"/>
          <w:highlight w:val="none"/>
        </w:rPr>
        <w:t>一、总则</w:t>
      </w:r>
      <w:bookmarkEnd w:id="58"/>
      <w:bookmarkEnd w:id="59"/>
      <w:bookmarkEnd w:id="60"/>
      <w:bookmarkEnd w:id="61"/>
      <w:bookmarkEnd w:id="62"/>
      <w:bookmarkEnd w:id="63"/>
      <w:bookmarkEnd w:id="64"/>
      <w:bookmarkEnd w:id="65"/>
    </w:p>
    <w:p w14:paraId="640F4123">
      <w:pPr>
        <w:spacing w:line="500" w:lineRule="exact"/>
        <w:ind w:firstLine="562"/>
        <w:rPr>
          <w:rFonts w:hint="eastAsia" w:ascii="宋体" w:hAnsi="宋体" w:cs="宋体"/>
          <w:b/>
          <w:bCs/>
          <w:color w:val="auto"/>
          <w:sz w:val="28"/>
          <w:szCs w:val="28"/>
          <w:highlight w:val="none"/>
        </w:rPr>
      </w:pPr>
      <w:bookmarkStart w:id="66" w:name="_Hlt16619475"/>
      <w:bookmarkEnd w:id="66"/>
      <w:bookmarkStart w:id="67" w:name="_Toc458694821"/>
      <w:bookmarkStart w:id="68" w:name="_Toc513029204"/>
      <w:bookmarkStart w:id="69" w:name="_Toc20823276"/>
      <w:bookmarkStart w:id="70" w:name="_Toc16938520"/>
      <w:r>
        <w:rPr>
          <w:rFonts w:hint="eastAsia" w:ascii="宋体" w:hAnsi="宋体" w:cs="宋体"/>
          <w:b/>
          <w:bCs/>
          <w:color w:val="auto"/>
          <w:sz w:val="28"/>
          <w:szCs w:val="28"/>
          <w:highlight w:val="none"/>
        </w:rPr>
        <w:t>1</w:t>
      </w:r>
      <w:bookmarkEnd w:id="67"/>
      <w:r>
        <w:rPr>
          <w:rFonts w:hint="eastAsia" w:ascii="宋体" w:hAnsi="宋体" w:cs="宋体"/>
          <w:b/>
          <w:bCs/>
          <w:color w:val="auto"/>
          <w:sz w:val="28"/>
          <w:szCs w:val="28"/>
          <w:highlight w:val="none"/>
        </w:rPr>
        <w:t>、招标方式</w:t>
      </w:r>
      <w:bookmarkEnd w:id="68"/>
      <w:bookmarkEnd w:id="69"/>
      <w:bookmarkEnd w:id="70"/>
    </w:p>
    <w:p w14:paraId="0393C50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 本次招标采取公开招标方式，本招标文件仅适用于招标公告中所述项目。</w:t>
      </w:r>
    </w:p>
    <w:p w14:paraId="18EFE298">
      <w:pPr>
        <w:spacing w:line="500" w:lineRule="exact"/>
        <w:ind w:firstLine="562"/>
        <w:rPr>
          <w:rFonts w:hint="eastAsia" w:ascii="宋体" w:hAnsi="宋体" w:cs="宋体"/>
          <w:b/>
          <w:bCs/>
          <w:color w:val="auto"/>
          <w:sz w:val="28"/>
          <w:szCs w:val="28"/>
          <w:highlight w:val="none"/>
        </w:rPr>
      </w:pPr>
      <w:bookmarkStart w:id="71" w:name="_Toc16938521"/>
      <w:bookmarkStart w:id="72" w:name="_Toc20823277"/>
      <w:bookmarkStart w:id="73" w:name="_Toc513029205"/>
      <w:r>
        <w:rPr>
          <w:rFonts w:hint="eastAsia" w:ascii="宋体" w:hAnsi="宋体" w:cs="宋体"/>
          <w:b/>
          <w:bCs/>
          <w:color w:val="auto"/>
          <w:sz w:val="28"/>
          <w:szCs w:val="28"/>
          <w:highlight w:val="none"/>
        </w:rPr>
        <w:t>2、合格的投标人</w:t>
      </w:r>
      <w:bookmarkEnd w:id="71"/>
      <w:bookmarkEnd w:id="72"/>
      <w:bookmarkEnd w:id="73"/>
    </w:p>
    <w:p w14:paraId="738CE98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2.1满足招标公告中投标人的资格要求的规定。</w:t>
      </w:r>
    </w:p>
    <w:p w14:paraId="58C524E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2.2 满足本文件实质性要求和条件的规定。</w:t>
      </w:r>
    </w:p>
    <w:p w14:paraId="5AA7085F">
      <w:pPr>
        <w:spacing w:line="500" w:lineRule="exact"/>
        <w:ind w:firstLine="562"/>
        <w:rPr>
          <w:rFonts w:hint="eastAsia" w:ascii="宋体" w:hAnsi="宋体" w:cs="宋体"/>
          <w:b/>
          <w:bCs/>
          <w:color w:val="auto"/>
          <w:sz w:val="28"/>
          <w:szCs w:val="28"/>
          <w:highlight w:val="none"/>
        </w:rPr>
      </w:pPr>
      <w:bookmarkStart w:id="74" w:name="_Toc16938522"/>
      <w:bookmarkStart w:id="75" w:name="_Toc513029206"/>
      <w:bookmarkStart w:id="76" w:name="_Toc20823278"/>
      <w:r>
        <w:rPr>
          <w:rFonts w:hint="eastAsia" w:ascii="宋体" w:hAnsi="宋体" w:cs="宋体"/>
          <w:b/>
          <w:bCs/>
          <w:color w:val="auto"/>
          <w:sz w:val="28"/>
          <w:szCs w:val="28"/>
          <w:highlight w:val="none"/>
        </w:rPr>
        <w:t>3、适用法律</w:t>
      </w:r>
      <w:bookmarkEnd w:id="74"/>
      <w:bookmarkEnd w:id="75"/>
      <w:bookmarkEnd w:id="76"/>
    </w:p>
    <w:p w14:paraId="5F1A7FA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3.1 本次招标及由此产生的合同受中华人民共和国有关的法律法规制约和保护。</w:t>
      </w:r>
    </w:p>
    <w:p w14:paraId="724BDA78">
      <w:pPr>
        <w:spacing w:line="500" w:lineRule="exact"/>
        <w:ind w:firstLine="562"/>
        <w:rPr>
          <w:rFonts w:hint="eastAsia" w:ascii="宋体" w:hAnsi="宋体" w:cs="宋体"/>
          <w:b/>
          <w:bCs/>
          <w:color w:val="auto"/>
          <w:sz w:val="28"/>
          <w:szCs w:val="28"/>
          <w:highlight w:val="none"/>
        </w:rPr>
      </w:pPr>
      <w:bookmarkStart w:id="77" w:name="_Toc16938523"/>
      <w:bookmarkStart w:id="78" w:name="_Toc462564067"/>
      <w:bookmarkStart w:id="79" w:name="_Toc20823279"/>
      <w:bookmarkStart w:id="80" w:name="_Toc513029207"/>
      <w:r>
        <w:rPr>
          <w:rFonts w:hint="eastAsia" w:ascii="宋体" w:hAnsi="宋体" w:cs="宋体"/>
          <w:b/>
          <w:bCs/>
          <w:color w:val="auto"/>
          <w:sz w:val="28"/>
          <w:szCs w:val="28"/>
          <w:highlight w:val="none"/>
        </w:rPr>
        <w:t>4、投标费用</w:t>
      </w:r>
      <w:bookmarkEnd w:id="77"/>
      <w:bookmarkEnd w:id="78"/>
      <w:bookmarkEnd w:id="79"/>
      <w:bookmarkEnd w:id="80"/>
    </w:p>
    <w:p w14:paraId="7BA46D02">
      <w:pPr>
        <w:spacing w:line="500" w:lineRule="exact"/>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4.1 投标人应自行承担所有与参加投标有关的费用，无论投标过程中的做法和结果如何，宿迁鼎匠工程咨询有限公司（以下简称采购代理机构）在任何情况下均无义务和责任承担这些费用。</w:t>
      </w:r>
    </w:p>
    <w:p w14:paraId="4637C14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4.2代理费用收取方式及标准：按以下第2 种方式执行</w:t>
      </w:r>
      <w:r>
        <w:rPr>
          <w:rFonts w:hint="eastAsia" w:ascii="宋体" w:hAnsi="宋体" w:cs="宋体"/>
          <w:color w:val="auto"/>
          <w:sz w:val="24"/>
          <w:szCs w:val="24"/>
          <w:highlight w:val="none"/>
          <w:lang w:val="zh-CN"/>
        </w:rPr>
        <w:t>（接受数字人民币支付）</w:t>
      </w:r>
    </w:p>
    <w:p w14:paraId="6CCE1E91">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4.2.1无需支付；</w:t>
      </w:r>
    </w:p>
    <w:p w14:paraId="1FF0427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4.2.2采购人支付，具体方式及标准为：</w:t>
      </w:r>
      <w:r>
        <w:rPr>
          <w:rFonts w:hint="eastAsia" w:ascii="宋体" w:hAnsi="宋体" w:cs="宋体"/>
          <w:color w:val="auto"/>
          <w:sz w:val="24"/>
          <w:szCs w:val="24"/>
          <w:highlight w:val="none"/>
        </w:rPr>
        <w:t>按照</w:t>
      </w:r>
      <w:r>
        <w:rPr>
          <w:rFonts w:hint="eastAsia" w:ascii="宋体" w:hAnsi="宋体" w:cs="宋体"/>
          <w:color w:val="auto"/>
          <w:sz w:val="24"/>
          <w:szCs w:val="24"/>
          <w:highlight w:val="none"/>
          <w:lang w:val="en-US" w:eastAsia="zh-CN"/>
        </w:rPr>
        <w:t>代理合同约定</w:t>
      </w:r>
      <w:bookmarkStart w:id="364" w:name="_GoBack"/>
      <w:bookmarkEnd w:id="364"/>
      <w:r>
        <w:rPr>
          <w:rFonts w:hint="eastAsia" w:ascii="宋体" w:hAnsi="宋体" w:cs="宋体"/>
          <w:color w:val="auto"/>
          <w:sz w:val="24"/>
          <w:szCs w:val="24"/>
          <w:highlight w:val="none"/>
        </w:rPr>
        <w:t>进行支付</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 xml:space="preserve"> </w:t>
      </w:r>
    </w:p>
    <w:p w14:paraId="34C927AD">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5、招标文件的约束力</w:t>
      </w:r>
    </w:p>
    <w:p w14:paraId="26CA327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5.1 投标人一旦参加本项目采购活动，即被认为接受了本招标文件的规定和约束。</w:t>
      </w:r>
    </w:p>
    <w:p w14:paraId="568EC8C0">
      <w:pPr>
        <w:pStyle w:val="229"/>
        <w:spacing w:before="291" w:after="0" w:line="500" w:lineRule="exact"/>
        <w:ind w:firstLine="562"/>
        <w:rPr>
          <w:rFonts w:hint="eastAsia" w:ascii="宋体" w:hAnsi="宋体" w:eastAsia="宋体" w:cs="宋体"/>
          <w:color w:val="auto"/>
          <w:sz w:val="28"/>
          <w:szCs w:val="28"/>
          <w:highlight w:val="none"/>
        </w:rPr>
      </w:pPr>
      <w:bookmarkStart w:id="81" w:name="_Toc513029209"/>
      <w:bookmarkStart w:id="82" w:name="_Toc20823281"/>
      <w:bookmarkStart w:id="83" w:name="_Toc18224"/>
      <w:bookmarkStart w:id="84" w:name="_Toc4458"/>
      <w:bookmarkStart w:id="85" w:name="_Toc22804"/>
      <w:bookmarkStart w:id="86" w:name="_Toc27995"/>
      <w:bookmarkStart w:id="87" w:name="_Toc120614215"/>
      <w:bookmarkStart w:id="88" w:name="_Toc16938525"/>
      <w:r>
        <w:rPr>
          <w:rFonts w:hint="eastAsia" w:ascii="宋体" w:hAnsi="宋体" w:eastAsia="宋体" w:cs="宋体"/>
          <w:color w:val="auto"/>
          <w:sz w:val="28"/>
          <w:szCs w:val="28"/>
          <w:highlight w:val="none"/>
        </w:rPr>
        <w:t>二、招标文件</w:t>
      </w:r>
      <w:bookmarkEnd w:id="81"/>
      <w:bookmarkEnd w:id="82"/>
      <w:bookmarkEnd w:id="83"/>
      <w:bookmarkEnd w:id="84"/>
      <w:bookmarkEnd w:id="85"/>
      <w:bookmarkEnd w:id="86"/>
      <w:bookmarkEnd w:id="87"/>
      <w:bookmarkEnd w:id="88"/>
    </w:p>
    <w:p w14:paraId="34192D51">
      <w:pPr>
        <w:spacing w:line="500" w:lineRule="exact"/>
        <w:ind w:firstLine="562"/>
        <w:rPr>
          <w:rFonts w:hint="eastAsia" w:ascii="宋体" w:hAnsi="宋体" w:cs="宋体"/>
          <w:b/>
          <w:bCs/>
          <w:color w:val="auto"/>
          <w:sz w:val="28"/>
          <w:szCs w:val="28"/>
          <w:highlight w:val="none"/>
        </w:rPr>
      </w:pPr>
      <w:bookmarkStart w:id="89" w:name="_Toc16938526"/>
      <w:bookmarkStart w:id="90" w:name="_Toc513029210"/>
      <w:bookmarkStart w:id="91" w:name="_Toc20823282"/>
      <w:r>
        <w:rPr>
          <w:rFonts w:hint="eastAsia" w:ascii="宋体" w:hAnsi="宋体" w:cs="宋体"/>
          <w:b/>
          <w:bCs/>
          <w:color w:val="auto"/>
          <w:sz w:val="28"/>
          <w:szCs w:val="28"/>
          <w:highlight w:val="none"/>
        </w:rPr>
        <w:t>6、招标文件构成</w:t>
      </w:r>
      <w:bookmarkEnd w:id="89"/>
      <w:bookmarkEnd w:id="90"/>
      <w:bookmarkEnd w:id="91"/>
    </w:p>
    <w:p w14:paraId="167CED2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6.1 招标文件由以下部分组成：</w:t>
      </w:r>
    </w:p>
    <w:p w14:paraId="6435120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（1）投标邀请</w:t>
      </w:r>
    </w:p>
    <w:p w14:paraId="3CEFBE8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（2）投标人须知</w:t>
      </w:r>
    </w:p>
    <w:p w14:paraId="0DBBC5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（3）合同文本</w:t>
      </w:r>
    </w:p>
    <w:p w14:paraId="61A6693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（4）采购需求</w:t>
      </w:r>
    </w:p>
    <w:p w14:paraId="55AC324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（5）评标方法与评标标准</w:t>
      </w:r>
    </w:p>
    <w:p w14:paraId="3B6C061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（6）投标文件格式</w:t>
      </w:r>
    </w:p>
    <w:p w14:paraId="6801AE8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请仔细检查招标文件是否齐全，如有缺漏请立即与采购代理机构联系解决。</w:t>
      </w:r>
    </w:p>
    <w:p w14:paraId="75F1352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D19636">
      <w:pPr>
        <w:spacing w:line="500" w:lineRule="exact"/>
        <w:ind w:firstLine="562"/>
        <w:rPr>
          <w:rFonts w:hint="eastAsia" w:ascii="宋体" w:hAnsi="宋体" w:cs="宋体"/>
          <w:b/>
          <w:bCs/>
          <w:color w:val="auto"/>
          <w:sz w:val="28"/>
          <w:szCs w:val="28"/>
          <w:highlight w:val="none"/>
        </w:rPr>
      </w:pPr>
      <w:bookmarkStart w:id="92" w:name="_Toc20823283"/>
      <w:bookmarkStart w:id="93" w:name="_Toc462564070"/>
      <w:bookmarkStart w:id="94" w:name="_Toc16938527"/>
      <w:bookmarkStart w:id="95" w:name="_Toc513029211"/>
      <w:r>
        <w:rPr>
          <w:rFonts w:hint="eastAsia" w:ascii="宋体" w:hAnsi="宋体" w:cs="宋体"/>
          <w:b/>
          <w:bCs/>
          <w:color w:val="auto"/>
          <w:sz w:val="28"/>
          <w:szCs w:val="28"/>
          <w:highlight w:val="none"/>
        </w:rPr>
        <w:t>7、招标文件的澄清</w:t>
      </w:r>
      <w:bookmarkEnd w:id="92"/>
      <w:bookmarkEnd w:id="93"/>
      <w:bookmarkEnd w:id="94"/>
      <w:bookmarkEnd w:id="95"/>
    </w:p>
    <w:p w14:paraId="4416027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7.1 任何要求对招标文件进行澄清的投标人，应在投标截止期十日前按招标公告中的通讯地址，以书面形式通知采购代理机构。</w:t>
      </w:r>
    </w:p>
    <w:p w14:paraId="7AF6FFD0">
      <w:pPr>
        <w:spacing w:line="500" w:lineRule="exact"/>
        <w:ind w:firstLine="562"/>
        <w:rPr>
          <w:rFonts w:hint="eastAsia" w:ascii="宋体" w:hAnsi="宋体" w:cs="宋体"/>
          <w:b/>
          <w:bCs/>
          <w:color w:val="auto"/>
          <w:sz w:val="28"/>
          <w:szCs w:val="28"/>
          <w:highlight w:val="none"/>
        </w:rPr>
      </w:pPr>
      <w:bookmarkStart w:id="96" w:name="_Toc16938528"/>
      <w:bookmarkStart w:id="97" w:name="_Toc20823284"/>
      <w:bookmarkStart w:id="98" w:name="_Toc513029212"/>
      <w:bookmarkStart w:id="99" w:name="_Toc462564071"/>
      <w:r>
        <w:rPr>
          <w:rFonts w:hint="eastAsia" w:ascii="宋体" w:hAnsi="宋体" w:cs="宋体"/>
          <w:b/>
          <w:bCs/>
          <w:color w:val="auto"/>
          <w:sz w:val="28"/>
          <w:szCs w:val="28"/>
          <w:highlight w:val="none"/>
        </w:rPr>
        <w:t>8、招标文件的修改</w:t>
      </w:r>
      <w:bookmarkEnd w:id="96"/>
      <w:bookmarkEnd w:id="97"/>
      <w:bookmarkEnd w:id="98"/>
      <w:bookmarkEnd w:id="99"/>
    </w:p>
    <w:p w14:paraId="39DE42A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p>
    <w:p w14:paraId="23F2DF9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8.2 在投标截止时间之前，采购代理机构可以对招标文件进行修改。</w:t>
      </w:r>
    </w:p>
    <w:p w14:paraId="06D3C88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8.3 采购代理机构有权按照法定的要求推迟投标截止日期和开标日期。</w:t>
      </w:r>
    </w:p>
    <w:p w14:paraId="1E78115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8.4招标文件的修改将在原公告媒体上发布更正公告，补充文件将作为招标文件的组成部分，并对投标人具有约束力。</w:t>
      </w:r>
    </w:p>
    <w:p w14:paraId="5CC936CC">
      <w:pPr>
        <w:spacing w:line="500" w:lineRule="exact"/>
        <w:ind w:firstLine="480"/>
        <w:rPr>
          <w:rFonts w:hint="eastAsia" w:ascii="宋体" w:hAnsi="宋体" w:cs="宋体"/>
          <w:bCs/>
          <w:color w:val="auto"/>
          <w:sz w:val="28"/>
          <w:szCs w:val="28"/>
          <w:highlight w:val="none"/>
        </w:rPr>
      </w:pPr>
      <w:r>
        <w:rPr>
          <w:rFonts w:hint="eastAsia" w:ascii="宋体" w:hAnsi="宋体" w:cs="宋体"/>
          <w:color w:val="auto"/>
          <w:sz w:val="24"/>
          <w:szCs w:val="24"/>
          <w:highlight w:val="none"/>
        </w:rPr>
        <w:t>8.5投标人应及时登录“苏采云”系统获取澄清答疑文件（修改后招标文件），如因投标人原因未能及时下载澄清和修改后的招标文件，由此造成的相关责任，由投标人承担。</w:t>
      </w:r>
      <w:r>
        <w:rPr>
          <w:rFonts w:hint="eastAsia" w:ascii="宋体" w:hAnsi="宋体" w:cs="宋体"/>
          <w:bCs/>
          <w:color w:val="auto"/>
          <w:sz w:val="28"/>
          <w:szCs w:val="28"/>
          <w:highlight w:val="none"/>
        </w:rPr>
        <w:t xml:space="preserve"> </w:t>
      </w:r>
    </w:p>
    <w:p w14:paraId="2ADB48AD">
      <w:pPr>
        <w:pStyle w:val="229"/>
        <w:spacing w:before="291" w:after="0" w:line="500" w:lineRule="exact"/>
        <w:ind w:firstLine="562"/>
        <w:rPr>
          <w:rFonts w:hint="eastAsia" w:ascii="宋体" w:hAnsi="宋体" w:eastAsia="宋体" w:cs="宋体"/>
          <w:color w:val="auto"/>
          <w:sz w:val="28"/>
          <w:szCs w:val="28"/>
          <w:highlight w:val="none"/>
        </w:rPr>
      </w:pPr>
      <w:bookmarkStart w:id="100" w:name="_Toc513029213"/>
      <w:bookmarkStart w:id="101" w:name="_Toc20823285"/>
      <w:bookmarkStart w:id="102" w:name="_Toc120614216"/>
      <w:bookmarkStart w:id="103" w:name="_Toc14352"/>
      <w:bookmarkStart w:id="104" w:name="_Toc7554"/>
      <w:bookmarkStart w:id="105" w:name="_Toc28465"/>
      <w:bookmarkStart w:id="106" w:name="_Toc16938529"/>
      <w:bookmarkStart w:id="107" w:name="_Toc18741"/>
      <w:bookmarkStart w:id="108" w:name="_Toc462564072"/>
      <w:r>
        <w:rPr>
          <w:rFonts w:hint="eastAsia" w:ascii="宋体" w:hAnsi="宋体" w:eastAsia="宋体" w:cs="宋体"/>
          <w:color w:val="auto"/>
          <w:sz w:val="28"/>
          <w:szCs w:val="28"/>
          <w:highlight w:val="none"/>
        </w:rPr>
        <w:t>三、投标文件的编制</w:t>
      </w:r>
      <w:bookmarkEnd w:id="100"/>
      <w:bookmarkEnd w:id="101"/>
      <w:bookmarkEnd w:id="102"/>
      <w:bookmarkEnd w:id="103"/>
      <w:bookmarkEnd w:id="104"/>
      <w:bookmarkEnd w:id="105"/>
      <w:bookmarkEnd w:id="106"/>
      <w:bookmarkEnd w:id="107"/>
      <w:bookmarkEnd w:id="108"/>
    </w:p>
    <w:p w14:paraId="562DC16C">
      <w:pPr>
        <w:spacing w:line="500" w:lineRule="exact"/>
        <w:ind w:firstLine="562"/>
        <w:rPr>
          <w:rFonts w:hint="eastAsia" w:ascii="宋体" w:hAnsi="宋体" w:cs="宋体"/>
          <w:b/>
          <w:bCs/>
          <w:color w:val="auto"/>
          <w:sz w:val="28"/>
          <w:szCs w:val="28"/>
          <w:highlight w:val="none"/>
        </w:rPr>
      </w:pPr>
      <w:bookmarkStart w:id="109" w:name="_Toc513029214"/>
      <w:bookmarkStart w:id="110" w:name="_Toc16938530"/>
      <w:bookmarkStart w:id="111" w:name="_Toc20823286"/>
      <w:bookmarkStart w:id="112" w:name="_Toc462564073"/>
      <w:r>
        <w:rPr>
          <w:rFonts w:hint="eastAsia" w:ascii="宋体" w:hAnsi="宋体" w:cs="宋体"/>
          <w:b/>
          <w:bCs/>
          <w:color w:val="auto"/>
          <w:sz w:val="28"/>
          <w:szCs w:val="28"/>
          <w:highlight w:val="none"/>
        </w:rPr>
        <w:t>9、投标文件的语言及度量衡单位</w:t>
      </w:r>
      <w:bookmarkEnd w:id="109"/>
      <w:bookmarkEnd w:id="110"/>
      <w:bookmarkEnd w:id="111"/>
      <w:bookmarkEnd w:id="112"/>
    </w:p>
    <w:p w14:paraId="37A18E96">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4"/>
          <w:szCs w:val="24"/>
          <w:highlight w:val="none"/>
        </w:rPr>
        <w:t>9.1 投标人提交的投标文件以及投标人与采购代理机构就有关投标的所有来往通知、函件和文件均应使用</w:t>
      </w:r>
      <w:r>
        <w:rPr>
          <w:rFonts w:hint="eastAsia" w:ascii="宋体" w:hAnsi="宋体" w:cs="宋体"/>
          <w:b/>
          <w:bCs/>
          <w:color w:val="auto"/>
          <w:sz w:val="24"/>
          <w:szCs w:val="24"/>
          <w:highlight w:val="none"/>
        </w:rPr>
        <w:t>简体中文</w:t>
      </w:r>
      <w:r>
        <w:rPr>
          <w:rFonts w:hint="eastAsia" w:ascii="宋体" w:hAnsi="宋体" w:cs="宋体"/>
          <w:color w:val="auto"/>
          <w:sz w:val="28"/>
          <w:szCs w:val="28"/>
          <w:highlight w:val="none"/>
        </w:rPr>
        <w:t>。</w:t>
      </w:r>
    </w:p>
    <w:p w14:paraId="753FBD7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9.2 除技术性能另有规定外，投标文件所使用的度量衡单位，均须采用国家法定计量单位。</w:t>
      </w:r>
    </w:p>
    <w:p w14:paraId="262FF844">
      <w:pPr>
        <w:spacing w:line="500" w:lineRule="exact"/>
        <w:ind w:firstLine="562"/>
        <w:rPr>
          <w:rFonts w:hint="eastAsia" w:ascii="宋体" w:hAnsi="宋体" w:cs="宋体"/>
          <w:b/>
          <w:bCs/>
          <w:color w:val="auto"/>
          <w:sz w:val="28"/>
          <w:szCs w:val="28"/>
          <w:highlight w:val="none"/>
        </w:rPr>
      </w:pPr>
      <w:bookmarkStart w:id="113" w:name="_Toc20823287"/>
      <w:bookmarkStart w:id="114" w:name="_Toc462564074"/>
      <w:bookmarkStart w:id="115" w:name="_Toc16938531"/>
      <w:bookmarkStart w:id="116" w:name="_Toc513029215"/>
      <w:r>
        <w:rPr>
          <w:rFonts w:hint="eastAsia" w:ascii="宋体" w:hAnsi="宋体" w:cs="宋体"/>
          <w:b/>
          <w:bCs/>
          <w:color w:val="auto"/>
          <w:sz w:val="28"/>
          <w:szCs w:val="28"/>
          <w:highlight w:val="none"/>
        </w:rPr>
        <w:t>10、投标文件构成</w:t>
      </w:r>
      <w:bookmarkEnd w:id="113"/>
      <w:bookmarkEnd w:id="114"/>
      <w:bookmarkEnd w:id="115"/>
      <w:bookmarkEnd w:id="116"/>
    </w:p>
    <w:p w14:paraId="5BB20A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59C6B1B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各投标人在编制投标文件时请按照招标文件第六</w:t>
      </w:r>
      <w:r>
        <w:rPr>
          <w:rFonts w:hint="eastAsia" w:ascii="宋体" w:hAnsi="宋体" w:cs="宋体"/>
          <w:color w:val="auto"/>
          <w:sz w:val="24"/>
          <w:szCs w:val="24"/>
          <w:highlight w:val="none"/>
        </w:rPr>
        <w:t>章</w:t>
      </w:r>
      <w:r>
        <w:rPr>
          <w:rFonts w:hint="eastAsia" w:ascii="宋体" w:hAnsi="宋体" w:cs="宋体"/>
          <w:color w:val="auto"/>
          <w:sz w:val="24"/>
          <w:szCs w:val="24"/>
          <w:highlight w:val="none"/>
          <w:lang w:val="zh-CN"/>
        </w:rPr>
        <w:t>规定的格式进行，混乱的编排导致投标文件被误读或评委会查找不到有效文件是投标人的风险。</w:t>
      </w:r>
    </w:p>
    <w:p w14:paraId="473C69B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10.2 投标人编写的投标文件应包括资格证明文件、符合性证明文件、投标分项报价表、响应及偏离表、其他证明文件、投标函、开标一览表等部分。</w:t>
      </w:r>
    </w:p>
    <w:p w14:paraId="32E477A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p>
    <w:p w14:paraId="5B02DB1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10.4本项目通过“苏采云”系统进行电子招标投标，即投标人应当通过“苏采云”系统提交数据电文形式的投标文件（即电子投标）。投标文件使用政府采购客户端工具制作并通过“苏采云”系统提交，未进行投标文件提交并解密的投标人，按照无效响应处理(因“苏采云”系统导致解密失败的除外)。</w:t>
      </w:r>
    </w:p>
    <w:p w14:paraId="7D6B537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10.5 如标书制作工具中格式和内容与“宿迁市政府采购网”发布的招标文件不一致，请以“宿迁市政府采购网”发布的招标文件为准。</w:t>
      </w:r>
    </w:p>
    <w:p w14:paraId="71265FDD">
      <w:pPr>
        <w:spacing w:line="500" w:lineRule="exact"/>
        <w:ind w:firstLine="480"/>
        <w:rPr>
          <w:rFonts w:hint="eastAsia" w:ascii="宋体" w:hAnsi="宋体" w:cs="宋体"/>
          <w:bCs/>
          <w:color w:val="auto"/>
          <w:sz w:val="28"/>
          <w:szCs w:val="28"/>
          <w:highlight w:val="none"/>
        </w:rPr>
      </w:pPr>
      <w:r>
        <w:rPr>
          <w:rFonts w:hint="eastAsia" w:ascii="宋体" w:hAnsi="宋体" w:cs="宋体"/>
          <w:color w:val="auto"/>
          <w:sz w:val="24"/>
          <w:szCs w:val="24"/>
          <w:highlight w:val="none"/>
        </w:rPr>
        <w:t>10.6中标后按相关要求提供与电子投标文件一致的纸质打印投标文件2份。</w:t>
      </w:r>
      <w:r>
        <w:rPr>
          <w:rFonts w:hint="eastAsia" w:ascii="宋体" w:hAnsi="宋体" w:cs="宋体"/>
          <w:bCs/>
          <w:color w:val="auto"/>
          <w:sz w:val="28"/>
          <w:szCs w:val="28"/>
          <w:highlight w:val="none"/>
        </w:rPr>
        <w:t xml:space="preserve"> </w:t>
      </w:r>
    </w:p>
    <w:p w14:paraId="7584522C">
      <w:pPr>
        <w:spacing w:line="500" w:lineRule="exact"/>
        <w:ind w:firstLine="562"/>
        <w:rPr>
          <w:rFonts w:hint="eastAsia" w:ascii="宋体" w:hAnsi="宋体" w:cs="宋体"/>
          <w:b/>
          <w:color w:val="auto"/>
          <w:sz w:val="28"/>
          <w:szCs w:val="28"/>
          <w:highlight w:val="none"/>
        </w:rPr>
      </w:pPr>
      <w:bookmarkStart w:id="117" w:name="EBc50e2bb832bb43068403b10c1cce6141"/>
      <w:r>
        <w:rPr>
          <w:rFonts w:hint="eastAsia" w:ascii="宋体" w:hAnsi="宋体" w:cs="宋体"/>
          <w:b/>
          <w:color w:val="auto"/>
          <w:sz w:val="28"/>
          <w:szCs w:val="28"/>
          <w:highlight w:val="none"/>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7"/>
    </w:p>
    <w:p w14:paraId="70C2A905">
      <w:pPr>
        <w:spacing w:line="500" w:lineRule="exact"/>
        <w:ind w:firstLine="562"/>
        <w:rPr>
          <w:rFonts w:hint="eastAsia" w:ascii="宋体" w:hAnsi="宋体" w:cs="宋体"/>
          <w:b/>
          <w:bCs/>
          <w:color w:val="auto"/>
          <w:sz w:val="28"/>
          <w:szCs w:val="28"/>
          <w:highlight w:val="none"/>
        </w:rPr>
      </w:pPr>
      <w:bookmarkStart w:id="118" w:name="_Hlt26954838"/>
      <w:bookmarkEnd w:id="118"/>
      <w:bookmarkStart w:id="119" w:name="_Hlt26670360"/>
      <w:bookmarkEnd w:id="119"/>
      <w:bookmarkStart w:id="120" w:name="_Hlt26668975"/>
      <w:bookmarkEnd w:id="120"/>
      <w:bookmarkStart w:id="121" w:name="_Toc513029216"/>
      <w:bookmarkStart w:id="122" w:name="_Toc49090507"/>
      <w:bookmarkStart w:id="123" w:name="_Toc49090509"/>
      <w:bookmarkStart w:id="124" w:name="_Toc14577357"/>
      <w:bookmarkStart w:id="125" w:name="_Toc14577354"/>
      <w:bookmarkStart w:id="126" w:name="_Toc513029219"/>
      <w:r>
        <w:rPr>
          <w:rFonts w:hint="eastAsia" w:ascii="宋体" w:hAnsi="宋体" w:cs="宋体"/>
          <w:b/>
          <w:bCs/>
          <w:color w:val="auto"/>
          <w:sz w:val="28"/>
          <w:szCs w:val="28"/>
          <w:highlight w:val="none"/>
        </w:rPr>
        <w:t>11、证明投标人及投标标的符合招标文件规定的文件</w:t>
      </w:r>
      <w:bookmarkEnd w:id="121"/>
      <w:bookmarkEnd w:id="122"/>
      <w:bookmarkEnd w:id="123"/>
      <w:bookmarkEnd w:id="124"/>
      <w:bookmarkEnd w:id="125"/>
      <w:bookmarkEnd w:id="126"/>
      <w:bookmarkStart w:id="127" w:name="_Toc14577355"/>
      <w:bookmarkStart w:id="128" w:name="_Toc49090508"/>
    </w:p>
    <w:p w14:paraId="5D3EA6D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11.1 投标人应按照法律、法规、规章和规范性文件以及招标文件要求提交证明文件，证明其及投标标的符合招标文件规定。</w:t>
      </w:r>
    </w:p>
    <w:p w14:paraId="3A82F65E">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4"/>
          <w:szCs w:val="24"/>
          <w:highlight w:val="none"/>
        </w:rPr>
        <w:t>11.2招标文件对证明文件无明确形式要求的，证明文件可以以文字资料、图纸和数据等形式提交。</w:t>
      </w:r>
    </w:p>
    <w:p w14:paraId="2F5CE95C">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12、投标分项报价</w:t>
      </w:r>
      <w:bookmarkEnd w:id="127"/>
      <w:bookmarkStart w:id="129" w:name="_Hlt26670373"/>
      <w:bookmarkEnd w:id="129"/>
      <w:r>
        <w:rPr>
          <w:rFonts w:hint="eastAsia" w:ascii="宋体" w:hAnsi="宋体" w:cs="宋体"/>
          <w:b/>
          <w:bCs/>
          <w:color w:val="auto"/>
          <w:sz w:val="28"/>
          <w:szCs w:val="28"/>
          <w:highlight w:val="none"/>
        </w:rPr>
        <w:t>表</w:t>
      </w:r>
      <w:bookmarkEnd w:id="128"/>
    </w:p>
    <w:p w14:paraId="39AD303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12.1 投</w:t>
      </w:r>
      <w:bookmarkStart w:id="130" w:name="_Hlt26954840"/>
      <w:bookmarkEnd w:id="130"/>
      <w:r>
        <w:rPr>
          <w:rFonts w:hint="eastAsia" w:ascii="宋体" w:hAnsi="宋体" w:cs="宋体"/>
          <w:color w:val="auto"/>
          <w:sz w:val="24"/>
          <w:szCs w:val="24"/>
          <w:highlight w:val="none"/>
        </w:rPr>
        <w:t>标人应按照招标文件规定格式填报投标分项报价表</w:t>
      </w:r>
      <w:bookmarkStart w:id="131" w:name="_Hlt26670399"/>
      <w:bookmarkEnd w:id="131"/>
      <w:r>
        <w:rPr>
          <w:rFonts w:hint="eastAsia" w:ascii="宋体" w:hAnsi="宋体" w:cs="宋体"/>
          <w:color w:val="auto"/>
          <w:sz w:val="24"/>
          <w:szCs w:val="24"/>
          <w:highlight w:val="none"/>
        </w:rPr>
        <w:t>。</w:t>
      </w:r>
    </w:p>
    <w:p w14:paraId="64026BE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12.2投标货币。投标文件中的单价和总价无特殊规定的采用人民币报价，以元为单位标注。招标文件中另有规定的按规定执行。</w:t>
      </w:r>
    </w:p>
    <w:p w14:paraId="010393E8">
      <w:pPr>
        <w:spacing w:line="520" w:lineRule="exact"/>
        <w:ind w:firstLine="480"/>
        <w:rPr>
          <w:rFonts w:hint="eastAsia" w:ascii="宋体" w:hAnsi="宋体" w:cs="宋体"/>
          <w:bCs/>
          <w:color w:val="auto"/>
          <w:sz w:val="24"/>
          <w:szCs w:val="24"/>
          <w:highlight w:val="none"/>
        </w:rPr>
      </w:pPr>
      <w:r>
        <w:rPr>
          <w:rFonts w:hint="eastAsia" w:ascii="宋体" w:hAnsi="宋体" w:cs="宋体"/>
          <w:color w:val="auto"/>
          <w:sz w:val="24"/>
          <w:szCs w:val="24"/>
          <w:highlight w:val="none"/>
        </w:rPr>
        <w:t>12.3本项目不接受备选的投标方案或有选择的报价，只允许有一个报价。投标报价内容包括：</w:t>
      </w:r>
      <w:r>
        <w:rPr>
          <w:rFonts w:hint="eastAsia" w:ascii="宋体" w:hAnsi="宋体" w:cs="宋体"/>
          <w:bCs/>
          <w:color w:val="auto"/>
          <w:sz w:val="24"/>
          <w:szCs w:val="24"/>
          <w:highlight w:val="none"/>
        </w:rPr>
        <w:t>人员成本、全部管理和服务的费用（指完成该服务项目所需的固定资产投入、软硬件投入、办公费、培训费、计提工会费、交通工具、材料费、维保费、合理利润、税收等相关的所有费用)。</w:t>
      </w:r>
    </w:p>
    <w:p w14:paraId="774446F7">
      <w:pPr>
        <w:spacing w:line="52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12.4</w:t>
      </w:r>
      <w:r>
        <w:rPr>
          <w:rStyle w:val="412"/>
          <w:rFonts w:hint="eastAsia" w:ascii="宋体" w:hAnsi="宋体" w:cs="宋体"/>
          <w:color w:val="auto"/>
          <w:sz w:val="24"/>
          <w:szCs w:val="24"/>
          <w:highlight w:val="none"/>
        </w:rPr>
        <w:t>投标人报价时应充分考虑所有可能影响到报价的因素，一旦评标结束最终中标，如发生漏、缺、少项，都将被认为是中标人的报价让利行为，损失自负。</w:t>
      </w:r>
    </w:p>
    <w:p w14:paraId="4D92056A">
      <w:pPr>
        <w:spacing w:line="500" w:lineRule="exact"/>
        <w:ind w:firstLine="562"/>
        <w:rPr>
          <w:rFonts w:hint="eastAsia" w:ascii="宋体" w:hAnsi="宋体" w:cs="宋体"/>
          <w:b/>
          <w:bCs/>
          <w:color w:val="auto"/>
          <w:sz w:val="28"/>
          <w:szCs w:val="28"/>
          <w:highlight w:val="none"/>
        </w:rPr>
      </w:pPr>
      <w:bookmarkStart w:id="132" w:name="_Hlt26954846"/>
      <w:bookmarkEnd w:id="132"/>
      <w:bookmarkStart w:id="133" w:name="_Hlt26668983"/>
      <w:bookmarkEnd w:id="133"/>
      <w:bookmarkStart w:id="134" w:name="_Hlt26954842"/>
      <w:bookmarkEnd w:id="134"/>
      <w:bookmarkStart w:id="135" w:name="_Hlt26670403"/>
      <w:bookmarkEnd w:id="135"/>
      <w:bookmarkStart w:id="136" w:name="_Hlt26954731"/>
      <w:bookmarkEnd w:id="136"/>
      <w:bookmarkStart w:id="137" w:name="_Hlt26670425"/>
      <w:bookmarkEnd w:id="137"/>
      <w:bookmarkStart w:id="138" w:name="_Hlt26670486"/>
      <w:bookmarkEnd w:id="138"/>
      <w:bookmarkStart w:id="139" w:name="_Hlt26670482"/>
      <w:bookmarkEnd w:id="139"/>
      <w:bookmarkStart w:id="140" w:name="_Hlt26954848"/>
      <w:bookmarkEnd w:id="140"/>
      <w:bookmarkStart w:id="141" w:name="_Hlt26954844"/>
      <w:bookmarkEnd w:id="141"/>
      <w:r>
        <w:rPr>
          <w:rFonts w:hint="eastAsia" w:ascii="宋体" w:hAnsi="宋体" w:cs="宋体"/>
          <w:b/>
          <w:bCs/>
          <w:color w:val="auto"/>
          <w:sz w:val="28"/>
          <w:szCs w:val="28"/>
          <w:highlight w:val="none"/>
        </w:rPr>
        <w:t>13、技术要求响应及偏离表、商务要求响应及偏离表</w:t>
      </w:r>
    </w:p>
    <w:p w14:paraId="6990D56B">
      <w:pPr>
        <w:spacing w:line="500" w:lineRule="exact"/>
        <w:ind w:firstLine="480"/>
        <w:rPr>
          <w:rFonts w:hint="eastAsia" w:ascii="宋体" w:hAnsi="宋体" w:cs="宋体"/>
          <w:color w:val="auto"/>
          <w:sz w:val="24"/>
          <w:szCs w:val="24"/>
          <w:highlight w:val="none"/>
          <w:lang w:val="zh-CN"/>
        </w:rPr>
      </w:pPr>
      <w:bookmarkStart w:id="142" w:name="_Toc14577359"/>
      <w:bookmarkStart w:id="143" w:name="_Toc49090510"/>
      <w:r>
        <w:rPr>
          <w:rFonts w:hint="eastAsia" w:ascii="宋体" w:hAnsi="宋体" w:cs="宋体"/>
          <w:color w:val="auto"/>
          <w:sz w:val="24"/>
          <w:szCs w:val="24"/>
          <w:highlight w:val="none"/>
          <w:lang w:val="zh-CN"/>
        </w:rPr>
        <w:t>13.1 投标人需对招标文件中的技术要求与商务要求逐项作出响应或偏离，并说明原因。</w:t>
      </w:r>
    </w:p>
    <w:p w14:paraId="47FA8C91">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13.2 投标人可在投标文件中提供认为需要的其他技术文件或说明。</w:t>
      </w:r>
    </w:p>
    <w:p w14:paraId="209ED1B1">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14、投标声明及承诺函和开标一览表</w:t>
      </w:r>
    </w:p>
    <w:p w14:paraId="3E663255">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14.1 投标人应按照招标文件中提供的格式完整、正确填写投标声明及承诺函、开标一览表。</w:t>
      </w:r>
    </w:p>
    <w:p w14:paraId="140AC347">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14.2 对于采用货币报价的项目，开标一览表中的投标总报价应与投标分项报价表中的投标总报价一致，如不一致，不作为无效投标处理，但评标时按开标一览表中价格为准。</w:t>
      </w:r>
      <w:bookmarkEnd w:id="142"/>
      <w:bookmarkEnd w:id="143"/>
    </w:p>
    <w:p w14:paraId="16E7B966">
      <w:pPr>
        <w:spacing w:line="500" w:lineRule="exact"/>
        <w:ind w:firstLine="562"/>
        <w:rPr>
          <w:rFonts w:hint="eastAsia" w:ascii="宋体" w:hAnsi="宋体" w:cs="宋体"/>
          <w:b/>
          <w:bCs/>
          <w:color w:val="auto"/>
          <w:sz w:val="28"/>
          <w:szCs w:val="28"/>
          <w:highlight w:val="none"/>
        </w:rPr>
      </w:pPr>
      <w:bookmarkStart w:id="144" w:name="_Hlt26670489"/>
      <w:bookmarkEnd w:id="144"/>
      <w:bookmarkStart w:id="145" w:name="_Hlt26954734"/>
      <w:bookmarkEnd w:id="145"/>
      <w:bookmarkStart w:id="146" w:name="_Hlt26954850"/>
      <w:bookmarkEnd w:id="146"/>
      <w:bookmarkStart w:id="147" w:name="_Toc49090511"/>
      <w:bookmarkStart w:id="148" w:name="_Toc14577360"/>
      <w:r>
        <w:rPr>
          <w:rFonts w:hint="eastAsia" w:ascii="宋体" w:hAnsi="宋体" w:cs="宋体"/>
          <w:b/>
          <w:bCs/>
          <w:color w:val="auto"/>
          <w:sz w:val="28"/>
          <w:szCs w:val="28"/>
          <w:highlight w:val="none"/>
        </w:rPr>
        <w:t>15、投标有效期</w:t>
      </w:r>
      <w:bookmarkEnd w:id="147"/>
      <w:bookmarkEnd w:id="148"/>
    </w:p>
    <w:p w14:paraId="4044335A">
      <w:pPr>
        <w:spacing w:line="500" w:lineRule="exact"/>
        <w:ind w:firstLine="480"/>
        <w:rPr>
          <w:rFonts w:hint="eastAsia" w:ascii="宋体" w:hAnsi="宋体" w:cs="宋体"/>
          <w:bCs/>
          <w:color w:val="auto"/>
          <w:sz w:val="28"/>
          <w:szCs w:val="28"/>
          <w:highlight w:val="none"/>
        </w:rPr>
      </w:pPr>
      <w:r>
        <w:rPr>
          <w:rFonts w:hint="eastAsia" w:ascii="宋体" w:hAnsi="宋体" w:cs="宋体"/>
          <w:color w:val="auto"/>
          <w:sz w:val="24"/>
          <w:szCs w:val="24"/>
          <w:highlight w:val="none"/>
        </w:rPr>
        <w:t>15.1</w:t>
      </w:r>
      <w:r>
        <w:rPr>
          <w:rFonts w:hint="eastAsia" w:ascii="宋体" w:hAnsi="宋体" w:cs="宋体"/>
          <w:bCs/>
          <w:color w:val="auto"/>
          <w:sz w:val="24"/>
          <w:szCs w:val="24"/>
          <w:highlight w:val="none"/>
        </w:rPr>
        <w:t xml:space="preserve"> 投标有效期为开标之日后</w:t>
      </w:r>
      <w:r>
        <w:rPr>
          <w:rFonts w:hint="eastAsia" w:ascii="宋体" w:hAnsi="宋体" w:cs="宋体"/>
          <w:b/>
          <w:color w:val="auto"/>
          <w:sz w:val="24"/>
          <w:szCs w:val="24"/>
          <w:highlight w:val="none"/>
          <w:u w:val="single"/>
        </w:rPr>
        <w:t>六十（60）天</w:t>
      </w:r>
      <w:r>
        <w:rPr>
          <w:rFonts w:hint="eastAsia" w:ascii="宋体" w:hAnsi="宋体" w:cs="宋体"/>
          <w:bCs/>
          <w:color w:val="auto"/>
          <w:sz w:val="24"/>
          <w:szCs w:val="24"/>
          <w:highlight w:val="none"/>
        </w:rPr>
        <w:t>。</w:t>
      </w:r>
      <w:r>
        <w:rPr>
          <w:rFonts w:hint="eastAsia" w:ascii="宋体" w:hAnsi="宋体" w:cs="宋体"/>
          <w:color w:val="auto"/>
          <w:sz w:val="24"/>
          <w:szCs w:val="24"/>
          <w:highlight w:val="none"/>
          <w:lang w:val="zh-CN"/>
        </w:rPr>
        <w:t>投标有效期比规定短的将被视为未实质性响应招标文件而予以拒绝。</w:t>
      </w:r>
    </w:p>
    <w:p w14:paraId="564732C0">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16、投标有效期的延长</w:t>
      </w:r>
    </w:p>
    <w:p w14:paraId="6D81383A">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p>
    <w:p w14:paraId="18677885">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4"/>
          <w:szCs w:val="24"/>
          <w:highlight w:val="none"/>
        </w:rPr>
        <w:t>16.2中标人的投标文件作为项目服务合同的附件，其有效期至中标人全部合同义务履行完毕为止。</w:t>
      </w:r>
      <w:r>
        <w:rPr>
          <w:rFonts w:hint="eastAsia" w:ascii="宋体" w:hAnsi="宋体" w:cs="宋体"/>
          <w:color w:val="auto"/>
          <w:sz w:val="28"/>
          <w:szCs w:val="28"/>
          <w:highlight w:val="none"/>
        </w:rPr>
        <w:t xml:space="preserve"> </w:t>
      </w:r>
    </w:p>
    <w:p w14:paraId="2DB1D4F2">
      <w:pPr>
        <w:pStyle w:val="229"/>
        <w:spacing w:before="291" w:after="0" w:line="500" w:lineRule="exact"/>
        <w:ind w:firstLine="562"/>
        <w:rPr>
          <w:rFonts w:hint="eastAsia" w:ascii="宋体" w:hAnsi="宋体" w:eastAsia="宋体" w:cs="宋体"/>
          <w:color w:val="auto"/>
          <w:sz w:val="28"/>
          <w:szCs w:val="28"/>
          <w:highlight w:val="none"/>
        </w:rPr>
      </w:pPr>
      <w:bookmarkStart w:id="149" w:name="_Hlt26954852"/>
      <w:bookmarkEnd w:id="149"/>
      <w:bookmarkStart w:id="150" w:name="_Hlt26954739"/>
      <w:bookmarkEnd w:id="150"/>
      <w:bookmarkStart w:id="151" w:name="_Toc16938540"/>
      <w:bookmarkStart w:id="152" w:name="_Toc25051"/>
      <w:bookmarkStart w:id="153" w:name="_Toc513029224"/>
      <w:bookmarkStart w:id="154" w:name="_Toc14032"/>
      <w:bookmarkStart w:id="155" w:name="_Toc120614217"/>
      <w:bookmarkStart w:id="156" w:name="_Toc18464"/>
      <w:bookmarkStart w:id="157" w:name="_Toc32401"/>
      <w:bookmarkStart w:id="158" w:name="_Toc20823296"/>
      <w:r>
        <w:rPr>
          <w:rFonts w:hint="eastAsia" w:ascii="宋体" w:hAnsi="宋体" w:eastAsia="宋体" w:cs="宋体"/>
          <w:color w:val="auto"/>
          <w:sz w:val="28"/>
          <w:szCs w:val="28"/>
          <w:highlight w:val="none"/>
        </w:rPr>
        <w:t>四、投标文件的递交</w:t>
      </w:r>
      <w:bookmarkEnd w:id="151"/>
      <w:bookmarkEnd w:id="152"/>
      <w:bookmarkEnd w:id="153"/>
      <w:bookmarkEnd w:id="154"/>
      <w:bookmarkEnd w:id="155"/>
      <w:bookmarkEnd w:id="156"/>
      <w:bookmarkEnd w:id="157"/>
      <w:bookmarkEnd w:id="158"/>
    </w:p>
    <w:p w14:paraId="5F33775E">
      <w:pPr>
        <w:spacing w:line="500" w:lineRule="exact"/>
        <w:ind w:firstLine="562"/>
        <w:rPr>
          <w:rFonts w:hint="eastAsia" w:ascii="宋体" w:hAnsi="宋体" w:cs="宋体"/>
          <w:b/>
          <w:bCs/>
          <w:color w:val="auto"/>
          <w:sz w:val="28"/>
          <w:szCs w:val="28"/>
          <w:highlight w:val="none"/>
        </w:rPr>
      </w:pPr>
      <w:bookmarkStart w:id="159" w:name="_Toc513029225"/>
      <w:bookmarkStart w:id="160" w:name="_Toc20823297"/>
      <w:bookmarkStart w:id="161" w:name="_Toc462564084"/>
      <w:bookmarkStart w:id="162" w:name="_Toc16938541"/>
      <w:r>
        <w:rPr>
          <w:rFonts w:hint="eastAsia" w:ascii="宋体" w:hAnsi="宋体" w:cs="宋体"/>
          <w:b/>
          <w:bCs/>
          <w:color w:val="auto"/>
          <w:sz w:val="28"/>
          <w:szCs w:val="28"/>
          <w:highlight w:val="none"/>
        </w:rPr>
        <w:t>17、投标文件</w:t>
      </w:r>
      <w:bookmarkEnd w:id="159"/>
      <w:bookmarkEnd w:id="160"/>
      <w:bookmarkEnd w:id="161"/>
      <w:bookmarkEnd w:id="162"/>
      <w:r>
        <w:rPr>
          <w:rFonts w:hint="eastAsia" w:ascii="宋体" w:hAnsi="宋体" w:cs="宋体"/>
          <w:b/>
          <w:bCs/>
          <w:color w:val="auto"/>
          <w:sz w:val="28"/>
          <w:szCs w:val="28"/>
          <w:highlight w:val="none"/>
        </w:rPr>
        <w:t>的递交</w:t>
      </w:r>
    </w:p>
    <w:p w14:paraId="6D08E82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17.1投标人应当按照《操作手册》规定，在投标截止时间前制作并上传电子投标文件。</w:t>
      </w:r>
      <w:bookmarkStart w:id="163" w:name="_Toc16938542"/>
      <w:bookmarkStart w:id="164" w:name="_Toc20823298"/>
      <w:bookmarkStart w:id="165" w:name="_Toc513029226"/>
    </w:p>
    <w:p w14:paraId="0696E8A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17.2投标人通过“苏采云”系统不见面开标大厅在线参与开标活动。（具体操作详见《“苏采云”系统投标人操作手册》，网址链接http://www.ccgp-jiangsu.gov.cn//webfile/jiangsu/202311/1699268553318052447.pdf）</w:t>
      </w:r>
    </w:p>
    <w:p w14:paraId="352D18EA">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18、投标截止</w:t>
      </w:r>
      <w:bookmarkEnd w:id="163"/>
      <w:bookmarkEnd w:id="164"/>
      <w:bookmarkEnd w:id="165"/>
      <w:r>
        <w:rPr>
          <w:rFonts w:hint="eastAsia" w:ascii="宋体" w:hAnsi="宋体" w:cs="宋体"/>
          <w:b/>
          <w:bCs/>
          <w:color w:val="auto"/>
          <w:sz w:val="28"/>
          <w:szCs w:val="28"/>
          <w:highlight w:val="none"/>
        </w:rPr>
        <w:t>时间</w:t>
      </w:r>
    </w:p>
    <w:p w14:paraId="417D29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18.1 投标人上传电子投标文件的时间不得迟于招标公告中规定的投标截止时间。</w:t>
      </w:r>
    </w:p>
    <w:p w14:paraId="0AB6D55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投标人应充分考虑到网络环境、网络带宽等风险因素，如因投标人自身原因造成的电子投标文件上传不成功的按照本招标文件第二章第26.1.2条 规定</w:t>
      </w:r>
      <w:r>
        <w:rPr>
          <w:rFonts w:hint="eastAsia" w:ascii="宋体" w:hAnsi="宋体" w:cs="宋体"/>
          <w:color w:val="auto"/>
          <w:sz w:val="24"/>
          <w:szCs w:val="24"/>
          <w:highlight w:val="none"/>
          <w:lang w:eastAsia="zh-CN"/>
        </w:rPr>
        <w:t>作无效投标</w:t>
      </w:r>
      <w:r>
        <w:rPr>
          <w:rFonts w:hint="eastAsia" w:ascii="宋体" w:hAnsi="宋体" w:cs="宋体"/>
          <w:color w:val="auto"/>
          <w:sz w:val="24"/>
          <w:szCs w:val="24"/>
          <w:highlight w:val="none"/>
        </w:rPr>
        <w:t>处理。</w:t>
      </w:r>
    </w:p>
    <w:p w14:paraId="5683AE9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18.2 采购代理机构可以按照规定，通过修改招标文件酌情延长投标截止时间，在此情况下，投标人的所有权利和义务以及投标人受制的截止时间均应以延长后新的截止时间为准。</w:t>
      </w:r>
    </w:p>
    <w:p w14:paraId="72D097EF">
      <w:pPr>
        <w:spacing w:line="500" w:lineRule="exact"/>
        <w:ind w:firstLine="562"/>
        <w:rPr>
          <w:rFonts w:hint="eastAsia" w:ascii="宋体" w:hAnsi="宋体" w:cs="宋体"/>
          <w:b/>
          <w:bCs/>
          <w:color w:val="auto"/>
          <w:sz w:val="28"/>
          <w:szCs w:val="28"/>
          <w:highlight w:val="none"/>
        </w:rPr>
      </w:pPr>
      <w:bookmarkStart w:id="166" w:name="_Toc513029227"/>
      <w:bookmarkStart w:id="167" w:name="_Toc20823299"/>
      <w:bookmarkStart w:id="168" w:name="_Toc16938543"/>
      <w:r>
        <w:rPr>
          <w:rFonts w:hint="eastAsia" w:ascii="宋体" w:hAnsi="宋体" w:cs="宋体"/>
          <w:b/>
          <w:bCs/>
          <w:color w:val="auto"/>
          <w:sz w:val="28"/>
          <w:szCs w:val="28"/>
          <w:highlight w:val="none"/>
        </w:rPr>
        <w:t>19、投标文件</w:t>
      </w:r>
      <w:bookmarkEnd w:id="166"/>
      <w:bookmarkEnd w:id="167"/>
      <w:bookmarkEnd w:id="168"/>
      <w:r>
        <w:rPr>
          <w:rFonts w:hint="eastAsia" w:ascii="宋体" w:hAnsi="宋体" w:cs="宋体"/>
          <w:b/>
          <w:bCs/>
          <w:color w:val="auto"/>
          <w:sz w:val="28"/>
          <w:szCs w:val="28"/>
          <w:highlight w:val="none"/>
        </w:rPr>
        <w:t>的拒收</w:t>
      </w:r>
    </w:p>
    <w:p w14:paraId="432D699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19.1采购代理机构拒绝接收在其规定的投标截止时间后上传的任何投标文件。</w:t>
      </w:r>
    </w:p>
    <w:p w14:paraId="076247EC">
      <w:pPr>
        <w:spacing w:line="500" w:lineRule="exact"/>
        <w:ind w:firstLine="562"/>
        <w:rPr>
          <w:rFonts w:hint="eastAsia" w:ascii="宋体" w:hAnsi="宋体" w:cs="宋体"/>
          <w:b/>
          <w:bCs/>
          <w:color w:val="auto"/>
          <w:sz w:val="28"/>
          <w:szCs w:val="28"/>
          <w:highlight w:val="none"/>
        </w:rPr>
      </w:pPr>
      <w:bookmarkStart w:id="169" w:name="_Toc16938544"/>
      <w:bookmarkStart w:id="170" w:name="_Toc20823300"/>
      <w:bookmarkStart w:id="171" w:name="_Toc513029228"/>
      <w:r>
        <w:rPr>
          <w:rFonts w:hint="eastAsia" w:ascii="宋体" w:hAnsi="宋体" w:cs="宋体"/>
          <w:b/>
          <w:bCs/>
          <w:color w:val="auto"/>
          <w:sz w:val="28"/>
          <w:szCs w:val="28"/>
          <w:highlight w:val="none"/>
        </w:rPr>
        <w:t>20、投标文件的撤回和修改</w:t>
      </w:r>
      <w:bookmarkEnd w:id="169"/>
      <w:bookmarkEnd w:id="170"/>
      <w:bookmarkEnd w:id="171"/>
    </w:p>
    <w:p w14:paraId="29F4F24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20.1 投标文件的撤回</w:t>
      </w:r>
    </w:p>
    <w:p w14:paraId="69EA1DD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20.1.1 电子投标文件的撤回</w:t>
      </w:r>
    </w:p>
    <w:p w14:paraId="332D4EA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投标人可在投标截止时间前，撤回其电子投标文件，具体操作方法见《操作手册》。</w:t>
      </w:r>
    </w:p>
    <w:p w14:paraId="46F2E01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20.1.2 投标人撤回电子投标文件，则认为其不再参与本项目投标活动。</w:t>
      </w:r>
    </w:p>
    <w:p w14:paraId="73E2216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20.2 投标文件的修改</w:t>
      </w:r>
    </w:p>
    <w:p w14:paraId="0881B41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20.2.1投标人可在投标截止时间前，对其电子投标文件进行修改，具体操作方法见《操作手册》。</w:t>
      </w:r>
    </w:p>
    <w:p w14:paraId="3459581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20.2.2 在投标截止时间之后，投标人不得对其电子投标文件作任何修改。</w:t>
      </w:r>
    </w:p>
    <w:p w14:paraId="019D1E3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20.3 在投标截止时间至招标文件中规定的投标有效期满之间的这段时间内，投标人不得撤回其投标。</w:t>
      </w:r>
    </w:p>
    <w:p w14:paraId="35D1F5C6">
      <w:pPr>
        <w:pStyle w:val="229"/>
        <w:spacing w:before="291" w:after="0" w:line="500" w:lineRule="exact"/>
        <w:ind w:firstLine="562"/>
        <w:rPr>
          <w:rFonts w:hint="eastAsia" w:ascii="宋体" w:hAnsi="宋体" w:eastAsia="宋体" w:cs="宋体"/>
          <w:color w:val="auto"/>
          <w:sz w:val="28"/>
          <w:szCs w:val="28"/>
          <w:highlight w:val="none"/>
        </w:rPr>
      </w:pPr>
      <w:bookmarkStart w:id="172" w:name="_Toc15094"/>
      <w:bookmarkStart w:id="173" w:name="_Toc513029229"/>
      <w:bookmarkStart w:id="174" w:name="_Toc120614218"/>
      <w:bookmarkStart w:id="175" w:name="_Toc20823301"/>
      <w:bookmarkStart w:id="176" w:name="_Toc9311"/>
      <w:bookmarkStart w:id="177" w:name="_Toc17946"/>
      <w:bookmarkStart w:id="178" w:name="_Toc16938545"/>
      <w:bookmarkStart w:id="179" w:name="_Toc23146"/>
      <w:r>
        <w:rPr>
          <w:rFonts w:hint="eastAsia" w:ascii="宋体" w:hAnsi="宋体" w:eastAsia="宋体" w:cs="宋体"/>
          <w:color w:val="auto"/>
          <w:sz w:val="28"/>
          <w:szCs w:val="28"/>
          <w:highlight w:val="none"/>
        </w:rPr>
        <w:t>五、开标与评标</w:t>
      </w:r>
      <w:bookmarkEnd w:id="172"/>
      <w:bookmarkEnd w:id="173"/>
      <w:bookmarkEnd w:id="174"/>
      <w:bookmarkEnd w:id="175"/>
      <w:bookmarkEnd w:id="176"/>
      <w:bookmarkEnd w:id="177"/>
      <w:bookmarkEnd w:id="178"/>
      <w:bookmarkEnd w:id="179"/>
    </w:p>
    <w:p w14:paraId="24959A95">
      <w:pPr>
        <w:spacing w:line="500" w:lineRule="exact"/>
        <w:ind w:firstLine="562"/>
        <w:rPr>
          <w:rFonts w:hint="eastAsia" w:ascii="宋体" w:hAnsi="宋体" w:cs="宋体"/>
          <w:b/>
          <w:bCs/>
          <w:color w:val="auto"/>
          <w:sz w:val="28"/>
          <w:szCs w:val="28"/>
          <w:highlight w:val="none"/>
        </w:rPr>
      </w:pPr>
      <w:bookmarkStart w:id="180" w:name="_Toc16938546"/>
      <w:bookmarkStart w:id="181" w:name="_Toc20823302"/>
      <w:bookmarkStart w:id="182" w:name="_Toc513029230"/>
      <w:r>
        <w:rPr>
          <w:rFonts w:hint="eastAsia" w:ascii="宋体" w:hAnsi="宋体" w:cs="宋体"/>
          <w:b/>
          <w:bCs/>
          <w:color w:val="auto"/>
          <w:sz w:val="28"/>
          <w:szCs w:val="28"/>
          <w:highlight w:val="none"/>
        </w:rPr>
        <w:t>21、开标</w:t>
      </w:r>
      <w:bookmarkEnd w:id="180"/>
      <w:bookmarkEnd w:id="181"/>
      <w:bookmarkEnd w:id="182"/>
    </w:p>
    <w:p w14:paraId="564868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21.1 采购代理机构将在招标公告中规定的时间和地点组织公开开标。投标人应当按照《“苏采云”系统供应商操作手册》规定，参加开标活动和在“苏采云”系统规定的时间内对投标文件进行解密。</w:t>
      </w:r>
    </w:p>
    <w:p w14:paraId="4DAD5A3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1E6D011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21.3投标人在开标过程中涉及的投标文件解密、开标结果确认等工作，应按照《操作手册》规定执行。</w:t>
      </w:r>
    </w:p>
    <w:p w14:paraId="6BDE0FC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21.4投标人如果对开标过程和开标记录有疑义，应当根据《操作手册》规定提出，如 “苏采云”系统中《开标记录表》宣布后5分钟内未提出的，视同认可开标结果。</w:t>
      </w:r>
    </w:p>
    <w:p w14:paraId="7786606E">
      <w:pPr>
        <w:spacing w:line="500" w:lineRule="exact"/>
        <w:ind w:firstLine="562"/>
        <w:rPr>
          <w:rFonts w:hint="eastAsia" w:ascii="宋体" w:hAnsi="宋体" w:cs="宋体"/>
          <w:b/>
          <w:bCs/>
          <w:color w:val="auto"/>
          <w:sz w:val="28"/>
          <w:szCs w:val="28"/>
          <w:highlight w:val="none"/>
        </w:rPr>
      </w:pPr>
      <w:bookmarkStart w:id="183" w:name="_Toc20823303"/>
      <w:bookmarkStart w:id="184" w:name="_Toc513029231"/>
      <w:bookmarkStart w:id="185" w:name="_Toc16938547"/>
      <w:r>
        <w:rPr>
          <w:rFonts w:hint="eastAsia" w:ascii="宋体" w:hAnsi="宋体" w:cs="宋体"/>
          <w:b/>
          <w:bCs/>
          <w:color w:val="auto"/>
          <w:sz w:val="28"/>
          <w:szCs w:val="28"/>
          <w:highlight w:val="none"/>
        </w:rPr>
        <w:t>22、评委会</w:t>
      </w:r>
    </w:p>
    <w:p w14:paraId="61C6172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22.1 开标后，采购代理机构将立即组织评委会（以下简称评委会）进行评标。</w:t>
      </w:r>
    </w:p>
    <w:p w14:paraId="21712B5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22.2 评委会由采购人代表和有关技术、经济等方面的专家组成，且人员构成符合政府采购有关规定。</w:t>
      </w:r>
    </w:p>
    <w:p w14:paraId="395DF41C">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4"/>
          <w:szCs w:val="24"/>
          <w:highlight w:val="none"/>
        </w:rPr>
        <w:t>22.3评委会独立工作，负责评审所有投标文件并确定中标候选人。</w:t>
      </w:r>
    </w:p>
    <w:p w14:paraId="129B4FA7">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23、评标过程的保密与公正</w:t>
      </w:r>
      <w:bookmarkEnd w:id="183"/>
      <w:bookmarkEnd w:id="184"/>
      <w:bookmarkEnd w:id="185"/>
    </w:p>
    <w:p w14:paraId="4CDF77D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23.1凡是与审查、澄清、评价和比较投标的有关资料以及授标建议等，采购人、评委、采购代理机构均不得向投标人或与评标无关的其他人员透露。</w:t>
      </w:r>
    </w:p>
    <w:p w14:paraId="1C5F5CE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23.2在评标过程中，投标人不得以任何行为影响评标过程，否则其投标文件将被作为无效投标文件。</w:t>
      </w:r>
    </w:p>
    <w:p w14:paraId="00A50E8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23.3 采购代理机构和评委会不向未中标的投标人解释未中标原因，也不公布评标过程中的相关细节。</w:t>
      </w:r>
    </w:p>
    <w:p w14:paraId="40A5138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23.4 采用综合评分法的项目，未中标的投标人可于中标结果公告期限届满之日起通过“苏采云”系统查看自己的评审得分及排序情况。</w:t>
      </w:r>
    </w:p>
    <w:p w14:paraId="36FACC01">
      <w:pPr>
        <w:spacing w:line="500" w:lineRule="exact"/>
        <w:ind w:firstLine="562"/>
        <w:rPr>
          <w:rFonts w:hint="eastAsia" w:ascii="宋体" w:hAnsi="宋体" w:cs="宋体"/>
          <w:b/>
          <w:bCs/>
          <w:color w:val="auto"/>
          <w:sz w:val="28"/>
          <w:szCs w:val="28"/>
          <w:highlight w:val="none"/>
        </w:rPr>
      </w:pPr>
      <w:bookmarkStart w:id="186" w:name="_Toc16938548"/>
      <w:bookmarkStart w:id="187" w:name="_Toc20823304"/>
      <w:bookmarkStart w:id="188" w:name="_Toc513029232"/>
      <w:r>
        <w:rPr>
          <w:rFonts w:hint="eastAsia" w:ascii="宋体" w:hAnsi="宋体" w:cs="宋体"/>
          <w:b/>
          <w:bCs/>
          <w:color w:val="auto"/>
          <w:sz w:val="28"/>
          <w:szCs w:val="28"/>
          <w:highlight w:val="none"/>
        </w:rPr>
        <w:t>24、投标文件的澄清</w:t>
      </w:r>
      <w:bookmarkEnd w:id="186"/>
      <w:bookmarkEnd w:id="187"/>
      <w:bookmarkEnd w:id="188"/>
    </w:p>
    <w:p w14:paraId="01CCAF4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24.1评标期间，评委会对投标文件中含义不明确、同类问题表述不一致或者有明显文字和计算错误的内容 ，有权要求投标人作出必要的澄清、说明或者补正。</w:t>
      </w:r>
    </w:p>
    <w:p w14:paraId="0BC5BDE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投标人的澄清、说明或者补正不得超出投标文件的范围或者改变投标文件的实质性内容。</w:t>
      </w:r>
    </w:p>
    <w:p w14:paraId="6EB5D54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评委会并非对每个投标人都做澄清要求。</w:t>
      </w:r>
    </w:p>
    <w:p w14:paraId="01F26E1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p>
    <w:p w14:paraId="38B11EA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24.3 接到评委会澄清、说明和补正要求的投标人如未按规定作出澄清、说明和补正，其风险由投标人自行承担。</w:t>
      </w:r>
    </w:p>
    <w:p w14:paraId="40A0BC17">
      <w:pPr>
        <w:spacing w:line="500" w:lineRule="exact"/>
        <w:ind w:firstLine="562"/>
        <w:rPr>
          <w:rFonts w:hint="eastAsia" w:ascii="宋体" w:hAnsi="宋体" w:cs="宋体"/>
          <w:b/>
          <w:bCs/>
          <w:color w:val="auto"/>
          <w:sz w:val="28"/>
          <w:szCs w:val="28"/>
          <w:highlight w:val="none"/>
        </w:rPr>
      </w:pPr>
      <w:bookmarkStart w:id="189" w:name="_Toc513029233"/>
      <w:bookmarkStart w:id="190" w:name="_Toc20823305"/>
      <w:bookmarkStart w:id="191" w:name="_Toc16938549"/>
      <w:r>
        <w:rPr>
          <w:rFonts w:hint="eastAsia" w:ascii="宋体" w:hAnsi="宋体" w:cs="宋体"/>
          <w:b/>
          <w:bCs/>
          <w:color w:val="auto"/>
          <w:sz w:val="28"/>
          <w:szCs w:val="28"/>
          <w:highlight w:val="none"/>
        </w:rPr>
        <w:t>25、对投标文件的初审</w:t>
      </w:r>
      <w:bookmarkEnd w:id="189"/>
      <w:bookmarkEnd w:id="190"/>
      <w:bookmarkEnd w:id="191"/>
    </w:p>
    <w:p w14:paraId="7FDCFF8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25.1投标文件初审分为资格审查和符合性审查。</w:t>
      </w:r>
    </w:p>
    <w:p w14:paraId="7E7FC84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25.1.1 资格审查：依据法律法规和招标文件的规定，由采购人或其委托的代理机构对投标文件中的资格证明文件进行审查，以确定投标人是否具备投标资格。</w:t>
      </w:r>
    </w:p>
    <w:p w14:paraId="3FE2E2E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226D43F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接受联合体的项目，两个以上的自然人、法人或者其他组织组成一个联合体，以一个投标人的身份共同参加政府采购活动的,联合体成员存在不良信用记录的，视同联合体存在不良应用记录。</w:t>
      </w:r>
    </w:p>
    <w:p w14:paraId="4F62C43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25.1.2 符合性审查：依据招标文件的规定，由评委会从投标文件的有效性、完整性和对招标文件的响应程度进行审查，以确定是否对招标文件的实质性要求作出响应。</w:t>
      </w:r>
    </w:p>
    <w:p w14:paraId="0E52AE2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25.1.3对各投标人符合性审查过程中，对初步被认定为无效投标者，由评委会组长或采购人代表将集体意见通过</w:t>
      </w:r>
      <w:r>
        <w:rPr>
          <w:rFonts w:hint="eastAsia" w:ascii="宋体" w:hAnsi="宋体" w:cs="宋体"/>
          <w:color w:val="auto"/>
          <w:sz w:val="24"/>
          <w:szCs w:val="24"/>
          <w:highlight w:val="none"/>
          <w:lang w:val="zh-CN"/>
        </w:rPr>
        <w:t>“苏采云”系统告知未通过符合性审查的原因，评标结束后，将不再告知未通过符合性审查的原因</w:t>
      </w:r>
      <w:r>
        <w:rPr>
          <w:rFonts w:hint="eastAsia" w:ascii="宋体" w:hAnsi="宋体" w:cs="宋体"/>
          <w:color w:val="auto"/>
          <w:sz w:val="24"/>
          <w:szCs w:val="24"/>
          <w:highlight w:val="none"/>
        </w:rPr>
        <w:t>。</w:t>
      </w:r>
    </w:p>
    <w:p w14:paraId="13C9C69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414163D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8CBF32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25.3如果投标文件实质上没有响应招标文件的要求，评委会将予以拒绝，投标人不得通过修改或撤销不符合要求的偏离或保留而使其投标成为实质性响应的投标。</w:t>
      </w:r>
    </w:p>
    <w:p w14:paraId="0DB8CBE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25.4评委会将对确定为实质性响应的投标进行进一步审核，确定其是否有计算上或累加上的算术错误，修正错误的原则如下：</w:t>
      </w:r>
    </w:p>
    <w:p w14:paraId="0361D4C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（1）投标文件中开标一览表内容与投标文件中相应内容不一致的，以开标一览表为准。</w:t>
      </w:r>
    </w:p>
    <w:p w14:paraId="51E6D69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（2）大写金额和小写金额不一致的，以大写金额为准。</w:t>
      </w:r>
    </w:p>
    <w:p w14:paraId="097F411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（3）单价金额小数点或者百分比有明显错位的，以开标一览表的总价为准，并修改单价。</w:t>
      </w:r>
    </w:p>
    <w:p w14:paraId="3F46BC5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（4）总价金额与按单价汇总金额不一致的，以单价金额计算结果为准。</w:t>
      </w:r>
    </w:p>
    <w:p w14:paraId="7685941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同时出现两种以上错误的，按照前款规定的顺序修正。</w:t>
      </w:r>
    </w:p>
    <w:p w14:paraId="52760421">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25.5 评委会将按上述修正错误的方法调整投标文件中的投标报价，并通过“苏采云”系统告知投标人，调整后的价格应对投标人具有约束力。如果投标人不接受修正后的价格，则其投标将被拒绝。</w:t>
      </w:r>
    </w:p>
    <w:p w14:paraId="44869071">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评标过程中，不得去掉报价中的最高报价和最低报价。</w:t>
      </w:r>
    </w:p>
    <w:p w14:paraId="2311E2BA">
      <w:pPr>
        <w:spacing w:line="500" w:lineRule="exact"/>
        <w:ind w:firstLine="480"/>
        <w:rPr>
          <w:rFonts w:hint="eastAsia" w:ascii="宋体" w:hAnsi="宋体" w:cs="宋体"/>
          <w:color w:val="auto"/>
          <w:sz w:val="24"/>
          <w:szCs w:val="24"/>
          <w:highlight w:val="none"/>
        </w:rPr>
      </w:pPr>
      <w:bookmarkStart w:id="192" w:name="_Toc513029234"/>
      <w:bookmarkStart w:id="193" w:name="_Toc20823306"/>
      <w:bookmarkStart w:id="194" w:name="_Toc16938550"/>
      <w:r>
        <w:rPr>
          <w:rFonts w:hint="eastAsia" w:ascii="宋体" w:hAnsi="宋体" w:cs="宋体"/>
          <w:color w:val="auto"/>
          <w:sz w:val="24"/>
          <w:szCs w:val="24"/>
          <w:highlight w:val="none"/>
        </w:rPr>
        <w:t>25.6异常低价投标审查</w:t>
      </w:r>
    </w:p>
    <w:p w14:paraId="07557BA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25.6.1 评标过程中出现下列情形之一的，评标委员会应当启动异常低价投标审查程序：</w:t>
      </w:r>
    </w:p>
    <w:p w14:paraId="5EC6AF1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（1）投标报价低于全部通过符合性审查供应商投标报价平均值50%的，即投标报价&lt;全部通过符合性审查供应商投标报价平均值×50%；</w:t>
      </w:r>
    </w:p>
    <w:p w14:paraId="241A077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（2）投标报价低于通过符合性审查的次低报价供应商投标报价50%的，即投标报价&lt;通过符合性审查的次低报价供应商投标报价×50%；</w:t>
      </w:r>
    </w:p>
    <w:p w14:paraId="3128DF2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（3）投标报价低于采购项目最高限价45%的，即投标报价&lt;采购项目最高限价×45%；</w:t>
      </w:r>
    </w:p>
    <w:p w14:paraId="4C489B3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（4）评标委员会基于专业判断，认为供应商报价过低，有可能影响产品质量或者不能诚信履约的其他情形。</w:t>
      </w:r>
    </w:p>
    <w:p w14:paraId="77C2D43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25.6.2 评标委员会启动异常低价投标审查后，属于前述第（1）项至第（4）项情形的，</w:t>
      </w:r>
      <w:r>
        <w:rPr>
          <w:rFonts w:ascii="宋体" w:hAnsi="宋体" w:cs="宋体"/>
          <w:color w:val="auto"/>
          <w:sz w:val="24"/>
          <w:szCs w:val="24"/>
          <w:highlight w:val="none"/>
        </w:rPr>
        <w:t>评审现场应当要求相关供应商通过“苏采云”系统在合理的时间内对投标价格作出解释</w:t>
      </w:r>
      <w:r>
        <w:rPr>
          <w:rFonts w:hint="eastAsia" w:ascii="宋体" w:hAnsi="宋体" w:cs="宋体"/>
          <w:color w:val="auto"/>
          <w:sz w:val="24"/>
          <w:szCs w:val="24"/>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5775455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769CCC0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25.7投标人在开、评标全过程中应随时保持系统在线，及时在“苏采云”系统查阅、答复相关信息。</w:t>
      </w:r>
    </w:p>
    <w:p w14:paraId="4DB480B0">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26、</w:t>
      </w:r>
      <w:bookmarkEnd w:id="192"/>
      <w:bookmarkEnd w:id="193"/>
      <w:bookmarkEnd w:id="194"/>
      <w:r>
        <w:rPr>
          <w:rFonts w:hint="eastAsia" w:ascii="宋体" w:hAnsi="宋体" w:cs="宋体"/>
          <w:b/>
          <w:bCs/>
          <w:color w:val="auto"/>
          <w:sz w:val="28"/>
          <w:szCs w:val="28"/>
          <w:highlight w:val="none"/>
        </w:rPr>
        <w:t>无效投标条款和废标条款</w:t>
      </w:r>
    </w:p>
    <w:p w14:paraId="478A270B">
      <w:pPr>
        <w:spacing w:line="500" w:lineRule="exact"/>
        <w:ind w:firstLine="480"/>
        <w:rPr>
          <w:rFonts w:hint="eastAsia" w:ascii="宋体" w:hAnsi="宋体" w:cs="宋体"/>
          <w:color w:val="auto"/>
          <w:sz w:val="24"/>
          <w:szCs w:val="24"/>
          <w:highlight w:val="none"/>
        </w:rPr>
      </w:pPr>
      <w:bookmarkStart w:id="195" w:name="_Toc513029235"/>
      <w:bookmarkStart w:id="196" w:name="_Toc20823307"/>
      <w:bookmarkStart w:id="197" w:name="_Toc16938551"/>
      <w:r>
        <w:rPr>
          <w:rFonts w:hint="eastAsia" w:ascii="宋体" w:hAnsi="宋体" w:cs="宋体"/>
          <w:color w:val="auto"/>
          <w:sz w:val="24"/>
          <w:szCs w:val="24"/>
          <w:highlight w:val="none"/>
        </w:rPr>
        <w:t>26.1无效投标条款</w:t>
      </w:r>
    </w:p>
    <w:p w14:paraId="72E87D7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26.1.1 投标人在“苏采云”系统规定的时间内未成功解密电子投标文件的。</w:t>
      </w:r>
    </w:p>
    <w:p w14:paraId="2FBB285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26.1.2 投标人未按照招标文件要求上传电子投标文件的。</w:t>
      </w:r>
    </w:p>
    <w:p w14:paraId="47C82E9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26.1.3同一投标人提交两个（含两个）以上不同的投标报价的。</w:t>
      </w:r>
    </w:p>
    <w:p w14:paraId="094D6B9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26.1.4投标人不具备招标文件中规定资格要求的。</w:t>
      </w:r>
    </w:p>
    <w:p w14:paraId="5DBE0D7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26.1.5投标人的报价超过了采购预算或最高限价的。</w:t>
      </w:r>
    </w:p>
    <w:p w14:paraId="6A15980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26.1.6未通过符合性审查的。</w:t>
      </w:r>
    </w:p>
    <w:p w14:paraId="07B52D47">
      <w:pPr>
        <w:spacing w:line="500" w:lineRule="exact"/>
        <w:ind w:firstLine="480"/>
        <w:rPr>
          <w:rFonts w:hint="eastAsia" w:ascii="宋体" w:hAnsi="宋体" w:cs="宋体"/>
          <w:bCs/>
          <w:i/>
          <w:color w:val="auto"/>
          <w:sz w:val="28"/>
          <w:szCs w:val="28"/>
          <w:highlight w:val="none"/>
          <w:u w:val="single"/>
        </w:rPr>
      </w:pPr>
      <w:r>
        <w:rPr>
          <w:rFonts w:hint="eastAsia" w:ascii="宋体" w:hAnsi="宋体" w:cs="宋体"/>
          <w:color w:val="auto"/>
          <w:sz w:val="24"/>
          <w:szCs w:val="24"/>
          <w:highlight w:val="none"/>
        </w:rPr>
        <w:t>26.1.7不符合招标文件中规定的实质性要求和条件的</w:t>
      </w:r>
      <w:r>
        <w:rPr>
          <w:rFonts w:hint="eastAsia" w:ascii="宋体" w:hAnsi="宋体" w:cs="宋体"/>
          <w:b/>
          <w:color w:val="auto"/>
          <w:sz w:val="28"/>
          <w:szCs w:val="28"/>
          <w:highlight w:val="none"/>
        </w:rPr>
        <w:t>（</w:t>
      </w:r>
      <w:r>
        <w:rPr>
          <w:rFonts w:hint="eastAsia" w:ascii="宋体" w:hAnsi="宋体" w:cs="宋体"/>
          <w:b/>
          <w:color w:val="auto"/>
          <w:sz w:val="28"/>
          <w:szCs w:val="28"/>
          <w:highlight w:val="none"/>
          <w:u w:val="single"/>
        </w:rPr>
        <w:t>打“★”内容为实质性要求和条件）。</w:t>
      </w:r>
    </w:p>
    <w:p w14:paraId="2FC9155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237222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26.1.9 投标文件含有采购人不能接受的附加条件的。</w:t>
      </w:r>
    </w:p>
    <w:p w14:paraId="120754C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6599099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26.1.11本项目采购产品被财政部、国家发展改革委、生态环境部等列入“节能产品品目清单”、“环境标志产品品目清单”强制采购范围，而</w:t>
      </w:r>
      <w:r>
        <w:rPr>
          <w:rFonts w:hint="eastAsia" w:ascii="宋体" w:hAnsi="宋体" w:cs="宋体"/>
          <w:color w:val="auto"/>
          <w:sz w:val="24"/>
          <w:szCs w:val="24"/>
          <w:highlight w:val="none"/>
        </w:rPr>
        <w:t>投标</w:t>
      </w:r>
      <w:r>
        <w:rPr>
          <w:rFonts w:hint="eastAsia" w:ascii="宋体" w:hAnsi="宋体" w:cs="宋体"/>
          <w:color w:val="auto"/>
          <w:sz w:val="24"/>
          <w:szCs w:val="24"/>
          <w:highlight w:val="none"/>
          <w:lang w:val="zh-CN"/>
        </w:rPr>
        <w:t>人所</w:t>
      </w:r>
      <w:r>
        <w:rPr>
          <w:rFonts w:hint="eastAsia" w:ascii="宋体" w:hAnsi="宋体" w:cs="宋体"/>
          <w:color w:val="auto"/>
          <w:sz w:val="24"/>
          <w:szCs w:val="24"/>
          <w:highlight w:val="none"/>
        </w:rPr>
        <w:t>投</w:t>
      </w:r>
      <w:r>
        <w:rPr>
          <w:rFonts w:hint="eastAsia" w:ascii="宋体" w:hAnsi="宋体" w:cs="宋体"/>
          <w:color w:val="auto"/>
          <w:sz w:val="24"/>
          <w:szCs w:val="24"/>
          <w:highlight w:val="none"/>
          <w:lang w:val="zh-CN"/>
        </w:rPr>
        <w:t>产品不在强制采购范围内的。（所</w:t>
      </w:r>
      <w:r>
        <w:rPr>
          <w:rFonts w:hint="eastAsia" w:ascii="宋体" w:hAnsi="宋体" w:cs="宋体"/>
          <w:color w:val="auto"/>
          <w:sz w:val="24"/>
          <w:szCs w:val="24"/>
          <w:highlight w:val="none"/>
        </w:rPr>
        <w:t>投</w:t>
      </w:r>
      <w:r>
        <w:rPr>
          <w:rFonts w:hint="eastAsia" w:ascii="宋体" w:hAnsi="宋体" w:cs="宋体"/>
          <w:color w:val="auto"/>
          <w:sz w:val="24"/>
          <w:szCs w:val="24"/>
          <w:highlight w:val="none"/>
          <w:lang w:val="zh-CN"/>
        </w:rPr>
        <w:t>产品如属于政府强制采购节能产品品目清单范围内，</w:t>
      </w:r>
      <w:r>
        <w:rPr>
          <w:rFonts w:hint="eastAsia" w:ascii="宋体" w:hAnsi="宋体" w:cs="宋体"/>
          <w:color w:val="auto"/>
          <w:sz w:val="24"/>
          <w:szCs w:val="24"/>
          <w:highlight w:val="none"/>
        </w:rPr>
        <w:t>投标</w:t>
      </w:r>
      <w:r>
        <w:rPr>
          <w:rFonts w:hint="eastAsia" w:ascii="宋体" w:hAnsi="宋体" w:cs="宋体"/>
          <w:color w:val="auto"/>
          <w:sz w:val="24"/>
          <w:szCs w:val="24"/>
          <w:highlight w:val="none"/>
          <w:lang w:val="zh-CN"/>
        </w:rPr>
        <w:t>文件中必须提供国家确定的认证机构出具的、处于有效期之内的该节能产品认证证书图片）。</w:t>
      </w:r>
    </w:p>
    <w:p w14:paraId="53AB446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26.1.12 投标文件未按照招标文件要求加盖CA电子公章的。</w:t>
      </w:r>
    </w:p>
    <w:p w14:paraId="555D494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26.1.13其他法律、法规及本招标文件规定的属于无效投标的情形。</w:t>
      </w:r>
    </w:p>
    <w:p w14:paraId="331766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26.2废标条款</w:t>
      </w:r>
    </w:p>
    <w:p w14:paraId="1DEEDC7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26.2.1符合专业条件的投标人或者对招标文件作实质响应的投标人不足三家的。26.2.2出现影响采购公正的违法、违规行为的。</w:t>
      </w:r>
    </w:p>
    <w:p w14:paraId="309354D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26.2.3因重大变故，采购任务取消的。</w:t>
      </w:r>
    </w:p>
    <w:p w14:paraId="0262567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26.2.4评委会认定招标文件存在歧义、重大缺陷导致评审工作无法进行。</w:t>
      </w:r>
    </w:p>
    <w:p w14:paraId="05FE6EA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26.2.5 因“苏采云”系统故障原因造成开标不成功的。</w:t>
      </w:r>
    </w:p>
    <w:p w14:paraId="240996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26.3 投标截止时间结束后参加投标的投标人不足三家的处理：</w:t>
      </w:r>
    </w:p>
    <w:p w14:paraId="7AA02D37">
      <w:pPr>
        <w:spacing w:line="500" w:lineRule="exact"/>
        <w:ind w:firstLine="480"/>
        <w:rPr>
          <w:rFonts w:hint="eastAsia" w:ascii="宋体" w:hAnsi="宋体" w:cs="宋体"/>
          <w:bCs/>
          <w:color w:val="auto"/>
          <w:sz w:val="28"/>
          <w:szCs w:val="28"/>
          <w:highlight w:val="none"/>
        </w:rPr>
      </w:pPr>
      <w:r>
        <w:rPr>
          <w:rFonts w:hint="eastAsia" w:ascii="宋体" w:hAnsi="宋体" w:cs="宋体"/>
          <w:color w:val="auto"/>
          <w:sz w:val="24"/>
          <w:szCs w:val="24"/>
          <w:highlight w:val="none"/>
        </w:rPr>
        <w:t>26.3.1如出现投标截止时间结束后参加投标的投标人或者在评标期间对招标文件</w:t>
      </w:r>
      <w:r>
        <w:rPr>
          <w:rFonts w:ascii="宋体" w:hAnsi="宋体" w:cs="宋体"/>
          <w:color w:val="auto"/>
          <w:sz w:val="24"/>
          <w:szCs w:val="24"/>
          <w:highlight w:val="none"/>
        </w:rPr>
        <w:t>作</w:t>
      </w:r>
      <w:r>
        <w:rPr>
          <w:rFonts w:hint="eastAsia" w:ascii="宋体" w:hAnsi="宋体" w:cs="宋体"/>
          <w:color w:val="auto"/>
          <w:sz w:val="24"/>
          <w:szCs w:val="24"/>
          <w:highlight w:val="none"/>
        </w:rPr>
        <w:t>出实质响应的投标人不足三家情况，按政府采购相关规定执行。</w:t>
      </w:r>
    </w:p>
    <w:p w14:paraId="55146335">
      <w:pPr>
        <w:pStyle w:val="229"/>
        <w:spacing w:before="291" w:after="0" w:line="500" w:lineRule="exact"/>
        <w:ind w:firstLine="562"/>
        <w:rPr>
          <w:rFonts w:hint="eastAsia" w:ascii="宋体" w:hAnsi="宋体" w:eastAsia="宋体" w:cs="宋体"/>
          <w:color w:val="auto"/>
          <w:sz w:val="28"/>
          <w:szCs w:val="28"/>
          <w:highlight w:val="none"/>
        </w:rPr>
      </w:pPr>
      <w:bookmarkStart w:id="198" w:name="_Toc2769"/>
      <w:bookmarkStart w:id="199" w:name="_Toc7155"/>
      <w:bookmarkStart w:id="200" w:name="_Toc120614219"/>
      <w:bookmarkStart w:id="201" w:name="_Toc25338"/>
      <w:bookmarkStart w:id="202" w:name="_Toc2284"/>
      <w:r>
        <w:rPr>
          <w:rFonts w:hint="eastAsia" w:ascii="宋体" w:hAnsi="宋体" w:eastAsia="宋体" w:cs="宋体"/>
          <w:color w:val="auto"/>
          <w:sz w:val="28"/>
          <w:szCs w:val="28"/>
          <w:highlight w:val="none"/>
        </w:rPr>
        <w:t>六、</w:t>
      </w:r>
      <w:bookmarkEnd w:id="195"/>
      <w:bookmarkEnd w:id="196"/>
      <w:bookmarkEnd w:id="197"/>
      <w:r>
        <w:rPr>
          <w:rFonts w:hint="eastAsia" w:ascii="宋体" w:hAnsi="宋体" w:eastAsia="宋体" w:cs="宋体"/>
          <w:color w:val="auto"/>
          <w:sz w:val="28"/>
          <w:szCs w:val="28"/>
          <w:highlight w:val="none"/>
        </w:rPr>
        <w:t>定标</w:t>
      </w:r>
      <w:bookmarkEnd w:id="198"/>
      <w:bookmarkEnd w:id="199"/>
      <w:bookmarkEnd w:id="200"/>
      <w:bookmarkEnd w:id="201"/>
      <w:bookmarkEnd w:id="202"/>
    </w:p>
    <w:p w14:paraId="67FF67D3">
      <w:pPr>
        <w:spacing w:line="500" w:lineRule="exact"/>
        <w:ind w:firstLine="562"/>
        <w:rPr>
          <w:rFonts w:hint="eastAsia" w:ascii="宋体" w:hAnsi="宋体" w:cs="宋体"/>
          <w:b/>
          <w:bCs/>
          <w:color w:val="auto"/>
          <w:sz w:val="28"/>
          <w:szCs w:val="28"/>
          <w:highlight w:val="none"/>
        </w:rPr>
      </w:pPr>
      <w:bookmarkStart w:id="203" w:name="_Toc513029238"/>
      <w:bookmarkStart w:id="204" w:name="_Toc20823310"/>
      <w:bookmarkStart w:id="205" w:name="_Toc16938554"/>
      <w:r>
        <w:rPr>
          <w:rFonts w:hint="eastAsia" w:ascii="宋体" w:hAnsi="宋体" w:cs="宋体"/>
          <w:b/>
          <w:bCs/>
          <w:color w:val="auto"/>
          <w:sz w:val="28"/>
          <w:szCs w:val="28"/>
          <w:highlight w:val="none"/>
        </w:rPr>
        <w:t>27、</w:t>
      </w:r>
      <w:bookmarkEnd w:id="203"/>
      <w:r>
        <w:rPr>
          <w:rFonts w:hint="eastAsia" w:ascii="宋体" w:hAnsi="宋体" w:cs="宋体"/>
          <w:b/>
          <w:bCs/>
          <w:color w:val="auto"/>
          <w:sz w:val="28"/>
          <w:szCs w:val="28"/>
          <w:highlight w:val="none"/>
        </w:rPr>
        <w:t>确定</w:t>
      </w:r>
      <w:bookmarkEnd w:id="204"/>
      <w:bookmarkEnd w:id="205"/>
      <w:r>
        <w:rPr>
          <w:rFonts w:hint="eastAsia" w:ascii="宋体" w:hAnsi="宋体" w:cs="宋体"/>
          <w:b/>
          <w:bCs/>
          <w:color w:val="auto"/>
          <w:sz w:val="28"/>
          <w:szCs w:val="28"/>
          <w:highlight w:val="none"/>
        </w:rPr>
        <w:t>中标单位</w:t>
      </w:r>
    </w:p>
    <w:p w14:paraId="79FC935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27.1中标候选人的选取原则和数量见招标文件第五章规定。 </w:t>
      </w:r>
    </w:p>
    <w:p w14:paraId="36AF8438">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27.2 按以下第（</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）种方式确定中标人</w:t>
      </w:r>
    </w:p>
    <w:p w14:paraId="7A3505D0">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（1）评委会直接确定排名第一的中标候选人为中标人；</w:t>
      </w:r>
    </w:p>
    <w:p w14:paraId="2FBE0D41">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（2）采购人在评委会推荐的中标候选人中按顺序确定中标人。</w:t>
      </w:r>
    </w:p>
    <w:p w14:paraId="44B1064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按第</w:t>
      </w:r>
      <w:r>
        <w:rPr>
          <w:rFonts w:hint="eastAsia" w:ascii="宋体" w:hAnsi="宋体" w:cs="宋体"/>
          <w:color w:val="auto"/>
          <w:sz w:val="24"/>
          <w:szCs w:val="24"/>
          <w:highlight w:val="none"/>
        </w:rPr>
        <w:t>2</w:t>
      </w:r>
      <w:r>
        <w:rPr>
          <w:rFonts w:hint="eastAsia" w:ascii="宋体" w:hAnsi="宋体" w:cs="宋体"/>
          <w:color w:val="auto"/>
          <w:sz w:val="24"/>
          <w:szCs w:val="24"/>
          <w:highlight w:val="none"/>
          <w:lang w:val="zh-CN"/>
        </w:rPr>
        <w:t>种方式确定中标人的，</w:t>
      </w:r>
      <w:r>
        <w:rPr>
          <w:rFonts w:hint="eastAsia" w:ascii="宋体" w:hAnsi="宋体" w:cs="宋体"/>
          <w:color w:val="auto"/>
          <w:sz w:val="24"/>
          <w:szCs w:val="24"/>
          <w:highlight w:val="none"/>
        </w:rPr>
        <w:t>采购代理机构</w:t>
      </w:r>
      <w:r>
        <w:rPr>
          <w:rFonts w:hint="eastAsia" w:ascii="宋体" w:hAnsi="宋体" w:cs="宋体"/>
          <w:color w:val="auto"/>
          <w:sz w:val="24"/>
          <w:szCs w:val="24"/>
          <w:highlight w:val="none"/>
          <w:lang w:val="zh-CN"/>
        </w:rPr>
        <w:t>自评审结束之日起两个工作日内将评审报告送交采购人，采购人自收到评审报告之日起五个工作日内在评审报告推荐的中标候选人中按顺序确定中标人。</w:t>
      </w:r>
    </w:p>
    <w:p w14:paraId="2E77212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27.3 采购代理机构将在“宿迁市政府采购网”发布中标公告，公告期限为1个工作日。</w:t>
      </w:r>
    </w:p>
    <w:p w14:paraId="4CE951B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27.4  若有充分证据证明，中标人出现下列情况之一的，一经查实，将被取消中标资格：</w:t>
      </w:r>
    </w:p>
    <w:p w14:paraId="6865720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27.4.1提供虚假材料谋取中标的。</w:t>
      </w:r>
    </w:p>
    <w:p w14:paraId="7EC201B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27.4.2向采购人、采购代理机构行贿或者提供其他不正当利益的。</w:t>
      </w:r>
    </w:p>
    <w:p w14:paraId="643CF0C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27.4.3属于本文件规定的无效条件，但在评标过程中又未被评委会发现的。</w:t>
      </w:r>
    </w:p>
    <w:p w14:paraId="375DCEF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27.4.4与采购人或者其他投标人恶意串通的。</w:t>
      </w:r>
    </w:p>
    <w:p w14:paraId="11082FD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27.4.5采取不正当手段诋毁、排挤其他投标人的。</w:t>
      </w:r>
    </w:p>
    <w:p w14:paraId="345EEC6C">
      <w:pPr>
        <w:spacing w:line="500" w:lineRule="exact"/>
        <w:ind w:firstLine="480"/>
        <w:rPr>
          <w:rFonts w:hint="eastAsia" w:ascii="宋体" w:hAnsi="宋体" w:cs="宋体"/>
          <w:color w:val="auto"/>
          <w:sz w:val="24"/>
          <w:szCs w:val="24"/>
          <w:highlight w:val="none"/>
        </w:rPr>
      </w:pPr>
      <w:bookmarkStart w:id="206" w:name="_Toc200451960"/>
      <w:r>
        <w:rPr>
          <w:rFonts w:hint="eastAsia" w:ascii="宋体" w:hAnsi="宋体" w:cs="宋体"/>
          <w:color w:val="auto"/>
          <w:sz w:val="24"/>
          <w:szCs w:val="24"/>
          <w:highlight w:val="none"/>
        </w:rPr>
        <w:t>27.5 有下列情形之一的，视为投标人串通投标，投标无效：</w:t>
      </w:r>
    </w:p>
    <w:p w14:paraId="3E1D542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27.5.1不同投标人的投标文件由同一单位或者个人编制。</w:t>
      </w:r>
    </w:p>
    <w:p w14:paraId="13D4A37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27.5.2不同投标人委托同一单位或者个人办理投标事宜。</w:t>
      </w:r>
    </w:p>
    <w:p w14:paraId="356C4DB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27.5.3 不同投标人的投标文件载明的项目管理成员或者联系人员为同一人。</w:t>
      </w:r>
    </w:p>
    <w:p w14:paraId="35B4A9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27.5.4不同投标人的投标文件异常一致或者投标报价呈规律性差异。</w:t>
      </w:r>
    </w:p>
    <w:p w14:paraId="2209DAC2">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28、质疑处理</w:t>
      </w:r>
      <w:bookmarkEnd w:id="206"/>
    </w:p>
    <w:p w14:paraId="21C987B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28.1 提出质疑的投标人应当是参与所质疑项目采购活动的投标人。潜在投标人依法获取其可质疑的采购文件的，可以对采购文件提出质疑。</w:t>
      </w:r>
    </w:p>
    <w:p w14:paraId="06A7DF3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53C703A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28.2.1对可以质疑的采购文件提出质疑的，为收到采购文件之日或者采购文件公告期限届满之日；</w:t>
      </w:r>
    </w:p>
    <w:p w14:paraId="16F4746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28.2.2对采购过程提出质疑的，为各采购程序环节结束之日；</w:t>
      </w:r>
    </w:p>
    <w:p w14:paraId="287490E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28.2.3对中标或者中标结果提出质疑的，为中标或者中标结果公告期限届满之日。</w:t>
      </w:r>
    </w:p>
    <w:p w14:paraId="6A0A840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投标人应当在法定质疑期内一次性提出针对同一采购程序环节的质疑。投标人如在法定期限内对同一采购程序环节提出多次质疑的，采购代理机构、采购人将只对投标人第一次质疑作出答复。</w:t>
      </w:r>
    </w:p>
    <w:p w14:paraId="0077E76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28.3质疑函必须按照本招标文件中《质疑函范本》要求的格式和内容进行填写。投标人如组成联合体参加投标，则《质疑函范本》中要求签字、盖章、加盖公章之处，联合体各方均须按要求签字、盖章、加盖公章。</w:t>
      </w:r>
    </w:p>
    <w:p w14:paraId="390A709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28.4 投标人应以书面形式向采购人或者其委托的采购代理机构提出质疑。质疑超出采购机构代理范围的，投标人应当向采购人提出。</w:t>
      </w:r>
    </w:p>
    <w:p w14:paraId="36EB997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接收质疑函的方式：现场接收或邮寄接收。</w:t>
      </w:r>
    </w:p>
    <w:p w14:paraId="53E42AE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联系部门：宿迁市市域社会治理现代化指挥中心（或宿迁鼎匠工程咨询有限公司）</w:t>
      </w:r>
    </w:p>
    <w:p w14:paraId="6395B9C6">
      <w:pPr>
        <w:spacing w:line="500" w:lineRule="exact"/>
        <w:ind w:firstLine="56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8"/>
          <w:szCs w:val="28"/>
          <w:highlight w:val="none"/>
          <w:lang w:val="en-US" w:eastAsia="zh-CN"/>
        </w:rPr>
        <w:t>0527-84368912</w:t>
      </w:r>
      <w:r>
        <w:rPr>
          <w:rFonts w:hint="eastAsia" w:ascii="宋体" w:hAnsi="宋体" w:cs="宋体"/>
          <w:color w:val="auto"/>
          <w:sz w:val="24"/>
          <w:szCs w:val="24"/>
          <w:highlight w:val="none"/>
        </w:rPr>
        <w:t>（18151456617）</w:t>
      </w:r>
    </w:p>
    <w:p w14:paraId="70420B2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通讯地址：宿迁市宿豫区三峰路宿迁国际会展中心副馆智慧城市科技馆（或宿迁市宿豫区电子商务产业园电商大厦B栋4楼）</w:t>
      </w:r>
    </w:p>
    <w:p w14:paraId="3A114F2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28.5 以下情形的质疑不予受理</w:t>
      </w:r>
    </w:p>
    <w:p w14:paraId="21A9257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28.5.1 内容不符合《政府采购质疑和投诉办法》第十二条规定的质疑。</w:t>
      </w:r>
    </w:p>
    <w:p w14:paraId="4B19FBA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28.5.2 超出政府采购法定期限的质疑。</w:t>
      </w:r>
    </w:p>
    <w:p w14:paraId="0A192CD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28.5.3 以传真、电子邮件等方式递交的非原件形式的质疑。</w:t>
      </w:r>
    </w:p>
    <w:p w14:paraId="39D3A51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28.5.4 未参加投标活动的投标人或在投标活动中自身权益未受到损害的投标人所提出的质疑。</w:t>
      </w:r>
    </w:p>
    <w:p w14:paraId="435522B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28.5.5投标人组成联合体参加投标，联合体中任何一方或多方未按要求签字、盖章、加盖公章的质疑。</w:t>
      </w:r>
    </w:p>
    <w:p w14:paraId="270AB12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7D6C1F6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28.7质疑投标人对采购人、采购代理机构的答复不满意，或者采购人、采购代理机构未在规定时间内作出答复的，可以在答复期满后15个工作日内向同级财政部门提起投诉。</w:t>
      </w:r>
    </w:p>
    <w:p w14:paraId="221D2459">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29、中标通知书</w:t>
      </w:r>
    </w:p>
    <w:p w14:paraId="158AA79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29.l 中标结果确定后，代理机构将向中标人发出中标通知书。请中标人使用CA数字证书登录“苏采云系统”及时下载中标通知书。中标人可自行下载打印《中标通知书》，《中标通知书》将作为授予合同资格的唯一合法依据。</w:t>
      </w:r>
    </w:p>
    <w:p w14:paraId="1AB5A44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66A65431">
      <w:pPr>
        <w:pStyle w:val="229"/>
        <w:spacing w:before="291" w:after="0" w:line="500" w:lineRule="exact"/>
        <w:ind w:firstLine="562"/>
        <w:rPr>
          <w:rFonts w:hint="eastAsia" w:ascii="宋体" w:hAnsi="宋体" w:eastAsia="宋体" w:cs="宋体"/>
          <w:color w:val="auto"/>
          <w:sz w:val="28"/>
          <w:szCs w:val="28"/>
          <w:highlight w:val="none"/>
        </w:rPr>
      </w:pPr>
      <w:bookmarkStart w:id="207" w:name="_Toc16938552"/>
      <w:bookmarkStart w:id="208" w:name="_Toc6232"/>
      <w:bookmarkStart w:id="209" w:name="_Toc3048"/>
      <w:bookmarkStart w:id="210" w:name="_Toc1776"/>
      <w:bookmarkStart w:id="211" w:name="_Toc20823308"/>
      <w:bookmarkStart w:id="212" w:name="_Toc513029236"/>
      <w:bookmarkStart w:id="213" w:name="_Toc15212"/>
      <w:bookmarkStart w:id="214" w:name="_Toc120614220"/>
      <w:r>
        <w:rPr>
          <w:rFonts w:hint="eastAsia" w:ascii="宋体" w:hAnsi="宋体" w:eastAsia="宋体" w:cs="宋体"/>
          <w:color w:val="auto"/>
          <w:sz w:val="28"/>
          <w:szCs w:val="28"/>
          <w:highlight w:val="none"/>
        </w:rPr>
        <w:t>七、授予合同</w:t>
      </w:r>
      <w:bookmarkEnd w:id="207"/>
      <w:bookmarkEnd w:id="208"/>
      <w:bookmarkEnd w:id="209"/>
      <w:bookmarkEnd w:id="210"/>
      <w:bookmarkEnd w:id="211"/>
      <w:bookmarkEnd w:id="212"/>
      <w:bookmarkEnd w:id="213"/>
      <w:bookmarkEnd w:id="214"/>
    </w:p>
    <w:p w14:paraId="67224E10">
      <w:pPr>
        <w:spacing w:line="500" w:lineRule="exact"/>
        <w:ind w:firstLine="562"/>
        <w:rPr>
          <w:rFonts w:hint="eastAsia" w:ascii="宋体" w:hAnsi="宋体" w:cs="宋体"/>
          <w:b/>
          <w:bCs/>
          <w:color w:val="auto"/>
          <w:sz w:val="28"/>
          <w:szCs w:val="28"/>
          <w:highlight w:val="none"/>
        </w:rPr>
      </w:pPr>
      <w:bookmarkStart w:id="215" w:name="_Toc513029237"/>
      <w:bookmarkStart w:id="216" w:name="_Toc20823309"/>
      <w:bookmarkStart w:id="217" w:name="_Toc16938553"/>
      <w:r>
        <w:rPr>
          <w:rFonts w:hint="eastAsia" w:ascii="宋体" w:hAnsi="宋体" w:cs="宋体"/>
          <w:b/>
          <w:bCs/>
          <w:color w:val="auto"/>
          <w:sz w:val="28"/>
          <w:szCs w:val="28"/>
          <w:highlight w:val="none"/>
        </w:rPr>
        <w:t>30. 签订合同</w:t>
      </w:r>
    </w:p>
    <w:p w14:paraId="1E89D5F8">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30.l中标人应当在中标通知书发出之日起15日内，按照招标文件确定的事项与采购人签订政府采购合同。</w:t>
      </w:r>
      <w:r>
        <w:rPr>
          <w:rFonts w:hint="eastAsia" w:ascii="宋体" w:hAnsi="宋体" w:cs="宋体"/>
          <w:color w:val="auto"/>
          <w:sz w:val="24"/>
          <w:szCs w:val="24"/>
          <w:highlight w:val="none"/>
          <w:lang w:val="zh-CN"/>
        </w:rPr>
        <w:t>并在签订之日起2个工作日内将政府采购合同在指定的媒体上公告，但政府采购合同中涉及国家秘密、商业秘密的内容除外。</w:t>
      </w:r>
    </w:p>
    <w:p w14:paraId="0E31835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30.2 招标文件、中标人的投标文件及招标过程中有关澄清、承诺文件均应作为合同附件。</w:t>
      </w:r>
    </w:p>
    <w:p w14:paraId="2852CBD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1B2B9A5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30.4本项目的非主体、非关键性工作是否允许分包按以下第2种方式确定：</w:t>
      </w:r>
    </w:p>
    <w:p w14:paraId="4C2F2E1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1.允许分包，允许大中型企业向一家或者多家小微企业分包，分包具体内容、金额或比例：</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w:t>
      </w:r>
    </w:p>
    <w:p w14:paraId="6377D61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2.不允许分包。未经采购人同意，中标人也不得采用分包形式履行合同,否则采购人有权终止合同。转包或分包造成采购人损失的，中标人应承担相应赔偿责任。</w:t>
      </w:r>
    </w:p>
    <w:p w14:paraId="6C4E06C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30.4履约保证金</w:t>
      </w:r>
    </w:p>
    <w:p w14:paraId="47348C3C">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按照以下第</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方式确定履约保证收取方式。</w:t>
      </w:r>
    </w:p>
    <w:p w14:paraId="2227226E">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（1）不收取履约保证金。</w:t>
      </w:r>
    </w:p>
    <w:p w14:paraId="0307EF82">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（2）履约保证金应在采购合同签订前提交，履约保证金的金额：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按采购合同总价的</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lang w:val="zh-CN"/>
        </w:rPr>
        <w:t>%计取。除银行电汇、网上银行、数字人民币外，投标人还可选用银行保函、担保公司的保证担保或保险公司的保证保险等多种形式向采购人缴纳；</w:t>
      </w:r>
    </w:p>
    <w:p w14:paraId="3DDB075C">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341AAB67">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履约保证金退还的条件：按以下方式实行：</w:t>
      </w:r>
    </w:p>
    <w:p w14:paraId="1857DCCD">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服务类项目，项目履约期满评价合格，出具</w:t>
      </w:r>
      <w:r>
        <w:rPr>
          <w:rFonts w:hint="eastAsia" w:ascii="宋体" w:hAnsi="宋体" w:cs="宋体"/>
          <w:color w:val="auto"/>
          <w:sz w:val="24"/>
          <w:szCs w:val="24"/>
          <w:highlight w:val="none"/>
        </w:rPr>
        <w:t>验收报告（</w:t>
      </w:r>
      <w:r>
        <w:rPr>
          <w:rFonts w:hint="eastAsia" w:ascii="宋体" w:hAnsi="宋体" w:cs="宋体"/>
          <w:color w:val="auto"/>
          <w:sz w:val="24"/>
          <w:szCs w:val="24"/>
          <w:highlight w:val="none"/>
          <w:lang w:val="zh-CN"/>
        </w:rPr>
        <w:t>履约评价报告</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及履约保证金收据申请退付；</w:t>
      </w:r>
    </w:p>
    <w:p w14:paraId="36F7C1B9">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履约保证金退还时间：采购单位收到投标人退付申请后5个工作日内退还；</w:t>
      </w:r>
    </w:p>
    <w:p w14:paraId="29B47488">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履约保证金不予退还情形：除不可抗力外，投标人不履行与采购人订立的采购合同的，履约保证金不予退还，给采购人造成的损失超过履约保证金数额的，还应当对超过部分予以赔偿；</w:t>
      </w:r>
    </w:p>
    <w:p w14:paraId="6762FDE4">
      <w:pPr>
        <w:spacing w:line="500" w:lineRule="exact"/>
        <w:ind w:firstLine="48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逾期退还履约保证金的违约责任：除应当退还履约保证金外，还应当按中国人民银行同期贷款基准利率上浮 20％后的利率支付超期资金占用费，但因投标人自身原因导致无法及时退还的除外。</w:t>
      </w:r>
    </w:p>
    <w:p w14:paraId="3258354E">
      <w:pPr>
        <w:spacing w:line="500" w:lineRule="exact"/>
        <w:ind w:firstLine="480"/>
        <w:rPr>
          <w:rFonts w:hint="eastAsia" w:ascii="宋体" w:hAnsi="宋体" w:cs="宋体"/>
          <w:bCs/>
          <w:color w:val="auto"/>
          <w:sz w:val="28"/>
          <w:szCs w:val="28"/>
          <w:highlight w:val="none"/>
        </w:rPr>
      </w:pPr>
      <w:r>
        <w:rPr>
          <w:rFonts w:hint="eastAsia" w:ascii="宋体" w:hAnsi="宋体" w:cs="宋体"/>
          <w:color w:val="auto"/>
          <w:sz w:val="24"/>
          <w:szCs w:val="24"/>
          <w:highlight w:val="none"/>
        </w:rPr>
        <w:t>本项目支持和鼓励投标人使用江苏政府采购电子履约保函（保险）代替缴纳履约保证金。关于办理流程、偿付等内容详见江苏省政府采购网《关于在全省政府采购领域推行电子履约保函（保险） 的通知》 （苏财购﹝2023﹞150号）。</w:t>
      </w:r>
    </w:p>
    <w:p w14:paraId="6C31DE47">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31、服务（包含与服务相关的货物）的追加</w:t>
      </w:r>
    </w:p>
    <w:p w14:paraId="7015246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215"/>
      <w:bookmarkEnd w:id="216"/>
      <w:bookmarkEnd w:id="217"/>
    </w:p>
    <w:p w14:paraId="713FFE38">
      <w:pPr>
        <w:spacing w:line="500" w:lineRule="exact"/>
        <w:ind w:firstLine="562"/>
        <w:rPr>
          <w:rFonts w:hint="eastAsia" w:ascii="宋体" w:hAnsi="宋体" w:cs="宋体"/>
          <w:b/>
          <w:bCs/>
          <w:color w:val="auto"/>
          <w:sz w:val="28"/>
          <w:szCs w:val="28"/>
          <w:highlight w:val="none"/>
        </w:rPr>
      </w:pPr>
      <w:bookmarkStart w:id="218" w:name="_Toc16938558"/>
      <w:bookmarkStart w:id="219" w:name="_Toc20823314"/>
      <w:bookmarkStart w:id="220" w:name="_Toc513029242"/>
      <w:bookmarkStart w:id="221" w:name="_Toc479757207"/>
      <w:bookmarkStart w:id="222" w:name="_Toc120614221"/>
      <w:r>
        <w:rPr>
          <w:rFonts w:hint="eastAsia" w:ascii="宋体" w:hAnsi="宋体" w:cs="宋体"/>
          <w:b/>
          <w:bCs/>
          <w:color w:val="auto"/>
          <w:sz w:val="28"/>
          <w:szCs w:val="28"/>
          <w:highlight w:val="none"/>
        </w:rPr>
        <w:t>32、政府采购履约资金扶持政策</w:t>
      </w:r>
    </w:p>
    <w:p w14:paraId="4296352C">
      <w:pPr>
        <w:spacing w:line="500" w:lineRule="exact"/>
        <w:ind w:firstLine="480"/>
        <w:rPr>
          <w:rFonts w:hint="eastAsia" w:ascii="宋体" w:hAnsi="宋体" w:cs="宋体"/>
          <w:bCs/>
          <w:color w:val="auto"/>
          <w:sz w:val="28"/>
          <w:szCs w:val="28"/>
          <w:highlight w:val="none"/>
          <w:lang w:val="zh-CN"/>
        </w:rPr>
      </w:pPr>
      <w:r>
        <w:rPr>
          <w:rFonts w:hint="eastAsia" w:ascii="宋体" w:hAnsi="宋体" w:cs="宋体"/>
          <w:color w:val="auto"/>
          <w:sz w:val="24"/>
          <w:szCs w:val="24"/>
          <w:highlight w:val="none"/>
        </w:rPr>
        <w:t>32.1依</w:t>
      </w:r>
      <w:r>
        <w:rPr>
          <w:rFonts w:hint="eastAsia" w:ascii="宋体" w:hAnsi="宋体" w:cs="宋体"/>
          <w:color w:val="auto"/>
          <w:sz w:val="24"/>
          <w:szCs w:val="24"/>
          <w:highlight w:val="none"/>
          <w:lang w:val="zh-CN"/>
        </w:rPr>
        <w:t>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3BB5D04A">
      <w:pPr>
        <w:spacing w:line="5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33、验收及付款</w:t>
      </w:r>
    </w:p>
    <w:p w14:paraId="23F6BB2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33.1运维期满后，</w:t>
      </w:r>
      <w:r>
        <w:rPr>
          <w:rFonts w:hint="eastAsia" w:ascii="宋体" w:hAnsi="宋体" w:cs="宋体"/>
          <w:color w:val="auto"/>
          <w:sz w:val="24"/>
          <w:szCs w:val="24"/>
          <w:highlight w:val="none"/>
          <w:lang w:val="en-US" w:eastAsia="zh-CN"/>
        </w:rPr>
        <w:t>投标人在7个工作日内提交验收申请，采购人在收到验收申请3个工作日内</w:t>
      </w:r>
      <w:r>
        <w:rPr>
          <w:rFonts w:hint="eastAsia" w:ascii="宋体" w:hAnsi="宋体" w:cs="宋体"/>
          <w:color w:val="auto"/>
          <w:sz w:val="24"/>
          <w:szCs w:val="24"/>
          <w:highlight w:val="none"/>
        </w:rPr>
        <w:t>组织验收，验收</w:t>
      </w:r>
      <w:r>
        <w:rPr>
          <w:rFonts w:hint="eastAsia" w:ascii="宋体" w:hAnsi="宋体" w:cs="宋体"/>
          <w:color w:val="auto"/>
          <w:sz w:val="24"/>
          <w:szCs w:val="24"/>
          <w:highlight w:val="none"/>
          <w:lang w:val="en-US" w:eastAsia="zh-CN"/>
        </w:rPr>
        <w:t>通过</w:t>
      </w:r>
      <w:r>
        <w:rPr>
          <w:rFonts w:hint="eastAsia" w:ascii="宋体" w:hAnsi="宋体" w:cs="宋体"/>
          <w:color w:val="auto"/>
          <w:sz w:val="24"/>
          <w:szCs w:val="24"/>
          <w:highlight w:val="none"/>
        </w:rPr>
        <w:t>后出具验收报告。</w:t>
      </w:r>
    </w:p>
    <w:p w14:paraId="0D907B8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33.2验收标准：本项目验收工作由包括采购人、评审专家和用户体系代表等在内的项目验收小组来完成，具体成员和组织形式由采购人确定。验收标准以</w:t>
      </w:r>
      <w:r>
        <w:rPr>
          <w:rFonts w:hint="eastAsia" w:ascii="宋体" w:hAnsi="宋体" w:cs="宋体"/>
          <w:color w:val="auto"/>
          <w:sz w:val="24"/>
          <w:szCs w:val="24"/>
          <w:highlight w:val="none"/>
          <w:lang w:eastAsia="zh-CN"/>
        </w:rPr>
        <w:t>招标文件</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投标文件</w:t>
      </w:r>
      <w:r>
        <w:rPr>
          <w:rFonts w:hint="eastAsia" w:ascii="宋体" w:hAnsi="宋体" w:cs="宋体"/>
          <w:color w:val="auto"/>
          <w:sz w:val="24"/>
          <w:szCs w:val="24"/>
          <w:highlight w:val="none"/>
        </w:rPr>
        <w:t>等为依据，中标供应商提供项目验收相关材料，包括：合同；数据及相关说明书；用户手册；运维日志文件；系统接口规范等。</w:t>
      </w:r>
    </w:p>
    <w:p w14:paraId="3E6A766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33.3验收合格的项目，采购人将根据采购合同的约定及时向投标人支付服务费用。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p>
    <w:p w14:paraId="18E2CCD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34、付款</w:t>
      </w:r>
      <w:bookmarkStart w:id="223" w:name="EBec7f529f50594afd871ea9378869e456"/>
    </w:p>
    <w:p w14:paraId="6677B6C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按照以下确定的付款方式，采购人及时办理付款手续。对于满足合同约定支付条件的，自收到发票后10个工作日内将资金支付到合同约定的投标人账户或投标人数字人民币账户。</w:t>
      </w:r>
      <w:bookmarkEnd w:id="223"/>
    </w:p>
    <w:p w14:paraId="0DA291A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合同签订且采购人在收到供应商发票后10个工作日内，支付金额2</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万元人民币为预付款；运维满1年后且经采购人确认合格，在收到供应商发票后10个工作日内支付至合同金额的50%；运维满2年后且经采购人确认合格，在收到供应商发票后10个工作日内支付至合同金额的80%；运维期满后且验收合格，在收到供应商发票后10个工作日内付清余款。</w:t>
      </w:r>
    </w:p>
    <w:p w14:paraId="4EB761FD">
      <w:pPr>
        <w:spacing w:line="500" w:lineRule="exact"/>
        <w:ind w:firstLine="480"/>
        <w:jc w:val="left"/>
        <w:rPr>
          <w:rFonts w:hint="eastAsia" w:ascii="宋体" w:hAnsi="宋体" w:cs="宋体"/>
          <w:b/>
          <w:bCs/>
          <w:color w:val="auto"/>
          <w:sz w:val="36"/>
          <w:szCs w:val="36"/>
          <w:highlight w:val="none"/>
        </w:rPr>
      </w:pPr>
      <w:r>
        <w:rPr>
          <w:rFonts w:hint="eastAsia" w:ascii="宋体" w:hAnsi="宋体" w:cs="宋体"/>
          <w:color w:val="auto"/>
          <w:sz w:val="24"/>
          <w:szCs w:val="24"/>
          <w:highlight w:val="none"/>
        </w:rPr>
        <w:t>注：在签订合同时，中标人明确表示无需预付款或者主动要求降低预付款比例的金额，采购人可不适用预付款规定。</w:t>
      </w:r>
      <w:r>
        <w:rPr>
          <w:rFonts w:hint="eastAsia" w:ascii="宋体" w:hAnsi="宋体" w:cs="宋体"/>
          <w:bCs/>
          <w:color w:val="auto"/>
          <w:sz w:val="28"/>
          <w:szCs w:val="28"/>
          <w:highlight w:val="none"/>
        </w:rPr>
        <w:br w:type="page" w:clear="all"/>
      </w:r>
      <w:bookmarkEnd w:id="218"/>
      <w:bookmarkEnd w:id="219"/>
      <w:bookmarkEnd w:id="220"/>
      <w:bookmarkEnd w:id="221"/>
      <w:bookmarkEnd w:id="222"/>
    </w:p>
    <w:p w14:paraId="2BE7C4E3">
      <w:pPr>
        <w:pStyle w:val="228"/>
        <w:rPr>
          <w:rFonts w:hint="eastAsia" w:ascii="宋体" w:hAnsi="宋体" w:eastAsia="宋体" w:cs="宋体"/>
          <w:b/>
          <w:bCs/>
          <w:color w:val="auto"/>
          <w:highlight w:val="none"/>
        </w:rPr>
      </w:pPr>
      <w:bookmarkStart w:id="224" w:name="_Toc620"/>
      <w:bookmarkStart w:id="225" w:name="_Toc4687"/>
      <w:bookmarkStart w:id="226" w:name="_Toc11854"/>
      <w:r>
        <w:rPr>
          <w:rFonts w:hint="eastAsia" w:ascii="宋体" w:hAnsi="宋体" w:eastAsia="宋体" w:cs="宋体"/>
          <w:b/>
          <w:bCs/>
          <w:color w:val="auto"/>
          <w:sz w:val="36"/>
          <w:szCs w:val="36"/>
          <w:highlight w:val="none"/>
        </w:rPr>
        <w:t>第</w:t>
      </w:r>
      <w:r>
        <w:rPr>
          <w:rFonts w:hint="eastAsia" w:ascii="宋体" w:hAnsi="宋体" w:eastAsia="宋体" w:cs="宋体"/>
          <w:b/>
          <w:bCs/>
          <w:color w:val="auto"/>
          <w:sz w:val="36"/>
          <w:szCs w:val="36"/>
          <w:highlight w:val="none"/>
          <w:lang w:val="en-US" w:eastAsia="zh-CN"/>
        </w:rPr>
        <w:t>三</w:t>
      </w:r>
      <w:r>
        <w:rPr>
          <w:rFonts w:hint="eastAsia" w:ascii="宋体" w:hAnsi="宋体" w:eastAsia="宋体" w:cs="宋体"/>
          <w:b/>
          <w:bCs/>
          <w:color w:val="auto"/>
          <w:sz w:val="36"/>
          <w:szCs w:val="36"/>
          <w:highlight w:val="none"/>
        </w:rPr>
        <w:t xml:space="preserve">章  </w:t>
      </w:r>
      <w:r>
        <w:rPr>
          <w:rFonts w:hint="eastAsia" w:ascii="宋体" w:hAnsi="宋体" w:cs="宋体"/>
          <w:b/>
          <w:bCs/>
          <w:color w:val="auto"/>
          <w:sz w:val="36"/>
          <w:szCs w:val="36"/>
          <w:highlight w:val="none"/>
        </w:rPr>
        <w:t>合同文本</w:t>
      </w:r>
      <w:bookmarkEnd w:id="224"/>
      <w:bookmarkEnd w:id="225"/>
      <w:bookmarkEnd w:id="226"/>
    </w:p>
    <w:p w14:paraId="5EFC7717">
      <w:pPr>
        <w:spacing w:line="500" w:lineRule="exact"/>
        <w:ind w:firstLine="480"/>
        <w:jc w:val="center"/>
        <w:rPr>
          <w:rFonts w:hint="eastAsia" w:ascii="宋体" w:hAnsi="宋体" w:cs="宋体"/>
          <w:b/>
          <w:bCs/>
          <w:color w:val="auto"/>
          <w:sz w:val="36"/>
          <w:szCs w:val="36"/>
          <w:highlight w:val="none"/>
        </w:rPr>
      </w:pPr>
    </w:p>
    <w:p w14:paraId="3C78B113">
      <w:pPr>
        <w:spacing w:line="500" w:lineRule="exact"/>
        <w:ind w:firstLine="480"/>
        <w:rPr>
          <w:rFonts w:hint="eastAsia" w:ascii="宋体" w:hAnsi="宋体" w:cs="宋体"/>
          <w:bCs/>
          <w:color w:val="auto"/>
          <w:sz w:val="28"/>
          <w:szCs w:val="28"/>
          <w:highlight w:val="none"/>
        </w:rPr>
      </w:pPr>
      <w:bookmarkStart w:id="227" w:name="_Toc513029243"/>
      <w:bookmarkStart w:id="228" w:name="_Toc20823315"/>
      <w:bookmarkStart w:id="229" w:name="_Toc16938559"/>
      <w:bookmarkStart w:id="230" w:name="_Hlk161752149"/>
      <w:bookmarkStart w:id="231" w:name="_Toc120614244"/>
      <w:bookmarkStart w:id="232" w:name="_Toc20823346"/>
      <w:bookmarkStart w:id="233" w:name="_Toc16938590"/>
      <w:bookmarkStart w:id="234" w:name="_Hlt16619350"/>
      <w:bookmarkStart w:id="235" w:name="_Toc462564139"/>
      <w:bookmarkStart w:id="236" w:name="_Toc479757211"/>
      <w:r>
        <w:rPr>
          <w:rFonts w:hint="eastAsia" w:ascii="宋体" w:hAnsi="宋体" w:cs="宋体"/>
          <w:bCs/>
          <w:color w:val="auto"/>
          <w:sz w:val="28"/>
          <w:szCs w:val="28"/>
          <w:highlight w:val="none"/>
        </w:rPr>
        <w:t>以下为中标后签订本项目合同的通用条款，中标人不得提出实质性的修改。适用于所有分包。</w:t>
      </w:r>
    </w:p>
    <w:p w14:paraId="71BD0FFE">
      <w:pPr>
        <w:spacing w:before="145" w:after="145"/>
        <w:jc w:val="center"/>
        <w:rPr>
          <w:rFonts w:hint="eastAsia" w:ascii="宋体" w:hAnsi="宋体" w:cs="宋体"/>
          <w:b/>
          <w:bCs/>
          <w:color w:val="auto"/>
          <w:sz w:val="28"/>
          <w:szCs w:val="28"/>
          <w:highlight w:val="none"/>
        </w:rPr>
      </w:pPr>
      <w:r>
        <w:rPr>
          <w:rFonts w:hint="eastAsia" w:ascii="宋体" w:hAnsi="宋体" w:cs="宋体"/>
          <w:b/>
          <w:color w:val="auto"/>
          <w:sz w:val="28"/>
          <w:szCs w:val="28"/>
          <w:highlight w:val="none"/>
        </w:rPr>
        <w:t>江苏省政府采购合同（服务）（合同编号）</w:t>
      </w:r>
    </w:p>
    <w:p w14:paraId="06814182">
      <w:pPr>
        <w:pStyle w:val="396"/>
        <w:spacing w:line="500" w:lineRule="exact"/>
        <w:ind w:firstLine="480"/>
        <w:rPr>
          <w:rFonts w:hint="eastAsia" w:hAnsi="宋体" w:cs="宋体"/>
          <w:color w:val="auto"/>
          <w:sz w:val="28"/>
          <w:szCs w:val="28"/>
          <w:highlight w:val="none"/>
        </w:rPr>
      </w:pPr>
      <w:r>
        <w:rPr>
          <w:rFonts w:hint="eastAsia" w:hAnsi="宋体" w:cs="宋体"/>
          <w:color w:val="auto"/>
          <w:sz w:val="28"/>
          <w:szCs w:val="28"/>
          <w:highlight w:val="none"/>
        </w:rPr>
        <w:t>项目名称：</w:t>
      </w:r>
      <w:r>
        <w:rPr>
          <w:rFonts w:hint="eastAsia" w:hAnsi="宋体" w:cs="宋体"/>
          <w:color w:val="auto"/>
          <w:sz w:val="28"/>
          <w:szCs w:val="28"/>
          <w:highlight w:val="none"/>
          <w:u w:val="single"/>
        </w:rPr>
        <w:t xml:space="preserve"> 宿迁市“苏政源”数字资源底座落地实施项目 </w:t>
      </w:r>
      <w:r>
        <w:rPr>
          <w:rFonts w:hint="eastAsia" w:hAnsi="宋体" w:cs="宋体"/>
          <w:color w:val="auto"/>
          <w:sz w:val="28"/>
          <w:szCs w:val="28"/>
          <w:highlight w:val="none"/>
        </w:rPr>
        <w:t xml:space="preserve">  </w:t>
      </w:r>
    </w:p>
    <w:p w14:paraId="7258D891">
      <w:pPr>
        <w:pStyle w:val="396"/>
        <w:spacing w:line="500" w:lineRule="exact"/>
        <w:ind w:firstLine="480"/>
        <w:rPr>
          <w:rFonts w:hint="eastAsia" w:hAnsi="宋体" w:cs="宋体"/>
          <w:color w:val="auto"/>
          <w:sz w:val="28"/>
          <w:szCs w:val="28"/>
          <w:highlight w:val="none"/>
        </w:rPr>
      </w:pPr>
      <w:r>
        <w:rPr>
          <w:rFonts w:hint="eastAsia" w:hAnsi="宋体" w:cs="宋体"/>
          <w:color w:val="auto"/>
          <w:sz w:val="28"/>
          <w:szCs w:val="28"/>
          <w:highlight w:val="none"/>
        </w:rPr>
        <w:t>项目编号：</w:t>
      </w:r>
      <w:r>
        <w:rPr>
          <w:rFonts w:hint="eastAsia" w:hAnsi="宋体" w:cs="宋体"/>
          <w:color w:val="auto"/>
          <w:sz w:val="28"/>
          <w:szCs w:val="28"/>
          <w:highlight w:val="none"/>
          <w:u w:val="single"/>
        </w:rPr>
        <w:t xml:space="preserve">            </w:t>
      </w:r>
    </w:p>
    <w:p w14:paraId="0F2ECEAF">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分包编号：</w:t>
      </w:r>
      <w:r>
        <w:rPr>
          <w:rFonts w:hint="eastAsia" w:ascii="宋体" w:hAnsi="宋体" w:cs="宋体"/>
          <w:color w:val="auto"/>
          <w:sz w:val="28"/>
          <w:szCs w:val="28"/>
          <w:highlight w:val="none"/>
          <w:u w:val="single"/>
        </w:rPr>
        <w:t xml:space="preserve">            </w:t>
      </w:r>
    </w:p>
    <w:p w14:paraId="2DA163AF">
      <w:pPr>
        <w:spacing w:line="500" w:lineRule="exact"/>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甲方（采购人）：_________</w:t>
      </w:r>
    </w:p>
    <w:p w14:paraId="55089822">
      <w:pPr>
        <w:pStyle w:val="396"/>
        <w:spacing w:line="500" w:lineRule="exact"/>
        <w:ind w:firstLine="480"/>
        <w:rPr>
          <w:rFonts w:hint="eastAsia" w:hAnsi="宋体" w:cs="宋体"/>
          <w:color w:val="auto"/>
          <w:sz w:val="28"/>
          <w:szCs w:val="28"/>
          <w:highlight w:val="none"/>
        </w:rPr>
      </w:pPr>
      <w:r>
        <w:rPr>
          <w:rFonts w:hint="eastAsia" w:hAnsi="宋体" w:cs="宋体"/>
          <w:color w:val="auto"/>
          <w:sz w:val="28"/>
          <w:szCs w:val="28"/>
          <w:highlight w:val="none"/>
        </w:rPr>
        <w:t>乙方（中标人）：_________</w:t>
      </w:r>
      <w:bookmarkEnd w:id="227"/>
      <w:bookmarkEnd w:id="228"/>
      <w:bookmarkEnd w:id="229"/>
    </w:p>
    <w:p w14:paraId="613E347B">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根据《中华人民共和国民法典》、《中华人民共和国政府采购法》等相关法律法规之规定，按照平等、自愿、公平和诚实信用的原则，经</w:t>
      </w:r>
      <w:r>
        <w:rPr>
          <w:rFonts w:hint="eastAsia" w:ascii="宋体" w:hAnsi="宋体" w:cs="宋体"/>
          <w:color w:val="auto"/>
          <w:sz w:val="28"/>
          <w:szCs w:val="28"/>
          <w:highlight w:val="none"/>
          <w:u w:val="single"/>
        </w:rPr>
        <w:t xml:space="preserve"> （采购单位）</w:t>
      </w:r>
      <w:r>
        <w:rPr>
          <w:rFonts w:hint="eastAsia" w:ascii="宋体" w:hAnsi="宋体" w:cs="宋体"/>
          <w:color w:val="auto"/>
          <w:sz w:val="28"/>
          <w:szCs w:val="28"/>
          <w:highlight w:val="none"/>
        </w:rPr>
        <w:t xml:space="preserve"> (以下简称：甲方)和 </w:t>
      </w:r>
      <w:r>
        <w:rPr>
          <w:rFonts w:hint="eastAsia" w:ascii="宋体" w:hAnsi="宋体" w:cs="宋体"/>
          <w:color w:val="auto"/>
          <w:sz w:val="28"/>
          <w:szCs w:val="28"/>
          <w:highlight w:val="none"/>
          <w:u w:val="single"/>
        </w:rPr>
        <w:t>（中标供应商名称）</w:t>
      </w:r>
      <w:r>
        <w:rPr>
          <w:rFonts w:hint="eastAsia" w:ascii="宋体" w:hAnsi="宋体" w:cs="宋体"/>
          <w:color w:val="auto"/>
          <w:sz w:val="28"/>
          <w:szCs w:val="28"/>
          <w:highlight w:val="none"/>
        </w:rPr>
        <w:t xml:space="preserve"> (以下简称：乙方)协商一致，约定以下合同条款，以兹共同遵守、全面履行。</w:t>
      </w:r>
    </w:p>
    <w:p w14:paraId="5D70D458">
      <w:pPr>
        <w:spacing w:line="6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1.1 合同组成部分</w:t>
      </w:r>
    </w:p>
    <w:p w14:paraId="3B9181A8">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0414DBC">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1.1.1 本合同及其补充合同、变更协议；</w:t>
      </w:r>
    </w:p>
    <w:p w14:paraId="4429C167">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1.1.2 中标通知书；</w:t>
      </w:r>
    </w:p>
    <w:p w14:paraId="124EF247">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1.1.3 投标文件（含澄清或者说明文件）；</w:t>
      </w:r>
    </w:p>
    <w:p w14:paraId="6C55E879">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1.1.4 招标文件（含澄清或者修改文件）；</w:t>
      </w:r>
    </w:p>
    <w:p w14:paraId="4A3E890F">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1.1.5 其他相关采购文件。</w:t>
      </w:r>
    </w:p>
    <w:p w14:paraId="07701444">
      <w:pPr>
        <w:spacing w:line="6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1.2 标的 </w:t>
      </w:r>
    </w:p>
    <w:p w14:paraId="3187E9A6">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1.2.1 标的名称：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79482140">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1.2.2 标的数量：</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1351CC36">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1.2.3 标的质量：</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62F0E60B">
      <w:pPr>
        <w:spacing w:line="600" w:lineRule="exact"/>
        <w:ind w:firstLine="562"/>
        <w:rPr>
          <w:rFonts w:hint="eastAsia" w:ascii="宋体" w:hAnsi="宋体" w:cs="宋体"/>
          <w:color w:val="auto"/>
          <w:sz w:val="28"/>
          <w:szCs w:val="28"/>
          <w:highlight w:val="none"/>
        </w:rPr>
      </w:pPr>
      <w:r>
        <w:rPr>
          <w:rFonts w:hint="eastAsia" w:ascii="宋体" w:hAnsi="宋体" w:cs="宋体"/>
          <w:b/>
          <w:bCs/>
          <w:color w:val="auto"/>
          <w:sz w:val="28"/>
          <w:szCs w:val="28"/>
          <w:highlight w:val="none"/>
        </w:rPr>
        <w:t>1.3 价款</w:t>
      </w:r>
      <w:r>
        <w:rPr>
          <w:rFonts w:hint="eastAsia" w:ascii="宋体" w:hAnsi="宋体" w:cs="宋体"/>
          <w:color w:val="auto"/>
          <w:sz w:val="28"/>
          <w:szCs w:val="28"/>
          <w:highlight w:val="none"/>
        </w:rPr>
        <w:t xml:space="preserve"> </w:t>
      </w:r>
    </w:p>
    <w:p w14:paraId="27C3BED9">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本合同总价为：¥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元（大写：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元人民币）。</w:t>
      </w:r>
    </w:p>
    <w:p w14:paraId="3816EDE4">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分项价格：</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67C64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noWrap w:val="0"/>
          </w:tcPr>
          <w:p w14:paraId="5349A25A">
            <w:pPr>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2841" w:type="dxa"/>
            <w:noWrap w:val="0"/>
          </w:tcPr>
          <w:p w14:paraId="48CDE98E">
            <w:pPr>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分项名称</w:t>
            </w:r>
          </w:p>
        </w:tc>
        <w:tc>
          <w:tcPr>
            <w:tcW w:w="2841" w:type="dxa"/>
            <w:noWrap w:val="0"/>
          </w:tcPr>
          <w:p w14:paraId="38BA65D3">
            <w:pPr>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分项价格</w:t>
            </w:r>
          </w:p>
        </w:tc>
      </w:tr>
      <w:tr w14:paraId="0690B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noWrap w:val="0"/>
          </w:tcPr>
          <w:p w14:paraId="42E4E2F9">
            <w:pPr>
              <w:spacing w:line="600" w:lineRule="exact"/>
              <w:rPr>
                <w:rFonts w:hint="eastAsia" w:ascii="宋体" w:hAnsi="宋体" w:cs="宋体"/>
                <w:color w:val="auto"/>
                <w:sz w:val="28"/>
                <w:szCs w:val="28"/>
                <w:highlight w:val="none"/>
              </w:rPr>
            </w:pPr>
          </w:p>
        </w:tc>
        <w:tc>
          <w:tcPr>
            <w:tcW w:w="2841" w:type="dxa"/>
            <w:noWrap w:val="0"/>
          </w:tcPr>
          <w:p w14:paraId="27BC89CA">
            <w:pPr>
              <w:spacing w:line="600" w:lineRule="exact"/>
              <w:rPr>
                <w:rFonts w:hint="eastAsia" w:ascii="宋体" w:hAnsi="宋体" w:cs="宋体"/>
                <w:color w:val="auto"/>
                <w:sz w:val="28"/>
                <w:szCs w:val="28"/>
                <w:highlight w:val="none"/>
              </w:rPr>
            </w:pPr>
          </w:p>
        </w:tc>
        <w:tc>
          <w:tcPr>
            <w:tcW w:w="2841" w:type="dxa"/>
            <w:noWrap w:val="0"/>
          </w:tcPr>
          <w:p w14:paraId="0EEA7129">
            <w:pPr>
              <w:spacing w:line="600" w:lineRule="exact"/>
              <w:rPr>
                <w:rFonts w:hint="eastAsia" w:ascii="宋体" w:hAnsi="宋体" w:cs="宋体"/>
                <w:color w:val="auto"/>
                <w:sz w:val="28"/>
                <w:szCs w:val="28"/>
                <w:highlight w:val="none"/>
              </w:rPr>
            </w:pPr>
          </w:p>
        </w:tc>
      </w:tr>
      <w:tr w14:paraId="37B6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noWrap w:val="0"/>
          </w:tcPr>
          <w:p w14:paraId="659AF4CA">
            <w:pPr>
              <w:spacing w:line="600" w:lineRule="exact"/>
              <w:rPr>
                <w:rFonts w:hint="eastAsia" w:ascii="宋体" w:hAnsi="宋体" w:cs="宋体"/>
                <w:color w:val="auto"/>
                <w:sz w:val="28"/>
                <w:szCs w:val="28"/>
                <w:highlight w:val="none"/>
              </w:rPr>
            </w:pPr>
          </w:p>
        </w:tc>
        <w:tc>
          <w:tcPr>
            <w:tcW w:w="2841" w:type="dxa"/>
            <w:noWrap w:val="0"/>
          </w:tcPr>
          <w:p w14:paraId="19E3DE3D">
            <w:pPr>
              <w:spacing w:line="600" w:lineRule="exact"/>
              <w:rPr>
                <w:rFonts w:hint="eastAsia" w:ascii="宋体" w:hAnsi="宋体" w:cs="宋体"/>
                <w:color w:val="auto"/>
                <w:sz w:val="28"/>
                <w:szCs w:val="28"/>
                <w:highlight w:val="none"/>
              </w:rPr>
            </w:pPr>
          </w:p>
        </w:tc>
        <w:tc>
          <w:tcPr>
            <w:tcW w:w="2841" w:type="dxa"/>
            <w:noWrap w:val="0"/>
          </w:tcPr>
          <w:p w14:paraId="3C8F694C">
            <w:pPr>
              <w:spacing w:line="600" w:lineRule="exact"/>
              <w:rPr>
                <w:rFonts w:hint="eastAsia" w:ascii="宋体" w:hAnsi="宋体" w:cs="宋体"/>
                <w:color w:val="auto"/>
                <w:sz w:val="28"/>
                <w:szCs w:val="28"/>
                <w:highlight w:val="none"/>
              </w:rPr>
            </w:pPr>
          </w:p>
        </w:tc>
      </w:tr>
      <w:tr w14:paraId="2AE36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noWrap w:val="0"/>
          </w:tcPr>
          <w:p w14:paraId="31454002">
            <w:pPr>
              <w:spacing w:line="600" w:lineRule="exact"/>
              <w:rPr>
                <w:rFonts w:hint="eastAsia" w:ascii="宋体" w:hAnsi="宋体" w:cs="宋体"/>
                <w:color w:val="auto"/>
                <w:sz w:val="28"/>
                <w:szCs w:val="28"/>
                <w:highlight w:val="none"/>
              </w:rPr>
            </w:pPr>
          </w:p>
        </w:tc>
        <w:tc>
          <w:tcPr>
            <w:tcW w:w="2841" w:type="dxa"/>
            <w:noWrap w:val="0"/>
          </w:tcPr>
          <w:p w14:paraId="53A15E41">
            <w:pPr>
              <w:spacing w:line="600" w:lineRule="exact"/>
              <w:rPr>
                <w:rFonts w:hint="eastAsia" w:ascii="宋体" w:hAnsi="宋体" w:cs="宋体"/>
                <w:color w:val="auto"/>
                <w:sz w:val="28"/>
                <w:szCs w:val="28"/>
                <w:highlight w:val="none"/>
              </w:rPr>
            </w:pPr>
          </w:p>
        </w:tc>
        <w:tc>
          <w:tcPr>
            <w:tcW w:w="2841" w:type="dxa"/>
            <w:noWrap w:val="0"/>
          </w:tcPr>
          <w:p w14:paraId="6CD7DFE7">
            <w:pPr>
              <w:spacing w:line="600" w:lineRule="exact"/>
              <w:rPr>
                <w:rFonts w:hint="eastAsia" w:ascii="宋体" w:hAnsi="宋体" w:cs="宋体"/>
                <w:color w:val="auto"/>
                <w:sz w:val="28"/>
                <w:szCs w:val="28"/>
                <w:highlight w:val="none"/>
              </w:rPr>
            </w:pPr>
          </w:p>
        </w:tc>
      </w:tr>
      <w:tr w14:paraId="38684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81" w:type="dxa"/>
            <w:gridSpan w:val="2"/>
            <w:noWrap w:val="0"/>
          </w:tcPr>
          <w:p w14:paraId="1F6807B4">
            <w:pPr>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总价</w:t>
            </w:r>
          </w:p>
        </w:tc>
        <w:tc>
          <w:tcPr>
            <w:tcW w:w="2841" w:type="dxa"/>
            <w:noWrap w:val="0"/>
          </w:tcPr>
          <w:p w14:paraId="34657D14">
            <w:pPr>
              <w:spacing w:line="600" w:lineRule="exact"/>
              <w:rPr>
                <w:rFonts w:hint="eastAsia" w:ascii="宋体" w:hAnsi="宋体" w:cs="宋体"/>
                <w:color w:val="auto"/>
                <w:sz w:val="28"/>
                <w:szCs w:val="28"/>
                <w:highlight w:val="none"/>
              </w:rPr>
            </w:pPr>
          </w:p>
        </w:tc>
      </w:tr>
    </w:tbl>
    <w:p w14:paraId="389840F5">
      <w:pPr>
        <w:spacing w:line="6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1.4 付款方式 </w:t>
      </w:r>
    </w:p>
    <w:p w14:paraId="7975A939">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1.4.1 付款方式：</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0E4ED388">
      <w:pPr>
        <w:spacing w:line="600" w:lineRule="exact"/>
        <w:ind w:firstLine="562"/>
        <w:rPr>
          <w:rFonts w:hint="eastAsia" w:ascii="宋体" w:hAnsi="宋体" w:cs="宋体"/>
          <w:color w:val="auto"/>
          <w:sz w:val="28"/>
          <w:szCs w:val="28"/>
          <w:highlight w:val="none"/>
        </w:rPr>
      </w:pPr>
      <w:r>
        <w:rPr>
          <w:rFonts w:hint="eastAsia" w:ascii="宋体" w:hAnsi="宋体" w:cs="宋体"/>
          <w:b/>
          <w:bCs/>
          <w:color w:val="auto"/>
          <w:sz w:val="28"/>
          <w:szCs w:val="28"/>
          <w:highlight w:val="none"/>
        </w:rPr>
        <w:t>1.5 履行期限、地点和方式</w:t>
      </w:r>
      <w:r>
        <w:rPr>
          <w:rFonts w:hint="eastAsia" w:ascii="宋体" w:hAnsi="宋体" w:cs="宋体"/>
          <w:color w:val="auto"/>
          <w:sz w:val="28"/>
          <w:szCs w:val="28"/>
          <w:highlight w:val="none"/>
        </w:rPr>
        <w:t xml:space="preserve"> </w:t>
      </w:r>
    </w:p>
    <w:p w14:paraId="79C75F03">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1.5.1 履行期限：</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1E34EF08">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1.5.2 履行地点：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021CD0B8">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1.5.3 履行方式：</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w:t>
      </w:r>
    </w:p>
    <w:p w14:paraId="4E721654">
      <w:pPr>
        <w:spacing w:line="600" w:lineRule="exact"/>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1.6 违约责任</w:t>
      </w:r>
    </w:p>
    <w:p w14:paraId="15C07934">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1.6.1 除不可抗力外，如果乙方没有按照本合同约定的期限、地点和方式履行，那么甲方可要求乙方支付违约金，违约金按</w:t>
      </w:r>
      <w:r>
        <w:rPr>
          <w:rFonts w:ascii="宋体" w:hAnsi="宋体" w:cs="宋体"/>
          <w:color w:val="auto"/>
          <w:sz w:val="28"/>
          <w:szCs w:val="28"/>
          <w:highlight w:val="none"/>
        </w:rPr>
        <w:t>每迟延履行一日按合同总价的0.1%计算</w:t>
      </w:r>
      <w:r>
        <w:rPr>
          <w:rFonts w:hint="eastAsia" w:ascii="宋体" w:hAnsi="宋体" w:cs="宋体"/>
          <w:color w:val="auto"/>
          <w:sz w:val="28"/>
          <w:szCs w:val="28"/>
          <w:highlight w:val="none"/>
        </w:rPr>
        <w:t>，</w:t>
      </w:r>
      <w:r>
        <w:rPr>
          <w:rFonts w:ascii="宋体" w:hAnsi="宋体" w:cs="宋体"/>
          <w:color w:val="auto"/>
          <w:sz w:val="28"/>
          <w:szCs w:val="28"/>
          <w:highlight w:val="none"/>
        </w:rPr>
        <w:t>不超过合同总价的10%</w:t>
      </w:r>
      <w:r>
        <w:rPr>
          <w:rFonts w:hint="eastAsia" w:ascii="宋体" w:hAnsi="宋体" w:cs="宋体"/>
          <w:color w:val="auto"/>
          <w:sz w:val="28"/>
          <w:szCs w:val="28"/>
          <w:highlight w:val="none"/>
        </w:rPr>
        <w:t>；迟延履行的违约金计算数额达到前述最高限额之日起，甲方有权在要求乙方支付违约金的同时，书面通知乙方解除本合同；</w:t>
      </w:r>
    </w:p>
    <w:p w14:paraId="3493E383">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1.6.2 除不可抗力外，如果甲方没有按照本合同约定的付款方式付款，那么乙方可要求甲方支付违约金，违约金按每迟延付款一日的应付而未付款的</w:t>
      </w:r>
      <w:r>
        <w:rPr>
          <w:rFonts w:hint="eastAsia" w:ascii="宋体" w:hAnsi="宋体" w:cs="宋体"/>
          <w:color w:val="auto"/>
          <w:sz w:val="28"/>
          <w:szCs w:val="28"/>
          <w:highlight w:val="none"/>
          <w:u w:val="single"/>
        </w:rPr>
        <w:t>0.3</w:t>
      </w:r>
      <w:r>
        <w:rPr>
          <w:rFonts w:hint="eastAsia" w:ascii="宋体" w:hAnsi="宋体" w:cs="宋体"/>
          <w:color w:val="auto"/>
          <w:sz w:val="28"/>
          <w:szCs w:val="28"/>
          <w:highlight w:val="none"/>
        </w:rPr>
        <w:t>%计算，最高限额为本合同总价的</w:t>
      </w:r>
      <w:r>
        <w:rPr>
          <w:rFonts w:hint="eastAsia" w:ascii="宋体" w:hAnsi="宋体" w:cs="宋体"/>
          <w:color w:val="auto"/>
          <w:sz w:val="28"/>
          <w:szCs w:val="28"/>
          <w:highlight w:val="none"/>
          <w:u w:val="single"/>
        </w:rPr>
        <w:t>5</w:t>
      </w:r>
      <w:r>
        <w:rPr>
          <w:rFonts w:hint="eastAsia" w:ascii="宋体" w:hAnsi="宋体" w:cs="宋体"/>
          <w:color w:val="auto"/>
          <w:sz w:val="28"/>
          <w:szCs w:val="28"/>
          <w:highlight w:val="none"/>
        </w:rPr>
        <w:t>%；迟延付款的违约金计算数额达到前述最高限额之日起，乙方有权在要求甲方支付违约金的同时，书面通知甲方解除本合同；</w:t>
      </w:r>
    </w:p>
    <w:p w14:paraId="53031E3D">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17C76C90">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798F208A">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4020CDCC">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1.6.6 如果出现政府采购监督管理部门在处理投诉事项期间，书面通知甲方暂停采购活动的情形，或者询问或质疑事项可能影响中标结果的，导致甲方中止履行合同的情形，均不视为甲方违约。</w:t>
      </w:r>
    </w:p>
    <w:p w14:paraId="46857FE5">
      <w:pPr>
        <w:spacing w:line="600" w:lineRule="exact"/>
        <w:ind w:firstLine="562"/>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1.7</w:t>
      </w:r>
      <w:r>
        <w:rPr>
          <w:rFonts w:hint="eastAsia" w:ascii="宋体" w:hAnsi="宋体" w:eastAsia="宋体" w:cs="宋体"/>
          <w:b/>
          <w:bCs/>
          <w:color w:val="auto"/>
          <w:sz w:val="28"/>
          <w:szCs w:val="28"/>
          <w:highlight w:val="none"/>
        </w:rPr>
        <w:t>验收要求</w:t>
      </w:r>
    </w:p>
    <w:p w14:paraId="339A11F8">
      <w:pPr>
        <w:spacing w:line="600" w:lineRule="exact"/>
        <w:ind w:firstLine="560"/>
        <w:rPr>
          <w:rFonts w:hint="eastAsia" w:ascii="宋体" w:hAnsi="宋体" w:eastAsia="宋体" w:cs="宋体"/>
          <w:bCs w:val="0"/>
          <w:color w:val="auto"/>
          <w:sz w:val="28"/>
          <w:szCs w:val="28"/>
          <w:highlight w:val="none"/>
          <w:lang w:eastAsia="zh-CN"/>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.7.1服务期满后，甲方应在收到验收申请之日起7个工作日内组织验收，验收合格后出具验收报告。</w:t>
      </w:r>
    </w:p>
    <w:p w14:paraId="76C14C36">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.7.2</w:t>
      </w:r>
      <w:r>
        <w:rPr>
          <w:rFonts w:hint="eastAsia" w:ascii="宋体" w:hAnsi="宋体" w:eastAsia="宋体" w:cs="宋体"/>
          <w:bCs w:val="0"/>
          <w:color w:val="auto"/>
          <w:sz w:val="28"/>
          <w:szCs w:val="28"/>
          <w:highlight w:val="none"/>
        </w:rPr>
        <w:t>验收标准：本项目验收工作由包括</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、评审专家和用户体系代表等在内的项目验收小组来完成，具体成员和组织形式由</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确定。验收标准以</w:t>
      </w:r>
      <w:r>
        <w:rPr>
          <w:rFonts w:hint="eastAsia" w:ascii="宋体" w:hAnsi="宋体" w:eastAsia="宋体" w:cs="宋体"/>
          <w:bCs w:val="0"/>
          <w:color w:val="auto"/>
          <w:sz w:val="28"/>
          <w:szCs w:val="28"/>
          <w:highlight w:val="none"/>
          <w:lang w:eastAsia="zh-CN"/>
        </w:rPr>
        <w:t>招标文件</w:t>
      </w:r>
      <w:r>
        <w:rPr>
          <w:rFonts w:hint="eastAsia" w:ascii="宋体" w:hAnsi="宋体" w:eastAsia="宋体" w:cs="宋体"/>
          <w:bCs w:val="0"/>
          <w:color w:val="auto"/>
          <w:sz w:val="28"/>
          <w:szCs w:val="28"/>
          <w:highlight w:val="none"/>
        </w:rPr>
        <w:t>、</w:t>
      </w:r>
      <w:r>
        <w:rPr>
          <w:rFonts w:hint="eastAsia" w:ascii="宋体" w:hAnsi="宋体" w:eastAsia="宋体" w:cs="宋体"/>
          <w:bCs w:val="0"/>
          <w:color w:val="auto"/>
          <w:sz w:val="28"/>
          <w:szCs w:val="28"/>
          <w:highlight w:val="none"/>
          <w:lang w:eastAsia="zh-CN"/>
        </w:rPr>
        <w:t>投标文件</w:t>
      </w:r>
      <w:r>
        <w:rPr>
          <w:rFonts w:hint="eastAsia" w:ascii="宋体" w:hAnsi="宋体" w:eastAsia="宋体" w:cs="宋体"/>
          <w:bCs w:val="0"/>
          <w:color w:val="auto"/>
          <w:sz w:val="28"/>
          <w:szCs w:val="28"/>
          <w:highlight w:val="none"/>
        </w:rPr>
        <w:t>等为依据，</w:t>
      </w:r>
      <w:r>
        <w:rPr>
          <w:rFonts w:hint="eastAsia" w:ascii="宋体" w:hAnsi="宋体" w:eastAsia="宋体" w:cs="宋体"/>
          <w:bCs w:val="0"/>
          <w:color w:val="auto"/>
          <w:sz w:val="28"/>
          <w:szCs w:val="28"/>
          <w:highlight w:val="none"/>
          <w:lang w:val="en-US" w:eastAsia="zh-CN"/>
        </w:rPr>
        <w:t>乙方</w:t>
      </w:r>
      <w:r>
        <w:rPr>
          <w:rFonts w:hint="eastAsia" w:ascii="宋体" w:hAnsi="宋体" w:eastAsia="宋体" w:cs="宋体"/>
          <w:bCs w:val="0"/>
          <w:color w:val="auto"/>
          <w:sz w:val="28"/>
          <w:szCs w:val="28"/>
          <w:highlight w:val="none"/>
        </w:rPr>
        <w:t>提供项目验收相关材料，包括：合同；数据及相关说明书；用户手册；运维日志文件；系统接口规范等。</w:t>
      </w:r>
    </w:p>
    <w:p w14:paraId="70105046">
      <w:pPr>
        <w:spacing w:line="600" w:lineRule="exact"/>
        <w:ind w:firstLine="562"/>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1.8</w:t>
      </w:r>
      <w:r>
        <w:rPr>
          <w:rFonts w:hint="eastAsia" w:ascii="宋体" w:hAnsi="宋体" w:eastAsia="宋体" w:cs="宋体"/>
          <w:b/>
          <w:bCs/>
          <w:color w:val="auto"/>
          <w:sz w:val="28"/>
          <w:szCs w:val="28"/>
          <w:highlight w:val="none"/>
        </w:rPr>
        <w:t>服务要求</w:t>
      </w:r>
    </w:p>
    <w:p w14:paraId="22FFFF0E">
      <w:pPr>
        <w:spacing w:line="600" w:lineRule="exact"/>
        <w:ind w:firstLine="560"/>
        <w:rPr>
          <w:rFonts w:hint="eastAsia" w:ascii="宋体" w:hAnsi="宋体" w:eastAsia="宋体" w:cs="宋体"/>
          <w:b w:val="0"/>
          <w:color w:val="auto"/>
          <w:sz w:val="28"/>
          <w:szCs w:val="28"/>
          <w:highlight w:val="none"/>
          <w:lang w:val="en-US" w:eastAsia="zh-CN"/>
        </w:rPr>
      </w:pPr>
      <w:r>
        <w:rPr>
          <w:rFonts w:hint="eastAsia" w:ascii="宋体" w:hAnsi="宋体" w:eastAsia="宋体" w:cs="宋体"/>
          <w:b w:val="0"/>
          <w:color w:val="auto"/>
          <w:sz w:val="28"/>
          <w:szCs w:val="28"/>
          <w:highlight w:val="none"/>
          <w:lang w:val="en-US" w:eastAsia="zh-CN"/>
        </w:rPr>
        <w:t>整体运维工作及时响应“苏政源”省市协同建设相关要求，保障平台稳定运行、数据安全合规、业务连续不中断，实现运维无死角、响应高效率、保障全周期。</w:t>
      </w:r>
    </w:p>
    <w:p w14:paraId="423B24FC">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.8.1</w:t>
      </w:r>
      <w:r>
        <w:rPr>
          <w:rFonts w:hint="eastAsia" w:ascii="宋体" w:hAnsi="宋体" w:eastAsia="宋体" w:cs="宋体"/>
          <w:bCs w:val="0"/>
          <w:color w:val="auto"/>
          <w:sz w:val="28"/>
          <w:szCs w:val="28"/>
          <w:highlight w:val="none"/>
        </w:rPr>
        <w:t>自合同签约之日起，</w:t>
      </w:r>
      <w:r>
        <w:rPr>
          <w:rFonts w:hint="eastAsia" w:ascii="宋体" w:hAnsi="宋体" w:eastAsia="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提供三年运维服务。</w:t>
      </w:r>
    </w:p>
    <w:p w14:paraId="27120832">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.8.2</w:t>
      </w:r>
      <w:r>
        <w:rPr>
          <w:rFonts w:hint="eastAsia" w:ascii="宋体" w:hAnsi="宋体" w:eastAsia="宋体" w:cs="宋体"/>
          <w:bCs w:val="0"/>
          <w:color w:val="auto"/>
          <w:sz w:val="28"/>
          <w:szCs w:val="28"/>
          <w:highlight w:val="none"/>
        </w:rPr>
        <w:t>服务期内，本合同项目所有技术和服务发生任何非人为故障，由</w:t>
      </w:r>
      <w:r>
        <w:rPr>
          <w:rFonts w:hint="eastAsia" w:ascii="宋体" w:hAnsi="宋体" w:eastAsia="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负责系统恢复。平台需要7*24小时不停机运行，一般故障响应时间≤10分钟，技术人员到场时间≤10分钟。</w:t>
      </w:r>
    </w:p>
    <w:p w14:paraId="6789739E">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.8.3</w:t>
      </w:r>
      <w:r>
        <w:rPr>
          <w:rFonts w:hint="eastAsia" w:ascii="宋体" w:hAnsi="宋体" w:eastAsia="宋体" w:cs="宋体"/>
          <w:bCs w:val="0"/>
          <w:color w:val="auto"/>
          <w:sz w:val="28"/>
          <w:szCs w:val="28"/>
          <w:highlight w:val="none"/>
        </w:rPr>
        <w:t>故障及时响应。成立专门的本地维护服务和技术支持小组，系统运行异常时，在接到</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通知后，须全力协助</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，使系统尽快恢复正常。具体为：</w:t>
      </w:r>
      <w:r>
        <w:rPr>
          <w:rFonts w:hint="eastAsia" w:ascii="宋体" w:hAnsi="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必须提供7×24小时的响应服务，保证技术人员及时到场。因系统环境部署在电子政务外网，不接受远程运维服务，现场响应时间不得高于10分钟，及时解决故障或启用应急措施保证系统正常运行。</w:t>
      </w:r>
    </w:p>
    <w:p w14:paraId="71FF3444">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.8.4</w:t>
      </w:r>
      <w:r>
        <w:rPr>
          <w:rFonts w:hint="eastAsia" w:ascii="宋体" w:hAnsi="宋体" w:eastAsia="宋体" w:cs="宋体"/>
          <w:bCs w:val="0"/>
          <w:color w:val="auto"/>
          <w:sz w:val="28"/>
          <w:szCs w:val="28"/>
          <w:highlight w:val="none"/>
        </w:rPr>
        <w:t>项目建设期间</w:t>
      </w:r>
      <w:r>
        <w:rPr>
          <w:rFonts w:hint="eastAsia" w:ascii="宋体" w:hAnsi="宋体" w:eastAsia="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应严格遵守安全管理制度，因没有遵守安全管理制度要求所发生的一切安全事故均由</w:t>
      </w:r>
      <w:r>
        <w:rPr>
          <w:rFonts w:hint="eastAsia" w:ascii="宋体" w:hAnsi="宋体" w:eastAsia="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负责，</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不承担任何责任。</w:t>
      </w:r>
    </w:p>
    <w:p w14:paraId="1FB57F0F">
      <w:pPr>
        <w:spacing w:line="600" w:lineRule="exact"/>
        <w:ind w:firstLine="560"/>
        <w:rPr>
          <w:rFonts w:hint="eastAsia" w:ascii="宋体" w:hAnsi="宋体" w:eastAsia="宋体" w:cs="宋体"/>
          <w:bCs w:val="0"/>
          <w:color w:val="auto"/>
          <w:sz w:val="28"/>
          <w:szCs w:val="28"/>
          <w:highlight w:val="none"/>
          <w:lang w:eastAsia="zh-CN"/>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.8.5</w:t>
      </w:r>
      <w:r>
        <w:rPr>
          <w:rFonts w:hint="eastAsia" w:ascii="宋体" w:hAnsi="宋体" w:eastAsia="宋体" w:cs="宋体"/>
          <w:bCs w:val="0"/>
          <w:color w:val="auto"/>
          <w:sz w:val="28"/>
          <w:szCs w:val="28"/>
          <w:highlight w:val="none"/>
        </w:rPr>
        <w:t>驻点人员要求：在运维期间，</w:t>
      </w:r>
      <w:r>
        <w:rPr>
          <w:rFonts w:hint="eastAsia" w:ascii="宋体" w:hAnsi="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需派驻不少于4人名工程师现场驻点，驻点人员工作地点须在</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指定</w:t>
      </w:r>
      <w:r>
        <w:rPr>
          <w:rFonts w:hint="eastAsia" w:ascii="宋体" w:hAnsi="宋体" w:eastAsia="宋体" w:cs="宋体"/>
          <w:bCs w:val="0"/>
          <w:color w:val="auto"/>
          <w:sz w:val="28"/>
          <w:szCs w:val="28"/>
          <w:highlight w:val="none"/>
          <w:lang w:val="en-US" w:eastAsia="zh-CN"/>
        </w:rPr>
        <w:t>位置</w:t>
      </w:r>
      <w:r>
        <w:rPr>
          <w:rFonts w:hint="eastAsia" w:ascii="宋体" w:hAnsi="宋体" w:eastAsia="宋体" w:cs="宋体"/>
          <w:bCs w:val="0"/>
          <w:color w:val="auto"/>
          <w:sz w:val="28"/>
          <w:szCs w:val="28"/>
          <w:highlight w:val="none"/>
        </w:rPr>
        <w:t>，</w:t>
      </w:r>
      <w:r>
        <w:rPr>
          <w:rFonts w:hint="eastAsia" w:ascii="宋体" w:hAnsi="宋体" w:eastAsia="宋体" w:cs="宋体"/>
          <w:bCs w:val="0"/>
          <w:color w:val="auto"/>
          <w:sz w:val="28"/>
          <w:szCs w:val="28"/>
          <w:highlight w:val="none"/>
          <w:u w:val="none"/>
        </w:rPr>
        <w:t>应具备现场解决技术问题的能力，能够积极配合</w:t>
      </w:r>
      <w:r>
        <w:rPr>
          <w:rFonts w:hint="eastAsia" w:ascii="宋体" w:hAnsi="宋体" w:eastAsia="宋体" w:cs="宋体"/>
          <w:bCs w:val="0"/>
          <w:color w:val="auto"/>
          <w:sz w:val="28"/>
          <w:szCs w:val="28"/>
          <w:highlight w:val="none"/>
          <w:u w:val="none"/>
          <w:lang w:eastAsia="zh-CN"/>
        </w:rPr>
        <w:t>甲方</w:t>
      </w:r>
      <w:r>
        <w:rPr>
          <w:rFonts w:hint="eastAsia" w:ascii="宋体" w:hAnsi="宋体" w:eastAsia="宋体" w:cs="宋体"/>
          <w:bCs w:val="0"/>
          <w:color w:val="auto"/>
          <w:sz w:val="28"/>
          <w:szCs w:val="28"/>
          <w:highlight w:val="none"/>
          <w:u w:val="none"/>
        </w:rPr>
        <w:t>开展相关服务工作，主动发现并及时反馈平台运行中的功能异常与潜在问题，以扎实的技术水平保障问题得到高效处置。</w:t>
      </w:r>
    </w:p>
    <w:p w14:paraId="0F0EE314">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val="en-US" w:eastAsia="zh-CN"/>
        </w:rPr>
        <w:t>1.8.</w:t>
      </w:r>
      <w:r>
        <w:rPr>
          <w:rFonts w:hint="eastAsia" w:ascii="宋体" w:hAnsi="宋体" w:eastAsia="宋体" w:cs="宋体"/>
          <w:bCs w:val="0"/>
          <w:color w:val="auto"/>
          <w:sz w:val="28"/>
          <w:szCs w:val="28"/>
          <w:highlight w:val="none"/>
        </w:rPr>
        <w:t>5.1驻场团队必须自觉遵守</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的各项规章制度，必须维护</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声誉和形象，严格遵守网络安全、信息安全的相关要求。</w:t>
      </w:r>
    </w:p>
    <w:p w14:paraId="51E7420D">
      <w:pPr>
        <w:spacing w:line="600" w:lineRule="exact"/>
        <w:ind w:firstLine="560"/>
        <w:rPr>
          <w:rFonts w:hint="eastAsia" w:ascii="宋体" w:hAnsi="宋体" w:eastAsia="宋体" w:cs="宋体"/>
          <w:bCs w:val="0"/>
          <w:color w:val="auto"/>
          <w:sz w:val="28"/>
          <w:szCs w:val="28"/>
          <w:highlight w:val="none"/>
          <w:lang w:eastAsia="zh-CN"/>
        </w:rPr>
      </w:pPr>
      <w:r>
        <w:rPr>
          <w:rFonts w:hint="eastAsia" w:ascii="宋体" w:hAnsi="宋体" w:eastAsia="宋体" w:cs="宋体"/>
          <w:bCs w:val="0"/>
          <w:color w:val="auto"/>
          <w:sz w:val="28"/>
          <w:szCs w:val="28"/>
          <w:highlight w:val="none"/>
          <w:lang w:val="en-US" w:eastAsia="zh-CN"/>
        </w:rPr>
        <w:t>1.8.</w:t>
      </w:r>
      <w:r>
        <w:rPr>
          <w:rFonts w:hint="eastAsia" w:ascii="宋体" w:hAnsi="宋体" w:eastAsia="宋体" w:cs="宋体"/>
          <w:bCs w:val="0"/>
          <w:color w:val="auto"/>
          <w:sz w:val="28"/>
          <w:szCs w:val="28"/>
          <w:highlight w:val="none"/>
        </w:rPr>
        <w:t>5.2现场派驻人员应明确各工作岗位的设定与责任边界，项目现场管理负责人及其他驻场人员的选取须经</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同意，不得随意减配人员数量或降低人员素质要求。所有人员（含项目负责人、技术负责人及其他技术人员）的更换，必须将调离人员及其工作影响、替换人员资历等情况以书面材料报</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审核，经</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同意后方可更换。因</w:t>
      </w:r>
      <w:r>
        <w:rPr>
          <w:rFonts w:hint="eastAsia" w:ascii="宋体" w:hAnsi="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人员变更所造成的任何项目质量或进度滞后等后果，由</w:t>
      </w:r>
      <w:r>
        <w:rPr>
          <w:rFonts w:hint="eastAsia" w:ascii="宋体" w:hAnsi="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承担一切责任。</w:t>
      </w:r>
    </w:p>
    <w:p w14:paraId="2458E22A">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val="en-US" w:eastAsia="zh-CN"/>
        </w:rPr>
        <w:t>1.8.</w:t>
      </w:r>
      <w:r>
        <w:rPr>
          <w:rFonts w:hint="eastAsia" w:ascii="宋体" w:hAnsi="宋体" w:eastAsia="宋体" w:cs="宋体"/>
          <w:bCs w:val="0"/>
          <w:color w:val="auto"/>
          <w:sz w:val="28"/>
          <w:szCs w:val="28"/>
          <w:highlight w:val="none"/>
        </w:rPr>
        <w:t>5.3驻场团队必须明确工作职责，端正工作态度，认真开展工作，不得利用</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的系统平台、业务关系等从事与</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业务无关工作。</w:t>
      </w:r>
    </w:p>
    <w:p w14:paraId="6B33A04B">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val="en-US" w:eastAsia="zh-CN"/>
        </w:rPr>
        <w:t>1.8.</w:t>
      </w:r>
      <w:r>
        <w:rPr>
          <w:rFonts w:hint="eastAsia" w:ascii="宋体" w:hAnsi="宋体" w:eastAsia="宋体" w:cs="宋体"/>
          <w:bCs w:val="0"/>
          <w:color w:val="auto"/>
          <w:sz w:val="28"/>
          <w:szCs w:val="28"/>
          <w:highlight w:val="none"/>
        </w:rPr>
        <w:t>5.4派驻现场人员须在</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指定的办公地点开展工作，办公场所设施和办公条件等由</w:t>
      </w:r>
      <w:r>
        <w:rPr>
          <w:rFonts w:hint="eastAsia" w:ascii="宋体" w:hAnsi="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自行负责，作息时间参照</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作息时间，非工作时间提供7*24小时不关机响应服务。节假日应至少安排1名人员现场做好值班值守工作。如出现特殊情况需加班时，</w:t>
      </w:r>
      <w:r>
        <w:rPr>
          <w:rFonts w:hint="eastAsia" w:ascii="宋体" w:hAnsi="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必须按照采购方要求安排人员加班，现场人员力量不足时，</w:t>
      </w:r>
      <w:r>
        <w:rPr>
          <w:rFonts w:hint="eastAsia" w:ascii="宋体" w:hAnsi="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应积极协调后方团队支持，协助</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解决问题。如遇驻场人员无法解决的问题或认为需要，</w:t>
      </w:r>
      <w:r>
        <w:rPr>
          <w:rFonts w:hint="eastAsia" w:ascii="宋体" w:hAnsi="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必须在规定时间内，协调专业技术力量赶到现场提供支持。</w:t>
      </w:r>
      <w:r>
        <w:rPr>
          <w:rFonts w:hint="eastAsia" w:ascii="宋体" w:hAnsi="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不得以任何理由拒绝响应</w:t>
      </w:r>
      <w:r>
        <w:rPr>
          <w:rFonts w:hint="eastAsia" w:ascii="宋体" w:hAnsi="宋体" w:eastAsia="宋体" w:cs="宋体"/>
          <w:bCs w:val="0"/>
          <w:color w:val="auto"/>
          <w:sz w:val="28"/>
          <w:szCs w:val="28"/>
          <w:highlight w:val="none"/>
          <w:lang w:eastAsia="zh-CN"/>
        </w:rPr>
        <w:t>甲方</w:t>
      </w:r>
      <w:r>
        <w:rPr>
          <w:rFonts w:hint="eastAsia" w:ascii="宋体" w:hAnsi="宋体" w:eastAsia="宋体" w:cs="宋体"/>
          <w:bCs w:val="0"/>
          <w:color w:val="auto"/>
          <w:sz w:val="28"/>
          <w:szCs w:val="28"/>
          <w:highlight w:val="none"/>
        </w:rPr>
        <w:t>提出的运维服务要求，不得拖延服务响应时间。</w:t>
      </w:r>
    </w:p>
    <w:p w14:paraId="0905DD04">
      <w:pPr>
        <w:spacing w:line="600" w:lineRule="exact"/>
        <w:ind w:firstLine="562"/>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1.9</w:t>
      </w:r>
      <w:r>
        <w:rPr>
          <w:rFonts w:hint="eastAsia" w:ascii="宋体" w:hAnsi="宋体" w:eastAsia="宋体" w:cs="宋体"/>
          <w:b/>
          <w:bCs/>
          <w:color w:val="auto"/>
          <w:sz w:val="28"/>
          <w:szCs w:val="28"/>
          <w:highlight w:val="none"/>
        </w:rPr>
        <w:t>培训要求</w:t>
      </w:r>
    </w:p>
    <w:p w14:paraId="2AA24C00">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.9.1</w:t>
      </w:r>
      <w:r>
        <w:rPr>
          <w:rFonts w:hint="eastAsia" w:ascii="宋体" w:hAnsi="宋体" w:eastAsia="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提供周全的培训计划、培训目标、培训内容、培训方法和培训师资。</w:t>
      </w:r>
    </w:p>
    <w:p w14:paraId="334AF777">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.9.2</w:t>
      </w:r>
      <w:r>
        <w:rPr>
          <w:rFonts w:hint="eastAsia" w:ascii="宋体" w:hAnsi="宋体" w:eastAsia="宋体" w:cs="宋体"/>
          <w:bCs w:val="0"/>
          <w:color w:val="auto"/>
          <w:sz w:val="28"/>
          <w:szCs w:val="28"/>
          <w:highlight w:val="none"/>
        </w:rPr>
        <w:t>培训方式采取线上+线下，确保采购单位对系统操作的熟悉性，能够全面熟练掌握软件运行、检查、维护等工作，确保日常工作的顺利完成。</w:t>
      </w:r>
    </w:p>
    <w:p w14:paraId="0E7B6A56">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.9.3</w:t>
      </w:r>
      <w:r>
        <w:rPr>
          <w:rFonts w:hint="eastAsia" w:ascii="宋体" w:hAnsi="宋体" w:eastAsia="宋体" w:cs="宋体"/>
          <w:bCs w:val="0"/>
          <w:color w:val="auto"/>
          <w:sz w:val="28"/>
          <w:szCs w:val="28"/>
          <w:highlight w:val="none"/>
        </w:rPr>
        <w:t>培训人员1人，且需具有相关专业资格和实际工作经验、参加过本项目开发的专家或技术人员。</w:t>
      </w:r>
    </w:p>
    <w:p w14:paraId="0E75A197">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.9.4</w:t>
      </w:r>
      <w:r>
        <w:rPr>
          <w:rFonts w:hint="eastAsia" w:ascii="宋体" w:hAnsi="宋体" w:cs="宋体"/>
          <w:bCs w:val="0"/>
          <w:color w:val="auto"/>
          <w:sz w:val="28"/>
          <w:szCs w:val="28"/>
          <w:highlight w:val="none"/>
          <w:lang w:eastAsia="zh-CN"/>
        </w:rPr>
        <w:t>乙方</w:t>
      </w:r>
      <w:r>
        <w:rPr>
          <w:rFonts w:hint="eastAsia" w:ascii="宋体" w:hAnsi="宋体" w:eastAsia="宋体" w:cs="宋体"/>
          <w:bCs w:val="0"/>
          <w:color w:val="auto"/>
          <w:sz w:val="28"/>
          <w:szCs w:val="28"/>
          <w:highlight w:val="none"/>
        </w:rPr>
        <w:t>应向接受培训人员提供技术资料、图纸、参考文献材料等。</w:t>
      </w:r>
    </w:p>
    <w:p w14:paraId="5D1816ED">
      <w:pPr>
        <w:spacing w:line="600" w:lineRule="exact"/>
        <w:ind w:firstLine="560"/>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lang w:eastAsia="zh-CN"/>
        </w:rPr>
        <w:t>1</w:t>
      </w:r>
      <w:r>
        <w:rPr>
          <w:rFonts w:hint="eastAsia" w:ascii="宋体" w:hAnsi="宋体" w:eastAsia="宋体" w:cs="宋体"/>
          <w:bCs w:val="0"/>
          <w:color w:val="auto"/>
          <w:sz w:val="28"/>
          <w:szCs w:val="28"/>
          <w:highlight w:val="none"/>
          <w:lang w:val="en-US" w:eastAsia="zh-CN"/>
        </w:rPr>
        <w:t>.9.5</w:t>
      </w:r>
      <w:r>
        <w:rPr>
          <w:rFonts w:hint="eastAsia" w:ascii="宋体" w:hAnsi="宋体" w:eastAsia="宋体" w:cs="宋体"/>
          <w:bCs w:val="0"/>
          <w:color w:val="auto"/>
          <w:sz w:val="28"/>
          <w:szCs w:val="28"/>
          <w:highlight w:val="none"/>
        </w:rPr>
        <w:t>所有培训所涉及的所有费用包含在本次报价中，不得另行向采购单位收取。</w:t>
      </w:r>
    </w:p>
    <w:p w14:paraId="5D8F8F56">
      <w:pPr>
        <w:spacing w:line="600" w:lineRule="exact"/>
        <w:ind w:firstLine="562"/>
        <w:rPr>
          <w:rFonts w:hint="eastAsia" w:ascii="宋体" w:hAnsi="宋体" w:cs="宋体"/>
          <w:color w:val="auto"/>
          <w:sz w:val="28"/>
          <w:szCs w:val="28"/>
          <w:highlight w:val="none"/>
        </w:rPr>
      </w:pPr>
      <w:r>
        <w:rPr>
          <w:rFonts w:hint="eastAsia" w:ascii="宋体" w:hAnsi="宋体" w:cs="宋体"/>
          <w:b/>
          <w:bCs/>
          <w:color w:val="auto"/>
          <w:sz w:val="28"/>
          <w:szCs w:val="28"/>
          <w:highlight w:val="none"/>
        </w:rPr>
        <w:t>1.</w:t>
      </w:r>
      <w:r>
        <w:rPr>
          <w:rFonts w:hint="eastAsia" w:ascii="宋体" w:hAnsi="宋体" w:cs="宋体"/>
          <w:b/>
          <w:bCs/>
          <w:color w:val="auto"/>
          <w:sz w:val="28"/>
          <w:szCs w:val="28"/>
          <w:highlight w:val="none"/>
          <w:lang w:val="en-US" w:eastAsia="zh-CN"/>
        </w:rPr>
        <w:t>10</w:t>
      </w:r>
      <w:r>
        <w:rPr>
          <w:rFonts w:hint="eastAsia" w:ascii="宋体" w:hAnsi="宋体" w:cs="宋体"/>
          <w:b/>
          <w:bCs/>
          <w:color w:val="auto"/>
          <w:sz w:val="28"/>
          <w:szCs w:val="28"/>
          <w:highlight w:val="none"/>
        </w:rPr>
        <w:t>合同争议的解决</w:t>
      </w:r>
      <w:r>
        <w:rPr>
          <w:rFonts w:hint="eastAsia" w:ascii="宋体" w:hAnsi="宋体" w:cs="宋体"/>
          <w:color w:val="auto"/>
          <w:sz w:val="28"/>
          <w:szCs w:val="28"/>
          <w:highlight w:val="none"/>
        </w:rPr>
        <w:t xml:space="preserve"> </w:t>
      </w:r>
    </w:p>
    <w:p w14:paraId="5265F279">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本合同履行过程中发生的任何争议，双方当事人均可通过和解或者调解解决；不愿和解、调解或者和解、调解不成的，可以选择下列第 种方式解决：</w:t>
      </w:r>
    </w:p>
    <w:p w14:paraId="6FEA8115">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.1 将争议提交仲裁委员会依申请仲裁时其现行有效的仲裁规则裁决；</w:t>
      </w:r>
    </w:p>
    <w:p w14:paraId="3361BC3A">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en-US" w:eastAsia="zh-CN"/>
        </w:rPr>
        <w:t>10</w:t>
      </w:r>
      <w:r>
        <w:rPr>
          <w:rFonts w:hint="eastAsia" w:ascii="宋体" w:hAnsi="宋体" w:cs="宋体"/>
          <w:color w:val="auto"/>
          <w:sz w:val="28"/>
          <w:szCs w:val="28"/>
          <w:highlight w:val="none"/>
        </w:rPr>
        <w:t>.2 向</w:t>
      </w:r>
      <w:r>
        <w:rPr>
          <w:rFonts w:hint="eastAsia" w:ascii="宋体" w:hAnsi="宋体" w:cs="宋体"/>
          <w:color w:val="auto"/>
          <w:sz w:val="28"/>
          <w:szCs w:val="28"/>
          <w:highlight w:val="none"/>
          <w:u w:val="single"/>
        </w:rPr>
        <w:t>宿迁市</w:t>
      </w:r>
      <w:r>
        <w:rPr>
          <w:rFonts w:hint="eastAsia" w:ascii="宋体" w:hAnsi="宋体" w:cs="宋体"/>
          <w:color w:val="auto"/>
          <w:sz w:val="28"/>
          <w:szCs w:val="28"/>
          <w:highlight w:val="none"/>
        </w:rPr>
        <w:t>人民法院起诉。</w:t>
      </w:r>
    </w:p>
    <w:p w14:paraId="297E3A21">
      <w:pPr>
        <w:spacing w:line="600" w:lineRule="exact"/>
        <w:ind w:firstLine="562"/>
        <w:rPr>
          <w:rFonts w:hint="eastAsia" w:ascii="宋体" w:hAnsi="宋体" w:cs="宋体"/>
          <w:b/>
          <w:color w:val="auto"/>
          <w:sz w:val="28"/>
          <w:szCs w:val="28"/>
          <w:highlight w:val="none"/>
          <w:lang w:bidi="zh-CN"/>
        </w:rPr>
      </w:pPr>
      <w:r>
        <w:rPr>
          <w:rFonts w:hint="eastAsia" w:ascii="宋体" w:hAnsi="宋体" w:cs="宋体"/>
          <w:b/>
          <w:color w:val="auto"/>
          <w:sz w:val="28"/>
          <w:szCs w:val="28"/>
          <w:highlight w:val="none"/>
          <w:lang w:bidi="zh-CN"/>
        </w:rPr>
        <w:t>1.</w:t>
      </w:r>
      <w:r>
        <w:rPr>
          <w:rFonts w:hint="eastAsia" w:ascii="宋体" w:hAnsi="宋体" w:cs="宋体"/>
          <w:b/>
          <w:color w:val="auto"/>
          <w:sz w:val="28"/>
          <w:szCs w:val="28"/>
          <w:highlight w:val="none"/>
          <w:lang w:val="en-US" w:bidi="zh-CN"/>
        </w:rPr>
        <w:t>11</w:t>
      </w:r>
      <w:r>
        <w:rPr>
          <w:rFonts w:hint="eastAsia" w:ascii="宋体" w:hAnsi="宋体" w:cs="宋体"/>
          <w:b/>
          <w:color w:val="auto"/>
          <w:sz w:val="28"/>
          <w:szCs w:val="28"/>
          <w:highlight w:val="none"/>
          <w:lang w:bidi="zh-CN"/>
        </w:rPr>
        <w:t>通知、法律文书送达地址</w:t>
      </w:r>
    </w:p>
    <w:p w14:paraId="2CB39CB2">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甲乙双方保证在本合同下提交的住所地址、通讯地址及其他登记文件等的合法有效性作为通知及法律文书（含诉讼文书、传票等）送达地址、联系方式；如有变更，应立即书面通知对方。否则，如因提交的资料不实或相关资料变更未及时通知导致对方通知送达不到的后果，其风险责任自行承担。一方按本协议确定的另一方通讯地址寄出的函件在寄出后五天即视为送达对方。</w:t>
      </w:r>
    </w:p>
    <w:p w14:paraId="4D1EE823">
      <w:pPr>
        <w:spacing w:line="600" w:lineRule="exact"/>
        <w:ind w:firstLine="560"/>
        <w:rPr>
          <w:rFonts w:hint="eastAsia" w:ascii="宋体" w:hAnsi="宋体" w:eastAsia="宋体" w:cs="宋体"/>
          <w:b/>
          <w:color w:val="auto"/>
          <w:sz w:val="28"/>
          <w:szCs w:val="28"/>
          <w:highlight w:val="none"/>
          <w:lang w:bidi="zh-CN"/>
        </w:rPr>
      </w:pPr>
      <w:r>
        <w:rPr>
          <w:rFonts w:hint="eastAsia" w:ascii="宋体" w:hAnsi="宋体" w:eastAsia="宋体" w:cs="宋体"/>
          <w:b/>
          <w:color w:val="auto"/>
          <w:sz w:val="28"/>
          <w:szCs w:val="28"/>
          <w:highlight w:val="none"/>
          <w:lang w:bidi="zh-CN"/>
        </w:rPr>
        <w:t>1.</w:t>
      </w:r>
      <w:r>
        <w:rPr>
          <w:rFonts w:hint="eastAsia" w:ascii="宋体" w:hAnsi="宋体" w:eastAsia="宋体" w:cs="宋体"/>
          <w:b/>
          <w:color w:val="auto"/>
          <w:sz w:val="28"/>
          <w:szCs w:val="28"/>
          <w:highlight w:val="none"/>
          <w:lang w:val="en-US" w:bidi="zh-CN"/>
        </w:rPr>
        <w:t>12</w:t>
      </w:r>
      <w:r>
        <w:rPr>
          <w:rFonts w:hint="eastAsia" w:ascii="宋体" w:hAnsi="宋体" w:eastAsia="宋体" w:cs="宋体"/>
          <w:b/>
          <w:color w:val="auto"/>
          <w:sz w:val="28"/>
          <w:szCs w:val="28"/>
          <w:highlight w:val="none"/>
          <w:lang w:bidi="zh-CN"/>
        </w:rPr>
        <w:t>其他事宜</w:t>
      </w:r>
    </w:p>
    <w:p w14:paraId="3A997353">
      <w:pPr>
        <w:spacing w:line="600" w:lineRule="exact"/>
        <w:ind w:firstLine="560"/>
        <w:jc w:val="left"/>
        <w:rPr>
          <w:rFonts w:hint="eastAsia" w:ascii="宋体" w:hAnsi="宋体" w:eastAsia="宋体" w:cs="宋体"/>
          <w:b w:val="0"/>
          <w:bCs/>
          <w:color w:val="auto"/>
          <w:sz w:val="28"/>
          <w:szCs w:val="28"/>
          <w:highlight w:val="none"/>
          <w:lang w:bidi="zh-CN"/>
        </w:rPr>
      </w:pPr>
      <w:r>
        <w:rPr>
          <w:rFonts w:hint="eastAsia" w:ascii="宋体" w:hAnsi="宋体" w:eastAsia="宋体" w:cs="宋体"/>
          <w:b w:val="0"/>
          <w:bCs/>
          <w:color w:val="auto"/>
          <w:sz w:val="28"/>
          <w:szCs w:val="28"/>
          <w:highlight w:val="none"/>
          <w:lang w:val="en-US" w:bidi="zh-CN"/>
        </w:rPr>
        <w:t>1.12.1</w:t>
      </w:r>
      <w:r>
        <w:rPr>
          <w:rFonts w:hint="eastAsia" w:ascii="宋体" w:hAnsi="宋体" w:eastAsia="宋体" w:cs="宋体"/>
          <w:b w:val="0"/>
          <w:bCs/>
          <w:color w:val="auto"/>
          <w:sz w:val="28"/>
          <w:szCs w:val="28"/>
          <w:highlight w:val="none"/>
          <w:lang w:bidi="zh-CN"/>
        </w:rPr>
        <w:t>本合同经双方法定代表人或授权代表人签字并加盖公章之日起生效。</w:t>
      </w:r>
    </w:p>
    <w:p w14:paraId="020EF682">
      <w:pPr>
        <w:spacing w:line="600" w:lineRule="exact"/>
        <w:ind w:firstLine="560"/>
        <w:jc w:val="left"/>
        <w:rPr>
          <w:rFonts w:hint="eastAsia" w:ascii="宋体" w:hAnsi="宋体" w:eastAsia="宋体" w:cs="宋体"/>
          <w:b w:val="0"/>
          <w:bCs/>
          <w:color w:val="auto"/>
          <w:sz w:val="28"/>
          <w:szCs w:val="28"/>
          <w:highlight w:val="none"/>
          <w:lang w:bidi="zh-CN"/>
        </w:rPr>
      </w:pPr>
      <w:r>
        <w:rPr>
          <w:rFonts w:hint="eastAsia" w:ascii="宋体" w:hAnsi="宋体" w:eastAsia="宋体" w:cs="宋体"/>
          <w:b w:val="0"/>
          <w:bCs/>
          <w:color w:val="auto"/>
          <w:sz w:val="28"/>
          <w:szCs w:val="28"/>
          <w:highlight w:val="none"/>
          <w:lang w:val="en-US" w:bidi="zh-CN"/>
        </w:rPr>
        <w:t>1.12.2</w:t>
      </w:r>
      <w:r>
        <w:rPr>
          <w:rFonts w:hint="eastAsia" w:ascii="宋体" w:hAnsi="宋体" w:eastAsia="宋体" w:cs="宋体"/>
          <w:b w:val="0"/>
          <w:bCs/>
          <w:color w:val="auto"/>
          <w:sz w:val="28"/>
          <w:szCs w:val="28"/>
          <w:highlight w:val="none"/>
          <w:lang w:bidi="zh-CN"/>
        </w:rPr>
        <w:t>本合同一式</w:t>
      </w:r>
      <w:r>
        <w:rPr>
          <w:rFonts w:hint="eastAsia" w:ascii="宋体" w:hAnsi="宋体" w:eastAsia="宋体" w:cs="宋体"/>
          <w:b w:val="0"/>
          <w:bCs/>
          <w:color w:val="auto"/>
          <w:sz w:val="28"/>
          <w:szCs w:val="28"/>
          <w:highlight w:val="none"/>
          <w:u w:val="none"/>
          <w:lang w:bidi="zh-CN"/>
        </w:rPr>
        <w:t xml:space="preserve"> 肆 </w:t>
      </w:r>
      <w:r>
        <w:rPr>
          <w:rFonts w:hint="eastAsia" w:ascii="宋体" w:hAnsi="宋体" w:eastAsia="宋体" w:cs="宋体"/>
          <w:b w:val="0"/>
          <w:bCs/>
          <w:color w:val="auto"/>
          <w:sz w:val="28"/>
          <w:szCs w:val="28"/>
          <w:highlight w:val="none"/>
          <w:lang w:bidi="zh-CN"/>
        </w:rPr>
        <w:t>份，甲乙双方各执</w:t>
      </w:r>
      <w:r>
        <w:rPr>
          <w:rFonts w:hint="eastAsia" w:ascii="宋体" w:hAnsi="宋体" w:eastAsia="宋体" w:cs="宋体"/>
          <w:b w:val="0"/>
          <w:bCs/>
          <w:color w:val="auto"/>
          <w:sz w:val="28"/>
          <w:szCs w:val="28"/>
          <w:highlight w:val="none"/>
          <w:u w:val="none"/>
          <w:lang w:bidi="zh-CN"/>
        </w:rPr>
        <w:t>壹</w:t>
      </w:r>
      <w:r>
        <w:rPr>
          <w:rFonts w:hint="eastAsia" w:ascii="宋体" w:hAnsi="宋体" w:eastAsia="宋体" w:cs="宋体"/>
          <w:b w:val="0"/>
          <w:bCs/>
          <w:color w:val="auto"/>
          <w:sz w:val="28"/>
          <w:szCs w:val="28"/>
          <w:highlight w:val="none"/>
          <w:lang w:bidi="zh-CN"/>
        </w:rPr>
        <w:t>份，备案</w:t>
      </w:r>
      <w:r>
        <w:rPr>
          <w:rFonts w:hint="eastAsia" w:ascii="宋体" w:hAnsi="宋体" w:eastAsia="宋体" w:cs="宋体"/>
          <w:b w:val="0"/>
          <w:bCs/>
          <w:color w:val="auto"/>
          <w:sz w:val="28"/>
          <w:szCs w:val="28"/>
          <w:highlight w:val="none"/>
          <w:u w:val="none"/>
          <w:lang w:bidi="zh-CN"/>
        </w:rPr>
        <w:t xml:space="preserve"> 贰 </w:t>
      </w:r>
      <w:r>
        <w:rPr>
          <w:rFonts w:hint="eastAsia" w:ascii="宋体" w:hAnsi="宋体" w:eastAsia="宋体" w:cs="宋体"/>
          <w:b w:val="0"/>
          <w:bCs/>
          <w:color w:val="auto"/>
          <w:sz w:val="28"/>
          <w:szCs w:val="28"/>
          <w:highlight w:val="none"/>
          <w:lang w:bidi="zh-CN"/>
        </w:rPr>
        <w:t>份，合同及相关附件具有同等法律效力；</w:t>
      </w:r>
    </w:p>
    <w:p w14:paraId="1E55AB66">
      <w:pPr>
        <w:spacing w:line="600" w:lineRule="exact"/>
        <w:ind w:firstLine="560"/>
        <w:rPr>
          <w:rFonts w:hint="eastAsia" w:ascii="宋体" w:hAnsi="宋体" w:eastAsia="宋体" w:cs="宋体"/>
          <w:b w:val="0"/>
          <w:bCs/>
          <w:color w:val="auto"/>
          <w:sz w:val="28"/>
          <w:szCs w:val="28"/>
          <w:highlight w:val="none"/>
          <w:lang w:bidi="zh-CN"/>
        </w:rPr>
      </w:pPr>
      <w:r>
        <w:rPr>
          <w:rFonts w:hint="eastAsia" w:ascii="宋体" w:hAnsi="宋体" w:eastAsia="宋体" w:cs="宋体"/>
          <w:b w:val="0"/>
          <w:bCs/>
          <w:color w:val="auto"/>
          <w:sz w:val="28"/>
          <w:szCs w:val="28"/>
          <w:highlight w:val="none"/>
          <w:lang w:val="en-US" w:bidi="zh-CN"/>
        </w:rPr>
        <w:t>1.12.3其他未尽事宜由双方协商解决</w:t>
      </w:r>
      <w:r>
        <w:rPr>
          <w:rFonts w:hint="eastAsia" w:ascii="宋体" w:hAnsi="宋体" w:eastAsia="宋体" w:cs="宋体"/>
          <w:b w:val="0"/>
          <w:bCs/>
          <w:color w:val="auto"/>
          <w:sz w:val="28"/>
          <w:szCs w:val="28"/>
          <w:highlight w:val="none"/>
          <w:lang w:bidi="zh-CN"/>
        </w:rPr>
        <w:t>。</w:t>
      </w:r>
    </w:p>
    <w:p w14:paraId="50B3A327">
      <w:pPr>
        <w:pStyle w:val="402"/>
        <w:spacing w:line="520" w:lineRule="exact"/>
        <w:ind w:firstLine="840"/>
        <w:rPr>
          <w:rFonts w:hint="eastAsia" w:ascii="宋体" w:hAnsi="宋体" w:cs="宋体"/>
          <w:color w:val="auto"/>
          <w:sz w:val="28"/>
          <w:szCs w:val="28"/>
          <w:highlight w:val="none"/>
        </w:rPr>
      </w:pPr>
      <w:r>
        <w:rPr>
          <w:rFonts w:hint="eastAsia" w:ascii="宋体" w:hAnsi="宋体" w:cs="宋体"/>
          <w:color w:val="auto"/>
          <w:sz w:val="28"/>
          <w:szCs w:val="28"/>
          <w:highlight w:val="none"/>
        </w:rPr>
        <w:t>甲方：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（盖章） </w:t>
      </w:r>
    </w:p>
    <w:p w14:paraId="39B7CD58">
      <w:pPr>
        <w:pStyle w:val="402"/>
        <w:widowControl/>
        <w:spacing w:line="520" w:lineRule="exact"/>
        <w:ind w:firstLine="84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地址：</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548BE242">
      <w:pPr>
        <w:pStyle w:val="402"/>
        <w:widowControl/>
        <w:spacing w:line="520" w:lineRule="exact"/>
        <w:ind w:firstLine="840"/>
        <w:rPr>
          <w:rFonts w:hint="eastAsia" w:ascii="宋体" w:hAnsi="宋体" w:cs="宋体"/>
          <w:color w:val="auto"/>
          <w:sz w:val="28"/>
          <w:szCs w:val="28"/>
          <w:highlight w:val="none"/>
        </w:rPr>
      </w:pPr>
      <w:r>
        <w:rPr>
          <w:rFonts w:hint="eastAsia" w:ascii="宋体" w:hAnsi="宋体" w:cs="宋体"/>
          <w:color w:val="auto"/>
          <w:sz w:val="28"/>
          <w:szCs w:val="28"/>
          <w:highlight w:val="none"/>
        </w:rPr>
        <w:t>法定（授权）代表人：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609FAEE8">
      <w:pPr>
        <w:pStyle w:val="402"/>
        <w:widowControl/>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联系人：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0BD6447B">
      <w:pPr>
        <w:pStyle w:val="402"/>
        <w:widowControl/>
        <w:spacing w:line="520" w:lineRule="exact"/>
        <w:ind w:firstLine="840"/>
        <w:rPr>
          <w:rFonts w:hint="eastAsia" w:ascii="宋体" w:hAnsi="宋体" w:cs="宋体"/>
          <w:color w:val="auto"/>
          <w:sz w:val="28"/>
          <w:szCs w:val="28"/>
          <w:highlight w:val="none"/>
        </w:rPr>
      </w:pPr>
      <w:r>
        <w:rPr>
          <w:rFonts w:hint="eastAsia" w:ascii="宋体" w:hAnsi="宋体" w:cs="宋体"/>
          <w:color w:val="auto"/>
          <w:sz w:val="28"/>
          <w:szCs w:val="28"/>
          <w:highlight w:val="none"/>
        </w:rPr>
        <w:t>联系电话：</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4032312A">
      <w:pPr>
        <w:pStyle w:val="402"/>
        <w:widowControl/>
        <w:spacing w:line="520" w:lineRule="exact"/>
        <w:ind w:firstLine="1083"/>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      </w:t>
      </w:r>
    </w:p>
    <w:p w14:paraId="1706D95B">
      <w:pPr>
        <w:pStyle w:val="402"/>
        <w:spacing w:line="520" w:lineRule="exact"/>
        <w:ind w:firstLine="70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0DB3BA93">
      <w:pPr>
        <w:pStyle w:val="402"/>
        <w:spacing w:line="520" w:lineRule="exact"/>
        <w:ind w:firstLine="700"/>
        <w:rPr>
          <w:rFonts w:hint="eastAsia" w:ascii="宋体" w:hAnsi="宋体" w:cs="宋体"/>
          <w:color w:val="auto"/>
          <w:sz w:val="28"/>
          <w:szCs w:val="28"/>
          <w:highlight w:val="none"/>
        </w:rPr>
      </w:pPr>
      <w:r>
        <w:rPr>
          <w:rFonts w:hint="eastAsia" w:ascii="宋体" w:hAnsi="宋体" w:cs="宋体"/>
          <w:color w:val="auto"/>
          <w:sz w:val="28"/>
          <w:szCs w:val="28"/>
          <w:highlight w:val="none"/>
        </w:rPr>
        <w:t>乙方：</w:t>
      </w:r>
      <w:r>
        <w:rPr>
          <w:rFonts w:hint="eastAsia" w:ascii="宋体" w:hAnsi="宋体" w:cs="宋体"/>
          <w:color w:val="auto"/>
          <w:sz w:val="28"/>
          <w:szCs w:val="28"/>
          <w:highlight w:val="none"/>
          <w:u w:val="single"/>
        </w:rPr>
        <w:t xml:space="preserve">  </w:t>
      </w:r>
      <w:r>
        <w:rPr>
          <w:rFonts w:hint="eastAsia" w:ascii="宋体" w:hAnsi="宋体" w:cs="宋体"/>
          <w:b/>
          <w:bCs/>
          <w:color w:val="auto"/>
          <w:sz w:val="28"/>
          <w:szCs w:val="28"/>
          <w:highlight w:val="none"/>
          <w:u w:val="single"/>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（盖章）</w:t>
      </w:r>
    </w:p>
    <w:p w14:paraId="4DEE8174">
      <w:pPr>
        <w:pStyle w:val="402"/>
        <w:spacing w:line="520" w:lineRule="exact"/>
        <w:ind w:firstLine="70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地址：</w:t>
      </w:r>
      <w:r>
        <w:rPr>
          <w:rFonts w:hint="eastAsia" w:ascii="宋体" w:hAnsi="宋体" w:cs="宋体"/>
          <w:color w:val="auto"/>
          <w:sz w:val="28"/>
          <w:szCs w:val="28"/>
          <w:highlight w:val="none"/>
          <w:u w:val="single"/>
        </w:rPr>
        <w:t xml:space="preserve">                                 </w:t>
      </w:r>
    </w:p>
    <w:p w14:paraId="09387A9F">
      <w:pPr>
        <w:pStyle w:val="402"/>
        <w:spacing w:line="520" w:lineRule="exact"/>
        <w:ind w:firstLine="70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法定（授权）代表人：</w:t>
      </w:r>
      <w:r>
        <w:rPr>
          <w:rFonts w:hint="eastAsia" w:ascii="宋体" w:hAnsi="宋体" w:cs="宋体"/>
          <w:color w:val="auto"/>
          <w:sz w:val="28"/>
          <w:szCs w:val="28"/>
          <w:highlight w:val="none"/>
          <w:u w:val="single"/>
        </w:rPr>
        <w:t xml:space="preserve">            </w:t>
      </w:r>
    </w:p>
    <w:p w14:paraId="4737558D">
      <w:pPr>
        <w:pStyle w:val="402"/>
        <w:spacing w:line="520" w:lineRule="exact"/>
        <w:ind w:firstLine="700"/>
        <w:rPr>
          <w:rFonts w:hint="eastAsia" w:ascii="宋体" w:hAnsi="宋体" w:cs="宋体"/>
          <w:color w:val="auto"/>
          <w:sz w:val="28"/>
          <w:szCs w:val="28"/>
          <w:highlight w:val="none"/>
        </w:rPr>
      </w:pPr>
      <w:r>
        <w:rPr>
          <w:rFonts w:hint="eastAsia" w:ascii="宋体" w:hAnsi="宋体" w:cs="宋体"/>
          <w:color w:val="auto"/>
          <w:sz w:val="28"/>
          <w:szCs w:val="28"/>
          <w:highlight w:val="none"/>
        </w:rPr>
        <w:t>联系人：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p>
    <w:p w14:paraId="772F4C08">
      <w:pPr>
        <w:pStyle w:val="402"/>
        <w:spacing w:line="520" w:lineRule="exact"/>
        <w:ind w:firstLine="70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联系电话：</w:t>
      </w:r>
      <w:r>
        <w:rPr>
          <w:rFonts w:hint="eastAsia" w:ascii="宋体" w:hAnsi="宋体" w:cs="宋体"/>
          <w:color w:val="auto"/>
          <w:sz w:val="28"/>
          <w:szCs w:val="28"/>
          <w:highlight w:val="none"/>
          <w:u w:val="single"/>
        </w:rPr>
        <w:t xml:space="preserve">            </w:t>
      </w:r>
    </w:p>
    <w:p w14:paraId="54793ADB">
      <w:pPr>
        <w:pStyle w:val="402"/>
        <w:widowControl/>
        <w:spacing w:line="520" w:lineRule="exact"/>
        <w:ind w:firstLine="600"/>
        <w:rPr>
          <w:rFonts w:hint="eastAsia" w:ascii="宋体" w:hAnsi="宋体" w:cs="宋体"/>
          <w:color w:val="auto"/>
          <w:sz w:val="24"/>
          <w:szCs w:val="24"/>
          <w:highlight w:val="none"/>
        </w:rPr>
      </w:pP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bookmarkEnd w:id="230"/>
    <w:p w14:paraId="32596196">
      <w:pPr>
        <w:pStyle w:val="402"/>
        <w:spacing w:line="500" w:lineRule="exact"/>
        <w:ind w:firstLine="420"/>
        <w:rPr>
          <w:rFonts w:hint="eastAsia" w:ascii="宋体" w:hAnsi="宋体" w:cs="宋体"/>
          <w:color w:val="auto"/>
          <w:sz w:val="28"/>
          <w:szCs w:val="28"/>
          <w:highlight w:val="none"/>
          <w:lang w:bidi="zh-CN"/>
        </w:rPr>
      </w:pPr>
    </w:p>
    <w:p w14:paraId="0ACFA219">
      <w:pPr>
        <w:spacing w:line="500" w:lineRule="exact"/>
        <w:ind w:firstLine="560"/>
        <w:jc w:val="left"/>
        <w:rPr>
          <w:rFonts w:hint="eastAsia" w:ascii="宋体" w:hAnsi="宋体" w:cs="宋体"/>
          <w:color w:val="auto"/>
          <w:sz w:val="28"/>
          <w:szCs w:val="28"/>
          <w:highlight w:val="none"/>
        </w:rPr>
      </w:pPr>
    </w:p>
    <w:bookmarkEnd w:id="231"/>
    <w:bookmarkEnd w:id="232"/>
    <w:bookmarkEnd w:id="233"/>
    <w:bookmarkEnd w:id="234"/>
    <w:p w14:paraId="7F1CC1C4">
      <w:pPr>
        <w:pStyle w:val="265"/>
        <w:spacing w:line="500" w:lineRule="exact"/>
        <w:ind w:firstLine="560"/>
        <w:jc w:val="center"/>
        <w:rPr>
          <w:rFonts w:hint="eastAsia" w:hAnsi="宋体" w:cs="宋体"/>
          <w:color w:val="auto"/>
          <w:sz w:val="28"/>
          <w:szCs w:val="28"/>
          <w:highlight w:val="none"/>
        </w:rPr>
      </w:pPr>
    </w:p>
    <w:p w14:paraId="03334FE8">
      <w:pPr>
        <w:pStyle w:val="265"/>
        <w:spacing w:line="500" w:lineRule="exact"/>
        <w:ind w:firstLine="560"/>
        <w:jc w:val="center"/>
        <w:rPr>
          <w:rFonts w:hint="eastAsia" w:hAnsi="宋体" w:cs="宋体"/>
          <w:bCs/>
          <w:color w:val="auto"/>
          <w:sz w:val="28"/>
          <w:szCs w:val="28"/>
          <w:highlight w:val="none"/>
        </w:rPr>
      </w:pPr>
    </w:p>
    <w:p w14:paraId="09353EFF">
      <w:pPr>
        <w:spacing w:before="120" w:after="120" w:line="0" w:lineRule="atLeast"/>
        <w:jc w:val="center"/>
        <w:outlineLvl w:val="0"/>
        <w:rPr>
          <w:rFonts w:hint="eastAsia" w:ascii="宋体" w:hAnsi="宋体" w:cs="宋体"/>
          <w:bCs/>
          <w:color w:val="auto"/>
          <w:sz w:val="28"/>
          <w:szCs w:val="28"/>
          <w:highlight w:val="none"/>
        </w:rPr>
      </w:pPr>
      <w:bookmarkStart w:id="237" w:name="_Toc120614281"/>
      <w:bookmarkStart w:id="238" w:name="_Toc49090575"/>
      <w:bookmarkStart w:id="239" w:name="_Toc26554093"/>
      <w:r>
        <w:rPr>
          <w:rFonts w:hint="eastAsia" w:ascii="宋体" w:hAnsi="宋体" w:cs="宋体"/>
          <w:bCs/>
          <w:color w:val="auto"/>
          <w:sz w:val="28"/>
          <w:szCs w:val="28"/>
          <w:highlight w:val="none"/>
        </w:rPr>
        <w:br w:type="page" w:clear="all"/>
      </w:r>
      <w:bookmarkStart w:id="240" w:name="_Toc21150"/>
      <w:bookmarkStart w:id="241" w:name="_Toc23013"/>
      <w:bookmarkStart w:id="242" w:name="_Toc3900"/>
      <w:bookmarkStart w:id="243" w:name="_Toc12753"/>
      <w:bookmarkStart w:id="244" w:name="_Toc23338"/>
      <w:r>
        <w:rPr>
          <w:rFonts w:hint="eastAsia" w:ascii="宋体" w:hAnsi="宋体" w:cs="宋体"/>
          <w:b/>
          <w:bCs/>
          <w:color w:val="auto"/>
          <w:sz w:val="36"/>
          <w:szCs w:val="36"/>
          <w:highlight w:val="none"/>
        </w:rPr>
        <w:t>第四章  采购需求</w:t>
      </w:r>
      <w:bookmarkEnd w:id="240"/>
      <w:bookmarkEnd w:id="241"/>
      <w:bookmarkEnd w:id="242"/>
      <w:bookmarkEnd w:id="243"/>
      <w:bookmarkEnd w:id="244"/>
    </w:p>
    <w:p w14:paraId="30F63FF7">
      <w:pPr>
        <w:spacing w:line="0" w:lineRule="atLeast"/>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采购标的清单</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3766"/>
        <w:gridCol w:w="3763"/>
      </w:tblGrid>
      <w:tr w14:paraId="1D5B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948" w:type="dxa"/>
            <w:noWrap w:val="0"/>
            <w:vAlign w:val="center"/>
          </w:tcPr>
          <w:p w14:paraId="70608914">
            <w:pPr>
              <w:spacing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3766" w:type="dxa"/>
            <w:noWrap w:val="0"/>
            <w:vAlign w:val="center"/>
          </w:tcPr>
          <w:p w14:paraId="7C19EA64">
            <w:pPr>
              <w:spacing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采购标的</w:t>
            </w:r>
          </w:p>
        </w:tc>
        <w:tc>
          <w:tcPr>
            <w:tcW w:w="3763" w:type="dxa"/>
            <w:noWrap w:val="0"/>
            <w:vAlign w:val="center"/>
          </w:tcPr>
          <w:p w14:paraId="63C706D5">
            <w:pPr>
              <w:spacing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对应中小企业划分标准所属行业</w:t>
            </w:r>
          </w:p>
        </w:tc>
      </w:tr>
      <w:tr w14:paraId="1E2E1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948" w:type="dxa"/>
            <w:noWrap w:val="0"/>
            <w:vAlign w:val="center"/>
          </w:tcPr>
          <w:p w14:paraId="7E201AC5">
            <w:pPr>
              <w:spacing w:line="0" w:lineRule="atLeas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3766" w:type="dxa"/>
            <w:noWrap w:val="0"/>
            <w:vAlign w:val="center"/>
          </w:tcPr>
          <w:p w14:paraId="1A234CCE">
            <w:pPr>
              <w:spacing w:line="5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宿迁市“苏政源”数字资源底座落地实施项目</w:t>
            </w:r>
          </w:p>
        </w:tc>
        <w:tc>
          <w:tcPr>
            <w:tcW w:w="3763" w:type="dxa"/>
            <w:noWrap w:val="0"/>
            <w:vAlign w:val="center"/>
          </w:tcPr>
          <w:p w14:paraId="46544407">
            <w:pPr>
              <w:spacing w:line="5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软件和信息技术服务业</w:t>
            </w:r>
          </w:p>
        </w:tc>
      </w:tr>
    </w:tbl>
    <w:p w14:paraId="01A64E95">
      <w:pPr>
        <w:spacing w:line="500" w:lineRule="exact"/>
        <w:ind w:firstLine="482"/>
        <w:outlineLvl w:val="2"/>
        <w:rPr>
          <w:rFonts w:hint="eastAsia" w:ascii="宋体" w:hAnsi="宋体" w:cs="宋体"/>
          <w:b/>
          <w:color w:val="auto"/>
          <w:sz w:val="24"/>
          <w:szCs w:val="24"/>
          <w:highlight w:val="none"/>
        </w:rPr>
      </w:pPr>
      <w:bookmarkStart w:id="245" w:name="_Toc24368"/>
      <w:bookmarkStart w:id="246" w:name="_Toc28028"/>
      <w:r>
        <w:rPr>
          <w:rFonts w:hint="eastAsia" w:ascii="宋体" w:hAnsi="宋体" w:cs="宋体"/>
          <w:b/>
          <w:color w:val="auto"/>
          <w:sz w:val="24"/>
          <w:szCs w:val="24"/>
          <w:highlight w:val="none"/>
        </w:rPr>
        <w:t>一、项目概述</w:t>
      </w:r>
      <w:bookmarkEnd w:id="245"/>
      <w:bookmarkEnd w:id="246"/>
    </w:p>
    <w:p w14:paraId="4D921886">
      <w:pPr>
        <w:spacing w:line="500" w:lineRule="exact"/>
        <w:ind w:firstLine="480"/>
        <w:rPr>
          <w:rFonts w:hint="default" w:ascii="宋体" w:hAnsi="宋体" w:cs="宋体"/>
          <w:color w:val="auto"/>
          <w:sz w:val="24"/>
          <w:szCs w:val="24"/>
          <w:highlight w:val="none"/>
        </w:rPr>
      </w:pPr>
      <w:r>
        <w:rPr>
          <w:rFonts w:hint="default" w:ascii="宋体" w:hAnsi="宋体" w:cs="宋体"/>
          <w:color w:val="auto"/>
          <w:sz w:val="24"/>
          <w:szCs w:val="24"/>
          <w:highlight w:val="none"/>
          <w:lang w:val="en-US" w:eastAsia="zh-CN"/>
        </w:rPr>
        <w:t>严格落实</w:t>
      </w:r>
      <w:r>
        <w:rPr>
          <w:rFonts w:ascii="宋体" w:hAnsi="宋体" w:eastAsia="宋体" w:cs="宋体"/>
          <w:color w:val="auto"/>
          <w:sz w:val="24"/>
          <w:szCs w:val="24"/>
          <w:highlight w:val="none"/>
        </w:rPr>
        <w:t>“苏政源”</w:t>
      </w:r>
      <w:r>
        <w:rPr>
          <w:rFonts w:hint="default" w:ascii="宋体" w:hAnsi="宋体" w:eastAsia="宋体" w:cs="宋体"/>
          <w:color w:val="auto"/>
          <w:sz w:val="24"/>
          <w:szCs w:val="24"/>
          <w:highlight w:val="none"/>
        </w:rPr>
        <w:t>省</w:t>
      </w:r>
      <w:r>
        <w:rPr>
          <w:rFonts w:hint="default" w:ascii="宋体" w:hAnsi="宋体" w:cs="宋体"/>
          <w:color w:val="auto"/>
          <w:sz w:val="24"/>
          <w:szCs w:val="24"/>
          <w:highlight w:val="none"/>
          <w:lang w:val="en-US" w:eastAsia="zh-CN"/>
        </w:rPr>
        <w:t>市协同建设有关部署</w:t>
      </w:r>
      <w:r>
        <w:rPr>
          <w:rFonts w:hint="default" w:ascii="宋体" w:hAnsi="宋体" w:eastAsia="宋体" w:cs="宋体"/>
          <w:color w:val="auto"/>
          <w:sz w:val="24"/>
          <w:szCs w:val="24"/>
          <w:highlight w:val="none"/>
        </w:rPr>
        <w:t>，</w:t>
      </w:r>
      <w:r>
        <w:rPr>
          <w:rFonts w:hint="default" w:ascii="宋体" w:hAnsi="宋体" w:cs="宋体"/>
          <w:color w:val="auto"/>
          <w:sz w:val="24"/>
          <w:szCs w:val="24"/>
          <w:highlight w:val="none"/>
          <w:lang w:val="en-US" w:eastAsia="zh-CN"/>
        </w:rPr>
        <w:t>依托政务云资源，按照国产化有关要求，实施公共数据平台</w:t>
      </w:r>
      <w:r>
        <w:rPr>
          <w:rFonts w:hint="default" w:ascii="宋体" w:hAnsi="宋体" w:cs="宋体"/>
          <w:color w:val="auto"/>
          <w:sz w:val="24"/>
          <w:szCs w:val="24"/>
          <w:highlight w:val="none"/>
        </w:rPr>
        <w:t>、</w:t>
      </w:r>
      <w:r>
        <w:rPr>
          <w:rFonts w:hint="default" w:ascii="宋体" w:hAnsi="宋体" w:cs="宋体"/>
          <w:color w:val="auto"/>
          <w:sz w:val="24"/>
          <w:szCs w:val="24"/>
          <w:highlight w:val="none"/>
          <w:lang w:eastAsia="zh-CN"/>
        </w:rPr>
        <w:t>“</w:t>
      </w:r>
      <w:r>
        <w:rPr>
          <w:rFonts w:hint="default" w:ascii="宋体" w:hAnsi="宋体" w:cs="宋体"/>
          <w:color w:val="auto"/>
          <w:sz w:val="24"/>
          <w:szCs w:val="24"/>
          <w:highlight w:val="none"/>
          <w:lang w:val="en-US" w:eastAsia="zh-CN"/>
        </w:rPr>
        <w:t>一本账</w:t>
      </w:r>
      <w:r>
        <w:rPr>
          <w:rFonts w:hint="default" w:ascii="宋体" w:hAnsi="宋体" w:cs="宋体"/>
          <w:color w:val="auto"/>
          <w:sz w:val="24"/>
          <w:szCs w:val="24"/>
          <w:highlight w:val="none"/>
          <w:lang w:eastAsia="zh-CN"/>
        </w:rPr>
        <w:t>”</w:t>
      </w:r>
      <w:r>
        <w:rPr>
          <w:rFonts w:hint="default" w:ascii="宋体" w:hAnsi="宋体" w:cs="宋体"/>
          <w:color w:val="auto"/>
          <w:sz w:val="24"/>
          <w:szCs w:val="24"/>
          <w:highlight w:val="none"/>
          <w:lang w:val="en-US" w:eastAsia="zh-CN"/>
        </w:rPr>
        <w:t>管理平台等</w:t>
      </w:r>
      <w:r>
        <w:rPr>
          <w:rFonts w:ascii="宋体" w:hAnsi="宋体" w:eastAsia="宋体" w:cs="宋体"/>
          <w:color w:val="auto"/>
          <w:sz w:val="24"/>
          <w:szCs w:val="24"/>
          <w:highlight w:val="none"/>
        </w:rPr>
        <w:t>“苏政源”</w:t>
      </w:r>
      <w:r>
        <w:rPr>
          <w:rFonts w:hint="default" w:ascii="宋体" w:hAnsi="宋体" w:cs="宋体"/>
          <w:color w:val="auto"/>
          <w:sz w:val="24"/>
          <w:szCs w:val="24"/>
          <w:highlight w:val="none"/>
          <w:lang w:val="en-US" w:eastAsia="zh-CN"/>
        </w:rPr>
        <w:t>相关平台本地化部署</w:t>
      </w:r>
      <w:r>
        <w:rPr>
          <w:rFonts w:hint="default" w:ascii="宋体" w:hAnsi="宋体" w:cs="宋体"/>
          <w:color w:val="auto"/>
          <w:sz w:val="24"/>
          <w:szCs w:val="24"/>
          <w:highlight w:val="none"/>
        </w:rPr>
        <w:t>、</w:t>
      </w:r>
      <w:r>
        <w:rPr>
          <w:rFonts w:hint="default" w:ascii="宋体" w:hAnsi="宋体" w:cs="宋体"/>
          <w:color w:val="auto"/>
          <w:sz w:val="24"/>
          <w:szCs w:val="24"/>
          <w:highlight w:val="none"/>
          <w:lang w:val="en-US" w:eastAsia="zh-CN"/>
        </w:rPr>
        <w:t>省市级联对接</w:t>
      </w:r>
      <w:r>
        <w:rPr>
          <w:rFonts w:hint="default" w:ascii="宋体" w:hAnsi="宋体" w:cs="宋体"/>
          <w:color w:val="auto"/>
          <w:sz w:val="24"/>
          <w:szCs w:val="24"/>
          <w:highlight w:val="none"/>
          <w:lang w:eastAsia="zh-CN"/>
        </w:rPr>
        <w:t>，</w:t>
      </w:r>
      <w:r>
        <w:rPr>
          <w:rFonts w:hint="default" w:ascii="宋体" w:hAnsi="宋体" w:cs="宋体"/>
          <w:color w:val="auto"/>
          <w:sz w:val="24"/>
          <w:szCs w:val="24"/>
          <w:highlight w:val="none"/>
          <w:lang w:val="en-US" w:eastAsia="zh-CN"/>
        </w:rPr>
        <w:t>以及市级云</w:t>
      </w:r>
      <w:r>
        <w:rPr>
          <w:rFonts w:hint="default" w:ascii="宋体" w:hAnsi="宋体" w:cs="宋体"/>
          <w:color w:val="auto"/>
          <w:sz w:val="24"/>
          <w:szCs w:val="24"/>
          <w:highlight w:val="none"/>
        </w:rPr>
        <w:t>、</w:t>
      </w:r>
      <w:r>
        <w:rPr>
          <w:rFonts w:hint="default" w:ascii="宋体" w:hAnsi="宋体" w:cs="宋体"/>
          <w:color w:val="auto"/>
          <w:sz w:val="24"/>
          <w:szCs w:val="24"/>
          <w:highlight w:val="none"/>
          <w:lang w:val="en-US" w:eastAsia="zh-CN"/>
        </w:rPr>
        <w:t>网</w:t>
      </w:r>
      <w:r>
        <w:rPr>
          <w:rFonts w:hint="default" w:ascii="宋体" w:hAnsi="宋体" w:cs="宋体"/>
          <w:color w:val="auto"/>
          <w:sz w:val="24"/>
          <w:szCs w:val="24"/>
          <w:highlight w:val="none"/>
        </w:rPr>
        <w:t>、</w:t>
      </w:r>
      <w:r>
        <w:rPr>
          <w:rFonts w:hint="default" w:ascii="宋体" w:hAnsi="宋体" w:cs="宋体"/>
          <w:color w:val="auto"/>
          <w:sz w:val="24"/>
          <w:szCs w:val="24"/>
          <w:highlight w:val="none"/>
          <w:lang w:val="en-US" w:eastAsia="zh-CN"/>
        </w:rPr>
        <w:t>项目等自建管理平台的集成对接</w:t>
      </w:r>
      <w:r>
        <w:rPr>
          <w:rFonts w:hint="default" w:ascii="宋体" w:hAnsi="宋体" w:eastAsia="宋体" w:cs="宋体"/>
          <w:color w:val="auto"/>
          <w:sz w:val="24"/>
          <w:szCs w:val="24"/>
          <w:highlight w:val="none"/>
        </w:rPr>
        <w:t>。</w:t>
      </w:r>
      <w:r>
        <w:rPr>
          <w:rFonts w:hint="eastAsia" w:ascii="宋体" w:hAnsi="宋体" w:eastAsia="宋体" w:cs="宋体"/>
          <w:color w:val="auto"/>
          <w:sz w:val="24"/>
          <w:szCs w:val="24"/>
          <w:highlight w:val="none"/>
        </w:rPr>
        <w:t>逐步</w:t>
      </w:r>
      <w:r>
        <w:rPr>
          <w:rFonts w:hint="default" w:ascii="宋体" w:hAnsi="宋体" w:cs="宋体"/>
          <w:color w:val="auto"/>
          <w:sz w:val="24"/>
          <w:szCs w:val="24"/>
          <w:highlight w:val="none"/>
          <w:lang w:val="en-US" w:eastAsia="zh-CN"/>
        </w:rPr>
        <w:t>构建形</w:t>
      </w:r>
      <w:r>
        <w:rPr>
          <w:rFonts w:hint="eastAsia" w:ascii="宋体" w:hAnsi="宋体" w:eastAsia="宋体" w:cs="宋体"/>
          <w:color w:val="auto"/>
          <w:sz w:val="24"/>
          <w:szCs w:val="24"/>
          <w:highlight w:val="none"/>
        </w:rPr>
        <w:t>成</w:t>
      </w:r>
      <w:r>
        <w:rPr>
          <w:rFonts w:hint="default" w:ascii="宋体" w:hAnsi="宋体" w:cs="宋体"/>
          <w:color w:val="auto"/>
          <w:sz w:val="24"/>
          <w:szCs w:val="24"/>
          <w:highlight w:val="none"/>
          <w:lang w:val="en-US" w:eastAsia="zh-CN"/>
        </w:rPr>
        <w:t>全市</w:t>
      </w:r>
      <w:r>
        <w:rPr>
          <w:rFonts w:hint="eastAsia" w:ascii="宋体" w:hAnsi="宋体" w:eastAsia="宋体" w:cs="宋体"/>
          <w:color w:val="auto"/>
          <w:sz w:val="24"/>
          <w:szCs w:val="24"/>
          <w:highlight w:val="none"/>
        </w:rPr>
        <w:t>数字资源</w:t>
      </w:r>
      <w:r>
        <w:rPr>
          <w:rFonts w:hint="default" w:ascii="宋体" w:hAnsi="宋体" w:cs="宋体"/>
          <w:color w:val="auto"/>
          <w:sz w:val="24"/>
          <w:szCs w:val="24"/>
          <w:highlight w:val="none"/>
          <w:lang w:eastAsia="zh-CN"/>
        </w:rPr>
        <w:t>“</w:t>
      </w:r>
      <w:r>
        <w:rPr>
          <w:rFonts w:hint="default" w:ascii="宋体" w:hAnsi="宋体" w:cs="宋体"/>
          <w:color w:val="auto"/>
          <w:sz w:val="24"/>
          <w:szCs w:val="24"/>
          <w:highlight w:val="none"/>
          <w:lang w:val="en-US" w:eastAsia="zh-CN"/>
        </w:rPr>
        <w:t>一本账</w:t>
      </w:r>
      <w:r>
        <w:rPr>
          <w:rFonts w:hint="default"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default" w:ascii="宋体" w:hAnsi="宋体" w:cs="宋体"/>
          <w:color w:val="auto"/>
          <w:sz w:val="24"/>
          <w:szCs w:val="24"/>
          <w:highlight w:val="none"/>
          <w:lang w:val="en-US" w:eastAsia="zh-CN"/>
        </w:rPr>
        <w:t>强化数字资源统筹集约管理，稳步</w:t>
      </w:r>
      <w:r>
        <w:rPr>
          <w:rFonts w:hint="eastAsia" w:ascii="宋体" w:hAnsi="宋体" w:eastAsia="宋体" w:cs="宋体"/>
          <w:color w:val="auto"/>
          <w:sz w:val="24"/>
          <w:szCs w:val="24"/>
          <w:highlight w:val="none"/>
        </w:rPr>
        <w:t>提升</w:t>
      </w:r>
      <w:r>
        <w:rPr>
          <w:rFonts w:hint="default" w:ascii="宋体" w:hAnsi="宋体" w:cs="宋体"/>
          <w:color w:val="auto"/>
          <w:sz w:val="24"/>
          <w:szCs w:val="24"/>
          <w:highlight w:val="none"/>
        </w:rPr>
        <w:t>数字化支撑能力</w:t>
      </w:r>
      <w:r>
        <w:rPr>
          <w:rFonts w:hint="eastAsia" w:ascii="宋体" w:hAnsi="宋体" w:eastAsia="宋体" w:cs="宋体"/>
          <w:color w:val="auto"/>
          <w:sz w:val="24"/>
          <w:szCs w:val="24"/>
          <w:highlight w:val="none"/>
        </w:rPr>
        <w:t>。</w:t>
      </w:r>
    </w:p>
    <w:p w14:paraId="2D4BAB7C">
      <w:pPr>
        <w:spacing w:line="500" w:lineRule="exact"/>
        <w:ind w:firstLine="482"/>
        <w:outlineLvl w:val="2"/>
        <w:rPr>
          <w:rFonts w:hint="eastAsia" w:ascii="宋体" w:hAnsi="宋体" w:cs="宋体"/>
          <w:b/>
          <w:color w:val="auto"/>
          <w:sz w:val="24"/>
          <w:szCs w:val="24"/>
          <w:highlight w:val="none"/>
        </w:rPr>
      </w:pPr>
      <w:bookmarkStart w:id="247" w:name="_Toc28368"/>
      <w:bookmarkStart w:id="248" w:name="_Toc852"/>
      <w:r>
        <w:rPr>
          <w:rFonts w:hint="eastAsia" w:ascii="宋体" w:hAnsi="宋体" w:cs="宋体"/>
          <w:b/>
          <w:color w:val="auto"/>
          <w:sz w:val="24"/>
          <w:szCs w:val="24"/>
          <w:highlight w:val="none"/>
        </w:rPr>
        <w:t>二、项目目标</w:t>
      </w:r>
      <w:bookmarkEnd w:id="247"/>
      <w:bookmarkEnd w:id="248"/>
    </w:p>
    <w:p w14:paraId="2D41AC10">
      <w:pPr>
        <w:spacing w:line="500" w:lineRule="exact"/>
        <w:ind w:firstLine="480"/>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参照省“苏政源”总体框架、技术标准及接口规范要求，结合宿迁政务云部署条件与本地业务实情优化适配部署架构；依托宿迁政务云完成平台核心模块本地化部署，适配省级通用平台体系落地要求</w:t>
      </w:r>
      <w:r>
        <w:rPr>
          <w:rFonts w:hint="eastAsia" w:ascii="宋体" w:hAnsi="宋体" w:cs="宋体"/>
          <w:color w:val="auto"/>
          <w:sz w:val="24"/>
          <w:szCs w:val="24"/>
          <w:highlight w:val="none"/>
          <w:lang w:val="en-US" w:eastAsia="zh-CN"/>
        </w:rPr>
        <w:t>；</w:t>
      </w:r>
      <w:r>
        <w:rPr>
          <w:rFonts w:ascii="宋体" w:hAnsi="宋体" w:eastAsia="宋体" w:cs="宋体"/>
          <w:color w:val="auto"/>
          <w:sz w:val="24"/>
          <w:szCs w:val="24"/>
          <w:highlight w:val="none"/>
        </w:rPr>
        <w:t>统筹开展基础环境准备、</w:t>
      </w:r>
      <w:r>
        <w:rPr>
          <w:rFonts w:hint="eastAsia" w:ascii="宋体" w:hAnsi="宋体" w:cs="宋体"/>
          <w:color w:val="auto"/>
          <w:sz w:val="24"/>
          <w:szCs w:val="24"/>
          <w:highlight w:val="none"/>
          <w:lang w:val="en-US" w:eastAsia="zh-CN"/>
        </w:rPr>
        <w:t>平台本地化部署</w:t>
      </w:r>
      <w:r>
        <w:rPr>
          <w:rFonts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省市</w:t>
      </w:r>
      <w:r>
        <w:rPr>
          <w:rFonts w:ascii="宋体" w:hAnsi="宋体" w:eastAsia="宋体" w:cs="宋体"/>
          <w:color w:val="auto"/>
          <w:sz w:val="24"/>
          <w:szCs w:val="24"/>
          <w:highlight w:val="none"/>
        </w:rPr>
        <w:t>联调测试、数字资源梳理对接、</w:t>
      </w:r>
      <w:r>
        <w:rPr>
          <w:rFonts w:hint="eastAsia" w:ascii="宋体" w:hAnsi="宋体" w:cs="宋体"/>
          <w:color w:val="auto"/>
          <w:sz w:val="24"/>
          <w:szCs w:val="24"/>
          <w:highlight w:val="none"/>
          <w:lang w:val="en-US" w:eastAsia="zh-CN"/>
        </w:rPr>
        <w:t>系统平台</w:t>
      </w:r>
      <w:r>
        <w:rPr>
          <w:rFonts w:ascii="宋体" w:hAnsi="宋体" w:eastAsia="宋体" w:cs="宋体"/>
          <w:color w:val="auto"/>
          <w:sz w:val="24"/>
          <w:szCs w:val="24"/>
          <w:highlight w:val="none"/>
        </w:rPr>
        <w:t>运维</w:t>
      </w:r>
      <w:r>
        <w:rPr>
          <w:rFonts w:hint="eastAsia" w:ascii="宋体" w:hAnsi="宋体" w:cs="宋体"/>
          <w:color w:val="auto"/>
          <w:sz w:val="24"/>
          <w:szCs w:val="24"/>
          <w:highlight w:val="none"/>
          <w:lang w:val="en-US" w:eastAsia="zh-CN"/>
        </w:rPr>
        <w:t>等</w:t>
      </w:r>
      <w:r>
        <w:rPr>
          <w:rFonts w:ascii="宋体" w:hAnsi="宋体" w:eastAsia="宋体" w:cs="宋体"/>
          <w:color w:val="auto"/>
          <w:sz w:val="24"/>
          <w:szCs w:val="24"/>
          <w:highlight w:val="none"/>
        </w:rPr>
        <w:t>全流程工作，保障“苏政源”</w:t>
      </w:r>
      <w:r>
        <w:rPr>
          <w:rFonts w:hint="eastAsia" w:ascii="宋体" w:hAnsi="宋体" w:cs="宋体"/>
          <w:color w:val="auto"/>
          <w:sz w:val="24"/>
          <w:szCs w:val="24"/>
          <w:highlight w:val="none"/>
          <w:lang w:val="en-US" w:eastAsia="zh-CN"/>
        </w:rPr>
        <w:t>本地</w:t>
      </w:r>
      <w:r>
        <w:rPr>
          <w:rFonts w:ascii="宋体" w:hAnsi="宋体" w:eastAsia="宋体" w:cs="宋体"/>
          <w:color w:val="auto"/>
          <w:sz w:val="24"/>
          <w:szCs w:val="24"/>
          <w:highlight w:val="none"/>
        </w:rPr>
        <w:t>平台安全高效运</w:t>
      </w:r>
      <w:r>
        <w:rPr>
          <w:rFonts w:hint="eastAsia" w:ascii="宋体" w:hAnsi="宋体" w:cs="宋体"/>
          <w:color w:val="auto"/>
          <w:sz w:val="24"/>
          <w:szCs w:val="24"/>
          <w:highlight w:val="none"/>
          <w:lang w:val="en-US" w:eastAsia="zh-CN"/>
        </w:rPr>
        <w:t>行</w:t>
      </w:r>
      <w:r>
        <w:rPr>
          <w:rFonts w:ascii="宋体" w:hAnsi="宋体" w:eastAsia="宋体" w:cs="宋体"/>
          <w:color w:val="auto"/>
          <w:sz w:val="24"/>
          <w:szCs w:val="24"/>
          <w:highlight w:val="none"/>
        </w:rPr>
        <w:t>。</w:t>
      </w:r>
    </w:p>
    <w:p w14:paraId="03BAECF9">
      <w:pPr>
        <w:numPr>
          <w:ilvl w:val="0"/>
          <w:numId w:val="4"/>
        </w:numPr>
        <w:spacing w:line="500" w:lineRule="exact"/>
        <w:ind w:firstLine="482"/>
        <w:outlineLvl w:val="2"/>
        <w:rPr>
          <w:rFonts w:hint="eastAsia" w:ascii="宋体" w:hAnsi="宋体" w:cs="宋体"/>
          <w:b/>
          <w:color w:val="auto"/>
          <w:sz w:val="24"/>
          <w:szCs w:val="24"/>
          <w:highlight w:val="none"/>
        </w:rPr>
      </w:pPr>
      <w:bookmarkStart w:id="249" w:name="_Toc24822"/>
      <w:bookmarkStart w:id="250" w:name="_Toc22919"/>
      <w:r>
        <w:rPr>
          <w:rFonts w:hint="eastAsia" w:ascii="宋体" w:hAnsi="宋体" w:cs="宋体"/>
          <w:b/>
          <w:bCs/>
          <w:color w:val="auto"/>
          <w:sz w:val="24"/>
          <w:szCs w:val="24"/>
          <w:highlight w:val="none"/>
          <w:lang w:val="en-US" w:eastAsia="zh-CN" w:bidi="ar-SA"/>
        </w:rPr>
        <w:t>服务</w:t>
      </w:r>
      <w:r>
        <w:rPr>
          <w:rFonts w:hint="eastAsia" w:ascii="宋体" w:hAnsi="宋体" w:eastAsia="宋体" w:cs="宋体"/>
          <w:b/>
          <w:bCs/>
          <w:color w:val="auto"/>
          <w:sz w:val="24"/>
          <w:szCs w:val="24"/>
          <w:highlight w:val="none"/>
          <w:lang w:val="en-US" w:eastAsia="zh-CN" w:bidi="ar-SA"/>
        </w:rPr>
        <w:t>清单及详细服务要求</w:t>
      </w:r>
      <w:bookmarkEnd w:id="249"/>
      <w:bookmarkEnd w:id="250"/>
    </w:p>
    <w:p w14:paraId="12ECEDF6">
      <w:pPr>
        <w:spacing w:line="500" w:lineRule="exact"/>
        <w:ind w:firstLine="904"/>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3.1服务清单</w:t>
      </w:r>
    </w:p>
    <w:tbl>
      <w:tblPr>
        <w:tblStyle w:val="35"/>
        <w:tblW w:w="44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3"/>
        <w:gridCol w:w="4579"/>
        <w:gridCol w:w="1203"/>
        <w:gridCol w:w="1339"/>
      </w:tblGrid>
      <w:tr w14:paraId="46A3B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pct"/>
            <w:noWrap w:val="0"/>
          </w:tcPr>
          <w:p w14:paraId="30544618">
            <w:pPr>
              <w:spacing w:line="400" w:lineRule="exact"/>
              <w:jc w:val="center"/>
              <w:outlineLvl w:val="9"/>
              <w:rPr>
                <w:rFonts w:hint="eastAsia" w:ascii="宋体" w:hAnsi="宋体" w:cs="宋体"/>
                <w:b/>
                <w:color w:val="auto"/>
                <w:sz w:val="24"/>
                <w:szCs w:val="24"/>
                <w:highlight w:val="none"/>
              </w:rPr>
            </w:pPr>
            <w:bookmarkStart w:id="251" w:name="_Toc18065"/>
            <w:r>
              <w:rPr>
                <w:rFonts w:hint="eastAsia" w:ascii="宋体" w:hAnsi="宋体" w:cs="宋体"/>
                <w:b/>
                <w:color w:val="auto"/>
                <w:sz w:val="24"/>
                <w:szCs w:val="24"/>
                <w:highlight w:val="none"/>
              </w:rPr>
              <w:t>序号</w:t>
            </w:r>
            <w:bookmarkEnd w:id="251"/>
          </w:p>
        </w:tc>
        <w:tc>
          <w:tcPr>
            <w:tcW w:w="2790" w:type="pct"/>
            <w:noWrap w:val="0"/>
          </w:tcPr>
          <w:p w14:paraId="06804F48">
            <w:pPr>
              <w:spacing w:line="400" w:lineRule="exact"/>
              <w:jc w:val="center"/>
              <w:outlineLvl w:val="9"/>
              <w:rPr>
                <w:rFonts w:hint="eastAsia" w:ascii="宋体" w:hAnsi="宋体" w:cs="宋体"/>
                <w:b/>
                <w:color w:val="auto"/>
                <w:sz w:val="24"/>
                <w:szCs w:val="24"/>
                <w:highlight w:val="none"/>
              </w:rPr>
            </w:pPr>
            <w:bookmarkStart w:id="252" w:name="_Toc18967"/>
            <w:r>
              <w:rPr>
                <w:rFonts w:hint="eastAsia" w:ascii="宋体" w:hAnsi="宋体" w:eastAsia="宋体" w:cs="宋体"/>
                <w:b/>
                <w:color w:val="auto"/>
                <w:sz w:val="24"/>
                <w:szCs w:val="24"/>
                <w:highlight w:val="none"/>
                <w:lang w:val="en-US" w:eastAsia="zh-CN" w:bidi="ar-SA"/>
              </w:rPr>
              <w:t>服务简述</w:t>
            </w:r>
            <w:bookmarkEnd w:id="252"/>
          </w:p>
        </w:tc>
        <w:tc>
          <w:tcPr>
            <w:tcW w:w="733" w:type="pct"/>
            <w:noWrap w:val="0"/>
            <w:vAlign w:val="center"/>
          </w:tcPr>
          <w:p w14:paraId="6B69A1CB">
            <w:pPr>
              <w:spacing w:line="360" w:lineRule="auto"/>
              <w:jc w:val="center"/>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数量</w:t>
            </w:r>
          </w:p>
        </w:tc>
        <w:tc>
          <w:tcPr>
            <w:tcW w:w="816" w:type="pct"/>
            <w:noWrap w:val="0"/>
            <w:vAlign w:val="center"/>
          </w:tcPr>
          <w:p w14:paraId="099A06E6">
            <w:pPr>
              <w:spacing w:line="360" w:lineRule="auto"/>
              <w:jc w:val="center"/>
              <w:rPr>
                <w:rFonts w:hint="eastAsia" w:ascii="宋体" w:hAnsi="宋体" w:cs="宋体"/>
                <w:b/>
                <w:color w:val="auto"/>
                <w:sz w:val="24"/>
                <w:szCs w:val="24"/>
                <w:highlight w:val="none"/>
              </w:rPr>
            </w:pPr>
            <w:r>
              <w:rPr>
                <w:rFonts w:hint="eastAsia" w:ascii="宋体" w:hAnsi="宋体" w:eastAsia="宋体" w:cs="宋体"/>
                <w:b/>
                <w:bCs/>
                <w:color w:val="auto"/>
                <w:sz w:val="24"/>
                <w:szCs w:val="24"/>
                <w:highlight w:val="none"/>
              </w:rPr>
              <w:t>单位</w:t>
            </w:r>
          </w:p>
        </w:tc>
      </w:tr>
      <w:tr w14:paraId="6B428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pct"/>
            <w:noWrap w:val="0"/>
          </w:tcPr>
          <w:p w14:paraId="0B13FC78">
            <w:pPr>
              <w:spacing w:line="400" w:lineRule="exact"/>
              <w:jc w:val="center"/>
              <w:outlineLvl w:val="9"/>
              <w:rPr>
                <w:rFonts w:hint="eastAsia" w:ascii="宋体" w:hAnsi="宋体" w:cs="宋体"/>
                <w:color w:val="auto"/>
                <w:sz w:val="24"/>
                <w:szCs w:val="24"/>
                <w:highlight w:val="none"/>
              </w:rPr>
            </w:pPr>
            <w:bookmarkStart w:id="253" w:name="_Toc10505"/>
            <w:r>
              <w:rPr>
                <w:rFonts w:hint="eastAsia" w:ascii="宋体" w:hAnsi="宋体" w:cs="宋体"/>
                <w:color w:val="auto"/>
                <w:sz w:val="24"/>
                <w:szCs w:val="24"/>
                <w:highlight w:val="none"/>
              </w:rPr>
              <w:t>1</w:t>
            </w:r>
            <w:bookmarkEnd w:id="253"/>
          </w:p>
        </w:tc>
        <w:tc>
          <w:tcPr>
            <w:tcW w:w="2790" w:type="pct"/>
            <w:noWrap w:val="0"/>
          </w:tcPr>
          <w:p w14:paraId="3DBFA88F">
            <w:pPr>
              <w:spacing w:line="400" w:lineRule="exact"/>
              <w:jc w:val="center"/>
              <w:outlineLvl w:val="9"/>
              <w:rPr>
                <w:rFonts w:hint="eastAsia" w:ascii="宋体" w:hAnsi="宋体" w:cs="宋体"/>
                <w:color w:val="auto"/>
                <w:sz w:val="24"/>
                <w:szCs w:val="24"/>
                <w:highlight w:val="none"/>
                <w:lang w:bidi="ar"/>
              </w:rPr>
            </w:pPr>
            <w:bookmarkStart w:id="254" w:name="_Toc13139"/>
            <w:r>
              <w:rPr>
                <w:rFonts w:hint="eastAsia" w:ascii="宋体" w:hAnsi="宋体" w:cs="宋体"/>
                <w:color w:val="auto"/>
                <w:sz w:val="24"/>
                <w:szCs w:val="20"/>
                <w:highlight w:val="none"/>
              </w:rPr>
              <w:t>“一本账”平台运行服务</w:t>
            </w:r>
            <w:bookmarkEnd w:id="254"/>
          </w:p>
        </w:tc>
        <w:tc>
          <w:tcPr>
            <w:tcW w:w="733" w:type="pct"/>
            <w:noWrap w:val="0"/>
            <w:vAlign w:val="center"/>
          </w:tcPr>
          <w:p w14:paraId="05685395">
            <w:pPr>
              <w:spacing w:line="360" w:lineRule="auto"/>
              <w:jc w:val="center"/>
              <w:rPr>
                <w:rFonts w:hint="eastAsia" w:ascii="宋体" w:hAnsi="宋体" w:cs="宋体"/>
                <w:color w:val="auto"/>
                <w:sz w:val="24"/>
                <w:szCs w:val="24"/>
                <w:highlight w:val="none"/>
                <w:lang w:bidi="ar"/>
              </w:rPr>
            </w:pPr>
            <w:r>
              <w:rPr>
                <w:rFonts w:hint="eastAsia" w:ascii="宋体" w:hAnsi="宋体" w:eastAsia="宋体" w:cs="宋体"/>
                <w:color w:val="auto"/>
                <w:sz w:val="24"/>
                <w:szCs w:val="24"/>
                <w:highlight w:val="none"/>
              </w:rPr>
              <w:t>1</w:t>
            </w:r>
          </w:p>
        </w:tc>
        <w:tc>
          <w:tcPr>
            <w:tcW w:w="816" w:type="pct"/>
            <w:noWrap w:val="0"/>
            <w:vAlign w:val="center"/>
          </w:tcPr>
          <w:p w14:paraId="411AE7DA">
            <w:pPr>
              <w:spacing w:line="360" w:lineRule="auto"/>
              <w:jc w:val="center"/>
              <w:rPr>
                <w:rFonts w:hint="eastAsia" w:ascii="宋体" w:hAnsi="宋体" w:cs="宋体"/>
                <w:color w:val="auto"/>
                <w:sz w:val="24"/>
                <w:szCs w:val="24"/>
                <w:highlight w:val="none"/>
                <w:lang w:bidi="ar"/>
              </w:rPr>
            </w:pPr>
            <w:r>
              <w:rPr>
                <w:rFonts w:hint="eastAsia" w:ascii="宋体" w:hAnsi="宋体" w:eastAsia="宋体" w:cs="宋体"/>
                <w:color w:val="auto"/>
                <w:sz w:val="24"/>
                <w:szCs w:val="24"/>
                <w:highlight w:val="none"/>
              </w:rPr>
              <w:t>项</w:t>
            </w:r>
          </w:p>
        </w:tc>
      </w:tr>
      <w:tr w14:paraId="5F065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pct"/>
            <w:noWrap w:val="0"/>
          </w:tcPr>
          <w:p w14:paraId="0F64A71E">
            <w:pPr>
              <w:spacing w:line="400" w:lineRule="exact"/>
              <w:jc w:val="center"/>
              <w:outlineLvl w:val="9"/>
              <w:rPr>
                <w:rFonts w:hint="eastAsia" w:ascii="宋体" w:hAnsi="宋体" w:cs="宋体"/>
                <w:color w:val="auto"/>
                <w:sz w:val="24"/>
                <w:szCs w:val="24"/>
                <w:highlight w:val="none"/>
              </w:rPr>
            </w:pPr>
            <w:bookmarkStart w:id="255" w:name="_Toc13314"/>
            <w:r>
              <w:rPr>
                <w:rFonts w:hint="eastAsia" w:ascii="宋体" w:hAnsi="宋体" w:cs="宋体"/>
                <w:color w:val="auto"/>
                <w:sz w:val="24"/>
                <w:szCs w:val="24"/>
                <w:highlight w:val="none"/>
              </w:rPr>
              <w:t>2</w:t>
            </w:r>
            <w:bookmarkEnd w:id="255"/>
          </w:p>
        </w:tc>
        <w:tc>
          <w:tcPr>
            <w:tcW w:w="2790" w:type="pct"/>
            <w:noWrap w:val="0"/>
          </w:tcPr>
          <w:p w14:paraId="28FDF77F">
            <w:pPr>
              <w:spacing w:line="400" w:lineRule="exact"/>
              <w:jc w:val="center"/>
              <w:outlineLvl w:val="9"/>
              <w:rPr>
                <w:rFonts w:hint="eastAsia" w:ascii="宋体" w:hAnsi="宋体" w:cs="宋体"/>
                <w:color w:val="auto"/>
                <w:sz w:val="24"/>
                <w:szCs w:val="24"/>
                <w:highlight w:val="none"/>
                <w:lang w:bidi="ar"/>
              </w:rPr>
            </w:pPr>
            <w:bookmarkStart w:id="256" w:name="_Toc21626"/>
            <w:r>
              <w:rPr>
                <w:rFonts w:hint="eastAsia" w:ascii="宋体" w:hAnsi="宋体" w:cs="宋体"/>
                <w:color w:val="auto"/>
                <w:sz w:val="24"/>
                <w:szCs w:val="20"/>
                <w:highlight w:val="none"/>
              </w:rPr>
              <w:t>“一本账”平台部署服务</w:t>
            </w:r>
            <w:bookmarkEnd w:id="256"/>
          </w:p>
        </w:tc>
        <w:tc>
          <w:tcPr>
            <w:tcW w:w="733" w:type="pct"/>
            <w:noWrap w:val="0"/>
            <w:vAlign w:val="center"/>
          </w:tcPr>
          <w:p w14:paraId="0E076D5C">
            <w:pPr>
              <w:spacing w:line="360" w:lineRule="auto"/>
              <w:jc w:val="center"/>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1</w:t>
            </w:r>
          </w:p>
        </w:tc>
        <w:tc>
          <w:tcPr>
            <w:tcW w:w="816" w:type="pct"/>
            <w:noWrap w:val="0"/>
            <w:vAlign w:val="center"/>
          </w:tcPr>
          <w:p w14:paraId="5274F9A7">
            <w:pPr>
              <w:spacing w:line="360" w:lineRule="auto"/>
              <w:jc w:val="center"/>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项</w:t>
            </w:r>
          </w:p>
        </w:tc>
      </w:tr>
      <w:tr w14:paraId="626C4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60" w:type="pct"/>
            <w:noWrap w:val="0"/>
          </w:tcPr>
          <w:p w14:paraId="46486201">
            <w:pPr>
              <w:spacing w:line="400" w:lineRule="exact"/>
              <w:jc w:val="center"/>
              <w:outlineLvl w:val="9"/>
              <w:rPr>
                <w:rFonts w:hint="eastAsia" w:ascii="宋体" w:hAnsi="宋体" w:cs="宋体"/>
                <w:color w:val="auto"/>
                <w:sz w:val="24"/>
                <w:szCs w:val="24"/>
                <w:highlight w:val="none"/>
              </w:rPr>
            </w:pPr>
            <w:bookmarkStart w:id="257" w:name="_Toc18421"/>
            <w:r>
              <w:rPr>
                <w:rFonts w:hint="eastAsia" w:ascii="宋体" w:hAnsi="宋体" w:cs="宋体"/>
                <w:color w:val="auto"/>
                <w:sz w:val="24"/>
                <w:szCs w:val="24"/>
                <w:highlight w:val="none"/>
              </w:rPr>
              <w:t>3</w:t>
            </w:r>
            <w:bookmarkEnd w:id="257"/>
          </w:p>
        </w:tc>
        <w:tc>
          <w:tcPr>
            <w:tcW w:w="2790" w:type="pct"/>
            <w:noWrap w:val="0"/>
          </w:tcPr>
          <w:p w14:paraId="701438DE">
            <w:pPr>
              <w:spacing w:line="400" w:lineRule="exact"/>
              <w:jc w:val="center"/>
              <w:outlineLvl w:val="9"/>
              <w:rPr>
                <w:rFonts w:hint="eastAsia" w:ascii="宋体" w:hAnsi="宋体" w:cs="宋体"/>
                <w:color w:val="auto"/>
                <w:sz w:val="24"/>
                <w:szCs w:val="24"/>
                <w:highlight w:val="none"/>
              </w:rPr>
            </w:pPr>
            <w:bookmarkStart w:id="258" w:name="_Toc31117"/>
            <w:r>
              <w:rPr>
                <w:rFonts w:hint="eastAsia" w:ascii="宋体" w:hAnsi="宋体" w:cs="宋体"/>
                <w:color w:val="auto"/>
                <w:sz w:val="24"/>
                <w:szCs w:val="24"/>
                <w:highlight w:val="none"/>
              </w:rPr>
              <w:t>公共数据平台服务</w:t>
            </w:r>
            <w:bookmarkEnd w:id="258"/>
          </w:p>
        </w:tc>
        <w:tc>
          <w:tcPr>
            <w:tcW w:w="733" w:type="pct"/>
            <w:noWrap w:val="0"/>
            <w:vAlign w:val="center"/>
          </w:tcPr>
          <w:p w14:paraId="51406953">
            <w:pPr>
              <w:spacing w:line="360" w:lineRule="auto"/>
              <w:jc w:val="center"/>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1</w:t>
            </w:r>
          </w:p>
        </w:tc>
        <w:tc>
          <w:tcPr>
            <w:tcW w:w="816" w:type="pct"/>
            <w:noWrap w:val="0"/>
            <w:vAlign w:val="center"/>
          </w:tcPr>
          <w:p w14:paraId="6A009596">
            <w:pPr>
              <w:spacing w:line="360" w:lineRule="auto"/>
              <w:jc w:val="center"/>
              <w:rPr>
                <w:rFonts w:hint="eastAsia" w:ascii="宋体" w:hAnsi="宋体" w:cs="宋体"/>
                <w:b/>
                <w:color w:val="auto"/>
                <w:sz w:val="24"/>
                <w:szCs w:val="24"/>
                <w:highlight w:val="none"/>
              </w:rPr>
            </w:pPr>
            <w:r>
              <w:rPr>
                <w:rFonts w:hint="eastAsia" w:ascii="宋体" w:hAnsi="宋体" w:eastAsia="宋体" w:cs="宋体"/>
                <w:color w:val="auto"/>
                <w:sz w:val="24"/>
                <w:szCs w:val="24"/>
                <w:highlight w:val="none"/>
              </w:rPr>
              <w:t>项</w:t>
            </w:r>
          </w:p>
        </w:tc>
      </w:tr>
      <w:tr w14:paraId="5AC17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60" w:type="pct"/>
            <w:noWrap w:val="0"/>
          </w:tcPr>
          <w:p w14:paraId="094E0E91">
            <w:pPr>
              <w:spacing w:line="400" w:lineRule="exact"/>
              <w:jc w:val="center"/>
              <w:outlineLvl w:val="9"/>
              <w:rPr>
                <w:rFonts w:hint="eastAsia" w:ascii="宋体" w:hAnsi="宋体" w:cs="宋体"/>
                <w:color w:val="auto"/>
                <w:sz w:val="24"/>
                <w:szCs w:val="24"/>
                <w:highlight w:val="none"/>
              </w:rPr>
            </w:pPr>
            <w:bookmarkStart w:id="259" w:name="_Toc24736"/>
            <w:r>
              <w:rPr>
                <w:rFonts w:hint="eastAsia" w:ascii="宋体" w:hAnsi="宋体" w:cs="宋体"/>
                <w:color w:val="auto"/>
                <w:sz w:val="24"/>
                <w:szCs w:val="24"/>
                <w:highlight w:val="none"/>
              </w:rPr>
              <w:t>4</w:t>
            </w:r>
            <w:bookmarkEnd w:id="259"/>
          </w:p>
        </w:tc>
        <w:tc>
          <w:tcPr>
            <w:tcW w:w="2790" w:type="pct"/>
            <w:noWrap w:val="0"/>
          </w:tcPr>
          <w:p w14:paraId="6068EF4E">
            <w:pPr>
              <w:spacing w:line="400" w:lineRule="exact"/>
              <w:jc w:val="center"/>
              <w:outlineLvl w:val="9"/>
              <w:rPr>
                <w:rFonts w:hint="eastAsia" w:ascii="宋体" w:hAnsi="宋体" w:cs="宋体"/>
                <w:color w:val="auto"/>
                <w:sz w:val="24"/>
                <w:szCs w:val="24"/>
                <w:highlight w:val="none"/>
              </w:rPr>
            </w:pPr>
            <w:bookmarkStart w:id="260" w:name="_Toc6151"/>
            <w:r>
              <w:rPr>
                <w:rFonts w:hint="eastAsia" w:ascii="宋体" w:hAnsi="宋体" w:cs="宋体"/>
                <w:color w:val="auto"/>
                <w:sz w:val="24"/>
                <w:szCs w:val="20"/>
                <w:highlight w:val="none"/>
              </w:rPr>
              <w:t>公共数据治理</w:t>
            </w:r>
            <w:r>
              <w:rPr>
                <w:rFonts w:hint="eastAsia" w:ascii="宋体" w:hAnsi="宋体" w:cs="宋体"/>
                <w:color w:val="auto"/>
                <w:sz w:val="24"/>
                <w:szCs w:val="24"/>
                <w:highlight w:val="none"/>
              </w:rPr>
              <w:t>平台</w:t>
            </w:r>
            <w:r>
              <w:rPr>
                <w:rFonts w:hint="eastAsia" w:ascii="宋体" w:hAnsi="宋体" w:cs="宋体"/>
                <w:color w:val="auto"/>
                <w:sz w:val="24"/>
                <w:szCs w:val="20"/>
                <w:highlight w:val="none"/>
              </w:rPr>
              <w:t>服务</w:t>
            </w:r>
            <w:bookmarkEnd w:id="260"/>
          </w:p>
        </w:tc>
        <w:tc>
          <w:tcPr>
            <w:tcW w:w="733" w:type="pct"/>
            <w:shd w:val="clear" w:color="auto" w:fill="auto"/>
            <w:noWrap w:val="0"/>
            <w:vAlign w:val="center"/>
          </w:tcPr>
          <w:p w14:paraId="0336A1AD">
            <w:pPr>
              <w:spacing w:line="360" w:lineRule="auto"/>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rPr>
              <w:t>1</w:t>
            </w:r>
          </w:p>
        </w:tc>
        <w:tc>
          <w:tcPr>
            <w:tcW w:w="816" w:type="pct"/>
            <w:shd w:val="clear" w:color="auto" w:fill="auto"/>
            <w:noWrap w:val="0"/>
            <w:vAlign w:val="center"/>
          </w:tcPr>
          <w:p w14:paraId="6FF2931E">
            <w:pPr>
              <w:spacing w:line="360" w:lineRule="auto"/>
              <w:jc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rPr>
              <w:t>项</w:t>
            </w:r>
          </w:p>
        </w:tc>
      </w:tr>
      <w:tr w14:paraId="277C0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60" w:type="pct"/>
            <w:shd w:val="clear" w:color="auto" w:fill="auto"/>
            <w:noWrap w:val="0"/>
            <w:vAlign w:val="top"/>
          </w:tcPr>
          <w:p w14:paraId="62894C44">
            <w:pPr>
              <w:spacing w:line="400" w:lineRule="exact"/>
              <w:jc w:val="center"/>
              <w:outlineLvl w:val="9"/>
              <w:rPr>
                <w:rFonts w:hint="eastAsia" w:ascii="宋体" w:hAnsi="宋体" w:eastAsia="宋体" w:cs="宋体"/>
                <w:color w:val="auto"/>
                <w:sz w:val="24"/>
                <w:szCs w:val="24"/>
                <w:highlight w:val="none"/>
                <w:lang w:val="en-US" w:eastAsia="zh-CN" w:bidi="ar-SA"/>
              </w:rPr>
            </w:pPr>
            <w:bookmarkStart w:id="261" w:name="_Toc19293"/>
            <w:r>
              <w:rPr>
                <w:rFonts w:hint="eastAsia" w:ascii="宋体" w:hAnsi="宋体" w:cs="宋体"/>
                <w:color w:val="auto"/>
                <w:sz w:val="24"/>
                <w:szCs w:val="24"/>
                <w:highlight w:val="none"/>
                <w:lang w:val="en-US" w:eastAsia="zh-CN"/>
              </w:rPr>
              <w:t>5</w:t>
            </w:r>
            <w:bookmarkEnd w:id="261"/>
          </w:p>
        </w:tc>
        <w:tc>
          <w:tcPr>
            <w:tcW w:w="2790" w:type="pct"/>
            <w:shd w:val="clear" w:color="auto" w:fill="auto"/>
            <w:noWrap w:val="0"/>
            <w:vAlign w:val="top"/>
          </w:tcPr>
          <w:p w14:paraId="4F7EAF2A">
            <w:pPr>
              <w:spacing w:line="400" w:lineRule="exact"/>
              <w:jc w:val="center"/>
              <w:outlineLvl w:val="9"/>
              <w:rPr>
                <w:rFonts w:hint="eastAsia" w:ascii="宋体" w:hAnsi="宋体" w:eastAsia="宋体" w:cs="宋体"/>
                <w:color w:val="auto"/>
                <w:sz w:val="24"/>
                <w:szCs w:val="24"/>
                <w:highlight w:val="none"/>
                <w:lang w:val="en-US" w:eastAsia="zh-CN" w:bidi="ar-SA"/>
              </w:rPr>
            </w:pPr>
            <w:bookmarkStart w:id="262" w:name="_Toc1639"/>
            <w:r>
              <w:rPr>
                <w:rFonts w:hint="eastAsia" w:ascii="宋体" w:hAnsi="宋体" w:cs="宋体"/>
                <w:color w:val="auto"/>
                <w:sz w:val="24"/>
                <w:szCs w:val="20"/>
                <w:highlight w:val="none"/>
              </w:rPr>
              <w:t>公共数据开放</w:t>
            </w:r>
            <w:r>
              <w:rPr>
                <w:rFonts w:hint="eastAsia" w:ascii="宋体" w:hAnsi="宋体" w:cs="宋体"/>
                <w:color w:val="auto"/>
                <w:sz w:val="24"/>
                <w:szCs w:val="24"/>
                <w:highlight w:val="none"/>
              </w:rPr>
              <w:t>平台</w:t>
            </w:r>
            <w:r>
              <w:rPr>
                <w:rFonts w:hint="eastAsia" w:ascii="宋体" w:hAnsi="宋体" w:cs="宋体"/>
                <w:color w:val="auto"/>
                <w:sz w:val="24"/>
                <w:szCs w:val="20"/>
                <w:highlight w:val="none"/>
              </w:rPr>
              <w:t>服务</w:t>
            </w:r>
            <w:bookmarkEnd w:id="262"/>
          </w:p>
        </w:tc>
        <w:tc>
          <w:tcPr>
            <w:tcW w:w="733" w:type="pct"/>
            <w:shd w:val="clear" w:color="auto" w:fill="auto"/>
            <w:noWrap w:val="0"/>
            <w:vAlign w:val="center"/>
          </w:tcPr>
          <w:p w14:paraId="15051B4B">
            <w:pPr>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1</w:t>
            </w:r>
          </w:p>
        </w:tc>
        <w:tc>
          <w:tcPr>
            <w:tcW w:w="816" w:type="pct"/>
            <w:shd w:val="clear" w:color="auto" w:fill="auto"/>
            <w:noWrap w:val="0"/>
            <w:vAlign w:val="center"/>
          </w:tcPr>
          <w:p w14:paraId="385C27FA">
            <w:pPr>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项</w:t>
            </w:r>
          </w:p>
        </w:tc>
      </w:tr>
      <w:tr w14:paraId="72EB6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60" w:type="pct"/>
            <w:shd w:val="clear" w:color="auto" w:fill="auto"/>
            <w:noWrap w:val="0"/>
            <w:vAlign w:val="top"/>
          </w:tcPr>
          <w:p w14:paraId="63216CBD">
            <w:pPr>
              <w:spacing w:line="400" w:lineRule="exact"/>
              <w:jc w:val="center"/>
              <w:outlineLvl w:val="9"/>
              <w:rPr>
                <w:rFonts w:hint="eastAsia" w:ascii="宋体" w:hAnsi="宋体" w:eastAsia="宋体" w:cs="宋体"/>
                <w:color w:val="auto"/>
                <w:sz w:val="24"/>
                <w:szCs w:val="24"/>
                <w:highlight w:val="none"/>
                <w:lang w:val="en-US" w:eastAsia="zh-CN" w:bidi="ar-SA"/>
              </w:rPr>
            </w:pPr>
            <w:bookmarkStart w:id="263" w:name="_Toc28955"/>
            <w:r>
              <w:rPr>
                <w:rFonts w:hint="eastAsia" w:ascii="宋体" w:hAnsi="宋体" w:cs="宋体"/>
                <w:color w:val="auto"/>
                <w:sz w:val="24"/>
                <w:szCs w:val="24"/>
                <w:highlight w:val="none"/>
                <w:lang w:val="en-US" w:eastAsia="zh-CN"/>
              </w:rPr>
              <w:t>6</w:t>
            </w:r>
            <w:bookmarkEnd w:id="263"/>
          </w:p>
        </w:tc>
        <w:tc>
          <w:tcPr>
            <w:tcW w:w="2790" w:type="pct"/>
            <w:shd w:val="clear" w:color="auto" w:fill="auto"/>
            <w:noWrap w:val="0"/>
            <w:vAlign w:val="top"/>
          </w:tcPr>
          <w:p w14:paraId="69E0B28A">
            <w:pPr>
              <w:spacing w:line="400" w:lineRule="exact"/>
              <w:jc w:val="center"/>
              <w:outlineLvl w:val="9"/>
              <w:rPr>
                <w:rFonts w:hint="default" w:ascii="宋体" w:hAnsi="宋体" w:eastAsia="宋体" w:cs="宋体"/>
                <w:color w:val="auto"/>
                <w:sz w:val="24"/>
                <w:szCs w:val="24"/>
                <w:highlight w:val="none"/>
                <w:lang w:val="en-US" w:eastAsia="zh-CN" w:bidi="ar-SA"/>
              </w:rPr>
            </w:pPr>
            <w:bookmarkStart w:id="264" w:name="_Toc19639"/>
            <w:r>
              <w:rPr>
                <w:rFonts w:hint="eastAsia" w:ascii="宋体" w:hAnsi="宋体" w:cs="宋体"/>
                <w:color w:val="auto"/>
                <w:sz w:val="24"/>
                <w:szCs w:val="24"/>
                <w:highlight w:val="none"/>
                <w:lang w:val="en-US" w:eastAsia="zh-CN"/>
              </w:rPr>
              <w:t>数据场景化</w:t>
            </w:r>
            <w:r>
              <w:rPr>
                <w:rFonts w:hint="eastAsia" w:ascii="宋体" w:hAnsi="宋体" w:cs="宋体"/>
                <w:color w:val="auto"/>
                <w:sz w:val="24"/>
                <w:szCs w:val="24"/>
                <w:highlight w:val="none"/>
              </w:rPr>
              <w:t>开发服务</w:t>
            </w:r>
            <w:bookmarkEnd w:id="264"/>
          </w:p>
        </w:tc>
        <w:tc>
          <w:tcPr>
            <w:tcW w:w="733" w:type="pct"/>
            <w:shd w:val="clear" w:color="auto" w:fill="auto"/>
            <w:noWrap w:val="0"/>
            <w:vAlign w:val="center"/>
          </w:tcPr>
          <w:p w14:paraId="4CC7EE98">
            <w:pPr>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1</w:t>
            </w:r>
          </w:p>
        </w:tc>
        <w:tc>
          <w:tcPr>
            <w:tcW w:w="816" w:type="pct"/>
            <w:shd w:val="clear" w:color="auto" w:fill="auto"/>
            <w:noWrap w:val="0"/>
            <w:vAlign w:val="center"/>
          </w:tcPr>
          <w:p w14:paraId="406CC422">
            <w:pPr>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项</w:t>
            </w:r>
          </w:p>
        </w:tc>
      </w:tr>
      <w:tr w14:paraId="5C74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60" w:type="pct"/>
            <w:shd w:val="clear" w:color="auto" w:fill="auto"/>
            <w:noWrap w:val="0"/>
            <w:vAlign w:val="top"/>
          </w:tcPr>
          <w:p w14:paraId="133CAFF2">
            <w:pPr>
              <w:spacing w:line="400" w:lineRule="exact"/>
              <w:jc w:val="center"/>
              <w:outlineLvl w:val="9"/>
              <w:rPr>
                <w:rFonts w:hint="default" w:ascii="宋体" w:hAnsi="宋体" w:cs="宋体"/>
                <w:color w:val="auto"/>
                <w:sz w:val="24"/>
                <w:szCs w:val="24"/>
                <w:highlight w:val="none"/>
                <w:lang w:val="en-US" w:eastAsia="zh-CN"/>
              </w:rPr>
            </w:pPr>
            <w:bookmarkStart w:id="265" w:name="_Toc22821"/>
            <w:r>
              <w:rPr>
                <w:rFonts w:hint="eastAsia" w:ascii="宋体" w:hAnsi="宋体" w:cs="宋体"/>
                <w:color w:val="auto"/>
                <w:sz w:val="24"/>
                <w:szCs w:val="24"/>
                <w:highlight w:val="none"/>
                <w:lang w:val="en-US" w:eastAsia="zh-CN"/>
              </w:rPr>
              <w:t>7</w:t>
            </w:r>
            <w:bookmarkEnd w:id="265"/>
          </w:p>
        </w:tc>
        <w:tc>
          <w:tcPr>
            <w:tcW w:w="2790" w:type="pct"/>
            <w:shd w:val="clear" w:color="auto" w:fill="auto"/>
            <w:noWrap w:val="0"/>
            <w:vAlign w:val="top"/>
          </w:tcPr>
          <w:p w14:paraId="15E90E09">
            <w:pPr>
              <w:spacing w:line="400" w:lineRule="exact"/>
              <w:jc w:val="center"/>
              <w:outlineLvl w:val="9"/>
              <w:rPr>
                <w:rFonts w:hint="eastAsia" w:ascii="宋体" w:hAnsi="宋体" w:cs="宋体"/>
                <w:color w:val="auto"/>
                <w:sz w:val="24"/>
                <w:szCs w:val="24"/>
                <w:highlight w:val="none"/>
              </w:rPr>
            </w:pPr>
            <w:bookmarkStart w:id="266" w:name="_Toc16069"/>
            <w:r>
              <w:rPr>
                <w:rFonts w:hint="eastAsia" w:ascii="宋体" w:hAnsi="宋体" w:cs="宋体"/>
                <w:color w:val="auto"/>
                <w:sz w:val="24"/>
                <w:szCs w:val="24"/>
                <w:highlight w:val="none"/>
              </w:rPr>
              <w:t>数据迁移服务</w:t>
            </w:r>
            <w:bookmarkEnd w:id="266"/>
          </w:p>
        </w:tc>
        <w:tc>
          <w:tcPr>
            <w:tcW w:w="733" w:type="pct"/>
            <w:shd w:val="clear" w:color="auto" w:fill="auto"/>
            <w:noWrap w:val="0"/>
            <w:vAlign w:val="center"/>
          </w:tcPr>
          <w:p w14:paraId="5EC0A5B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16" w:type="pct"/>
            <w:shd w:val="clear" w:color="auto" w:fill="auto"/>
            <w:noWrap w:val="0"/>
            <w:vAlign w:val="center"/>
          </w:tcPr>
          <w:p w14:paraId="31F5AD1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r>
      <w:tr w14:paraId="19CB9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60" w:type="pct"/>
            <w:shd w:val="clear" w:color="auto" w:fill="auto"/>
            <w:noWrap w:val="0"/>
            <w:vAlign w:val="top"/>
          </w:tcPr>
          <w:p w14:paraId="2157D514">
            <w:pPr>
              <w:spacing w:line="400" w:lineRule="exact"/>
              <w:jc w:val="center"/>
              <w:outlineLvl w:val="9"/>
              <w:rPr>
                <w:rFonts w:hint="default" w:ascii="宋体" w:hAnsi="宋体" w:cs="宋体"/>
                <w:color w:val="auto"/>
                <w:sz w:val="24"/>
                <w:szCs w:val="24"/>
                <w:highlight w:val="none"/>
                <w:lang w:val="en-US" w:eastAsia="zh-CN"/>
              </w:rPr>
            </w:pPr>
            <w:bookmarkStart w:id="267" w:name="_Toc29468"/>
            <w:r>
              <w:rPr>
                <w:rFonts w:hint="eastAsia" w:ascii="宋体" w:hAnsi="宋体" w:cs="宋体"/>
                <w:color w:val="auto"/>
                <w:sz w:val="24"/>
                <w:szCs w:val="24"/>
                <w:highlight w:val="none"/>
                <w:lang w:val="en-US" w:eastAsia="zh-CN"/>
              </w:rPr>
              <w:t>8</w:t>
            </w:r>
            <w:bookmarkEnd w:id="267"/>
          </w:p>
        </w:tc>
        <w:tc>
          <w:tcPr>
            <w:tcW w:w="2790" w:type="pct"/>
            <w:shd w:val="clear" w:color="auto" w:fill="auto"/>
            <w:noWrap w:val="0"/>
            <w:vAlign w:val="top"/>
          </w:tcPr>
          <w:p w14:paraId="2D3D9D95">
            <w:pPr>
              <w:spacing w:line="400" w:lineRule="exact"/>
              <w:jc w:val="center"/>
              <w:outlineLvl w:val="9"/>
              <w:rPr>
                <w:rFonts w:hint="eastAsia" w:ascii="宋体" w:hAnsi="宋体" w:cs="宋体"/>
                <w:color w:val="auto"/>
                <w:sz w:val="24"/>
                <w:szCs w:val="24"/>
                <w:highlight w:val="none"/>
              </w:rPr>
            </w:pPr>
            <w:bookmarkStart w:id="268" w:name="_Toc21668"/>
            <w:r>
              <w:rPr>
                <w:rFonts w:hint="eastAsia" w:ascii="宋体" w:hAnsi="宋体" w:cs="宋体"/>
                <w:color w:val="auto"/>
                <w:sz w:val="24"/>
                <w:szCs w:val="24"/>
                <w:highlight w:val="none"/>
              </w:rPr>
              <w:t>国产化适配服务</w:t>
            </w:r>
            <w:bookmarkEnd w:id="268"/>
          </w:p>
        </w:tc>
        <w:tc>
          <w:tcPr>
            <w:tcW w:w="733" w:type="pct"/>
            <w:shd w:val="clear" w:color="auto" w:fill="auto"/>
            <w:noWrap w:val="0"/>
            <w:vAlign w:val="center"/>
          </w:tcPr>
          <w:p w14:paraId="3FDA0938">
            <w:pPr>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1</w:t>
            </w:r>
          </w:p>
        </w:tc>
        <w:tc>
          <w:tcPr>
            <w:tcW w:w="816" w:type="pct"/>
            <w:shd w:val="clear" w:color="auto" w:fill="auto"/>
            <w:noWrap w:val="0"/>
            <w:vAlign w:val="center"/>
          </w:tcPr>
          <w:p w14:paraId="0F892C92">
            <w:pPr>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项</w:t>
            </w:r>
          </w:p>
        </w:tc>
      </w:tr>
      <w:tr w14:paraId="4810A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60" w:type="pct"/>
            <w:shd w:val="clear" w:color="auto" w:fill="auto"/>
            <w:noWrap w:val="0"/>
            <w:vAlign w:val="top"/>
          </w:tcPr>
          <w:p w14:paraId="48616684">
            <w:pPr>
              <w:spacing w:line="400" w:lineRule="exact"/>
              <w:jc w:val="center"/>
              <w:outlineLvl w:val="9"/>
              <w:rPr>
                <w:rFonts w:hint="default" w:ascii="宋体" w:hAnsi="宋体" w:cs="宋体"/>
                <w:color w:val="auto"/>
                <w:sz w:val="24"/>
                <w:szCs w:val="24"/>
                <w:highlight w:val="none"/>
                <w:lang w:val="en-US" w:eastAsia="zh-CN"/>
              </w:rPr>
            </w:pPr>
            <w:bookmarkStart w:id="269" w:name="_Toc27090"/>
            <w:r>
              <w:rPr>
                <w:rFonts w:hint="eastAsia" w:ascii="宋体" w:hAnsi="宋体" w:cs="宋体"/>
                <w:color w:val="auto"/>
                <w:sz w:val="24"/>
                <w:szCs w:val="24"/>
                <w:highlight w:val="none"/>
                <w:lang w:val="en-US" w:eastAsia="zh-CN"/>
              </w:rPr>
              <w:t>9</w:t>
            </w:r>
            <w:bookmarkEnd w:id="269"/>
          </w:p>
        </w:tc>
        <w:tc>
          <w:tcPr>
            <w:tcW w:w="2790" w:type="pct"/>
            <w:shd w:val="clear" w:color="auto" w:fill="auto"/>
            <w:noWrap w:val="0"/>
            <w:vAlign w:val="top"/>
          </w:tcPr>
          <w:p w14:paraId="16D75DF3">
            <w:pPr>
              <w:spacing w:line="400" w:lineRule="exact"/>
              <w:jc w:val="center"/>
              <w:outlineLvl w:val="9"/>
              <w:rPr>
                <w:rFonts w:hint="eastAsia" w:ascii="宋体" w:hAnsi="宋体" w:cs="宋体"/>
                <w:color w:val="auto"/>
                <w:sz w:val="24"/>
                <w:szCs w:val="24"/>
                <w:highlight w:val="none"/>
              </w:rPr>
            </w:pPr>
            <w:bookmarkStart w:id="270" w:name="_Toc7339"/>
            <w:r>
              <w:rPr>
                <w:rFonts w:hint="eastAsia" w:ascii="宋体" w:hAnsi="宋体" w:cs="宋体"/>
                <w:color w:val="auto"/>
                <w:sz w:val="24"/>
                <w:szCs w:val="24"/>
                <w:highlight w:val="none"/>
              </w:rPr>
              <w:t>平台集成测试服务</w:t>
            </w:r>
            <w:bookmarkEnd w:id="270"/>
          </w:p>
        </w:tc>
        <w:tc>
          <w:tcPr>
            <w:tcW w:w="733" w:type="pct"/>
            <w:shd w:val="clear" w:color="auto" w:fill="auto"/>
            <w:noWrap w:val="0"/>
            <w:vAlign w:val="center"/>
          </w:tcPr>
          <w:p w14:paraId="52024A02">
            <w:pPr>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1</w:t>
            </w:r>
          </w:p>
        </w:tc>
        <w:tc>
          <w:tcPr>
            <w:tcW w:w="816" w:type="pct"/>
            <w:shd w:val="clear" w:color="auto" w:fill="auto"/>
            <w:noWrap w:val="0"/>
            <w:vAlign w:val="center"/>
          </w:tcPr>
          <w:p w14:paraId="0D990E9D">
            <w:pPr>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项</w:t>
            </w:r>
          </w:p>
        </w:tc>
      </w:tr>
      <w:tr w14:paraId="65C51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60" w:type="pct"/>
            <w:shd w:val="clear" w:color="auto" w:fill="auto"/>
            <w:noWrap w:val="0"/>
            <w:vAlign w:val="top"/>
          </w:tcPr>
          <w:p w14:paraId="5C6042BC">
            <w:pPr>
              <w:spacing w:line="400" w:lineRule="exact"/>
              <w:jc w:val="center"/>
              <w:outlineLvl w:val="9"/>
              <w:rPr>
                <w:rFonts w:hint="default" w:ascii="宋体" w:hAnsi="宋体" w:cs="宋体"/>
                <w:color w:val="auto"/>
                <w:sz w:val="24"/>
                <w:szCs w:val="24"/>
                <w:highlight w:val="none"/>
                <w:lang w:val="en-US" w:eastAsia="zh-CN"/>
              </w:rPr>
            </w:pPr>
            <w:bookmarkStart w:id="271" w:name="_Toc3556"/>
            <w:r>
              <w:rPr>
                <w:rFonts w:hint="eastAsia" w:ascii="宋体" w:hAnsi="宋体" w:cs="宋体"/>
                <w:color w:val="auto"/>
                <w:sz w:val="24"/>
                <w:szCs w:val="24"/>
                <w:highlight w:val="none"/>
                <w:lang w:val="en-US" w:eastAsia="zh-CN"/>
              </w:rPr>
              <w:t>10</w:t>
            </w:r>
            <w:bookmarkEnd w:id="271"/>
          </w:p>
        </w:tc>
        <w:tc>
          <w:tcPr>
            <w:tcW w:w="2790" w:type="pct"/>
            <w:shd w:val="clear" w:color="auto" w:fill="auto"/>
            <w:noWrap w:val="0"/>
            <w:vAlign w:val="top"/>
          </w:tcPr>
          <w:p w14:paraId="42B70F4A">
            <w:pPr>
              <w:spacing w:line="400" w:lineRule="exact"/>
              <w:jc w:val="center"/>
              <w:outlineLvl w:val="9"/>
              <w:rPr>
                <w:rFonts w:hint="default" w:ascii="宋体" w:hAnsi="宋体" w:eastAsia="宋体" w:cs="宋体"/>
                <w:color w:val="auto"/>
                <w:sz w:val="24"/>
                <w:szCs w:val="24"/>
                <w:highlight w:val="none"/>
                <w:lang w:val="en-US" w:eastAsia="zh-CN"/>
              </w:rPr>
            </w:pPr>
            <w:bookmarkStart w:id="272" w:name="_Toc14874"/>
            <w:r>
              <w:rPr>
                <w:rFonts w:hint="eastAsia" w:ascii="宋体" w:hAnsi="宋体" w:cs="宋体"/>
                <w:b w:val="0"/>
                <w:bCs w:val="0"/>
                <w:color w:val="auto"/>
                <w:sz w:val="24"/>
                <w:szCs w:val="24"/>
                <w:highlight w:val="none"/>
                <w:lang w:val="en-US" w:eastAsia="zh-CN"/>
              </w:rPr>
              <w:t>统一监控预警服务</w:t>
            </w:r>
            <w:bookmarkEnd w:id="272"/>
          </w:p>
        </w:tc>
        <w:tc>
          <w:tcPr>
            <w:tcW w:w="733" w:type="pct"/>
            <w:shd w:val="clear" w:color="auto" w:fill="auto"/>
            <w:noWrap w:val="0"/>
            <w:vAlign w:val="center"/>
          </w:tcPr>
          <w:p w14:paraId="22118ACA">
            <w:pPr>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1</w:t>
            </w:r>
          </w:p>
        </w:tc>
        <w:tc>
          <w:tcPr>
            <w:tcW w:w="816" w:type="pct"/>
            <w:shd w:val="clear" w:color="auto" w:fill="auto"/>
            <w:noWrap w:val="0"/>
            <w:vAlign w:val="center"/>
          </w:tcPr>
          <w:p w14:paraId="2A42A6F6">
            <w:pPr>
              <w:spacing w:line="360" w:lineRule="auto"/>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rPr>
              <w:t>项</w:t>
            </w:r>
          </w:p>
        </w:tc>
      </w:tr>
    </w:tbl>
    <w:p w14:paraId="39FE3B25">
      <w:pPr>
        <w:numPr>
          <w:ilvl w:val="-1"/>
          <w:numId w:val="0"/>
        </w:numPr>
        <w:spacing w:line="520" w:lineRule="exact"/>
        <w:ind w:left="0" w:firstLine="420"/>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3.2详细服务要求</w:t>
      </w:r>
    </w:p>
    <w:p w14:paraId="39555C52">
      <w:pPr>
        <w:numPr>
          <w:ilvl w:val="-1"/>
          <w:numId w:val="0"/>
        </w:numPr>
        <w:tabs>
          <w:tab w:val="left" w:pos="0"/>
        </w:tabs>
        <w:spacing w:line="500" w:lineRule="exact"/>
        <w:ind w:left="0" w:firstLine="482"/>
        <w:outlineLvl w:val="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.1</w:t>
      </w:r>
      <w:r>
        <w:rPr>
          <w:rFonts w:hint="eastAsia" w:ascii="宋体" w:hAnsi="宋体" w:eastAsia="宋体" w:cs="宋体"/>
          <w:b/>
          <w:bCs/>
          <w:color w:val="auto"/>
          <w:sz w:val="24"/>
          <w:szCs w:val="24"/>
          <w:highlight w:val="none"/>
          <w:lang w:val="en-US" w:eastAsia="zh-CN" w:bidi="ar-SA"/>
        </w:rPr>
        <w:t>“一本账”平台运行服务要求</w:t>
      </w:r>
    </w:p>
    <w:p w14:paraId="1C5E9C63">
      <w:pPr>
        <w:tabs>
          <w:tab w:val="left" w:pos="0"/>
        </w:tabs>
        <w:spacing w:line="500" w:lineRule="exact"/>
        <w:ind w:firstLine="480"/>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按照全省</w:t>
      </w:r>
      <w:r>
        <w:rPr>
          <w:rFonts w:hint="eastAsia" w:ascii="宋体" w:hAnsi="宋体" w:eastAsia="宋体" w:cs="宋体"/>
          <w:b w:val="0"/>
          <w:bCs/>
          <w:color w:val="auto"/>
          <w:sz w:val="24"/>
          <w:szCs w:val="24"/>
          <w:highlight w:val="none"/>
          <w:lang w:val="en-US" w:eastAsia="zh-CN" w:bidi="ar-SA"/>
        </w:rPr>
        <w:t>“一本账”</w:t>
      </w:r>
      <w:r>
        <w:rPr>
          <w:rFonts w:hint="eastAsia" w:ascii="宋体" w:hAnsi="宋体" w:cs="宋体"/>
          <w:b w:val="0"/>
          <w:bCs/>
          <w:color w:val="auto"/>
          <w:sz w:val="24"/>
          <w:szCs w:val="24"/>
          <w:highlight w:val="none"/>
          <w:lang w:val="en-US" w:eastAsia="zh-CN" w:bidi="ar-SA"/>
        </w:rPr>
        <w:t>清单与指标管理要求，梳理全市</w:t>
      </w:r>
      <w:r>
        <w:rPr>
          <w:rFonts w:hint="eastAsia" w:ascii="宋体" w:hAnsi="宋体" w:eastAsia="宋体" w:cs="宋体"/>
          <w:b w:val="0"/>
          <w:bCs/>
          <w:color w:val="auto"/>
          <w:sz w:val="24"/>
          <w:szCs w:val="24"/>
          <w:highlight w:val="none"/>
          <w:lang w:val="en-US" w:eastAsia="zh-CN" w:bidi="ar-SA"/>
        </w:rPr>
        <w:t>“一本账”</w:t>
      </w:r>
      <w:r>
        <w:rPr>
          <w:rFonts w:hint="eastAsia" w:ascii="宋体" w:hAnsi="宋体" w:cs="宋体"/>
          <w:b w:val="0"/>
          <w:bCs/>
          <w:color w:val="auto"/>
          <w:sz w:val="24"/>
          <w:szCs w:val="24"/>
          <w:highlight w:val="none"/>
          <w:lang w:val="en-US" w:eastAsia="zh-CN" w:bidi="ar-SA"/>
        </w:rPr>
        <w:t>清单与指标</w:t>
      </w:r>
      <w:r>
        <w:rPr>
          <w:rFonts w:hint="eastAsia" w:ascii="宋体" w:hAnsi="宋体" w:cs="宋体"/>
          <w:bCs/>
          <w:color w:val="auto"/>
          <w:sz w:val="24"/>
          <w:szCs w:val="24"/>
          <w:highlight w:val="none"/>
          <w:lang w:val="en-US" w:eastAsia="zh-CN"/>
        </w:rPr>
        <w:t>，对接云、网、数、安、项目等管理平台，汇聚相关数据；核对接入</w:t>
      </w:r>
      <w:r>
        <w:rPr>
          <w:rFonts w:hint="eastAsia" w:ascii="宋体" w:hAnsi="宋体" w:eastAsia="宋体" w:cs="宋体"/>
          <w:b w:val="0"/>
          <w:bCs/>
          <w:color w:val="auto"/>
          <w:sz w:val="24"/>
          <w:szCs w:val="24"/>
          <w:highlight w:val="none"/>
          <w:lang w:val="en-US" w:eastAsia="zh-CN" w:bidi="ar-SA"/>
        </w:rPr>
        <w:t>“一本账”</w:t>
      </w:r>
      <w:r>
        <w:rPr>
          <w:rFonts w:hint="eastAsia" w:ascii="宋体" w:hAnsi="宋体" w:cs="宋体"/>
          <w:b w:val="0"/>
          <w:bCs/>
          <w:color w:val="auto"/>
          <w:sz w:val="24"/>
          <w:szCs w:val="24"/>
          <w:highlight w:val="none"/>
          <w:lang w:val="en-US" w:eastAsia="zh-CN" w:bidi="ar-SA"/>
        </w:rPr>
        <w:t>的数据质量情况，开展异常数据处理；加强平台运行监测，保障数据及时稳定上报；根据本地</w:t>
      </w:r>
      <w:r>
        <w:rPr>
          <w:rFonts w:hint="eastAsia" w:ascii="宋体" w:hAnsi="宋体" w:eastAsia="宋体" w:cs="宋体"/>
          <w:b w:val="0"/>
          <w:bCs/>
          <w:color w:val="auto"/>
          <w:sz w:val="24"/>
          <w:szCs w:val="24"/>
          <w:highlight w:val="none"/>
          <w:lang w:val="en-US" w:eastAsia="zh-CN" w:bidi="ar-SA"/>
        </w:rPr>
        <w:t>“一本账”</w:t>
      </w:r>
      <w:r>
        <w:rPr>
          <w:rFonts w:hint="eastAsia" w:ascii="宋体" w:hAnsi="宋体" w:cs="宋体"/>
          <w:b w:val="0"/>
          <w:bCs/>
          <w:color w:val="auto"/>
          <w:sz w:val="24"/>
          <w:szCs w:val="24"/>
          <w:highlight w:val="none"/>
          <w:lang w:val="en-US" w:eastAsia="zh-CN" w:bidi="ar-SA"/>
        </w:rPr>
        <w:t>后续工作安排，支撑本地化清单指标及服务接口的配置。</w:t>
      </w:r>
    </w:p>
    <w:p w14:paraId="5BD6E561">
      <w:pPr>
        <w:numPr>
          <w:ilvl w:val="0"/>
          <w:numId w:val="0"/>
        </w:numPr>
        <w:tabs>
          <w:tab w:val="left" w:pos="0"/>
        </w:tabs>
        <w:spacing w:line="500" w:lineRule="exact"/>
        <w:ind w:firstLine="480" w:firstLineChars="0"/>
        <w:rPr>
          <w:rFonts w:hint="eastAsia" w:ascii="宋体" w:hAnsi="宋体" w:cs="宋体"/>
          <w:bCs/>
          <w:color w:val="auto"/>
          <w:sz w:val="24"/>
          <w:szCs w:val="24"/>
          <w:highlight w:val="none"/>
        </w:rPr>
      </w:pPr>
      <w:r>
        <w:rPr>
          <w:rFonts w:hint="eastAsia" w:ascii="宋体" w:hAnsi="宋体" w:eastAsia="宋体" w:cs="宋体"/>
          <w:bCs/>
          <w:color w:val="auto"/>
          <w:sz w:val="24"/>
          <w:szCs w:val="24"/>
          <w:lang w:val="en-US" w:eastAsia="zh-CN" w:bidi="ar-SA"/>
        </w:rPr>
        <w:t>1.</w:t>
      </w:r>
      <w:r>
        <w:rPr>
          <w:rFonts w:hint="eastAsia" w:ascii="宋体" w:hAnsi="宋体" w:cs="宋体"/>
          <w:bCs/>
          <w:color w:val="auto"/>
          <w:sz w:val="24"/>
          <w:szCs w:val="24"/>
          <w:highlight w:val="none"/>
        </w:rPr>
        <w:t>清单指标体系梳理</w:t>
      </w:r>
    </w:p>
    <w:p w14:paraId="0C723A04">
      <w:pPr>
        <w:numPr>
          <w:ilvl w:val="0"/>
          <w:numId w:val="0"/>
        </w:numPr>
        <w:tabs>
          <w:tab w:val="left" w:pos="0"/>
        </w:tabs>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对照省“一本账”建设指南，全面梳理事项、项目、系统、数据资源、基础设施等8类清单及对应业务指标，细化各项指标计算逻辑，在“一本账”平台完成维护配置，构建标准化“账本”及指标体系。建立常态化动态更新机制，持续做好指标的维护迭代，确保指标统计口径统一、定义清晰、数据精准，杜绝歧义与偏差，为全市数字化资源统筹管理提供坚实支撑。</w:t>
      </w:r>
    </w:p>
    <w:p w14:paraId="49BC813D">
      <w:pPr>
        <w:numPr>
          <w:ilvl w:val="0"/>
          <w:numId w:val="0"/>
        </w:numPr>
        <w:tabs>
          <w:tab w:val="left" w:pos="0"/>
        </w:tabs>
        <w:spacing w:line="500" w:lineRule="exact"/>
        <w:ind w:firstLine="480" w:firstLineChars="0"/>
        <w:rPr>
          <w:rFonts w:hint="eastAsia" w:ascii="宋体" w:hAnsi="宋体" w:cs="宋体"/>
          <w:bCs/>
          <w:color w:val="auto"/>
          <w:sz w:val="24"/>
          <w:szCs w:val="24"/>
          <w:highlight w:val="none"/>
        </w:rPr>
      </w:pPr>
      <w:r>
        <w:rPr>
          <w:rFonts w:hint="eastAsia" w:ascii="宋体" w:hAnsi="宋体" w:eastAsia="宋体" w:cs="宋体"/>
          <w:bCs/>
          <w:color w:val="auto"/>
          <w:sz w:val="24"/>
          <w:szCs w:val="24"/>
          <w:lang w:val="en-US" w:eastAsia="zh-CN" w:bidi="ar-SA"/>
        </w:rPr>
        <w:t>2.</w:t>
      </w:r>
      <w:r>
        <w:rPr>
          <w:rFonts w:hint="eastAsia" w:ascii="宋体" w:hAnsi="宋体" w:cs="宋体"/>
          <w:bCs/>
          <w:color w:val="auto"/>
          <w:sz w:val="24"/>
          <w:szCs w:val="24"/>
          <w:highlight w:val="none"/>
        </w:rPr>
        <w:t>跨系统数据对接与数据核对</w:t>
      </w:r>
    </w:p>
    <w:p w14:paraId="65737EC6">
      <w:pPr>
        <w:numPr>
          <w:ilvl w:val="0"/>
          <w:numId w:val="0"/>
        </w:numPr>
        <w:tabs>
          <w:tab w:val="left" w:pos="0"/>
        </w:tabs>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对接云、网、数、安、项目等管理平台，打通跨系统数据交互通道。具体工作包括：协助各业务单位完成“一本账”清单的梳理与准备，开展指标数据的计算与校验；指导各单位开展数据上报工作，并对上报过程中出现的异常问题进行跟踪与处理，确保数据及时、准确、完整地汇聚至目标平台。</w:t>
      </w:r>
    </w:p>
    <w:p w14:paraId="46687A39">
      <w:pPr>
        <w:numPr>
          <w:ilvl w:val="0"/>
          <w:numId w:val="0"/>
        </w:numPr>
        <w:tabs>
          <w:tab w:val="left" w:pos="0"/>
        </w:tabs>
        <w:spacing w:line="500" w:lineRule="exact"/>
        <w:ind w:firstLine="480" w:firstLineChars="0"/>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lang w:val="en-US" w:eastAsia="zh-CN" w:bidi="ar-SA"/>
        </w:rPr>
        <w:t>3.</w:t>
      </w:r>
      <w:r>
        <w:rPr>
          <w:rFonts w:hint="eastAsia" w:ascii="宋体" w:hAnsi="宋体" w:cs="宋体"/>
          <w:bCs/>
          <w:color w:val="auto"/>
          <w:sz w:val="24"/>
          <w:szCs w:val="24"/>
          <w:highlight w:val="none"/>
          <w:lang w:val="en-US" w:eastAsia="zh-CN"/>
        </w:rPr>
        <w:t>数据级联</w:t>
      </w:r>
      <w:r>
        <w:rPr>
          <w:rFonts w:hint="eastAsia" w:ascii="宋体" w:hAnsi="宋体" w:cs="宋体"/>
          <w:bCs/>
          <w:color w:val="auto"/>
          <w:sz w:val="24"/>
          <w:szCs w:val="24"/>
          <w:highlight w:val="none"/>
        </w:rPr>
        <w:t>报送与</w:t>
      </w:r>
      <w:r>
        <w:rPr>
          <w:rFonts w:hint="eastAsia" w:ascii="宋体" w:hAnsi="宋体" w:cs="宋体"/>
          <w:bCs/>
          <w:color w:val="auto"/>
          <w:sz w:val="24"/>
          <w:szCs w:val="24"/>
          <w:highlight w:val="none"/>
          <w:lang w:val="en-US" w:eastAsia="zh-CN"/>
        </w:rPr>
        <w:t>监测</w:t>
      </w:r>
    </w:p>
    <w:p w14:paraId="1C6334F8">
      <w:pPr>
        <w:numPr>
          <w:ilvl w:val="0"/>
          <w:numId w:val="0"/>
        </w:numPr>
        <w:tabs>
          <w:tab w:val="left" w:pos="0"/>
        </w:tabs>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监控宿迁市各类清单指标向省“一本账”平台的报送全流程，实时跟踪报送进度、接入状态与入库结果；对报送异常、链路中断等问题进行及时处理，建立问题台账，保障“一本账”数据级联报送工作有序开展。</w:t>
      </w:r>
    </w:p>
    <w:p w14:paraId="410D378B">
      <w:pPr>
        <w:numPr>
          <w:ilvl w:val="0"/>
          <w:numId w:val="0"/>
        </w:numPr>
        <w:tabs>
          <w:tab w:val="left" w:pos="0"/>
        </w:tabs>
        <w:spacing w:line="500" w:lineRule="exact"/>
        <w:ind w:firstLine="480" w:firstLineChars="0"/>
        <w:rPr>
          <w:rFonts w:hint="eastAsia" w:ascii="宋体" w:hAnsi="宋体" w:cs="宋体"/>
          <w:bCs/>
          <w:color w:val="auto"/>
          <w:sz w:val="24"/>
          <w:szCs w:val="24"/>
          <w:highlight w:val="none"/>
        </w:rPr>
      </w:pPr>
      <w:r>
        <w:rPr>
          <w:rFonts w:hint="eastAsia" w:ascii="宋体" w:hAnsi="宋体" w:eastAsia="宋体" w:cs="宋体"/>
          <w:bCs/>
          <w:color w:val="auto"/>
          <w:sz w:val="24"/>
          <w:szCs w:val="24"/>
          <w:lang w:val="en-US" w:eastAsia="zh-CN" w:bidi="ar-SA"/>
        </w:rPr>
        <w:t>4.</w:t>
      </w:r>
      <w:r>
        <w:rPr>
          <w:rFonts w:hint="eastAsia" w:ascii="宋体" w:hAnsi="宋体" w:cs="宋体"/>
          <w:bCs/>
          <w:color w:val="auto"/>
          <w:sz w:val="24"/>
          <w:szCs w:val="24"/>
          <w:highlight w:val="none"/>
          <w:lang w:val="en-US" w:eastAsia="zh-CN"/>
        </w:rPr>
        <w:t>平台账号权限</w:t>
      </w:r>
      <w:r>
        <w:rPr>
          <w:rFonts w:hint="eastAsia" w:ascii="宋体" w:hAnsi="宋体" w:cs="宋体"/>
          <w:bCs/>
          <w:color w:val="auto"/>
          <w:sz w:val="24"/>
          <w:szCs w:val="24"/>
          <w:highlight w:val="none"/>
        </w:rPr>
        <w:t>管理</w:t>
      </w:r>
    </w:p>
    <w:p w14:paraId="4A572351">
      <w:pPr>
        <w:numPr>
          <w:ilvl w:val="0"/>
          <w:numId w:val="0"/>
        </w:numPr>
        <w:tabs>
          <w:tab w:val="left" w:pos="0"/>
        </w:tabs>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配合开展账号权限与密钥管理工作，包括协助完成应用系统的接入配置、密钥分发及后续维护。具体涵盖：账号的创建、权限分配与回收，密钥的生成、分发、轮换与销毁等全生命周期管理；同步做好相关操作记录与台账维护，确保权限与密钥管理规范、可追溯。同时，配合完成接入系统的配置验证与联调测试，保障应用系统安全、稳定地接入平台。</w:t>
      </w:r>
    </w:p>
    <w:p w14:paraId="402234E1">
      <w:pPr>
        <w:numPr>
          <w:ilvl w:val="0"/>
          <w:numId w:val="0"/>
        </w:numPr>
        <w:tabs>
          <w:tab w:val="left" w:pos="0"/>
        </w:tabs>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5.平台运维监控</w:t>
      </w:r>
    </w:p>
    <w:p w14:paraId="36D00E40">
      <w:pPr>
        <w:numPr>
          <w:ilvl w:val="0"/>
          <w:numId w:val="0"/>
        </w:numPr>
        <w:tabs>
          <w:tab w:val="left" w:pos="0"/>
        </w:tabs>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监控平台整体运行状态，包括服务进程、中间件及数据库的健康状况。同时，对接口服务状态进行持续探测与巡检，及时发现并预警接口超时、响应异常等问题，保障各业务系统间数据交互的畅通与可靠。</w:t>
      </w:r>
    </w:p>
    <w:p w14:paraId="0A61F890">
      <w:pPr>
        <w:numPr>
          <w:ilvl w:val="0"/>
          <w:numId w:val="0"/>
        </w:numPr>
        <w:tabs>
          <w:tab w:val="left" w:pos="0"/>
        </w:tabs>
        <w:spacing w:line="500" w:lineRule="exact"/>
        <w:rPr>
          <w:rFonts w:hint="eastAsia" w:ascii="宋体" w:hAnsi="宋体" w:cs="宋体"/>
          <w:b w:val="0"/>
          <w:bCs/>
          <w:color w:val="auto"/>
          <w:sz w:val="24"/>
          <w:szCs w:val="24"/>
          <w:highlight w:val="none"/>
          <w:lang w:val="en-US" w:eastAsia="zh-CN" w:bidi="ar-SA"/>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6.</w:t>
      </w:r>
      <w:r>
        <w:rPr>
          <w:rFonts w:hint="eastAsia" w:ascii="宋体" w:hAnsi="宋体" w:cs="宋体"/>
          <w:b w:val="0"/>
          <w:bCs/>
          <w:color w:val="auto"/>
          <w:sz w:val="24"/>
          <w:szCs w:val="24"/>
          <w:highlight w:val="none"/>
          <w:lang w:val="en-US" w:eastAsia="zh-CN" w:bidi="ar-SA"/>
        </w:rPr>
        <w:t>本地</w:t>
      </w:r>
      <w:r>
        <w:rPr>
          <w:rFonts w:hint="eastAsia" w:ascii="宋体" w:hAnsi="宋体" w:eastAsia="宋体" w:cs="宋体"/>
          <w:b w:val="0"/>
          <w:bCs/>
          <w:color w:val="auto"/>
          <w:sz w:val="24"/>
          <w:szCs w:val="24"/>
          <w:highlight w:val="none"/>
          <w:lang w:val="en-US" w:eastAsia="zh-CN" w:bidi="ar-SA"/>
        </w:rPr>
        <w:t>“一本账”</w:t>
      </w:r>
      <w:r>
        <w:rPr>
          <w:rFonts w:hint="eastAsia" w:ascii="宋体" w:hAnsi="宋体" w:cs="宋体"/>
          <w:b w:val="0"/>
          <w:bCs/>
          <w:color w:val="auto"/>
          <w:sz w:val="24"/>
          <w:szCs w:val="24"/>
          <w:highlight w:val="none"/>
          <w:lang w:val="en-US" w:eastAsia="zh-CN" w:bidi="ar-SA"/>
        </w:rPr>
        <w:t>清单指标配置</w:t>
      </w:r>
    </w:p>
    <w:p w14:paraId="79B1BC4E">
      <w:pPr>
        <w:tabs>
          <w:tab w:val="left" w:pos="0"/>
        </w:tabs>
        <w:spacing w:line="500" w:lineRule="exact"/>
        <w:ind w:firstLine="480"/>
        <w:rPr>
          <w:rFonts w:hint="eastAsia"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结合我市“一本账”管理工作推进实际，紧扣工作需求，依托“一本账”平台开展定制化配置工作，完成数据服务接口的定制化开发与对接，打通数据流转链路，实现数据高效互通共享，为“一本账”管理工作的精细化、规范化开展提供坚实的技术支撑与数据保障。</w:t>
      </w:r>
    </w:p>
    <w:p w14:paraId="14C6214E">
      <w:pPr>
        <w:numPr>
          <w:ilvl w:val="-1"/>
          <w:numId w:val="0"/>
        </w:numPr>
        <w:tabs>
          <w:tab w:val="left" w:pos="0"/>
        </w:tabs>
        <w:spacing w:line="500" w:lineRule="exact"/>
        <w:ind w:left="0" w:firstLine="482"/>
        <w:outlineLvl w:val="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.2</w:t>
      </w:r>
      <w:r>
        <w:rPr>
          <w:rFonts w:hint="eastAsia" w:ascii="宋体" w:hAnsi="宋体" w:eastAsia="宋体" w:cs="宋体"/>
          <w:b/>
          <w:bCs/>
          <w:color w:val="auto"/>
          <w:sz w:val="24"/>
          <w:szCs w:val="24"/>
          <w:highlight w:val="none"/>
          <w:lang w:val="en-US" w:eastAsia="zh-CN" w:bidi="ar-SA"/>
        </w:rPr>
        <w:t>“一本账”平台部署服务要求</w:t>
      </w:r>
    </w:p>
    <w:p w14:paraId="4EF730B9">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完成数字资源</w:t>
      </w:r>
      <w:r>
        <w:rPr>
          <w:rFonts w:hint="eastAsia" w:ascii="宋体" w:hAnsi="宋体" w:cs="宋体"/>
          <w:b w:val="0"/>
          <w:bCs/>
          <w:color w:val="auto"/>
          <w:sz w:val="24"/>
          <w:szCs w:val="24"/>
          <w:highlight w:val="none"/>
          <w:lang w:val="en-US" w:eastAsia="zh-CN" w:bidi="ar-SA"/>
        </w:rPr>
        <w:t>“一本账”</w:t>
      </w:r>
      <w:r>
        <w:rPr>
          <w:rFonts w:hint="eastAsia" w:ascii="宋体" w:hAnsi="宋体" w:cs="宋体"/>
          <w:bCs/>
          <w:color w:val="auto"/>
          <w:sz w:val="24"/>
          <w:szCs w:val="24"/>
          <w:highlight w:val="none"/>
        </w:rPr>
        <w:t>平台的部署与上线，保障省市数据资源互联互通及平台稳定运行。本地化部署的功能模块包括以下部分，具体模块内容以省</w:t>
      </w:r>
      <w:r>
        <w:rPr>
          <w:rFonts w:hint="eastAsia" w:ascii="宋体" w:hAnsi="宋体" w:cs="宋体"/>
          <w:b w:val="0"/>
          <w:bCs/>
          <w:color w:val="auto"/>
          <w:sz w:val="24"/>
          <w:szCs w:val="24"/>
          <w:highlight w:val="none"/>
          <w:lang w:val="en-US" w:eastAsia="zh-CN" w:bidi="ar-SA"/>
        </w:rPr>
        <w:t>“一本账”</w:t>
      </w:r>
      <w:r>
        <w:rPr>
          <w:rFonts w:hint="eastAsia" w:ascii="宋体" w:hAnsi="宋体" w:cs="宋体"/>
          <w:bCs/>
          <w:color w:val="auto"/>
          <w:sz w:val="24"/>
          <w:szCs w:val="24"/>
          <w:highlight w:val="none"/>
        </w:rPr>
        <w:t>平台最终要求为准。</w:t>
      </w:r>
    </w:p>
    <w:p w14:paraId="6BD3DC17">
      <w:pPr>
        <w:numPr>
          <w:ilvl w:val="0"/>
          <w:numId w:val="0"/>
        </w:numPr>
        <w:tabs>
          <w:tab w:val="left" w:pos="0"/>
        </w:tabs>
        <w:spacing w:line="500" w:lineRule="exact"/>
        <w:ind w:firstLine="480" w:firstLineChars="0"/>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lang w:val="en-US" w:eastAsia="zh-CN" w:bidi="ar-SA"/>
        </w:rPr>
        <w:t>1.</w:t>
      </w:r>
      <w:r>
        <w:rPr>
          <w:rFonts w:hint="eastAsia" w:ascii="宋体" w:hAnsi="宋体" w:cs="宋体"/>
          <w:bCs/>
          <w:color w:val="auto"/>
          <w:sz w:val="24"/>
          <w:szCs w:val="24"/>
          <w:highlight w:val="none"/>
          <w:lang w:val="en-US" w:eastAsia="zh-CN"/>
        </w:rPr>
        <w:t>设计部署实施方案</w:t>
      </w:r>
    </w:p>
    <w:p w14:paraId="2D651DFC">
      <w:pPr>
        <w:numPr>
          <w:ilvl w:val="0"/>
          <w:numId w:val="0"/>
        </w:numPr>
        <w:tabs>
          <w:tab w:val="left" w:pos="0"/>
        </w:tabs>
        <w:spacing w:line="500" w:lineRule="exact"/>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结合省</w:t>
      </w:r>
      <w:r>
        <w:rPr>
          <w:rFonts w:hint="eastAsia" w:ascii="宋体" w:hAnsi="宋体" w:cs="宋体"/>
          <w:b w:val="0"/>
          <w:bCs/>
          <w:color w:val="auto"/>
          <w:sz w:val="24"/>
          <w:szCs w:val="24"/>
          <w:highlight w:val="none"/>
          <w:lang w:val="en-US" w:eastAsia="zh-CN" w:bidi="ar-SA"/>
        </w:rPr>
        <w:t>“一本账”</w:t>
      </w:r>
      <w:r>
        <w:rPr>
          <w:rFonts w:hint="eastAsia" w:ascii="宋体" w:hAnsi="宋体" w:cs="宋体"/>
          <w:bCs/>
          <w:color w:val="auto"/>
          <w:sz w:val="24"/>
          <w:szCs w:val="24"/>
          <w:highlight w:val="none"/>
          <w:lang w:val="en-US" w:eastAsia="zh-CN"/>
        </w:rPr>
        <w:t>平台部署建议与本地现场实际情况，开展系统部署规划设计，具体包括绘制系统网络架构图、明确网络链路及配置规范，全面梳理软件清单，评估服务器、存储、网络端口等硬件资源需求，并统一规范内部时间源、磁盘分区挂载、服务器账号管理等基础环境标准，为平台落地实施提供完整的技术依据。</w:t>
      </w:r>
    </w:p>
    <w:p w14:paraId="5BC1D478">
      <w:pPr>
        <w:numPr>
          <w:ilvl w:val="0"/>
          <w:numId w:val="0"/>
        </w:numPr>
        <w:tabs>
          <w:tab w:val="left" w:pos="0"/>
        </w:tabs>
        <w:spacing w:line="500" w:lineRule="exact"/>
        <w:ind w:firstLine="480" w:firstLineChars="0"/>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lang w:val="en-US" w:eastAsia="zh-CN" w:bidi="ar-SA"/>
        </w:rPr>
        <w:t>2.</w:t>
      </w:r>
      <w:r>
        <w:rPr>
          <w:rFonts w:hint="eastAsia" w:ascii="宋体" w:hAnsi="宋体" w:cs="宋体"/>
          <w:bCs/>
          <w:color w:val="auto"/>
          <w:sz w:val="24"/>
          <w:szCs w:val="24"/>
          <w:highlight w:val="none"/>
          <w:lang w:val="en-US" w:eastAsia="zh-CN"/>
        </w:rPr>
        <w:t>开展实施部署</w:t>
      </w:r>
    </w:p>
    <w:p w14:paraId="70897A5E">
      <w:pPr>
        <w:numPr>
          <w:ilvl w:val="0"/>
          <w:numId w:val="0"/>
        </w:numPr>
        <w:tabs>
          <w:tab w:val="left" w:pos="0"/>
        </w:tabs>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依据系统部署设计方案，组织开展</w:t>
      </w:r>
      <w:r>
        <w:rPr>
          <w:rFonts w:hint="eastAsia" w:ascii="宋体" w:hAnsi="宋体" w:cs="宋体"/>
          <w:b w:val="0"/>
          <w:bCs/>
          <w:color w:val="auto"/>
          <w:sz w:val="24"/>
          <w:szCs w:val="24"/>
          <w:highlight w:val="none"/>
          <w:lang w:val="en-US" w:eastAsia="zh-CN" w:bidi="ar-SA"/>
        </w:rPr>
        <w:t>“一本账”</w:t>
      </w:r>
      <w:r>
        <w:rPr>
          <w:rFonts w:hint="eastAsia" w:ascii="宋体" w:hAnsi="宋体" w:cs="宋体"/>
          <w:bCs/>
          <w:color w:val="auto"/>
          <w:sz w:val="24"/>
          <w:szCs w:val="24"/>
          <w:highlight w:val="none"/>
          <w:lang w:val="en-US" w:eastAsia="zh-CN"/>
        </w:rPr>
        <w:t>平台的实施部署工作。具体包括：完成服务器资源申请，部署中间件、数据库及各类支撑组件，搭建平台运行基础环境；按照省</w:t>
      </w:r>
      <w:r>
        <w:rPr>
          <w:rFonts w:hint="eastAsia" w:ascii="宋体" w:hAnsi="宋体" w:cs="宋体"/>
          <w:b w:val="0"/>
          <w:bCs/>
          <w:color w:val="auto"/>
          <w:sz w:val="24"/>
          <w:szCs w:val="24"/>
          <w:highlight w:val="none"/>
          <w:lang w:val="en-US" w:eastAsia="zh-CN" w:bidi="ar-SA"/>
        </w:rPr>
        <w:t>“一本账”</w:t>
      </w:r>
      <w:r>
        <w:rPr>
          <w:rFonts w:hint="eastAsia" w:ascii="宋体" w:hAnsi="宋体" w:cs="宋体"/>
          <w:bCs/>
          <w:color w:val="auto"/>
          <w:sz w:val="24"/>
          <w:szCs w:val="24"/>
          <w:highlight w:val="none"/>
          <w:lang w:val="en-US" w:eastAsia="zh-CN"/>
        </w:rPr>
        <w:t>平台软件部署手册，完成平台各软件模块的部署与上线。同时，明确服务网络端口开放要求，协同政务云团队完成平台网络权限配置，确保网络环境满足平台运行需求，同步输出部署文档。</w:t>
      </w:r>
    </w:p>
    <w:p w14:paraId="1153954B">
      <w:pPr>
        <w:tabs>
          <w:tab w:val="left" w:pos="0"/>
        </w:tabs>
        <w:spacing w:line="500" w:lineRule="exact"/>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3.系统对接</w:t>
      </w:r>
    </w:p>
    <w:p w14:paraId="398365E6">
      <w:pPr>
        <w:tabs>
          <w:tab w:val="left" w:pos="0"/>
        </w:tabs>
        <w:spacing w:line="500" w:lineRule="exact"/>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完成本地</w:t>
      </w:r>
      <w:r>
        <w:rPr>
          <w:rFonts w:hint="eastAsia" w:ascii="宋体" w:hAnsi="宋体" w:cs="宋体"/>
          <w:b w:val="0"/>
          <w:bCs/>
          <w:color w:val="auto"/>
          <w:sz w:val="24"/>
          <w:szCs w:val="24"/>
          <w:highlight w:val="none"/>
          <w:lang w:val="en-US" w:eastAsia="zh-CN" w:bidi="ar-SA"/>
        </w:rPr>
        <w:t>“一本账”</w:t>
      </w:r>
      <w:r>
        <w:rPr>
          <w:rFonts w:hint="eastAsia" w:ascii="宋体" w:hAnsi="宋体" w:cs="宋体"/>
          <w:bCs/>
          <w:color w:val="auto"/>
          <w:sz w:val="24"/>
          <w:szCs w:val="24"/>
          <w:highlight w:val="none"/>
          <w:lang w:val="en-US" w:eastAsia="zh-CN"/>
        </w:rPr>
        <w:t>平台与政务云平台、省</w:t>
      </w:r>
      <w:r>
        <w:rPr>
          <w:rFonts w:hint="eastAsia" w:ascii="宋体" w:hAnsi="宋体" w:cs="宋体"/>
          <w:b w:val="0"/>
          <w:bCs/>
          <w:color w:val="auto"/>
          <w:sz w:val="24"/>
          <w:szCs w:val="24"/>
          <w:highlight w:val="none"/>
          <w:lang w:val="en-US" w:eastAsia="zh-CN" w:bidi="ar-SA"/>
        </w:rPr>
        <w:t>“一本账”</w:t>
      </w:r>
      <w:r>
        <w:rPr>
          <w:rFonts w:hint="eastAsia" w:ascii="宋体" w:hAnsi="宋体" w:cs="宋体"/>
          <w:bCs/>
          <w:color w:val="auto"/>
          <w:sz w:val="24"/>
          <w:szCs w:val="24"/>
          <w:highlight w:val="none"/>
          <w:lang w:val="en-US" w:eastAsia="zh-CN"/>
        </w:rPr>
        <w:t>平台、省统一用户认证系统及省数字资源一体化服务平台的接口对接，打通数据交互通道，实现省市两级数据资源目录同步、用户统一认证登录及业务协同联动，保障平台间数据互通、流程贯通、安全可控。</w:t>
      </w:r>
    </w:p>
    <w:p w14:paraId="3CC9959D">
      <w:pPr>
        <w:tabs>
          <w:tab w:val="left" w:pos="0"/>
        </w:tabs>
        <w:spacing w:line="500" w:lineRule="exact"/>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4.功能模块测试</w:t>
      </w:r>
    </w:p>
    <w:p w14:paraId="71857639">
      <w:pPr>
        <w:numPr>
          <w:ilvl w:val="-1"/>
          <w:numId w:val="0"/>
        </w:numPr>
        <w:spacing w:line="520" w:lineRule="exact"/>
        <w:ind w:left="0" w:firstLine="420"/>
        <w:outlineLvl w:val="9"/>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上线完成后，组织开展平台各功能模块的全面测试工作。具体包括：依据功能需求规格说明，逐模块开展功能验证测试，覆盖数据录入、查询统计、流程审批、接口交互等核心业务场景；针对测试过程中发现的问题，及时记录、分类并反馈至相关开发团队进行修复，修复后组织回归验证，确保问题闭环。测试工作完成后，形成功能测试报告，为平台正式运行提供质量保障依据。</w:t>
      </w:r>
    </w:p>
    <w:p w14:paraId="3DDA2104">
      <w:pPr>
        <w:numPr>
          <w:ilvl w:val="-1"/>
          <w:numId w:val="0"/>
        </w:numPr>
        <w:spacing w:line="520" w:lineRule="exact"/>
        <w:ind w:left="0" w:firstLine="420"/>
        <w:outlineLvl w:val="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.3</w:t>
      </w:r>
      <w:r>
        <w:rPr>
          <w:rFonts w:hint="eastAsia" w:ascii="宋体" w:hAnsi="宋体" w:eastAsia="宋体" w:cs="宋体"/>
          <w:b/>
          <w:bCs/>
          <w:color w:val="auto"/>
          <w:sz w:val="24"/>
          <w:szCs w:val="24"/>
          <w:highlight w:val="none"/>
          <w:lang w:val="en-US" w:eastAsia="zh-CN" w:bidi="ar-SA"/>
        </w:rPr>
        <w:t>公共数据平台服务要求</w:t>
      </w:r>
    </w:p>
    <w:p w14:paraId="768AE83B">
      <w:pPr>
        <w:numPr>
          <w:ilvl w:val="-1"/>
          <w:numId w:val="0"/>
        </w:numPr>
        <w:spacing w:line="520" w:lineRule="exact"/>
        <w:ind w:left="0" w:firstLine="420"/>
        <w:outlineLvl w:val="9"/>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围绕公共数据平台全生命周期建设，提供设计部署实施方案、开展实施部署、系统对接及功能模块测试</w:t>
      </w:r>
      <w:r>
        <w:rPr>
          <w:rFonts w:hint="eastAsia" w:ascii="宋体" w:hAnsi="宋体" w:cs="宋体"/>
          <w:b w:val="0"/>
          <w:bCs/>
          <w:color w:val="auto"/>
          <w:sz w:val="24"/>
          <w:szCs w:val="24"/>
          <w:highlight w:val="none"/>
          <w:lang w:val="en-US" w:eastAsia="zh-CN" w:bidi="ar-SA"/>
        </w:rPr>
        <w:t>等</w:t>
      </w:r>
      <w:r>
        <w:rPr>
          <w:rFonts w:hint="eastAsia" w:ascii="宋体" w:hAnsi="宋体" w:eastAsia="宋体" w:cs="宋体"/>
          <w:b w:val="0"/>
          <w:bCs/>
          <w:color w:val="auto"/>
          <w:sz w:val="24"/>
          <w:szCs w:val="24"/>
          <w:highlight w:val="none"/>
          <w:lang w:val="en-US" w:eastAsia="zh-CN" w:bidi="ar-SA"/>
        </w:rPr>
        <w:t>方面服务。结合省平台部署建议与本地实际，完成系统部署规划设计、基础环境搭建及各软件模块的部署上线；同步推进与市</w:t>
      </w:r>
      <w:r>
        <w:rPr>
          <w:rFonts w:hint="eastAsia" w:ascii="宋体" w:hAnsi="宋体" w:cs="宋体"/>
          <w:b w:val="0"/>
          <w:bCs/>
          <w:color w:val="auto"/>
          <w:sz w:val="24"/>
          <w:szCs w:val="24"/>
          <w:highlight w:val="none"/>
          <w:lang w:val="en-US" w:eastAsia="zh-CN" w:bidi="ar-SA"/>
        </w:rPr>
        <w:t>“一本账”</w:t>
      </w:r>
      <w:r>
        <w:rPr>
          <w:rFonts w:hint="eastAsia" w:ascii="宋体" w:hAnsi="宋体" w:eastAsia="宋体" w:cs="宋体"/>
          <w:b w:val="0"/>
          <w:bCs/>
          <w:color w:val="auto"/>
          <w:sz w:val="24"/>
          <w:szCs w:val="24"/>
          <w:highlight w:val="none"/>
          <w:lang w:val="en-US" w:eastAsia="zh-CN" w:bidi="ar-SA"/>
        </w:rPr>
        <w:t>系统、电子证照系统、事项库及省统一用户认证系统、省数字资源一体化服务平台、省公共数据平台</w:t>
      </w:r>
      <w:r>
        <w:rPr>
          <w:rFonts w:hint="eastAsia" w:ascii="宋体" w:hAnsi="宋体" w:cs="宋体"/>
          <w:b w:val="0"/>
          <w:bCs/>
          <w:color w:val="auto"/>
          <w:sz w:val="24"/>
          <w:szCs w:val="24"/>
          <w:highlight w:val="none"/>
          <w:lang w:val="en-US" w:eastAsia="zh-CN" w:bidi="ar-SA"/>
        </w:rPr>
        <w:t>和市公共数据治理平台</w:t>
      </w:r>
      <w:r>
        <w:rPr>
          <w:rFonts w:hint="eastAsia" w:ascii="宋体" w:hAnsi="宋体" w:eastAsia="宋体" w:cs="宋体"/>
          <w:b w:val="0"/>
          <w:bCs/>
          <w:color w:val="auto"/>
          <w:sz w:val="24"/>
          <w:szCs w:val="24"/>
          <w:highlight w:val="none"/>
          <w:lang w:val="en-US" w:eastAsia="zh-CN" w:bidi="ar-SA"/>
        </w:rPr>
        <w:t>的全面对接，打通省市两级数据交互通道；</w:t>
      </w:r>
      <w:r>
        <w:rPr>
          <w:rFonts w:hint="eastAsia" w:ascii="宋体" w:hAnsi="宋体" w:cs="宋体"/>
          <w:b w:val="0"/>
          <w:bCs/>
          <w:color w:val="auto"/>
          <w:sz w:val="24"/>
          <w:szCs w:val="24"/>
          <w:highlight w:val="none"/>
          <w:lang w:val="en-US" w:eastAsia="zh-CN" w:bidi="ar-SA"/>
        </w:rPr>
        <w:t>按项目计划有序开展平台的功能测试，系统上线前完成对系统的性能和安全测试，确保系统健康上线。</w:t>
      </w:r>
    </w:p>
    <w:p w14:paraId="108018D2">
      <w:pPr>
        <w:numPr>
          <w:ilvl w:val="-1"/>
          <w:numId w:val="0"/>
        </w:numPr>
        <w:spacing w:line="520" w:lineRule="exact"/>
        <w:ind w:left="0" w:firstLine="420"/>
        <w:outlineLvl w:val="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3.2.4公共数据治理平台服务要求</w:t>
      </w:r>
    </w:p>
    <w:p w14:paraId="4C998D40">
      <w:pPr>
        <w:numPr>
          <w:ilvl w:val="-1"/>
          <w:numId w:val="0"/>
        </w:numPr>
        <w:tabs>
          <w:tab w:val="left" w:pos="0"/>
        </w:tabs>
        <w:spacing w:line="500" w:lineRule="exact"/>
        <w:ind w:left="0" w:firstLine="480"/>
        <w:outlineLvl w:val="9"/>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围绕公共数据治理平台全生命周期建设，提供设计部署实施方案、开展实施部署、系统对接、功能模块测试与治理规则引入、公共数据元配置等方面服务。具体包括：结合省平台部署建议与本地实际，完成系统部署规划设计、基础环境搭建及各软件模块的部署上线，同步推进与市</w:t>
      </w:r>
      <w:r>
        <w:rPr>
          <w:rFonts w:hint="eastAsia" w:ascii="宋体" w:hAnsi="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lang w:val="en-US" w:eastAsia="zh-CN" w:bidi="ar-SA"/>
        </w:rPr>
        <w:t>一本账</w:t>
      </w:r>
      <w:r>
        <w:rPr>
          <w:rFonts w:hint="eastAsia" w:ascii="宋体" w:hAnsi="宋体" w:cs="宋体"/>
          <w:b w:val="0"/>
          <w:bCs/>
          <w:color w:val="auto"/>
          <w:sz w:val="24"/>
          <w:szCs w:val="24"/>
          <w:highlight w:val="none"/>
          <w:lang w:val="en-US" w:eastAsia="zh-CN" w:bidi="ar-SA"/>
        </w:rPr>
        <w:t>”</w:t>
      </w:r>
      <w:r>
        <w:rPr>
          <w:rFonts w:hint="eastAsia" w:ascii="宋体" w:hAnsi="宋体" w:eastAsia="宋体" w:cs="宋体"/>
          <w:b w:val="0"/>
          <w:bCs/>
          <w:color w:val="auto"/>
          <w:sz w:val="24"/>
          <w:szCs w:val="24"/>
          <w:highlight w:val="none"/>
          <w:lang w:val="en-US" w:eastAsia="zh-CN" w:bidi="ar-SA"/>
        </w:rPr>
        <w:t>系统、省统一用户认证系统</w:t>
      </w:r>
      <w:r>
        <w:rPr>
          <w:rFonts w:hint="eastAsia" w:ascii="宋体" w:hAnsi="宋体" w:cs="宋体"/>
          <w:b w:val="0"/>
          <w:bCs/>
          <w:color w:val="auto"/>
          <w:sz w:val="24"/>
          <w:szCs w:val="24"/>
          <w:highlight w:val="none"/>
          <w:lang w:val="en-US" w:eastAsia="zh-CN" w:bidi="ar-SA"/>
        </w:rPr>
        <w:t>、市公共数据平台</w:t>
      </w:r>
      <w:r>
        <w:rPr>
          <w:rFonts w:hint="eastAsia" w:ascii="宋体" w:hAnsi="宋体" w:eastAsia="宋体" w:cs="宋体"/>
          <w:b w:val="0"/>
          <w:bCs/>
          <w:color w:val="auto"/>
          <w:sz w:val="24"/>
          <w:szCs w:val="24"/>
          <w:highlight w:val="none"/>
          <w:lang w:val="en-US" w:eastAsia="zh-CN" w:bidi="ar-SA"/>
        </w:rPr>
        <w:t>等平台的对接工作；按照项目整体实施计划，将部署实施、系统对接、功能测试验证与治理规则引入并行推进，在完成各软件模块部署上线及系统对接的同时，同步组织开展功能验证、集成测试及压力测试，对平台各模块功能完整性、系统间数据流转与业务协同、高并发场景下的承载能力进行全面验证；依据江苏省公共数据元规范完成数据元目录的导入与配置，确保数据标准统一、口径一致；在此基础上，同步完成治理规则配置与脚本管理等基础规则引入，确保部署、对接、测试、规则配置各项工作有序衔接。</w:t>
      </w:r>
    </w:p>
    <w:p w14:paraId="39F98FD5">
      <w:pPr>
        <w:numPr>
          <w:ilvl w:val="-1"/>
          <w:numId w:val="0"/>
        </w:numPr>
        <w:tabs>
          <w:tab w:val="left" w:pos="0"/>
        </w:tabs>
        <w:spacing w:line="500" w:lineRule="exact"/>
        <w:ind w:left="0" w:firstLine="482"/>
        <w:outlineLvl w:val="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.5</w:t>
      </w:r>
      <w:r>
        <w:rPr>
          <w:rFonts w:hint="eastAsia" w:ascii="宋体" w:hAnsi="宋体" w:eastAsia="宋体" w:cs="宋体"/>
          <w:b/>
          <w:bCs/>
          <w:color w:val="auto"/>
          <w:sz w:val="24"/>
          <w:szCs w:val="24"/>
          <w:highlight w:val="none"/>
          <w:lang w:val="en-US" w:eastAsia="zh-CN" w:bidi="ar-SA"/>
        </w:rPr>
        <w:t>公共数据开放平台服务要求</w:t>
      </w:r>
    </w:p>
    <w:p w14:paraId="541995BC">
      <w:pPr>
        <w:numPr>
          <w:ilvl w:val="0"/>
          <w:numId w:val="0"/>
        </w:numPr>
        <w:tabs>
          <w:tab w:val="left" w:pos="0"/>
        </w:tabs>
        <w:spacing w:line="500" w:lineRule="exact"/>
        <w:ind w:firstLine="420"/>
        <w:outlineLvl w:val="9"/>
        <w:rPr>
          <w:rFonts w:hint="eastAsia" w:ascii="宋体" w:hAnsi="宋体" w:cs="宋体"/>
          <w:bCs/>
          <w:color w:val="auto"/>
          <w:sz w:val="24"/>
          <w:szCs w:val="24"/>
          <w:highlight w:val="none"/>
        </w:rPr>
      </w:pPr>
      <w:r>
        <w:rPr>
          <w:rFonts w:hint="eastAsia" w:ascii="宋体" w:hAnsi="宋体" w:eastAsia="宋体" w:cs="宋体"/>
          <w:b w:val="0"/>
          <w:bCs/>
          <w:color w:val="auto"/>
          <w:sz w:val="24"/>
          <w:szCs w:val="24"/>
          <w:highlight w:val="none"/>
          <w:lang w:val="en-US" w:eastAsia="zh-CN" w:bidi="ar-SA"/>
        </w:rPr>
        <w:t>围绕公共数据开放平台全生命周期建设，提供设计部署实施方案、开展实施部署、系统对接、功能模块测试</w:t>
      </w:r>
      <w:r>
        <w:rPr>
          <w:rFonts w:hint="eastAsia" w:ascii="宋体" w:hAnsi="宋体" w:cs="宋体"/>
          <w:b w:val="0"/>
          <w:bCs/>
          <w:color w:val="auto"/>
          <w:sz w:val="24"/>
          <w:szCs w:val="24"/>
          <w:highlight w:val="none"/>
          <w:lang w:val="en-US" w:eastAsia="zh-CN" w:bidi="ar-SA"/>
        </w:rPr>
        <w:t>等</w:t>
      </w:r>
      <w:r>
        <w:rPr>
          <w:rFonts w:hint="eastAsia" w:ascii="宋体" w:hAnsi="宋体" w:eastAsia="宋体" w:cs="宋体"/>
          <w:b w:val="0"/>
          <w:bCs/>
          <w:color w:val="auto"/>
          <w:sz w:val="24"/>
          <w:szCs w:val="24"/>
          <w:highlight w:val="none"/>
          <w:lang w:val="en-US" w:eastAsia="zh-CN" w:bidi="ar-SA"/>
        </w:rPr>
        <w:t>方面服务。结合省平台部署建议与本地实际，完成系统部署规划设计、基础环境搭建及各软件模块的部署上线；</w:t>
      </w:r>
      <w:r>
        <w:rPr>
          <w:rFonts w:hint="eastAsia" w:ascii="宋体" w:hAnsi="宋体" w:cs="宋体"/>
          <w:b w:val="0"/>
          <w:bCs/>
          <w:color w:val="auto"/>
          <w:sz w:val="24"/>
          <w:szCs w:val="24"/>
          <w:highlight w:val="none"/>
          <w:lang w:val="en-US" w:eastAsia="zh-CN" w:bidi="ar-SA"/>
        </w:rPr>
        <w:t>完成与相关网站系统集成，并与统一用户认证系统的打通</w:t>
      </w:r>
      <w:r>
        <w:rPr>
          <w:rFonts w:hint="eastAsia" w:ascii="宋体" w:hAnsi="宋体" w:eastAsia="宋体" w:cs="宋体"/>
          <w:b w:val="0"/>
          <w:bCs/>
          <w:color w:val="auto"/>
          <w:sz w:val="24"/>
          <w:szCs w:val="24"/>
          <w:highlight w:val="none"/>
          <w:lang w:val="en-US" w:eastAsia="zh-CN" w:bidi="ar-SA"/>
        </w:rPr>
        <w:t>；按照项目整体实施计划，组织开展功能验证、集成测试及压力测试，形成测试报告，为平台正式运行提供技术保障。</w:t>
      </w:r>
    </w:p>
    <w:p w14:paraId="7456454D">
      <w:pPr>
        <w:numPr>
          <w:ilvl w:val="-1"/>
          <w:numId w:val="0"/>
        </w:numPr>
        <w:tabs>
          <w:tab w:val="left" w:pos="0"/>
        </w:tabs>
        <w:spacing w:line="500" w:lineRule="exact"/>
        <w:ind w:left="0" w:firstLine="482"/>
        <w:outlineLvl w:val="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.6</w:t>
      </w:r>
      <w:r>
        <w:rPr>
          <w:rFonts w:hint="eastAsia" w:ascii="宋体" w:hAnsi="宋体" w:eastAsia="宋体" w:cs="宋体"/>
          <w:b/>
          <w:bCs/>
          <w:color w:val="auto"/>
          <w:sz w:val="24"/>
          <w:szCs w:val="24"/>
          <w:highlight w:val="none"/>
          <w:lang w:val="en-US" w:eastAsia="zh-CN" w:bidi="ar-SA"/>
        </w:rPr>
        <w:t>数据场景化开发服务要求</w:t>
      </w:r>
    </w:p>
    <w:p w14:paraId="0BFDCB46">
      <w:pPr>
        <w:numPr>
          <w:ilvl w:val="-1"/>
          <w:numId w:val="0"/>
        </w:numPr>
        <w:tabs>
          <w:tab w:val="left" w:pos="0"/>
        </w:tabs>
        <w:spacing w:line="500" w:lineRule="exact"/>
        <w:ind w:left="0" w:firstLine="480"/>
        <w:outlineLvl w:val="9"/>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依托市级公共数据平台共享的公共数据资源，打造数据集成服务，面向全市各部门提供一站式数据场景化开发与服务能力。以数据资源接入为基础，提供数据开发、资源编排、报表开发及门户展示等全流程能力，实现接口、库表、文件等多类型数据的标准化接入与统一调度。内置工单管理机制，支持用户在线提交数据需求并实时跟踪处理进度，形成需求响应闭环。</w:t>
      </w:r>
      <w:r>
        <w:rPr>
          <w:rFonts w:hint="eastAsia" w:ascii="宋体" w:hAnsi="宋体" w:cs="宋体"/>
          <w:b w:val="0"/>
          <w:bCs/>
          <w:color w:val="auto"/>
          <w:sz w:val="24"/>
          <w:szCs w:val="24"/>
          <w:highlight w:val="none"/>
          <w:lang w:val="en-US" w:eastAsia="zh-CN" w:bidi="ar-SA"/>
        </w:rPr>
        <w:t>服务需满足</w:t>
      </w:r>
      <w:r>
        <w:rPr>
          <w:rFonts w:hint="eastAsia" w:ascii="宋体" w:hAnsi="宋体" w:eastAsia="宋体" w:cs="宋体"/>
          <w:b w:val="0"/>
          <w:bCs/>
          <w:color w:val="auto"/>
          <w:sz w:val="24"/>
          <w:szCs w:val="24"/>
          <w:highlight w:val="none"/>
          <w:lang w:val="en-US" w:eastAsia="zh-CN" w:bidi="ar-SA"/>
        </w:rPr>
        <w:t>数据安全管理能力，支持用户权限隔离、智能数据脱敏、动态水印溯源及全流程审计追溯，确保数据使用合规可控。用户可通过统一门户便捷查询、获取和使用数据，实现数据"申请即得、查询即看、即用即效"，切实打通基层数据服务</w:t>
      </w:r>
      <w:r>
        <w:rPr>
          <w:rFonts w:hint="eastAsia" w:ascii="宋体" w:hAnsi="宋体" w:cs="宋体"/>
          <w:b w:val="0"/>
          <w:bCs/>
          <w:color w:val="auto"/>
          <w:sz w:val="24"/>
          <w:szCs w:val="24"/>
          <w:highlight w:val="none"/>
          <w:lang w:val="en-US" w:eastAsia="zh-CN" w:bidi="ar-SA"/>
        </w:rPr>
        <w:t>“最后一公里”</w:t>
      </w:r>
      <w:r>
        <w:rPr>
          <w:rFonts w:hint="eastAsia" w:ascii="宋体" w:hAnsi="宋体" w:eastAsia="宋体" w:cs="宋体"/>
          <w:b w:val="0"/>
          <w:bCs/>
          <w:color w:val="auto"/>
          <w:sz w:val="24"/>
          <w:szCs w:val="24"/>
          <w:highlight w:val="none"/>
          <w:lang w:val="en-US" w:eastAsia="zh-CN" w:bidi="ar-SA"/>
        </w:rPr>
        <w:t>。</w:t>
      </w:r>
    </w:p>
    <w:p w14:paraId="093C517A">
      <w:pPr>
        <w:numPr>
          <w:ilvl w:val="-1"/>
          <w:numId w:val="0"/>
        </w:numPr>
        <w:tabs>
          <w:tab w:val="left" w:pos="0"/>
        </w:tabs>
        <w:spacing w:line="500" w:lineRule="exact"/>
        <w:ind w:firstLine="482"/>
        <w:outlineLvl w:val="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.7</w:t>
      </w:r>
      <w:r>
        <w:rPr>
          <w:rFonts w:hint="eastAsia" w:ascii="宋体" w:hAnsi="宋体" w:cs="宋体"/>
          <w:b/>
          <w:bCs/>
          <w:color w:val="auto"/>
          <w:sz w:val="24"/>
          <w:szCs w:val="24"/>
          <w:highlight w:val="none"/>
        </w:rPr>
        <w:t>数据迁移</w:t>
      </w:r>
      <w:r>
        <w:rPr>
          <w:rFonts w:hint="eastAsia" w:ascii="宋体" w:hAnsi="宋体" w:cs="宋体"/>
          <w:b/>
          <w:bCs/>
          <w:color w:val="auto"/>
          <w:sz w:val="24"/>
          <w:szCs w:val="24"/>
          <w:highlight w:val="none"/>
          <w:lang w:val="en-US" w:eastAsia="zh-CN"/>
        </w:rPr>
        <w:t>服务</w:t>
      </w:r>
      <w:r>
        <w:rPr>
          <w:rFonts w:hint="eastAsia" w:ascii="宋体" w:hAnsi="宋体" w:cs="宋体"/>
          <w:b/>
          <w:bCs/>
          <w:color w:val="auto"/>
          <w:sz w:val="24"/>
          <w:szCs w:val="24"/>
          <w:highlight w:val="none"/>
        </w:rPr>
        <w:t>要求</w:t>
      </w:r>
    </w:p>
    <w:p w14:paraId="4B04D5F2">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针对宿迁市公共数据平台存量数据、业务系统及关联资源，开展全量迁移、平滑迁移，严格遵循“先摸排、后迁移、再验证”的实施路径，全程分模块、分批次推进，保障政务数据服务平稳过渡。</w:t>
      </w:r>
    </w:p>
    <w:p w14:paraId="16E2065F">
      <w:pPr>
        <w:keepNext/>
        <w:keepLines/>
        <w:tabs>
          <w:tab w:val="left" w:pos="420"/>
        </w:tabs>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平台业务现状梳理</w:t>
      </w:r>
    </w:p>
    <w:p w14:paraId="63A804B1">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全面梳理现有服务器、组件、前置库、共享接口、库表、归集文件、对接通道等资源，形成详细台账，明确迁移范围、风险点、保障措施，核心梳理清单如下：</w:t>
      </w:r>
    </w:p>
    <w:tbl>
      <w:tblPr>
        <w:tblStyle w:val="35"/>
        <w:tblW w:w="92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3120"/>
        <w:gridCol w:w="5344"/>
      </w:tblGrid>
      <w:tr w14:paraId="6C275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40" w:type="dxa"/>
            <w:shd w:val="clear" w:color="000000" w:fill="F2F3F5"/>
            <w:noWrap w:val="0"/>
            <w:vAlign w:val="center"/>
          </w:tcPr>
          <w:p w14:paraId="68B8CB73">
            <w:pPr>
              <w:spacing w:line="320" w:lineRule="exact"/>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3120" w:type="dxa"/>
            <w:shd w:val="clear" w:color="000000" w:fill="F2F3F5"/>
            <w:noWrap w:val="0"/>
            <w:vAlign w:val="center"/>
          </w:tcPr>
          <w:p w14:paraId="65C305FF">
            <w:pPr>
              <w:spacing w:line="320" w:lineRule="exact"/>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梳理内容</w:t>
            </w:r>
          </w:p>
        </w:tc>
        <w:tc>
          <w:tcPr>
            <w:tcW w:w="5344" w:type="dxa"/>
            <w:shd w:val="clear" w:color="000000" w:fill="F2F3F5"/>
            <w:noWrap w:val="0"/>
            <w:vAlign w:val="center"/>
          </w:tcPr>
          <w:p w14:paraId="30ADB9E7">
            <w:pPr>
              <w:spacing w:line="320" w:lineRule="exact"/>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梳理目标</w:t>
            </w:r>
          </w:p>
        </w:tc>
      </w:tr>
      <w:tr w14:paraId="08FA5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740" w:type="dxa"/>
            <w:noWrap w:val="0"/>
            <w:vAlign w:val="center"/>
          </w:tcPr>
          <w:p w14:paraId="110589BD">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3120" w:type="dxa"/>
            <w:noWrap w:val="0"/>
            <w:vAlign w:val="center"/>
          </w:tcPr>
          <w:p w14:paraId="536F3355">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部门前置库清单梳理</w:t>
            </w:r>
          </w:p>
        </w:tc>
        <w:tc>
          <w:tcPr>
            <w:tcW w:w="5344" w:type="dxa"/>
            <w:noWrap w:val="0"/>
            <w:vAlign w:val="center"/>
          </w:tcPr>
          <w:p w14:paraId="105D95E8">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梳理部门前置库连接信息、账号密码、白名单开放情况</w:t>
            </w:r>
          </w:p>
        </w:tc>
      </w:tr>
      <w:tr w14:paraId="54415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740" w:type="dxa"/>
            <w:noWrap w:val="0"/>
            <w:vAlign w:val="center"/>
          </w:tcPr>
          <w:p w14:paraId="78F74393">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3120" w:type="dxa"/>
            <w:noWrap w:val="0"/>
            <w:vAlign w:val="center"/>
          </w:tcPr>
          <w:p w14:paraId="075F9106">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中心前置库清单及对应关系梳理</w:t>
            </w:r>
          </w:p>
        </w:tc>
        <w:tc>
          <w:tcPr>
            <w:tcW w:w="5344" w:type="dxa"/>
            <w:noWrap w:val="0"/>
            <w:vAlign w:val="center"/>
          </w:tcPr>
          <w:p w14:paraId="2D107261">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梳理部门前置库与中心前置库的关系清单</w:t>
            </w:r>
          </w:p>
        </w:tc>
      </w:tr>
      <w:tr w14:paraId="3BC96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3" w:hRule="atLeast"/>
        </w:trPr>
        <w:tc>
          <w:tcPr>
            <w:tcW w:w="740" w:type="dxa"/>
            <w:noWrap w:val="0"/>
            <w:vAlign w:val="center"/>
          </w:tcPr>
          <w:p w14:paraId="749C679A">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3120" w:type="dxa"/>
            <w:noWrap w:val="0"/>
            <w:vAlign w:val="center"/>
          </w:tcPr>
          <w:p w14:paraId="38E6547B">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共享接口清单梳理</w:t>
            </w:r>
          </w:p>
        </w:tc>
        <w:tc>
          <w:tcPr>
            <w:tcW w:w="5344" w:type="dxa"/>
            <w:noWrap w:val="0"/>
            <w:vAlign w:val="center"/>
          </w:tcPr>
          <w:p w14:paraId="539AE154">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梳理已发布的共享开发接口清单</w:t>
            </w:r>
          </w:p>
        </w:tc>
      </w:tr>
      <w:tr w14:paraId="1064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740" w:type="dxa"/>
            <w:noWrap w:val="0"/>
            <w:vAlign w:val="center"/>
          </w:tcPr>
          <w:p w14:paraId="43FA268E">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3120" w:type="dxa"/>
            <w:noWrap w:val="0"/>
            <w:vAlign w:val="center"/>
          </w:tcPr>
          <w:p w14:paraId="64677566">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已归集资源清单梳理</w:t>
            </w:r>
          </w:p>
        </w:tc>
        <w:tc>
          <w:tcPr>
            <w:tcW w:w="5344" w:type="dxa"/>
            <w:noWrap w:val="0"/>
            <w:vAlign w:val="center"/>
          </w:tcPr>
          <w:p w14:paraId="1FD8C147">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梳理已归集库表。资源、接口相关清单</w:t>
            </w:r>
          </w:p>
        </w:tc>
      </w:tr>
      <w:tr w14:paraId="12512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740" w:type="dxa"/>
            <w:noWrap w:val="0"/>
            <w:vAlign w:val="center"/>
          </w:tcPr>
          <w:p w14:paraId="25076820">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3120" w:type="dxa"/>
            <w:noWrap w:val="0"/>
            <w:vAlign w:val="center"/>
          </w:tcPr>
          <w:p w14:paraId="260E1546">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已共享资源清单梳理</w:t>
            </w:r>
          </w:p>
        </w:tc>
        <w:tc>
          <w:tcPr>
            <w:tcW w:w="5344" w:type="dxa"/>
            <w:noWrap w:val="0"/>
            <w:vAlign w:val="center"/>
          </w:tcPr>
          <w:p w14:paraId="517E8718">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分辖区、部门梳理各自申请的资源清单</w:t>
            </w:r>
          </w:p>
        </w:tc>
      </w:tr>
      <w:tr w14:paraId="03C0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740" w:type="dxa"/>
            <w:noWrap w:val="0"/>
            <w:vAlign w:val="center"/>
          </w:tcPr>
          <w:p w14:paraId="21284800">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3120" w:type="dxa"/>
            <w:noWrap w:val="0"/>
            <w:vAlign w:val="center"/>
          </w:tcPr>
          <w:p w14:paraId="4D03674E">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数据开放任务梳理</w:t>
            </w:r>
          </w:p>
        </w:tc>
        <w:tc>
          <w:tcPr>
            <w:tcW w:w="5344" w:type="dxa"/>
            <w:noWrap w:val="0"/>
            <w:vAlign w:val="center"/>
          </w:tcPr>
          <w:p w14:paraId="4D363921">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梳理已开放的数据资源清单</w:t>
            </w:r>
          </w:p>
        </w:tc>
      </w:tr>
      <w:tr w14:paraId="04B34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40" w:type="dxa"/>
            <w:noWrap w:val="0"/>
            <w:vAlign w:val="center"/>
          </w:tcPr>
          <w:p w14:paraId="77AF5ED3">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3120" w:type="dxa"/>
            <w:noWrap w:val="0"/>
            <w:vAlign w:val="center"/>
          </w:tcPr>
          <w:p w14:paraId="7DB444DD">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省市平台对接通道（库表、接口）梳理</w:t>
            </w:r>
          </w:p>
        </w:tc>
        <w:tc>
          <w:tcPr>
            <w:tcW w:w="5344" w:type="dxa"/>
            <w:noWrap w:val="0"/>
            <w:vAlign w:val="center"/>
          </w:tcPr>
          <w:p w14:paraId="63C5FA25">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梳理级联、回流接口及库表相关资源清单</w:t>
            </w:r>
          </w:p>
        </w:tc>
      </w:tr>
      <w:tr w14:paraId="26013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740" w:type="dxa"/>
            <w:noWrap w:val="0"/>
            <w:vAlign w:val="center"/>
          </w:tcPr>
          <w:p w14:paraId="6057C050">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3120" w:type="dxa"/>
            <w:noWrap w:val="0"/>
            <w:vAlign w:val="center"/>
          </w:tcPr>
          <w:p w14:paraId="4FE20111">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数据调度任务清单梳理</w:t>
            </w:r>
          </w:p>
        </w:tc>
        <w:tc>
          <w:tcPr>
            <w:tcW w:w="5344" w:type="dxa"/>
            <w:noWrap w:val="0"/>
            <w:vAlign w:val="center"/>
          </w:tcPr>
          <w:p w14:paraId="0CF3AC54">
            <w:pPr>
              <w:spacing w:line="3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核对平台数据交换、共享相关任务配置清单</w:t>
            </w:r>
          </w:p>
        </w:tc>
      </w:tr>
    </w:tbl>
    <w:p w14:paraId="46C90A1E">
      <w:pPr>
        <w:keepNext/>
        <w:keepLines/>
        <w:tabs>
          <w:tab w:val="left" w:pos="420"/>
        </w:tabs>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用户组织架构重建</w:t>
      </w:r>
    </w:p>
    <w:p w14:paraId="57E08809">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将原平台中各部门、各应用系统关联的账号体系整体迁移至新平台，涉及角色、权限、认证配置，覆盖全</w:t>
      </w:r>
      <w:r>
        <w:rPr>
          <w:rFonts w:hint="eastAsia" w:ascii="宋体" w:hAnsi="宋体" w:cs="宋体"/>
          <w:bCs/>
          <w:color w:val="auto"/>
          <w:sz w:val="24"/>
          <w:szCs w:val="24"/>
          <w:highlight w:val="none"/>
          <w:lang w:val="en-US" w:eastAsia="zh-CN"/>
        </w:rPr>
        <w:t>量系统</w:t>
      </w:r>
      <w:r>
        <w:rPr>
          <w:rFonts w:hint="eastAsia" w:ascii="宋体" w:hAnsi="宋体" w:cs="宋体"/>
          <w:bCs/>
          <w:color w:val="auto"/>
          <w:sz w:val="24"/>
          <w:szCs w:val="24"/>
          <w:highlight w:val="none"/>
        </w:rPr>
        <w:t>账号按照省统一用户的组织机构梳理、策略映射、权限还原等。</w:t>
      </w:r>
    </w:p>
    <w:p w14:paraId="5C7CA8D7">
      <w:pPr>
        <w:keepNext/>
        <w:keepLines/>
        <w:tabs>
          <w:tab w:val="left" w:pos="420"/>
        </w:tabs>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数据目录资源迁移</w:t>
      </w:r>
    </w:p>
    <w:p w14:paraId="1AE08D0D">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依据江苏省政务数据资源目录（</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苏政源</w:t>
      </w:r>
      <w:r>
        <w:rPr>
          <w:rFonts w:hint="default" w:ascii="宋体" w:hAnsi="宋体" w:cs="宋体"/>
          <w:bCs/>
          <w:color w:val="auto"/>
          <w:sz w:val="24"/>
          <w:szCs w:val="24"/>
          <w:highlight w:val="none"/>
          <w:lang w:val="en-US" w:eastAsia="zh-CN"/>
        </w:rPr>
        <w:t>”</w:t>
      </w:r>
      <w:r>
        <w:rPr>
          <w:rFonts w:hint="eastAsia" w:ascii="宋体" w:hAnsi="宋体" w:cs="宋体"/>
          <w:bCs/>
          <w:color w:val="auto"/>
          <w:sz w:val="24"/>
          <w:szCs w:val="24"/>
          <w:highlight w:val="none"/>
        </w:rPr>
        <w:t>）标准规范，将现有公共数据平台全部信息资源目录迁移至新平台，保持目录属性、字段定义、共享条件等信息完整</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并同步做好数据目录资源级联上报</w:t>
      </w:r>
      <w:r>
        <w:rPr>
          <w:rFonts w:hint="eastAsia" w:ascii="宋体" w:hAnsi="宋体" w:cs="宋体"/>
          <w:bCs/>
          <w:color w:val="auto"/>
          <w:sz w:val="24"/>
          <w:szCs w:val="24"/>
          <w:highlight w:val="none"/>
        </w:rPr>
        <w:t>。</w:t>
      </w:r>
    </w:p>
    <w:p w14:paraId="7A3CBDE0">
      <w:pPr>
        <w:numPr>
          <w:ilvl w:val="-1"/>
          <w:numId w:val="0"/>
        </w:numPr>
        <w:tabs>
          <w:tab w:val="left" w:pos="0"/>
        </w:tabs>
        <w:spacing w:line="500" w:lineRule="exact"/>
        <w:ind w:firstLine="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4.数据资源迁移</w:t>
      </w:r>
    </w:p>
    <w:p w14:paraId="3CCCB9D2">
      <w:pPr>
        <w:numPr>
          <w:ilvl w:val="-1"/>
          <w:numId w:val="0"/>
        </w:numPr>
        <w:tabs>
          <w:tab w:val="left" w:pos="0"/>
        </w:tabs>
        <w:spacing w:line="500" w:lineRule="exact"/>
        <w:ind w:firstLine="0"/>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库表、文件、接口等资源按照新系统要求迁移入库。</w:t>
      </w:r>
    </w:p>
    <w:p w14:paraId="7FFBB475">
      <w:pPr>
        <w:keepNext/>
        <w:keepLines/>
        <w:tabs>
          <w:tab w:val="left" w:pos="420"/>
        </w:tabs>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数据资源挂接迁移</w:t>
      </w:r>
    </w:p>
    <w:p w14:paraId="01A51146">
      <w:pPr>
        <w:tabs>
          <w:tab w:val="left" w:pos="0"/>
        </w:tabs>
        <w:spacing w:line="500" w:lineRule="exact"/>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在目录迁移完成后，严格按照数据库表、数据文件、服务接口三大类型完成分类归集。并将目录与对应的实际数据资源重新建立挂接关系，确保资源分类清晰、要素齐全、口径一致、关联完整，实现新平台资源标准化管理与高效检索调用。</w:t>
      </w:r>
    </w:p>
    <w:p w14:paraId="0F30479D">
      <w:pPr>
        <w:keepNext/>
        <w:keepLines/>
        <w:tabs>
          <w:tab w:val="left" w:pos="420"/>
        </w:tabs>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数据迁移验证</w:t>
      </w:r>
    </w:p>
    <w:p w14:paraId="5103B898">
      <w:pPr>
        <w:numPr>
          <w:ilvl w:val="-1"/>
          <w:numId w:val="0"/>
        </w:numPr>
        <w:tabs>
          <w:tab w:val="left" w:pos="0"/>
        </w:tabs>
        <w:spacing w:line="500" w:lineRule="exact"/>
        <w:ind w:firstLine="48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rPr>
        <w:t>全面校验系统迁移效果，确保平台平稳切换、业务连续运行。对数据资源目录及数据量等进行全量比对校验，确保迁移前后数据一致、完整、准确；核查归集、推送等调度作业的完整迁移情况，核对任务执行状态无异常；对服务接口的连通性进行测试，确保跨系统接口调用稳定可靠、协同高效。</w:t>
      </w:r>
    </w:p>
    <w:p w14:paraId="30143515">
      <w:pPr>
        <w:numPr>
          <w:ilvl w:val="-1"/>
          <w:numId w:val="0"/>
        </w:numPr>
        <w:tabs>
          <w:tab w:val="left" w:pos="0"/>
        </w:tabs>
        <w:spacing w:line="500" w:lineRule="exact"/>
        <w:ind w:firstLine="482"/>
        <w:outlineLvl w:val="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.8</w:t>
      </w:r>
      <w:r>
        <w:rPr>
          <w:rFonts w:hint="eastAsia" w:ascii="宋体" w:hAnsi="宋体" w:cs="宋体"/>
          <w:b/>
          <w:bCs/>
          <w:color w:val="auto"/>
          <w:sz w:val="24"/>
          <w:szCs w:val="24"/>
          <w:highlight w:val="none"/>
        </w:rPr>
        <w:t>国产化适配</w:t>
      </w:r>
      <w:r>
        <w:rPr>
          <w:rFonts w:hint="eastAsia" w:ascii="宋体" w:hAnsi="宋体" w:cs="宋体"/>
          <w:b/>
          <w:bCs/>
          <w:color w:val="auto"/>
          <w:sz w:val="24"/>
          <w:szCs w:val="24"/>
          <w:highlight w:val="none"/>
          <w:lang w:val="en-US" w:eastAsia="zh-CN"/>
        </w:rPr>
        <w:t>服务</w:t>
      </w:r>
      <w:r>
        <w:rPr>
          <w:rFonts w:hint="eastAsia" w:ascii="宋体" w:hAnsi="宋体" w:cs="宋体"/>
          <w:b/>
          <w:bCs/>
          <w:color w:val="auto"/>
          <w:sz w:val="24"/>
          <w:szCs w:val="24"/>
          <w:highlight w:val="none"/>
        </w:rPr>
        <w:t>要求</w:t>
      </w:r>
    </w:p>
    <w:p w14:paraId="0627B331">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本项目严格遵照政务云安全可靠建设规范与国产化适配标准实施，在采购人限定时间内和省平台相关软件完成适配，确保系统功能完整、性能达标、稳定可靠，运行核心适配要求如下：</w:t>
      </w:r>
    </w:p>
    <w:p w14:paraId="1147559B">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平台资质合规要求：本次应用专属部署在政务云上，支持部署在国产化环境云平台。</w:t>
      </w:r>
    </w:p>
    <w:p w14:paraId="0EB773C6">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操作系统要求：采用满足国产化要求的正版操作系统版本，实现底层系统自主可控。提供授权数量不少于250套，并可根据实际需求增加不少于总量20%的扩容授权。</w:t>
      </w:r>
    </w:p>
    <w:p w14:paraId="19F5F772">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数据库要求：主要业务采用合规国产数据库软件，可适配国产化云数据存储与运算需求，提供授权数量不低于2</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套</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数据仓库要求：提供授权数量不低于</w:t>
      </w:r>
      <w:r>
        <w:rPr>
          <w:rFonts w:hint="eastAsia" w:ascii="宋体" w:hAnsi="宋体" w:cs="宋体"/>
          <w:bCs/>
          <w:color w:val="auto"/>
          <w:sz w:val="24"/>
          <w:szCs w:val="24"/>
          <w:highlight w:val="none"/>
          <w:lang w:val="en-US" w:eastAsia="zh-CN"/>
        </w:rPr>
        <w:t>12</w:t>
      </w:r>
      <w:r>
        <w:rPr>
          <w:rFonts w:hint="eastAsia" w:ascii="宋体" w:hAnsi="宋体" w:cs="宋体"/>
          <w:bCs/>
          <w:color w:val="auto"/>
          <w:sz w:val="24"/>
          <w:szCs w:val="24"/>
          <w:highlight w:val="none"/>
        </w:rPr>
        <w:t>个节点。</w:t>
      </w:r>
    </w:p>
    <w:p w14:paraId="2C331CCD">
      <w:pPr>
        <w:tabs>
          <w:tab w:val="left" w:pos="0"/>
        </w:tabs>
        <w:spacing w:line="500" w:lineRule="exact"/>
        <w:ind w:firstLine="48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4</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针对“苏政源”平台的实际建设需求，我方将结合项目实际情况按需提供国产化中间件产品，同时完成中间件适配改造，保障系统适配稳定运行。</w:t>
      </w:r>
    </w:p>
    <w:p w14:paraId="00EE9F7A">
      <w:pPr>
        <w:numPr>
          <w:ilvl w:val="0"/>
          <w:numId w:val="0"/>
        </w:numPr>
        <w:tabs>
          <w:tab w:val="left" w:pos="0"/>
        </w:tabs>
        <w:spacing w:line="500" w:lineRule="exact"/>
        <w:ind w:firstLine="482"/>
        <w:outlineLvl w:val="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.9</w:t>
      </w:r>
      <w:r>
        <w:rPr>
          <w:rFonts w:hint="eastAsia" w:ascii="宋体" w:hAnsi="宋体" w:cs="宋体"/>
          <w:b/>
          <w:bCs/>
          <w:color w:val="auto"/>
          <w:sz w:val="24"/>
          <w:szCs w:val="24"/>
          <w:highlight w:val="none"/>
        </w:rPr>
        <w:t>平台集成测试</w:t>
      </w:r>
      <w:r>
        <w:rPr>
          <w:rFonts w:hint="eastAsia" w:ascii="宋体" w:hAnsi="宋体" w:cs="宋体"/>
          <w:b/>
          <w:bCs/>
          <w:color w:val="auto"/>
          <w:sz w:val="24"/>
          <w:szCs w:val="24"/>
          <w:highlight w:val="none"/>
          <w:lang w:val="en-US" w:eastAsia="zh-CN"/>
        </w:rPr>
        <w:t>服务</w:t>
      </w:r>
      <w:r>
        <w:rPr>
          <w:rFonts w:hint="eastAsia" w:ascii="宋体" w:hAnsi="宋体" w:cs="宋体"/>
          <w:b/>
          <w:bCs/>
          <w:color w:val="auto"/>
          <w:sz w:val="24"/>
          <w:szCs w:val="24"/>
          <w:highlight w:val="none"/>
        </w:rPr>
        <w:t>要求</w:t>
      </w:r>
    </w:p>
    <w:p w14:paraId="66E8DDEE">
      <w:pPr>
        <w:numPr>
          <w:ilvl w:val="-1"/>
          <w:numId w:val="0"/>
        </w:numPr>
        <w:tabs>
          <w:tab w:val="left" w:pos="0"/>
        </w:tabs>
        <w:spacing w:line="500" w:lineRule="exact"/>
        <w:ind w:firstLine="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rPr>
        <w:t>围绕宿迁市</w:t>
      </w:r>
      <w:r>
        <w:rPr>
          <w:rFonts w:hint="eastAsia" w:ascii="宋体" w:hAnsi="宋体" w:cs="宋体"/>
          <w:bCs/>
          <w:color w:val="auto"/>
          <w:sz w:val="24"/>
          <w:szCs w:val="24"/>
          <w:highlight w:val="none"/>
          <w:lang w:val="en-US" w:eastAsia="zh-CN"/>
        </w:rPr>
        <w:t>“苏政源”</w:t>
      </w:r>
      <w:r>
        <w:rPr>
          <w:rFonts w:hint="eastAsia" w:ascii="宋体" w:hAnsi="宋体" w:cs="宋体"/>
          <w:bCs/>
          <w:color w:val="auto"/>
          <w:sz w:val="24"/>
          <w:szCs w:val="24"/>
          <w:highlight w:val="none"/>
        </w:rPr>
        <w:t>数字资源底座项目整体建设目标，严格遵循省级技术规范与接口标准，对</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一本账</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平台、公共数据平台、统一运维管理平台、数据服务助手、宿迁门户专区平台及相关配套系统，开展系统化集成测试。具体包括：以业务闭环为核心的功能集成测试，以多系统贯通为目标的接口集成测试，模拟高并发场景的性能压力测试，按照等保三级要求的安全合规测试。通过以上测试，达成平台功能完备、接口互通稳定、性能高效可靠、安全合规可控的总体效果，确保项目高质量上线与长效稳定运行。</w:t>
      </w:r>
    </w:p>
    <w:p w14:paraId="583D925E">
      <w:pPr>
        <w:numPr>
          <w:ilvl w:val="-1"/>
          <w:numId w:val="0"/>
        </w:numPr>
        <w:tabs>
          <w:tab w:val="left" w:pos="0"/>
        </w:tabs>
        <w:spacing w:line="500" w:lineRule="exact"/>
        <w:ind w:firstLine="482"/>
        <w:outlineLvl w:val="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.10</w:t>
      </w:r>
      <w:r>
        <w:rPr>
          <w:rFonts w:hint="eastAsia" w:ascii="宋体" w:hAnsi="宋体" w:cs="宋体"/>
          <w:b/>
          <w:bCs/>
          <w:color w:val="auto"/>
          <w:sz w:val="24"/>
          <w:szCs w:val="24"/>
          <w:highlight w:val="none"/>
          <w:lang w:val="en-US" w:eastAsia="zh-CN"/>
        </w:rPr>
        <w:t>统一监控预警服务</w:t>
      </w:r>
      <w:r>
        <w:rPr>
          <w:rFonts w:hint="eastAsia" w:ascii="宋体" w:hAnsi="宋体" w:cs="宋体"/>
          <w:b/>
          <w:bCs/>
          <w:color w:val="auto"/>
          <w:sz w:val="24"/>
          <w:szCs w:val="24"/>
          <w:highlight w:val="none"/>
        </w:rPr>
        <w:t>要求</w:t>
      </w:r>
    </w:p>
    <w:p w14:paraId="2B689980">
      <w:pPr>
        <w:numPr>
          <w:ilvl w:val="0"/>
          <w:numId w:val="0"/>
        </w:numPr>
        <w:tabs>
          <w:tab w:val="left" w:pos="0"/>
        </w:tabs>
        <w:spacing w:line="500" w:lineRule="exact"/>
        <w:ind w:firstLine="480"/>
        <w:outlineLvl w:val="9"/>
        <w:rPr>
          <w:rFonts w:hint="default"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rPr>
        <w:t>立足于</w:t>
      </w:r>
      <w:r>
        <w:rPr>
          <w:rFonts w:hint="eastAsia" w:ascii="宋体" w:hAnsi="宋体" w:cs="宋体"/>
          <w:bCs/>
          <w:color w:val="auto"/>
          <w:sz w:val="24"/>
          <w:szCs w:val="24"/>
          <w:highlight w:val="none"/>
          <w:lang w:val="en-US" w:eastAsia="zh-CN"/>
        </w:rPr>
        <w:t>“苏政源”</w:t>
      </w:r>
      <w:r>
        <w:rPr>
          <w:rFonts w:hint="eastAsia" w:ascii="宋体" w:hAnsi="宋体" w:cs="宋体"/>
          <w:b w:val="0"/>
          <w:bCs/>
          <w:color w:val="auto"/>
          <w:sz w:val="24"/>
          <w:szCs w:val="24"/>
          <w:highlight w:val="none"/>
        </w:rPr>
        <w:t>项目全局运维，</w:t>
      </w:r>
      <w:r>
        <w:rPr>
          <w:rFonts w:hint="eastAsia" w:ascii="宋体" w:hAnsi="宋体" w:cs="宋体"/>
          <w:b w:val="0"/>
          <w:bCs/>
          <w:color w:val="auto"/>
          <w:sz w:val="24"/>
          <w:szCs w:val="24"/>
          <w:highlight w:val="none"/>
          <w:lang w:val="en-US" w:eastAsia="zh-CN"/>
        </w:rPr>
        <w:t>提供</w:t>
      </w:r>
      <w:r>
        <w:rPr>
          <w:rFonts w:hint="eastAsia" w:ascii="宋体" w:hAnsi="宋体" w:cs="宋体"/>
          <w:b w:val="0"/>
          <w:bCs/>
          <w:color w:val="auto"/>
          <w:sz w:val="24"/>
          <w:szCs w:val="24"/>
          <w:highlight w:val="none"/>
        </w:rPr>
        <w:t>多维度监控、智能告警、运维管理、可视化展示及安全管控</w:t>
      </w:r>
      <w:r>
        <w:rPr>
          <w:rFonts w:hint="eastAsia" w:ascii="宋体" w:hAnsi="宋体" w:cs="宋体"/>
          <w:b w:val="0"/>
          <w:bCs/>
          <w:color w:val="auto"/>
          <w:sz w:val="24"/>
          <w:szCs w:val="24"/>
          <w:highlight w:val="none"/>
          <w:lang w:val="en-US" w:eastAsia="zh-CN"/>
        </w:rPr>
        <w:t>等</w:t>
      </w:r>
      <w:r>
        <w:rPr>
          <w:rFonts w:hint="eastAsia" w:ascii="宋体" w:hAnsi="宋体" w:cs="宋体"/>
          <w:b w:val="0"/>
          <w:bCs/>
          <w:color w:val="auto"/>
          <w:sz w:val="24"/>
          <w:szCs w:val="24"/>
          <w:highlight w:val="none"/>
        </w:rPr>
        <w:t>核心</w:t>
      </w:r>
      <w:r>
        <w:rPr>
          <w:rFonts w:hint="eastAsia" w:ascii="宋体" w:hAnsi="宋体" w:cs="宋体"/>
          <w:b w:val="0"/>
          <w:bCs/>
          <w:color w:val="auto"/>
          <w:sz w:val="24"/>
          <w:szCs w:val="24"/>
          <w:highlight w:val="none"/>
          <w:lang w:val="en-US" w:eastAsia="zh-CN"/>
        </w:rPr>
        <w:t>服务能力</w:t>
      </w:r>
      <w:r>
        <w:rPr>
          <w:rFonts w:hint="eastAsia" w:ascii="宋体" w:hAnsi="宋体" w:cs="宋体"/>
          <w:b w:val="0"/>
          <w:bCs/>
          <w:color w:val="auto"/>
          <w:sz w:val="24"/>
          <w:szCs w:val="24"/>
          <w:highlight w:val="none"/>
        </w:rPr>
        <w:t>。支持多系统纳管，提供Log、Metric、Trace等多类型数据的统一接入</w:t>
      </w:r>
      <w:r>
        <w:rPr>
          <w:rFonts w:hint="eastAsia" w:ascii="宋体" w:hAnsi="宋体" w:cs="宋体"/>
          <w:b w:val="0"/>
          <w:bCs/>
          <w:color w:val="auto"/>
          <w:sz w:val="24"/>
          <w:szCs w:val="24"/>
          <w:highlight w:val="none"/>
          <w:lang w:val="en-US" w:eastAsia="zh-CN"/>
        </w:rPr>
        <w:t>服务</w:t>
      </w:r>
      <w:r>
        <w:rPr>
          <w:rFonts w:hint="eastAsia" w:ascii="宋体" w:hAnsi="宋体" w:cs="宋体"/>
          <w:b w:val="0"/>
          <w:bCs/>
          <w:color w:val="auto"/>
          <w:sz w:val="24"/>
          <w:szCs w:val="24"/>
          <w:highlight w:val="none"/>
        </w:rPr>
        <w:t>，覆盖网络、数据库、应用、网关等全栈资源的实时采集与监控。基于日志分析与指标监控，系统可自动识别异常并生成多维度预警信息，支持邮件、短信、语音等多渠道告警触达，同时通过大屏直观展示预警态势与运行状态。系统提供组织机构、用户角色等基础运维管理功能，支持按需定制可视化监控大盘，具备安全运维态势感知能力，有效提升运维效率，保障业务系统持续稳定高效运行。</w:t>
      </w:r>
    </w:p>
    <w:p w14:paraId="2FCB099E">
      <w:pPr>
        <w:spacing w:line="500" w:lineRule="exact"/>
        <w:ind w:firstLine="482"/>
        <w:outlineLvl w:val="2"/>
        <w:rPr>
          <w:rFonts w:hint="eastAsia" w:ascii="宋体" w:hAnsi="宋体" w:cs="宋体"/>
          <w:b/>
          <w:bCs/>
          <w:color w:val="auto"/>
          <w:sz w:val="24"/>
          <w:szCs w:val="24"/>
          <w:highlight w:val="none"/>
        </w:rPr>
      </w:pPr>
      <w:bookmarkStart w:id="273" w:name="_Toc7753"/>
      <w:bookmarkStart w:id="274" w:name="_Toc6083"/>
      <w:r>
        <w:rPr>
          <w:rFonts w:hint="eastAsia" w:ascii="宋体" w:hAnsi="宋体" w:cs="宋体"/>
          <w:b/>
          <w:bCs/>
          <w:color w:val="auto"/>
          <w:sz w:val="24"/>
          <w:szCs w:val="24"/>
          <w:highlight w:val="none"/>
        </w:rPr>
        <w:t>四、服务期限和实施地点</w:t>
      </w:r>
      <w:bookmarkEnd w:id="273"/>
      <w:bookmarkEnd w:id="274"/>
    </w:p>
    <w:p w14:paraId="0F642E0F">
      <w:pPr>
        <w:tabs>
          <w:tab w:val="left" w:pos="0"/>
        </w:tabs>
        <w:spacing w:line="500" w:lineRule="exact"/>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1.服务期限：自合同签约起3年。</w:t>
      </w:r>
    </w:p>
    <w:p w14:paraId="322BAA73">
      <w:pPr>
        <w:tabs>
          <w:tab w:val="left" w:pos="0"/>
        </w:tabs>
        <w:spacing w:line="500" w:lineRule="exact"/>
        <w:ind w:firstLine="480"/>
        <w:rPr>
          <w:rFonts w:hint="eastAsia" w:ascii="宋体" w:hAnsi="宋体" w:cs="宋体"/>
          <w:color w:val="auto"/>
          <w:sz w:val="24"/>
          <w:szCs w:val="24"/>
          <w:highlight w:val="none"/>
        </w:rPr>
      </w:pPr>
      <w:r>
        <w:rPr>
          <w:rFonts w:hint="eastAsia" w:ascii="宋体" w:hAnsi="宋体" w:cs="宋体"/>
          <w:bCs/>
          <w:color w:val="auto"/>
          <w:sz w:val="24"/>
          <w:szCs w:val="24"/>
          <w:highlight w:val="none"/>
        </w:rPr>
        <w:t>2.实施地点：采购人</w:t>
      </w:r>
      <w:r>
        <w:rPr>
          <w:rFonts w:hint="eastAsia" w:ascii="宋体" w:hAnsi="宋体" w:cs="宋体"/>
          <w:color w:val="auto"/>
          <w:sz w:val="24"/>
          <w:szCs w:val="24"/>
          <w:highlight w:val="none"/>
        </w:rPr>
        <w:t>指定位置。</w:t>
      </w:r>
    </w:p>
    <w:p w14:paraId="2E4304A3">
      <w:pPr>
        <w:tabs>
          <w:tab w:val="left" w:pos="0"/>
        </w:tabs>
        <w:spacing w:line="500" w:lineRule="exact"/>
        <w:ind w:firstLine="482"/>
        <w:outlineLvl w:val="2"/>
        <w:rPr>
          <w:rFonts w:hint="eastAsia" w:ascii="宋体" w:hAnsi="宋体" w:cs="宋体"/>
          <w:color w:val="auto"/>
          <w:sz w:val="24"/>
          <w:szCs w:val="24"/>
          <w:highlight w:val="none"/>
        </w:rPr>
      </w:pPr>
      <w:bookmarkStart w:id="275" w:name="_Toc15539"/>
      <w:bookmarkStart w:id="276" w:name="_Toc15862"/>
      <w:r>
        <w:rPr>
          <w:rFonts w:hint="eastAsia" w:ascii="宋体" w:hAnsi="宋体" w:cs="宋体"/>
          <w:b/>
          <w:bCs/>
          <w:color w:val="auto"/>
          <w:sz w:val="24"/>
          <w:szCs w:val="24"/>
          <w:highlight w:val="none"/>
        </w:rPr>
        <w:t>五、人员要求</w:t>
      </w:r>
      <w:bookmarkEnd w:id="275"/>
      <w:bookmarkEnd w:id="276"/>
    </w:p>
    <w:p w14:paraId="2145D0D6">
      <w:pPr>
        <w:tabs>
          <w:tab w:val="left" w:pos="0"/>
        </w:tabs>
        <w:spacing w:line="500" w:lineRule="exact"/>
        <w:ind w:firstLine="480"/>
        <w:rPr>
          <w:rFonts w:hint="eastAsia" w:ascii="宋体" w:hAnsi="宋体" w:cs="宋体"/>
          <w:bCs/>
          <w:color w:val="auto"/>
          <w:sz w:val="24"/>
          <w:szCs w:val="24"/>
          <w:highlight w:val="none"/>
        </w:rPr>
      </w:pPr>
      <w:bookmarkStart w:id="277" w:name="OLE_LINK61"/>
      <w:bookmarkStart w:id="278" w:name="OLE_LINK62"/>
      <w:r>
        <w:rPr>
          <w:rFonts w:hint="eastAsia" w:ascii="宋体" w:hAnsi="宋体" w:cs="宋体"/>
          <w:bCs/>
          <w:color w:val="auto"/>
          <w:sz w:val="24"/>
          <w:szCs w:val="24"/>
          <w:highlight w:val="none"/>
        </w:rPr>
        <w:t>本项目须成立项目团队，其中包含：项目负责人、技术负责人和项目组其他成员。所有成员须经采购人确认后方可入场。供应商一经中标，相关人员不得随意更换，如有特殊原因需更换，须提前10天通知，经采购人同意后方可更换。具体要求如下：</w:t>
      </w:r>
    </w:p>
    <w:p w14:paraId="619EE5CC">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项目负责人1名：负责全面统筹项目进度、质量与资源协调，熟悉政务云网络架构与网络环境，具有丰富的同类信息系统项目管理经验，了解软件开发全生命周期管理流程。</w:t>
      </w:r>
    </w:p>
    <w:p w14:paraId="56E28162">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技术负责人1名：负责系统架构设计、软件设计，负责技术方案把关与关键问题攻关，具备5年以上政务类平台架构设计经验，熟悉国产化软硬件适配规范。</w:t>
      </w:r>
    </w:p>
    <w:p w14:paraId="3C30B147">
      <w:pPr>
        <w:tabs>
          <w:tab w:val="left" w:pos="0"/>
        </w:tabs>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rPr>
        <w:t>项目组其他成员（除项目负责人和技术负责人外）：不少于4人，应分别掌握数据治理、网络安全、数据安全等专项技术领域的相关基础知识，具备应用开发、系统集成、数据治理实施、安全策略配置等相应能力，保障项目各环节有序推进。</w:t>
      </w:r>
      <w:bookmarkEnd w:id="277"/>
      <w:bookmarkEnd w:id="278"/>
    </w:p>
    <w:p w14:paraId="2918681B">
      <w:pPr>
        <w:tabs>
          <w:tab w:val="left" w:pos="0"/>
        </w:tabs>
        <w:spacing w:line="500" w:lineRule="exact"/>
        <w:ind w:firstLine="482"/>
        <w:outlineLvl w:val="2"/>
        <w:rPr>
          <w:rFonts w:hint="eastAsia" w:ascii="宋体" w:hAnsi="宋体" w:cs="宋体"/>
          <w:bCs/>
          <w:color w:val="auto"/>
          <w:sz w:val="24"/>
          <w:szCs w:val="24"/>
          <w:highlight w:val="none"/>
        </w:rPr>
      </w:pPr>
      <w:bookmarkStart w:id="279" w:name="_Toc2193"/>
      <w:bookmarkStart w:id="280" w:name="_Toc9776"/>
      <w:r>
        <w:rPr>
          <w:rFonts w:hint="eastAsia" w:ascii="宋体" w:hAnsi="宋体" w:cs="宋体"/>
          <w:b/>
          <w:bCs/>
          <w:color w:val="auto"/>
          <w:sz w:val="24"/>
          <w:szCs w:val="24"/>
          <w:highlight w:val="none"/>
        </w:rPr>
        <w:t>六、付款方式</w:t>
      </w:r>
      <w:bookmarkEnd w:id="279"/>
      <w:bookmarkEnd w:id="280"/>
    </w:p>
    <w:p w14:paraId="53499587">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付款方式：合同签订且采购人在收到供应商发票后10个工作日内，支付金额2</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万元人民币为预付款；</w:t>
      </w:r>
      <w:r>
        <w:rPr>
          <w:rFonts w:hint="eastAsia" w:ascii="宋体" w:hAnsi="宋体" w:cs="宋体"/>
          <w:bCs/>
          <w:color w:val="auto"/>
          <w:sz w:val="24"/>
          <w:szCs w:val="24"/>
          <w:highlight w:val="none"/>
          <w:lang w:val="en-US" w:eastAsia="zh-CN"/>
        </w:rPr>
        <w:t>签订之日起服务</w:t>
      </w:r>
      <w:r>
        <w:rPr>
          <w:rFonts w:hint="eastAsia" w:ascii="宋体" w:hAnsi="宋体" w:cs="宋体"/>
          <w:bCs/>
          <w:color w:val="auto"/>
          <w:sz w:val="24"/>
          <w:szCs w:val="24"/>
          <w:highlight w:val="none"/>
        </w:rPr>
        <w:t>满1年后且经采购人确认合格，在收到供应商发票后10个工作日内支付至合同金额的50%；</w:t>
      </w:r>
      <w:r>
        <w:rPr>
          <w:rFonts w:hint="eastAsia" w:ascii="宋体" w:hAnsi="宋体" w:cs="宋体"/>
          <w:bCs/>
          <w:color w:val="auto"/>
          <w:sz w:val="24"/>
          <w:szCs w:val="24"/>
          <w:highlight w:val="none"/>
          <w:lang w:val="en-US" w:eastAsia="zh-CN"/>
        </w:rPr>
        <w:t>签订之日起服务</w:t>
      </w:r>
      <w:r>
        <w:rPr>
          <w:rFonts w:hint="eastAsia" w:ascii="宋体" w:hAnsi="宋体" w:cs="宋体"/>
          <w:bCs/>
          <w:color w:val="auto"/>
          <w:sz w:val="24"/>
          <w:szCs w:val="24"/>
          <w:highlight w:val="none"/>
        </w:rPr>
        <w:t>满2年后且经采购人确认合格，在收到供应商发票后10个工作日内支付至合同金额的80%；</w:t>
      </w:r>
      <w:r>
        <w:rPr>
          <w:rFonts w:hint="eastAsia" w:ascii="宋体" w:hAnsi="宋体" w:cs="宋体"/>
          <w:bCs/>
          <w:color w:val="auto"/>
          <w:sz w:val="24"/>
          <w:szCs w:val="24"/>
          <w:highlight w:val="none"/>
          <w:lang w:val="en-US" w:eastAsia="zh-CN"/>
        </w:rPr>
        <w:t>签订之日起服务</w:t>
      </w:r>
      <w:r>
        <w:rPr>
          <w:rFonts w:hint="eastAsia" w:ascii="宋体" w:hAnsi="宋体" w:cs="宋体"/>
          <w:bCs/>
          <w:color w:val="auto"/>
          <w:sz w:val="24"/>
          <w:szCs w:val="24"/>
          <w:highlight w:val="none"/>
        </w:rPr>
        <w:t>期满后且验收合格，在收到供应商发票后10个工作日内付清余款。</w:t>
      </w:r>
    </w:p>
    <w:p w14:paraId="0F41223F">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注：在签订合同时，中标人明确表示无需预付款或者主动要求降低预付款比例的金额，采购人可不适用预付款规定。</w:t>
      </w:r>
    </w:p>
    <w:p w14:paraId="212606A8">
      <w:pPr>
        <w:spacing w:line="500" w:lineRule="exact"/>
        <w:ind w:firstLine="482"/>
        <w:outlineLvl w:val="2"/>
        <w:rPr>
          <w:rFonts w:hint="eastAsia" w:ascii="宋体" w:hAnsi="宋体" w:cs="宋体"/>
          <w:b/>
          <w:bCs/>
          <w:color w:val="auto"/>
          <w:sz w:val="24"/>
          <w:szCs w:val="24"/>
          <w:highlight w:val="none"/>
        </w:rPr>
      </w:pPr>
      <w:bookmarkStart w:id="281" w:name="_Toc13456"/>
      <w:bookmarkStart w:id="282" w:name="_Toc21488"/>
      <w:bookmarkStart w:id="283" w:name="_Toc28891"/>
      <w:r>
        <w:rPr>
          <w:rFonts w:hint="eastAsia" w:ascii="宋体" w:hAnsi="宋体" w:cs="宋体"/>
          <w:b/>
          <w:bCs/>
          <w:color w:val="auto"/>
          <w:sz w:val="24"/>
          <w:szCs w:val="24"/>
          <w:highlight w:val="none"/>
          <w:lang w:val="en-US" w:eastAsia="zh-CN"/>
        </w:rPr>
        <w:t>七</w:t>
      </w:r>
      <w:r>
        <w:rPr>
          <w:rFonts w:hint="eastAsia" w:ascii="宋体" w:hAnsi="宋体" w:cs="宋体"/>
          <w:b/>
          <w:bCs/>
          <w:color w:val="auto"/>
          <w:sz w:val="24"/>
          <w:szCs w:val="24"/>
          <w:highlight w:val="none"/>
        </w:rPr>
        <w:t>、项目实施要求</w:t>
      </w:r>
      <w:bookmarkEnd w:id="281"/>
      <w:bookmarkEnd w:id="282"/>
      <w:bookmarkEnd w:id="283"/>
    </w:p>
    <w:p w14:paraId="3F7C54A4">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1.项目管理要求</w:t>
      </w:r>
    </w:p>
    <w:p w14:paraId="1D45F570">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1.1供应商需提供详细可行的服务实施方案。包括服务实施进度、管理制度、项目计划等，具备专业信息系统建设和服务能力，保障服务质量与交付。</w:t>
      </w:r>
    </w:p>
    <w:p w14:paraId="63CAA8EA">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1.2供应商具有完整的项目实施组织机构，明确项目计划、有详细的项目分工，并且在</w:t>
      </w:r>
      <w:r>
        <w:rPr>
          <w:rFonts w:hint="eastAsia" w:ascii="宋体" w:hAnsi="宋体" w:cs="宋体"/>
          <w:bCs/>
          <w:color w:val="auto"/>
          <w:sz w:val="24"/>
          <w:szCs w:val="24"/>
          <w:highlight w:val="none"/>
          <w:lang w:eastAsia="zh-CN"/>
        </w:rPr>
        <w:t>投标文件</w:t>
      </w:r>
      <w:r>
        <w:rPr>
          <w:rFonts w:hint="eastAsia" w:ascii="宋体" w:hAnsi="宋体" w:cs="宋体"/>
          <w:bCs/>
          <w:color w:val="auto"/>
          <w:sz w:val="24"/>
          <w:szCs w:val="24"/>
          <w:highlight w:val="none"/>
        </w:rPr>
        <w:t>中提供项目组成员名单、项目成员基本情况等信息。</w:t>
      </w:r>
    </w:p>
    <w:p w14:paraId="6F62C0C9">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1.3供应商应从项目质量保证方面阐述本项目实施的质量保证措施。</w:t>
      </w:r>
    </w:p>
    <w:p w14:paraId="0EBA410C">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1.4供应商应分析项目存在的各种风险，阐述应对策略和措施。</w:t>
      </w:r>
    </w:p>
    <w:p w14:paraId="1BA01E60">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1.5实施过程中，应定期提交项目实施相关信息。</w:t>
      </w:r>
    </w:p>
    <w:p w14:paraId="1E5A8815">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2.质量保证要求</w:t>
      </w:r>
    </w:p>
    <w:p w14:paraId="2957F370">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供应商需提交项目质量计划，项目质量计划要求：</w:t>
      </w:r>
    </w:p>
    <w:p w14:paraId="3DBF31E8">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2.1明确项目质量目标、质量标准；确定项目遵循的标准、规范及</w:t>
      </w:r>
      <w:r>
        <w:rPr>
          <w:rFonts w:hint="eastAsia" w:ascii="宋体" w:hAnsi="宋体" w:cs="宋体"/>
          <w:bCs/>
          <w:color w:val="auto"/>
          <w:sz w:val="24"/>
          <w:szCs w:val="24"/>
          <w:highlight w:val="none"/>
          <w:lang w:eastAsia="zh-CN"/>
        </w:rPr>
        <w:t>模板</w:t>
      </w:r>
      <w:r>
        <w:rPr>
          <w:rFonts w:hint="eastAsia" w:ascii="宋体" w:hAnsi="宋体" w:cs="宋体"/>
          <w:bCs/>
          <w:color w:val="auto"/>
          <w:sz w:val="24"/>
          <w:szCs w:val="24"/>
          <w:highlight w:val="none"/>
        </w:rPr>
        <w:t>，遵守项目管理组的相关要求。项目若使用</w:t>
      </w:r>
      <w:r>
        <w:rPr>
          <w:rFonts w:hint="eastAsia" w:ascii="宋体" w:hAnsi="宋体" w:cs="宋体"/>
          <w:bCs/>
          <w:color w:val="auto"/>
          <w:sz w:val="24"/>
          <w:szCs w:val="24"/>
          <w:highlight w:val="none"/>
          <w:lang w:eastAsia="zh-CN"/>
        </w:rPr>
        <w:t>其他</w:t>
      </w:r>
      <w:r>
        <w:rPr>
          <w:rFonts w:hint="eastAsia" w:ascii="宋体" w:hAnsi="宋体" w:cs="宋体"/>
          <w:bCs/>
          <w:color w:val="auto"/>
          <w:sz w:val="24"/>
          <w:szCs w:val="24"/>
          <w:highlight w:val="none"/>
        </w:rPr>
        <w:t>的标准和规范，应该在质量保证计划中说明。</w:t>
      </w:r>
    </w:p>
    <w:p w14:paraId="38D2314D">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2.2制定项目质量管理制度，明确项目质量管理工作流程及质量问题的发现、解决方法。</w:t>
      </w:r>
    </w:p>
    <w:p w14:paraId="12C24CF7">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2.3明确质量管理工作方法和工具、管理内容；明确影响质量的控制节点，以及如何检查、控制。</w:t>
      </w:r>
    </w:p>
    <w:p w14:paraId="34C0BCA4">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3.风险管理与控制要求</w:t>
      </w:r>
    </w:p>
    <w:p w14:paraId="4954F9DC">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3.1供应商应针对各阶段工作内容和要求，详细分析实施过程中可能出现的各类风险，制定完善的风险管理策略。</w:t>
      </w:r>
    </w:p>
    <w:p w14:paraId="3368701A">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3.2项目完成后，中标供应商应对该项目所涉及的需求分析、设计开发、测试、试运行、验收等各阶段工作文档按采购人质量、数量、提供方式、提供时间等要求进行整理，提交采购人归档。</w:t>
      </w:r>
    </w:p>
    <w:p w14:paraId="40B4D23F">
      <w:pPr>
        <w:tabs>
          <w:tab w:val="left" w:pos="0"/>
        </w:tabs>
        <w:spacing w:line="500" w:lineRule="exact"/>
        <w:ind w:firstLine="480"/>
        <w:rPr>
          <w:rFonts w:hint="eastAsia" w:ascii="宋体" w:hAnsi="宋体" w:cs="宋体"/>
          <w:bCs/>
          <w:color w:val="auto"/>
          <w:sz w:val="24"/>
          <w:szCs w:val="24"/>
          <w:highlight w:val="none"/>
          <w:lang w:eastAsia="zh-Hans"/>
        </w:rPr>
      </w:pPr>
      <w:r>
        <w:rPr>
          <w:rFonts w:hint="eastAsia" w:ascii="宋体" w:hAnsi="宋体" w:cs="宋体"/>
          <w:bCs/>
          <w:color w:val="auto"/>
          <w:sz w:val="24"/>
          <w:szCs w:val="24"/>
          <w:highlight w:val="none"/>
        </w:rPr>
        <w:t>4.服务</w:t>
      </w:r>
      <w:r>
        <w:rPr>
          <w:rFonts w:hint="eastAsia" w:ascii="宋体" w:hAnsi="宋体" w:cs="宋体"/>
          <w:bCs/>
          <w:color w:val="auto"/>
          <w:sz w:val="24"/>
          <w:szCs w:val="24"/>
          <w:highlight w:val="none"/>
          <w:lang w:eastAsia="zh-Hans"/>
        </w:rPr>
        <w:t>要求</w:t>
      </w:r>
    </w:p>
    <w:p w14:paraId="22D58A67">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4.1供应商应组建项目团队进行平台开发、建设，项目经理需</w:t>
      </w:r>
      <w:r>
        <w:rPr>
          <w:rFonts w:hint="eastAsia" w:ascii="宋体" w:hAnsi="宋体" w:cs="宋体"/>
          <w:bCs/>
          <w:color w:val="auto"/>
          <w:sz w:val="24"/>
          <w:szCs w:val="24"/>
          <w:highlight w:val="none"/>
          <w:lang w:eastAsia="zh-CN"/>
        </w:rPr>
        <w:t>常驻</w:t>
      </w:r>
      <w:r>
        <w:rPr>
          <w:rFonts w:hint="eastAsia" w:ascii="宋体" w:hAnsi="宋体" w:cs="宋体"/>
          <w:bCs/>
          <w:color w:val="auto"/>
          <w:sz w:val="24"/>
          <w:szCs w:val="24"/>
          <w:highlight w:val="none"/>
        </w:rPr>
        <w:t>宿迁项目现场，直至系统正式运行。</w:t>
      </w:r>
    </w:p>
    <w:p w14:paraId="11DFFEFE">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4.2在运维期内，需保障项目正常运行，出现技术问题，供应商需及时响应，响应要求详见售后运维服务要求。</w:t>
      </w:r>
    </w:p>
    <w:p w14:paraId="73371EDE">
      <w:pPr>
        <w:tabs>
          <w:tab w:val="left" w:pos="0"/>
        </w:tabs>
        <w:spacing w:line="500" w:lineRule="exact"/>
        <w:ind w:firstLine="422"/>
        <w:rPr>
          <w:rFonts w:hint="default" w:ascii="宋体" w:hAnsi="宋体" w:eastAsia="宋体" w:cs="宋体"/>
          <w:b/>
          <w:bCs/>
          <w:color w:val="auto"/>
          <w:sz w:val="24"/>
          <w:szCs w:val="24"/>
          <w:highlight w:val="none"/>
          <w:lang w:val="en-US" w:eastAsia="zh-CN"/>
        </w:rPr>
      </w:pPr>
      <w:r>
        <w:rPr>
          <w:rFonts w:hint="eastAsia" w:ascii="宋体" w:hAnsi="宋体" w:cs="宋体"/>
          <w:b/>
          <w:bCs/>
          <w:color w:val="auto"/>
          <w:szCs w:val="22"/>
          <w:highlight w:val="none"/>
        </w:rPr>
        <w:t>★</w:t>
      </w:r>
      <w:r>
        <w:rPr>
          <w:rFonts w:hint="eastAsia" w:ascii="宋体" w:hAnsi="宋体" w:cs="宋体"/>
          <w:b/>
          <w:bCs/>
          <w:color w:val="auto"/>
          <w:sz w:val="24"/>
          <w:szCs w:val="24"/>
          <w:highlight w:val="none"/>
        </w:rPr>
        <w:t>4.3在满足省里统建分用及采购人要求情况下，</w:t>
      </w:r>
      <w:r>
        <w:rPr>
          <w:rFonts w:ascii="宋体" w:hAnsi="宋体" w:cs="宋体"/>
          <w:b/>
          <w:bCs/>
          <w:color w:val="auto"/>
          <w:sz w:val="24"/>
          <w:szCs w:val="24"/>
          <w:highlight w:val="none"/>
        </w:rPr>
        <w:t>中标人须在</w:t>
      </w:r>
      <w:r>
        <w:rPr>
          <w:rFonts w:hint="eastAsia" w:ascii="宋体" w:hAnsi="宋体" w:cs="宋体"/>
          <w:b/>
          <w:bCs/>
          <w:color w:val="auto"/>
          <w:sz w:val="24"/>
          <w:szCs w:val="24"/>
          <w:highlight w:val="none"/>
        </w:rPr>
        <w:t>采购人通知</w:t>
      </w:r>
      <w:r>
        <w:rPr>
          <w:rFonts w:ascii="宋体" w:hAnsi="宋体" w:cs="宋体"/>
          <w:b/>
          <w:bCs/>
          <w:color w:val="auto"/>
          <w:sz w:val="24"/>
          <w:szCs w:val="24"/>
          <w:highlight w:val="none"/>
        </w:rPr>
        <w:t>后</w:t>
      </w:r>
      <w:r>
        <w:rPr>
          <w:rFonts w:hint="eastAsia" w:ascii="宋体" w:hAnsi="宋体" w:cs="宋体"/>
          <w:b/>
          <w:bCs/>
          <w:color w:val="auto"/>
          <w:sz w:val="24"/>
          <w:szCs w:val="24"/>
          <w:highlight w:val="none"/>
        </w:rPr>
        <w:t>3</w:t>
      </w:r>
      <w:r>
        <w:rPr>
          <w:rFonts w:ascii="宋体" w:hAnsi="宋体" w:cs="宋体"/>
          <w:b/>
          <w:bCs/>
          <w:color w:val="auto"/>
          <w:sz w:val="24"/>
          <w:szCs w:val="24"/>
          <w:highlight w:val="none"/>
        </w:rPr>
        <w:t>0日内完成国产化适配及部署</w:t>
      </w:r>
      <w:r>
        <w:rPr>
          <w:rFonts w:hint="eastAsia" w:ascii="宋体" w:hAnsi="宋体" w:cs="宋体"/>
          <w:b/>
          <w:bCs/>
          <w:color w:val="auto"/>
          <w:sz w:val="24"/>
          <w:szCs w:val="24"/>
          <w:highlight w:val="none"/>
        </w:rPr>
        <w:t>，否则采购人有权要求中标人更换基础软件</w:t>
      </w:r>
      <w:r>
        <w:rPr>
          <w:rFonts w:hint="eastAsia" w:ascii="宋体" w:hAnsi="宋体" w:cs="宋体"/>
          <w:b/>
          <w:bCs/>
          <w:color w:val="auto"/>
          <w:sz w:val="24"/>
          <w:szCs w:val="24"/>
          <w:highlight w:val="none"/>
          <w:lang w:val="en-US" w:eastAsia="zh-CN"/>
        </w:rPr>
        <w:t>授权</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投标人须提供承诺函，格式自拟。</w:t>
      </w:r>
    </w:p>
    <w:p w14:paraId="6660B1AE">
      <w:pPr>
        <w:spacing w:line="500" w:lineRule="exact"/>
        <w:ind w:firstLine="482"/>
        <w:outlineLvl w:val="2"/>
        <w:rPr>
          <w:rFonts w:hint="eastAsia" w:ascii="宋体" w:hAnsi="宋体" w:cs="宋体"/>
          <w:b/>
          <w:bCs/>
          <w:color w:val="auto"/>
          <w:sz w:val="24"/>
          <w:szCs w:val="24"/>
          <w:highlight w:val="none"/>
        </w:rPr>
      </w:pPr>
      <w:bookmarkStart w:id="284" w:name="_Toc8316"/>
      <w:bookmarkStart w:id="285" w:name="_Toc8921"/>
      <w:r>
        <w:rPr>
          <w:rFonts w:hint="eastAsia" w:ascii="宋体" w:hAnsi="宋体" w:cs="宋体"/>
          <w:b/>
          <w:bCs/>
          <w:color w:val="auto"/>
          <w:sz w:val="24"/>
          <w:szCs w:val="24"/>
          <w:highlight w:val="none"/>
          <w:lang w:val="en-US" w:eastAsia="zh-CN"/>
        </w:rPr>
        <w:t>八</w:t>
      </w:r>
      <w:r>
        <w:rPr>
          <w:rFonts w:hint="eastAsia" w:ascii="宋体" w:hAnsi="宋体" w:cs="宋体"/>
          <w:b/>
          <w:bCs/>
          <w:color w:val="auto"/>
          <w:sz w:val="24"/>
          <w:szCs w:val="24"/>
          <w:highlight w:val="none"/>
        </w:rPr>
        <w:t>、验收要求</w:t>
      </w:r>
      <w:bookmarkEnd w:id="284"/>
      <w:bookmarkEnd w:id="285"/>
    </w:p>
    <w:p w14:paraId="5B5344AB">
      <w:pPr>
        <w:tabs>
          <w:tab w:val="left" w:pos="0"/>
        </w:tabs>
        <w:spacing w:line="500" w:lineRule="exact"/>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服务期满后，采购人应在收到验收申请之日起7个工作日内组织验收，验收合格后出具验收报告。</w:t>
      </w:r>
    </w:p>
    <w:p w14:paraId="54536915">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2.验收标准：本项目验收工作由包括采购人、评审专家和用户体系代表等在内的项目验收小组来完成，具体成员和组织形式由采购人确定。验收标准以</w:t>
      </w:r>
      <w:r>
        <w:rPr>
          <w:rFonts w:hint="eastAsia" w:ascii="宋体" w:hAnsi="宋体" w:cs="宋体"/>
          <w:bCs/>
          <w:color w:val="auto"/>
          <w:sz w:val="24"/>
          <w:szCs w:val="24"/>
          <w:highlight w:val="none"/>
          <w:lang w:eastAsia="zh-CN"/>
        </w:rPr>
        <w:t>招标文件</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eastAsia="zh-CN"/>
        </w:rPr>
        <w:t>投标文件</w:t>
      </w:r>
      <w:r>
        <w:rPr>
          <w:rFonts w:hint="eastAsia" w:ascii="宋体" w:hAnsi="宋体" w:cs="宋体"/>
          <w:bCs/>
          <w:color w:val="auto"/>
          <w:sz w:val="24"/>
          <w:szCs w:val="24"/>
          <w:highlight w:val="none"/>
        </w:rPr>
        <w:t>等为依据，中标供应商提供项目验收相关材料，包括：合同；数据及相关说明书；用户手册；运维日志文件；系统接口规范等。</w:t>
      </w:r>
    </w:p>
    <w:p w14:paraId="1F87A057">
      <w:pPr>
        <w:spacing w:line="500" w:lineRule="exact"/>
        <w:ind w:firstLine="482"/>
        <w:outlineLvl w:val="2"/>
        <w:rPr>
          <w:rFonts w:hint="eastAsia" w:ascii="宋体" w:hAnsi="宋体" w:eastAsia="宋体" w:cs="宋体"/>
          <w:b/>
          <w:color w:val="auto"/>
          <w:sz w:val="24"/>
          <w:szCs w:val="24"/>
          <w:highlight w:val="none"/>
          <w:lang w:eastAsia="zh-CN"/>
        </w:rPr>
      </w:pPr>
      <w:bookmarkStart w:id="286" w:name="_Toc19275"/>
      <w:bookmarkStart w:id="287" w:name="_Toc13187"/>
      <w:bookmarkStart w:id="288" w:name="_Toc13194"/>
      <w:r>
        <w:rPr>
          <w:rFonts w:hint="eastAsia" w:ascii="宋体" w:hAnsi="宋体" w:cs="宋体"/>
          <w:b/>
          <w:bCs/>
          <w:color w:val="auto"/>
          <w:sz w:val="24"/>
          <w:szCs w:val="24"/>
          <w:highlight w:val="none"/>
          <w:lang w:val="en-US" w:eastAsia="zh-CN"/>
        </w:rPr>
        <w:t>九</w:t>
      </w:r>
      <w:r>
        <w:rPr>
          <w:rFonts w:hint="eastAsia" w:ascii="宋体" w:hAnsi="宋体" w:cs="宋体"/>
          <w:b/>
          <w:bCs/>
          <w:color w:val="auto"/>
          <w:sz w:val="24"/>
          <w:szCs w:val="24"/>
          <w:highlight w:val="none"/>
        </w:rPr>
        <w:t>、服务要求</w:t>
      </w:r>
      <w:bookmarkEnd w:id="286"/>
      <w:bookmarkEnd w:id="287"/>
      <w:bookmarkEnd w:id="288"/>
    </w:p>
    <w:p w14:paraId="3B2BA2CA">
      <w:pPr>
        <w:tabs>
          <w:tab w:val="left" w:pos="0"/>
        </w:tabs>
        <w:spacing w:line="500" w:lineRule="exact"/>
        <w:ind w:firstLine="482"/>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整体运维工作及时响应“苏政源”省市协同建设相关要求，保障平台稳定运行、数据安全合规、业务连续不中断，实现运维无死角、响应高效率、保障全周期。</w:t>
      </w:r>
    </w:p>
    <w:p w14:paraId="05A9247D">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1.自合同签约之日起，中标供应商提供三年运维服务。</w:t>
      </w:r>
    </w:p>
    <w:p w14:paraId="62601D4C">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2.服务期内，本合同项目所有技术和服务发生任何非人为故障，由中标供应商负责系统恢复。平台需要7*24小时不停机运行，</w:t>
      </w:r>
      <w:r>
        <w:rPr>
          <w:rFonts w:ascii="宋体" w:hAnsi="宋体" w:cs="宋体"/>
          <w:bCs/>
          <w:color w:val="auto"/>
          <w:sz w:val="24"/>
          <w:szCs w:val="24"/>
          <w:highlight w:val="none"/>
        </w:rPr>
        <w:t>一般</w:t>
      </w:r>
      <w:r>
        <w:rPr>
          <w:rFonts w:hint="eastAsia" w:ascii="宋体" w:hAnsi="宋体" w:cs="宋体"/>
          <w:bCs/>
          <w:color w:val="auto"/>
          <w:sz w:val="24"/>
          <w:szCs w:val="24"/>
          <w:highlight w:val="none"/>
        </w:rPr>
        <w:t>故障响应时间≤10分钟，技术人员到场时间≤10分钟。</w:t>
      </w:r>
    </w:p>
    <w:p w14:paraId="23443CE8">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故障及时响应。成立专门的本地维护服务和技术支持小组，系统运行异常时，在接到采购人通知后，须全力协助采购人，使系统尽快恢复正常。具体为：供应商必须提供7×24小时的响应服务，保证技术人员及时到场。因系统环境部署在电子政务外网，不接受远程运维服务，现场响应时间不得高于10分钟，及时解决故障或启用应急措施保证系统正常运行。</w:t>
      </w:r>
    </w:p>
    <w:p w14:paraId="6D42E291">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4.项目建设期间中标供应商应严格遵守安全管理制度，因没有遵守安全管理制度要求所发生的一切安全事故均由中标供应商负责，采购人不承担任何责任。</w:t>
      </w:r>
    </w:p>
    <w:p w14:paraId="32531060">
      <w:pPr>
        <w:tabs>
          <w:tab w:val="left" w:pos="0"/>
        </w:tabs>
        <w:spacing w:line="500" w:lineRule="exact"/>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5.驻点人员要求：在运维期间，供应商需派驻不少于4人名工程师现场驻点，</w:t>
      </w:r>
      <w:r>
        <w:rPr>
          <w:rFonts w:ascii="宋体" w:hAnsi="宋体" w:cs="宋体"/>
          <w:bCs/>
          <w:color w:val="auto"/>
          <w:sz w:val="24"/>
          <w:szCs w:val="24"/>
          <w:highlight w:val="none"/>
        </w:rPr>
        <w:t>驻点人员工作地点须在采购人指定</w:t>
      </w:r>
      <w:r>
        <w:rPr>
          <w:rFonts w:hint="eastAsia" w:ascii="宋体" w:hAnsi="宋体" w:cs="宋体"/>
          <w:bCs/>
          <w:color w:val="auto"/>
          <w:sz w:val="24"/>
          <w:szCs w:val="24"/>
          <w:highlight w:val="none"/>
          <w:lang w:val="en-US" w:eastAsia="zh-CN"/>
        </w:rPr>
        <w:t>位置</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u w:val="single"/>
        </w:rPr>
        <w:t>应具备现场解决技术问题的能力，能够积极配合采购人开展相关服务工作，主动发现并及时反馈平台运行中的功能异常与潜在问题，以扎实的技术水平保障问题得到高效处置。</w:t>
      </w:r>
    </w:p>
    <w:p w14:paraId="1CA242AA">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5.1驻场团队必须自觉遵守采购人的各项规章制度，必须维护采购人声誉和形象，严格遵守网络安全、信息安全的相关要求。</w:t>
      </w:r>
    </w:p>
    <w:p w14:paraId="1538D724">
      <w:pPr>
        <w:tabs>
          <w:tab w:val="left" w:pos="0"/>
        </w:tabs>
        <w:spacing w:line="500" w:lineRule="exact"/>
        <w:ind w:firstLine="480"/>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5.2现场派驻人员应明确各工作岗位的设定与责任边界，项目现场管理负责人及其他驻场人员的选取须经采购人同意，不得随意减配人员数量或降低人员素质要求。所有人员（含项目负责人、技术负责人及其他技术人员）的更换，必须将调离人员及其工作影响、替换人员资历等情况以书面材料报采购人审核，经采购人同意后方可更换。因供应商人员变更所造成的任何项目质量或进度滞后等后果，由供应商承担一切责任。</w:t>
      </w:r>
    </w:p>
    <w:p w14:paraId="50D8EC14">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5.3驻场团队必须明确工作职责，端正工作态度，认真开展工作，不得利用采购人的系统平台、业务关系等从事与采购人业务无关工作。</w:t>
      </w:r>
    </w:p>
    <w:p w14:paraId="5C19B79B">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5.4派驻现场人员须在采购人指定的办公地点开展工作，办公场所设施和办公条件等由供应商自行负责，作息时间参照采购人作息时间，非工作时间提供7*24小时不关机响应服务。节假日应至少安排1名人员现场做好值班值守工作。如出现特殊情况需加班时，供应商必须按照采购方要求安排人员加班，现场人员力量不足时，供应商应积极协调后方团队支持，协助采购人解决问题。如遇驻场人员无法解决的问题或认为需要，供应商必须在规定时间内，协调专业技术力量赶到现场提供支持。供应商不得以任何理由拒绝响应采购人提出的运维服务要求，不得拖延服务响应时间。</w:t>
      </w:r>
    </w:p>
    <w:p w14:paraId="34418849">
      <w:pPr>
        <w:spacing w:line="500" w:lineRule="exact"/>
        <w:ind w:firstLine="482"/>
        <w:outlineLvl w:val="2"/>
        <w:rPr>
          <w:rFonts w:hint="eastAsia" w:ascii="宋体" w:hAnsi="宋体" w:cs="宋体"/>
          <w:b/>
          <w:bCs/>
          <w:color w:val="auto"/>
          <w:sz w:val="24"/>
          <w:szCs w:val="24"/>
          <w:highlight w:val="none"/>
        </w:rPr>
      </w:pPr>
      <w:bookmarkStart w:id="289" w:name="_Toc1286"/>
      <w:bookmarkStart w:id="290" w:name="_Toc31071"/>
      <w:bookmarkStart w:id="291" w:name="_Toc16960"/>
      <w:r>
        <w:rPr>
          <w:rFonts w:hint="eastAsia" w:ascii="宋体" w:hAnsi="宋体" w:cs="宋体"/>
          <w:b/>
          <w:bCs/>
          <w:color w:val="auto"/>
          <w:sz w:val="24"/>
          <w:szCs w:val="24"/>
          <w:highlight w:val="none"/>
          <w:lang w:val="en-US" w:eastAsia="zh-CN"/>
        </w:rPr>
        <w:t>十</w:t>
      </w:r>
      <w:r>
        <w:rPr>
          <w:rFonts w:hint="eastAsia" w:ascii="宋体" w:hAnsi="宋体" w:cs="宋体"/>
          <w:b/>
          <w:bCs/>
          <w:color w:val="auto"/>
          <w:sz w:val="24"/>
          <w:szCs w:val="24"/>
          <w:highlight w:val="none"/>
        </w:rPr>
        <w:t>、培训要求</w:t>
      </w:r>
      <w:bookmarkEnd w:id="289"/>
      <w:bookmarkEnd w:id="290"/>
      <w:bookmarkEnd w:id="291"/>
    </w:p>
    <w:p w14:paraId="5A7989DB">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1.中标供应商提供周全的培训计划、培训目标、培训内容、培训方法和培训师资。</w:t>
      </w:r>
    </w:p>
    <w:p w14:paraId="16ACD652">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2.培训方式采取线上+线下，确保采购单位对系统操作的熟悉性，能够全面熟练掌握软件运行、检查、维护等工作，确保日常工作的顺利完成。</w:t>
      </w:r>
    </w:p>
    <w:p w14:paraId="328BEF12">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3.培训人员1人，且需具有相关专业资格和实际工作经验、参加过本项目开发的专家或技术人员。</w:t>
      </w:r>
    </w:p>
    <w:p w14:paraId="6FDBB48A">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4.供应商应向接受培训人员提供技术资料、图纸、参考文献材料等。</w:t>
      </w:r>
    </w:p>
    <w:p w14:paraId="797FBECC">
      <w:pPr>
        <w:tabs>
          <w:tab w:val="left" w:pos="0"/>
        </w:tabs>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5.所有培训所涉及的所有费用包含在本次报价中，不得另行向采购单位收取。</w:t>
      </w:r>
    </w:p>
    <w:p w14:paraId="4B0D0A7E">
      <w:pPr>
        <w:spacing w:line="500" w:lineRule="exact"/>
        <w:ind w:firstLine="482"/>
        <w:outlineLvl w:val="2"/>
        <w:rPr>
          <w:rFonts w:hint="eastAsia" w:ascii="宋体" w:hAnsi="宋体" w:cs="宋体"/>
          <w:b/>
          <w:color w:val="auto"/>
          <w:sz w:val="24"/>
          <w:szCs w:val="24"/>
          <w:highlight w:val="none"/>
        </w:rPr>
      </w:pPr>
      <w:bookmarkStart w:id="292" w:name="_Toc1049"/>
      <w:bookmarkStart w:id="293" w:name="_Toc30058"/>
      <w:r>
        <w:rPr>
          <w:rFonts w:hint="eastAsia" w:ascii="宋体" w:hAnsi="宋体" w:cs="宋体"/>
          <w:b/>
          <w:color w:val="auto"/>
          <w:sz w:val="24"/>
          <w:szCs w:val="24"/>
          <w:highlight w:val="none"/>
          <w:lang w:val="en-US" w:eastAsia="zh-CN"/>
        </w:rPr>
        <w:t>十一</w:t>
      </w:r>
      <w:r>
        <w:rPr>
          <w:rFonts w:hint="eastAsia" w:ascii="宋体" w:hAnsi="宋体" w:cs="宋体"/>
          <w:b/>
          <w:color w:val="auto"/>
          <w:sz w:val="24"/>
          <w:szCs w:val="24"/>
          <w:highlight w:val="none"/>
        </w:rPr>
        <w:t>、其他要求</w:t>
      </w:r>
      <w:bookmarkEnd w:id="292"/>
      <w:bookmarkEnd w:id="293"/>
    </w:p>
    <w:p w14:paraId="69660AEE">
      <w:pPr>
        <w:tabs>
          <w:tab w:val="left" w:pos="0"/>
        </w:tabs>
        <w:spacing w:line="500" w:lineRule="exact"/>
        <w:ind w:firstLine="720"/>
        <w:outlineLvl w:val="9"/>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1.根据“苏政源”的能力视情做好宿迁专区门户、 “苏小慧”智能问答等部署运维服务</w:t>
      </w:r>
      <w:r>
        <w:rPr>
          <w:rFonts w:hint="eastAsia" w:ascii="宋体" w:hAnsi="宋体" w:cs="宋体"/>
          <w:bCs/>
          <w:color w:val="auto"/>
          <w:sz w:val="24"/>
          <w:szCs w:val="24"/>
          <w:highlight w:val="none"/>
        </w:rPr>
        <w:t>。</w:t>
      </w:r>
    </w:p>
    <w:p w14:paraId="60B950B0">
      <w:pPr>
        <w:tabs>
          <w:tab w:val="left" w:pos="0"/>
        </w:tabs>
        <w:spacing w:line="500" w:lineRule="exact"/>
        <w:ind w:firstLine="24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ab/>
      </w:r>
      <w:r>
        <w:rPr>
          <w:rFonts w:hint="eastAsia" w:ascii="宋体" w:hAnsi="宋体" w:cs="宋体"/>
          <w:bCs/>
          <w:color w:val="auto"/>
          <w:sz w:val="24"/>
          <w:szCs w:val="24"/>
          <w:highlight w:val="none"/>
          <w:lang w:val="en-US" w:eastAsia="zh-CN"/>
        </w:rPr>
        <w:t xml:space="preserve">  2</w:t>
      </w:r>
      <w:r>
        <w:rPr>
          <w:rFonts w:hint="eastAsia" w:ascii="宋体" w:hAnsi="宋体" w:cs="宋体"/>
          <w:bCs/>
          <w:color w:val="auto"/>
          <w:sz w:val="24"/>
          <w:szCs w:val="24"/>
          <w:highlight w:val="none"/>
        </w:rPr>
        <w:t>.报价内容包括：人员成本、全部管理和服务的费用（指完成该服务项目所需的固定资产投入、软硬件投入、办公费、培训费、计提工会费、交通工具、材料费、维保费、合理利润、税收等相关的所有费用)。</w:t>
      </w:r>
    </w:p>
    <w:p w14:paraId="562FCF5D">
      <w:pPr>
        <w:tabs>
          <w:tab w:val="left" w:pos="0"/>
        </w:tabs>
        <w:spacing w:line="500" w:lineRule="exact"/>
        <w:ind w:firstLine="240"/>
        <w:jc w:val="left"/>
        <w:rPr>
          <w:rFonts w:hint="eastAsia" w:ascii="宋体" w:hAnsi="宋体" w:cs="宋体"/>
          <w:bCs/>
          <w:color w:val="auto"/>
          <w:sz w:val="24"/>
          <w:szCs w:val="24"/>
          <w:highlight w:val="none"/>
        </w:rPr>
      </w:pPr>
    </w:p>
    <w:p w14:paraId="3F75F3AA">
      <w:pPr>
        <w:tabs>
          <w:tab w:val="left" w:pos="0"/>
        </w:tabs>
        <w:spacing w:line="500" w:lineRule="exact"/>
        <w:ind w:left="0" w:firstLine="562"/>
        <w:jc w:val="both"/>
        <w:outlineLvl w:val="9"/>
        <w:rPr>
          <w:rFonts w:hint="eastAsia" w:ascii="宋体" w:hAnsi="宋体" w:cs="宋体"/>
          <w:b/>
          <w:sz w:val="28"/>
          <w:szCs w:val="28"/>
          <w:lang w:val="en-US" w:eastAsia="zh-CN"/>
        </w:rPr>
      </w:pPr>
      <w:r>
        <w:rPr>
          <w:rFonts w:hint="eastAsia" w:ascii="宋体" w:hAnsi="宋体" w:cs="宋体"/>
          <w:b/>
          <w:bCs w:val="0"/>
          <w:sz w:val="28"/>
          <w:szCs w:val="28"/>
          <w:lang w:val="en-US" w:eastAsia="zh-CN"/>
        </w:rPr>
        <w:t>备注：以上采购需求中标注</w:t>
      </w:r>
      <w:r>
        <w:rPr>
          <w:rFonts w:hint="eastAsia" w:ascii="宋体" w:hAnsi="宋体" w:cs="宋体"/>
          <w:b/>
          <w:sz w:val="28"/>
          <w:szCs w:val="28"/>
        </w:rPr>
        <w:t>“★”</w:t>
      </w:r>
      <w:r>
        <w:rPr>
          <w:rFonts w:hint="eastAsia" w:ascii="宋体" w:hAnsi="宋体" w:cs="宋体"/>
          <w:b/>
          <w:sz w:val="28"/>
          <w:szCs w:val="28"/>
          <w:lang w:val="en-US" w:eastAsia="zh-CN"/>
        </w:rPr>
        <w:t>的</w:t>
      </w:r>
      <w:r>
        <w:rPr>
          <w:rFonts w:hint="eastAsia" w:ascii="宋体" w:hAnsi="宋体" w:cs="宋体"/>
          <w:b/>
          <w:sz w:val="28"/>
          <w:szCs w:val="28"/>
        </w:rPr>
        <w:t>内容</w:t>
      </w:r>
      <w:r>
        <w:rPr>
          <w:rFonts w:hint="eastAsia" w:ascii="宋体" w:hAnsi="宋体" w:cs="宋体"/>
          <w:b/>
          <w:sz w:val="28"/>
          <w:szCs w:val="28"/>
          <w:lang w:val="en-US" w:eastAsia="zh-CN"/>
        </w:rPr>
        <w:t>及要求是实质性要求，不接受负偏离，否则作为无效标处理。</w:t>
      </w:r>
    </w:p>
    <w:p w14:paraId="09832836">
      <w:pPr>
        <w:tabs>
          <w:tab w:val="left" w:pos="0"/>
        </w:tabs>
        <w:spacing w:line="500" w:lineRule="exact"/>
        <w:ind w:left="0" w:firstLine="560"/>
        <w:jc w:val="center"/>
        <w:outlineLvl w:val="0"/>
        <w:rPr>
          <w:rFonts w:hint="eastAsia" w:ascii="宋体" w:hAnsi="宋体" w:cs="宋体"/>
          <w:bCs/>
          <w:color w:val="auto"/>
          <w:sz w:val="28"/>
          <w:szCs w:val="28"/>
          <w:highlight w:val="none"/>
        </w:rPr>
      </w:pPr>
      <w:r>
        <w:rPr>
          <w:rFonts w:hint="eastAsia" w:ascii="宋体" w:hAnsi="宋体" w:cs="宋体"/>
          <w:bCs/>
          <w:color w:val="auto"/>
          <w:sz w:val="28"/>
          <w:szCs w:val="28"/>
          <w:highlight w:val="none"/>
        </w:rPr>
        <w:br w:type="page" w:clear="all"/>
      </w:r>
      <w:bookmarkStart w:id="294" w:name="_Toc8128"/>
      <w:bookmarkStart w:id="295" w:name="_Toc17276"/>
      <w:bookmarkStart w:id="296" w:name="_Toc22838"/>
      <w:bookmarkStart w:id="297" w:name="_Toc10535"/>
      <w:r>
        <w:rPr>
          <w:rFonts w:hint="eastAsia" w:ascii="宋体" w:hAnsi="宋体" w:cs="宋体"/>
          <w:b/>
          <w:bCs/>
          <w:color w:val="auto"/>
          <w:sz w:val="36"/>
          <w:szCs w:val="36"/>
          <w:highlight w:val="none"/>
        </w:rPr>
        <w:t>第五章  评标方法与评标标准</w:t>
      </w:r>
      <w:bookmarkEnd w:id="294"/>
      <w:bookmarkEnd w:id="295"/>
      <w:bookmarkEnd w:id="296"/>
      <w:bookmarkEnd w:id="297"/>
    </w:p>
    <w:p w14:paraId="3FFEEF07">
      <w:pPr>
        <w:spacing w:line="50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一、资格审查。</w:t>
      </w:r>
      <w:r>
        <w:rPr>
          <w:rFonts w:hint="eastAsia" w:ascii="宋体" w:hAnsi="宋体" w:cs="宋体"/>
          <w:color w:val="auto"/>
          <w:sz w:val="24"/>
          <w:szCs w:val="24"/>
          <w:highlight w:val="none"/>
        </w:rPr>
        <w:t>资格审查人员按照下列指标对各投标人的资格进行审查，未通过审查的为无效标，不参与评标。适用于所有分包。</w:t>
      </w:r>
    </w:p>
    <w:tbl>
      <w:tblPr>
        <w:tblStyle w:val="35"/>
        <w:tblW w:w="5018"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22"/>
        <w:gridCol w:w="4973"/>
      </w:tblGrid>
      <w:tr w14:paraId="76EC8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018" w:type="dxa"/>
            <w:noWrap w:val="0"/>
            <w:vAlign w:val="center"/>
          </w:tcPr>
          <w:p w14:paraId="09D5449E">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资格审查因素</w:t>
            </w:r>
          </w:p>
        </w:tc>
        <w:tc>
          <w:tcPr>
            <w:tcW w:w="4968" w:type="dxa"/>
            <w:noWrap w:val="0"/>
            <w:vAlign w:val="center"/>
          </w:tcPr>
          <w:p w14:paraId="612EEF64">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审查标准</w:t>
            </w:r>
          </w:p>
        </w:tc>
      </w:tr>
      <w:tr w14:paraId="72EA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018" w:type="dxa"/>
            <w:noWrap w:val="0"/>
            <w:vAlign w:val="center"/>
          </w:tcPr>
          <w:p w14:paraId="560BAADF">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投标声明及承诺函</w:t>
            </w:r>
          </w:p>
        </w:tc>
        <w:tc>
          <w:tcPr>
            <w:tcW w:w="4968" w:type="dxa"/>
            <w:noWrap w:val="0"/>
            <w:vAlign w:val="center"/>
          </w:tcPr>
          <w:p w14:paraId="4C1CB66F">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0E23D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018" w:type="dxa"/>
            <w:noWrap w:val="0"/>
            <w:vAlign w:val="center"/>
          </w:tcPr>
          <w:p w14:paraId="20FE5C2F">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信用信息</w:t>
            </w:r>
          </w:p>
        </w:tc>
        <w:tc>
          <w:tcPr>
            <w:tcW w:w="4968" w:type="dxa"/>
            <w:noWrap w:val="0"/>
            <w:vAlign w:val="center"/>
          </w:tcPr>
          <w:p w14:paraId="27D70B1F">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769C4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018" w:type="dxa"/>
            <w:noWrap w:val="0"/>
            <w:vAlign w:val="center"/>
          </w:tcPr>
          <w:p w14:paraId="436D1C31">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落实政府采购政策需满足的资格要求</w:t>
            </w:r>
          </w:p>
        </w:tc>
        <w:tc>
          <w:tcPr>
            <w:tcW w:w="4968" w:type="dxa"/>
            <w:noWrap w:val="0"/>
            <w:vAlign w:val="center"/>
          </w:tcPr>
          <w:p w14:paraId="4C216B8B">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2276E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018" w:type="dxa"/>
            <w:noWrap w:val="0"/>
            <w:vAlign w:val="center"/>
          </w:tcPr>
          <w:p w14:paraId="6386EE22">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联合体投标</w:t>
            </w:r>
          </w:p>
        </w:tc>
        <w:tc>
          <w:tcPr>
            <w:tcW w:w="4968" w:type="dxa"/>
            <w:noWrap w:val="0"/>
            <w:vAlign w:val="center"/>
          </w:tcPr>
          <w:p w14:paraId="699EA264">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不接受联合体投标</w:t>
            </w:r>
          </w:p>
        </w:tc>
      </w:tr>
    </w:tbl>
    <w:p w14:paraId="69E31AFB">
      <w:pPr>
        <w:spacing w:line="50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t>二、符合性审查。</w:t>
      </w:r>
      <w:r>
        <w:rPr>
          <w:rFonts w:hint="eastAsia" w:ascii="宋体" w:hAnsi="宋体" w:cs="宋体"/>
          <w:color w:val="auto"/>
          <w:sz w:val="24"/>
          <w:szCs w:val="24"/>
          <w:highlight w:val="none"/>
        </w:rPr>
        <w:t>评标委员会首先按照下列指标对各投标人的投标文件进行符合性审查，未通过审查的为无效标，不再参与评审。适用于所有分包。</w:t>
      </w:r>
    </w:p>
    <w:tbl>
      <w:tblPr>
        <w:tblStyle w:val="35"/>
        <w:tblW w:w="5021"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05"/>
        <w:gridCol w:w="4996"/>
      </w:tblGrid>
      <w:tr w14:paraId="1F426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001" w:type="dxa"/>
            <w:noWrap w:val="0"/>
            <w:vAlign w:val="center"/>
          </w:tcPr>
          <w:p w14:paraId="7DF8A930">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符合性审查因素</w:t>
            </w:r>
          </w:p>
        </w:tc>
        <w:tc>
          <w:tcPr>
            <w:tcW w:w="4991" w:type="dxa"/>
            <w:noWrap w:val="0"/>
            <w:vAlign w:val="center"/>
          </w:tcPr>
          <w:p w14:paraId="3C6452E4">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审查标准</w:t>
            </w:r>
          </w:p>
        </w:tc>
      </w:tr>
      <w:tr w14:paraId="2502C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001" w:type="dxa"/>
            <w:noWrap w:val="0"/>
            <w:vAlign w:val="center"/>
          </w:tcPr>
          <w:p w14:paraId="1A5A7246">
            <w:pPr>
              <w:spacing w:line="400" w:lineRule="exact"/>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法定代表人身份证明或</w:t>
            </w:r>
            <w:r>
              <w:rPr>
                <w:rFonts w:hint="eastAsia" w:ascii="宋体" w:hAnsi="宋体" w:cs="宋体"/>
                <w:color w:val="auto"/>
                <w:sz w:val="24"/>
                <w:szCs w:val="24"/>
                <w:highlight w:val="none"/>
                <w:lang w:val="en-US" w:eastAsia="zh-CN"/>
              </w:rPr>
              <w:t>法人授权书</w:t>
            </w:r>
          </w:p>
        </w:tc>
        <w:tc>
          <w:tcPr>
            <w:tcW w:w="4991" w:type="dxa"/>
            <w:noWrap w:val="0"/>
            <w:vAlign w:val="center"/>
          </w:tcPr>
          <w:p w14:paraId="53488B91">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4EF67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001" w:type="dxa"/>
            <w:noWrap w:val="0"/>
            <w:vAlign w:val="center"/>
          </w:tcPr>
          <w:p w14:paraId="1501F2C3">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开标一览表及投标报价</w:t>
            </w:r>
          </w:p>
        </w:tc>
        <w:tc>
          <w:tcPr>
            <w:tcW w:w="4991" w:type="dxa"/>
            <w:noWrap w:val="0"/>
            <w:vAlign w:val="center"/>
          </w:tcPr>
          <w:p w14:paraId="60DE4649">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747C1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001" w:type="dxa"/>
            <w:noWrap w:val="0"/>
            <w:vAlign w:val="center"/>
          </w:tcPr>
          <w:p w14:paraId="6F069747">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技术标准及要求</w:t>
            </w:r>
          </w:p>
        </w:tc>
        <w:tc>
          <w:tcPr>
            <w:tcW w:w="4991" w:type="dxa"/>
            <w:noWrap w:val="0"/>
            <w:vAlign w:val="center"/>
          </w:tcPr>
          <w:p w14:paraId="2EB9AD23">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r w14:paraId="40BD0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4001" w:type="dxa"/>
            <w:noWrap w:val="0"/>
            <w:vAlign w:val="center"/>
          </w:tcPr>
          <w:p w14:paraId="743C3720">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其他</w:t>
            </w:r>
          </w:p>
        </w:tc>
        <w:tc>
          <w:tcPr>
            <w:tcW w:w="4991" w:type="dxa"/>
            <w:noWrap w:val="0"/>
            <w:vAlign w:val="center"/>
          </w:tcPr>
          <w:p w14:paraId="73C9EE80">
            <w:pPr>
              <w:spacing w:line="400" w:lineRule="exact"/>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符合招标文件要求</w:t>
            </w:r>
          </w:p>
        </w:tc>
      </w:tr>
    </w:tbl>
    <w:p w14:paraId="599B8603">
      <w:pPr>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三、评分办法—综合评分法</w:t>
      </w:r>
    </w:p>
    <w:p w14:paraId="6696CA46">
      <w:pPr>
        <w:spacing w:line="500" w:lineRule="exact"/>
        <w:ind w:firstLine="241"/>
        <w:rPr>
          <w:rFonts w:hint="eastAsia" w:ascii="宋体" w:hAnsi="宋体" w:cs="宋体"/>
          <w:color w:val="auto"/>
          <w:sz w:val="24"/>
          <w:szCs w:val="24"/>
          <w:highlight w:val="none"/>
        </w:rPr>
      </w:pPr>
      <w:r>
        <w:rPr>
          <w:rFonts w:hint="eastAsia" w:ascii="宋体" w:hAnsi="宋体" w:cs="宋体"/>
          <w:b/>
          <w:color w:val="auto"/>
          <w:sz w:val="24"/>
          <w:szCs w:val="24"/>
          <w:highlight w:val="none"/>
        </w:rPr>
        <w:t>（一）评标办法：</w:t>
      </w:r>
      <w:r>
        <w:rPr>
          <w:rFonts w:hint="eastAsia" w:ascii="宋体" w:hAnsi="宋体" w:cs="宋体"/>
          <w:color w:val="auto"/>
          <w:sz w:val="24"/>
          <w:szCs w:val="24"/>
          <w:highlight w:val="non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65D8555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评标委员会根据评审后投标人排序推荐3名中标候选人。投标文件满足招标文件全部实质性要求，且评审后排序第一的投标人为第一中标候选人，依次类推。</w:t>
      </w:r>
    </w:p>
    <w:p w14:paraId="4DD9E70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综合评分保留至小数点后两位。 </w:t>
      </w:r>
    </w:p>
    <w:p w14:paraId="2B17ED03">
      <w:pPr>
        <w:spacing w:line="500" w:lineRule="exact"/>
        <w:ind w:firstLine="241"/>
        <w:jc w:val="left"/>
        <w:rPr>
          <w:rFonts w:hint="eastAsia" w:ascii="宋体" w:hAnsi="宋体" w:cs="宋体"/>
          <w:color w:val="auto"/>
          <w:sz w:val="24"/>
          <w:szCs w:val="24"/>
          <w:highlight w:val="none"/>
        </w:rPr>
      </w:pPr>
      <w:r>
        <w:rPr>
          <w:rFonts w:hint="eastAsia" w:ascii="宋体" w:hAnsi="宋体" w:cs="宋体"/>
          <w:b/>
          <w:color w:val="auto"/>
          <w:sz w:val="24"/>
          <w:szCs w:val="24"/>
          <w:highlight w:val="none"/>
        </w:rPr>
        <w:t>（二）详细评审。</w:t>
      </w:r>
      <w:r>
        <w:rPr>
          <w:rFonts w:hint="eastAsia" w:ascii="宋体" w:hAnsi="宋体" w:cs="宋体"/>
          <w:color w:val="auto"/>
          <w:sz w:val="24"/>
          <w:szCs w:val="24"/>
          <w:highlight w:val="none"/>
        </w:rPr>
        <w:t>评标委员会按照招标文件规定的评分标准，对各投标文件进行详细评审打分。评标委员会组长对各评审专家的打分情况进行复核无误后汇总，形成评审报告。适用于所有分包。</w:t>
      </w:r>
    </w:p>
    <w:tbl>
      <w:tblPr>
        <w:tblStyle w:val="35"/>
        <w:tblW w:w="5308"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189"/>
        <w:gridCol w:w="1331"/>
        <w:gridCol w:w="870"/>
        <w:gridCol w:w="6125"/>
      </w:tblGrid>
      <w:tr w14:paraId="6691D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18" w:type="dxa"/>
            <w:gridSpan w:val="2"/>
            <w:noWrap w:val="0"/>
            <w:vAlign w:val="center"/>
          </w:tcPr>
          <w:p w14:paraId="7978DDF8">
            <w:pPr>
              <w:spacing w:line="400" w:lineRule="exact"/>
              <w:jc w:val="center"/>
              <w:rPr>
                <w:rFonts w:hint="eastAsia" w:ascii="宋体" w:hAnsi="宋体" w:cs="宋体"/>
                <w:color w:val="auto"/>
                <w:sz w:val="24"/>
                <w:szCs w:val="24"/>
                <w:highlight w:val="none"/>
              </w:rPr>
            </w:pPr>
            <w:bookmarkStart w:id="298" w:name="EBe0cfd1035ea44f689f97db50fccddc8b"/>
            <w:r>
              <w:rPr>
                <w:rFonts w:hint="eastAsia" w:ascii="宋体" w:hAnsi="宋体" w:cs="宋体"/>
                <w:color w:val="auto"/>
                <w:sz w:val="24"/>
                <w:szCs w:val="24"/>
                <w:highlight w:val="none"/>
              </w:rPr>
              <w:t>评审因素</w:t>
            </w:r>
          </w:p>
        </w:tc>
        <w:tc>
          <w:tcPr>
            <w:tcW w:w="869" w:type="dxa"/>
            <w:noWrap w:val="0"/>
            <w:vAlign w:val="center"/>
          </w:tcPr>
          <w:p w14:paraId="4A420133">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分数</w:t>
            </w:r>
          </w:p>
        </w:tc>
        <w:tc>
          <w:tcPr>
            <w:tcW w:w="6119" w:type="dxa"/>
            <w:noWrap w:val="0"/>
            <w:vAlign w:val="center"/>
          </w:tcPr>
          <w:p w14:paraId="42BD0906">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评审标准</w:t>
            </w:r>
          </w:p>
        </w:tc>
      </w:tr>
      <w:tr w14:paraId="741FC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noWrap w:val="0"/>
            <w:vAlign w:val="center"/>
          </w:tcPr>
          <w:p w14:paraId="143CEE0C">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报价分</w:t>
            </w:r>
          </w:p>
        </w:tc>
        <w:tc>
          <w:tcPr>
            <w:tcW w:w="1330" w:type="dxa"/>
            <w:noWrap w:val="0"/>
            <w:vAlign w:val="center"/>
          </w:tcPr>
          <w:p w14:paraId="3737B3B8">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投标报价</w:t>
            </w:r>
          </w:p>
        </w:tc>
        <w:tc>
          <w:tcPr>
            <w:tcW w:w="869" w:type="dxa"/>
            <w:noWrap w:val="0"/>
            <w:vAlign w:val="center"/>
          </w:tcPr>
          <w:p w14:paraId="0BD318B0">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10.00</w:t>
            </w:r>
          </w:p>
        </w:tc>
        <w:tc>
          <w:tcPr>
            <w:tcW w:w="6119" w:type="dxa"/>
            <w:noWrap w:val="0"/>
            <w:vAlign w:val="center"/>
          </w:tcPr>
          <w:p w14:paraId="5E8745A0">
            <w:pPr>
              <w:spacing w:line="400" w:lineRule="exact"/>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采用低价优先法计算，即满足招标文件要求且投标价格最低的投标报价为评标基准价，其价格分为满分。其他投标人投标报价得分＝（评标基准价/投标报价）*10。</w:t>
            </w:r>
            <w:r>
              <w:rPr>
                <w:rFonts w:hint="eastAsia" w:ascii="宋体" w:hAnsi="宋体" w:cs="宋体"/>
                <w:color w:val="auto"/>
                <w:sz w:val="24"/>
                <w:szCs w:val="24"/>
                <w:highlight w:val="none"/>
                <w:lang w:val="en-US" w:eastAsia="zh-CN"/>
              </w:rPr>
              <w:t xml:space="preserve"> </w:t>
            </w:r>
          </w:p>
          <w:p w14:paraId="65E9B7C5">
            <w:pPr>
              <w:spacing w:line="400" w:lineRule="exact"/>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注：评审过程中出现“第二章、</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rPr>
              <w:t>须知”25.6.1 情形之一的，</w:t>
            </w:r>
            <w:r>
              <w:rPr>
                <w:rFonts w:hint="eastAsia" w:ascii="宋体" w:hAnsi="宋体" w:cs="宋体"/>
                <w:color w:val="auto"/>
                <w:sz w:val="24"/>
                <w:szCs w:val="24"/>
                <w:highlight w:val="none"/>
                <w:lang w:val="en-US" w:eastAsia="zh-CN"/>
              </w:rPr>
              <w:t>评标委员会</w:t>
            </w:r>
            <w:r>
              <w:rPr>
                <w:rFonts w:hint="eastAsia" w:ascii="宋体" w:hAnsi="宋体" w:cs="宋体"/>
                <w:color w:val="auto"/>
                <w:sz w:val="24"/>
                <w:szCs w:val="24"/>
                <w:highlight w:val="none"/>
              </w:rPr>
              <w:t>应当启动异常低价</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审查程序</w:t>
            </w:r>
            <w:r>
              <w:rPr>
                <w:rFonts w:hint="eastAsia" w:ascii="宋体" w:hAnsi="宋体" w:cs="宋体"/>
                <w:color w:val="auto"/>
                <w:sz w:val="24"/>
                <w:szCs w:val="24"/>
                <w:highlight w:val="none"/>
                <w:lang w:eastAsia="zh-CN"/>
              </w:rPr>
              <w:t>。</w:t>
            </w:r>
          </w:p>
        </w:tc>
      </w:tr>
      <w:tr w14:paraId="38686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restart"/>
            <w:noWrap w:val="0"/>
            <w:vAlign w:val="center"/>
          </w:tcPr>
          <w:p w14:paraId="5244ABB3">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项目实施方案</w:t>
            </w:r>
          </w:p>
        </w:tc>
        <w:tc>
          <w:tcPr>
            <w:tcW w:w="1330" w:type="dxa"/>
            <w:noWrap w:val="0"/>
            <w:vAlign w:val="center"/>
          </w:tcPr>
          <w:p w14:paraId="5A80C0F5">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0"/>
                <w:highlight w:val="none"/>
              </w:rPr>
              <w:t>“一本账”平台运行服务</w:t>
            </w:r>
            <w:r>
              <w:rPr>
                <w:rFonts w:hint="eastAsia" w:ascii="宋体" w:hAnsi="宋体" w:cs="宋体"/>
                <w:color w:val="auto"/>
                <w:sz w:val="24"/>
                <w:szCs w:val="24"/>
                <w:highlight w:val="none"/>
              </w:rPr>
              <w:t>方案</w:t>
            </w:r>
          </w:p>
        </w:tc>
        <w:tc>
          <w:tcPr>
            <w:tcW w:w="869" w:type="dxa"/>
            <w:noWrap w:val="0"/>
            <w:vAlign w:val="center"/>
          </w:tcPr>
          <w:p w14:paraId="11870B76">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.00</w:t>
            </w:r>
          </w:p>
        </w:tc>
        <w:tc>
          <w:tcPr>
            <w:tcW w:w="6119" w:type="dxa"/>
            <w:noWrap w:val="0"/>
            <w:vAlign w:val="center"/>
          </w:tcPr>
          <w:p w14:paraId="37EA68CE">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针对采购文件“第四章 采购需求”中</w:t>
            </w: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.1</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一本账</w:t>
            </w: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平台运行服务</w:t>
            </w:r>
            <w:r>
              <w:rPr>
                <w:rFonts w:hint="eastAsia" w:ascii="宋体" w:hAnsi="宋体" w:cs="宋体"/>
                <w:color w:val="auto"/>
                <w:sz w:val="24"/>
                <w:szCs w:val="24"/>
                <w:highlight w:val="none"/>
                <w:lang w:val="en-US" w:eastAsia="zh-CN"/>
              </w:rPr>
              <w:t>要求</w:t>
            </w:r>
            <w:r>
              <w:rPr>
                <w:rFonts w:hint="eastAsia" w:ascii="宋体" w:hAnsi="宋体" w:cs="宋体"/>
                <w:color w:val="auto"/>
                <w:sz w:val="24"/>
                <w:szCs w:val="24"/>
                <w:highlight w:val="none"/>
              </w:rPr>
              <w:t>”，提供</w:t>
            </w:r>
            <w:r>
              <w:rPr>
                <w:rFonts w:hint="eastAsia" w:ascii="宋体" w:hAnsi="宋体" w:cs="宋体"/>
                <w:color w:val="auto"/>
                <w:sz w:val="24"/>
                <w:szCs w:val="20"/>
                <w:highlight w:val="none"/>
              </w:rPr>
              <w:t>“一本账”平台运行服务</w:t>
            </w:r>
            <w:r>
              <w:rPr>
                <w:rFonts w:hint="eastAsia" w:ascii="宋体" w:hAnsi="宋体" w:cs="宋体"/>
                <w:color w:val="auto"/>
                <w:sz w:val="24"/>
                <w:szCs w:val="20"/>
                <w:highlight w:val="none"/>
                <w:lang w:val="en-US" w:eastAsia="zh-CN"/>
              </w:rPr>
              <w:t>方案</w:t>
            </w:r>
            <w:r>
              <w:rPr>
                <w:rFonts w:hint="eastAsia" w:ascii="宋体" w:hAnsi="宋体" w:cs="宋体"/>
                <w:color w:val="auto"/>
                <w:sz w:val="24"/>
                <w:szCs w:val="24"/>
                <w:highlight w:val="none"/>
              </w:rPr>
              <w:t>。优于或完全满足采购需求的得</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分；基本满足采购需求的得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分；其他情况不得分。</w:t>
            </w:r>
          </w:p>
        </w:tc>
      </w:tr>
      <w:tr w14:paraId="02DA1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6D4D51F1">
            <w:pPr>
              <w:spacing w:line="400" w:lineRule="exact"/>
              <w:jc w:val="center"/>
              <w:rPr>
                <w:rFonts w:hint="default" w:ascii="宋体" w:hAnsi="宋体" w:cs="宋体"/>
                <w:color w:val="auto"/>
                <w:sz w:val="24"/>
                <w:szCs w:val="24"/>
                <w:highlight w:val="none"/>
                <w:lang w:val="en-US"/>
              </w:rPr>
            </w:pPr>
          </w:p>
        </w:tc>
        <w:tc>
          <w:tcPr>
            <w:tcW w:w="1330" w:type="dxa"/>
            <w:shd w:val="clear" w:color="auto" w:fill="auto"/>
            <w:noWrap w:val="0"/>
            <w:vAlign w:val="center"/>
          </w:tcPr>
          <w:p w14:paraId="0BE5E770">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0"/>
                <w:highlight w:val="none"/>
              </w:rPr>
              <w:t>“一本账”平台</w:t>
            </w:r>
            <w:r>
              <w:rPr>
                <w:rFonts w:hint="eastAsia" w:ascii="宋体" w:hAnsi="宋体" w:cs="宋体"/>
                <w:color w:val="auto"/>
                <w:sz w:val="24"/>
                <w:szCs w:val="20"/>
                <w:highlight w:val="none"/>
                <w:lang w:val="en-US" w:eastAsia="zh-CN"/>
              </w:rPr>
              <w:t>部署服务</w:t>
            </w:r>
            <w:r>
              <w:rPr>
                <w:rFonts w:hint="eastAsia" w:ascii="宋体" w:hAnsi="宋体" w:cs="宋体"/>
                <w:color w:val="auto"/>
                <w:sz w:val="24"/>
                <w:szCs w:val="24"/>
                <w:highlight w:val="none"/>
              </w:rPr>
              <w:t>方案</w:t>
            </w:r>
          </w:p>
        </w:tc>
        <w:tc>
          <w:tcPr>
            <w:tcW w:w="869" w:type="dxa"/>
            <w:shd w:val="clear" w:color="auto" w:fill="auto"/>
            <w:noWrap w:val="0"/>
            <w:vAlign w:val="center"/>
          </w:tcPr>
          <w:p w14:paraId="7E20D133">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.00</w:t>
            </w:r>
          </w:p>
        </w:tc>
        <w:tc>
          <w:tcPr>
            <w:tcW w:w="6119" w:type="dxa"/>
            <w:shd w:val="clear" w:color="auto" w:fill="auto"/>
            <w:noWrap w:val="0"/>
            <w:vAlign w:val="center"/>
          </w:tcPr>
          <w:p w14:paraId="15220825">
            <w:pPr>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针对采购文件“第四章 采购需求”中</w:t>
            </w: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.2</w:t>
            </w:r>
            <w:r>
              <w:rPr>
                <w:rFonts w:hint="eastAsia" w:ascii="宋体" w:hAnsi="宋体" w:cs="宋体"/>
                <w:color w:val="auto"/>
                <w:sz w:val="24"/>
                <w:szCs w:val="24"/>
                <w:highlight w:val="none"/>
              </w:rPr>
              <w:t>“</w:t>
            </w:r>
            <w:r>
              <w:rPr>
                <w:rFonts w:hint="eastAsia" w:ascii="宋体" w:hAnsi="宋体" w:cs="宋体"/>
                <w:color w:val="auto"/>
                <w:sz w:val="24"/>
                <w:szCs w:val="20"/>
                <w:highlight w:val="none"/>
              </w:rPr>
              <w:t>一本账”平台</w:t>
            </w:r>
            <w:r>
              <w:rPr>
                <w:rFonts w:hint="eastAsia" w:ascii="宋体" w:hAnsi="宋体" w:cs="宋体"/>
                <w:color w:val="auto"/>
                <w:sz w:val="24"/>
                <w:szCs w:val="20"/>
                <w:highlight w:val="none"/>
                <w:lang w:val="en-US" w:eastAsia="zh-CN"/>
              </w:rPr>
              <w:t>部署</w:t>
            </w:r>
            <w:r>
              <w:rPr>
                <w:rFonts w:hint="eastAsia" w:ascii="宋体" w:hAnsi="宋体" w:cs="宋体"/>
                <w:color w:val="auto"/>
                <w:sz w:val="24"/>
                <w:szCs w:val="20"/>
                <w:highlight w:val="none"/>
              </w:rPr>
              <w:t>服务</w:t>
            </w:r>
            <w:r>
              <w:rPr>
                <w:rFonts w:hint="eastAsia" w:ascii="宋体" w:hAnsi="宋体" w:cs="宋体"/>
                <w:color w:val="auto"/>
                <w:sz w:val="24"/>
                <w:szCs w:val="24"/>
                <w:highlight w:val="none"/>
                <w:lang w:val="en-US" w:eastAsia="zh-CN"/>
              </w:rPr>
              <w:t>要求</w:t>
            </w:r>
            <w:r>
              <w:rPr>
                <w:rFonts w:hint="eastAsia" w:ascii="宋体" w:hAnsi="宋体" w:cs="宋体"/>
                <w:color w:val="auto"/>
                <w:sz w:val="24"/>
                <w:szCs w:val="24"/>
                <w:highlight w:val="none"/>
              </w:rPr>
              <w:t>”，提供</w:t>
            </w:r>
            <w:r>
              <w:rPr>
                <w:rFonts w:hint="eastAsia" w:ascii="宋体" w:hAnsi="宋体" w:cs="宋体"/>
                <w:color w:val="auto"/>
                <w:sz w:val="24"/>
                <w:szCs w:val="20"/>
                <w:highlight w:val="none"/>
              </w:rPr>
              <w:t>“一本账”平台</w:t>
            </w:r>
            <w:r>
              <w:rPr>
                <w:rFonts w:hint="eastAsia" w:ascii="宋体" w:hAnsi="宋体" w:cs="宋体"/>
                <w:color w:val="auto"/>
                <w:sz w:val="24"/>
                <w:szCs w:val="20"/>
                <w:highlight w:val="none"/>
                <w:lang w:val="en-US" w:eastAsia="zh-CN"/>
              </w:rPr>
              <w:t>部署</w:t>
            </w:r>
            <w:r>
              <w:rPr>
                <w:rFonts w:hint="eastAsia" w:ascii="宋体" w:hAnsi="宋体" w:cs="宋体"/>
                <w:color w:val="auto"/>
                <w:sz w:val="24"/>
                <w:szCs w:val="20"/>
                <w:highlight w:val="none"/>
              </w:rPr>
              <w:t>服务</w:t>
            </w:r>
            <w:r>
              <w:rPr>
                <w:rFonts w:hint="eastAsia" w:ascii="宋体" w:hAnsi="宋体" w:cs="宋体"/>
                <w:color w:val="auto"/>
                <w:sz w:val="24"/>
                <w:szCs w:val="20"/>
                <w:highlight w:val="none"/>
                <w:lang w:val="en-US" w:eastAsia="zh-CN"/>
              </w:rPr>
              <w:t>方案</w:t>
            </w:r>
            <w:r>
              <w:rPr>
                <w:rFonts w:hint="eastAsia" w:ascii="宋体" w:hAnsi="宋体" w:cs="宋体"/>
                <w:color w:val="auto"/>
                <w:sz w:val="24"/>
                <w:szCs w:val="24"/>
                <w:highlight w:val="none"/>
              </w:rPr>
              <w:t>。优于或完全满足采购需求的得5分；基本满足采购需求的得3分；其他情况不得分。</w:t>
            </w:r>
          </w:p>
        </w:tc>
      </w:tr>
      <w:tr w14:paraId="711A1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2D06DDF5">
            <w:pPr>
              <w:spacing w:line="400" w:lineRule="exact"/>
              <w:jc w:val="center"/>
              <w:rPr>
                <w:rFonts w:hint="default" w:ascii="宋体" w:hAnsi="宋体" w:cs="宋体"/>
                <w:color w:val="auto"/>
                <w:sz w:val="24"/>
                <w:szCs w:val="24"/>
                <w:highlight w:val="none"/>
                <w:lang w:val="en-US"/>
              </w:rPr>
            </w:pPr>
          </w:p>
        </w:tc>
        <w:tc>
          <w:tcPr>
            <w:tcW w:w="1330" w:type="dxa"/>
            <w:shd w:val="clear" w:color="auto" w:fill="auto"/>
            <w:noWrap w:val="0"/>
            <w:vAlign w:val="center"/>
          </w:tcPr>
          <w:p w14:paraId="373A1033">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0"/>
                <w:highlight w:val="none"/>
              </w:rPr>
              <w:t>公共数据</w:t>
            </w:r>
            <w:r>
              <w:rPr>
                <w:rFonts w:hint="eastAsia" w:ascii="宋体" w:hAnsi="宋体" w:cs="宋体"/>
                <w:color w:val="auto"/>
                <w:sz w:val="24"/>
                <w:szCs w:val="20"/>
                <w:highlight w:val="none"/>
                <w:lang w:val="en-US" w:eastAsia="zh-CN"/>
              </w:rPr>
              <w:t>平台</w:t>
            </w:r>
            <w:r>
              <w:rPr>
                <w:rFonts w:hint="eastAsia" w:ascii="宋体" w:hAnsi="宋体" w:cs="宋体"/>
                <w:color w:val="auto"/>
                <w:sz w:val="24"/>
                <w:szCs w:val="20"/>
                <w:highlight w:val="none"/>
              </w:rPr>
              <w:t>服务</w:t>
            </w:r>
            <w:r>
              <w:rPr>
                <w:rFonts w:hint="eastAsia" w:ascii="宋体" w:hAnsi="宋体" w:cs="宋体"/>
                <w:color w:val="auto"/>
                <w:sz w:val="24"/>
                <w:szCs w:val="24"/>
                <w:highlight w:val="none"/>
              </w:rPr>
              <w:t>方案</w:t>
            </w:r>
          </w:p>
        </w:tc>
        <w:tc>
          <w:tcPr>
            <w:tcW w:w="869" w:type="dxa"/>
            <w:shd w:val="clear" w:color="auto" w:fill="auto"/>
            <w:noWrap w:val="0"/>
            <w:vAlign w:val="center"/>
          </w:tcPr>
          <w:p w14:paraId="7F23FAC7">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.00</w:t>
            </w:r>
          </w:p>
        </w:tc>
        <w:tc>
          <w:tcPr>
            <w:tcW w:w="6119" w:type="dxa"/>
            <w:shd w:val="clear" w:color="auto" w:fill="auto"/>
            <w:noWrap w:val="0"/>
            <w:vAlign w:val="center"/>
          </w:tcPr>
          <w:p w14:paraId="0000FDFF">
            <w:pPr>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针对采购文件“第四章 采购需求”中“</w:t>
            </w: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.3</w:t>
            </w:r>
            <w:r>
              <w:rPr>
                <w:rFonts w:hint="eastAsia" w:ascii="宋体" w:hAnsi="宋体" w:cs="宋体"/>
                <w:color w:val="auto"/>
                <w:sz w:val="24"/>
                <w:szCs w:val="20"/>
                <w:highlight w:val="none"/>
              </w:rPr>
              <w:t>公共数据</w:t>
            </w:r>
            <w:r>
              <w:rPr>
                <w:rFonts w:hint="eastAsia" w:ascii="宋体" w:hAnsi="宋体" w:cs="宋体"/>
                <w:color w:val="auto"/>
                <w:sz w:val="24"/>
                <w:szCs w:val="20"/>
                <w:highlight w:val="none"/>
                <w:lang w:val="en-US" w:eastAsia="zh-CN"/>
              </w:rPr>
              <w:t>平台</w:t>
            </w:r>
            <w:r>
              <w:rPr>
                <w:rFonts w:hint="eastAsia" w:ascii="宋体" w:hAnsi="宋体" w:cs="宋体"/>
                <w:color w:val="auto"/>
                <w:sz w:val="24"/>
                <w:szCs w:val="20"/>
                <w:highlight w:val="none"/>
              </w:rPr>
              <w:t>服务</w:t>
            </w:r>
            <w:r>
              <w:rPr>
                <w:rFonts w:hint="eastAsia" w:ascii="宋体" w:hAnsi="宋体" w:cs="宋体"/>
                <w:color w:val="auto"/>
                <w:sz w:val="24"/>
                <w:szCs w:val="24"/>
                <w:highlight w:val="none"/>
                <w:lang w:val="en-US" w:eastAsia="zh-CN"/>
              </w:rPr>
              <w:t>要求</w:t>
            </w:r>
            <w:r>
              <w:rPr>
                <w:rFonts w:hint="eastAsia" w:ascii="宋体" w:hAnsi="宋体" w:cs="宋体"/>
                <w:color w:val="auto"/>
                <w:sz w:val="24"/>
                <w:szCs w:val="24"/>
                <w:highlight w:val="none"/>
              </w:rPr>
              <w:t>”，提供</w:t>
            </w:r>
            <w:r>
              <w:rPr>
                <w:rFonts w:hint="eastAsia" w:ascii="宋体" w:hAnsi="宋体" w:cs="宋体"/>
                <w:color w:val="auto"/>
                <w:sz w:val="24"/>
                <w:szCs w:val="20"/>
                <w:highlight w:val="none"/>
              </w:rPr>
              <w:t>公共数据</w:t>
            </w:r>
            <w:r>
              <w:rPr>
                <w:rFonts w:hint="eastAsia" w:ascii="宋体" w:hAnsi="宋体" w:cs="宋体"/>
                <w:color w:val="auto"/>
                <w:sz w:val="24"/>
                <w:szCs w:val="20"/>
                <w:highlight w:val="none"/>
                <w:lang w:val="en-US" w:eastAsia="zh-CN"/>
              </w:rPr>
              <w:t>平台</w:t>
            </w:r>
            <w:r>
              <w:rPr>
                <w:rFonts w:hint="eastAsia" w:ascii="宋体" w:hAnsi="宋体" w:cs="宋体"/>
                <w:color w:val="auto"/>
                <w:sz w:val="24"/>
                <w:szCs w:val="20"/>
                <w:highlight w:val="none"/>
              </w:rPr>
              <w:t>服务</w:t>
            </w:r>
            <w:r>
              <w:rPr>
                <w:rFonts w:hint="eastAsia" w:ascii="宋体" w:hAnsi="宋体" w:cs="宋体"/>
                <w:color w:val="auto"/>
                <w:sz w:val="24"/>
                <w:szCs w:val="24"/>
                <w:highlight w:val="none"/>
              </w:rPr>
              <w:t>方案。优于或完全满足采购需求的得</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分；基本满足采购需求的得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分；其他情况不得分。</w:t>
            </w:r>
          </w:p>
        </w:tc>
      </w:tr>
      <w:tr w14:paraId="03B88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5DFDD4E7">
            <w:pPr>
              <w:spacing w:line="400" w:lineRule="exact"/>
              <w:jc w:val="center"/>
              <w:rPr>
                <w:rFonts w:hint="default" w:ascii="宋体" w:hAnsi="宋体" w:cs="宋体"/>
                <w:color w:val="auto"/>
                <w:sz w:val="24"/>
                <w:szCs w:val="24"/>
                <w:highlight w:val="none"/>
                <w:lang w:val="en-US"/>
              </w:rPr>
            </w:pPr>
          </w:p>
        </w:tc>
        <w:tc>
          <w:tcPr>
            <w:tcW w:w="1330" w:type="dxa"/>
            <w:shd w:val="clear" w:color="auto" w:fill="auto"/>
            <w:noWrap w:val="0"/>
            <w:vAlign w:val="center"/>
          </w:tcPr>
          <w:p w14:paraId="0AEBAFF7">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0"/>
                <w:highlight w:val="none"/>
              </w:rPr>
              <w:t>公共数据治理平台服务</w:t>
            </w:r>
            <w:r>
              <w:rPr>
                <w:rFonts w:hint="eastAsia" w:ascii="宋体" w:hAnsi="宋体" w:cs="宋体"/>
                <w:color w:val="auto"/>
                <w:sz w:val="24"/>
                <w:szCs w:val="24"/>
                <w:highlight w:val="none"/>
              </w:rPr>
              <w:t>方案</w:t>
            </w:r>
          </w:p>
        </w:tc>
        <w:tc>
          <w:tcPr>
            <w:tcW w:w="869" w:type="dxa"/>
            <w:shd w:val="clear" w:color="auto" w:fill="auto"/>
            <w:noWrap w:val="0"/>
            <w:vAlign w:val="center"/>
          </w:tcPr>
          <w:p w14:paraId="3DF71092">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.00</w:t>
            </w:r>
          </w:p>
        </w:tc>
        <w:tc>
          <w:tcPr>
            <w:tcW w:w="6119" w:type="dxa"/>
            <w:shd w:val="clear" w:color="auto" w:fill="auto"/>
            <w:noWrap w:val="0"/>
            <w:vAlign w:val="center"/>
          </w:tcPr>
          <w:p w14:paraId="1084659D">
            <w:pPr>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针对采购文件“第四章 采购需求”中“</w:t>
            </w: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.4</w:t>
            </w:r>
            <w:r>
              <w:rPr>
                <w:rFonts w:hint="eastAsia" w:ascii="宋体" w:hAnsi="宋体" w:cs="宋体"/>
                <w:color w:val="auto"/>
                <w:sz w:val="24"/>
                <w:szCs w:val="20"/>
                <w:highlight w:val="none"/>
              </w:rPr>
              <w:t>公共数据治理服务</w:t>
            </w:r>
            <w:r>
              <w:rPr>
                <w:rFonts w:hint="eastAsia" w:ascii="宋体" w:hAnsi="宋体" w:cs="宋体"/>
                <w:color w:val="auto"/>
                <w:sz w:val="24"/>
                <w:szCs w:val="24"/>
                <w:highlight w:val="none"/>
                <w:lang w:val="en-US" w:eastAsia="zh-CN"/>
              </w:rPr>
              <w:t>要求</w:t>
            </w:r>
            <w:r>
              <w:rPr>
                <w:rFonts w:hint="eastAsia" w:ascii="宋体" w:hAnsi="宋体" w:cs="宋体"/>
                <w:color w:val="auto"/>
                <w:sz w:val="24"/>
                <w:szCs w:val="24"/>
                <w:highlight w:val="none"/>
              </w:rPr>
              <w:t>”，提供</w:t>
            </w:r>
            <w:r>
              <w:rPr>
                <w:rFonts w:hint="eastAsia" w:ascii="宋体" w:hAnsi="宋体" w:cs="宋体"/>
                <w:color w:val="auto"/>
                <w:sz w:val="24"/>
                <w:szCs w:val="20"/>
                <w:highlight w:val="none"/>
              </w:rPr>
              <w:t>公共数据治理服务</w:t>
            </w:r>
            <w:r>
              <w:rPr>
                <w:rFonts w:hint="eastAsia" w:ascii="宋体" w:hAnsi="宋体" w:cs="宋体"/>
                <w:color w:val="auto"/>
                <w:sz w:val="24"/>
                <w:szCs w:val="24"/>
                <w:highlight w:val="none"/>
              </w:rPr>
              <w:t>方案。优于或完全满足采购需求的得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分；基本满足采购需求的得</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分；其他情况不得分。</w:t>
            </w:r>
          </w:p>
        </w:tc>
      </w:tr>
      <w:tr w14:paraId="1807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0CEE0FB5">
            <w:pPr>
              <w:spacing w:line="400" w:lineRule="exact"/>
              <w:jc w:val="center"/>
              <w:rPr>
                <w:rFonts w:hint="default" w:ascii="宋体" w:hAnsi="宋体" w:cs="宋体"/>
                <w:color w:val="auto"/>
                <w:sz w:val="24"/>
                <w:szCs w:val="24"/>
                <w:highlight w:val="none"/>
                <w:lang w:val="en-US"/>
              </w:rPr>
            </w:pPr>
          </w:p>
          <w:p w14:paraId="5F563B2C">
            <w:pPr>
              <w:spacing w:line="400" w:lineRule="exact"/>
              <w:jc w:val="center"/>
              <w:rPr>
                <w:rFonts w:hint="default" w:ascii="宋体" w:hAnsi="宋体" w:cs="宋体"/>
                <w:color w:val="auto"/>
                <w:sz w:val="24"/>
                <w:szCs w:val="24"/>
                <w:highlight w:val="none"/>
                <w:lang w:val="en-US"/>
              </w:rPr>
            </w:pPr>
          </w:p>
        </w:tc>
        <w:tc>
          <w:tcPr>
            <w:tcW w:w="1330" w:type="dxa"/>
            <w:shd w:val="clear" w:color="auto" w:fill="auto"/>
            <w:noWrap w:val="0"/>
            <w:vAlign w:val="center"/>
          </w:tcPr>
          <w:p w14:paraId="7CCCC94A">
            <w:pPr>
              <w:spacing w:line="400" w:lineRule="exact"/>
              <w:jc w:val="center"/>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rPr>
              <w:t>公共数据开放平台服务方案</w:t>
            </w:r>
          </w:p>
        </w:tc>
        <w:tc>
          <w:tcPr>
            <w:tcW w:w="869" w:type="dxa"/>
            <w:shd w:val="clear" w:color="auto" w:fill="auto"/>
            <w:noWrap w:val="0"/>
            <w:vAlign w:val="center"/>
          </w:tcPr>
          <w:p w14:paraId="2D19131D">
            <w:pPr>
              <w:spacing w:line="400" w:lineRule="exact"/>
              <w:jc w:val="center"/>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.00</w:t>
            </w:r>
          </w:p>
        </w:tc>
        <w:tc>
          <w:tcPr>
            <w:tcW w:w="6119" w:type="dxa"/>
            <w:shd w:val="clear" w:color="auto" w:fill="auto"/>
            <w:noWrap w:val="0"/>
            <w:vAlign w:val="center"/>
          </w:tcPr>
          <w:p w14:paraId="0890D6ED">
            <w:pPr>
              <w:spacing w:line="400" w:lineRule="exact"/>
              <w:ind w:firstLine="480"/>
              <w:jc w:val="left"/>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rPr>
              <w:t>针对采购文件“第四章 采购需求”中“</w:t>
            </w:r>
            <w:r>
              <w:rPr>
                <w:rFonts w:hint="eastAsia" w:ascii="宋体" w:hAnsi="宋体" w:eastAsia="宋体" w:cs="宋体"/>
                <w:b w:val="0"/>
                <w:bCs w:val="0"/>
                <w:color w:val="auto"/>
                <w:sz w:val="24"/>
                <w:szCs w:val="20"/>
                <w:highlight w:val="none"/>
                <w:lang w:val="en-US" w:eastAsia="zh-CN" w:bidi="ar-SA"/>
              </w:rPr>
              <w:t>3.2</w:t>
            </w:r>
            <w:r>
              <w:rPr>
                <w:rFonts w:hint="eastAsia" w:ascii="宋体" w:hAnsi="宋体" w:cs="宋体"/>
                <w:b w:val="0"/>
                <w:bCs w:val="0"/>
                <w:color w:val="auto"/>
                <w:sz w:val="24"/>
                <w:szCs w:val="20"/>
                <w:highlight w:val="none"/>
                <w:lang w:val="en-US" w:eastAsia="zh-CN" w:bidi="ar-SA"/>
              </w:rPr>
              <w:t>.5</w:t>
            </w:r>
            <w:r>
              <w:rPr>
                <w:rFonts w:hint="eastAsia" w:ascii="宋体" w:hAnsi="宋体" w:cs="宋体"/>
                <w:color w:val="auto"/>
                <w:sz w:val="24"/>
                <w:szCs w:val="20"/>
                <w:highlight w:val="none"/>
              </w:rPr>
              <w:t>公共数据开放</w:t>
            </w:r>
            <w:r>
              <w:rPr>
                <w:rFonts w:hint="eastAsia" w:ascii="宋体" w:hAnsi="宋体" w:cs="宋体"/>
                <w:color w:val="auto"/>
                <w:sz w:val="24"/>
                <w:szCs w:val="20"/>
                <w:highlight w:val="none"/>
                <w:lang w:val="en-US" w:eastAsia="zh-CN"/>
              </w:rPr>
              <w:t>平台</w:t>
            </w:r>
            <w:r>
              <w:rPr>
                <w:rFonts w:hint="eastAsia" w:ascii="宋体" w:hAnsi="宋体" w:cs="宋体"/>
                <w:color w:val="auto"/>
                <w:sz w:val="24"/>
                <w:szCs w:val="20"/>
                <w:highlight w:val="none"/>
              </w:rPr>
              <w:t>服务</w:t>
            </w:r>
            <w:r>
              <w:rPr>
                <w:rFonts w:hint="eastAsia" w:ascii="宋体" w:hAnsi="宋体" w:cs="宋体"/>
                <w:color w:val="auto"/>
                <w:sz w:val="24"/>
                <w:szCs w:val="20"/>
                <w:highlight w:val="none"/>
                <w:lang w:val="en-US" w:eastAsia="zh-CN"/>
              </w:rPr>
              <w:t>要求</w:t>
            </w:r>
            <w:r>
              <w:rPr>
                <w:rFonts w:hint="eastAsia" w:ascii="宋体" w:hAnsi="宋体" w:cs="宋体"/>
                <w:color w:val="auto"/>
                <w:sz w:val="24"/>
                <w:szCs w:val="20"/>
                <w:highlight w:val="none"/>
              </w:rPr>
              <w:t>”，提供公共数据开放</w:t>
            </w:r>
            <w:r>
              <w:rPr>
                <w:rFonts w:hint="eastAsia" w:ascii="宋体" w:hAnsi="宋体" w:cs="宋体"/>
                <w:color w:val="auto"/>
                <w:sz w:val="24"/>
                <w:szCs w:val="20"/>
                <w:highlight w:val="none"/>
                <w:lang w:val="en-US" w:eastAsia="zh-CN"/>
              </w:rPr>
              <w:t>平台</w:t>
            </w:r>
            <w:r>
              <w:rPr>
                <w:rFonts w:hint="eastAsia" w:ascii="宋体" w:hAnsi="宋体" w:cs="宋体"/>
                <w:color w:val="auto"/>
                <w:sz w:val="24"/>
                <w:szCs w:val="20"/>
                <w:highlight w:val="none"/>
              </w:rPr>
              <w:t>服务方案。优于或完全满足采购需求的得</w:t>
            </w:r>
            <w:r>
              <w:rPr>
                <w:rFonts w:hint="eastAsia" w:ascii="宋体" w:hAnsi="宋体" w:cs="宋体"/>
                <w:color w:val="auto"/>
                <w:sz w:val="24"/>
                <w:szCs w:val="20"/>
                <w:highlight w:val="none"/>
                <w:lang w:val="en-US" w:eastAsia="zh-CN"/>
              </w:rPr>
              <w:t>5</w:t>
            </w:r>
            <w:r>
              <w:rPr>
                <w:rFonts w:hint="eastAsia" w:ascii="宋体" w:hAnsi="宋体" w:cs="宋体"/>
                <w:color w:val="auto"/>
                <w:sz w:val="24"/>
                <w:szCs w:val="20"/>
                <w:highlight w:val="none"/>
              </w:rPr>
              <w:t>分；基本满足采购需求的得</w:t>
            </w:r>
            <w:r>
              <w:rPr>
                <w:rFonts w:hint="eastAsia" w:ascii="宋体" w:hAnsi="宋体" w:cs="宋体"/>
                <w:color w:val="auto"/>
                <w:sz w:val="24"/>
                <w:szCs w:val="20"/>
                <w:highlight w:val="none"/>
                <w:lang w:val="en-US" w:eastAsia="zh-CN"/>
              </w:rPr>
              <w:t>3</w:t>
            </w:r>
            <w:r>
              <w:rPr>
                <w:rFonts w:hint="eastAsia" w:ascii="宋体" w:hAnsi="宋体" w:cs="宋体"/>
                <w:color w:val="auto"/>
                <w:sz w:val="24"/>
                <w:szCs w:val="20"/>
                <w:highlight w:val="none"/>
              </w:rPr>
              <w:t>分；其他情况不得分。</w:t>
            </w:r>
          </w:p>
        </w:tc>
      </w:tr>
      <w:tr w14:paraId="45C08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3F99323A">
            <w:pPr>
              <w:spacing w:line="400" w:lineRule="exact"/>
              <w:jc w:val="center"/>
              <w:rPr>
                <w:rFonts w:hint="default" w:ascii="宋体" w:hAnsi="宋体" w:cs="宋体"/>
                <w:color w:val="auto"/>
                <w:sz w:val="24"/>
                <w:szCs w:val="24"/>
                <w:highlight w:val="none"/>
                <w:lang w:val="en-US"/>
              </w:rPr>
            </w:pPr>
          </w:p>
          <w:p w14:paraId="31BB747E">
            <w:pPr>
              <w:spacing w:line="400" w:lineRule="exact"/>
              <w:jc w:val="center"/>
              <w:rPr>
                <w:rFonts w:hint="default" w:ascii="宋体" w:hAnsi="宋体" w:cs="宋体"/>
                <w:color w:val="auto"/>
                <w:sz w:val="24"/>
                <w:szCs w:val="24"/>
                <w:highlight w:val="none"/>
                <w:lang w:val="en-US"/>
              </w:rPr>
            </w:pPr>
          </w:p>
        </w:tc>
        <w:tc>
          <w:tcPr>
            <w:tcW w:w="1330" w:type="dxa"/>
            <w:shd w:val="clear" w:color="auto" w:fill="auto"/>
            <w:noWrap w:val="0"/>
            <w:vAlign w:val="center"/>
          </w:tcPr>
          <w:p w14:paraId="1E59E0E7">
            <w:pPr>
              <w:spacing w:line="400" w:lineRule="exact"/>
              <w:jc w:val="center"/>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数据场景化</w:t>
            </w:r>
            <w:r>
              <w:rPr>
                <w:rFonts w:hint="eastAsia" w:ascii="宋体" w:hAnsi="宋体" w:cs="宋体"/>
                <w:color w:val="auto"/>
                <w:sz w:val="24"/>
                <w:szCs w:val="20"/>
                <w:highlight w:val="none"/>
              </w:rPr>
              <w:t>开发服务方案</w:t>
            </w:r>
          </w:p>
        </w:tc>
        <w:tc>
          <w:tcPr>
            <w:tcW w:w="869" w:type="dxa"/>
            <w:shd w:val="clear" w:color="auto" w:fill="auto"/>
            <w:noWrap w:val="0"/>
            <w:vAlign w:val="center"/>
          </w:tcPr>
          <w:p w14:paraId="770C67B2">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.00</w:t>
            </w:r>
          </w:p>
        </w:tc>
        <w:tc>
          <w:tcPr>
            <w:tcW w:w="6119" w:type="dxa"/>
            <w:shd w:val="clear" w:color="auto" w:fill="auto"/>
            <w:noWrap w:val="0"/>
            <w:vAlign w:val="center"/>
          </w:tcPr>
          <w:p w14:paraId="6D665BB9">
            <w:pPr>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针对采购文件“第四章 采购需求”中“</w:t>
            </w: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.6</w:t>
            </w:r>
            <w:r>
              <w:rPr>
                <w:rFonts w:hint="eastAsia" w:ascii="宋体" w:hAnsi="宋体" w:cs="宋体"/>
                <w:color w:val="auto"/>
                <w:sz w:val="24"/>
                <w:szCs w:val="24"/>
                <w:highlight w:val="none"/>
                <w:lang w:val="en-US" w:eastAsia="zh-CN"/>
              </w:rPr>
              <w:t>数据场景化</w:t>
            </w:r>
            <w:r>
              <w:rPr>
                <w:rFonts w:hint="eastAsia" w:ascii="宋体" w:hAnsi="宋体" w:cs="宋体"/>
                <w:color w:val="auto"/>
                <w:sz w:val="24"/>
                <w:szCs w:val="24"/>
                <w:highlight w:val="none"/>
              </w:rPr>
              <w:t>开发服务</w:t>
            </w:r>
            <w:r>
              <w:rPr>
                <w:rFonts w:hint="eastAsia" w:ascii="宋体" w:hAnsi="宋体" w:cs="宋体"/>
                <w:color w:val="auto"/>
                <w:sz w:val="24"/>
                <w:szCs w:val="24"/>
                <w:highlight w:val="none"/>
                <w:lang w:val="en-US" w:eastAsia="zh-CN"/>
              </w:rPr>
              <w:t>要求</w:t>
            </w:r>
            <w:r>
              <w:rPr>
                <w:rFonts w:hint="eastAsia" w:ascii="宋体" w:hAnsi="宋体" w:cs="宋体"/>
                <w:color w:val="auto"/>
                <w:sz w:val="24"/>
                <w:szCs w:val="24"/>
                <w:highlight w:val="none"/>
              </w:rPr>
              <w:t>”，提供</w:t>
            </w:r>
            <w:r>
              <w:rPr>
                <w:rFonts w:hint="eastAsia" w:ascii="宋体" w:hAnsi="宋体" w:cs="宋体"/>
                <w:color w:val="auto"/>
                <w:sz w:val="24"/>
                <w:szCs w:val="24"/>
                <w:highlight w:val="none"/>
                <w:lang w:val="en-US" w:eastAsia="zh-CN"/>
              </w:rPr>
              <w:t>数据场景化</w:t>
            </w:r>
            <w:r>
              <w:rPr>
                <w:rFonts w:hint="eastAsia" w:ascii="宋体" w:hAnsi="宋体" w:cs="宋体"/>
                <w:color w:val="auto"/>
                <w:sz w:val="24"/>
                <w:szCs w:val="24"/>
                <w:highlight w:val="none"/>
              </w:rPr>
              <w:t>开发服务方案。优于或完全满足采购需求的得</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分；基本满足采购需求的得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分；其他情况不得分。</w:t>
            </w:r>
          </w:p>
        </w:tc>
      </w:tr>
      <w:tr w14:paraId="248D3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396B0E84">
            <w:pPr>
              <w:spacing w:line="400" w:lineRule="exact"/>
              <w:jc w:val="center"/>
              <w:rPr>
                <w:rFonts w:hint="eastAsia" w:ascii="宋体" w:hAnsi="宋体" w:cs="宋体"/>
                <w:color w:val="auto"/>
                <w:sz w:val="24"/>
                <w:szCs w:val="24"/>
                <w:highlight w:val="none"/>
              </w:rPr>
            </w:pPr>
          </w:p>
        </w:tc>
        <w:tc>
          <w:tcPr>
            <w:tcW w:w="1330" w:type="dxa"/>
            <w:noWrap w:val="0"/>
            <w:vAlign w:val="center"/>
          </w:tcPr>
          <w:p w14:paraId="6A003499">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数据迁移</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rPr>
              <w:t>方案</w:t>
            </w:r>
          </w:p>
        </w:tc>
        <w:tc>
          <w:tcPr>
            <w:tcW w:w="869" w:type="dxa"/>
            <w:noWrap w:val="0"/>
            <w:vAlign w:val="center"/>
          </w:tcPr>
          <w:p w14:paraId="4F3040A5">
            <w:pPr>
              <w:spacing w:line="4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.00</w:t>
            </w:r>
          </w:p>
        </w:tc>
        <w:tc>
          <w:tcPr>
            <w:tcW w:w="6119" w:type="dxa"/>
            <w:noWrap w:val="0"/>
            <w:vAlign w:val="center"/>
          </w:tcPr>
          <w:p w14:paraId="0C3D08B3">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针对采购文件“第四章 采购需求”中“</w:t>
            </w: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数据迁移</w:t>
            </w:r>
            <w:r>
              <w:rPr>
                <w:rFonts w:hint="eastAsia" w:ascii="宋体" w:hAnsi="宋体" w:cs="宋体"/>
                <w:color w:val="auto"/>
                <w:sz w:val="24"/>
                <w:szCs w:val="24"/>
                <w:highlight w:val="none"/>
                <w:lang w:val="en-US" w:eastAsia="zh-CN"/>
              </w:rPr>
              <w:t>服务要求</w:t>
            </w:r>
            <w:r>
              <w:rPr>
                <w:rFonts w:hint="eastAsia" w:ascii="宋体" w:hAnsi="宋体" w:cs="宋体"/>
                <w:color w:val="auto"/>
                <w:sz w:val="24"/>
                <w:szCs w:val="24"/>
                <w:highlight w:val="none"/>
              </w:rPr>
              <w:t>”，提供数据迁移</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rPr>
              <w:t>方案。优于或完全满足采购需求的得</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分；基本满足采购需求的得</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分；其他情况不得分。</w:t>
            </w:r>
          </w:p>
        </w:tc>
      </w:tr>
      <w:tr w14:paraId="5E87B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43F074CC">
            <w:pPr>
              <w:spacing w:line="400" w:lineRule="exact"/>
              <w:jc w:val="center"/>
              <w:rPr>
                <w:rFonts w:hint="eastAsia" w:ascii="宋体" w:hAnsi="宋体" w:cs="宋体"/>
                <w:color w:val="auto"/>
                <w:sz w:val="24"/>
                <w:szCs w:val="24"/>
                <w:highlight w:val="none"/>
              </w:rPr>
            </w:pPr>
          </w:p>
        </w:tc>
        <w:tc>
          <w:tcPr>
            <w:tcW w:w="1330" w:type="dxa"/>
            <w:noWrap w:val="0"/>
            <w:vAlign w:val="center"/>
          </w:tcPr>
          <w:p w14:paraId="2CE9BF31">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国产化适配</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rPr>
              <w:t>方案</w:t>
            </w:r>
          </w:p>
        </w:tc>
        <w:tc>
          <w:tcPr>
            <w:tcW w:w="869" w:type="dxa"/>
            <w:noWrap w:val="0"/>
            <w:vAlign w:val="center"/>
          </w:tcPr>
          <w:p w14:paraId="5F94709A">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.00</w:t>
            </w:r>
          </w:p>
        </w:tc>
        <w:tc>
          <w:tcPr>
            <w:tcW w:w="6119" w:type="dxa"/>
            <w:noWrap w:val="0"/>
            <w:vAlign w:val="center"/>
          </w:tcPr>
          <w:p w14:paraId="6F06F29A">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针对采购文件“第四章 采购需求”中“</w:t>
            </w: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国产化适配</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rPr>
              <w:t>要求”，提供国产化适配</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rPr>
              <w:t>要求方案。优于或完全满足采购需求的得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分；基本满足采购需求的得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分；其他情况不得分。</w:t>
            </w:r>
          </w:p>
        </w:tc>
      </w:tr>
      <w:tr w14:paraId="0636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3467FB00">
            <w:pPr>
              <w:spacing w:line="400" w:lineRule="exact"/>
              <w:jc w:val="center"/>
              <w:rPr>
                <w:rFonts w:hint="eastAsia" w:ascii="宋体" w:hAnsi="宋体" w:cs="宋体"/>
                <w:color w:val="auto"/>
                <w:sz w:val="24"/>
                <w:szCs w:val="24"/>
                <w:highlight w:val="none"/>
              </w:rPr>
            </w:pPr>
          </w:p>
        </w:tc>
        <w:tc>
          <w:tcPr>
            <w:tcW w:w="1330" w:type="dxa"/>
            <w:noWrap w:val="0"/>
            <w:vAlign w:val="center"/>
          </w:tcPr>
          <w:p w14:paraId="5D1B6FAD">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平台集成测试</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rPr>
              <w:t>方案</w:t>
            </w:r>
          </w:p>
        </w:tc>
        <w:tc>
          <w:tcPr>
            <w:tcW w:w="869" w:type="dxa"/>
            <w:noWrap w:val="0"/>
            <w:vAlign w:val="center"/>
          </w:tcPr>
          <w:p w14:paraId="30AA8B1A">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.00</w:t>
            </w:r>
          </w:p>
        </w:tc>
        <w:tc>
          <w:tcPr>
            <w:tcW w:w="6119" w:type="dxa"/>
            <w:noWrap w:val="0"/>
            <w:vAlign w:val="center"/>
          </w:tcPr>
          <w:p w14:paraId="799EF256">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针对采购文件“第四章 采购需求”中“</w:t>
            </w: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平台集成测试</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rPr>
              <w:t>要求”，提供平台集成测试</w:t>
            </w:r>
            <w:r>
              <w:rPr>
                <w:rFonts w:hint="eastAsia" w:ascii="宋体" w:hAnsi="宋体" w:cs="宋体"/>
                <w:color w:val="auto"/>
                <w:sz w:val="24"/>
                <w:szCs w:val="24"/>
                <w:highlight w:val="none"/>
                <w:lang w:val="en-US" w:eastAsia="zh-CN"/>
              </w:rPr>
              <w:t>服务</w:t>
            </w:r>
            <w:r>
              <w:rPr>
                <w:rFonts w:hint="eastAsia" w:ascii="宋体" w:hAnsi="宋体" w:cs="宋体"/>
                <w:color w:val="auto"/>
                <w:sz w:val="24"/>
                <w:szCs w:val="24"/>
                <w:highlight w:val="none"/>
              </w:rPr>
              <w:t>要求方案。优于或完全满足采购需求的得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分；基本满足采购需求的得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分；其他情况不得分。</w:t>
            </w:r>
          </w:p>
        </w:tc>
      </w:tr>
      <w:tr w14:paraId="1644C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6F7B57DC">
            <w:pPr>
              <w:spacing w:line="400" w:lineRule="exact"/>
              <w:jc w:val="center"/>
              <w:rPr>
                <w:rFonts w:hint="eastAsia" w:ascii="宋体" w:hAnsi="宋体" w:cs="宋体"/>
                <w:color w:val="auto"/>
                <w:sz w:val="24"/>
                <w:szCs w:val="24"/>
                <w:highlight w:val="none"/>
              </w:rPr>
            </w:pPr>
          </w:p>
        </w:tc>
        <w:tc>
          <w:tcPr>
            <w:tcW w:w="1330" w:type="dxa"/>
            <w:shd w:val="clear" w:color="auto" w:fill="auto"/>
            <w:noWrap w:val="0"/>
            <w:vAlign w:val="center"/>
          </w:tcPr>
          <w:p w14:paraId="021F9D9D">
            <w:pPr>
              <w:spacing w:line="400" w:lineRule="exact"/>
              <w:jc w:val="center"/>
              <w:rPr>
                <w:rFonts w:hint="default" w:ascii="宋体" w:hAnsi="宋体" w:eastAsia="宋体" w:cs="宋体"/>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统一监控预警服务方案</w:t>
            </w:r>
          </w:p>
        </w:tc>
        <w:tc>
          <w:tcPr>
            <w:tcW w:w="869" w:type="dxa"/>
            <w:shd w:val="clear" w:color="auto" w:fill="auto"/>
            <w:noWrap w:val="0"/>
            <w:vAlign w:val="center"/>
          </w:tcPr>
          <w:p w14:paraId="541EE39A">
            <w:pPr>
              <w:spacing w:line="400" w:lineRule="exact"/>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.00</w:t>
            </w:r>
          </w:p>
        </w:tc>
        <w:tc>
          <w:tcPr>
            <w:tcW w:w="6119" w:type="dxa"/>
            <w:shd w:val="clear" w:color="auto" w:fill="auto"/>
            <w:noWrap w:val="0"/>
            <w:vAlign w:val="center"/>
          </w:tcPr>
          <w:p w14:paraId="1D574A39">
            <w:pPr>
              <w:spacing w:line="400" w:lineRule="exact"/>
              <w:ind w:firstLine="480"/>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针对采购文件“第四章 采购需求”中“</w:t>
            </w:r>
            <w:r>
              <w:rPr>
                <w:rFonts w:hint="eastAsia" w:ascii="宋体" w:hAnsi="宋体" w:eastAsia="宋体" w:cs="宋体"/>
                <w:b/>
                <w:bCs/>
                <w:color w:val="auto"/>
                <w:sz w:val="24"/>
                <w:szCs w:val="24"/>
                <w:highlight w:val="none"/>
                <w:lang w:val="en-US" w:eastAsia="zh-CN" w:bidi="ar-SA"/>
              </w:rPr>
              <w:t>3.2</w:t>
            </w:r>
            <w:r>
              <w:rPr>
                <w:rFonts w:hint="eastAsia" w:ascii="宋体" w:hAnsi="宋体" w:cs="宋体"/>
                <w:b/>
                <w:bCs/>
                <w:color w:val="auto"/>
                <w:sz w:val="24"/>
                <w:szCs w:val="24"/>
                <w:highlight w:val="none"/>
                <w:lang w:val="en-US" w:eastAsia="zh-CN" w:bidi="ar-SA"/>
              </w:rPr>
              <w:t>.</w:t>
            </w:r>
            <w:r>
              <w:rPr>
                <w:rFonts w:hint="eastAsia" w:ascii="宋体" w:hAnsi="宋体" w:cs="宋体"/>
                <w:color w:val="auto"/>
                <w:sz w:val="24"/>
                <w:szCs w:val="24"/>
                <w:highlight w:val="none"/>
                <w:lang w:val="en-US" w:eastAsia="zh-CN"/>
              </w:rPr>
              <w:t>10</w:t>
            </w:r>
            <w:r>
              <w:rPr>
                <w:rFonts w:hint="eastAsia" w:ascii="宋体" w:hAnsi="宋体" w:cs="宋体"/>
                <w:b w:val="0"/>
                <w:bCs w:val="0"/>
                <w:color w:val="auto"/>
                <w:sz w:val="24"/>
                <w:szCs w:val="24"/>
                <w:highlight w:val="none"/>
                <w:lang w:val="en-US" w:eastAsia="zh-CN"/>
              </w:rPr>
              <w:t>统一监控预警服务</w:t>
            </w:r>
            <w:r>
              <w:rPr>
                <w:rFonts w:hint="eastAsia" w:ascii="宋体" w:hAnsi="宋体" w:cs="宋体"/>
                <w:color w:val="auto"/>
                <w:sz w:val="24"/>
                <w:szCs w:val="24"/>
                <w:highlight w:val="none"/>
              </w:rPr>
              <w:t>要求”，提供</w:t>
            </w:r>
            <w:r>
              <w:rPr>
                <w:rFonts w:hint="eastAsia" w:ascii="宋体" w:hAnsi="宋体" w:cs="宋体"/>
                <w:b w:val="0"/>
                <w:bCs w:val="0"/>
                <w:color w:val="auto"/>
                <w:sz w:val="24"/>
                <w:szCs w:val="24"/>
                <w:highlight w:val="none"/>
                <w:lang w:val="en-US" w:eastAsia="zh-CN"/>
              </w:rPr>
              <w:t>统一监控预警服务</w:t>
            </w:r>
            <w:r>
              <w:rPr>
                <w:rFonts w:hint="eastAsia" w:ascii="宋体" w:hAnsi="宋体" w:cs="宋体"/>
                <w:color w:val="auto"/>
                <w:sz w:val="24"/>
                <w:szCs w:val="24"/>
                <w:highlight w:val="none"/>
                <w:lang w:val="en-US" w:eastAsia="zh-CN"/>
              </w:rPr>
              <w:t>要求</w:t>
            </w:r>
            <w:r>
              <w:rPr>
                <w:rFonts w:hint="eastAsia" w:ascii="宋体" w:hAnsi="宋体" w:cs="宋体"/>
                <w:color w:val="auto"/>
                <w:sz w:val="24"/>
                <w:szCs w:val="24"/>
                <w:highlight w:val="none"/>
              </w:rPr>
              <w:t>方案。优于或完全满足采购需求的得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分；基本满足采购需求的得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分；其他情况不得分。</w:t>
            </w:r>
          </w:p>
        </w:tc>
      </w:tr>
      <w:tr w14:paraId="78076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688343E3">
            <w:pPr>
              <w:spacing w:line="400" w:lineRule="exact"/>
              <w:jc w:val="center"/>
              <w:rPr>
                <w:rFonts w:hint="eastAsia" w:ascii="宋体" w:hAnsi="宋体" w:cs="宋体"/>
                <w:color w:val="auto"/>
                <w:sz w:val="24"/>
                <w:szCs w:val="24"/>
                <w:highlight w:val="none"/>
              </w:rPr>
            </w:pPr>
          </w:p>
        </w:tc>
        <w:tc>
          <w:tcPr>
            <w:tcW w:w="1330" w:type="dxa"/>
            <w:noWrap w:val="0"/>
            <w:vAlign w:val="center"/>
          </w:tcPr>
          <w:p w14:paraId="3F9CBD91">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售后运维服务方案</w:t>
            </w:r>
          </w:p>
        </w:tc>
        <w:tc>
          <w:tcPr>
            <w:tcW w:w="869" w:type="dxa"/>
            <w:noWrap w:val="0"/>
            <w:vAlign w:val="center"/>
          </w:tcPr>
          <w:p w14:paraId="14A0484B">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.00</w:t>
            </w:r>
          </w:p>
        </w:tc>
        <w:tc>
          <w:tcPr>
            <w:tcW w:w="6119" w:type="dxa"/>
            <w:noWrap w:val="0"/>
            <w:vAlign w:val="center"/>
          </w:tcPr>
          <w:p w14:paraId="2C500AD4">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针对采购文件“第四章 采购需求”中“</w:t>
            </w:r>
            <w:r>
              <w:rPr>
                <w:rFonts w:hint="eastAsia" w:ascii="宋体" w:hAnsi="宋体" w:cs="宋体"/>
                <w:color w:val="auto"/>
                <w:sz w:val="24"/>
                <w:szCs w:val="24"/>
                <w:highlight w:val="none"/>
                <w:lang w:val="en-US" w:eastAsia="zh-CN"/>
              </w:rPr>
              <w:t>九</w:t>
            </w:r>
            <w:r>
              <w:rPr>
                <w:rFonts w:hint="eastAsia" w:ascii="宋体" w:hAnsi="宋体" w:cs="宋体"/>
                <w:color w:val="auto"/>
                <w:sz w:val="24"/>
                <w:szCs w:val="24"/>
                <w:highlight w:val="none"/>
              </w:rPr>
              <w:t>、服务要求”，提供售后运维服务方案。优于或完全满足采购需求的得</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分；基本满足采购需求的得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分；其他情况不得分。</w:t>
            </w:r>
          </w:p>
        </w:tc>
      </w:tr>
      <w:tr w14:paraId="0B335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restart"/>
            <w:noWrap w:val="0"/>
            <w:vAlign w:val="center"/>
          </w:tcPr>
          <w:p w14:paraId="2B1A48C5">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商务评审</w:t>
            </w:r>
          </w:p>
        </w:tc>
        <w:tc>
          <w:tcPr>
            <w:tcW w:w="1330" w:type="dxa"/>
            <w:noWrap w:val="0"/>
            <w:vAlign w:val="center"/>
          </w:tcPr>
          <w:p w14:paraId="291D0554">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企业业绩</w:t>
            </w:r>
          </w:p>
        </w:tc>
        <w:tc>
          <w:tcPr>
            <w:tcW w:w="869" w:type="dxa"/>
            <w:noWrap w:val="0"/>
            <w:vAlign w:val="center"/>
          </w:tcPr>
          <w:p w14:paraId="22F489E6">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12.00</w:t>
            </w:r>
          </w:p>
        </w:tc>
        <w:tc>
          <w:tcPr>
            <w:tcW w:w="6119" w:type="dxa"/>
            <w:noWrap w:val="0"/>
            <w:vAlign w:val="center"/>
          </w:tcPr>
          <w:p w14:paraId="38F3B983">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投标人自2023年1月1日（以合同签订时间为准）以来承接过类似项目业绩的，每有一个业绩得3分，本项最高得12分。</w:t>
            </w:r>
          </w:p>
          <w:p w14:paraId="7CE7106F">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注：提供业绩合同电子件；提供的合同材料要能明确反映项目名称、合同金额、主要条款、合同盖章页等主要信息，凡因投标人提供的信息不全面、不准确，该业绩不予认可不得分。</w:t>
            </w:r>
          </w:p>
        </w:tc>
      </w:tr>
      <w:tr w14:paraId="761D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3126C74E">
            <w:pPr>
              <w:spacing w:line="400" w:lineRule="exact"/>
              <w:jc w:val="center"/>
              <w:rPr>
                <w:rFonts w:hint="eastAsia" w:ascii="宋体" w:hAnsi="宋体" w:cs="宋体"/>
                <w:color w:val="auto"/>
                <w:sz w:val="24"/>
                <w:szCs w:val="24"/>
                <w:highlight w:val="none"/>
              </w:rPr>
            </w:pPr>
          </w:p>
        </w:tc>
        <w:tc>
          <w:tcPr>
            <w:tcW w:w="1330" w:type="dxa"/>
            <w:noWrap w:val="0"/>
            <w:vAlign w:val="center"/>
          </w:tcPr>
          <w:p w14:paraId="6E6086ED">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软件著作权</w:t>
            </w:r>
          </w:p>
        </w:tc>
        <w:tc>
          <w:tcPr>
            <w:tcW w:w="869" w:type="dxa"/>
            <w:noWrap w:val="0"/>
            <w:vAlign w:val="center"/>
          </w:tcPr>
          <w:p w14:paraId="4C767E60">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4.00</w:t>
            </w:r>
          </w:p>
        </w:tc>
        <w:tc>
          <w:tcPr>
            <w:tcW w:w="6119" w:type="dxa"/>
            <w:noWrap w:val="0"/>
            <w:vAlign w:val="center"/>
          </w:tcPr>
          <w:p w14:paraId="7DEA3A0C">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投标人具有数据产业安全、大数据信息采集分析相关的计算机软件著作权证书，每提供一项得2分，最多得4分。</w:t>
            </w:r>
          </w:p>
          <w:p w14:paraId="62809D98">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注：1.提供相关证书（证明）材料电子件，否则不得分。2.投标人提供的软件著作权如名称不一致，具有类似功能即可。</w:t>
            </w:r>
          </w:p>
        </w:tc>
      </w:tr>
      <w:tr w14:paraId="0AD40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1188" w:type="dxa"/>
            <w:vMerge w:val="continue"/>
            <w:noWrap w:val="0"/>
            <w:vAlign w:val="center"/>
          </w:tcPr>
          <w:p w14:paraId="286BF0F3">
            <w:pPr>
              <w:spacing w:line="400" w:lineRule="exact"/>
              <w:jc w:val="center"/>
              <w:rPr>
                <w:rFonts w:hint="eastAsia" w:ascii="宋体" w:hAnsi="宋体" w:cs="宋体"/>
                <w:color w:val="auto"/>
                <w:sz w:val="24"/>
                <w:szCs w:val="24"/>
                <w:highlight w:val="none"/>
              </w:rPr>
            </w:pPr>
          </w:p>
        </w:tc>
        <w:tc>
          <w:tcPr>
            <w:tcW w:w="1330" w:type="dxa"/>
            <w:noWrap w:val="0"/>
            <w:vAlign w:val="center"/>
          </w:tcPr>
          <w:p w14:paraId="0A790A45">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项目人员配备</w:t>
            </w:r>
          </w:p>
        </w:tc>
        <w:tc>
          <w:tcPr>
            <w:tcW w:w="869" w:type="dxa"/>
            <w:noWrap w:val="0"/>
            <w:vAlign w:val="center"/>
          </w:tcPr>
          <w:p w14:paraId="032FF946">
            <w:pPr>
              <w:spacing w:line="4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14.00</w:t>
            </w:r>
          </w:p>
        </w:tc>
        <w:tc>
          <w:tcPr>
            <w:tcW w:w="6119" w:type="dxa"/>
            <w:noWrap w:val="0"/>
            <w:vAlign w:val="center"/>
          </w:tcPr>
          <w:p w14:paraId="51ACD699">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1.投标人拟派项目负责人具有信息化行业高级职称或软件设计师证书，每有一个得2分，最高得4分。</w:t>
            </w:r>
          </w:p>
          <w:p w14:paraId="1D57F7A1">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2.投标人拟派技术负责人具有系统架构设计师或软件设计师的，每有一个得2分，最高得4分。</w:t>
            </w:r>
          </w:p>
          <w:p w14:paraId="5C66BB4C">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3.投标人拟派项目团队其他成员（除项目负责人、项目技术负责人外）具有软件设计师、网络工程师、信息系统管理工程师、信息安全工程师的，每有一个得1.5分，最高得6分。</w:t>
            </w:r>
          </w:p>
          <w:p w14:paraId="42BD100E">
            <w:pPr>
              <w:spacing w:line="40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提供相关证书电子件和2026年1月（含）以来任意一个月投标人为其缴纳的社会保险证明电子件，证明以社保主管部门出具的为准，否则不得分；2.项目组其他成员（除项目负责人、项目技术负责人外）同一人具有多个证书或不同人具有同一证书的，均不重复计分。 </w:t>
            </w:r>
            <w:bookmarkEnd w:id="298"/>
          </w:p>
        </w:tc>
      </w:tr>
    </w:tbl>
    <w:p w14:paraId="375B1645">
      <w:pPr>
        <w:spacing w:line="500" w:lineRule="exact"/>
        <w:ind w:firstLine="482"/>
        <w:rPr>
          <w:rFonts w:hint="eastAsia" w:ascii="宋体" w:hAnsi="宋体" w:cs="宋体"/>
          <w:color w:val="auto"/>
          <w:sz w:val="24"/>
          <w:szCs w:val="24"/>
          <w:highlight w:val="none"/>
        </w:rPr>
      </w:pPr>
      <w:r>
        <w:rPr>
          <w:rFonts w:hint="eastAsia" w:ascii="宋体" w:hAnsi="宋体" w:cs="宋体"/>
          <w:b/>
          <w:color w:val="auto"/>
          <w:sz w:val="24"/>
          <w:szCs w:val="24"/>
          <w:highlight w:val="none"/>
        </w:rPr>
        <w:t>（三）评标结果。</w:t>
      </w:r>
      <w:r>
        <w:rPr>
          <w:rFonts w:hint="eastAsia" w:ascii="宋体" w:hAnsi="宋体" w:cs="宋体"/>
          <w:color w:val="auto"/>
          <w:sz w:val="24"/>
          <w:szCs w:val="24"/>
          <w:highlight w:val="none"/>
        </w:rPr>
        <w:t>评标委员会按照本办法规定推荐中标候选人，并形成评标报告。</w:t>
      </w:r>
    </w:p>
    <w:p w14:paraId="66BAD209">
      <w:pPr>
        <w:spacing w:line="500" w:lineRule="exact"/>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（四）政府采购政策功能落实</w:t>
      </w:r>
    </w:p>
    <w:p w14:paraId="67DEF8B6">
      <w:pPr>
        <w:spacing w:line="500" w:lineRule="exact"/>
        <w:ind w:firstLine="482"/>
        <w:rPr>
          <w:rFonts w:hint="eastAsia" w:ascii="宋体" w:hAnsi="宋体" w:cs="宋体"/>
          <w:b/>
          <w:color w:val="auto"/>
          <w:sz w:val="24"/>
          <w:szCs w:val="24"/>
          <w:highlight w:val="none"/>
          <w:u w:val="single"/>
        </w:rPr>
      </w:pPr>
      <w:r>
        <w:rPr>
          <w:rFonts w:hint="eastAsia" w:ascii="宋体" w:hAnsi="宋体" w:cs="宋体"/>
          <w:b/>
          <w:bCs/>
          <w:color w:val="auto"/>
          <w:sz w:val="24"/>
          <w:szCs w:val="24"/>
          <w:highlight w:val="none"/>
        </w:rPr>
        <w:t>本项目落实的政府采购政策：</w:t>
      </w:r>
      <w:r>
        <w:rPr>
          <w:rFonts w:hint="eastAsia" w:ascii="宋体" w:hAnsi="宋体" w:cs="宋体"/>
          <w:b/>
          <w:bCs/>
          <w:color w:val="auto"/>
          <w:sz w:val="24"/>
          <w:szCs w:val="24"/>
          <w:highlight w:val="none"/>
          <w:u w:val="single"/>
        </w:rPr>
        <w:t xml:space="preserve"> 1、2  </w:t>
      </w:r>
    </w:p>
    <w:p w14:paraId="21585FD8">
      <w:pPr>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1.采购本国货物、工程和服务</w:t>
      </w:r>
    </w:p>
    <w:p w14:paraId="054A8FCB">
      <w:pPr>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p>
    <w:p w14:paraId="44219F05">
      <w:pPr>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2.中小企业政策</w:t>
      </w:r>
    </w:p>
    <w:p w14:paraId="4C6F503C">
      <w:pPr>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本项目按以下第</w:t>
      </w:r>
      <w:r>
        <w:rPr>
          <w:rFonts w:hint="eastAsia" w:ascii="宋体" w:hAnsi="宋体" w:cs="宋体"/>
          <w:b/>
          <w:bCs/>
          <w:color w:val="auto"/>
          <w:sz w:val="24"/>
          <w:szCs w:val="24"/>
          <w:highlight w:val="none"/>
          <w:u w:val="single"/>
        </w:rPr>
        <w:t>1</w:t>
      </w:r>
      <w:r>
        <w:rPr>
          <w:rFonts w:hint="eastAsia" w:ascii="宋体" w:hAnsi="宋体" w:cs="宋体"/>
          <w:color w:val="auto"/>
          <w:sz w:val="24"/>
          <w:szCs w:val="24"/>
          <w:highlight w:val="none"/>
        </w:rPr>
        <w:t>种政策确定本项目落实的中小企业政策：</w:t>
      </w:r>
    </w:p>
    <w:p w14:paraId="41B50BC1">
      <w:pPr>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（1）本项目专门面向中小企业（含监狱企业、残疾人福利企业）采购。</w:t>
      </w:r>
    </w:p>
    <w:p w14:paraId="14770397">
      <w:pPr>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（2）投标人提供的服务符合下列情形的，对小微企业报价给予</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的扣除，用扣除后的价格参加评审。</w:t>
      </w:r>
    </w:p>
    <w:p w14:paraId="5809FB68">
      <w:pPr>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在服务采购项目中，服务由中小企业承接，即提供服务的人员为中小企业依照《中华人民共和国民法典》订立劳动合同的从业人员。</w:t>
      </w:r>
    </w:p>
    <w:p w14:paraId="1D4342D0">
      <w:pPr>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1205154D">
      <w:pPr>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p>
    <w:p w14:paraId="7C511984">
      <w:pPr>
        <w:spacing w:line="4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3A58C5A">
      <w:pPr>
        <w:spacing w:line="48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p>
    <w:p w14:paraId="2A0268D7">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3.采购本国产品的支持政策</w:t>
      </w:r>
    </w:p>
    <w:p w14:paraId="0C17A4D2">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3.1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169E8F8">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7FC5AE4">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3.2本项目政府采购活动中既有本国产品又有非本国产品参与竞争的，依法对本国产品给予价格评审优惠，对本国产品的报价给予20%的价格扣除，用扣除后的价格参与评审。</w:t>
      </w:r>
    </w:p>
    <w:p w14:paraId="21CF1463">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3.3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6A44E6E">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3.4 供应商需按照招标文件的要求提供《关于符合本国产品标准的声明函》，如不提供将不享受本国产品价格评审优惠。</w:t>
      </w:r>
    </w:p>
    <w:p w14:paraId="2A4015E8">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3.5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54FADD48">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3.6 评标过程中，如发现供应商在《关于符合本国产品标准的声明函》内容含义不明确、同类事项与投标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招标文件规定的，供应商提供的相关产品视为不符合本国产品标准。</w:t>
      </w:r>
    </w:p>
    <w:p w14:paraId="621CE2BC">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4.节能产品、环境标志产品</w:t>
      </w:r>
    </w:p>
    <w:p w14:paraId="73BD325F">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1A69E4A8">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4.1拟采购的产品属于政府强制采购的节能产品品目清单范围的，供应商须提供国家确定的认证机构出具的、处于有效期之内的节能产品认证证书，否则其投标文件作无效标处理。</w:t>
      </w:r>
    </w:p>
    <w:p w14:paraId="492FD34D">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4.2采购人拟采购的产品属于优先采购的节能产品、环境标志产品清单范围的，按以下条件优先采购：</w:t>
      </w:r>
    </w:p>
    <w:p w14:paraId="689D2218">
      <w:pPr>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采用综合评分法的项目，对提供有效节能产品、环境标志证书产品的供应商加分。</w:t>
      </w:r>
    </w:p>
    <w:p w14:paraId="23BC4F77">
      <w:pPr>
        <w:spacing w:line="460" w:lineRule="exact"/>
        <w:ind w:firstLine="480"/>
        <w:rPr>
          <w:rFonts w:hint="eastAsia" w:ascii="宋体" w:hAnsi="宋体" w:cs="宋体"/>
          <w:color w:val="auto"/>
          <w:sz w:val="28"/>
          <w:szCs w:val="28"/>
          <w:highlight w:val="none"/>
        </w:rPr>
      </w:pPr>
      <w:r>
        <w:rPr>
          <w:rFonts w:hint="eastAsia" w:ascii="宋体" w:hAnsi="宋体" w:cs="宋体"/>
          <w:color w:val="auto"/>
          <w:sz w:val="24"/>
          <w:highlight w:val="none"/>
        </w:rPr>
        <w:t>采用最低评标价法的项目，同等条件下优先推荐提供有效节能产品、环境标志产品证书多的供应商为中标人。</w:t>
      </w:r>
    </w:p>
    <w:p w14:paraId="12374B12">
      <w:pPr>
        <w:rPr>
          <w:rFonts w:hint="eastAsia" w:ascii="宋体" w:hAnsi="宋体" w:cs="宋体"/>
          <w:color w:val="auto"/>
          <w:sz w:val="28"/>
          <w:szCs w:val="28"/>
          <w:highlight w:val="none"/>
        </w:rPr>
      </w:pPr>
    </w:p>
    <w:p w14:paraId="0FF8BFF4">
      <w:pPr>
        <w:pStyle w:val="228"/>
        <w:rPr>
          <w:rFonts w:hint="eastAsia" w:ascii="宋体" w:hAnsi="宋体" w:eastAsia="宋体" w:cs="宋体"/>
          <w:bCs/>
          <w:color w:val="auto"/>
          <w:highlight w:val="none"/>
        </w:rPr>
      </w:pPr>
      <w:r>
        <w:rPr>
          <w:rFonts w:hint="eastAsia" w:ascii="宋体" w:hAnsi="宋体" w:eastAsia="宋体" w:cs="宋体"/>
          <w:bCs/>
          <w:color w:val="auto"/>
          <w:highlight w:val="none"/>
        </w:rPr>
        <w:br w:type="page" w:clear="all"/>
      </w:r>
      <w:bookmarkStart w:id="299" w:name="_Toc14966"/>
      <w:bookmarkStart w:id="300" w:name="_Toc11068"/>
      <w:bookmarkStart w:id="301" w:name="_Toc19278"/>
      <w:bookmarkStart w:id="302" w:name="_Toc9320"/>
      <w:r>
        <w:rPr>
          <w:rFonts w:hint="eastAsia" w:ascii="宋体" w:hAnsi="宋体" w:eastAsia="宋体" w:cs="宋体"/>
          <w:b/>
          <w:bCs/>
          <w:color w:val="auto"/>
          <w:sz w:val="36"/>
          <w:szCs w:val="36"/>
          <w:highlight w:val="none"/>
        </w:rPr>
        <w:t>第六章  投标</w:t>
      </w:r>
      <w:bookmarkEnd w:id="237"/>
      <w:bookmarkEnd w:id="238"/>
      <w:bookmarkEnd w:id="239"/>
      <w:r>
        <w:rPr>
          <w:rFonts w:hint="eastAsia" w:ascii="宋体" w:hAnsi="宋体" w:eastAsia="宋体" w:cs="宋体"/>
          <w:b/>
          <w:bCs/>
          <w:color w:val="auto"/>
          <w:sz w:val="36"/>
          <w:szCs w:val="36"/>
          <w:highlight w:val="none"/>
        </w:rPr>
        <w:t>文件格式</w:t>
      </w:r>
      <w:bookmarkEnd w:id="299"/>
      <w:bookmarkEnd w:id="300"/>
      <w:bookmarkEnd w:id="301"/>
      <w:bookmarkEnd w:id="302"/>
      <w:r>
        <w:rPr>
          <w:rFonts w:hint="eastAsia" w:ascii="宋体" w:hAnsi="宋体" w:eastAsia="宋体" w:cs="宋体"/>
          <w:b/>
          <w:bCs/>
          <w:color w:val="auto"/>
          <w:sz w:val="36"/>
          <w:szCs w:val="36"/>
          <w:highlight w:val="none"/>
        </w:rPr>
        <w:t xml:space="preserve"> </w:t>
      </w:r>
    </w:p>
    <w:p w14:paraId="7F25094A">
      <w:pPr>
        <w:jc w:val="center"/>
        <w:rPr>
          <w:rFonts w:hint="eastAsia" w:ascii="宋体" w:hAnsi="宋体" w:cs="宋体"/>
          <w:b/>
          <w:color w:val="auto"/>
          <w:sz w:val="40"/>
          <w:szCs w:val="40"/>
          <w:highlight w:val="none"/>
        </w:rPr>
      </w:pPr>
      <w:bookmarkStart w:id="303" w:name="_Hlt26955039"/>
      <w:bookmarkEnd w:id="303"/>
      <w:bookmarkStart w:id="304" w:name="_Hlt26671244"/>
      <w:bookmarkEnd w:id="304"/>
      <w:bookmarkStart w:id="305" w:name="_Toc120614282"/>
      <w:bookmarkStart w:id="306" w:name="_Toc49090576"/>
      <w:bookmarkStart w:id="307" w:name="_Toc26554094"/>
    </w:p>
    <w:p w14:paraId="21E03060">
      <w:pPr>
        <w:jc w:val="center"/>
        <w:rPr>
          <w:rFonts w:hint="eastAsia" w:ascii="宋体" w:hAnsi="宋体" w:cs="宋体"/>
          <w:b/>
          <w:color w:val="auto"/>
          <w:sz w:val="40"/>
          <w:szCs w:val="40"/>
          <w:highlight w:val="none"/>
        </w:rPr>
      </w:pPr>
    </w:p>
    <w:p w14:paraId="5994D5D5">
      <w:pPr>
        <w:jc w:val="center"/>
        <w:rPr>
          <w:rFonts w:hint="eastAsia" w:ascii="宋体" w:hAnsi="宋体" w:cs="宋体"/>
          <w:b/>
          <w:color w:val="auto"/>
          <w:sz w:val="40"/>
          <w:szCs w:val="40"/>
          <w:highlight w:val="none"/>
        </w:rPr>
      </w:pPr>
    </w:p>
    <w:p w14:paraId="18B53E0B">
      <w:pPr>
        <w:jc w:val="center"/>
        <w:rPr>
          <w:rFonts w:hint="eastAsia" w:ascii="宋体" w:hAnsi="宋体" w:cs="宋体"/>
          <w:b/>
          <w:color w:val="auto"/>
          <w:sz w:val="40"/>
          <w:szCs w:val="40"/>
          <w:highlight w:val="none"/>
        </w:rPr>
      </w:pPr>
    </w:p>
    <w:p w14:paraId="4E33F84A">
      <w:pPr>
        <w:jc w:val="center"/>
        <w:rPr>
          <w:rFonts w:hint="eastAsia" w:ascii="宋体" w:hAnsi="宋体" w:cs="宋体"/>
          <w:b/>
          <w:color w:val="auto"/>
          <w:sz w:val="40"/>
          <w:szCs w:val="40"/>
          <w:highlight w:val="none"/>
        </w:rPr>
      </w:pPr>
      <w:r>
        <w:rPr>
          <w:rFonts w:hint="eastAsia" w:ascii="宋体" w:hAnsi="宋体" w:cs="宋体"/>
          <w:b/>
          <w:color w:val="auto"/>
          <w:sz w:val="40"/>
          <w:szCs w:val="40"/>
          <w:highlight w:val="none"/>
        </w:rPr>
        <w:t>投  标  文  件</w:t>
      </w:r>
    </w:p>
    <w:p w14:paraId="68B47EC9">
      <w:pPr>
        <w:jc w:val="center"/>
        <w:rPr>
          <w:rFonts w:hint="eastAsia" w:ascii="宋体" w:hAnsi="宋体" w:cs="宋体"/>
          <w:b/>
          <w:color w:val="auto"/>
          <w:sz w:val="28"/>
          <w:szCs w:val="28"/>
          <w:highlight w:val="none"/>
        </w:rPr>
      </w:pPr>
    </w:p>
    <w:p w14:paraId="46EA7533">
      <w:pPr>
        <w:jc w:val="center"/>
        <w:rPr>
          <w:rFonts w:hint="eastAsia" w:ascii="宋体" w:hAnsi="宋体" w:cs="宋体"/>
          <w:b/>
          <w:color w:val="auto"/>
          <w:sz w:val="28"/>
          <w:szCs w:val="28"/>
          <w:highlight w:val="none"/>
        </w:rPr>
      </w:pPr>
    </w:p>
    <w:p w14:paraId="2083E157">
      <w:pPr>
        <w:jc w:val="center"/>
        <w:rPr>
          <w:rFonts w:hint="eastAsia" w:ascii="宋体" w:hAnsi="宋体" w:cs="宋体"/>
          <w:b/>
          <w:color w:val="auto"/>
          <w:sz w:val="28"/>
          <w:szCs w:val="28"/>
          <w:highlight w:val="none"/>
        </w:rPr>
      </w:pPr>
    </w:p>
    <w:p w14:paraId="44FAFAC3">
      <w:pPr>
        <w:jc w:val="center"/>
        <w:rPr>
          <w:rFonts w:hint="eastAsia" w:ascii="宋体" w:hAnsi="宋体" w:cs="宋体"/>
          <w:b/>
          <w:color w:val="auto"/>
          <w:sz w:val="28"/>
          <w:szCs w:val="28"/>
          <w:highlight w:val="none"/>
        </w:rPr>
      </w:pPr>
    </w:p>
    <w:p w14:paraId="0AB4ED77">
      <w:pPr>
        <w:jc w:val="center"/>
        <w:rPr>
          <w:rFonts w:hint="eastAsia" w:ascii="宋体" w:hAnsi="宋体" w:cs="宋体"/>
          <w:b/>
          <w:color w:val="auto"/>
          <w:sz w:val="28"/>
          <w:szCs w:val="28"/>
          <w:highlight w:val="none"/>
        </w:rPr>
      </w:pPr>
    </w:p>
    <w:p w14:paraId="23111B95">
      <w:pPr>
        <w:ind w:firstLine="843"/>
        <w:rPr>
          <w:rFonts w:hint="eastAsia" w:ascii="宋体" w:hAnsi="宋体" w:cs="宋体"/>
          <w:b/>
          <w:color w:val="auto"/>
          <w:sz w:val="28"/>
          <w:szCs w:val="28"/>
          <w:highlight w:val="none"/>
        </w:rPr>
      </w:pPr>
      <w:r>
        <w:rPr>
          <w:rFonts w:hint="eastAsia" w:ascii="宋体" w:hAnsi="宋体" w:cs="宋体"/>
          <w:b/>
          <w:color w:val="auto"/>
          <w:sz w:val="28"/>
          <w:szCs w:val="28"/>
          <w:highlight w:val="none"/>
        </w:rPr>
        <w:t>项 目 名 称：</w:t>
      </w:r>
      <w:r>
        <w:rPr>
          <w:rFonts w:hint="eastAsia" w:ascii="宋体" w:hAnsi="宋体" w:cs="宋体"/>
          <w:b/>
          <w:color w:val="auto"/>
          <w:sz w:val="28"/>
          <w:szCs w:val="28"/>
          <w:highlight w:val="none"/>
          <w:u w:val="single"/>
        </w:rPr>
        <w:t xml:space="preserve">               </w:t>
      </w:r>
    </w:p>
    <w:p w14:paraId="517477A6">
      <w:pPr>
        <w:ind w:firstLine="843"/>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项 目 编 号：</w:t>
      </w:r>
      <w:r>
        <w:rPr>
          <w:rFonts w:hint="eastAsia" w:ascii="宋体" w:hAnsi="宋体" w:cs="宋体"/>
          <w:b/>
          <w:color w:val="auto"/>
          <w:sz w:val="28"/>
          <w:szCs w:val="28"/>
          <w:highlight w:val="none"/>
          <w:u w:val="single"/>
        </w:rPr>
        <w:t xml:space="preserve">               </w:t>
      </w:r>
    </w:p>
    <w:p w14:paraId="36B97450">
      <w:pPr>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 xml:space="preserve">      投标人名称 ：</w:t>
      </w:r>
      <w:r>
        <w:rPr>
          <w:rFonts w:hint="eastAsia" w:ascii="宋体" w:hAnsi="宋体" w:cs="宋体"/>
          <w:b/>
          <w:color w:val="auto"/>
          <w:sz w:val="28"/>
          <w:szCs w:val="28"/>
          <w:highlight w:val="none"/>
          <w:u w:val="single"/>
        </w:rPr>
        <w:t>（加盖CA电子公章）</w:t>
      </w:r>
    </w:p>
    <w:p w14:paraId="4AEF44F3">
      <w:pPr>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rPr>
        <w:t xml:space="preserve">      日      期 ：</w:t>
      </w:r>
      <w:r>
        <w:rPr>
          <w:rFonts w:hint="eastAsia" w:ascii="宋体" w:hAnsi="宋体" w:cs="宋体"/>
          <w:b/>
          <w:color w:val="auto"/>
          <w:sz w:val="28"/>
          <w:szCs w:val="28"/>
          <w:highlight w:val="none"/>
          <w:u w:val="single"/>
        </w:rPr>
        <w:t xml:space="preserve">               </w:t>
      </w:r>
    </w:p>
    <w:p w14:paraId="00EFEA73">
      <w:pPr>
        <w:spacing w:line="440" w:lineRule="exact"/>
        <w:jc w:val="center"/>
        <w:rPr>
          <w:rFonts w:hint="eastAsia" w:ascii="宋体" w:hAnsi="宋体" w:cs="宋体"/>
          <w:b/>
          <w:bCs/>
          <w:color w:val="auto"/>
          <w:sz w:val="28"/>
          <w:szCs w:val="28"/>
          <w:highlight w:val="none"/>
        </w:rPr>
      </w:pPr>
    </w:p>
    <w:p w14:paraId="38E4DEB0">
      <w:pPr>
        <w:spacing w:line="440" w:lineRule="exact"/>
        <w:rPr>
          <w:rFonts w:hint="eastAsia" w:ascii="宋体" w:hAnsi="宋体" w:cs="宋体"/>
          <w:color w:val="auto"/>
          <w:sz w:val="28"/>
          <w:szCs w:val="28"/>
          <w:highlight w:val="none"/>
        </w:rPr>
      </w:pPr>
    </w:p>
    <w:p w14:paraId="317F1FF2">
      <w:pPr>
        <w:ind w:firstLine="843"/>
        <w:rPr>
          <w:rFonts w:hint="eastAsia" w:ascii="宋体" w:hAnsi="宋体" w:cs="宋体"/>
          <w:b/>
          <w:bCs/>
          <w:color w:val="auto"/>
          <w:sz w:val="28"/>
          <w:szCs w:val="28"/>
          <w:highlight w:val="none"/>
        </w:rPr>
      </w:pPr>
      <w:r>
        <w:rPr>
          <w:rFonts w:hint="eastAsia" w:ascii="宋体" w:hAnsi="宋体" w:cs="宋体"/>
          <w:b/>
          <w:color w:val="auto"/>
          <w:sz w:val="28"/>
          <w:szCs w:val="28"/>
          <w:highlight w:val="none"/>
          <w:u w:val="single"/>
        </w:rPr>
        <w:br w:type="page" w:clear="all"/>
      </w:r>
    </w:p>
    <w:p w14:paraId="41BE30A7">
      <w:pPr>
        <w:spacing w:line="440" w:lineRule="exact"/>
        <w:jc w:val="center"/>
        <w:outlineLvl w:val="1"/>
        <w:rPr>
          <w:rFonts w:hint="eastAsia" w:ascii="宋体" w:hAnsi="宋体" w:cs="宋体"/>
          <w:b/>
          <w:bCs/>
          <w:color w:val="auto"/>
          <w:sz w:val="28"/>
          <w:szCs w:val="28"/>
          <w:highlight w:val="none"/>
        </w:rPr>
      </w:pPr>
      <w:bookmarkStart w:id="308" w:name="_Toc21443"/>
      <w:bookmarkStart w:id="309" w:name="_Toc3280"/>
      <w:bookmarkStart w:id="310" w:name="_Toc6"/>
      <w:bookmarkStart w:id="311" w:name="_Toc29654"/>
      <w:r>
        <w:rPr>
          <w:rFonts w:hint="eastAsia" w:ascii="宋体" w:hAnsi="宋体" w:cs="宋体"/>
          <w:b/>
          <w:bCs/>
          <w:color w:val="auto"/>
          <w:sz w:val="28"/>
          <w:szCs w:val="28"/>
          <w:highlight w:val="none"/>
        </w:rPr>
        <w:t>投标文件目录</w:t>
      </w:r>
      <w:bookmarkEnd w:id="308"/>
      <w:bookmarkEnd w:id="309"/>
      <w:bookmarkEnd w:id="310"/>
      <w:bookmarkEnd w:id="311"/>
    </w:p>
    <w:p w14:paraId="5D1281C6">
      <w:pPr>
        <w:spacing w:line="440" w:lineRule="exact"/>
        <w:jc w:val="center"/>
        <w:rPr>
          <w:rFonts w:hint="eastAsia" w:ascii="宋体" w:hAnsi="宋体" w:cs="宋体"/>
          <w:b/>
          <w:bCs/>
          <w:color w:val="auto"/>
          <w:sz w:val="28"/>
          <w:szCs w:val="28"/>
          <w:highlight w:val="none"/>
        </w:rPr>
      </w:pPr>
    </w:p>
    <w:p w14:paraId="1919A1B3">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一、投标声明及承诺函</w:t>
      </w:r>
    </w:p>
    <w:p w14:paraId="4547B41D">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二、投标人基本情况</w:t>
      </w:r>
    </w:p>
    <w:p w14:paraId="410A0AEF">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三、满足特定资格要求的证明文件（如果设置特定资格要求，则需要提供）</w:t>
      </w:r>
    </w:p>
    <w:p w14:paraId="4D34CFDF">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四、法定代表人身份证明或法人授权书</w:t>
      </w:r>
    </w:p>
    <w:p w14:paraId="3460D4E4">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五、开标一览表</w:t>
      </w:r>
    </w:p>
    <w:p w14:paraId="42A7249F">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六、中小企业或残疾人福利性单位声明函</w:t>
      </w:r>
    </w:p>
    <w:p w14:paraId="549FE310">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七、响应及偏离表</w:t>
      </w:r>
    </w:p>
    <w:p w14:paraId="6FC2F46B">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八、项目组成员</w:t>
      </w:r>
    </w:p>
    <w:p w14:paraId="526684B5">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九、企业业绩</w:t>
      </w:r>
    </w:p>
    <w:p w14:paraId="5AC74CDC">
      <w:pPr>
        <w:spacing w:line="6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十、投标所需其他材料</w:t>
      </w:r>
    </w:p>
    <w:p w14:paraId="46042B8A">
      <w:pPr>
        <w:spacing w:line="440" w:lineRule="exact"/>
        <w:ind w:firstLine="560"/>
        <w:rPr>
          <w:rFonts w:hint="eastAsia" w:ascii="宋体" w:hAnsi="宋体" w:cs="宋体"/>
          <w:color w:val="auto"/>
          <w:sz w:val="28"/>
          <w:szCs w:val="28"/>
          <w:highlight w:val="none"/>
        </w:rPr>
      </w:pPr>
    </w:p>
    <w:p w14:paraId="58B1075D">
      <w:pPr>
        <w:spacing w:line="440" w:lineRule="exact"/>
        <w:ind w:firstLine="560"/>
        <w:rPr>
          <w:rFonts w:hint="eastAsia" w:ascii="宋体" w:hAnsi="宋体" w:cs="宋体"/>
          <w:color w:val="auto"/>
          <w:sz w:val="28"/>
          <w:szCs w:val="28"/>
          <w:highlight w:val="none"/>
        </w:rPr>
      </w:pPr>
    </w:p>
    <w:p w14:paraId="5EFB876C">
      <w:pPr>
        <w:spacing w:line="440" w:lineRule="exact"/>
        <w:ind w:firstLine="560"/>
        <w:rPr>
          <w:rFonts w:hint="eastAsia" w:ascii="宋体" w:hAnsi="宋体" w:cs="宋体"/>
          <w:color w:val="auto"/>
          <w:sz w:val="28"/>
          <w:szCs w:val="28"/>
          <w:highlight w:val="none"/>
        </w:rPr>
      </w:pPr>
    </w:p>
    <w:p w14:paraId="427634DC">
      <w:pPr>
        <w:spacing w:line="440" w:lineRule="exact"/>
        <w:ind w:firstLine="560"/>
        <w:rPr>
          <w:rFonts w:hint="eastAsia" w:ascii="宋体" w:hAnsi="宋体" w:cs="宋体"/>
          <w:color w:val="auto"/>
          <w:sz w:val="28"/>
          <w:szCs w:val="28"/>
          <w:highlight w:val="none"/>
        </w:rPr>
      </w:pPr>
    </w:p>
    <w:p w14:paraId="6536E023">
      <w:pPr>
        <w:spacing w:line="440" w:lineRule="exact"/>
        <w:ind w:firstLine="560"/>
        <w:rPr>
          <w:rFonts w:hint="eastAsia" w:ascii="宋体" w:hAnsi="宋体" w:cs="宋体"/>
          <w:color w:val="auto"/>
          <w:sz w:val="28"/>
          <w:szCs w:val="28"/>
          <w:highlight w:val="none"/>
        </w:rPr>
      </w:pPr>
    </w:p>
    <w:p w14:paraId="6A3987F1">
      <w:pPr>
        <w:pStyle w:val="355"/>
        <w:rPr>
          <w:rFonts w:hint="eastAsia" w:ascii="宋体" w:hAnsi="宋体" w:eastAsia="宋体" w:cs="宋体"/>
          <w:color w:val="auto"/>
          <w:sz w:val="28"/>
          <w:szCs w:val="28"/>
          <w:highlight w:val="none"/>
        </w:rPr>
      </w:pPr>
      <w:bookmarkStart w:id="312" w:name="_Toc23838"/>
    </w:p>
    <w:p w14:paraId="072F8B25">
      <w:pPr>
        <w:pStyle w:val="355"/>
        <w:rPr>
          <w:rFonts w:hint="eastAsia" w:ascii="宋体" w:hAnsi="宋体" w:eastAsia="宋体" w:cs="宋体"/>
          <w:color w:val="auto"/>
          <w:sz w:val="28"/>
          <w:szCs w:val="28"/>
          <w:highlight w:val="none"/>
        </w:rPr>
      </w:pPr>
    </w:p>
    <w:p w14:paraId="430CE12E">
      <w:pPr>
        <w:pStyle w:val="355"/>
        <w:outlineLvl w:val="1"/>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br w:type="page" w:clear="all"/>
      </w:r>
      <w:bookmarkEnd w:id="312"/>
      <w:bookmarkStart w:id="313" w:name="_Toc17526"/>
      <w:bookmarkStart w:id="314" w:name="_Toc29907"/>
      <w:bookmarkStart w:id="315" w:name="_Toc25745"/>
      <w:bookmarkStart w:id="316" w:name="_Toc19050"/>
      <w:r>
        <w:rPr>
          <w:rFonts w:hint="eastAsia" w:ascii="宋体" w:hAnsi="宋体" w:eastAsia="宋体" w:cs="宋体"/>
          <w:b/>
          <w:color w:val="auto"/>
          <w:sz w:val="28"/>
          <w:szCs w:val="28"/>
          <w:highlight w:val="none"/>
        </w:rPr>
        <w:t>一、</w:t>
      </w:r>
      <w:bookmarkEnd w:id="305"/>
      <w:bookmarkEnd w:id="306"/>
      <w:bookmarkEnd w:id="307"/>
      <w:bookmarkStart w:id="317" w:name="_Toc120614284"/>
      <w:r>
        <w:rPr>
          <w:rFonts w:hint="eastAsia" w:ascii="宋体" w:hAnsi="宋体" w:eastAsia="宋体" w:cs="宋体"/>
          <w:b/>
          <w:color w:val="auto"/>
          <w:sz w:val="28"/>
          <w:szCs w:val="28"/>
          <w:highlight w:val="none"/>
        </w:rPr>
        <w:t>投标声明及承诺函</w:t>
      </w:r>
      <w:bookmarkEnd w:id="313"/>
      <w:bookmarkEnd w:id="314"/>
      <w:bookmarkEnd w:id="315"/>
      <w:bookmarkEnd w:id="316"/>
    </w:p>
    <w:p w14:paraId="44813F37">
      <w:pPr>
        <w:pStyle w:val="353"/>
        <w:spacing w:line="500" w:lineRule="exact"/>
        <w:jc w:val="center"/>
        <w:rPr>
          <w:rFonts w:hint="eastAsia" w:ascii="宋体" w:hAnsi="宋体" w:cs="宋体"/>
          <w:b/>
          <w:color w:val="auto"/>
          <w:sz w:val="28"/>
          <w:szCs w:val="28"/>
          <w:highlight w:val="none"/>
        </w:rPr>
      </w:pPr>
    </w:p>
    <w:p w14:paraId="566ADB58">
      <w:pPr>
        <w:pStyle w:val="353"/>
        <w:spacing w:line="500" w:lineRule="exact"/>
        <w:jc w:val="center"/>
        <w:rPr>
          <w:rFonts w:hint="eastAsia" w:ascii="宋体" w:hAnsi="宋体" w:cs="宋体"/>
          <w:color w:val="auto"/>
          <w:sz w:val="32"/>
          <w:szCs w:val="32"/>
          <w:highlight w:val="none"/>
          <w:u w:val="single"/>
        </w:rPr>
      </w:pPr>
      <w:r>
        <w:rPr>
          <w:rFonts w:hint="eastAsia" w:ascii="宋体" w:hAnsi="宋体" w:cs="宋体"/>
          <w:b/>
          <w:color w:val="auto"/>
          <w:sz w:val="32"/>
          <w:szCs w:val="32"/>
          <w:highlight w:val="none"/>
        </w:rPr>
        <w:t>投标声明及承诺函</w:t>
      </w:r>
    </w:p>
    <w:p w14:paraId="4F1CBF80">
      <w:pPr>
        <w:pStyle w:val="353"/>
        <w:spacing w:line="500" w:lineRule="exact"/>
        <w:jc w:val="left"/>
        <w:rPr>
          <w:rFonts w:hint="eastAsia" w:ascii="宋体" w:hAnsi="宋体" w:cs="宋体"/>
          <w:color w:val="auto"/>
          <w:sz w:val="28"/>
          <w:szCs w:val="28"/>
          <w:highlight w:val="none"/>
          <w:u w:val="single"/>
        </w:rPr>
      </w:pPr>
    </w:p>
    <w:p w14:paraId="420A5ED0">
      <w:pPr>
        <w:pStyle w:val="353"/>
        <w:spacing w:line="500" w:lineRule="exact"/>
        <w:jc w:val="lef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t>宿迁市市域社会治理现代化指挥中心（采购人名称）</w:t>
      </w:r>
      <w:r>
        <w:rPr>
          <w:rFonts w:hint="eastAsia" w:ascii="宋体" w:hAnsi="宋体" w:cs="宋体"/>
          <w:color w:val="auto"/>
          <w:sz w:val="28"/>
          <w:szCs w:val="28"/>
          <w:highlight w:val="none"/>
        </w:rPr>
        <w:t>：</w:t>
      </w:r>
    </w:p>
    <w:p w14:paraId="1D952548">
      <w:pPr>
        <w:pStyle w:val="353"/>
        <w:spacing w:line="500" w:lineRule="exact"/>
        <w:ind w:firstLine="48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根据已收到的项目编号为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项目的招标文件，我方在参加本项目招投标活动中，特作出如下承诺：</w:t>
      </w:r>
    </w:p>
    <w:p w14:paraId="00CC2C10">
      <w:pPr>
        <w:pStyle w:val="353"/>
        <w:spacing w:line="500" w:lineRule="exact"/>
        <w:ind w:firstLine="48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一、我方具备《中华人民共和国政府采购法》第二十二条第一款规定的6项条件；</w:t>
      </w:r>
    </w:p>
    <w:p w14:paraId="25FA9C3C">
      <w:pPr>
        <w:pStyle w:val="353"/>
        <w:spacing w:line="500" w:lineRule="exact"/>
        <w:ind w:firstLine="48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5414F29F">
      <w:pPr>
        <w:pStyle w:val="353"/>
        <w:spacing w:line="500" w:lineRule="exact"/>
        <w:ind w:firstLine="48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三、我方按招标文件要求提交投标文件，响应招标文件规定的投标有效期；</w:t>
      </w:r>
    </w:p>
    <w:p w14:paraId="7787AC6B">
      <w:pPr>
        <w:pStyle w:val="353"/>
        <w:spacing w:line="500" w:lineRule="exact"/>
        <w:ind w:firstLine="48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四、如果我方的投标文件被接受，我方将按照《中华人民共和国民法典（第三编合同）》及其他有关法律、法规的规定，按期、按质、按量交付采购单位，全面做到履约守信；</w:t>
      </w:r>
    </w:p>
    <w:p w14:paraId="19B245EB">
      <w:pPr>
        <w:pStyle w:val="353"/>
        <w:spacing w:line="500" w:lineRule="exact"/>
        <w:ind w:firstLine="48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五、我方若违背本声明及承诺约定，经查实，自愿接受采购人及相关主管部门相应的规定处理，并依法承担相应的法律责任。</w:t>
      </w:r>
    </w:p>
    <w:p w14:paraId="42461FD2">
      <w:pPr>
        <w:pStyle w:val="353"/>
        <w:spacing w:line="500" w:lineRule="exact"/>
        <w:ind w:firstLine="48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六、我方同意采购人、采购代理机构将本声明及承诺函上网公开。</w:t>
      </w:r>
    </w:p>
    <w:p w14:paraId="52C223BF">
      <w:pPr>
        <w:pStyle w:val="353"/>
        <w:spacing w:line="500" w:lineRule="exact"/>
        <w:ind w:firstLine="480"/>
        <w:jc w:val="left"/>
        <w:rPr>
          <w:rFonts w:hint="eastAsia" w:ascii="宋体" w:hAnsi="宋体" w:cs="宋体"/>
          <w:color w:val="auto"/>
          <w:sz w:val="28"/>
          <w:szCs w:val="28"/>
          <w:highlight w:val="none"/>
        </w:rPr>
      </w:pPr>
    </w:p>
    <w:p w14:paraId="6CB48793">
      <w:pPr>
        <w:pStyle w:val="353"/>
        <w:spacing w:line="500" w:lineRule="exact"/>
        <w:jc w:val="left"/>
        <w:rPr>
          <w:rFonts w:hint="eastAsia" w:ascii="宋体" w:hAnsi="宋体" w:cs="宋体"/>
          <w:color w:val="auto"/>
          <w:sz w:val="28"/>
          <w:szCs w:val="28"/>
          <w:highlight w:val="none"/>
        </w:rPr>
      </w:pPr>
    </w:p>
    <w:p w14:paraId="4C0ED597">
      <w:pPr>
        <w:pStyle w:val="353"/>
        <w:spacing w:line="500" w:lineRule="exact"/>
        <w:ind w:firstLine="48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投标人名称：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（加盖CA电子公章）</w:t>
      </w:r>
    </w:p>
    <w:p w14:paraId="10735358">
      <w:pPr>
        <w:pStyle w:val="353"/>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日期：    年    月   日</w:t>
      </w:r>
    </w:p>
    <w:p w14:paraId="5AF31641">
      <w:pPr>
        <w:pStyle w:val="355"/>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bookmarkStart w:id="318" w:name="_Toc5466"/>
      <w:bookmarkStart w:id="319" w:name="_Toc7792"/>
      <w:bookmarkStart w:id="320" w:name="_Toc29234"/>
      <w:bookmarkStart w:id="321" w:name="_Toc24396"/>
      <w:r>
        <w:rPr>
          <w:rFonts w:hint="eastAsia" w:ascii="宋体" w:hAnsi="宋体" w:eastAsia="宋体" w:cs="宋体"/>
          <w:b/>
          <w:color w:val="auto"/>
          <w:sz w:val="28"/>
          <w:szCs w:val="28"/>
          <w:highlight w:val="none"/>
        </w:rPr>
        <w:t>二、投标人基本情况</w:t>
      </w:r>
      <w:bookmarkEnd w:id="318"/>
      <w:bookmarkEnd w:id="319"/>
      <w:bookmarkEnd w:id="320"/>
      <w:bookmarkEnd w:id="321"/>
    </w:p>
    <w:p w14:paraId="1DBBF4F1">
      <w:pPr>
        <w:pStyle w:val="356"/>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投标人基本情况表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0"/>
        <w:gridCol w:w="2664"/>
        <w:gridCol w:w="1675"/>
        <w:gridCol w:w="2205"/>
      </w:tblGrid>
      <w:tr w14:paraId="6CA3C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80" w:type="dxa"/>
            <w:noWrap w:val="0"/>
            <w:vAlign w:val="center"/>
          </w:tcPr>
          <w:p w14:paraId="1D099387">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投标人名称</w:t>
            </w:r>
          </w:p>
        </w:tc>
        <w:tc>
          <w:tcPr>
            <w:tcW w:w="6544" w:type="dxa"/>
            <w:gridSpan w:val="3"/>
            <w:noWrap w:val="0"/>
            <w:vAlign w:val="center"/>
          </w:tcPr>
          <w:p w14:paraId="6FE60053">
            <w:pPr>
              <w:pStyle w:val="356"/>
              <w:spacing w:line="600" w:lineRule="exact"/>
              <w:jc w:val="center"/>
              <w:rPr>
                <w:rFonts w:hint="eastAsia" w:ascii="宋体" w:hAnsi="宋体" w:cs="宋体"/>
                <w:color w:val="auto"/>
                <w:sz w:val="28"/>
                <w:szCs w:val="28"/>
                <w:highlight w:val="none"/>
              </w:rPr>
            </w:pPr>
          </w:p>
        </w:tc>
      </w:tr>
      <w:tr w14:paraId="25729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80" w:type="dxa"/>
            <w:noWrap w:val="0"/>
            <w:vAlign w:val="center"/>
          </w:tcPr>
          <w:p w14:paraId="03E67071">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w:t>
            </w:r>
          </w:p>
        </w:tc>
        <w:tc>
          <w:tcPr>
            <w:tcW w:w="2664" w:type="dxa"/>
            <w:noWrap w:val="0"/>
            <w:vAlign w:val="center"/>
          </w:tcPr>
          <w:p w14:paraId="56AA1479">
            <w:pPr>
              <w:pStyle w:val="356"/>
              <w:spacing w:line="600" w:lineRule="exact"/>
              <w:jc w:val="center"/>
              <w:rPr>
                <w:rFonts w:hint="eastAsia" w:ascii="宋体" w:hAnsi="宋体" w:cs="宋体"/>
                <w:color w:val="auto"/>
                <w:sz w:val="28"/>
                <w:szCs w:val="28"/>
                <w:highlight w:val="none"/>
              </w:rPr>
            </w:pPr>
          </w:p>
        </w:tc>
        <w:tc>
          <w:tcPr>
            <w:tcW w:w="1675" w:type="dxa"/>
            <w:noWrap w:val="0"/>
            <w:vAlign w:val="center"/>
          </w:tcPr>
          <w:p w14:paraId="231FA5F3">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注册地区</w:t>
            </w:r>
          </w:p>
        </w:tc>
        <w:tc>
          <w:tcPr>
            <w:tcW w:w="2205" w:type="dxa"/>
            <w:noWrap w:val="0"/>
            <w:vAlign w:val="center"/>
          </w:tcPr>
          <w:p w14:paraId="5131CE2F">
            <w:pPr>
              <w:pStyle w:val="356"/>
              <w:spacing w:line="600" w:lineRule="exact"/>
              <w:jc w:val="center"/>
              <w:rPr>
                <w:rFonts w:hint="eastAsia" w:ascii="宋体" w:hAnsi="宋体" w:cs="宋体"/>
                <w:color w:val="auto"/>
                <w:sz w:val="28"/>
                <w:szCs w:val="28"/>
                <w:highlight w:val="none"/>
              </w:rPr>
            </w:pPr>
          </w:p>
        </w:tc>
      </w:tr>
      <w:tr w14:paraId="396B7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80" w:type="dxa"/>
            <w:noWrap w:val="0"/>
            <w:vAlign w:val="center"/>
          </w:tcPr>
          <w:p w14:paraId="09181E22">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地址</w:t>
            </w:r>
          </w:p>
        </w:tc>
        <w:tc>
          <w:tcPr>
            <w:tcW w:w="2664" w:type="dxa"/>
            <w:noWrap w:val="0"/>
            <w:vAlign w:val="center"/>
          </w:tcPr>
          <w:p w14:paraId="371DD77C">
            <w:pPr>
              <w:pStyle w:val="356"/>
              <w:spacing w:line="600" w:lineRule="exact"/>
              <w:jc w:val="center"/>
              <w:rPr>
                <w:rFonts w:hint="eastAsia" w:ascii="宋体" w:hAnsi="宋体" w:cs="宋体"/>
                <w:color w:val="auto"/>
                <w:sz w:val="28"/>
                <w:szCs w:val="28"/>
                <w:highlight w:val="none"/>
              </w:rPr>
            </w:pPr>
          </w:p>
        </w:tc>
        <w:tc>
          <w:tcPr>
            <w:tcW w:w="1675" w:type="dxa"/>
            <w:noWrap w:val="0"/>
            <w:vAlign w:val="center"/>
          </w:tcPr>
          <w:p w14:paraId="72AAABD5">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邮政编码</w:t>
            </w:r>
          </w:p>
        </w:tc>
        <w:tc>
          <w:tcPr>
            <w:tcW w:w="2205" w:type="dxa"/>
            <w:noWrap w:val="0"/>
            <w:vAlign w:val="center"/>
          </w:tcPr>
          <w:p w14:paraId="2A48B952">
            <w:pPr>
              <w:pStyle w:val="356"/>
              <w:spacing w:line="600" w:lineRule="exact"/>
              <w:jc w:val="center"/>
              <w:rPr>
                <w:rFonts w:hint="eastAsia" w:ascii="宋体" w:hAnsi="宋体" w:cs="宋体"/>
                <w:color w:val="auto"/>
                <w:sz w:val="28"/>
                <w:szCs w:val="28"/>
                <w:highlight w:val="none"/>
              </w:rPr>
            </w:pPr>
          </w:p>
        </w:tc>
      </w:tr>
      <w:tr w14:paraId="61E87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80" w:type="dxa"/>
            <w:noWrap w:val="0"/>
            <w:vAlign w:val="center"/>
          </w:tcPr>
          <w:p w14:paraId="573DE8B5">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成立时间</w:t>
            </w:r>
          </w:p>
        </w:tc>
        <w:tc>
          <w:tcPr>
            <w:tcW w:w="2664" w:type="dxa"/>
            <w:noWrap w:val="0"/>
            <w:vAlign w:val="center"/>
          </w:tcPr>
          <w:p w14:paraId="1D94CE25">
            <w:pPr>
              <w:pStyle w:val="356"/>
              <w:spacing w:line="600" w:lineRule="exact"/>
              <w:jc w:val="center"/>
              <w:rPr>
                <w:rFonts w:hint="eastAsia" w:ascii="宋体" w:hAnsi="宋体" w:cs="宋体"/>
                <w:color w:val="auto"/>
                <w:sz w:val="28"/>
                <w:szCs w:val="28"/>
                <w:highlight w:val="none"/>
              </w:rPr>
            </w:pPr>
          </w:p>
        </w:tc>
        <w:tc>
          <w:tcPr>
            <w:tcW w:w="1675" w:type="dxa"/>
            <w:noWrap w:val="0"/>
            <w:vAlign w:val="center"/>
          </w:tcPr>
          <w:p w14:paraId="0988CEBE">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单位性质</w:t>
            </w:r>
          </w:p>
        </w:tc>
        <w:tc>
          <w:tcPr>
            <w:tcW w:w="2205" w:type="dxa"/>
            <w:noWrap w:val="0"/>
            <w:vAlign w:val="center"/>
          </w:tcPr>
          <w:p w14:paraId="643BB492">
            <w:pPr>
              <w:pStyle w:val="356"/>
              <w:spacing w:line="600" w:lineRule="exact"/>
              <w:jc w:val="center"/>
              <w:rPr>
                <w:rFonts w:hint="eastAsia" w:ascii="宋体" w:hAnsi="宋体" w:cs="宋体"/>
                <w:color w:val="auto"/>
                <w:sz w:val="28"/>
                <w:szCs w:val="28"/>
                <w:highlight w:val="none"/>
              </w:rPr>
            </w:pPr>
          </w:p>
        </w:tc>
      </w:tr>
      <w:tr w14:paraId="56EB9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80" w:type="dxa"/>
            <w:noWrap w:val="0"/>
            <w:vAlign w:val="center"/>
          </w:tcPr>
          <w:p w14:paraId="398FF466">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注册号或社会信用代码</w:t>
            </w:r>
          </w:p>
        </w:tc>
        <w:tc>
          <w:tcPr>
            <w:tcW w:w="2664" w:type="dxa"/>
            <w:noWrap w:val="0"/>
            <w:vAlign w:val="center"/>
          </w:tcPr>
          <w:p w14:paraId="6DE65D35">
            <w:pPr>
              <w:pStyle w:val="356"/>
              <w:spacing w:line="600" w:lineRule="exact"/>
              <w:jc w:val="center"/>
              <w:rPr>
                <w:rFonts w:hint="eastAsia" w:ascii="宋体" w:hAnsi="宋体" w:cs="宋体"/>
                <w:color w:val="auto"/>
                <w:sz w:val="28"/>
                <w:szCs w:val="28"/>
                <w:highlight w:val="none"/>
              </w:rPr>
            </w:pPr>
          </w:p>
        </w:tc>
        <w:tc>
          <w:tcPr>
            <w:tcW w:w="1675" w:type="dxa"/>
            <w:noWrap w:val="0"/>
            <w:vAlign w:val="center"/>
          </w:tcPr>
          <w:p w14:paraId="57A1D5C2">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注册资本（万元）</w:t>
            </w:r>
          </w:p>
        </w:tc>
        <w:tc>
          <w:tcPr>
            <w:tcW w:w="2205" w:type="dxa"/>
            <w:noWrap w:val="0"/>
            <w:vAlign w:val="center"/>
          </w:tcPr>
          <w:p w14:paraId="224951E5">
            <w:pPr>
              <w:pStyle w:val="356"/>
              <w:spacing w:line="600" w:lineRule="exact"/>
              <w:jc w:val="center"/>
              <w:rPr>
                <w:rFonts w:hint="eastAsia" w:ascii="宋体" w:hAnsi="宋体" w:cs="宋体"/>
                <w:color w:val="auto"/>
                <w:sz w:val="28"/>
                <w:szCs w:val="28"/>
                <w:highlight w:val="none"/>
              </w:rPr>
            </w:pPr>
          </w:p>
        </w:tc>
      </w:tr>
      <w:tr w14:paraId="6B925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80" w:type="dxa"/>
            <w:noWrap w:val="0"/>
            <w:vAlign w:val="center"/>
          </w:tcPr>
          <w:p w14:paraId="66A65100">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投标人类别</w:t>
            </w:r>
          </w:p>
        </w:tc>
        <w:tc>
          <w:tcPr>
            <w:tcW w:w="6544" w:type="dxa"/>
            <w:gridSpan w:val="3"/>
            <w:noWrap w:val="0"/>
            <w:vAlign w:val="center"/>
          </w:tcPr>
          <w:p w14:paraId="51DB2BA0">
            <w:pPr>
              <w:pStyle w:val="356"/>
              <w:spacing w:line="600" w:lineRule="exact"/>
              <w:jc w:val="center"/>
              <w:rPr>
                <w:rFonts w:hint="eastAsia" w:ascii="宋体" w:hAnsi="宋体" w:cs="宋体"/>
                <w:color w:val="auto"/>
                <w:sz w:val="28"/>
                <w:szCs w:val="28"/>
                <w:highlight w:val="none"/>
              </w:rPr>
            </w:pPr>
          </w:p>
        </w:tc>
      </w:tr>
      <w:tr w14:paraId="7CE56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80" w:type="dxa"/>
            <w:noWrap w:val="0"/>
            <w:vAlign w:val="center"/>
          </w:tcPr>
          <w:p w14:paraId="18A650F2">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开户银行</w:t>
            </w:r>
          </w:p>
        </w:tc>
        <w:tc>
          <w:tcPr>
            <w:tcW w:w="2664" w:type="dxa"/>
            <w:noWrap w:val="0"/>
            <w:vAlign w:val="center"/>
          </w:tcPr>
          <w:p w14:paraId="1D6CC626">
            <w:pPr>
              <w:pStyle w:val="356"/>
              <w:spacing w:line="600" w:lineRule="exact"/>
              <w:jc w:val="center"/>
              <w:rPr>
                <w:rFonts w:hint="eastAsia" w:ascii="宋体" w:hAnsi="宋体" w:cs="宋体"/>
                <w:color w:val="auto"/>
                <w:sz w:val="28"/>
                <w:szCs w:val="28"/>
                <w:highlight w:val="none"/>
              </w:rPr>
            </w:pPr>
          </w:p>
        </w:tc>
        <w:tc>
          <w:tcPr>
            <w:tcW w:w="1675" w:type="dxa"/>
            <w:noWrap w:val="0"/>
            <w:vAlign w:val="center"/>
          </w:tcPr>
          <w:p w14:paraId="2B458054">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账号</w:t>
            </w:r>
          </w:p>
        </w:tc>
        <w:tc>
          <w:tcPr>
            <w:tcW w:w="2205" w:type="dxa"/>
            <w:noWrap w:val="0"/>
            <w:vAlign w:val="center"/>
          </w:tcPr>
          <w:p w14:paraId="081537E5">
            <w:pPr>
              <w:pStyle w:val="356"/>
              <w:spacing w:line="600" w:lineRule="exact"/>
              <w:jc w:val="center"/>
              <w:rPr>
                <w:rFonts w:hint="eastAsia" w:ascii="宋体" w:hAnsi="宋体" w:cs="宋体"/>
                <w:color w:val="auto"/>
                <w:sz w:val="28"/>
                <w:szCs w:val="28"/>
                <w:highlight w:val="none"/>
              </w:rPr>
            </w:pPr>
          </w:p>
        </w:tc>
      </w:tr>
      <w:tr w14:paraId="2CFC7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980" w:type="dxa"/>
            <w:noWrap w:val="0"/>
            <w:vAlign w:val="center"/>
          </w:tcPr>
          <w:p w14:paraId="302B17F2">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联系人</w:t>
            </w:r>
          </w:p>
        </w:tc>
        <w:tc>
          <w:tcPr>
            <w:tcW w:w="2664" w:type="dxa"/>
            <w:noWrap w:val="0"/>
            <w:vAlign w:val="center"/>
          </w:tcPr>
          <w:p w14:paraId="476C1412">
            <w:pPr>
              <w:pStyle w:val="356"/>
              <w:spacing w:line="600" w:lineRule="exact"/>
              <w:jc w:val="center"/>
              <w:rPr>
                <w:rFonts w:hint="eastAsia" w:ascii="宋体" w:hAnsi="宋体" w:cs="宋体"/>
                <w:color w:val="auto"/>
                <w:sz w:val="28"/>
                <w:szCs w:val="28"/>
                <w:highlight w:val="none"/>
              </w:rPr>
            </w:pPr>
          </w:p>
        </w:tc>
        <w:tc>
          <w:tcPr>
            <w:tcW w:w="1675" w:type="dxa"/>
            <w:noWrap w:val="0"/>
            <w:vAlign w:val="center"/>
          </w:tcPr>
          <w:p w14:paraId="0CC64E4C">
            <w:pPr>
              <w:pStyle w:val="356"/>
              <w:spacing w:line="60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联系电话</w:t>
            </w:r>
          </w:p>
        </w:tc>
        <w:tc>
          <w:tcPr>
            <w:tcW w:w="2205" w:type="dxa"/>
            <w:noWrap w:val="0"/>
            <w:vAlign w:val="center"/>
          </w:tcPr>
          <w:p w14:paraId="3A082404">
            <w:pPr>
              <w:pStyle w:val="356"/>
              <w:spacing w:line="600" w:lineRule="exact"/>
              <w:jc w:val="center"/>
              <w:rPr>
                <w:rFonts w:hint="eastAsia" w:ascii="宋体" w:hAnsi="宋体" w:cs="宋体"/>
                <w:color w:val="auto"/>
                <w:sz w:val="28"/>
                <w:szCs w:val="28"/>
                <w:highlight w:val="none"/>
              </w:rPr>
            </w:pPr>
          </w:p>
        </w:tc>
      </w:tr>
      <w:tr w14:paraId="7F143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980" w:type="dxa"/>
            <w:noWrap w:val="0"/>
            <w:vAlign w:val="center"/>
          </w:tcPr>
          <w:p w14:paraId="566B522B">
            <w:pPr>
              <w:pStyle w:val="356"/>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经营范围</w:t>
            </w:r>
          </w:p>
        </w:tc>
        <w:tc>
          <w:tcPr>
            <w:tcW w:w="6544" w:type="dxa"/>
            <w:gridSpan w:val="3"/>
            <w:noWrap w:val="0"/>
          </w:tcPr>
          <w:p w14:paraId="42FC6887">
            <w:pPr>
              <w:pStyle w:val="356"/>
              <w:spacing w:line="560" w:lineRule="exact"/>
              <w:ind w:firstLine="1432"/>
              <w:rPr>
                <w:rFonts w:hint="eastAsia" w:ascii="宋体" w:hAnsi="宋体" w:cs="宋体"/>
                <w:color w:val="auto"/>
                <w:sz w:val="28"/>
                <w:szCs w:val="28"/>
                <w:highlight w:val="none"/>
              </w:rPr>
            </w:pPr>
          </w:p>
        </w:tc>
      </w:tr>
      <w:tr w14:paraId="1F351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980" w:type="dxa"/>
            <w:noWrap w:val="0"/>
            <w:vAlign w:val="center"/>
          </w:tcPr>
          <w:p w14:paraId="0E4129D8">
            <w:pPr>
              <w:pStyle w:val="356"/>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tc>
        <w:tc>
          <w:tcPr>
            <w:tcW w:w="6544" w:type="dxa"/>
            <w:gridSpan w:val="3"/>
            <w:noWrap w:val="0"/>
            <w:vAlign w:val="center"/>
          </w:tcPr>
          <w:p w14:paraId="65E671E5">
            <w:pPr>
              <w:pStyle w:val="356"/>
              <w:spacing w:line="500" w:lineRule="exact"/>
              <w:jc w:val="center"/>
              <w:rPr>
                <w:rFonts w:hint="eastAsia" w:ascii="宋体" w:hAnsi="宋体" w:cs="宋体"/>
                <w:color w:val="auto"/>
                <w:sz w:val="28"/>
                <w:szCs w:val="28"/>
                <w:highlight w:val="none"/>
              </w:rPr>
            </w:pPr>
          </w:p>
        </w:tc>
      </w:tr>
    </w:tbl>
    <w:p w14:paraId="6A02CD80">
      <w:pPr>
        <w:spacing w:line="440" w:lineRule="exact"/>
        <w:ind w:firstLine="560"/>
        <w:rPr>
          <w:rFonts w:hint="eastAsia" w:ascii="宋体" w:hAnsi="宋体" w:cs="宋体"/>
          <w:color w:val="auto"/>
          <w:sz w:val="28"/>
          <w:szCs w:val="28"/>
          <w:highlight w:val="none"/>
        </w:rPr>
      </w:pPr>
    </w:p>
    <w:p w14:paraId="243746EA">
      <w:pPr>
        <w:spacing w:line="440" w:lineRule="exact"/>
        <w:ind w:firstLine="560"/>
        <w:rPr>
          <w:rFonts w:hint="eastAsia" w:ascii="宋体" w:hAnsi="宋体" w:cs="宋体"/>
          <w:color w:val="auto"/>
          <w:sz w:val="28"/>
          <w:szCs w:val="28"/>
          <w:highlight w:val="none"/>
        </w:rPr>
      </w:pPr>
    </w:p>
    <w:p w14:paraId="3504616C">
      <w:pPr>
        <w:spacing w:line="440" w:lineRule="exact"/>
        <w:ind w:firstLine="560"/>
        <w:rPr>
          <w:rFonts w:hint="eastAsia" w:ascii="宋体" w:hAnsi="宋体" w:cs="宋体"/>
          <w:color w:val="auto"/>
          <w:sz w:val="28"/>
          <w:szCs w:val="28"/>
          <w:highlight w:val="none"/>
        </w:rPr>
      </w:pPr>
    </w:p>
    <w:p w14:paraId="15F7E0FD">
      <w:pPr>
        <w:pStyle w:val="353"/>
        <w:rPr>
          <w:rFonts w:hint="eastAsia" w:ascii="宋体" w:hAnsi="宋体" w:cs="宋体"/>
          <w:i/>
          <w:color w:val="auto"/>
          <w:sz w:val="28"/>
          <w:szCs w:val="28"/>
          <w:highlight w:val="none"/>
          <w:u w:val="single"/>
        </w:rPr>
      </w:pPr>
    </w:p>
    <w:p w14:paraId="36E49093">
      <w:pPr>
        <w:outlineLvl w:val="1"/>
        <w:rPr>
          <w:rFonts w:hint="eastAsia" w:ascii="宋体" w:hAnsi="宋体" w:cs="宋体"/>
          <w:i/>
          <w:color w:val="auto"/>
          <w:sz w:val="28"/>
          <w:szCs w:val="28"/>
          <w:highlight w:val="none"/>
          <w:u w:val="single"/>
        </w:rPr>
      </w:pPr>
      <w:r>
        <w:rPr>
          <w:rFonts w:hint="eastAsia" w:ascii="宋体" w:hAnsi="宋体" w:cs="宋体"/>
          <w:color w:val="auto"/>
          <w:sz w:val="28"/>
          <w:szCs w:val="28"/>
          <w:highlight w:val="none"/>
        </w:rPr>
        <w:br w:type="page" w:clear="all"/>
      </w:r>
      <w:bookmarkStart w:id="322" w:name="_Toc27808"/>
      <w:bookmarkStart w:id="323" w:name="_Toc13844"/>
      <w:bookmarkStart w:id="324" w:name="_Toc6534"/>
      <w:bookmarkStart w:id="325" w:name="_Toc18104"/>
      <w:r>
        <w:rPr>
          <w:rFonts w:hint="eastAsia" w:ascii="宋体" w:hAnsi="宋体" w:cs="宋体"/>
          <w:b/>
          <w:color w:val="auto"/>
          <w:sz w:val="28"/>
          <w:szCs w:val="28"/>
          <w:highlight w:val="none"/>
        </w:rPr>
        <w:t>三、特定资格要求的证明文件</w:t>
      </w:r>
      <w:bookmarkEnd w:id="322"/>
      <w:bookmarkEnd w:id="323"/>
      <w:bookmarkEnd w:id="324"/>
      <w:bookmarkEnd w:id="325"/>
    </w:p>
    <w:p w14:paraId="5238F0B9">
      <w:pPr>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    如果本项目申请人的特定资格要求中要求提供的，必须提供。</w:t>
      </w:r>
    </w:p>
    <w:p w14:paraId="6E66E965">
      <w:pPr>
        <w:spacing w:line="460" w:lineRule="exact"/>
        <w:rPr>
          <w:rFonts w:hint="eastAsia" w:ascii="宋体" w:hAnsi="宋体" w:cs="宋体"/>
          <w:bCs/>
          <w:color w:val="auto"/>
          <w:sz w:val="28"/>
          <w:szCs w:val="28"/>
          <w:highlight w:val="none"/>
        </w:rPr>
      </w:pPr>
    </w:p>
    <w:p w14:paraId="6122BC2E">
      <w:pPr>
        <w:jc w:val="center"/>
        <w:rPr>
          <w:rFonts w:hint="eastAsia" w:ascii="宋体" w:hAnsi="宋体" w:cs="宋体"/>
          <w:i/>
          <w:color w:val="auto"/>
          <w:sz w:val="28"/>
          <w:szCs w:val="28"/>
          <w:highlight w:val="none"/>
          <w:u w:val="single"/>
        </w:rPr>
      </w:pPr>
    </w:p>
    <w:p w14:paraId="37E8A388">
      <w:pPr>
        <w:jc w:val="center"/>
        <w:rPr>
          <w:rFonts w:hint="eastAsia" w:ascii="宋体" w:hAnsi="宋体" w:cs="宋体"/>
          <w:i/>
          <w:color w:val="auto"/>
          <w:sz w:val="28"/>
          <w:szCs w:val="28"/>
          <w:highlight w:val="none"/>
          <w:u w:val="single"/>
        </w:rPr>
      </w:pPr>
    </w:p>
    <w:p w14:paraId="290EDF50">
      <w:pPr>
        <w:jc w:val="center"/>
        <w:rPr>
          <w:rFonts w:hint="eastAsia" w:ascii="宋体" w:hAnsi="宋体" w:cs="宋体"/>
          <w:i/>
          <w:color w:val="auto"/>
          <w:sz w:val="28"/>
          <w:szCs w:val="28"/>
          <w:highlight w:val="none"/>
          <w:u w:val="single"/>
        </w:rPr>
      </w:pPr>
    </w:p>
    <w:p w14:paraId="4D9E738F">
      <w:pPr>
        <w:jc w:val="center"/>
        <w:rPr>
          <w:rFonts w:hint="eastAsia" w:ascii="宋体" w:hAnsi="宋体" w:cs="宋体"/>
          <w:i/>
          <w:color w:val="auto"/>
          <w:sz w:val="28"/>
          <w:szCs w:val="28"/>
          <w:highlight w:val="none"/>
          <w:u w:val="single"/>
        </w:rPr>
      </w:pPr>
    </w:p>
    <w:p w14:paraId="78135136">
      <w:pPr>
        <w:jc w:val="center"/>
        <w:rPr>
          <w:rFonts w:hint="eastAsia" w:ascii="宋体" w:hAnsi="宋体" w:cs="宋体"/>
          <w:i/>
          <w:color w:val="auto"/>
          <w:sz w:val="28"/>
          <w:szCs w:val="28"/>
          <w:highlight w:val="none"/>
          <w:u w:val="single"/>
        </w:rPr>
      </w:pPr>
    </w:p>
    <w:p w14:paraId="3FFAD4F6">
      <w:pPr>
        <w:pStyle w:val="313"/>
        <w:rPr>
          <w:rFonts w:hint="eastAsia" w:ascii="宋体" w:hAnsi="宋体" w:eastAsia="宋体" w:cs="宋体"/>
          <w:i/>
          <w:color w:val="auto"/>
          <w:sz w:val="28"/>
          <w:szCs w:val="28"/>
          <w:highlight w:val="none"/>
          <w:u w:val="single"/>
          <w:lang w:val="en-US"/>
        </w:rPr>
      </w:pPr>
    </w:p>
    <w:p w14:paraId="7CE6D1AA">
      <w:pPr>
        <w:jc w:val="center"/>
        <w:rPr>
          <w:rFonts w:hint="eastAsia" w:ascii="宋体" w:hAnsi="宋体" w:cs="宋体"/>
          <w:i/>
          <w:color w:val="auto"/>
          <w:sz w:val="28"/>
          <w:szCs w:val="28"/>
          <w:highlight w:val="none"/>
          <w:u w:val="single"/>
        </w:rPr>
      </w:pPr>
    </w:p>
    <w:p w14:paraId="2CF89E9C">
      <w:pPr>
        <w:jc w:val="center"/>
        <w:rPr>
          <w:rFonts w:hint="eastAsia" w:ascii="宋体" w:hAnsi="宋体" w:cs="宋体"/>
          <w:i/>
          <w:color w:val="auto"/>
          <w:sz w:val="28"/>
          <w:szCs w:val="28"/>
          <w:highlight w:val="none"/>
          <w:u w:val="single"/>
        </w:rPr>
      </w:pPr>
    </w:p>
    <w:p w14:paraId="70C82589">
      <w:pPr>
        <w:jc w:val="center"/>
        <w:rPr>
          <w:rFonts w:hint="eastAsia" w:ascii="宋体" w:hAnsi="宋体" w:cs="宋体"/>
          <w:i/>
          <w:color w:val="auto"/>
          <w:sz w:val="28"/>
          <w:szCs w:val="28"/>
          <w:highlight w:val="none"/>
          <w:u w:val="single"/>
        </w:rPr>
      </w:pPr>
    </w:p>
    <w:p w14:paraId="1218EDED">
      <w:pPr>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bookmarkStart w:id="326" w:name="_Toc856"/>
      <w:bookmarkStart w:id="327" w:name="_Toc18084"/>
      <w:bookmarkStart w:id="328" w:name="_Toc3241"/>
      <w:bookmarkStart w:id="329" w:name="_Toc6758"/>
      <w:r>
        <w:rPr>
          <w:rFonts w:hint="eastAsia" w:ascii="宋体" w:hAnsi="宋体" w:cs="宋体"/>
          <w:b/>
          <w:color w:val="auto"/>
          <w:sz w:val="28"/>
          <w:szCs w:val="28"/>
          <w:highlight w:val="none"/>
        </w:rPr>
        <w:t>四、</w:t>
      </w:r>
      <w:bookmarkEnd w:id="326"/>
      <w:r>
        <w:rPr>
          <w:rFonts w:hint="eastAsia" w:ascii="宋体" w:hAnsi="宋体" w:cs="宋体"/>
          <w:b/>
          <w:color w:val="auto"/>
          <w:sz w:val="28"/>
          <w:szCs w:val="28"/>
          <w:highlight w:val="none"/>
        </w:rPr>
        <w:t>法定代表人身份证明或法人授权书</w:t>
      </w:r>
      <w:bookmarkEnd w:id="327"/>
      <w:bookmarkEnd w:id="328"/>
      <w:bookmarkEnd w:id="329"/>
    </w:p>
    <w:p w14:paraId="2434DB27">
      <w:pPr>
        <w:pStyle w:val="324"/>
        <w:ind w:firstLine="480"/>
        <w:rPr>
          <w:rFonts w:hint="eastAsia" w:ascii="宋体" w:hAnsi="宋体" w:cs="宋体"/>
          <w:b/>
          <w:color w:val="auto"/>
          <w:szCs w:val="28"/>
          <w:highlight w:val="none"/>
        </w:rPr>
      </w:pPr>
    </w:p>
    <w:p w14:paraId="450634D6">
      <w:pPr>
        <w:jc w:val="center"/>
        <w:rPr>
          <w:rFonts w:hint="eastAsia" w:ascii="宋体" w:hAnsi="宋体" w:eastAsia="宋体" w:cs="宋体"/>
          <w:iCs/>
          <w:color w:val="auto"/>
          <w:sz w:val="32"/>
          <w:szCs w:val="32"/>
          <w:highlight w:val="none"/>
        </w:rPr>
      </w:pPr>
      <w:r>
        <w:rPr>
          <w:rFonts w:hint="eastAsia" w:ascii="宋体" w:hAnsi="宋体" w:eastAsia="宋体" w:cs="宋体"/>
          <w:iCs/>
          <w:color w:val="auto"/>
          <w:sz w:val="32"/>
          <w:szCs w:val="32"/>
          <w:highlight w:val="none"/>
        </w:rPr>
        <w:t>法定代表人身份证明</w:t>
      </w:r>
    </w:p>
    <w:p w14:paraId="31FAA85E">
      <w:pPr>
        <w:pStyle w:val="417"/>
        <w:spacing w:line="480" w:lineRule="exact"/>
        <w:rPr>
          <w:rFonts w:hint="eastAsia" w:ascii="宋体" w:hAnsi="宋体" w:eastAsia="宋体" w:cs="宋体"/>
          <w:color w:val="auto"/>
          <w:sz w:val="24"/>
          <w:highlight w:val="none"/>
        </w:rPr>
      </w:pPr>
    </w:p>
    <w:p w14:paraId="20EAE4C6">
      <w:pPr>
        <w:pStyle w:val="417"/>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3FA32246">
      <w:pPr>
        <w:pStyle w:val="417"/>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14:paraId="625B8418">
      <w:pPr>
        <w:pStyle w:val="417"/>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r>
        <w:rPr>
          <w:rFonts w:hint="eastAsia" w:ascii="宋体" w:hAnsi="宋体" w:eastAsia="宋体" w:cs="宋体"/>
          <w:color w:val="auto"/>
          <w:sz w:val="24"/>
          <w:highlight w:val="none"/>
          <w:u w:val="single"/>
        </w:rPr>
        <w:t xml:space="preserve">                                   </w:t>
      </w:r>
    </w:p>
    <w:p w14:paraId="21AC0B47">
      <w:pPr>
        <w:pStyle w:val="417"/>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w:t>
      </w:r>
    </w:p>
    <w:p w14:paraId="45D272ED">
      <w:pPr>
        <w:pStyle w:val="417"/>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 xml:space="preserve">                               </w:t>
      </w:r>
    </w:p>
    <w:p w14:paraId="1A0342E9">
      <w:pPr>
        <w:pStyle w:val="417"/>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系</w:t>
      </w:r>
    </w:p>
    <w:p w14:paraId="771A1736">
      <w:pPr>
        <w:pStyle w:val="417"/>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（供应商名称）的法定代表人。</w:t>
      </w:r>
    </w:p>
    <w:p w14:paraId="6636E936">
      <w:pPr>
        <w:pStyle w:val="417"/>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14:paraId="4449C51E">
      <w:pPr>
        <w:pStyle w:val="418"/>
        <w:spacing w:line="6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（附法定代表人</w:t>
      </w:r>
      <w:r>
        <w:rPr>
          <w:rFonts w:hint="eastAsia" w:ascii="宋体" w:hAnsi="宋体" w:eastAsia="宋体" w:cs="宋体"/>
          <w:b/>
          <w:color w:val="auto"/>
          <w:sz w:val="24"/>
          <w:highlight w:val="none"/>
          <w:lang w:val="en-US" w:eastAsia="zh-CN"/>
        </w:rPr>
        <w:t>有效</w:t>
      </w:r>
      <w:r>
        <w:rPr>
          <w:rFonts w:hint="eastAsia" w:ascii="宋体" w:hAnsi="宋体" w:eastAsia="宋体" w:cs="宋体"/>
          <w:b/>
          <w:color w:val="auto"/>
          <w:sz w:val="24"/>
          <w:highlight w:val="none"/>
        </w:rPr>
        <w:t>身份证</w:t>
      </w:r>
      <w:r>
        <w:rPr>
          <w:rFonts w:hint="eastAsia" w:ascii="宋体" w:hAnsi="宋体" w:eastAsia="宋体" w:cs="宋体"/>
          <w:b/>
          <w:color w:val="auto"/>
          <w:sz w:val="24"/>
          <w:highlight w:val="none"/>
          <w:lang w:val="en-US" w:eastAsia="zh-CN"/>
        </w:rPr>
        <w:t>扫描件</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 xml:space="preserve">      </w:t>
      </w:r>
    </w:p>
    <w:p w14:paraId="2FD3CD74">
      <w:pPr>
        <w:pStyle w:val="417"/>
        <w:spacing w:line="480" w:lineRule="exact"/>
        <w:jc w:val="right"/>
        <w:rPr>
          <w:rFonts w:hint="eastAsia" w:ascii="宋体" w:hAnsi="宋体" w:eastAsia="宋体" w:cs="宋体"/>
          <w:color w:val="auto"/>
          <w:sz w:val="24"/>
          <w:highlight w:val="none"/>
        </w:rPr>
      </w:pPr>
    </w:p>
    <w:p w14:paraId="238A5FD3">
      <w:pPr>
        <w:pStyle w:val="417"/>
        <w:spacing w:line="480" w:lineRule="exact"/>
        <w:jc w:val="right"/>
        <w:rPr>
          <w:rFonts w:hint="eastAsia" w:ascii="宋体" w:hAnsi="宋体" w:eastAsia="宋体" w:cs="宋体"/>
          <w:color w:val="auto"/>
          <w:sz w:val="24"/>
          <w:highlight w:val="none"/>
        </w:rPr>
      </w:pPr>
    </w:p>
    <w:p w14:paraId="4493111F">
      <w:pPr>
        <w:pStyle w:val="418"/>
        <w:spacing w:line="700" w:lineRule="exact"/>
        <w:ind w:firstLine="4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u w:val="none"/>
        </w:rPr>
        <w:t>加盖CA电子公章</w:t>
      </w:r>
      <w:r>
        <w:rPr>
          <w:rFonts w:hint="eastAsia" w:ascii="宋体" w:hAnsi="宋体" w:eastAsia="宋体" w:cs="宋体"/>
          <w:color w:val="auto"/>
          <w:sz w:val="24"/>
          <w:highlight w:val="none"/>
        </w:rPr>
        <w:t>）</w:t>
      </w:r>
    </w:p>
    <w:p w14:paraId="287AD9ED">
      <w:pPr>
        <w:pStyle w:val="419"/>
        <w:spacing w:line="560" w:lineRule="exact"/>
        <w:ind w:firstLine="424"/>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05AFC42B">
      <w:pPr>
        <w:pStyle w:val="419"/>
        <w:spacing w:line="560" w:lineRule="exact"/>
        <w:ind w:firstLine="424"/>
        <w:jc w:val="right"/>
        <w:rPr>
          <w:rFonts w:hint="eastAsia" w:ascii="宋体" w:hAnsi="宋体" w:eastAsia="宋体" w:cs="宋体"/>
          <w:iCs/>
          <w:color w:val="auto"/>
          <w:sz w:val="32"/>
          <w:szCs w:val="32"/>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22A5A09A">
      <w:pPr>
        <w:jc w:val="center"/>
        <w:rPr>
          <w:rFonts w:hint="eastAsia" w:ascii="宋体" w:hAnsi="宋体" w:cs="宋体"/>
          <w:b/>
          <w:color w:val="auto"/>
          <w:szCs w:val="28"/>
          <w:highlight w:val="none"/>
        </w:rPr>
      </w:pPr>
      <w:r>
        <w:rPr>
          <w:rFonts w:hint="eastAsia" w:ascii="宋体" w:hAnsi="宋体" w:cs="宋体"/>
          <w:b/>
          <w:color w:val="auto"/>
          <w:szCs w:val="28"/>
          <w:highlight w:val="none"/>
        </w:rPr>
        <w:br w:type="page" w:clear="all"/>
      </w:r>
    </w:p>
    <w:p w14:paraId="43B9C82F">
      <w:pPr>
        <w:pStyle w:val="324"/>
        <w:ind w:firstLine="0"/>
        <w:jc w:val="center"/>
        <w:rPr>
          <w:rFonts w:hint="eastAsia" w:ascii="宋体" w:hAnsi="宋体" w:cs="宋体"/>
          <w:color w:val="auto"/>
          <w:szCs w:val="28"/>
          <w:highlight w:val="none"/>
        </w:rPr>
      </w:pPr>
      <w:r>
        <w:rPr>
          <w:rFonts w:hint="eastAsia" w:ascii="宋体" w:hAnsi="宋体" w:cs="宋体"/>
          <w:b/>
          <w:color w:val="auto"/>
          <w:szCs w:val="28"/>
          <w:highlight w:val="none"/>
        </w:rPr>
        <w:t>法人授权书</w:t>
      </w:r>
    </w:p>
    <w:p w14:paraId="23259D01">
      <w:pPr>
        <w:pStyle w:val="324"/>
        <w:ind w:firstLine="480"/>
        <w:rPr>
          <w:rFonts w:hint="eastAsia" w:ascii="宋体" w:hAnsi="宋体" w:cs="宋体"/>
          <w:color w:val="auto"/>
          <w:szCs w:val="28"/>
          <w:highlight w:val="none"/>
        </w:rPr>
      </w:pPr>
    </w:p>
    <w:p w14:paraId="6861453B">
      <w:pPr>
        <w:pStyle w:val="324"/>
        <w:spacing w:line="500" w:lineRule="exact"/>
        <w:ind w:firstLine="480"/>
        <w:rPr>
          <w:rFonts w:hint="eastAsia" w:ascii="宋体" w:hAnsi="宋体" w:cs="宋体"/>
          <w:color w:val="auto"/>
          <w:szCs w:val="28"/>
          <w:highlight w:val="none"/>
        </w:rPr>
      </w:pPr>
      <w:r>
        <w:rPr>
          <w:rFonts w:hint="eastAsia" w:ascii="宋体" w:hAnsi="宋体" w:cs="宋体"/>
          <w:color w:val="auto"/>
          <w:szCs w:val="28"/>
          <w:highlight w:val="none"/>
        </w:rPr>
        <w:t>本授权书声明：</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（投标人名称）授权 </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（被授权人的姓名）为我方就</w:t>
      </w:r>
      <w:r>
        <w:rPr>
          <w:rFonts w:hint="eastAsia" w:ascii="宋体" w:hAnsi="宋体" w:cs="宋体"/>
          <w:color w:val="auto"/>
          <w:szCs w:val="28"/>
          <w:highlight w:val="none"/>
          <w:u w:val="single"/>
          <w:lang w:eastAsia="zh-CN"/>
        </w:rPr>
        <w:t>JSZC-321300-SQDJ-G2026-0007</w:t>
      </w:r>
      <w:r>
        <w:rPr>
          <w:rFonts w:hint="eastAsia" w:ascii="宋体" w:hAnsi="宋体" w:cs="宋体"/>
          <w:color w:val="auto"/>
          <w:szCs w:val="28"/>
          <w:highlight w:val="none"/>
        </w:rPr>
        <w:t>的</w:t>
      </w:r>
      <w:r>
        <w:rPr>
          <w:rFonts w:hint="eastAsia" w:ascii="宋体" w:hAnsi="宋体" w:cs="宋体"/>
          <w:color w:val="auto"/>
          <w:szCs w:val="28"/>
          <w:highlight w:val="none"/>
          <w:u w:val="single"/>
        </w:rPr>
        <w:t>宿迁市“苏政源”数字资源底座落地实施项目</w:t>
      </w:r>
      <w:r>
        <w:rPr>
          <w:rFonts w:hint="eastAsia" w:ascii="宋体" w:hAnsi="宋体" w:cs="宋体"/>
          <w:color w:val="auto"/>
          <w:szCs w:val="28"/>
          <w:highlight w:val="none"/>
        </w:rPr>
        <w:t>采购活动的合法代理人，以本单位名义全权处理一切与该项目采购有关的事务。</w:t>
      </w:r>
    </w:p>
    <w:p w14:paraId="453C10CB">
      <w:pPr>
        <w:pStyle w:val="324"/>
        <w:spacing w:line="500" w:lineRule="exact"/>
        <w:ind w:firstLine="480"/>
        <w:rPr>
          <w:rFonts w:hint="eastAsia" w:ascii="宋体" w:hAnsi="宋体" w:cs="宋体"/>
          <w:color w:val="auto"/>
          <w:szCs w:val="28"/>
          <w:highlight w:val="none"/>
        </w:rPr>
      </w:pPr>
      <w:r>
        <w:rPr>
          <w:rFonts w:hint="eastAsia" w:ascii="宋体" w:hAnsi="宋体" w:cs="宋体"/>
          <w:color w:val="auto"/>
          <w:szCs w:val="28"/>
          <w:highlight w:val="none"/>
        </w:rPr>
        <w:t>本授权书于______年____月____日起生效，特此声明。</w:t>
      </w:r>
    </w:p>
    <w:p w14:paraId="712A891E">
      <w:pPr>
        <w:pStyle w:val="324"/>
        <w:spacing w:line="500" w:lineRule="exact"/>
        <w:ind w:firstLine="0"/>
        <w:rPr>
          <w:rFonts w:hint="eastAsia" w:ascii="宋体" w:hAnsi="宋体" w:cs="宋体"/>
          <w:color w:val="auto"/>
          <w:szCs w:val="28"/>
          <w:highlight w:val="none"/>
        </w:rPr>
      </w:pPr>
      <w:r>
        <w:rPr>
          <w:rFonts w:hint="eastAsia" w:ascii="宋体" w:hAnsi="宋体" w:cs="宋体"/>
          <w:color w:val="auto"/>
          <w:szCs w:val="28"/>
          <w:highlight w:val="none"/>
        </w:rPr>
        <w:t xml:space="preserve">          </w:t>
      </w:r>
    </w:p>
    <w:p w14:paraId="7F4D5ABA">
      <w:pPr>
        <w:pStyle w:val="324"/>
        <w:spacing w:line="500" w:lineRule="exact"/>
        <w:ind w:firstLine="0"/>
        <w:rPr>
          <w:rFonts w:hint="eastAsia" w:ascii="宋体" w:hAnsi="宋体" w:cs="宋体"/>
          <w:color w:val="auto"/>
          <w:szCs w:val="28"/>
          <w:highlight w:val="none"/>
        </w:rPr>
      </w:pPr>
    </w:p>
    <w:p w14:paraId="6A4CD843">
      <w:pPr>
        <w:pStyle w:val="324"/>
        <w:spacing w:line="500" w:lineRule="exact"/>
        <w:ind w:firstLine="0"/>
        <w:rPr>
          <w:rFonts w:hint="eastAsia" w:ascii="宋体" w:hAnsi="宋体" w:cs="宋体"/>
          <w:color w:val="auto"/>
          <w:szCs w:val="28"/>
          <w:highlight w:val="none"/>
        </w:rPr>
      </w:pPr>
    </w:p>
    <w:p w14:paraId="51B956A4">
      <w:pPr>
        <w:pStyle w:val="324"/>
        <w:spacing w:line="500" w:lineRule="exact"/>
        <w:ind w:firstLine="560"/>
        <w:rPr>
          <w:rFonts w:hint="eastAsia" w:ascii="宋体" w:hAnsi="宋体" w:cs="宋体"/>
          <w:color w:val="auto"/>
          <w:szCs w:val="28"/>
          <w:highlight w:val="none"/>
          <w:u w:val="single"/>
        </w:rPr>
      </w:pPr>
      <w:r>
        <w:rPr>
          <w:rFonts w:hint="eastAsia" w:ascii="宋体" w:hAnsi="宋体" w:cs="宋体"/>
          <w:color w:val="auto"/>
          <w:szCs w:val="28"/>
          <w:highlight w:val="none"/>
        </w:rPr>
        <w:t>被授权人身份证号码：</w:t>
      </w:r>
      <w:r>
        <w:rPr>
          <w:rFonts w:hint="eastAsia" w:ascii="宋体" w:hAnsi="宋体" w:cs="宋体"/>
          <w:color w:val="auto"/>
          <w:szCs w:val="28"/>
          <w:highlight w:val="none"/>
          <w:u w:val="single"/>
        </w:rPr>
        <w:t xml:space="preserve">                              </w:t>
      </w:r>
    </w:p>
    <w:p w14:paraId="60600A2C">
      <w:pPr>
        <w:pStyle w:val="324"/>
        <w:spacing w:line="500" w:lineRule="exact"/>
        <w:ind w:firstLine="560"/>
        <w:rPr>
          <w:rFonts w:hint="eastAsia" w:ascii="宋体" w:hAnsi="宋体" w:cs="宋体"/>
          <w:color w:val="auto"/>
          <w:szCs w:val="28"/>
          <w:highlight w:val="none"/>
          <w:u w:val="single"/>
        </w:rPr>
      </w:pPr>
      <w:r>
        <w:rPr>
          <w:rFonts w:hint="eastAsia" w:ascii="宋体" w:hAnsi="宋体" w:cs="宋体"/>
          <w:color w:val="auto"/>
          <w:szCs w:val="28"/>
          <w:highlight w:val="none"/>
        </w:rPr>
        <w:t>被授权人联系电话：（手机）</w:t>
      </w:r>
      <w:r>
        <w:rPr>
          <w:rFonts w:hint="eastAsia" w:ascii="宋体" w:hAnsi="宋体" w:cs="宋体"/>
          <w:color w:val="auto"/>
          <w:szCs w:val="28"/>
          <w:highlight w:val="none"/>
          <w:u w:val="single"/>
        </w:rPr>
        <w:t xml:space="preserve">                          </w:t>
      </w:r>
    </w:p>
    <w:p w14:paraId="4EAB53C9">
      <w:pPr>
        <w:pStyle w:val="324"/>
        <w:spacing w:line="500" w:lineRule="exact"/>
        <w:ind w:firstLine="560"/>
        <w:rPr>
          <w:rFonts w:hint="eastAsia" w:ascii="宋体" w:hAnsi="宋体" w:cs="宋体"/>
          <w:color w:val="auto"/>
          <w:szCs w:val="28"/>
          <w:highlight w:val="none"/>
          <w:u w:val="single"/>
        </w:rPr>
      </w:pPr>
      <w:r>
        <w:rPr>
          <w:rFonts w:hint="eastAsia" w:ascii="宋体" w:hAnsi="宋体" w:cs="宋体"/>
          <w:color w:val="auto"/>
          <w:szCs w:val="28"/>
          <w:highlight w:val="none"/>
        </w:rPr>
        <w:t>授权单位名称：</w:t>
      </w:r>
      <w:r>
        <w:rPr>
          <w:rFonts w:hint="eastAsia" w:ascii="宋体" w:hAnsi="宋体" w:cs="宋体"/>
          <w:color w:val="auto"/>
          <w:szCs w:val="28"/>
          <w:highlight w:val="none"/>
          <w:u w:val="single"/>
        </w:rPr>
        <w:t>（加盖CA电子公章）</w:t>
      </w:r>
    </w:p>
    <w:p w14:paraId="4A13D148">
      <w:pPr>
        <w:pStyle w:val="324"/>
        <w:spacing w:line="500" w:lineRule="exact"/>
        <w:ind w:firstLine="560"/>
        <w:rPr>
          <w:rFonts w:hint="eastAsia" w:ascii="宋体" w:hAnsi="宋体" w:cs="宋体"/>
          <w:color w:val="auto"/>
          <w:szCs w:val="28"/>
          <w:highlight w:val="none"/>
          <w:u w:val="single"/>
        </w:rPr>
      </w:pPr>
      <w:r>
        <w:rPr>
          <w:rFonts w:hint="eastAsia" w:ascii="宋体" w:hAnsi="宋体" w:cs="宋体"/>
          <w:color w:val="auto"/>
          <w:szCs w:val="28"/>
          <w:highlight w:val="none"/>
        </w:rPr>
        <w:t>单位地址：</w:t>
      </w:r>
      <w:r>
        <w:rPr>
          <w:rFonts w:hint="eastAsia" w:ascii="宋体" w:hAnsi="宋体" w:cs="宋体"/>
          <w:color w:val="auto"/>
          <w:szCs w:val="28"/>
          <w:highlight w:val="none"/>
          <w:u w:val="single"/>
        </w:rPr>
        <w:t xml:space="preserve">                                         </w:t>
      </w:r>
    </w:p>
    <w:p w14:paraId="0AA8F1FF">
      <w:pPr>
        <w:pStyle w:val="324"/>
        <w:spacing w:line="500" w:lineRule="exact"/>
        <w:ind w:firstLine="560"/>
        <w:rPr>
          <w:rFonts w:hint="eastAsia" w:ascii="宋体" w:hAnsi="宋体" w:cs="宋体"/>
          <w:color w:val="auto"/>
          <w:szCs w:val="28"/>
          <w:highlight w:val="none"/>
        </w:rPr>
      </w:pPr>
      <w:r>
        <w:rPr>
          <w:rFonts w:hint="eastAsia" w:ascii="宋体" w:hAnsi="宋体" w:cs="宋体"/>
          <w:color w:val="auto"/>
          <w:szCs w:val="28"/>
          <w:highlight w:val="none"/>
        </w:rPr>
        <w:t>日期：</w:t>
      </w:r>
      <w:bookmarkStart w:id="330" w:name="_格式3__银行出具的资信证明"/>
      <w:bookmarkEnd w:id="330"/>
      <w:bookmarkStart w:id="331" w:name="_Hlt26955070"/>
      <w:bookmarkEnd w:id="331"/>
      <w:bookmarkStart w:id="332" w:name="_Hlt26671380"/>
      <w:bookmarkEnd w:id="332"/>
      <w:r>
        <w:rPr>
          <w:rFonts w:hint="eastAsia" w:ascii="宋体" w:hAnsi="宋体" w:cs="宋体"/>
          <w:color w:val="auto"/>
          <w:szCs w:val="28"/>
          <w:highlight w:val="none"/>
          <w:u w:val="single"/>
        </w:rPr>
        <w:t xml:space="preserve">                                         </w:t>
      </w:r>
    </w:p>
    <w:p w14:paraId="56DB2EF1">
      <w:pPr>
        <w:pStyle w:val="231"/>
        <w:rPr>
          <w:rFonts w:hint="eastAsia" w:ascii="宋体" w:hAnsi="宋体" w:cs="宋体"/>
          <w:i/>
          <w:color w:val="auto"/>
          <w:sz w:val="28"/>
          <w:szCs w:val="28"/>
          <w:highlight w:val="none"/>
          <w:u w:val="single"/>
        </w:rPr>
      </w:pPr>
    </w:p>
    <w:p w14:paraId="78855893">
      <w:pPr>
        <w:pStyle w:val="231"/>
        <w:ind w:firstLine="0"/>
        <w:rPr>
          <w:rFonts w:hint="eastAsia" w:ascii="宋体" w:hAnsi="宋体" w:cs="宋体"/>
          <w:color w:val="auto"/>
          <w:sz w:val="28"/>
          <w:szCs w:val="28"/>
          <w:highlight w:val="none"/>
        </w:rPr>
      </w:pPr>
    </w:p>
    <w:p w14:paraId="4D37DDD1">
      <w:pPr>
        <w:spacing w:line="460" w:lineRule="exact"/>
        <w:rPr>
          <w:rFonts w:hint="eastAsia" w:ascii="宋体" w:hAnsi="宋体" w:cs="宋体"/>
          <w:bCs/>
          <w:color w:val="auto"/>
          <w:sz w:val="28"/>
          <w:szCs w:val="28"/>
          <w:highlight w:val="none"/>
        </w:rPr>
      </w:pPr>
    </w:p>
    <w:p w14:paraId="1EAFA524">
      <w:pPr>
        <w:spacing w:line="460" w:lineRule="exact"/>
        <w:rPr>
          <w:rFonts w:hint="eastAsia" w:ascii="宋体" w:hAnsi="宋体" w:cs="宋体"/>
          <w:bCs/>
          <w:color w:val="auto"/>
          <w:sz w:val="28"/>
          <w:szCs w:val="28"/>
          <w:highlight w:val="none"/>
        </w:rPr>
      </w:pPr>
    </w:p>
    <w:p w14:paraId="636099F7">
      <w:pPr>
        <w:outlineLvl w:val="1"/>
        <w:rPr>
          <w:rFonts w:hint="eastAsia" w:ascii="宋体" w:hAnsi="宋体" w:cs="宋体"/>
          <w:color w:val="auto"/>
          <w:sz w:val="28"/>
          <w:szCs w:val="28"/>
          <w:highlight w:val="none"/>
        </w:rPr>
      </w:pPr>
      <w:r>
        <w:rPr>
          <w:rFonts w:hint="eastAsia" w:ascii="宋体" w:hAnsi="宋体" w:cs="宋体"/>
          <w:bCs/>
          <w:color w:val="auto"/>
          <w:sz w:val="28"/>
          <w:szCs w:val="28"/>
          <w:highlight w:val="none"/>
        </w:rPr>
        <w:br w:type="page" w:clear="all"/>
      </w:r>
      <w:bookmarkStart w:id="333" w:name="_Toc30190"/>
      <w:bookmarkStart w:id="334" w:name="_Toc2479"/>
      <w:bookmarkStart w:id="335" w:name="_Toc31374"/>
      <w:bookmarkStart w:id="336" w:name="_Toc18321"/>
      <w:r>
        <w:rPr>
          <w:rFonts w:hint="eastAsia" w:ascii="宋体" w:hAnsi="宋体" w:cs="宋体"/>
          <w:b/>
          <w:color w:val="auto"/>
          <w:sz w:val="28"/>
          <w:szCs w:val="28"/>
          <w:highlight w:val="none"/>
        </w:rPr>
        <w:t>五、开标一览表</w:t>
      </w:r>
      <w:bookmarkEnd w:id="333"/>
      <w:bookmarkEnd w:id="334"/>
      <w:bookmarkEnd w:id="335"/>
      <w:bookmarkEnd w:id="336"/>
    </w:p>
    <w:p w14:paraId="6481611D">
      <w:pPr>
        <w:ind w:firstLine="480"/>
        <w:rPr>
          <w:rFonts w:hint="eastAsia" w:ascii="宋体" w:hAnsi="宋体" w:cs="宋体"/>
          <w:color w:val="auto"/>
          <w:sz w:val="28"/>
          <w:szCs w:val="28"/>
          <w:highlight w:val="none"/>
        </w:rPr>
      </w:pPr>
    </w:p>
    <w:p w14:paraId="20DA7D29">
      <w:pPr>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开标一览表</w:t>
      </w:r>
    </w:p>
    <w:p w14:paraId="0213A998">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投标人全称（加盖CA电子签章）：</w:t>
      </w:r>
    </w:p>
    <w:p w14:paraId="611CF081">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项目名称：宿迁市“苏政源”数字资源底座落地实施项目</w:t>
      </w:r>
    </w:p>
    <w:p w14:paraId="120D5E9D">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项目编号：</w:t>
      </w:r>
      <w:r>
        <w:rPr>
          <w:rFonts w:hint="eastAsia" w:ascii="宋体" w:hAnsi="宋体" w:cs="宋体"/>
          <w:color w:val="auto"/>
          <w:sz w:val="28"/>
          <w:szCs w:val="28"/>
          <w:highlight w:val="none"/>
          <w:lang w:eastAsia="zh-CN"/>
        </w:rPr>
        <w:t>JSZC-321300-SQDJ-G2026-0007</w:t>
      </w:r>
      <w:r>
        <w:rPr>
          <w:rFonts w:hint="eastAsia" w:ascii="宋体" w:hAnsi="宋体" w:cs="宋体"/>
          <w:color w:val="auto"/>
          <w:sz w:val="28"/>
          <w:szCs w:val="28"/>
          <w:highlight w:val="none"/>
        </w:rPr>
        <w:t xml:space="preserve">                      </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02C8F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206" w:type="dxa"/>
            <w:noWrap w:val="0"/>
            <w:vAlign w:val="center"/>
          </w:tcPr>
          <w:p w14:paraId="27D029C1">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投标总报价</w:t>
            </w:r>
          </w:p>
        </w:tc>
      </w:tr>
      <w:tr w14:paraId="45CE8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206" w:type="dxa"/>
            <w:noWrap w:val="0"/>
            <w:vAlign w:val="center"/>
          </w:tcPr>
          <w:p w14:paraId="4A3ABD5E">
            <w:pPr>
              <w:pStyle w:val="326"/>
              <w:spacing w:before="0" w:after="0" w:line="500" w:lineRule="exact"/>
              <w:ind w:firstLine="0"/>
              <w:rPr>
                <w:rFonts w:hint="eastAsia" w:ascii="宋体" w:hAnsi="宋体" w:cs="宋体"/>
                <w:color w:val="auto"/>
                <w:sz w:val="28"/>
                <w:szCs w:val="28"/>
                <w:highlight w:val="none"/>
              </w:rPr>
            </w:pPr>
            <w:r>
              <w:rPr>
                <w:rFonts w:hint="eastAsia" w:ascii="宋体" w:hAnsi="宋体" w:cs="宋体"/>
                <w:color w:val="auto"/>
                <w:sz w:val="28"/>
                <w:szCs w:val="28"/>
                <w:highlight w:val="none"/>
              </w:rPr>
              <w:t>小写：                             （人民币：元）</w:t>
            </w:r>
          </w:p>
        </w:tc>
      </w:tr>
    </w:tbl>
    <w:p w14:paraId="6AEAAD1E">
      <w:pPr>
        <w:rPr>
          <w:rFonts w:hint="eastAsia" w:ascii="宋体" w:hAnsi="宋体" w:cs="宋体"/>
          <w:color w:val="auto"/>
          <w:sz w:val="28"/>
          <w:szCs w:val="28"/>
          <w:highlight w:val="none"/>
        </w:rPr>
      </w:pPr>
    </w:p>
    <w:p w14:paraId="4DC7975B">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日期：  </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日</w:t>
      </w:r>
    </w:p>
    <w:p w14:paraId="222D467A">
      <w:pPr>
        <w:ind w:firstLine="480"/>
        <w:rPr>
          <w:rFonts w:hint="eastAsia" w:ascii="宋体" w:hAnsi="宋体" w:cs="宋体"/>
          <w:color w:val="auto"/>
          <w:sz w:val="28"/>
          <w:szCs w:val="28"/>
          <w:highlight w:val="none"/>
        </w:rPr>
      </w:pPr>
    </w:p>
    <w:p w14:paraId="4E44295E">
      <w:pPr>
        <w:ind w:firstLine="480"/>
        <w:rPr>
          <w:rFonts w:hint="eastAsia" w:ascii="宋体" w:hAnsi="宋体" w:cs="宋体"/>
          <w:color w:val="auto"/>
          <w:sz w:val="28"/>
          <w:szCs w:val="28"/>
          <w:highlight w:val="none"/>
        </w:rPr>
      </w:pPr>
    </w:p>
    <w:p w14:paraId="333D29FE">
      <w:pPr>
        <w:ind w:firstLine="480"/>
        <w:rPr>
          <w:rFonts w:hint="eastAsia" w:ascii="宋体" w:hAnsi="宋体" w:cs="宋体"/>
          <w:color w:val="auto"/>
          <w:sz w:val="28"/>
          <w:szCs w:val="28"/>
          <w:highlight w:val="none"/>
        </w:rPr>
      </w:pPr>
    </w:p>
    <w:p w14:paraId="25327377">
      <w:pPr>
        <w:rPr>
          <w:rFonts w:hint="eastAsia" w:ascii="宋体" w:hAnsi="宋体" w:cs="宋体"/>
          <w:color w:val="auto"/>
          <w:sz w:val="28"/>
          <w:szCs w:val="28"/>
          <w:highlight w:val="none"/>
        </w:rPr>
      </w:pPr>
    </w:p>
    <w:p w14:paraId="42E851A4">
      <w:pPr>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62503322">
      <w:pPr>
        <w:jc w:val="center"/>
        <w:rPr>
          <w:rFonts w:hint="eastAsia" w:ascii="宋体" w:hAnsi="宋体" w:cs="宋体"/>
          <w:b/>
          <w:bCs/>
          <w:color w:val="auto"/>
          <w:sz w:val="28"/>
          <w:szCs w:val="28"/>
          <w:highlight w:val="none"/>
        </w:rPr>
      </w:pPr>
    </w:p>
    <w:p w14:paraId="7F89E5E0">
      <w:pPr>
        <w:rPr>
          <w:rFonts w:hint="eastAsia" w:ascii="宋体" w:hAnsi="宋体" w:cs="宋体"/>
          <w:color w:val="auto"/>
          <w:sz w:val="28"/>
          <w:szCs w:val="28"/>
          <w:highlight w:val="none"/>
        </w:rPr>
      </w:pPr>
    </w:p>
    <w:p w14:paraId="1C4B09C1">
      <w:pPr>
        <w:spacing w:before="146" w:after="146" w:line="460" w:lineRule="exact"/>
        <w:jc w:val="center"/>
        <w:rPr>
          <w:rFonts w:hint="eastAsia" w:ascii="宋体" w:hAnsi="宋体" w:cs="宋体"/>
          <w:b/>
          <w:color w:val="auto"/>
          <w:sz w:val="32"/>
          <w:szCs w:val="32"/>
          <w:highlight w:val="none"/>
        </w:rPr>
      </w:pPr>
      <w:r>
        <w:rPr>
          <w:rFonts w:hint="eastAsia" w:ascii="宋体" w:hAnsi="宋体" w:cs="宋体"/>
          <w:strike/>
          <w:color w:val="auto"/>
          <w:sz w:val="28"/>
          <w:szCs w:val="28"/>
          <w:highlight w:val="none"/>
        </w:rPr>
        <w:br w:type="page" w:clear="all"/>
      </w:r>
      <w:r>
        <w:rPr>
          <w:rFonts w:hint="eastAsia" w:ascii="宋体" w:hAnsi="宋体" w:cs="宋体"/>
          <w:b/>
          <w:color w:val="auto"/>
          <w:sz w:val="32"/>
          <w:szCs w:val="32"/>
          <w:highlight w:val="none"/>
        </w:rPr>
        <w:t>分项报价表（服务类）</w:t>
      </w:r>
    </w:p>
    <w:tbl>
      <w:tblPr>
        <w:tblStyle w:val="35"/>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2110"/>
        <w:gridCol w:w="1459"/>
        <w:gridCol w:w="1022"/>
        <w:gridCol w:w="1650"/>
        <w:gridCol w:w="1228"/>
      </w:tblGrid>
      <w:tr w14:paraId="38032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exact"/>
          <w:jc w:val="center"/>
        </w:trPr>
        <w:tc>
          <w:tcPr>
            <w:tcW w:w="919" w:type="dxa"/>
            <w:noWrap w:val="0"/>
            <w:vAlign w:val="center"/>
          </w:tcPr>
          <w:p w14:paraId="3CAFFB73">
            <w:pPr>
              <w:spacing w:line="32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序号</w:t>
            </w:r>
          </w:p>
        </w:tc>
        <w:tc>
          <w:tcPr>
            <w:tcW w:w="2110" w:type="dxa"/>
            <w:noWrap w:val="0"/>
            <w:vAlign w:val="center"/>
          </w:tcPr>
          <w:p w14:paraId="0909180F">
            <w:pPr>
              <w:spacing w:line="32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费用名称及简述</w:t>
            </w:r>
          </w:p>
        </w:tc>
        <w:tc>
          <w:tcPr>
            <w:tcW w:w="1459" w:type="dxa"/>
            <w:noWrap w:val="0"/>
            <w:vAlign w:val="center"/>
          </w:tcPr>
          <w:p w14:paraId="18222E23">
            <w:pPr>
              <w:spacing w:line="32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单价（元）</w:t>
            </w:r>
          </w:p>
        </w:tc>
        <w:tc>
          <w:tcPr>
            <w:tcW w:w="1022" w:type="dxa"/>
            <w:noWrap w:val="0"/>
            <w:vAlign w:val="center"/>
          </w:tcPr>
          <w:p w14:paraId="492E2317">
            <w:pPr>
              <w:spacing w:line="32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数量及单位</w:t>
            </w:r>
          </w:p>
        </w:tc>
        <w:tc>
          <w:tcPr>
            <w:tcW w:w="1650" w:type="dxa"/>
            <w:noWrap w:val="0"/>
            <w:vAlign w:val="center"/>
          </w:tcPr>
          <w:p w14:paraId="7DB0D1DC">
            <w:pPr>
              <w:spacing w:line="32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合价（元）</w:t>
            </w:r>
          </w:p>
        </w:tc>
        <w:tc>
          <w:tcPr>
            <w:tcW w:w="1228" w:type="dxa"/>
            <w:noWrap w:val="0"/>
            <w:vAlign w:val="center"/>
          </w:tcPr>
          <w:p w14:paraId="239C557F">
            <w:pPr>
              <w:spacing w:line="320" w:lineRule="exact"/>
              <w:jc w:val="center"/>
              <w:rPr>
                <w:rFonts w:hint="eastAsia" w:ascii="宋体" w:hAnsi="宋体" w:cs="宋体"/>
                <w:bCs/>
                <w:color w:val="auto"/>
                <w:sz w:val="24"/>
                <w:szCs w:val="24"/>
                <w:highlight w:val="none"/>
              </w:rPr>
            </w:pPr>
            <w:r>
              <w:rPr>
                <w:rFonts w:hint="eastAsia" w:ascii="宋体" w:hAnsi="宋体" w:cs="宋体"/>
                <w:bCs/>
                <w:color w:val="auto"/>
                <w:sz w:val="24"/>
                <w:szCs w:val="24"/>
                <w:highlight w:val="none"/>
              </w:rPr>
              <w:t>备注</w:t>
            </w:r>
          </w:p>
        </w:tc>
      </w:tr>
      <w:tr w14:paraId="54A7C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9" w:type="dxa"/>
            <w:noWrap w:val="0"/>
            <w:vAlign w:val="center"/>
          </w:tcPr>
          <w:p w14:paraId="48D993F3">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110" w:type="dxa"/>
            <w:noWrap w:val="0"/>
            <w:vAlign w:val="center"/>
          </w:tcPr>
          <w:p w14:paraId="30B58C81">
            <w:pPr>
              <w:spacing w:line="320" w:lineRule="exact"/>
              <w:jc w:val="center"/>
              <w:rPr>
                <w:rFonts w:hint="eastAsia" w:ascii="宋体" w:hAnsi="宋体" w:cs="宋体"/>
                <w:color w:val="auto"/>
                <w:sz w:val="24"/>
                <w:szCs w:val="24"/>
                <w:highlight w:val="none"/>
              </w:rPr>
            </w:pPr>
          </w:p>
        </w:tc>
        <w:tc>
          <w:tcPr>
            <w:tcW w:w="1459" w:type="dxa"/>
            <w:noWrap w:val="0"/>
            <w:vAlign w:val="center"/>
          </w:tcPr>
          <w:p w14:paraId="5986B2F6">
            <w:pPr>
              <w:spacing w:line="320" w:lineRule="exact"/>
              <w:jc w:val="center"/>
              <w:rPr>
                <w:rFonts w:hint="eastAsia" w:ascii="宋体" w:hAnsi="宋体" w:cs="宋体"/>
                <w:color w:val="auto"/>
                <w:sz w:val="24"/>
                <w:szCs w:val="24"/>
                <w:highlight w:val="none"/>
              </w:rPr>
            </w:pPr>
          </w:p>
        </w:tc>
        <w:tc>
          <w:tcPr>
            <w:tcW w:w="1022" w:type="dxa"/>
            <w:noWrap w:val="0"/>
          </w:tcPr>
          <w:p w14:paraId="7759B4F9">
            <w:pPr>
              <w:spacing w:line="320" w:lineRule="exact"/>
              <w:jc w:val="center"/>
              <w:rPr>
                <w:rFonts w:hint="eastAsia" w:ascii="宋体" w:hAnsi="宋体" w:cs="宋体"/>
                <w:color w:val="auto"/>
                <w:sz w:val="24"/>
                <w:szCs w:val="24"/>
                <w:highlight w:val="none"/>
              </w:rPr>
            </w:pPr>
          </w:p>
        </w:tc>
        <w:tc>
          <w:tcPr>
            <w:tcW w:w="1650" w:type="dxa"/>
            <w:noWrap w:val="0"/>
          </w:tcPr>
          <w:p w14:paraId="506A3C09">
            <w:pPr>
              <w:spacing w:line="320" w:lineRule="exact"/>
              <w:jc w:val="center"/>
              <w:rPr>
                <w:rFonts w:hint="eastAsia" w:ascii="宋体" w:hAnsi="宋体" w:cs="宋体"/>
                <w:color w:val="auto"/>
                <w:sz w:val="24"/>
                <w:szCs w:val="24"/>
                <w:highlight w:val="none"/>
              </w:rPr>
            </w:pPr>
          </w:p>
        </w:tc>
        <w:tc>
          <w:tcPr>
            <w:tcW w:w="1228" w:type="dxa"/>
            <w:noWrap w:val="0"/>
          </w:tcPr>
          <w:p w14:paraId="3B1B81DF">
            <w:pPr>
              <w:spacing w:line="320" w:lineRule="exact"/>
              <w:jc w:val="center"/>
              <w:rPr>
                <w:rFonts w:hint="eastAsia" w:ascii="宋体" w:hAnsi="宋体" w:cs="宋体"/>
                <w:color w:val="auto"/>
                <w:sz w:val="24"/>
                <w:szCs w:val="24"/>
                <w:highlight w:val="none"/>
              </w:rPr>
            </w:pPr>
          </w:p>
        </w:tc>
      </w:tr>
      <w:tr w14:paraId="484EA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9" w:type="dxa"/>
            <w:noWrap w:val="0"/>
            <w:vAlign w:val="center"/>
          </w:tcPr>
          <w:p w14:paraId="4630690E">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110" w:type="dxa"/>
            <w:noWrap w:val="0"/>
            <w:vAlign w:val="center"/>
          </w:tcPr>
          <w:p w14:paraId="3398B5AA">
            <w:pPr>
              <w:spacing w:line="320" w:lineRule="exact"/>
              <w:jc w:val="center"/>
              <w:rPr>
                <w:rFonts w:hint="eastAsia" w:ascii="宋体" w:hAnsi="宋体" w:cs="宋体"/>
                <w:color w:val="auto"/>
                <w:sz w:val="24"/>
                <w:szCs w:val="24"/>
                <w:highlight w:val="none"/>
              </w:rPr>
            </w:pPr>
          </w:p>
        </w:tc>
        <w:tc>
          <w:tcPr>
            <w:tcW w:w="1459" w:type="dxa"/>
            <w:noWrap w:val="0"/>
          </w:tcPr>
          <w:p w14:paraId="13E55A65">
            <w:pPr>
              <w:spacing w:line="320" w:lineRule="exact"/>
              <w:jc w:val="center"/>
              <w:rPr>
                <w:rFonts w:hint="eastAsia" w:ascii="宋体" w:hAnsi="宋体" w:cs="宋体"/>
                <w:color w:val="auto"/>
                <w:sz w:val="24"/>
                <w:szCs w:val="24"/>
                <w:highlight w:val="none"/>
              </w:rPr>
            </w:pPr>
          </w:p>
        </w:tc>
        <w:tc>
          <w:tcPr>
            <w:tcW w:w="1022" w:type="dxa"/>
            <w:noWrap w:val="0"/>
          </w:tcPr>
          <w:p w14:paraId="6F4AA900">
            <w:pPr>
              <w:spacing w:line="320" w:lineRule="exact"/>
              <w:jc w:val="center"/>
              <w:rPr>
                <w:rFonts w:hint="eastAsia" w:ascii="宋体" w:hAnsi="宋体" w:cs="宋体"/>
                <w:color w:val="auto"/>
                <w:sz w:val="24"/>
                <w:szCs w:val="24"/>
                <w:highlight w:val="none"/>
              </w:rPr>
            </w:pPr>
          </w:p>
        </w:tc>
        <w:tc>
          <w:tcPr>
            <w:tcW w:w="1650" w:type="dxa"/>
            <w:noWrap w:val="0"/>
          </w:tcPr>
          <w:p w14:paraId="77E1D601">
            <w:pPr>
              <w:spacing w:line="320" w:lineRule="exact"/>
              <w:jc w:val="center"/>
              <w:rPr>
                <w:rFonts w:hint="eastAsia" w:ascii="宋体" w:hAnsi="宋体" w:cs="宋体"/>
                <w:color w:val="auto"/>
                <w:sz w:val="24"/>
                <w:szCs w:val="24"/>
                <w:highlight w:val="none"/>
              </w:rPr>
            </w:pPr>
          </w:p>
        </w:tc>
        <w:tc>
          <w:tcPr>
            <w:tcW w:w="1228" w:type="dxa"/>
            <w:noWrap w:val="0"/>
          </w:tcPr>
          <w:p w14:paraId="0701E05C">
            <w:pPr>
              <w:spacing w:line="320" w:lineRule="exact"/>
              <w:jc w:val="center"/>
              <w:rPr>
                <w:rFonts w:hint="eastAsia" w:ascii="宋体" w:hAnsi="宋体" w:cs="宋体"/>
                <w:color w:val="auto"/>
                <w:sz w:val="24"/>
                <w:szCs w:val="24"/>
                <w:highlight w:val="none"/>
              </w:rPr>
            </w:pPr>
          </w:p>
        </w:tc>
      </w:tr>
      <w:tr w14:paraId="121A9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9" w:type="dxa"/>
            <w:noWrap w:val="0"/>
            <w:vAlign w:val="center"/>
          </w:tcPr>
          <w:p w14:paraId="24919AE1">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110" w:type="dxa"/>
            <w:noWrap w:val="0"/>
            <w:vAlign w:val="center"/>
          </w:tcPr>
          <w:p w14:paraId="25DDED4E">
            <w:pPr>
              <w:spacing w:line="320" w:lineRule="exact"/>
              <w:jc w:val="center"/>
              <w:rPr>
                <w:rFonts w:hint="eastAsia" w:ascii="宋体" w:hAnsi="宋体" w:cs="宋体"/>
                <w:color w:val="auto"/>
                <w:sz w:val="24"/>
                <w:szCs w:val="24"/>
                <w:highlight w:val="none"/>
              </w:rPr>
            </w:pPr>
          </w:p>
        </w:tc>
        <w:tc>
          <w:tcPr>
            <w:tcW w:w="1459" w:type="dxa"/>
            <w:noWrap w:val="0"/>
          </w:tcPr>
          <w:p w14:paraId="25101666">
            <w:pPr>
              <w:spacing w:line="320" w:lineRule="exact"/>
              <w:jc w:val="center"/>
              <w:rPr>
                <w:rFonts w:hint="eastAsia" w:ascii="宋体" w:hAnsi="宋体" w:cs="宋体"/>
                <w:color w:val="auto"/>
                <w:sz w:val="24"/>
                <w:szCs w:val="24"/>
                <w:highlight w:val="none"/>
              </w:rPr>
            </w:pPr>
          </w:p>
        </w:tc>
        <w:tc>
          <w:tcPr>
            <w:tcW w:w="1022" w:type="dxa"/>
            <w:noWrap w:val="0"/>
          </w:tcPr>
          <w:p w14:paraId="1AC49AB1">
            <w:pPr>
              <w:spacing w:line="320" w:lineRule="exact"/>
              <w:jc w:val="center"/>
              <w:rPr>
                <w:rFonts w:hint="eastAsia" w:ascii="宋体" w:hAnsi="宋体" w:cs="宋体"/>
                <w:color w:val="auto"/>
                <w:sz w:val="24"/>
                <w:szCs w:val="24"/>
                <w:highlight w:val="none"/>
              </w:rPr>
            </w:pPr>
          </w:p>
        </w:tc>
        <w:tc>
          <w:tcPr>
            <w:tcW w:w="1650" w:type="dxa"/>
            <w:noWrap w:val="0"/>
          </w:tcPr>
          <w:p w14:paraId="151AEB98">
            <w:pPr>
              <w:spacing w:line="320" w:lineRule="exact"/>
              <w:jc w:val="center"/>
              <w:rPr>
                <w:rFonts w:hint="eastAsia" w:ascii="宋体" w:hAnsi="宋体" w:cs="宋体"/>
                <w:color w:val="auto"/>
                <w:sz w:val="24"/>
                <w:szCs w:val="24"/>
                <w:highlight w:val="none"/>
              </w:rPr>
            </w:pPr>
          </w:p>
        </w:tc>
        <w:tc>
          <w:tcPr>
            <w:tcW w:w="1228" w:type="dxa"/>
            <w:noWrap w:val="0"/>
          </w:tcPr>
          <w:p w14:paraId="56611DB8">
            <w:pPr>
              <w:spacing w:line="320" w:lineRule="exact"/>
              <w:jc w:val="center"/>
              <w:rPr>
                <w:rFonts w:hint="eastAsia" w:ascii="宋体" w:hAnsi="宋体" w:cs="宋体"/>
                <w:color w:val="auto"/>
                <w:sz w:val="24"/>
                <w:szCs w:val="24"/>
                <w:highlight w:val="none"/>
              </w:rPr>
            </w:pPr>
          </w:p>
        </w:tc>
      </w:tr>
      <w:tr w14:paraId="613DD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9" w:type="dxa"/>
            <w:noWrap w:val="0"/>
            <w:vAlign w:val="center"/>
          </w:tcPr>
          <w:p w14:paraId="288DA247">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110" w:type="dxa"/>
            <w:noWrap w:val="0"/>
            <w:vAlign w:val="center"/>
          </w:tcPr>
          <w:p w14:paraId="1D5D5C7C">
            <w:pPr>
              <w:spacing w:line="320" w:lineRule="exact"/>
              <w:jc w:val="center"/>
              <w:rPr>
                <w:rFonts w:hint="eastAsia" w:ascii="宋体" w:hAnsi="宋体" w:cs="宋体"/>
                <w:color w:val="auto"/>
                <w:sz w:val="24"/>
                <w:szCs w:val="24"/>
                <w:highlight w:val="none"/>
              </w:rPr>
            </w:pPr>
          </w:p>
        </w:tc>
        <w:tc>
          <w:tcPr>
            <w:tcW w:w="1459" w:type="dxa"/>
            <w:noWrap w:val="0"/>
          </w:tcPr>
          <w:p w14:paraId="32731864">
            <w:pPr>
              <w:spacing w:line="320" w:lineRule="exact"/>
              <w:jc w:val="center"/>
              <w:rPr>
                <w:rFonts w:hint="eastAsia" w:ascii="宋体" w:hAnsi="宋体" w:cs="宋体"/>
                <w:color w:val="auto"/>
                <w:sz w:val="24"/>
                <w:szCs w:val="24"/>
                <w:highlight w:val="none"/>
              </w:rPr>
            </w:pPr>
          </w:p>
        </w:tc>
        <w:tc>
          <w:tcPr>
            <w:tcW w:w="1022" w:type="dxa"/>
            <w:noWrap w:val="0"/>
          </w:tcPr>
          <w:p w14:paraId="5D9B9B8D">
            <w:pPr>
              <w:spacing w:line="320" w:lineRule="exact"/>
              <w:jc w:val="center"/>
              <w:rPr>
                <w:rFonts w:hint="eastAsia" w:ascii="宋体" w:hAnsi="宋体" w:cs="宋体"/>
                <w:color w:val="auto"/>
                <w:sz w:val="24"/>
                <w:szCs w:val="24"/>
                <w:highlight w:val="none"/>
              </w:rPr>
            </w:pPr>
          </w:p>
        </w:tc>
        <w:tc>
          <w:tcPr>
            <w:tcW w:w="1650" w:type="dxa"/>
            <w:noWrap w:val="0"/>
          </w:tcPr>
          <w:p w14:paraId="7E44576F">
            <w:pPr>
              <w:spacing w:line="320" w:lineRule="exact"/>
              <w:jc w:val="center"/>
              <w:rPr>
                <w:rFonts w:hint="eastAsia" w:ascii="宋体" w:hAnsi="宋体" w:cs="宋体"/>
                <w:color w:val="auto"/>
                <w:sz w:val="24"/>
                <w:szCs w:val="24"/>
                <w:highlight w:val="none"/>
              </w:rPr>
            </w:pPr>
          </w:p>
        </w:tc>
        <w:tc>
          <w:tcPr>
            <w:tcW w:w="1228" w:type="dxa"/>
            <w:noWrap w:val="0"/>
          </w:tcPr>
          <w:p w14:paraId="5EB469F0">
            <w:pPr>
              <w:spacing w:line="320" w:lineRule="exact"/>
              <w:jc w:val="center"/>
              <w:rPr>
                <w:rFonts w:hint="eastAsia" w:ascii="宋体" w:hAnsi="宋体" w:cs="宋体"/>
                <w:color w:val="auto"/>
                <w:sz w:val="24"/>
                <w:szCs w:val="24"/>
                <w:highlight w:val="none"/>
              </w:rPr>
            </w:pPr>
          </w:p>
        </w:tc>
      </w:tr>
      <w:tr w14:paraId="0705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9" w:type="dxa"/>
            <w:noWrap w:val="0"/>
            <w:vAlign w:val="center"/>
          </w:tcPr>
          <w:p w14:paraId="2E4EC38E">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110" w:type="dxa"/>
            <w:noWrap w:val="0"/>
            <w:vAlign w:val="center"/>
          </w:tcPr>
          <w:p w14:paraId="04BB3C50">
            <w:pPr>
              <w:spacing w:line="320" w:lineRule="exact"/>
              <w:jc w:val="center"/>
              <w:rPr>
                <w:rFonts w:hint="eastAsia" w:ascii="宋体" w:hAnsi="宋体" w:cs="宋体"/>
                <w:color w:val="auto"/>
                <w:sz w:val="24"/>
                <w:szCs w:val="24"/>
                <w:highlight w:val="none"/>
              </w:rPr>
            </w:pPr>
          </w:p>
        </w:tc>
        <w:tc>
          <w:tcPr>
            <w:tcW w:w="1459" w:type="dxa"/>
            <w:noWrap w:val="0"/>
          </w:tcPr>
          <w:p w14:paraId="3ED5B372">
            <w:pPr>
              <w:spacing w:line="320" w:lineRule="exact"/>
              <w:jc w:val="center"/>
              <w:rPr>
                <w:rFonts w:hint="eastAsia" w:ascii="宋体" w:hAnsi="宋体" w:cs="宋体"/>
                <w:color w:val="auto"/>
                <w:sz w:val="24"/>
                <w:szCs w:val="24"/>
                <w:highlight w:val="none"/>
              </w:rPr>
            </w:pPr>
          </w:p>
        </w:tc>
        <w:tc>
          <w:tcPr>
            <w:tcW w:w="1022" w:type="dxa"/>
            <w:noWrap w:val="0"/>
          </w:tcPr>
          <w:p w14:paraId="34D09D49">
            <w:pPr>
              <w:spacing w:line="320" w:lineRule="exact"/>
              <w:jc w:val="center"/>
              <w:rPr>
                <w:rFonts w:hint="eastAsia" w:ascii="宋体" w:hAnsi="宋体" w:cs="宋体"/>
                <w:color w:val="auto"/>
                <w:sz w:val="24"/>
                <w:szCs w:val="24"/>
                <w:highlight w:val="none"/>
              </w:rPr>
            </w:pPr>
          </w:p>
        </w:tc>
        <w:tc>
          <w:tcPr>
            <w:tcW w:w="1650" w:type="dxa"/>
            <w:noWrap w:val="0"/>
          </w:tcPr>
          <w:p w14:paraId="005D42E1">
            <w:pPr>
              <w:spacing w:line="320" w:lineRule="exact"/>
              <w:jc w:val="center"/>
              <w:rPr>
                <w:rFonts w:hint="eastAsia" w:ascii="宋体" w:hAnsi="宋体" w:cs="宋体"/>
                <w:color w:val="auto"/>
                <w:sz w:val="24"/>
                <w:szCs w:val="24"/>
                <w:highlight w:val="none"/>
              </w:rPr>
            </w:pPr>
          </w:p>
        </w:tc>
        <w:tc>
          <w:tcPr>
            <w:tcW w:w="1228" w:type="dxa"/>
            <w:noWrap w:val="0"/>
          </w:tcPr>
          <w:p w14:paraId="1F3533A4">
            <w:pPr>
              <w:spacing w:line="320" w:lineRule="exact"/>
              <w:jc w:val="center"/>
              <w:rPr>
                <w:rFonts w:hint="eastAsia" w:ascii="宋体" w:hAnsi="宋体" w:cs="宋体"/>
                <w:color w:val="auto"/>
                <w:sz w:val="24"/>
                <w:szCs w:val="24"/>
                <w:highlight w:val="none"/>
              </w:rPr>
            </w:pPr>
          </w:p>
        </w:tc>
      </w:tr>
      <w:tr w14:paraId="3EA34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exact"/>
          <w:jc w:val="center"/>
        </w:trPr>
        <w:tc>
          <w:tcPr>
            <w:tcW w:w="919" w:type="dxa"/>
            <w:noWrap w:val="0"/>
            <w:vAlign w:val="center"/>
          </w:tcPr>
          <w:p w14:paraId="6131CDB6">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110" w:type="dxa"/>
            <w:noWrap w:val="0"/>
            <w:vAlign w:val="center"/>
          </w:tcPr>
          <w:p w14:paraId="6B8BD37A">
            <w:pPr>
              <w:spacing w:line="320" w:lineRule="exact"/>
              <w:jc w:val="center"/>
              <w:rPr>
                <w:rFonts w:hint="eastAsia" w:ascii="宋体" w:hAnsi="宋体" w:cs="宋体"/>
                <w:color w:val="auto"/>
                <w:sz w:val="24"/>
                <w:szCs w:val="24"/>
                <w:highlight w:val="none"/>
              </w:rPr>
            </w:pPr>
          </w:p>
        </w:tc>
        <w:tc>
          <w:tcPr>
            <w:tcW w:w="1459" w:type="dxa"/>
            <w:noWrap w:val="0"/>
          </w:tcPr>
          <w:p w14:paraId="7EDBDEFF">
            <w:pPr>
              <w:spacing w:line="320" w:lineRule="exact"/>
              <w:jc w:val="center"/>
              <w:rPr>
                <w:rFonts w:hint="eastAsia" w:ascii="宋体" w:hAnsi="宋体" w:cs="宋体"/>
                <w:color w:val="auto"/>
                <w:sz w:val="24"/>
                <w:szCs w:val="24"/>
                <w:highlight w:val="none"/>
              </w:rPr>
            </w:pPr>
          </w:p>
        </w:tc>
        <w:tc>
          <w:tcPr>
            <w:tcW w:w="1022" w:type="dxa"/>
            <w:noWrap w:val="0"/>
          </w:tcPr>
          <w:p w14:paraId="27D3327B">
            <w:pPr>
              <w:spacing w:line="320" w:lineRule="exact"/>
              <w:jc w:val="center"/>
              <w:rPr>
                <w:rFonts w:hint="eastAsia" w:ascii="宋体" w:hAnsi="宋体" w:cs="宋体"/>
                <w:color w:val="auto"/>
                <w:sz w:val="24"/>
                <w:szCs w:val="24"/>
                <w:highlight w:val="none"/>
              </w:rPr>
            </w:pPr>
          </w:p>
        </w:tc>
        <w:tc>
          <w:tcPr>
            <w:tcW w:w="1650" w:type="dxa"/>
            <w:noWrap w:val="0"/>
          </w:tcPr>
          <w:p w14:paraId="4951DADA">
            <w:pPr>
              <w:spacing w:line="320" w:lineRule="exact"/>
              <w:jc w:val="center"/>
              <w:rPr>
                <w:rFonts w:hint="eastAsia" w:ascii="宋体" w:hAnsi="宋体" w:cs="宋体"/>
                <w:color w:val="auto"/>
                <w:sz w:val="24"/>
                <w:szCs w:val="24"/>
                <w:highlight w:val="none"/>
              </w:rPr>
            </w:pPr>
          </w:p>
        </w:tc>
        <w:tc>
          <w:tcPr>
            <w:tcW w:w="1228" w:type="dxa"/>
            <w:noWrap w:val="0"/>
          </w:tcPr>
          <w:p w14:paraId="59910CE5">
            <w:pPr>
              <w:spacing w:line="320" w:lineRule="exact"/>
              <w:jc w:val="center"/>
              <w:rPr>
                <w:rFonts w:hint="eastAsia" w:ascii="宋体" w:hAnsi="宋体" w:cs="宋体"/>
                <w:color w:val="auto"/>
                <w:sz w:val="24"/>
                <w:szCs w:val="24"/>
                <w:highlight w:val="none"/>
              </w:rPr>
            </w:pPr>
          </w:p>
        </w:tc>
      </w:tr>
      <w:tr w14:paraId="212DD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9" w:type="dxa"/>
            <w:noWrap w:val="0"/>
            <w:vAlign w:val="center"/>
          </w:tcPr>
          <w:p w14:paraId="085AB091">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110" w:type="dxa"/>
            <w:noWrap w:val="0"/>
            <w:vAlign w:val="center"/>
          </w:tcPr>
          <w:p w14:paraId="3E502CC7">
            <w:pPr>
              <w:spacing w:line="320" w:lineRule="exact"/>
              <w:jc w:val="center"/>
              <w:rPr>
                <w:rFonts w:hint="eastAsia" w:ascii="宋体" w:hAnsi="宋体" w:cs="宋体"/>
                <w:color w:val="auto"/>
                <w:sz w:val="24"/>
                <w:szCs w:val="24"/>
                <w:highlight w:val="none"/>
              </w:rPr>
            </w:pPr>
          </w:p>
        </w:tc>
        <w:tc>
          <w:tcPr>
            <w:tcW w:w="1459" w:type="dxa"/>
            <w:noWrap w:val="0"/>
          </w:tcPr>
          <w:p w14:paraId="7F0C4A49">
            <w:pPr>
              <w:spacing w:line="320" w:lineRule="exact"/>
              <w:jc w:val="center"/>
              <w:rPr>
                <w:rFonts w:hint="eastAsia" w:ascii="宋体" w:hAnsi="宋体" w:cs="宋体"/>
                <w:color w:val="auto"/>
                <w:sz w:val="24"/>
                <w:szCs w:val="24"/>
                <w:highlight w:val="none"/>
              </w:rPr>
            </w:pPr>
          </w:p>
        </w:tc>
        <w:tc>
          <w:tcPr>
            <w:tcW w:w="1022" w:type="dxa"/>
            <w:noWrap w:val="0"/>
          </w:tcPr>
          <w:p w14:paraId="3ABB3BED">
            <w:pPr>
              <w:spacing w:line="320" w:lineRule="exact"/>
              <w:jc w:val="center"/>
              <w:rPr>
                <w:rFonts w:hint="eastAsia" w:ascii="宋体" w:hAnsi="宋体" w:cs="宋体"/>
                <w:color w:val="auto"/>
                <w:sz w:val="24"/>
                <w:szCs w:val="24"/>
                <w:highlight w:val="none"/>
              </w:rPr>
            </w:pPr>
          </w:p>
        </w:tc>
        <w:tc>
          <w:tcPr>
            <w:tcW w:w="1650" w:type="dxa"/>
            <w:noWrap w:val="0"/>
          </w:tcPr>
          <w:p w14:paraId="0BD13B43">
            <w:pPr>
              <w:spacing w:line="320" w:lineRule="exact"/>
              <w:jc w:val="center"/>
              <w:rPr>
                <w:rFonts w:hint="eastAsia" w:ascii="宋体" w:hAnsi="宋体" w:cs="宋体"/>
                <w:color w:val="auto"/>
                <w:sz w:val="24"/>
                <w:szCs w:val="24"/>
                <w:highlight w:val="none"/>
              </w:rPr>
            </w:pPr>
          </w:p>
        </w:tc>
        <w:tc>
          <w:tcPr>
            <w:tcW w:w="1228" w:type="dxa"/>
            <w:noWrap w:val="0"/>
          </w:tcPr>
          <w:p w14:paraId="28137B93">
            <w:pPr>
              <w:spacing w:line="320" w:lineRule="exact"/>
              <w:jc w:val="center"/>
              <w:rPr>
                <w:rFonts w:hint="eastAsia" w:ascii="宋体" w:hAnsi="宋体" w:cs="宋体"/>
                <w:color w:val="auto"/>
                <w:sz w:val="24"/>
                <w:szCs w:val="24"/>
                <w:highlight w:val="none"/>
              </w:rPr>
            </w:pPr>
          </w:p>
        </w:tc>
      </w:tr>
      <w:tr w14:paraId="2B497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9" w:type="dxa"/>
            <w:noWrap w:val="0"/>
            <w:vAlign w:val="center"/>
          </w:tcPr>
          <w:p w14:paraId="34227EAE">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8</w:t>
            </w:r>
          </w:p>
        </w:tc>
        <w:tc>
          <w:tcPr>
            <w:tcW w:w="2110" w:type="dxa"/>
            <w:noWrap w:val="0"/>
            <w:vAlign w:val="center"/>
          </w:tcPr>
          <w:p w14:paraId="199D0EBD">
            <w:pPr>
              <w:spacing w:line="320" w:lineRule="exact"/>
              <w:jc w:val="center"/>
              <w:rPr>
                <w:rFonts w:hint="eastAsia" w:ascii="宋体" w:hAnsi="宋体" w:cs="宋体"/>
                <w:color w:val="auto"/>
                <w:sz w:val="24"/>
                <w:szCs w:val="24"/>
                <w:highlight w:val="none"/>
              </w:rPr>
            </w:pPr>
          </w:p>
        </w:tc>
        <w:tc>
          <w:tcPr>
            <w:tcW w:w="1459" w:type="dxa"/>
            <w:noWrap w:val="0"/>
          </w:tcPr>
          <w:p w14:paraId="7A59B5B0">
            <w:pPr>
              <w:spacing w:line="320" w:lineRule="exact"/>
              <w:jc w:val="center"/>
              <w:rPr>
                <w:rFonts w:hint="eastAsia" w:ascii="宋体" w:hAnsi="宋体" w:cs="宋体"/>
                <w:color w:val="auto"/>
                <w:sz w:val="24"/>
                <w:szCs w:val="24"/>
                <w:highlight w:val="none"/>
              </w:rPr>
            </w:pPr>
          </w:p>
        </w:tc>
        <w:tc>
          <w:tcPr>
            <w:tcW w:w="1022" w:type="dxa"/>
            <w:noWrap w:val="0"/>
          </w:tcPr>
          <w:p w14:paraId="0550EBE4">
            <w:pPr>
              <w:spacing w:line="320" w:lineRule="exact"/>
              <w:jc w:val="center"/>
              <w:rPr>
                <w:rFonts w:hint="eastAsia" w:ascii="宋体" w:hAnsi="宋体" w:cs="宋体"/>
                <w:color w:val="auto"/>
                <w:sz w:val="24"/>
                <w:szCs w:val="24"/>
                <w:highlight w:val="none"/>
              </w:rPr>
            </w:pPr>
          </w:p>
        </w:tc>
        <w:tc>
          <w:tcPr>
            <w:tcW w:w="1650" w:type="dxa"/>
            <w:noWrap w:val="0"/>
          </w:tcPr>
          <w:p w14:paraId="1C013157">
            <w:pPr>
              <w:spacing w:line="320" w:lineRule="exact"/>
              <w:jc w:val="center"/>
              <w:rPr>
                <w:rFonts w:hint="eastAsia" w:ascii="宋体" w:hAnsi="宋体" w:cs="宋体"/>
                <w:color w:val="auto"/>
                <w:sz w:val="24"/>
                <w:szCs w:val="24"/>
                <w:highlight w:val="none"/>
              </w:rPr>
            </w:pPr>
          </w:p>
        </w:tc>
        <w:tc>
          <w:tcPr>
            <w:tcW w:w="1228" w:type="dxa"/>
            <w:noWrap w:val="0"/>
          </w:tcPr>
          <w:p w14:paraId="13F437F9">
            <w:pPr>
              <w:spacing w:line="320" w:lineRule="exact"/>
              <w:jc w:val="center"/>
              <w:rPr>
                <w:rFonts w:hint="eastAsia" w:ascii="宋体" w:hAnsi="宋体" w:cs="宋体"/>
                <w:color w:val="auto"/>
                <w:sz w:val="24"/>
                <w:szCs w:val="24"/>
                <w:highlight w:val="none"/>
              </w:rPr>
            </w:pPr>
          </w:p>
        </w:tc>
      </w:tr>
      <w:tr w14:paraId="551F8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19" w:type="dxa"/>
            <w:noWrap w:val="0"/>
            <w:vAlign w:val="center"/>
          </w:tcPr>
          <w:p w14:paraId="2552ACE2">
            <w:pPr>
              <w:spacing w:line="320" w:lineRule="exact"/>
              <w:jc w:val="center"/>
              <w:rPr>
                <w:rFonts w:hint="eastAsia" w:ascii="宋体" w:hAnsi="宋体" w:cs="宋体"/>
                <w:color w:val="auto"/>
                <w:sz w:val="24"/>
                <w:szCs w:val="24"/>
                <w:highlight w:val="none"/>
              </w:rPr>
            </w:pPr>
          </w:p>
        </w:tc>
        <w:tc>
          <w:tcPr>
            <w:tcW w:w="2110" w:type="dxa"/>
            <w:noWrap w:val="0"/>
            <w:vAlign w:val="center"/>
          </w:tcPr>
          <w:p w14:paraId="5AA69A73">
            <w:pPr>
              <w:spacing w:line="320" w:lineRule="exact"/>
              <w:jc w:val="center"/>
              <w:rPr>
                <w:rFonts w:hint="eastAsia" w:ascii="宋体" w:hAnsi="宋体" w:cs="宋体"/>
                <w:color w:val="auto"/>
                <w:sz w:val="24"/>
                <w:szCs w:val="24"/>
                <w:highlight w:val="none"/>
              </w:rPr>
            </w:pPr>
          </w:p>
        </w:tc>
        <w:tc>
          <w:tcPr>
            <w:tcW w:w="1459" w:type="dxa"/>
            <w:noWrap w:val="0"/>
          </w:tcPr>
          <w:p w14:paraId="39DBE1BC">
            <w:pPr>
              <w:spacing w:line="320" w:lineRule="exact"/>
              <w:jc w:val="center"/>
              <w:rPr>
                <w:rFonts w:hint="eastAsia" w:ascii="宋体" w:hAnsi="宋体" w:cs="宋体"/>
                <w:color w:val="auto"/>
                <w:sz w:val="24"/>
                <w:szCs w:val="24"/>
                <w:highlight w:val="none"/>
              </w:rPr>
            </w:pPr>
          </w:p>
        </w:tc>
        <w:tc>
          <w:tcPr>
            <w:tcW w:w="1022" w:type="dxa"/>
            <w:noWrap w:val="0"/>
          </w:tcPr>
          <w:p w14:paraId="31CBC7AD">
            <w:pPr>
              <w:spacing w:line="320" w:lineRule="exact"/>
              <w:jc w:val="center"/>
              <w:rPr>
                <w:rFonts w:hint="eastAsia" w:ascii="宋体" w:hAnsi="宋体" w:cs="宋体"/>
                <w:color w:val="auto"/>
                <w:sz w:val="24"/>
                <w:szCs w:val="24"/>
                <w:highlight w:val="none"/>
              </w:rPr>
            </w:pPr>
          </w:p>
        </w:tc>
        <w:tc>
          <w:tcPr>
            <w:tcW w:w="1650" w:type="dxa"/>
            <w:noWrap w:val="0"/>
          </w:tcPr>
          <w:p w14:paraId="3B54E238">
            <w:pPr>
              <w:spacing w:line="320" w:lineRule="exact"/>
              <w:jc w:val="center"/>
              <w:rPr>
                <w:rFonts w:hint="eastAsia" w:ascii="宋体" w:hAnsi="宋体" w:cs="宋体"/>
                <w:color w:val="auto"/>
                <w:sz w:val="24"/>
                <w:szCs w:val="24"/>
                <w:highlight w:val="none"/>
              </w:rPr>
            </w:pPr>
          </w:p>
        </w:tc>
        <w:tc>
          <w:tcPr>
            <w:tcW w:w="1228" w:type="dxa"/>
            <w:noWrap w:val="0"/>
          </w:tcPr>
          <w:p w14:paraId="29211F10">
            <w:pPr>
              <w:spacing w:line="320" w:lineRule="exact"/>
              <w:jc w:val="center"/>
              <w:rPr>
                <w:rFonts w:hint="eastAsia" w:ascii="宋体" w:hAnsi="宋体" w:cs="宋体"/>
                <w:color w:val="auto"/>
                <w:sz w:val="24"/>
                <w:szCs w:val="24"/>
                <w:highlight w:val="none"/>
              </w:rPr>
            </w:pPr>
          </w:p>
        </w:tc>
      </w:tr>
      <w:tr w14:paraId="62B9D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exact"/>
          <w:jc w:val="center"/>
        </w:trPr>
        <w:tc>
          <w:tcPr>
            <w:tcW w:w="919" w:type="dxa"/>
            <w:noWrap w:val="0"/>
            <w:vAlign w:val="center"/>
          </w:tcPr>
          <w:p w14:paraId="6973C563">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w:t>
            </w:r>
          </w:p>
        </w:tc>
        <w:tc>
          <w:tcPr>
            <w:tcW w:w="2110" w:type="dxa"/>
            <w:noWrap w:val="0"/>
            <w:vAlign w:val="center"/>
          </w:tcPr>
          <w:p w14:paraId="2AFF0256">
            <w:pPr>
              <w:spacing w:line="320" w:lineRule="exact"/>
              <w:jc w:val="center"/>
              <w:rPr>
                <w:rFonts w:hint="eastAsia" w:ascii="宋体" w:hAnsi="宋体" w:cs="宋体"/>
                <w:color w:val="auto"/>
                <w:sz w:val="24"/>
                <w:szCs w:val="24"/>
                <w:highlight w:val="none"/>
              </w:rPr>
            </w:pPr>
          </w:p>
        </w:tc>
        <w:tc>
          <w:tcPr>
            <w:tcW w:w="1459" w:type="dxa"/>
            <w:noWrap w:val="0"/>
          </w:tcPr>
          <w:p w14:paraId="6F37D6DB">
            <w:pPr>
              <w:spacing w:line="320" w:lineRule="exact"/>
              <w:jc w:val="center"/>
              <w:rPr>
                <w:rFonts w:hint="eastAsia" w:ascii="宋体" w:hAnsi="宋体" w:cs="宋体"/>
                <w:color w:val="auto"/>
                <w:sz w:val="24"/>
                <w:szCs w:val="24"/>
                <w:highlight w:val="none"/>
              </w:rPr>
            </w:pPr>
          </w:p>
        </w:tc>
        <w:tc>
          <w:tcPr>
            <w:tcW w:w="1022" w:type="dxa"/>
            <w:noWrap w:val="0"/>
          </w:tcPr>
          <w:p w14:paraId="0A042FBB">
            <w:pPr>
              <w:spacing w:line="320" w:lineRule="exact"/>
              <w:jc w:val="center"/>
              <w:rPr>
                <w:rFonts w:hint="eastAsia" w:ascii="宋体" w:hAnsi="宋体" w:cs="宋体"/>
                <w:color w:val="auto"/>
                <w:sz w:val="24"/>
                <w:szCs w:val="24"/>
                <w:highlight w:val="none"/>
              </w:rPr>
            </w:pPr>
          </w:p>
        </w:tc>
        <w:tc>
          <w:tcPr>
            <w:tcW w:w="1650" w:type="dxa"/>
            <w:noWrap w:val="0"/>
          </w:tcPr>
          <w:p w14:paraId="554122F0">
            <w:pPr>
              <w:spacing w:line="320" w:lineRule="exact"/>
              <w:jc w:val="center"/>
              <w:rPr>
                <w:rFonts w:hint="eastAsia" w:ascii="宋体" w:hAnsi="宋体" w:cs="宋体"/>
                <w:color w:val="auto"/>
                <w:sz w:val="24"/>
                <w:szCs w:val="24"/>
                <w:highlight w:val="none"/>
              </w:rPr>
            </w:pPr>
          </w:p>
        </w:tc>
        <w:tc>
          <w:tcPr>
            <w:tcW w:w="1228" w:type="dxa"/>
            <w:noWrap w:val="0"/>
          </w:tcPr>
          <w:p w14:paraId="1F8F166E">
            <w:pPr>
              <w:spacing w:line="320" w:lineRule="exact"/>
              <w:jc w:val="center"/>
              <w:rPr>
                <w:rFonts w:hint="eastAsia" w:ascii="宋体" w:hAnsi="宋体" w:cs="宋体"/>
                <w:color w:val="auto"/>
                <w:sz w:val="24"/>
                <w:szCs w:val="24"/>
                <w:highlight w:val="none"/>
              </w:rPr>
            </w:pPr>
          </w:p>
        </w:tc>
      </w:tr>
      <w:tr w14:paraId="3020F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exact"/>
          <w:jc w:val="center"/>
        </w:trPr>
        <w:tc>
          <w:tcPr>
            <w:tcW w:w="5510" w:type="dxa"/>
            <w:gridSpan w:val="4"/>
            <w:noWrap w:val="0"/>
            <w:vAlign w:val="center"/>
          </w:tcPr>
          <w:p w14:paraId="760B290B">
            <w:pPr>
              <w:spacing w:line="32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投标总报价（人民币：元）</w:t>
            </w:r>
          </w:p>
        </w:tc>
        <w:tc>
          <w:tcPr>
            <w:tcW w:w="1650" w:type="dxa"/>
            <w:noWrap w:val="0"/>
          </w:tcPr>
          <w:p w14:paraId="5F39175A">
            <w:pPr>
              <w:spacing w:line="320" w:lineRule="exact"/>
              <w:jc w:val="center"/>
              <w:rPr>
                <w:rFonts w:hint="eastAsia" w:ascii="宋体" w:hAnsi="宋体" w:cs="宋体"/>
                <w:color w:val="auto"/>
                <w:sz w:val="24"/>
                <w:szCs w:val="24"/>
                <w:highlight w:val="none"/>
              </w:rPr>
            </w:pPr>
          </w:p>
        </w:tc>
        <w:tc>
          <w:tcPr>
            <w:tcW w:w="1228" w:type="dxa"/>
            <w:noWrap w:val="0"/>
          </w:tcPr>
          <w:p w14:paraId="2A90DFA2">
            <w:pPr>
              <w:spacing w:line="320" w:lineRule="exact"/>
              <w:jc w:val="center"/>
              <w:rPr>
                <w:rFonts w:hint="eastAsia" w:ascii="宋体" w:hAnsi="宋体" w:cs="宋体"/>
                <w:color w:val="auto"/>
                <w:sz w:val="24"/>
                <w:szCs w:val="24"/>
                <w:highlight w:val="none"/>
              </w:rPr>
            </w:pPr>
          </w:p>
        </w:tc>
      </w:tr>
    </w:tbl>
    <w:p w14:paraId="492890EF">
      <w:pPr>
        <w:rPr>
          <w:rFonts w:hint="eastAsia" w:ascii="宋体" w:hAnsi="宋体" w:cs="宋体"/>
          <w:color w:val="auto"/>
          <w:sz w:val="24"/>
          <w:szCs w:val="24"/>
          <w:highlight w:val="none"/>
        </w:rPr>
      </w:pPr>
    </w:p>
    <w:p w14:paraId="47EBA8E2">
      <w:pPr>
        <w:tabs>
          <w:tab w:val="left" w:pos="0"/>
        </w:tabs>
        <w:spacing w:line="480" w:lineRule="exact"/>
        <w:ind w:firstLine="720"/>
        <w:rPr>
          <w:rFonts w:hint="eastAsia" w:ascii="宋体" w:hAnsi="宋体"/>
          <w:bCs/>
          <w:color w:val="auto"/>
          <w:sz w:val="24"/>
          <w:szCs w:val="24"/>
          <w:highlight w:val="none"/>
        </w:rPr>
      </w:pPr>
      <w:r>
        <w:rPr>
          <w:rFonts w:hint="eastAsia" w:ascii="宋体" w:hAnsi="宋体" w:cs="宋体"/>
          <w:color w:val="auto"/>
          <w:sz w:val="24"/>
          <w:szCs w:val="24"/>
          <w:highlight w:val="none"/>
        </w:rPr>
        <w:t>备注：</w:t>
      </w:r>
      <w:r>
        <w:rPr>
          <w:rFonts w:hint="eastAsia" w:ascii="宋体" w:hAnsi="宋体"/>
          <w:color w:val="auto"/>
          <w:sz w:val="24"/>
          <w:szCs w:val="24"/>
          <w:highlight w:val="none"/>
        </w:rPr>
        <w:t>1.</w:t>
      </w:r>
      <w:r>
        <w:rPr>
          <w:rFonts w:hint="eastAsia" w:ascii="宋体" w:hAnsi="宋体"/>
          <w:bCs/>
          <w:color w:val="auto"/>
          <w:sz w:val="24"/>
          <w:szCs w:val="24"/>
          <w:highlight w:val="none"/>
        </w:rPr>
        <w:t>报价包括：人员成本、全部管理和服务的费用（指完成该服务项目所需的固定资产投入、软硬件投入、办公费、培训费、系统对接费、计提工会费、交通工具、材料费、维保费、合理利润、税收等相关的完成本项目所有费用)。</w:t>
      </w:r>
    </w:p>
    <w:p w14:paraId="45E5A370">
      <w:pPr>
        <w:tabs>
          <w:tab w:val="left" w:pos="0"/>
        </w:tabs>
        <w:spacing w:line="480" w:lineRule="exact"/>
        <w:ind w:firstLine="720"/>
        <w:rPr>
          <w:rFonts w:hint="eastAsia" w:ascii="宋体" w:hAnsi="宋体" w:cs="宋体"/>
          <w:color w:val="auto"/>
          <w:sz w:val="24"/>
          <w:szCs w:val="24"/>
          <w:highlight w:val="none"/>
        </w:rPr>
      </w:pPr>
      <w:r>
        <w:rPr>
          <w:rFonts w:hint="eastAsia" w:ascii="宋体" w:hAnsi="宋体" w:cs="宋体"/>
          <w:color w:val="auto"/>
          <w:sz w:val="24"/>
          <w:szCs w:val="24"/>
          <w:highlight w:val="none"/>
        </w:rPr>
        <w:t>2.“投标分项报价表”中“投标总报价”数额应当与“开标一览表”中“投标总报价”数额一致。</w:t>
      </w:r>
    </w:p>
    <w:p w14:paraId="4C55CE96">
      <w:pPr>
        <w:rPr>
          <w:rFonts w:hint="eastAsia" w:ascii="宋体" w:hAnsi="宋体" w:cs="宋体"/>
          <w:strike/>
          <w:color w:val="auto"/>
          <w:sz w:val="28"/>
          <w:szCs w:val="28"/>
          <w:highlight w:val="none"/>
        </w:rPr>
      </w:pPr>
    </w:p>
    <w:p w14:paraId="47A04792">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p>
    <w:p w14:paraId="1D2D5F56">
      <w:pPr>
        <w:outlineLvl w:val="1"/>
        <w:rPr>
          <w:rFonts w:hint="eastAsia" w:ascii="宋体" w:hAnsi="宋体" w:cs="宋体"/>
          <w:b/>
          <w:color w:val="auto"/>
          <w:sz w:val="28"/>
          <w:szCs w:val="28"/>
          <w:highlight w:val="none"/>
        </w:rPr>
      </w:pPr>
      <w:bookmarkStart w:id="337" w:name="_Toc21131"/>
      <w:bookmarkStart w:id="338" w:name="_Toc17515"/>
      <w:bookmarkStart w:id="339" w:name="_Toc22927"/>
      <w:bookmarkStart w:id="340" w:name="_Toc7537"/>
      <w:r>
        <w:rPr>
          <w:rFonts w:hint="eastAsia" w:ascii="宋体" w:hAnsi="宋体" w:cs="宋体"/>
          <w:b/>
          <w:color w:val="auto"/>
          <w:sz w:val="28"/>
          <w:szCs w:val="28"/>
          <w:highlight w:val="none"/>
        </w:rPr>
        <w:t>六、中小企业或残疾人福利性单位声明函</w:t>
      </w:r>
      <w:bookmarkEnd w:id="337"/>
      <w:bookmarkEnd w:id="338"/>
      <w:bookmarkEnd w:id="339"/>
      <w:bookmarkEnd w:id="340"/>
    </w:p>
    <w:p w14:paraId="26581C8C">
      <w:pPr>
        <w:spacing w:line="560" w:lineRule="exact"/>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中小企业声明函（服务）</w:t>
      </w:r>
    </w:p>
    <w:p w14:paraId="3DAB7739">
      <w:pPr>
        <w:spacing w:line="56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本公司（联合体）郑重声明，根据《政府采购促进中小企业发展管理办法》(财库[2020]46号)的规定，本公司（联合体）参加江苏省政府采购代理机构组织的</w:t>
      </w:r>
      <w:r>
        <w:rPr>
          <w:rFonts w:hint="eastAsia" w:ascii="宋体" w:hAnsi="宋体" w:cs="宋体"/>
          <w:color w:val="auto"/>
          <w:sz w:val="24"/>
          <w:szCs w:val="24"/>
          <w:highlight w:val="none"/>
          <w:u w:val="single"/>
        </w:rPr>
        <w:t>宿迁市市域社会治理现代化指挥中心（单位名称）</w:t>
      </w:r>
      <w:r>
        <w:rPr>
          <w:rFonts w:hint="eastAsia" w:ascii="宋体" w:hAnsi="宋体" w:cs="宋体"/>
          <w:color w:val="auto"/>
          <w:sz w:val="24"/>
          <w:szCs w:val="24"/>
          <w:highlight w:val="none"/>
        </w:rPr>
        <w:t>项目编号为</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ABC4CCF">
      <w:pPr>
        <w:spacing w:line="560" w:lineRule="exact"/>
        <w:ind w:firstLine="48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1.</w:t>
      </w:r>
      <w:r>
        <w:rPr>
          <w:rFonts w:hint="eastAsia" w:ascii="宋体" w:hAnsi="宋体" w:cs="宋体"/>
          <w:color w:val="auto"/>
          <w:sz w:val="24"/>
          <w:szCs w:val="24"/>
          <w:highlight w:val="none"/>
          <w:u w:val="single"/>
        </w:rPr>
        <w:t xml:space="preserve">    （标的名称）</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（采购文件中明确的所属行业）</w:t>
      </w:r>
      <w:r>
        <w:rPr>
          <w:rFonts w:hint="eastAsia" w:ascii="宋体" w:hAnsi="宋体" w:cs="宋体"/>
          <w:color w:val="auto"/>
          <w:sz w:val="24"/>
          <w:szCs w:val="24"/>
          <w:highlight w:val="none"/>
        </w:rPr>
        <w:t>行业；承接企业为</w:t>
      </w:r>
      <w:r>
        <w:rPr>
          <w:rFonts w:hint="eastAsia" w:ascii="宋体" w:hAnsi="宋体" w:cs="宋体"/>
          <w:color w:val="auto"/>
          <w:sz w:val="24"/>
          <w:szCs w:val="24"/>
          <w:highlight w:val="none"/>
          <w:u w:val="single"/>
        </w:rPr>
        <w:t xml:space="preserve">       （企业名称）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w:t>
      </w:r>
      <w:r>
        <w:rPr>
          <w:rFonts w:hint="eastAsia" w:ascii="宋体" w:hAnsi="宋体" w:cs="宋体"/>
          <w:color w:val="auto"/>
          <w:sz w:val="24"/>
          <w:szCs w:val="24"/>
          <w:highlight w:val="none"/>
          <w:vertAlign w:val="superscript"/>
        </w:rPr>
        <w:t>1</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（中型企业、小型企业、微型企业）；</w:t>
      </w:r>
    </w:p>
    <w:p w14:paraId="2397A603">
      <w:pPr>
        <w:spacing w:line="560" w:lineRule="exact"/>
        <w:ind w:firstLine="480"/>
        <w:rPr>
          <w:rFonts w:hint="eastAsia" w:ascii="宋体" w:hAnsi="宋体" w:cs="宋体"/>
          <w:i/>
          <w:color w:val="auto"/>
          <w:sz w:val="24"/>
          <w:szCs w:val="24"/>
          <w:highlight w:val="none"/>
          <w:u w:val="single"/>
        </w:rPr>
      </w:pPr>
      <w:r>
        <w:rPr>
          <w:rFonts w:hint="eastAsia" w:ascii="宋体" w:hAnsi="宋体" w:cs="宋体"/>
          <w:color w:val="auto"/>
          <w:sz w:val="24"/>
          <w:szCs w:val="24"/>
          <w:highlight w:val="none"/>
        </w:rPr>
        <w:t>2.</w:t>
      </w:r>
      <w:r>
        <w:rPr>
          <w:rFonts w:hint="eastAsia" w:ascii="宋体" w:hAnsi="宋体" w:cs="宋体"/>
          <w:color w:val="auto"/>
          <w:sz w:val="24"/>
          <w:szCs w:val="24"/>
          <w:highlight w:val="none"/>
          <w:u w:val="single"/>
        </w:rPr>
        <w:t xml:space="preserve">    （标的名称）</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（采购文件中明确的所属行业）</w:t>
      </w:r>
      <w:r>
        <w:rPr>
          <w:rFonts w:hint="eastAsia" w:ascii="宋体" w:hAnsi="宋体" w:cs="宋体"/>
          <w:color w:val="auto"/>
          <w:sz w:val="24"/>
          <w:szCs w:val="24"/>
          <w:highlight w:val="none"/>
        </w:rPr>
        <w:t>行业；承接企业为</w:t>
      </w:r>
      <w:r>
        <w:rPr>
          <w:rFonts w:hint="eastAsia" w:ascii="宋体" w:hAnsi="宋体" w:cs="宋体"/>
          <w:color w:val="auto"/>
          <w:sz w:val="24"/>
          <w:szCs w:val="24"/>
          <w:highlight w:val="none"/>
          <w:u w:val="single"/>
        </w:rPr>
        <w:t xml:space="preserve">       （企业名称）</w:t>
      </w:r>
      <w:r>
        <w:rPr>
          <w:rFonts w:hint="eastAsia" w:ascii="宋体" w:hAnsi="宋体" w:cs="宋体"/>
          <w:color w:val="auto"/>
          <w:sz w:val="24"/>
          <w:szCs w:val="24"/>
          <w:highlight w:val="none"/>
        </w:rPr>
        <w:t>，从业人员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w:t>
      </w:r>
      <w:r>
        <w:rPr>
          <w:rFonts w:hint="eastAsia" w:ascii="宋体" w:hAnsi="宋体" w:cs="宋体"/>
          <w:color w:val="auto"/>
          <w:sz w:val="24"/>
          <w:szCs w:val="24"/>
          <w:highlight w:val="none"/>
          <w:vertAlign w:val="superscript"/>
        </w:rPr>
        <w:t>1</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（中型企业、小型企业、微型企业）；</w:t>
      </w:r>
    </w:p>
    <w:p w14:paraId="12AF0EE5">
      <w:pPr>
        <w:spacing w:line="360" w:lineRule="auto"/>
        <w:ind w:firstLine="360"/>
        <w:rPr>
          <w:rFonts w:hint="eastAsia" w:ascii="宋体" w:hAnsi="宋体" w:cs="宋体"/>
          <w:color w:val="auto"/>
          <w:sz w:val="24"/>
          <w:szCs w:val="24"/>
          <w:highlight w:val="none"/>
        </w:rPr>
      </w:pPr>
      <w:r>
        <w:rPr>
          <w:rFonts w:hint="eastAsia" w:ascii="宋体" w:hAnsi="宋体" w:cs="宋体"/>
          <w:color w:val="auto"/>
          <w:sz w:val="24"/>
          <w:szCs w:val="24"/>
          <w:highlight w:val="none"/>
        </w:rPr>
        <w:t>……</w:t>
      </w:r>
    </w:p>
    <w:p w14:paraId="4CF03942">
      <w:pPr>
        <w:spacing w:line="400" w:lineRule="exact"/>
        <w:ind w:firstLine="363"/>
        <w:rPr>
          <w:rFonts w:hint="eastAsia"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35123B1B">
      <w:pPr>
        <w:spacing w:line="400" w:lineRule="exact"/>
        <w:ind w:firstLine="363"/>
        <w:rPr>
          <w:rFonts w:hint="eastAsia"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6D427C31">
      <w:pPr>
        <w:spacing w:line="360" w:lineRule="auto"/>
        <w:ind w:firstLine="360"/>
        <w:rPr>
          <w:rFonts w:hint="eastAsia" w:ascii="宋体" w:hAnsi="宋体" w:cs="宋体"/>
          <w:color w:val="auto"/>
          <w:sz w:val="24"/>
          <w:szCs w:val="24"/>
          <w:highlight w:val="none"/>
        </w:rPr>
      </w:pPr>
    </w:p>
    <w:p w14:paraId="6D5DA7FF">
      <w:pPr>
        <w:spacing w:line="240" w:lineRule="exact"/>
        <w:ind w:firstLine="363"/>
        <w:rPr>
          <w:rFonts w:hint="eastAsia" w:ascii="宋体" w:hAnsi="宋体" w:cs="宋体"/>
          <w:color w:val="auto"/>
          <w:sz w:val="24"/>
          <w:szCs w:val="24"/>
          <w:highlight w:val="none"/>
        </w:rPr>
      </w:pPr>
      <w:r>
        <w:rPr>
          <w:rFonts w:hint="eastAsia" w:ascii="宋体" w:hAnsi="宋体" w:cs="宋体"/>
          <w:color w:val="auto"/>
          <w:sz w:val="24"/>
          <w:szCs w:val="24"/>
          <w:highlight w:val="none"/>
        </w:rPr>
        <w:t>（备注：1</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从业人员、营业收入、资产总额填报上一年度数据，无上一年度数据的新成立企业可不填报。2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投标人如不提供此声明函，不得参加专门面向中小企业采购项目或者不得享受小微企业价格扣除政策。此声明函将随中标结果同时公告，接受社会监督。3</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服务采购项目中，服务的承接商应当为中小企业，不对其中涉及的货物的制造商、工程的承建商作出要求。</w:t>
      </w:r>
      <w:r>
        <w:rPr>
          <w:rFonts w:hint="eastAsia" w:ascii="宋体" w:hAnsi="宋体" w:cs="宋体"/>
          <w:color w:val="auto"/>
          <w:sz w:val="24"/>
          <w:szCs w:val="24"/>
          <w:highlight w:val="none"/>
          <w:lang w:val="en-US" w:eastAsia="zh-CN"/>
        </w:rPr>
        <w:t>4.</w:t>
      </w:r>
      <w:r>
        <w:rPr>
          <w:rFonts w:hint="eastAsia" w:ascii="宋体" w:hAnsi="宋体" w:eastAsia="宋体" w:cs="宋体"/>
          <w:color w:val="auto"/>
          <w:szCs w:val="21"/>
          <w:highlight w:val="none"/>
          <w:lang w:val="en-US" w:eastAsia="zh-CN"/>
        </w:rPr>
        <w:t>投标人</w:t>
      </w:r>
      <w:r>
        <w:rPr>
          <w:rFonts w:hint="eastAsia" w:ascii="宋体" w:hAnsi="宋体" w:eastAsia="宋体" w:cs="宋体"/>
          <w:color w:val="auto"/>
          <w:szCs w:val="21"/>
          <w:highlight w:val="none"/>
        </w:rPr>
        <w:t>如不提供此声明函，价格将不做相应扣除</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按以上格式或按照“苏采云”系统中格式提供均可。</w:t>
      </w:r>
      <w:r>
        <w:rPr>
          <w:rFonts w:hint="eastAsia" w:ascii="宋体" w:hAnsi="宋体" w:cs="宋体"/>
          <w:color w:val="auto"/>
          <w:sz w:val="24"/>
          <w:szCs w:val="24"/>
          <w:highlight w:val="none"/>
        </w:rPr>
        <w:t>）</w:t>
      </w:r>
    </w:p>
    <w:p w14:paraId="0D1542F0">
      <w:pPr>
        <w:spacing w:line="360" w:lineRule="auto"/>
        <w:ind w:right="720"/>
        <w:rPr>
          <w:rFonts w:hint="eastAsia" w:ascii="宋体" w:hAnsi="宋体" w:cs="宋体"/>
          <w:color w:val="auto"/>
          <w:sz w:val="24"/>
          <w:szCs w:val="24"/>
          <w:highlight w:val="none"/>
        </w:rPr>
      </w:pPr>
    </w:p>
    <w:p w14:paraId="7C7957D7">
      <w:pPr>
        <w:spacing w:line="360" w:lineRule="auto"/>
        <w:ind w:right="180" w:firstLine="3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企业名称：（加盖CA电子公章）</w:t>
      </w:r>
    </w:p>
    <w:p w14:paraId="5001CE15">
      <w:pPr>
        <w:spacing w:line="360" w:lineRule="auto"/>
        <w:jc w:val="right"/>
        <w:rPr>
          <w:rFonts w:hint="eastAsia" w:ascii="宋体" w:hAnsi="宋体" w:cs="宋体"/>
          <w:color w:val="auto"/>
          <w:sz w:val="28"/>
          <w:szCs w:val="28"/>
          <w:highlight w:val="none"/>
        </w:rPr>
      </w:pPr>
      <w:r>
        <w:rPr>
          <w:rFonts w:hint="eastAsia" w:ascii="宋体" w:hAnsi="宋体" w:cs="宋体"/>
          <w:color w:val="auto"/>
          <w:sz w:val="24"/>
          <w:szCs w:val="24"/>
          <w:highlight w:val="none"/>
        </w:rPr>
        <w:t>日  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年___月___日</w:t>
      </w:r>
    </w:p>
    <w:p w14:paraId="31065AE9">
      <w:pPr>
        <w:spacing w:line="360" w:lineRule="auto"/>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残疾人福利性单位声明函</w:t>
      </w:r>
    </w:p>
    <w:p w14:paraId="418D0F8D">
      <w:pPr>
        <w:spacing w:line="360" w:lineRule="auto"/>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项目采购活动由本单位提供服务。</w:t>
      </w:r>
    </w:p>
    <w:p w14:paraId="3DB21D53">
      <w:pPr>
        <w:spacing w:line="360" w:lineRule="auto"/>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本单位对上述声明的真实性负责。如有虚假，将依法承担相应责任。</w:t>
      </w:r>
    </w:p>
    <w:p w14:paraId="7049ECF8">
      <w:pPr>
        <w:spacing w:line="360" w:lineRule="auto"/>
        <w:ind w:firstLine="480"/>
        <w:rPr>
          <w:rFonts w:hint="eastAsia" w:ascii="宋体" w:hAnsi="宋体" w:cs="宋体"/>
          <w:color w:val="auto"/>
          <w:sz w:val="28"/>
          <w:szCs w:val="28"/>
          <w:highlight w:val="none"/>
        </w:rPr>
      </w:pPr>
    </w:p>
    <w:p w14:paraId="2B2F136B">
      <w:pPr>
        <w:spacing w:line="360" w:lineRule="auto"/>
        <w:ind w:firstLine="480"/>
        <w:rPr>
          <w:rFonts w:hint="eastAsia" w:ascii="宋体" w:hAnsi="宋体" w:cs="宋体"/>
          <w:color w:val="auto"/>
          <w:sz w:val="28"/>
          <w:szCs w:val="28"/>
          <w:highlight w:val="none"/>
        </w:rPr>
      </w:pPr>
      <w:r>
        <w:rPr>
          <w:rFonts w:hint="eastAsia" w:ascii="宋体" w:hAnsi="宋体" w:cs="宋体"/>
          <w:color w:val="auto"/>
          <w:sz w:val="28"/>
          <w:szCs w:val="28"/>
          <w:highlight w:val="none"/>
        </w:rPr>
        <w:t>（备注：1、投标人如不提供此声明函，价格将不做相应扣除。2、中标人为残疾人福利单位的，此声明函将随中标结果同时公告，接受社会监督。）</w:t>
      </w:r>
    </w:p>
    <w:p w14:paraId="0279863D">
      <w:pPr>
        <w:spacing w:line="360" w:lineRule="auto"/>
        <w:ind w:firstLine="624"/>
        <w:rPr>
          <w:rFonts w:hint="eastAsia" w:ascii="宋体" w:hAnsi="宋体" w:cs="宋体"/>
          <w:color w:val="auto"/>
          <w:spacing w:val="6"/>
          <w:sz w:val="28"/>
          <w:szCs w:val="28"/>
          <w:highlight w:val="none"/>
        </w:rPr>
      </w:pPr>
    </w:p>
    <w:p w14:paraId="5482011A">
      <w:pPr>
        <w:pStyle w:val="357"/>
        <w:spacing w:line="360" w:lineRule="auto"/>
        <w:rPr>
          <w:rFonts w:hint="eastAsia"/>
          <w:color w:val="auto"/>
          <w:sz w:val="28"/>
          <w:szCs w:val="28"/>
          <w:highlight w:val="none"/>
        </w:rPr>
      </w:pPr>
    </w:p>
    <w:p w14:paraId="7C3287FE">
      <w:pPr>
        <w:spacing w:line="360" w:lineRule="auto"/>
        <w:ind w:right="180" w:firstLine="360"/>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企业名称：（加盖CA电子公章）</w:t>
      </w:r>
    </w:p>
    <w:p w14:paraId="009C63C6">
      <w:pPr>
        <w:spacing w:line="360" w:lineRule="auto"/>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日  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年___月___日</w:t>
      </w:r>
    </w:p>
    <w:p w14:paraId="5EB6332F">
      <w:pPr>
        <w:spacing w:line="560" w:lineRule="exact"/>
        <w:outlineLvl w:val="1"/>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clear="all"/>
      </w:r>
      <w:bookmarkStart w:id="341" w:name="_Toc6363"/>
      <w:bookmarkStart w:id="342" w:name="_Toc26536"/>
      <w:bookmarkStart w:id="343" w:name="_Toc25403"/>
      <w:bookmarkStart w:id="344" w:name="_Toc23770"/>
      <w:r>
        <w:rPr>
          <w:rFonts w:hint="eastAsia" w:ascii="宋体" w:hAnsi="宋体" w:cs="宋体"/>
          <w:b/>
          <w:bCs/>
          <w:color w:val="auto"/>
          <w:sz w:val="28"/>
          <w:szCs w:val="28"/>
          <w:highlight w:val="none"/>
        </w:rPr>
        <w:t>七、响应及偏离表</w:t>
      </w:r>
      <w:bookmarkEnd w:id="341"/>
      <w:bookmarkEnd w:id="342"/>
      <w:bookmarkEnd w:id="343"/>
      <w:bookmarkEnd w:id="344"/>
    </w:p>
    <w:p w14:paraId="1FB82D4C">
      <w:pPr>
        <w:spacing w:before="146" w:after="146" w:line="5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响应及偏离表</w:t>
      </w:r>
    </w:p>
    <w:tbl>
      <w:tblPr>
        <w:tblStyle w:val="3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2403"/>
        <w:gridCol w:w="2468"/>
        <w:gridCol w:w="2580"/>
        <w:gridCol w:w="1173"/>
      </w:tblGrid>
      <w:tr w14:paraId="31866C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3AAAE573">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2403" w:type="dxa"/>
            <w:noWrap w:val="0"/>
            <w:vAlign w:val="center"/>
          </w:tcPr>
          <w:p w14:paraId="1974A54F">
            <w:pPr>
              <w:pStyle w:val="289"/>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sz w:val="28"/>
                <w:szCs w:val="28"/>
                <w:highlight w:val="none"/>
              </w:rPr>
            </w:pPr>
            <w:r>
              <w:rPr>
                <w:rFonts w:hint="eastAsia"/>
                <w:color w:val="auto"/>
                <w:sz w:val="28"/>
                <w:szCs w:val="28"/>
                <w:highlight w:val="none"/>
              </w:rPr>
              <w:t>服务要求和商务要求</w:t>
            </w:r>
          </w:p>
        </w:tc>
        <w:tc>
          <w:tcPr>
            <w:tcW w:w="2468" w:type="dxa"/>
            <w:noWrap w:val="0"/>
            <w:vAlign w:val="center"/>
          </w:tcPr>
          <w:p w14:paraId="1916461C">
            <w:pPr>
              <w:pStyle w:val="289"/>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sz w:val="28"/>
                <w:szCs w:val="28"/>
                <w:highlight w:val="none"/>
              </w:rPr>
            </w:pPr>
            <w:r>
              <w:rPr>
                <w:rFonts w:hint="eastAsia"/>
                <w:color w:val="auto"/>
                <w:sz w:val="28"/>
                <w:szCs w:val="28"/>
                <w:highlight w:val="none"/>
              </w:rPr>
              <w:t>响应情况（填报“响应或完全响应”）</w:t>
            </w:r>
          </w:p>
        </w:tc>
        <w:tc>
          <w:tcPr>
            <w:tcW w:w="2580" w:type="dxa"/>
            <w:noWrap w:val="0"/>
            <w:vAlign w:val="center"/>
          </w:tcPr>
          <w:p w14:paraId="1CD0BE2B">
            <w:pPr>
              <w:pStyle w:val="289"/>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color w:val="auto"/>
                <w:sz w:val="28"/>
                <w:szCs w:val="28"/>
                <w:highlight w:val="none"/>
              </w:rPr>
            </w:pPr>
            <w:r>
              <w:rPr>
                <w:rFonts w:hint="eastAsia"/>
                <w:color w:val="auto"/>
                <w:sz w:val="28"/>
                <w:szCs w:val="28"/>
                <w:highlight w:val="none"/>
              </w:rPr>
              <w:t>偏离（填报“正偏离、符合或负偏离”）</w:t>
            </w:r>
          </w:p>
        </w:tc>
        <w:tc>
          <w:tcPr>
            <w:tcW w:w="1173" w:type="dxa"/>
            <w:noWrap w:val="0"/>
            <w:vAlign w:val="center"/>
          </w:tcPr>
          <w:p w14:paraId="0304F4AA">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证明</w:t>
            </w:r>
          </w:p>
          <w:p w14:paraId="35627739">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材料</w:t>
            </w:r>
          </w:p>
        </w:tc>
      </w:tr>
      <w:tr w14:paraId="7256B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B1F9115">
            <w:pPr>
              <w:jc w:val="center"/>
              <w:rPr>
                <w:rFonts w:hint="eastAsia" w:ascii="宋体" w:hAnsi="宋体" w:cs="宋体"/>
                <w:color w:val="auto"/>
                <w:sz w:val="28"/>
                <w:szCs w:val="28"/>
                <w:highlight w:val="none"/>
              </w:rPr>
            </w:pPr>
          </w:p>
        </w:tc>
        <w:tc>
          <w:tcPr>
            <w:tcW w:w="2403" w:type="dxa"/>
            <w:noWrap w:val="0"/>
          </w:tcPr>
          <w:p w14:paraId="4973F9A8">
            <w:pPr>
              <w:jc w:val="center"/>
              <w:rPr>
                <w:rFonts w:hint="eastAsia" w:ascii="宋体" w:hAnsi="宋体" w:cs="宋体"/>
                <w:color w:val="auto"/>
                <w:sz w:val="28"/>
                <w:szCs w:val="28"/>
                <w:highlight w:val="none"/>
              </w:rPr>
            </w:pPr>
          </w:p>
        </w:tc>
        <w:tc>
          <w:tcPr>
            <w:tcW w:w="2468" w:type="dxa"/>
            <w:noWrap w:val="0"/>
          </w:tcPr>
          <w:p w14:paraId="4427B276">
            <w:pPr>
              <w:jc w:val="center"/>
              <w:rPr>
                <w:rFonts w:hint="eastAsia" w:ascii="宋体" w:hAnsi="宋体" w:cs="宋体"/>
                <w:color w:val="auto"/>
                <w:sz w:val="28"/>
                <w:szCs w:val="28"/>
                <w:highlight w:val="none"/>
              </w:rPr>
            </w:pPr>
          </w:p>
        </w:tc>
        <w:tc>
          <w:tcPr>
            <w:tcW w:w="2580" w:type="dxa"/>
            <w:noWrap w:val="0"/>
          </w:tcPr>
          <w:p w14:paraId="77D90747">
            <w:pPr>
              <w:jc w:val="center"/>
              <w:rPr>
                <w:rFonts w:hint="eastAsia" w:ascii="宋体" w:hAnsi="宋体" w:cs="宋体"/>
                <w:color w:val="auto"/>
                <w:sz w:val="28"/>
                <w:szCs w:val="28"/>
                <w:highlight w:val="none"/>
              </w:rPr>
            </w:pPr>
          </w:p>
        </w:tc>
        <w:tc>
          <w:tcPr>
            <w:tcW w:w="1173" w:type="dxa"/>
            <w:noWrap w:val="0"/>
          </w:tcPr>
          <w:p w14:paraId="659D8335">
            <w:pPr>
              <w:jc w:val="center"/>
              <w:rPr>
                <w:rFonts w:hint="eastAsia" w:ascii="宋体" w:hAnsi="宋体" w:cs="宋体"/>
                <w:color w:val="auto"/>
                <w:sz w:val="28"/>
                <w:szCs w:val="28"/>
                <w:highlight w:val="none"/>
              </w:rPr>
            </w:pPr>
          </w:p>
        </w:tc>
      </w:tr>
      <w:tr w14:paraId="42273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54F1507C">
            <w:pPr>
              <w:jc w:val="center"/>
              <w:rPr>
                <w:rFonts w:hint="eastAsia" w:ascii="宋体" w:hAnsi="宋体" w:cs="宋体"/>
                <w:color w:val="auto"/>
                <w:sz w:val="28"/>
                <w:szCs w:val="28"/>
                <w:highlight w:val="none"/>
              </w:rPr>
            </w:pPr>
          </w:p>
        </w:tc>
        <w:tc>
          <w:tcPr>
            <w:tcW w:w="2403" w:type="dxa"/>
            <w:noWrap w:val="0"/>
          </w:tcPr>
          <w:p w14:paraId="486B1439">
            <w:pPr>
              <w:jc w:val="center"/>
              <w:rPr>
                <w:rFonts w:hint="eastAsia" w:ascii="宋体" w:hAnsi="宋体" w:cs="宋体"/>
                <w:color w:val="auto"/>
                <w:sz w:val="28"/>
                <w:szCs w:val="28"/>
                <w:highlight w:val="none"/>
              </w:rPr>
            </w:pPr>
          </w:p>
        </w:tc>
        <w:tc>
          <w:tcPr>
            <w:tcW w:w="2468" w:type="dxa"/>
            <w:noWrap w:val="0"/>
          </w:tcPr>
          <w:p w14:paraId="3E5FC253">
            <w:pPr>
              <w:jc w:val="center"/>
              <w:rPr>
                <w:rFonts w:hint="eastAsia" w:ascii="宋体" w:hAnsi="宋体" w:cs="宋体"/>
                <w:color w:val="auto"/>
                <w:sz w:val="28"/>
                <w:szCs w:val="28"/>
                <w:highlight w:val="none"/>
              </w:rPr>
            </w:pPr>
          </w:p>
        </w:tc>
        <w:tc>
          <w:tcPr>
            <w:tcW w:w="2580" w:type="dxa"/>
            <w:noWrap w:val="0"/>
          </w:tcPr>
          <w:p w14:paraId="346EAC2F">
            <w:pPr>
              <w:jc w:val="center"/>
              <w:rPr>
                <w:rFonts w:hint="eastAsia" w:ascii="宋体" w:hAnsi="宋体" w:cs="宋体"/>
                <w:color w:val="auto"/>
                <w:sz w:val="28"/>
                <w:szCs w:val="28"/>
                <w:highlight w:val="none"/>
              </w:rPr>
            </w:pPr>
          </w:p>
        </w:tc>
        <w:tc>
          <w:tcPr>
            <w:tcW w:w="1173" w:type="dxa"/>
            <w:noWrap w:val="0"/>
          </w:tcPr>
          <w:p w14:paraId="2B2A40A3">
            <w:pPr>
              <w:jc w:val="center"/>
              <w:rPr>
                <w:rFonts w:hint="eastAsia" w:ascii="宋体" w:hAnsi="宋体" w:cs="宋体"/>
                <w:color w:val="auto"/>
                <w:sz w:val="28"/>
                <w:szCs w:val="28"/>
                <w:highlight w:val="none"/>
              </w:rPr>
            </w:pPr>
          </w:p>
        </w:tc>
      </w:tr>
      <w:tr w14:paraId="69545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5F84111">
            <w:pPr>
              <w:jc w:val="center"/>
              <w:rPr>
                <w:rFonts w:hint="eastAsia" w:ascii="宋体" w:hAnsi="宋体" w:cs="宋体"/>
                <w:color w:val="auto"/>
                <w:sz w:val="28"/>
                <w:szCs w:val="28"/>
                <w:highlight w:val="none"/>
              </w:rPr>
            </w:pPr>
          </w:p>
        </w:tc>
        <w:tc>
          <w:tcPr>
            <w:tcW w:w="2403" w:type="dxa"/>
            <w:noWrap w:val="0"/>
          </w:tcPr>
          <w:p w14:paraId="56E97588">
            <w:pPr>
              <w:jc w:val="center"/>
              <w:rPr>
                <w:rFonts w:hint="eastAsia" w:ascii="宋体" w:hAnsi="宋体" w:cs="宋体"/>
                <w:color w:val="auto"/>
                <w:sz w:val="28"/>
                <w:szCs w:val="28"/>
                <w:highlight w:val="none"/>
              </w:rPr>
            </w:pPr>
          </w:p>
        </w:tc>
        <w:tc>
          <w:tcPr>
            <w:tcW w:w="2468" w:type="dxa"/>
            <w:noWrap w:val="0"/>
          </w:tcPr>
          <w:p w14:paraId="68E6EE90">
            <w:pPr>
              <w:jc w:val="center"/>
              <w:rPr>
                <w:rFonts w:hint="eastAsia" w:ascii="宋体" w:hAnsi="宋体" w:cs="宋体"/>
                <w:color w:val="auto"/>
                <w:sz w:val="28"/>
                <w:szCs w:val="28"/>
                <w:highlight w:val="none"/>
              </w:rPr>
            </w:pPr>
          </w:p>
        </w:tc>
        <w:tc>
          <w:tcPr>
            <w:tcW w:w="2580" w:type="dxa"/>
            <w:noWrap w:val="0"/>
          </w:tcPr>
          <w:p w14:paraId="09F13E1C">
            <w:pPr>
              <w:jc w:val="center"/>
              <w:rPr>
                <w:rFonts w:hint="eastAsia" w:ascii="宋体" w:hAnsi="宋体" w:cs="宋体"/>
                <w:color w:val="auto"/>
                <w:sz w:val="28"/>
                <w:szCs w:val="28"/>
                <w:highlight w:val="none"/>
              </w:rPr>
            </w:pPr>
          </w:p>
        </w:tc>
        <w:tc>
          <w:tcPr>
            <w:tcW w:w="1173" w:type="dxa"/>
            <w:noWrap w:val="0"/>
          </w:tcPr>
          <w:p w14:paraId="210C4E09">
            <w:pPr>
              <w:jc w:val="center"/>
              <w:rPr>
                <w:rFonts w:hint="eastAsia" w:ascii="宋体" w:hAnsi="宋体" w:cs="宋体"/>
                <w:color w:val="auto"/>
                <w:sz w:val="28"/>
                <w:szCs w:val="28"/>
                <w:highlight w:val="none"/>
              </w:rPr>
            </w:pPr>
          </w:p>
        </w:tc>
      </w:tr>
      <w:tr w14:paraId="48AB0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1A96653">
            <w:pPr>
              <w:jc w:val="center"/>
              <w:rPr>
                <w:rFonts w:hint="eastAsia" w:ascii="宋体" w:hAnsi="宋体" w:cs="宋体"/>
                <w:color w:val="auto"/>
                <w:sz w:val="28"/>
                <w:szCs w:val="28"/>
                <w:highlight w:val="none"/>
              </w:rPr>
            </w:pPr>
          </w:p>
        </w:tc>
        <w:tc>
          <w:tcPr>
            <w:tcW w:w="2403" w:type="dxa"/>
            <w:noWrap w:val="0"/>
          </w:tcPr>
          <w:p w14:paraId="71B96D06">
            <w:pPr>
              <w:jc w:val="center"/>
              <w:rPr>
                <w:rFonts w:hint="eastAsia" w:ascii="宋体" w:hAnsi="宋体" w:cs="宋体"/>
                <w:color w:val="auto"/>
                <w:sz w:val="28"/>
                <w:szCs w:val="28"/>
                <w:highlight w:val="none"/>
              </w:rPr>
            </w:pPr>
          </w:p>
        </w:tc>
        <w:tc>
          <w:tcPr>
            <w:tcW w:w="2468" w:type="dxa"/>
            <w:noWrap w:val="0"/>
          </w:tcPr>
          <w:p w14:paraId="611C0E8E">
            <w:pPr>
              <w:jc w:val="center"/>
              <w:rPr>
                <w:rFonts w:hint="eastAsia" w:ascii="宋体" w:hAnsi="宋体" w:cs="宋体"/>
                <w:color w:val="auto"/>
                <w:sz w:val="28"/>
                <w:szCs w:val="28"/>
                <w:highlight w:val="none"/>
              </w:rPr>
            </w:pPr>
          </w:p>
        </w:tc>
        <w:tc>
          <w:tcPr>
            <w:tcW w:w="2580" w:type="dxa"/>
            <w:noWrap w:val="0"/>
          </w:tcPr>
          <w:p w14:paraId="7895B642">
            <w:pPr>
              <w:jc w:val="center"/>
              <w:rPr>
                <w:rFonts w:hint="eastAsia" w:ascii="宋体" w:hAnsi="宋体" w:cs="宋体"/>
                <w:color w:val="auto"/>
                <w:sz w:val="28"/>
                <w:szCs w:val="28"/>
                <w:highlight w:val="none"/>
              </w:rPr>
            </w:pPr>
          </w:p>
        </w:tc>
        <w:tc>
          <w:tcPr>
            <w:tcW w:w="1173" w:type="dxa"/>
            <w:noWrap w:val="0"/>
          </w:tcPr>
          <w:p w14:paraId="216518C7">
            <w:pPr>
              <w:jc w:val="center"/>
              <w:rPr>
                <w:rFonts w:hint="eastAsia" w:ascii="宋体" w:hAnsi="宋体" w:cs="宋体"/>
                <w:color w:val="auto"/>
                <w:sz w:val="28"/>
                <w:szCs w:val="28"/>
                <w:highlight w:val="none"/>
              </w:rPr>
            </w:pPr>
          </w:p>
        </w:tc>
      </w:tr>
      <w:tr w14:paraId="371B7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046FA418">
            <w:pPr>
              <w:jc w:val="center"/>
              <w:rPr>
                <w:rFonts w:hint="eastAsia" w:ascii="宋体" w:hAnsi="宋体" w:cs="宋体"/>
                <w:color w:val="auto"/>
                <w:sz w:val="28"/>
                <w:szCs w:val="28"/>
                <w:highlight w:val="none"/>
              </w:rPr>
            </w:pPr>
          </w:p>
        </w:tc>
        <w:tc>
          <w:tcPr>
            <w:tcW w:w="2403" w:type="dxa"/>
            <w:noWrap w:val="0"/>
          </w:tcPr>
          <w:p w14:paraId="0978F2AC">
            <w:pPr>
              <w:jc w:val="center"/>
              <w:rPr>
                <w:rFonts w:hint="eastAsia" w:ascii="宋体" w:hAnsi="宋体" w:cs="宋体"/>
                <w:color w:val="auto"/>
                <w:sz w:val="28"/>
                <w:szCs w:val="28"/>
                <w:highlight w:val="none"/>
              </w:rPr>
            </w:pPr>
          </w:p>
        </w:tc>
        <w:tc>
          <w:tcPr>
            <w:tcW w:w="2468" w:type="dxa"/>
            <w:noWrap w:val="0"/>
          </w:tcPr>
          <w:p w14:paraId="0B4CD3C1">
            <w:pPr>
              <w:jc w:val="center"/>
              <w:rPr>
                <w:rFonts w:hint="eastAsia" w:ascii="宋体" w:hAnsi="宋体" w:cs="宋体"/>
                <w:color w:val="auto"/>
                <w:sz w:val="28"/>
                <w:szCs w:val="28"/>
                <w:highlight w:val="none"/>
              </w:rPr>
            </w:pPr>
          </w:p>
        </w:tc>
        <w:tc>
          <w:tcPr>
            <w:tcW w:w="2580" w:type="dxa"/>
            <w:noWrap w:val="0"/>
          </w:tcPr>
          <w:p w14:paraId="787A3C2D">
            <w:pPr>
              <w:jc w:val="center"/>
              <w:rPr>
                <w:rFonts w:hint="eastAsia" w:ascii="宋体" w:hAnsi="宋体" w:cs="宋体"/>
                <w:color w:val="auto"/>
                <w:sz w:val="28"/>
                <w:szCs w:val="28"/>
                <w:highlight w:val="none"/>
              </w:rPr>
            </w:pPr>
          </w:p>
        </w:tc>
        <w:tc>
          <w:tcPr>
            <w:tcW w:w="1173" w:type="dxa"/>
            <w:noWrap w:val="0"/>
          </w:tcPr>
          <w:p w14:paraId="2CABC705">
            <w:pPr>
              <w:jc w:val="center"/>
              <w:rPr>
                <w:rFonts w:hint="eastAsia" w:ascii="宋体" w:hAnsi="宋体" w:cs="宋体"/>
                <w:color w:val="auto"/>
                <w:sz w:val="28"/>
                <w:szCs w:val="28"/>
                <w:highlight w:val="none"/>
              </w:rPr>
            </w:pPr>
          </w:p>
        </w:tc>
      </w:tr>
      <w:tr w14:paraId="6769D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E7259BE">
            <w:pPr>
              <w:jc w:val="center"/>
              <w:rPr>
                <w:rFonts w:hint="eastAsia" w:ascii="宋体" w:hAnsi="宋体" w:cs="宋体"/>
                <w:color w:val="auto"/>
                <w:sz w:val="28"/>
                <w:szCs w:val="28"/>
                <w:highlight w:val="none"/>
              </w:rPr>
            </w:pPr>
          </w:p>
        </w:tc>
        <w:tc>
          <w:tcPr>
            <w:tcW w:w="2403" w:type="dxa"/>
            <w:noWrap w:val="0"/>
          </w:tcPr>
          <w:p w14:paraId="5A9C06AB">
            <w:pPr>
              <w:jc w:val="center"/>
              <w:rPr>
                <w:rFonts w:hint="eastAsia" w:ascii="宋体" w:hAnsi="宋体" w:cs="宋体"/>
                <w:color w:val="auto"/>
                <w:sz w:val="28"/>
                <w:szCs w:val="28"/>
                <w:highlight w:val="none"/>
              </w:rPr>
            </w:pPr>
          </w:p>
        </w:tc>
        <w:tc>
          <w:tcPr>
            <w:tcW w:w="2468" w:type="dxa"/>
            <w:noWrap w:val="0"/>
          </w:tcPr>
          <w:p w14:paraId="0FC4F8B5">
            <w:pPr>
              <w:jc w:val="center"/>
              <w:rPr>
                <w:rFonts w:hint="eastAsia" w:ascii="宋体" w:hAnsi="宋体" w:cs="宋体"/>
                <w:color w:val="auto"/>
                <w:sz w:val="28"/>
                <w:szCs w:val="28"/>
                <w:highlight w:val="none"/>
              </w:rPr>
            </w:pPr>
          </w:p>
        </w:tc>
        <w:tc>
          <w:tcPr>
            <w:tcW w:w="2580" w:type="dxa"/>
            <w:noWrap w:val="0"/>
          </w:tcPr>
          <w:p w14:paraId="62F0D21E">
            <w:pPr>
              <w:jc w:val="center"/>
              <w:rPr>
                <w:rFonts w:hint="eastAsia" w:ascii="宋体" w:hAnsi="宋体" w:cs="宋体"/>
                <w:color w:val="auto"/>
                <w:sz w:val="28"/>
                <w:szCs w:val="28"/>
                <w:highlight w:val="none"/>
              </w:rPr>
            </w:pPr>
          </w:p>
        </w:tc>
        <w:tc>
          <w:tcPr>
            <w:tcW w:w="1173" w:type="dxa"/>
            <w:noWrap w:val="0"/>
          </w:tcPr>
          <w:p w14:paraId="7451D44E">
            <w:pPr>
              <w:jc w:val="center"/>
              <w:rPr>
                <w:rFonts w:hint="eastAsia" w:ascii="宋体" w:hAnsi="宋体" w:cs="宋体"/>
                <w:color w:val="auto"/>
                <w:sz w:val="28"/>
                <w:szCs w:val="28"/>
                <w:highlight w:val="none"/>
              </w:rPr>
            </w:pPr>
          </w:p>
        </w:tc>
      </w:tr>
      <w:tr w14:paraId="4D6BA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6B10B24">
            <w:pPr>
              <w:jc w:val="center"/>
              <w:rPr>
                <w:rFonts w:hint="eastAsia" w:ascii="宋体" w:hAnsi="宋体" w:cs="宋体"/>
                <w:color w:val="auto"/>
                <w:sz w:val="28"/>
                <w:szCs w:val="28"/>
                <w:highlight w:val="none"/>
              </w:rPr>
            </w:pPr>
          </w:p>
        </w:tc>
        <w:tc>
          <w:tcPr>
            <w:tcW w:w="2403" w:type="dxa"/>
            <w:noWrap w:val="0"/>
          </w:tcPr>
          <w:p w14:paraId="29A5CB76">
            <w:pPr>
              <w:jc w:val="center"/>
              <w:rPr>
                <w:rFonts w:hint="eastAsia" w:ascii="宋体" w:hAnsi="宋体" w:cs="宋体"/>
                <w:color w:val="auto"/>
                <w:sz w:val="28"/>
                <w:szCs w:val="28"/>
                <w:highlight w:val="none"/>
              </w:rPr>
            </w:pPr>
          </w:p>
        </w:tc>
        <w:tc>
          <w:tcPr>
            <w:tcW w:w="2468" w:type="dxa"/>
            <w:noWrap w:val="0"/>
          </w:tcPr>
          <w:p w14:paraId="1D6774F3">
            <w:pPr>
              <w:jc w:val="center"/>
              <w:rPr>
                <w:rFonts w:hint="eastAsia" w:ascii="宋体" w:hAnsi="宋体" w:cs="宋体"/>
                <w:color w:val="auto"/>
                <w:sz w:val="28"/>
                <w:szCs w:val="28"/>
                <w:highlight w:val="none"/>
              </w:rPr>
            </w:pPr>
          </w:p>
        </w:tc>
        <w:tc>
          <w:tcPr>
            <w:tcW w:w="2580" w:type="dxa"/>
            <w:noWrap w:val="0"/>
          </w:tcPr>
          <w:p w14:paraId="2EEFE5FA">
            <w:pPr>
              <w:jc w:val="center"/>
              <w:rPr>
                <w:rFonts w:hint="eastAsia" w:ascii="宋体" w:hAnsi="宋体" w:cs="宋体"/>
                <w:color w:val="auto"/>
                <w:sz w:val="28"/>
                <w:szCs w:val="28"/>
                <w:highlight w:val="none"/>
              </w:rPr>
            </w:pPr>
          </w:p>
        </w:tc>
        <w:tc>
          <w:tcPr>
            <w:tcW w:w="1173" w:type="dxa"/>
            <w:noWrap w:val="0"/>
          </w:tcPr>
          <w:p w14:paraId="2009C191">
            <w:pPr>
              <w:jc w:val="center"/>
              <w:rPr>
                <w:rFonts w:hint="eastAsia" w:ascii="宋体" w:hAnsi="宋体" w:cs="宋体"/>
                <w:color w:val="auto"/>
                <w:sz w:val="28"/>
                <w:szCs w:val="28"/>
                <w:highlight w:val="none"/>
              </w:rPr>
            </w:pPr>
          </w:p>
        </w:tc>
      </w:tr>
      <w:tr w14:paraId="5930B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5DA1A2F">
            <w:pPr>
              <w:jc w:val="center"/>
              <w:rPr>
                <w:rFonts w:hint="eastAsia" w:ascii="宋体" w:hAnsi="宋体" w:cs="宋体"/>
                <w:color w:val="auto"/>
                <w:sz w:val="28"/>
                <w:szCs w:val="28"/>
                <w:highlight w:val="none"/>
              </w:rPr>
            </w:pPr>
          </w:p>
        </w:tc>
        <w:tc>
          <w:tcPr>
            <w:tcW w:w="2403" w:type="dxa"/>
            <w:noWrap w:val="0"/>
          </w:tcPr>
          <w:p w14:paraId="48548860">
            <w:pPr>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w:t>
            </w:r>
          </w:p>
        </w:tc>
        <w:tc>
          <w:tcPr>
            <w:tcW w:w="2468" w:type="dxa"/>
            <w:noWrap w:val="0"/>
          </w:tcPr>
          <w:p w14:paraId="23DA5AC6">
            <w:pPr>
              <w:jc w:val="center"/>
              <w:rPr>
                <w:rFonts w:hint="eastAsia" w:ascii="宋体" w:hAnsi="宋体" w:cs="宋体"/>
                <w:color w:val="auto"/>
                <w:sz w:val="28"/>
                <w:szCs w:val="28"/>
                <w:highlight w:val="none"/>
              </w:rPr>
            </w:pPr>
          </w:p>
        </w:tc>
        <w:tc>
          <w:tcPr>
            <w:tcW w:w="2580" w:type="dxa"/>
            <w:noWrap w:val="0"/>
          </w:tcPr>
          <w:p w14:paraId="0D927BCC">
            <w:pPr>
              <w:jc w:val="center"/>
              <w:rPr>
                <w:rFonts w:hint="eastAsia" w:ascii="宋体" w:hAnsi="宋体" w:cs="宋体"/>
                <w:color w:val="auto"/>
                <w:sz w:val="28"/>
                <w:szCs w:val="28"/>
                <w:highlight w:val="none"/>
              </w:rPr>
            </w:pPr>
          </w:p>
        </w:tc>
        <w:tc>
          <w:tcPr>
            <w:tcW w:w="1173" w:type="dxa"/>
            <w:noWrap w:val="0"/>
          </w:tcPr>
          <w:p w14:paraId="2A3B0AB3">
            <w:pPr>
              <w:jc w:val="center"/>
              <w:rPr>
                <w:rFonts w:hint="eastAsia" w:ascii="宋体" w:hAnsi="宋体" w:cs="宋体"/>
                <w:color w:val="auto"/>
                <w:sz w:val="28"/>
                <w:szCs w:val="28"/>
                <w:highlight w:val="none"/>
              </w:rPr>
            </w:pPr>
          </w:p>
        </w:tc>
      </w:tr>
    </w:tbl>
    <w:p w14:paraId="48DB7954">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1.投标人必须对服务要求和商务要求中的实质性要求（打“★”内容）做出明确响应，否则作无效响应处理。</w:t>
      </w:r>
    </w:p>
    <w:p w14:paraId="0646C43E">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2.如果采购文件要求提供证明材料，投标人必须将证明材料列于该表之下。</w:t>
      </w:r>
    </w:p>
    <w:p w14:paraId="07F33040">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3.投标人未对实质性要求作出明确响应的，该分包作无效响应处理。</w:t>
      </w:r>
    </w:p>
    <w:p w14:paraId="789A258C">
      <w:pPr>
        <w:spacing w:line="500" w:lineRule="exact"/>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4.行数不够，可自行添加。</w:t>
      </w:r>
    </w:p>
    <w:p w14:paraId="24652D90">
      <w:pPr>
        <w:jc w:val="center"/>
        <w:rPr>
          <w:rFonts w:hint="eastAsia" w:ascii="宋体" w:hAnsi="宋体" w:cs="宋体"/>
          <w:b/>
          <w:color w:val="auto"/>
          <w:sz w:val="28"/>
          <w:szCs w:val="28"/>
          <w:highlight w:val="none"/>
        </w:rPr>
      </w:pPr>
    </w:p>
    <w:p w14:paraId="10B592AD">
      <w:pPr>
        <w:pStyle w:val="360"/>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bookmarkStart w:id="345" w:name="_Toc11372"/>
      <w:bookmarkStart w:id="346" w:name="_Toc1439"/>
      <w:bookmarkStart w:id="347" w:name="_Toc98"/>
      <w:bookmarkStart w:id="348" w:name="_Toc14738"/>
      <w:r>
        <w:rPr>
          <w:rFonts w:hint="eastAsia" w:ascii="宋体" w:hAnsi="宋体" w:eastAsia="宋体" w:cs="宋体"/>
          <w:color w:val="auto"/>
          <w:sz w:val="28"/>
          <w:szCs w:val="28"/>
          <w:highlight w:val="none"/>
        </w:rPr>
        <w:t>八、项目组人员</w:t>
      </w:r>
      <w:bookmarkEnd w:id="345"/>
      <w:bookmarkEnd w:id="346"/>
      <w:bookmarkEnd w:id="347"/>
      <w:bookmarkEnd w:id="348"/>
    </w:p>
    <w:p w14:paraId="090E3435">
      <w:pPr>
        <w:pStyle w:val="289"/>
        <w:spacing w:line="600" w:lineRule="exact"/>
        <w:jc w:val="center"/>
        <w:rPr>
          <w:rFonts w:hint="eastAsia"/>
          <w:b/>
          <w:bCs/>
          <w:color w:val="auto"/>
          <w:sz w:val="28"/>
          <w:szCs w:val="28"/>
          <w:highlight w:val="none"/>
        </w:rPr>
      </w:pPr>
      <w:r>
        <w:rPr>
          <w:rFonts w:hint="eastAsia"/>
          <w:b/>
          <w:bCs/>
          <w:color w:val="auto"/>
          <w:sz w:val="28"/>
          <w:szCs w:val="28"/>
          <w:highlight w:val="none"/>
          <w:lang w:bidi="ar"/>
        </w:rPr>
        <w:t>项目组成员</w:t>
      </w:r>
    </w:p>
    <w:tbl>
      <w:tblPr>
        <w:tblStyle w:val="35"/>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307FE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625425D3">
            <w:pPr>
              <w:pStyle w:val="361"/>
              <w:widowControl/>
              <w:spacing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姓名</w:t>
            </w:r>
          </w:p>
        </w:tc>
        <w:tc>
          <w:tcPr>
            <w:tcW w:w="1843" w:type="dxa"/>
            <w:noWrap w:val="0"/>
            <w:vAlign w:val="center"/>
          </w:tcPr>
          <w:p w14:paraId="2DD58D4C">
            <w:pPr>
              <w:pStyle w:val="361"/>
              <w:widowControl/>
              <w:spacing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职务</w:t>
            </w:r>
          </w:p>
        </w:tc>
        <w:tc>
          <w:tcPr>
            <w:tcW w:w="992" w:type="dxa"/>
            <w:noWrap w:val="0"/>
            <w:vAlign w:val="center"/>
          </w:tcPr>
          <w:p w14:paraId="205F3A95">
            <w:pPr>
              <w:pStyle w:val="361"/>
              <w:widowControl/>
              <w:spacing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学历</w:t>
            </w:r>
          </w:p>
        </w:tc>
        <w:tc>
          <w:tcPr>
            <w:tcW w:w="1984" w:type="dxa"/>
            <w:noWrap w:val="0"/>
            <w:vAlign w:val="center"/>
          </w:tcPr>
          <w:p w14:paraId="0E1A8235">
            <w:pPr>
              <w:pStyle w:val="361"/>
              <w:widowControl/>
              <w:spacing w:beforeAutospacing="1" w:line="560" w:lineRule="exact"/>
              <w:ind w:firstLine="280"/>
              <w:rPr>
                <w:rFonts w:hint="eastAsia" w:ascii="宋体" w:hAnsi="宋体" w:cs="宋体"/>
                <w:color w:val="auto"/>
                <w:sz w:val="28"/>
                <w:szCs w:val="28"/>
                <w:highlight w:val="none"/>
              </w:rPr>
            </w:pPr>
            <w:r>
              <w:rPr>
                <w:rFonts w:hint="eastAsia" w:ascii="宋体" w:hAnsi="宋体" w:cs="宋体"/>
                <w:color w:val="auto"/>
                <w:sz w:val="28"/>
                <w:szCs w:val="28"/>
                <w:highlight w:val="none"/>
              </w:rPr>
              <w:t>身份证号</w:t>
            </w:r>
          </w:p>
        </w:tc>
        <w:tc>
          <w:tcPr>
            <w:tcW w:w="1702" w:type="dxa"/>
            <w:noWrap w:val="0"/>
            <w:vAlign w:val="center"/>
          </w:tcPr>
          <w:p w14:paraId="6804C13C">
            <w:pPr>
              <w:pStyle w:val="361"/>
              <w:widowControl/>
              <w:spacing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相关证书</w:t>
            </w:r>
          </w:p>
        </w:tc>
        <w:tc>
          <w:tcPr>
            <w:tcW w:w="962" w:type="dxa"/>
            <w:noWrap w:val="0"/>
            <w:vAlign w:val="center"/>
          </w:tcPr>
          <w:p w14:paraId="5038ED70">
            <w:pPr>
              <w:pStyle w:val="361"/>
              <w:widowControl/>
              <w:spacing w:beforeAutospacing="1"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tc>
      </w:tr>
      <w:tr w14:paraId="633D5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C04D623">
            <w:pPr>
              <w:pStyle w:val="361"/>
              <w:widowControl/>
              <w:spacing w:line="560" w:lineRule="exact"/>
              <w:ind w:firstLine="560"/>
              <w:jc w:val="center"/>
              <w:rPr>
                <w:rFonts w:hint="eastAsia" w:ascii="宋体" w:hAnsi="宋体" w:cs="宋体"/>
                <w:color w:val="auto"/>
                <w:sz w:val="28"/>
                <w:szCs w:val="28"/>
                <w:highlight w:val="none"/>
              </w:rPr>
            </w:pPr>
          </w:p>
        </w:tc>
        <w:tc>
          <w:tcPr>
            <w:tcW w:w="1843" w:type="dxa"/>
            <w:noWrap w:val="0"/>
            <w:vAlign w:val="center"/>
          </w:tcPr>
          <w:p w14:paraId="6D04420B">
            <w:pPr>
              <w:pStyle w:val="289"/>
              <w:jc w:val="center"/>
              <w:rPr>
                <w:rFonts w:hint="eastAsia"/>
                <w:color w:val="auto"/>
                <w:sz w:val="28"/>
                <w:szCs w:val="28"/>
                <w:highlight w:val="none"/>
              </w:rPr>
            </w:pPr>
          </w:p>
        </w:tc>
        <w:tc>
          <w:tcPr>
            <w:tcW w:w="992" w:type="dxa"/>
            <w:noWrap w:val="0"/>
            <w:vAlign w:val="center"/>
          </w:tcPr>
          <w:p w14:paraId="26AE9A0A">
            <w:pPr>
              <w:pStyle w:val="361"/>
              <w:widowControl/>
              <w:spacing w:line="560" w:lineRule="exact"/>
              <w:ind w:firstLine="560"/>
              <w:jc w:val="center"/>
              <w:rPr>
                <w:rFonts w:hint="eastAsia" w:ascii="宋体" w:hAnsi="宋体" w:cs="宋体"/>
                <w:color w:val="auto"/>
                <w:sz w:val="28"/>
                <w:szCs w:val="28"/>
                <w:highlight w:val="none"/>
              </w:rPr>
            </w:pPr>
          </w:p>
        </w:tc>
        <w:tc>
          <w:tcPr>
            <w:tcW w:w="1984" w:type="dxa"/>
            <w:noWrap w:val="0"/>
            <w:vAlign w:val="center"/>
          </w:tcPr>
          <w:p w14:paraId="22B1CE60">
            <w:pPr>
              <w:pStyle w:val="361"/>
              <w:widowControl/>
              <w:spacing w:line="560" w:lineRule="exact"/>
              <w:ind w:firstLine="560"/>
              <w:jc w:val="center"/>
              <w:rPr>
                <w:rFonts w:hint="eastAsia" w:ascii="宋体" w:hAnsi="宋体" w:cs="宋体"/>
                <w:color w:val="auto"/>
                <w:sz w:val="28"/>
                <w:szCs w:val="28"/>
                <w:highlight w:val="none"/>
              </w:rPr>
            </w:pPr>
          </w:p>
        </w:tc>
        <w:tc>
          <w:tcPr>
            <w:tcW w:w="1702" w:type="dxa"/>
            <w:noWrap w:val="0"/>
            <w:vAlign w:val="center"/>
          </w:tcPr>
          <w:p w14:paraId="7994DD64">
            <w:pPr>
              <w:pStyle w:val="361"/>
              <w:widowControl/>
              <w:spacing w:line="560" w:lineRule="exact"/>
              <w:ind w:firstLine="560"/>
              <w:jc w:val="center"/>
              <w:rPr>
                <w:rFonts w:hint="eastAsia" w:ascii="宋体" w:hAnsi="宋体" w:cs="宋体"/>
                <w:color w:val="auto"/>
                <w:sz w:val="28"/>
                <w:szCs w:val="28"/>
                <w:highlight w:val="none"/>
              </w:rPr>
            </w:pPr>
          </w:p>
        </w:tc>
        <w:tc>
          <w:tcPr>
            <w:tcW w:w="962" w:type="dxa"/>
            <w:noWrap w:val="0"/>
            <w:vAlign w:val="center"/>
          </w:tcPr>
          <w:p w14:paraId="2B2140D8">
            <w:pPr>
              <w:pStyle w:val="361"/>
              <w:widowControl/>
              <w:spacing w:line="560" w:lineRule="exact"/>
              <w:ind w:firstLine="560"/>
              <w:jc w:val="center"/>
              <w:rPr>
                <w:rFonts w:hint="eastAsia" w:ascii="宋体" w:hAnsi="宋体" w:cs="宋体"/>
                <w:color w:val="auto"/>
                <w:sz w:val="28"/>
                <w:szCs w:val="28"/>
                <w:highlight w:val="none"/>
              </w:rPr>
            </w:pPr>
          </w:p>
        </w:tc>
      </w:tr>
      <w:tr w14:paraId="5FC5E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97DD8BF">
            <w:pPr>
              <w:pStyle w:val="361"/>
              <w:widowControl/>
              <w:spacing w:line="560" w:lineRule="exact"/>
              <w:ind w:firstLine="560"/>
              <w:jc w:val="center"/>
              <w:rPr>
                <w:rFonts w:hint="eastAsia" w:ascii="宋体" w:hAnsi="宋体" w:cs="宋体"/>
                <w:color w:val="auto"/>
                <w:sz w:val="28"/>
                <w:szCs w:val="28"/>
                <w:highlight w:val="none"/>
              </w:rPr>
            </w:pPr>
          </w:p>
        </w:tc>
        <w:tc>
          <w:tcPr>
            <w:tcW w:w="1843" w:type="dxa"/>
            <w:noWrap w:val="0"/>
            <w:vAlign w:val="center"/>
          </w:tcPr>
          <w:p w14:paraId="73628BE1">
            <w:pPr>
              <w:pStyle w:val="289"/>
              <w:jc w:val="center"/>
              <w:rPr>
                <w:rFonts w:hint="eastAsia"/>
                <w:color w:val="auto"/>
                <w:sz w:val="28"/>
                <w:szCs w:val="28"/>
                <w:highlight w:val="none"/>
              </w:rPr>
            </w:pPr>
            <w:r>
              <w:rPr>
                <w:rFonts w:hint="eastAsia"/>
                <w:color w:val="auto"/>
                <w:sz w:val="28"/>
                <w:szCs w:val="28"/>
                <w:highlight w:val="none"/>
                <w:lang w:bidi="ar"/>
              </w:rPr>
              <w:t>......</w:t>
            </w:r>
          </w:p>
        </w:tc>
        <w:tc>
          <w:tcPr>
            <w:tcW w:w="992" w:type="dxa"/>
            <w:noWrap w:val="0"/>
            <w:vAlign w:val="center"/>
          </w:tcPr>
          <w:p w14:paraId="3F140930">
            <w:pPr>
              <w:pStyle w:val="361"/>
              <w:widowControl/>
              <w:spacing w:line="560" w:lineRule="exact"/>
              <w:ind w:firstLine="560"/>
              <w:jc w:val="center"/>
              <w:rPr>
                <w:rFonts w:hint="eastAsia" w:ascii="宋体" w:hAnsi="宋体" w:cs="宋体"/>
                <w:color w:val="auto"/>
                <w:sz w:val="28"/>
                <w:szCs w:val="28"/>
                <w:highlight w:val="none"/>
              </w:rPr>
            </w:pPr>
          </w:p>
        </w:tc>
        <w:tc>
          <w:tcPr>
            <w:tcW w:w="1984" w:type="dxa"/>
            <w:noWrap w:val="0"/>
            <w:vAlign w:val="center"/>
          </w:tcPr>
          <w:p w14:paraId="704D8017">
            <w:pPr>
              <w:pStyle w:val="361"/>
              <w:widowControl/>
              <w:spacing w:line="560" w:lineRule="exact"/>
              <w:ind w:firstLine="560"/>
              <w:jc w:val="center"/>
              <w:rPr>
                <w:rFonts w:hint="eastAsia" w:ascii="宋体" w:hAnsi="宋体" w:cs="宋体"/>
                <w:color w:val="auto"/>
                <w:sz w:val="28"/>
                <w:szCs w:val="28"/>
                <w:highlight w:val="none"/>
              </w:rPr>
            </w:pPr>
          </w:p>
        </w:tc>
        <w:tc>
          <w:tcPr>
            <w:tcW w:w="1702" w:type="dxa"/>
            <w:noWrap w:val="0"/>
            <w:vAlign w:val="center"/>
          </w:tcPr>
          <w:p w14:paraId="07731E70">
            <w:pPr>
              <w:pStyle w:val="361"/>
              <w:widowControl/>
              <w:spacing w:line="560" w:lineRule="exact"/>
              <w:ind w:firstLine="560"/>
              <w:jc w:val="center"/>
              <w:rPr>
                <w:rFonts w:hint="eastAsia" w:ascii="宋体" w:hAnsi="宋体" w:cs="宋体"/>
                <w:color w:val="auto"/>
                <w:sz w:val="28"/>
                <w:szCs w:val="28"/>
                <w:highlight w:val="none"/>
              </w:rPr>
            </w:pPr>
          </w:p>
        </w:tc>
        <w:tc>
          <w:tcPr>
            <w:tcW w:w="962" w:type="dxa"/>
            <w:noWrap w:val="0"/>
            <w:vAlign w:val="center"/>
          </w:tcPr>
          <w:p w14:paraId="28E19AFB">
            <w:pPr>
              <w:pStyle w:val="361"/>
              <w:widowControl/>
              <w:spacing w:line="560" w:lineRule="exact"/>
              <w:ind w:firstLine="560"/>
              <w:jc w:val="center"/>
              <w:rPr>
                <w:rFonts w:hint="eastAsia" w:ascii="宋体" w:hAnsi="宋体" w:cs="宋体"/>
                <w:color w:val="auto"/>
                <w:sz w:val="28"/>
                <w:szCs w:val="28"/>
                <w:highlight w:val="none"/>
              </w:rPr>
            </w:pPr>
          </w:p>
        </w:tc>
      </w:tr>
      <w:tr w14:paraId="36C58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35A8E1D">
            <w:pPr>
              <w:pStyle w:val="361"/>
              <w:widowControl/>
              <w:spacing w:line="560" w:lineRule="exact"/>
              <w:ind w:firstLine="560"/>
              <w:jc w:val="center"/>
              <w:rPr>
                <w:rFonts w:hint="eastAsia" w:ascii="宋体" w:hAnsi="宋体" w:cs="宋体"/>
                <w:color w:val="auto"/>
                <w:sz w:val="28"/>
                <w:szCs w:val="28"/>
                <w:highlight w:val="none"/>
              </w:rPr>
            </w:pPr>
          </w:p>
        </w:tc>
        <w:tc>
          <w:tcPr>
            <w:tcW w:w="1843" w:type="dxa"/>
            <w:noWrap w:val="0"/>
            <w:vAlign w:val="center"/>
          </w:tcPr>
          <w:p w14:paraId="375424E1">
            <w:pPr>
              <w:pStyle w:val="289"/>
              <w:jc w:val="center"/>
              <w:rPr>
                <w:rFonts w:hint="eastAsia"/>
                <w:color w:val="auto"/>
                <w:sz w:val="28"/>
                <w:szCs w:val="28"/>
                <w:highlight w:val="none"/>
              </w:rPr>
            </w:pPr>
            <w:r>
              <w:rPr>
                <w:rFonts w:hint="eastAsia"/>
                <w:color w:val="auto"/>
                <w:sz w:val="28"/>
                <w:szCs w:val="28"/>
                <w:highlight w:val="none"/>
                <w:lang w:bidi="ar"/>
              </w:rPr>
              <w:t>......</w:t>
            </w:r>
          </w:p>
        </w:tc>
        <w:tc>
          <w:tcPr>
            <w:tcW w:w="992" w:type="dxa"/>
            <w:noWrap w:val="0"/>
            <w:vAlign w:val="center"/>
          </w:tcPr>
          <w:p w14:paraId="3E4EEDDE">
            <w:pPr>
              <w:pStyle w:val="361"/>
              <w:widowControl/>
              <w:spacing w:line="560" w:lineRule="exact"/>
              <w:ind w:firstLine="560"/>
              <w:jc w:val="center"/>
              <w:rPr>
                <w:rFonts w:hint="eastAsia" w:ascii="宋体" w:hAnsi="宋体" w:cs="宋体"/>
                <w:color w:val="auto"/>
                <w:sz w:val="28"/>
                <w:szCs w:val="28"/>
                <w:highlight w:val="none"/>
              </w:rPr>
            </w:pPr>
          </w:p>
        </w:tc>
        <w:tc>
          <w:tcPr>
            <w:tcW w:w="1984" w:type="dxa"/>
            <w:noWrap w:val="0"/>
            <w:vAlign w:val="center"/>
          </w:tcPr>
          <w:p w14:paraId="4B3B6CB4">
            <w:pPr>
              <w:pStyle w:val="361"/>
              <w:widowControl/>
              <w:spacing w:line="560" w:lineRule="exact"/>
              <w:ind w:firstLine="560"/>
              <w:jc w:val="center"/>
              <w:rPr>
                <w:rFonts w:hint="eastAsia" w:ascii="宋体" w:hAnsi="宋体" w:cs="宋体"/>
                <w:color w:val="auto"/>
                <w:sz w:val="28"/>
                <w:szCs w:val="28"/>
                <w:highlight w:val="none"/>
              </w:rPr>
            </w:pPr>
          </w:p>
        </w:tc>
        <w:tc>
          <w:tcPr>
            <w:tcW w:w="1702" w:type="dxa"/>
            <w:noWrap w:val="0"/>
            <w:vAlign w:val="center"/>
          </w:tcPr>
          <w:p w14:paraId="5C72E4A1">
            <w:pPr>
              <w:pStyle w:val="361"/>
              <w:widowControl/>
              <w:spacing w:line="560" w:lineRule="exact"/>
              <w:ind w:firstLine="560"/>
              <w:jc w:val="center"/>
              <w:rPr>
                <w:rFonts w:hint="eastAsia" w:ascii="宋体" w:hAnsi="宋体" w:cs="宋体"/>
                <w:color w:val="auto"/>
                <w:sz w:val="28"/>
                <w:szCs w:val="28"/>
                <w:highlight w:val="none"/>
              </w:rPr>
            </w:pPr>
          </w:p>
        </w:tc>
        <w:tc>
          <w:tcPr>
            <w:tcW w:w="962" w:type="dxa"/>
            <w:noWrap w:val="0"/>
            <w:vAlign w:val="center"/>
          </w:tcPr>
          <w:p w14:paraId="235D1A2D">
            <w:pPr>
              <w:pStyle w:val="361"/>
              <w:widowControl/>
              <w:spacing w:line="560" w:lineRule="exact"/>
              <w:ind w:firstLine="560"/>
              <w:jc w:val="center"/>
              <w:rPr>
                <w:rFonts w:hint="eastAsia" w:ascii="宋体" w:hAnsi="宋体" w:cs="宋体"/>
                <w:color w:val="auto"/>
                <w:sz w:val="28"/>
                <w:szCs w:val="28"/>
                <w:highlight w:val="none"/>
              </w:rPr>
            </w:pPr>
          </w:p>
        </w:tc>
      </w:tr>
      <w:tr w14:paraId="0946C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0E0A293">
            <w:pPr>
              <w:pStyle w:val="361"/>
              <w:widowControl/>
              <w:spacing w:line="560" w:lineRule="exact"/>
              <w:ind w:firstLine="560"/>
              <w:jc w:val="center"/>
              <w:rPr>
                <w:rFonts w:hint="eastAsia" w:ascii="宋体" w:hAnsi="宋体" w:cs="宋体"/>
                <w:color w:val="auto"/>
                <w:sz w:val="28"/>
                <w:szCs w:val="28"/>
                <w:highlight w:val="none"/>
              </w:rPr>
            </w:pPr>
          </w:p>
        </w:tc>
        <w:tc>
          <w:tcPr>
            <w:tcW w:w="1843" w:type="dxa"/>
            <w:noWrap w:val="0"/>
            <w:vAlign w:val="center"/>
          </w:tcPr>
          <w:p w14:paraId="3F496270">
            <w:pPr>
              <w:pStyle w:val="289"/>
              <w:rPr>
                <w:rFonts w:hint="eastAsia"/>
                <w:color w:val="auto"/>
                <w:sz w:val="28"/>
                <w:szCs w:val="28"/>
                <w:highlight w:val="none"/>
              </w:rPr>
            </w:pPr>
          </w:p>
        </w:tc>
        <w:tc>
          <w:tcPr>
            <w:tcW w:w="992" w:type="dxa"/>
            <w:noWrap w:val="0"/>
            <w:vAlign w:val="center"/>
          </w:tcPr>
          <w:p w14:paraId="0B5EECF3">
            <w:pPr>
              <w:pStyle w:val="361"/>
              <w:widowControl/>
              <w:spacing w:line="560" w:lineRule="exact"/>
              <w:ind w:firstLine="560"/>
              <w:jc w:val="center"/>
              <w:rPr>
                <w:rFonts w:hint="eastAsia" w:ascii="宋体" w:hAnsi="宋体" w:cs="宋体"/>
                <w:color w:val="auto"/>
                <w:sz w:val="28"/>
                <w:szCs w:val="28"/>
                <w:highlight w:val="none"/>
              </w:rPr>
            </w:pPr>
          </w:p>
        </w:tc>
        <w:tc>
          <w:tcPr>
            <w:tcW w:w="1984" w:type="dxa"/>
            <w:noWrap w:val="0"/>
            <w:vAlign w:val="center"/>
          </w:tcPr>
          <w:p w14:paraId="1E3FDAFC">
            <w:pPr>
              <w:pStyle w:val="361"/>
              <w:widowControl/>
              <w:spacing w:line="560" w:lineRule="exact"/>
              <w:ind w:firstLine="560"/>
              <w:jc w:val="center"/>
              <w:rPr>
                <w:rFonts w:hint="eastAsia" w:ascii="宋体" w:hAnsi="宋体" w:cs="宋体"/>
                <w:color w:val="auto"/>
                <w:sz w:val="28"/>
                <w:szCs w:val="28"/>
                <w:highlight w:val="none"/>
              </w:rPr>
            </w:pPr>
          </w:p>
        </w:tc>
        <w:tc>
          <w:tcPr>
            <w:tcW w:w="1702" w:type="dxa"/>
            <w:noWrap w:val="0"/>
            <w:vAlign w:val="center"/>
          </w:tcPr>
          <w:p w14:paraId="102C1971">
            <w:pPr>
              <w:pStyle w:val="361"/>
              <w:widowControl/>
              <w:spacing w:line="560" w:lineRule="exact"/>
              <w:ind w:firstLine="560"/>
              <w:jc w:val="center"/>
              <w:rPr>
                <w:rFonts w:hint="eastAsia" w:ascii="宋体" w:hAnsi="宋体" w:cs="宋体"/>
                <w:color w:val="auto"/>
                <w:sz w:val="28"/>
                <w:szCs w:val="28"/>
                <w:highlight w:val="none"/>
              </w:rPr>
            </w:pPr>
          </w:p>
        </w:tc>
        <w:tc>
          <w:tcPr>
            <w:tcW w:w="962" w:type="dxa"/>
            <w:noWrap w:val="0"/>
            <w:vAlign w:val="center"/>
          </w:tcPr>
          <w:p w14:paraId="7B855578">
            <w:pPr>
              <w:pStyle w:val="361"/>
              <w:widowControl/>
              <w:spacing w:line="560" w:lineRule="exact"/>
              <w:ind w:firstLine="560"/>
              <w:jc w:val="center"/>
              <w:rPr>
                <w:rFonts w:hint="eastAsia" w:ascii="宋体" w:hAnsi="宋体" w:cs="宋体"/>
                <w:color w:val="auto"/>
                <w:sz w:val="28"/>
                <w:szCs w:val="28"/>
                <w:highlight w:val="none"/>
              </w:rPr>
            </w:pPr>
          </w:p>
        </w:tc>
      </w:tr>
      <w:tr w14:paraId="13CBA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4F0D044">
            <w:pPr>
              <w:pStyle w:val="361"/>
              <w:widowControl/>
              <w:spacing w:line="560" w:lineRule="exact"/>
              <w:ind w:firstLine="560"/>
              <w:jc w:val="center"/>
              <w:rPr>
                <w:rFonts w:hint="eastAsia" w:ascii="宋体" w:hAnsi="宋体" w:cs="宋体"/>
                <w:color w:val="auto"/>
                <w:sz w:val="28"/>
                <w:szCs w:val="28"/>
                <w:highlight w:val="none"/>
              </w:rPr>
            </w:pPr>
          </w:p>
        </w:tc>
        <w:tc>
          <w:tcPr>
            <w:tcW w:w="1843" w:type="dxa"/>
            <w:noWrap w:val="0"/>
            <w:vAlign w:val="center"/>
          </w:tcPr>
          <w:p w14:paraId="5AC69AF7">
            <w:pPr>
              <w:pStyle w:val="289"/>
              <w:rPr>
                <w:rFonts w:hint="eastAsia"/>
                <w:color w:val="auto"/>
                <w:sz w:val="28"/>
                <w:szCs w:val="28"/>
                <w:highlight w:val="none"/>
              </w:rPr>
            </w:pPr>
          </w:p>
        </w:tc>
        <w:tc>
          <w:tcPr>
            <w:tcW w:w="992" w:type="dxa"/>
            <w:noWrap w:val="0"/>
            <w:vAlign w:val="center"/>
          </w:tcPr>
          <w:p w14:paraId="6FFE72E6">
            <w:pPr>
              <w:pStyle w:val="361"/>
              <w:widowControl/>
              <w:spacing w:line="560" w:lineRule="exact"/>
              <w:ind w:firstLine="560"/>
              <w:jc w:val="center"/>
              <w:rPr>
                <w:rFonts w:hint="eastAsia" w:ascii="宋体" w:hAnsi="宋体" w:cs="宋体"/>
                <w:color w:val="auto"/>
                <w:sz w:val="28"/>
                <w:szCs w:val="28"/>
                <w:highlight w:val="none"/>
              </w:rPr>
            </w:pPr>
          </w:p>
        </w:tc>
        <w:tc>
          <w:tcPr>
            <w:tcW w:w="1984" w:type="dxa"/>
            <w:noWrap w:val="0"/>
            <w:vAlign w:val="center"/>
          </w:tcPr>
          <w:p w14:paraId="71DBBDB1">
            <w:pPr>
              <w:pStyle w:val="361"/>
              <w:widowControl/>
              <w:spacing w:line="560" w:lineRule="exact"/>
              <w:ind w:firstLine="560"/>
              <w:jc w:val="center"/>
              <w:rPr>
                <w:rFonts w:hint="eastAsia" w:ascii="宋体" w:hAnsi="宋体" w:cs="宋体"/>
                <w:color w:val="auto"/>
                <w:sz w:val="28"/>
                <w:szCs w:val="28"/>
                <w:highlight w:val="none"/>
              </w:rPr>
            </w:pPr>
          </w:p>
        </w:tc>
        <w:tc>
          <w:tcPr>
            <w:tcW w:w="1702" w:type="dxa"/>
            <w:noWrap w:val="0"/>
            <w:vAlign w:val="center"/>
          </w:tcPr>
          <w:p w14:paraId="7A38C803">
            <w:pPr>
              <w:pStyle w:val="361"/>
              <w:widowControl/>
              <w:spacing w:line="560" w:lineRule="exact"/>
              <w:ind w:firstLine="560"/>
              <w:jc w:val="center"/>
              <w:rPr>
                <w:rFonts w:hint="eastAsia" w:ascii="宋体" w:hAnsi="宋体" w:cs="宋体"/>
                <w:color w:val="auto"/>
                <w:sz w:val="28"/>
                <w:szCs w:val="28"/>
                <w:highlight w:val="none"/>
              </w:rPr>
            </w:pPr>
          </w:p>
        </w:tc>
        <w:tc>
          <w:tcPr>
            <w:tcW w:w="962" w:type="dxa"/>
            <w:noWrap w:val="0"/>
            <w:vAlign w:val="center"/>
          </w:tcPr>
          <w:p w14:paraId="7E4DA30F">
            <w:pPr>
              <w:pStyle w:val="361"/>
              <w:widowControl/>
              <w:spacing w:line="560" w:lineRule="exact"/>
              <w:ind w:firstLine="560"/>
              <w:jc w:val="center"/>
              <w:rPr>
                <w:rFonts w:hint="eastAsia" w:ascii="宋体" w:hAnsi="宋体" w:cs="宋体"/>
                <w:color w:val="auto"/>
                <w:sz w:val="28"/>
                <w:szCs w:val="28"/>
                <w:highlight w:val="none"/>
              </w:rPr>
            </w:pPr>
          </w:p>
        </w:tc>
      </w:tr>
      <w:tr w14:paraId="06669E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BA6210C">
            <w:pPr>
              <w:pStyle w:val="361"/>
              <w:widowControl/>
              <w:spacing w:line="560" w:lineRule="exact"/>
              <w:ind w:firstLine="560"/>
              <w:jc w:val="center"/>
              <w:rPr>
                <w:rFonts w:hint="eastAsia" w:ascii="宋体" w:hAnsi="宋体" w:cs="宋体"/>
                <w:color w:val="auto"/>
                <w:sz w:val="28"/>
                <w:szCs w:val="28"/>
                <w:highlight w:val="none"/>
              </w:rPr>
            </w:pPr>
          </w:p>
        </w:tc>
        <w:tc>
          <w:tcPr>
            <w:tcW w:w="1843" w:type="dxa"/>
            <w:noWrap w:val="0"/>
            <w:vAlign w:val="center"/>
          </w:tcPr>
          <w:p w14:paraId="097ED338">
            <w:pPr>
              <w:pStyle w:val="361"/>
              <w:widowControl/>
              <w:spacing w:line="560" w:lineRule="exact"/>
              <w:ind w:firstLine="560"/>
              <w:jc w:val="center"/>
              <w:rPr>
                <w:rFonts w:hint="eastAsia" w:ascii="宋体" w:hAnsi="宋体" w:cs="宋体"/>
                <w:color w:val="auto"/>
                <w:sz w:val="28"/>
                <w:szCs w:val="28"/>
                <w:highlight w:val="none"/>
              </w:rPr>
            </w:pPr>
          </w:p>
        </w:tc>
        <w:tc>
          <w:tcPr>
            <w:tcW w:w="992" w:type="dxa"/>
            <w:noWrap w:val="0"/>
            <w:vAlign w:val="center"/>
          </w:tcPr>
          <w:p w14:paraId="73660D1C">
            <w:pPr>
              <w:pStyle w:val="361"/>
              <w:widowControl/>
              <w:spacing w:line="560" w:lineRule="exact"/>
              <w:ind w:firstLine="560"/>
              <w:jc w:val="center"/>
              <w:rPr>
                <w:rFonts w:hint="eastAsia" w:ascii="宋体" w:hAnsi="宋体" w:cs="宋体"/>
                <w:color w:val="auto"/>
                <w:sz w:val="28"/>
                <w:szCs w:val="28"/>
                <w:highlight w:val="none"/>
              </w:rPr>
            </w:pPr>
          </w:p>
        </w:tc>
        <w:tc>
          <w:tcPr>
            <w:tcW w:w="1984" w:type="dxa"/>
            <w:noWrap w:val="0"/>
            <w:vAlign w:val="center"/>
          </w:tcPr>
          <w:p w14:paraId="23ABE78E">
            <w:pPr>
              <w:pStyle w:val="361"/>
              <w:widowControl/>
              <w:spacing w:line="560" w:lineRule="exact"/>
              <w:ind w:firstLine="560"/>
              <w:jc w:val="center"/>
              <w:rPr>
                <w:rFonts w:hint="eastAsia" w:ascii="宋体" w:hAnsi="宋体" w:cs="宋体"/>
                <w:color w:val="auto"/>
                <w:sz w:val="28"/>
                <w:szCs w:val="28"/>
                <w:highlight w:val="none"/>
              </w:rPr>
            </w:pPr>
          </w:p>
        </w:tc>
        <w:tc>
          <w:tcPr>
            <w:tcW w:w="1702" w:type="dxa"/>
            <w:noWrap w:val="0"/>
            <w:vAlign w:val="center"/>
          </w:tcPr>
          <w:p w14:paraId="5FCDDB2B">
            <w:pPr>
              <w:pStyle w:val="361"/>
              <w:widowControl/>
              <w:spacing w:line="560" w:lineRule="exact"/>
              <w:ind w:firstLine="560"/>
              <w:jc w:val="center"/>
              <w:rPr>
                <w:rFonts w:hint="eastAsia" w:ascii="宋体" w:hAnsi="宋体" w:cs="宋体"/>
                <w:color w:val="auto"/>
                <w:sz w:val="28"/>
                <w:szCs w:val="28"/>
                <w:highlight w:val="none"/>
              </w:rPr>
            </w:pPr>
          </w:p>
        </w:tc>
        <w:tc>
          <w:tcPr>
            <w:tcW w:w="962" w:type="dxa"/>
            <w:noWrap w:val="0"/>
            <w:vAlign w:val="center"/>
          </w:tcPr>
          <w:p w14:paraId="25BBFBA8">
            <w:pPr>
              <w:pStyle w:val="361"/>
              <w:widowControl/>
              <w:spacing w:line="560" w:lineRule="exact"/>
              <w:ind w:firstLine="560"/>
              <w:jc w:val="center"/>
              <w:rPr>
                <w:rFonts w:hint="eastAsia" w:ascii="宋体" w:hAnsi="宋体" w:cs="宋体"/>
                <w:color w:val="auto"/>
                <w:sz w:val="28"/>
                <w:szCs w:val="28"/>
                <w:highlight w:val="none"/>
              </w:rPr>
            </w:pPr>
          </w:p>
        </w:tc>
      </w:tr>
      <w:tr w14:paraId="6CD2B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B6A9883">
            <w:pPr>
              <w:pStyle w:val="361"/>
              <w:widowControl/>
              <w:spacing w:line="560" w:lineRule="exact"/>
              <w:ind w:firstLine="560"/>
              <w:jc w:val="center"/>
              <w:rPr>
                <w:rFonts w:hint="eastAsia" w:ascii="宋体" w:hAnsi="宋体" w:cs="宋体"/>
                <w:color w:val="auto"/>
                <w:sz w:val="28"/>
                <w:szCs w:val="28"/>
                <w:highlight w:val="none"/>
              </w:rPr>
            </w:pPr>
          </w:p>
        </w:tc>
        <w:tc>
          <w:tcPr>
            <w:tcW w:w="1843" w:type="dxa"/>
            <w:noWrap w:val="0"/>
            <w:vAlign w:val="center"/>
          </w:tcPr>
          <w:p w14:paraId="6EB874A6">
            <w:pPr>
              <w:pStyle w:val="361"/>
              <w:widowControl/>
              <w:spacing w:line="560" w:lineRule="exact"/>
              <w:ind w:firstLine="560"/>
              <w:jc w:val="center"/>
              <w:rPr>
                <w:rFonts w:hint="eastAsia" w:ascii="宋体" w:hAnsi="宋体" w:cs="宋体"/>
                <w:color w:val="auto"/>
                <w:sz w:val="28"/>
                <w:szCs w:val="28"/>
                <w:highlight w:val="none"/>
              </w:rPr>
            </w:pPr>
          </w:p>
        </w:tc>
        <w:tc>
          <w:tcPr>
            <w:tcW w:w="992" w:type="dxa"/>
            <w:noWrap w:val="0"/>
            <w:vAlign w:val="center"/>
          </w:tcPr>
          <w:p w14:paraId="4341EF44">
            <w:pPr>
              <w:pStyle w:val="361"/>
              <w:widowControl/>
              <w:spacing w:line="560" w:lineRule="exact"/>
              <w:ind w:firstLine="560"/>
              <w:jc w:val="center"/>
              <w:rPr>
                <w:rFonts w:hint="eastAsia" w:ascii="宋体" w:hAnsi="宋体" w:cs="宋体"/>
                <w:color w:val="auto"/>
                <w:sz w:val="28"/>
                <w:szCs w:val="28"/>
                <w:highlight w:val="none"/>
              </w:rPr>
            </w:pPr>
          </w:p>
        </w:tc>
        <w:tc>
          <w:tcPr>
            <w:tcW w:w="1984" w:type="dxa"/>
            <w:noWrap w:val="0"/>
            <w:vAlign w:val="center"/>
          </w:tcPr>
          <w:p w14:paraId="27D7553C">
            <w:pPr>
              <w:pStyle w:val="361"/>
              <w:widowControl/>
              <w:spacing w:line="560" w:lineRule="exact"/>
              <w:ind w:firstLine="560"/>
              <w:jc w:val="center"/>
              <w:rPr>
                <w:rFonts w:hint="eastAsia" w:ascii="宋体" w:hAnsi="宋体" w:cs="宋体"/>
                <w:color w:val="auto"/>
                <w:sz w:val="28"/>
                <w:szCs w:val="28"/>
                <w:highlight w:val="none"/>
              </w:rPr>
            </w:pPr>
          </w:p>
        </w:tc>
        <w:tc>
          <w:tcPr>
            <w:tcW w:w="1702" w:type="dxa"/>
            <w:noWrap w:val="0"/>
            <w:vAlign w:val="center"/>
          </w:tcPr>
          <w:p w14:paraId="4CD6B9EA">
            <w:pPr>
              <w:pStyle w:val="361"/>
              <w:widowControl/>
              <w:spacing w:line="560" w:lineRule="exact"/>
              <w:ind w:firstLine="560"/>
              <w:jc w:val="center"/>
              <w:rPr>
                <w:rFonts w:hint="eastAsia" w:ascii="宋体" w:hAnsi="宋体" w:cs="宋体"/>
                <w:color w:val="auto"/>
                <w:sz w:val="28"/>
                <w:szCs w:val="28"/>
                <w:highlight w:val="none"/>
              </w:rPr>
            </w:pPr>
          </w:p>
        </w:tc>
        <w:tc>
          <w:tcPr>
            <w:tcW w:w="962" w:type="dxa"/>
            <w:noWrap w:val="0"/>
            <w:vAlign w:val="center"/>
          </w:tcPr>
          <w:p w14:paraId="319AB25D">
            <w:pPr>
              <w:pStyle w:val="361"/>
              <w:widowControl/>
              <w:spacing w:line="560" w:lineRule="exact"/>
              <w:ind w:firstLine="560"/>
              <w:jc w:val="center"/>
              <w:rPr>
                <w:rFonts w:hint="eastAsia" w:ascii="宋体" w:hAnsi="宋体" w:cs="宋体"/>
                <w:color w:val="auto"/>
                <w:sz w:val="28"/>
                <w:szCs w:val="28"/>
                <w:highlight w:val="none"/>
              </w:rPr>
            </w:pPr>
          </w:p>
        </w:tc>
      </w:tr>
      <w:tr w14:paraId="64E16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EA9CE90">
            <w:pPr>
              <w:pStyle w:val="361"/>
              <w:widowControl/>
              <w:spacing w:line="560" w:lineRule="exact"/>
              <w:ind w:firstLine="560"/>
              <w:jc w:val="center"/>
              <w:rPr>
                <w:rFonts w:hint="eastAsia" w:ascii="宋体" w:hAnsi="宋体" w:cs="宋体"/>
                <w:color w:val="auto"/>
                <w:sz w:val="28"/>
                <w:szCs w:val="28"/>
                <w:highlight w:val="none"/>
              </w:rPr>
            </w:pPr>
          </w:p>
        </w:tc>
        <w:tc>
          <w:tcPr>
            <w:tcW w:w="1843" w:type="dxa"/>
            <w:noWrap w:val="0"/>
            <w:vAlign w:val="center"/>
          </w:tcPr>
          <w:p w14:paraId="471EB121">
            <w:pPr>
              <w:pStyle w:val="361"/>
              <w:widowControl/>
              <w:spacing w:line="560" w:lineRule="exact"/>
              <w:ind w:firstLine="560"/>
              <w:jc w:val="center"/>
              <w:rPr>
                <w:rFonts w:hint="eastAsia" w:ascii="宋体" w:hAnsi="宋体" w:cs="宋体"/>
                <w:color w:val="auto"/>
                <w:sz w:val="28"/>
                <w:szCs w:val="28"/>
                <w:highlight w:val="none"/>
              </w:rPr>
            </w:pPr>
          </w:p>
        </w:tc>
        <w:tc>
          <w:tcPr>
            <w:tcW w:w="992" w:type="dxa"/>
            <w:noWrap w:val="0"/>
            <w:vAlign w:val="center"/>
          </w:tcPr>
          <w:p w14:paraId="26063B75">
            <w:pPr>
              <w:pStyle w:val="361"/>
              <w:widowControl/>
              <w:spacing w:line="560" w:lineRule="exact"/>
              <w:ind w:firstLine="560"/>
              <w:jc w:val="center"/>
              <w:rPr>
                <w:rFonts w:hint="eastAsia" w:ascii="宋体" w:hAnsi="宋体" w:cs="宋体"/>
                <w:color w:val="auto"/>
                <w:sz w:val="28"/>
                <w:szCs w:val="28"/>
                <w:highlight w:val="none"/>
              </w:rPr>
            </w:pPr>
          </w:p>
        </w:tc>
        <w:tc>
          <w:tcPr>
            <w:tcW w:w="1984" w:type="dxa"/>
            <w:noWrap w:val="0"/>
            <w:vAlign w:val="center"/>
          </w:tcPr>
          <w:p w14:paraId="4CE1D5F5">
            <w:pPr>
              <w:pStyle w:val="361"/>
              <w:widowControl/>
              <w:spacing w:line="560" w:lineRule="exact"/>
              <w:ind w:firstLine="560"/>
              <w:jc w:val="center"/>
              <w:rPr>
                <w:rFonts w:hint="eastAsia" w:ascii="宋体" w:hAnsi="宋体" w:cs="宋体"/>
                <w:color w:val="auto"/>
                <w:sz w:val="28"/>
                <w:szCs w:val="28"/>
                <w:highlight w:val="none"/>
              </w:rPr>
            </w:pPr>
          </w:p>
        </w:tc>
        <w:tc>
          <w:tcPr>
            <w:tcW w:w="1702" w:type="dxa"/>
            <w:noWrap w:val="0"/>
            <w:vAlign w:val="center"/>
          </w:tcPr>
          <w:p w14:paraId="539AF363">
            <w:pPr>
              <w:pStyle w:val="361"/>
              <w:widowControl/>
              <w:spacing w:line="560" w:lineRule="exact"/>
              <w:ind w:firstLine="560"/>
              <w:jc w:val="center"/>
              <w:rPr>
                <w:rFonts w:hint="eastAsia" w:ascii="宋体" w:hAnsi="宋体" w:cs="宋体"/>
                <w:color w:val="auto"/>
                <w:sz w:val="28"/>
                <w:szCs w:val="28"/>
                <w:highlight w:val="none"/>
              </w:rPr>
            </w:pPr>
          </w:p>
        </w:tc>
        <w:tc>
          <w:tcPr>
            <w:tcW w:w="962" w:type="dxa"/>
            <w:noWrap w:val="0"/>
            <w:vAlign w:val="center"/>
          </w:tcPr>
          <w:p w14:paraId="130C030D">
            <w:pPr>
              <w:pStyle w:val="361"/>
              <w:widowControl/>
              <w:spacing w:line="560" w:lineRule="exact"/>
              <w:ind w:firstLine="560"/>
              <w:jc w:val="center"/>
              <w:rPr>
                <w:rFonts w:hint="eastAsia" w:ascii="宋体" w:hAnsi="宋体" w:cs="宋体"/>
                <w:color w:val="auto"/>
                <w:sz w:val="28"/>
                <w:szCs w:val="28"/>
                <w:highlight w:val="none"/>
              </w:rPr>
            </w:pPr>
          </w:p>
        </w:tc>
      </w:tr>
      <w:tr w14:paraId="0BF41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E350E01">
            <w:pPr>
              <w:pStyle w:val="361"/>
              <w:widowControl/>
              <w:spacing w:line="560" w:lineRule="exact"/>
              <w:ind w:firstLine="560"/>
              <w:jc w:val="center"/>
              <w:rPr>
                <w:rFonts w:hint="eastAsia" w:ascii="宋体" w:hAnsi="宋体" w:cs="宋体"/>
                <w:color w:val="auto"/>
                <w:sz w:val="28"/>
                <w:szCs w:val="28"/>
                <w:highlight w:val="none"/>
              </w:rPr>
            </w:pPr>
          </w:p>
        </w:tc>
        <w:tc>
          <w:tcPr>
            <w:tcW w:w="1843" w:type="dxa"/>
            <w:noWrap w:val="0"/>
            <w:vAlign w:val="center"/>
          </w:tcPr>
          <w:p w14:paraId="4D2B6452">
            <w:pPr>
              <w:pStyle w:val="361"/>
              <w:widowControl/>
              <w:spacing w:line="560" w:lineRule="exact"/>
              <w:ind w:firstLine="560"/>
              <w:jc w:val="center"/>
              <w:rPr>
                <w:rFonts w:hint="eastAsia" w:ascii="宋体" w:hAnsi="宋体" w:cs="宋体"/>
                <w:color w:val="auto"/>
                <w:sz w:val="28"/>
                <w:szCs w:val="28"/>
                <w:highlight w:val="none"/>
              </w:rPr>
            </w:pPr>
          </w:p>
        </w:tc>
        <w:tc>
          <w:tcPr>
            <w:tcW w:w="992" w:type="dxa"/>
            <w:noWrap w:val="0"/>
            <w:vAlign w:val="center"/>
          </w:tcPr>
          <w:p w14:paraId="233C43E6">
            <w:pPr>
              <w:pStyle w:val="361"/>
              <w:widowControl/>
              <w:spacing w:line="560" w:lineRule="exact"/>
              <w:ind w:firstLine="560"/>
              <w:jc w:val="center"/>
              <w:rPr>
                <w:rFonts w:hint="eastAsia" w:ascii="宋体" w:hAnsi="宋体" w:cs="宋体"/>
                <w:color w:val="auto"/>
                <w:sz w:val="28"/>
                <w:szCs w:val="28"/>
                <w:highlight w:val="none"/>
              </w:rPr>
            </w:pPr>
          </w:p>
        </w:tc>
        <w:tc>
          <w:tcPr>
            <w:tcW w:w="1984" w:type="dxa"/>
            <w:noWrap w:val="0"/>
            <w:vAlign w:val="center"/>
          </w:tcPr>
          <w:p w14:paraId="0930BB2B">
            <w:pPr>
              <w:pStyle w:val="361"/>
              <w:widowControl/>
              <w:spacing w:line="560" w:lineRule="exact"/>
              <w:ind w:firstLine="560"/>
              <w:jc w:val="center"/>
              <w:rPr>
                <w:rFonts w:hint="eastAsia" w:ascii="宋体" w:hAnsi="宋体" w:cs="宋体"/>
                <w:color w:val="auto"/>
                <w:sz w:val="28"/>
                <w:szCs w:val="28"/>
                <w:highlight w:val="none"/>
              </w:rPr>
            </w:pPr>
          </w:p>
        </w:tc>
        <w:tc>
          <w:tcPr>
            <w:tcW w:w="1702" w:type="dxa"/>
            <w:noWrap w:val="0"/>
            <w:vAlign w:val="center"/>
          </w:tcPr>
          <w:p w14:paraId="099A346E">
            <w:pPr>
              <w:pStyle w:val="361"/>
              <w:widowControl/>
              <w:spacing w:line="560" w:lineRule="exact"/>
              <w:ind w:firstLine="560"/>
              <w:jc w:val="center"/>
              <w:rPr>
                <w:rFonts w:hint="eastAsia" w:ascii="宋体" w:hAnsi="宋体" w:cs="宋体"/>
                <w:color w:val="auto"/>
                <w:sz w:val="28"/>
                <w:szCs w:val="28"/>
                <w:highlight w:val="none"/>
              </w:rPr>
            </w:pPr>
          </w:p>
        </w:tc>
        <w:tc>
          <w:tcPr>
            <w:tcW w:w="962" w:type="dxa"/>
            <w:noWrap w:val="0"/>
            <w:vAlign w:val="center"/>
          </w:tcPr>
          <w:p w14:paraId="7AC1618D">
            <w:pPr>
              <w:pStyle w:val="361"/>
              <w:widowControl/>
              <w:spacing w:line="560" w:lineRule="exact"/>
              <w:ind w:firstLine="560"/>
              <w:jc w:val="center"/>
              <w:rPr>
                <w:rFonts w:hint="eastAsia" w:ascii="宋体" w:hAnsi="宋体" w:cs="宋体"/>
                <w:color w:val="auto"/>
                <w:sz w:val="28"/>
                <w:szCs w:val="28"/>
                <w:highlight w:val="none"/>
              </w:rPr>
            </w:pPr>
          </w:p>
        </w:tc>
      </w:tr>
      <w:tr w14:paraId="48C27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96FB26C">
            <w:pPr>
              <w:pStyle w:val="361"/>
              <w:widowControl/>
              <w:spacing w:line="560" w:lineRule="exact"/>
              <w:ind w:firstLine="560"/>
              <w:jc w:val="center"/>
              <w:rPr>
                <w:rFonts w:hint="eastAsia" w:ascii="宋体" w:hAnsi="宋体" w:cs="宋体"/>
                <w:color w:val="auto"/>
                <w:sz w:val="28"/>
                <w:szCs w:val="28"/>
                <w:highlight w:val="none"/>
              </w:rPr>
            </w:pPr>
          </w:p>
        </w:tc>
        <w:tc>
          <w:tcPr>
            <w:tcW w:w="1843" w:type="dxa"/>
            <w:noWrap w:val="0"/>
            <w:vAlign w:val="center"/>
          </w:tcPr>
          <w:p w14:paraId="01E08FAF">
            <w:pPr>
              <w:pStyle w:val="361"/>
              <w:widowControl/>
              <w:spacing w:line="560" w:lineRule="exact"/>
              <w:ind w:firstLine="560"/>
              <w:jc w:val="center"/>
              <w:rPr>
                <w:rFonts w:hint="eastAsia" w:ascii="宋体" w:hAnsi="宋体" w:cs="宋体"/>
                <w:color w:val="auto"/>
                <w:sz w:val="28"/>
                <w:szCs w:val="28"/>
                <w:highlight w:val="none"/>
              </w:rPr>
            </w:pPr>
          </w:p>
        </w:tc>
        <w:tc>
          <w:tcPr>
            <w:tcW w:w="992" w:type="dxa"/>
            <w:noWrap w:val="0"/>
            <w:vAlign w:val="center"/>
          </w:tcPr>
          <w:p w14:paraId="0995793A">
            <w:pPr>
              <w:pStyle w:val="361"/>
              <w:widowControl/>
              <w:spacing w:line="560" w:lineRule="exact"/>
              <w:ind w:firstLine="560"/>
              <w:jc w:val="center"/>
              <w:rPr>
                <w:rFonts w:hint="eastAsia" w:ascii="宋体" w:hAnsi="宋体" w:cs="宋体"/>
                <w:color w:val="auto"/>
                <w:sz w:val="28"/>
                <w:szCs w:val="28"/>
                <w:highlight w:val="none"/>
              </w:rPr>
            </w:pPr>
          </w:p>
        </w:tc>
        <w:tc>
          <w:tcPr>
            <w:tcW w:w="1984" w:type="dxa"/>
            <w:noWrap w:val="0"/>
            <w:vAlign w:val="center"/>
          </w:tcPr>
          <w:p w14:paraId="0B02C544">
            <w:pPr>
              <w:pStyle w:val="361"/>
              <w:widowControl/>
              <w:spacing w:line="560" w:lineRule="exact"/>
              <w:ind w:firstLine="560"/>
              <w:jc w:val="center"/>
              <w:rPr>
                <w:rFonts w:hint="eastAsia" w:ascii="宋体" w:hAnsi="宋体" w:cs="宋体"/>
                <w:color w:val="auto"/>
                <w:sz w:val="28"/>
                <w:szCs w:val="28"/>
                <w:highlight w:val="none"/>
              </w:rPr>
            </w:pPr>
          </w:p>
        </w:tc>
        <w:tc>
          <w:tcPr>
            <w:tcW w:w="1702" w:type="dxa"/>
            <w:noWrap w:val="0"/>
            <w:vAlign w:val="center"/>
          </w:tcPr>
          <w:p w14:paraId="700BED6F">
            <w:pPr>
              <w:pStyle w:val="361"/>
              <w:widowControl/>
              <w:spacing w:line="560" w:lineRule="exact"/>
              <w:ind w:firstLine="560"/>
              <w:jc w:val="center"/>
              <w:rPr>
                <w:rFonts w:hint="eastAsia" w:ascii="宋体" w:hAnsi="宋体" w:cs="宋体"/>
                <w:color w:val="auto"/>
                <w:sz w:val="28"/>
                <w:szCs w:val="28"/>
                <w:highlight w:val="none"/>
              </w:rPr>
            </w:pPr>
          </w:p>
        </w:tc>
        <w:tc>
          <w:tcPr>
            <w:tcW w:w="962" w:type="dxa"/>
            <w:noWrap w:val="0"/>
            <w:vAlign w:val="center"/>
          </w:tcPr>
          <w:p w14:paraId="710AD671">
            <w:pPr>
              <w:pStyle w:val="361"/>
              <w:widowControl/>
              <w:spacing w:line="560" w:lineRule="exact"/>
              <w:ind w:firstLine="560"/>
              <w:jc w:val="center"/>
              <w:rPr>
                <w:rFonts w:hint="eastAsia" w:ascii="宋体" w:hAnsi="宋体" w:cs="宋体"/>
                <w:color w:val="auto"/>
                <w:sz w:val="28"/>
                <w:szCs w:val="28"/>
                <w:highlight w:val="none"/>
              </w:rPr>
            </w:pPr>
          </w:p>
        </w:tc>
      </w:tr>
    </w:tbl>
    <w:p w14:paraId="02006555">
      <w:pPr>
        <w:pStyle w:val="289"/>
        <w:spacing w:line="460" w:lineRule="exact"/>
        <w:ind w:firstLine="398"/>
        <w:rPr>
          <w:rFonts w:hint="eastAsia"/>
          <w:color w:val="auto"/>
          <w:sz w:val="28"/>
          <w:szCs w:val="28"/>
          <w:highlight w:val="none"/>
        </w:rPr>
      </w:pPr>
      <w:r>
        <w:rPr>
          <w:rFonts w:hint="eastAsia"/>
          <w:b/>
          <w:color w:val="auto"/>
          <w:sz w:val="28"/>
          <w:szCs w:val="28"/>
          <w:highlight w:val="none"/>
          <w:lang w:bidi="ar"/>
        </w:rPr>
        <w:t>注：如投标人中标，项目组成员必须按本表承诺人员操作，不得随意更换。按投标文件要求附相关人员证书（采购需求中未要求投标时提供的除外）。</w:t>
      </w:r>
    </w:p>
    <w:p w14:paraId="6179B0FE">
      <w:pPr>
        <w:pStyle w:val="289"/>
        <w:spacing w:line="500" w:lineRule="exact"/>
        <w:ind w:firstLine="280"/>
        <w:rPr>
          <w:rFonts w:hint="eastAsia"/>
          <w:color w:val="auto"/>
          <w:sz w:val="28"/>
          <w:szCs w:val="28"/>
          <w:highlight w:val="none"/>
        </w:rPr>
      </w:pPr>
    </w:p>
    <w:p w14:paraId="669684CA">
      <w:pPr>
        <w:pStyle w:val="362"/>
        <w:spacing w:line="500" w:lineRule="exact"/>
        <w:outlineLvl w:val="1"/>
        <w:rPr>
          <w:rFonts w:hint="eastAsia" w:ascii="宋体" w:hAnsi="宋体" w:cs="宋体"/>
          <w:color w:val="auto"/>
          <w:sz w:val="28"/>
          <w:szCs w:val="28"/>
          <w:highlight w:val="none"/>
        </w:rPr>
      </w:pPr>
      <w:r>
        <w:rPr>
          <w:rFonts w:hint="eastAsia" w:ascii="宋体" w:hAnsi="宋体" w:cs="宋体"/>
          <w:color w:val="auto"/>
          <w:sz w:val="28"/>
          <w:szCs w:val="28"/>
          <w:highlight w:val="none"/>
        </w:rPr>
        <w:br w:type="page" w:clear="all"/>
      </w:r>
      <w:bookmarkStart w:id="349" w:name="_Toc11176"/>
      <w:bookmarkStart w:id="350" w:name="_Toc9665"/>
      <w:bookmarkStart w:id="351" w:name="_Toc24551"/>
      <w:bookmarkStart w:id="352" w:name="_Toc26598"/>
      <w:bookmarkStart w:id="353" w:name="_Toc5784"/>
      <w:r>
        <w:rPr>
          <w:rFonts w:hint="eastAsia" w:ascii="宋体" w:hAnsi="宋体" w:cs="宋体"/>
          <w:b/>
          <w:bCs/>
          <w:color w:val="auto"/>
          <w:sz w:val="28"/>
          <w:szCs w:val="28"/>
          <w:highlight w:val="none"/>
        </w:rPr>
        <w:t>九、</w:t>
      </w:r>
      <w:bookmarkEnd w:id="349"/>
      <w:r>
        <w:rPr>
          <w:rFonts w:hint="eastAsia" w:ascii="宋体" w:hAnsi="宋体" w:cs="宋体"/>
          <w:b/>
          <w:bCs/>
          <w:color w:val="auto"/>
          <w:sz w:val="28"/>
          <w:szCs w:val="28"/>
          <w:highlight w:val="none"/>
        </w:rPr>
        <w:t>企业业绩</w:t>
      </w:r>
      <w:bookmarkEnd w:id="350"/>
      <w:bookmarkEnd w:id="351"/>
      <w:bookmarkEnd w:id="352"/>
      <w:bookmarkEnd w:id="353"/>
    </w:p>
    <w:p w14:paraId="647CB128">
      <w:pPr>
        <w:pStyle w:val="363"/>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投标人承担类似项目业绩一览表</w:t>
      </w:r>
    </w:p>
    <w:tbl>
      <w:tblPr>
        <w:tblStyle w:val="3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376E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4D2791C3">
            <w:pPr>
              <w:pStyle w:val="364"/>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3827" w:type="dxa"/>
            <w:noWrap w:val="0"/>
            <w:vAlign w:val="center"/>
          </w:tcPr>
          <w:p w14:paraId="4C241A5B">
            <w:pPr>
              <w:pStyle w:val="364"/>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项目名称</w:t>
            </w:r>
          </w:p>
        </w:tc>
        <w:tc>
          <w:tcPr>
            <w:tcW w:w="2433" w:type="dxa"/>
            <w:noWrap w:val="0"/>
            <w:vAlign w:val="center"/>
          </w:tcPr>
          <w:p w14:paraId="6AEEC640">
            <w:pPr>
              <w:pStyle w:val="364"/>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采购单位</w:t>
            </w:r>
          </w:p>
        </w:tc>
        <w:tc>
          <w:tcPr>
            <w:tcW w:w="1395" w:type="dxa"/>
            <w:noWrap w:val="0"/>
            <w:vAlign w:val="center"/>
          </w:tcPr>
          <w:p w14:paraId="15CC0A40">
            <w:pPr>
              <w:pStyle w:val="364"/>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合同金额</w:t>
            </w:r>
          </w:p>
        </w:tc>
      </w:tr>
      <w:tr w14:paraId="76CB3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2B26DE04">
            <w:pPr>
              <w:pStyle w:val="364"/>
              <w:spacing w:line="560" w:lineRule="exact"/>
              <w:jc w:val="center"/>
              <w:rPr>
                <w:rFonts w:hint="eastAsia" w:ascii="宋体" w:hAnsi="宋体" w:cs="宋体"/>
                <w:color w:val="auto"/>
                <w:sz w:val="28"/>
                <w:szCs w:val="28"/>
                <w:highlight w:val="none"/>
              </w:rPr>
            </w:pPr>
          </w:p>
        </w:tc>
        <w:tc>
          <w:tcPr>
            <w:tcW w:w="3827" w:type="dxa"/>
            <w:noWrap w:val="0"/>
            <w:vAlign w:val="center"/>
          </w:tcPr>
          <w:p w14:paraId="6EFCD8D9">
            <w:pPr>
              <w:pStyle w:val="364"/>
              <w:spacing w:line="560" w:lineRule="exact"/>
              <w:jc w:val="center"/>
              <w:rPr>
                <w:rFonts w:hint="eastAsia" w:ascii="宋体" w:hAnsi="宋体" w:cs="宋体"/>
                <w:color w:val="auto"/>
                <w:sz w:val="28"/>
                <w:szCs w:val="28"/>
                <w:highlight w:val="none"/>
              </w:rPr>
            </w:pPr>
          </w:p>
        </w:tc>
        <w:tc>
          <w:tcPr>
            <w:tcW w:w="2433" w:type="dxa"/>
            <w:noWrap w:val="0"/>
            <w:vAlign w:val="center"/>
          </w:tcPr>
          <w:p w14:paraId="38709C22">
            <w:pPr>
              <w:pStyle w:val="364"/>
              <w:spacing w:line="560" w:lineRule="exact"/>
              <w:jc w:val="center"/>
              <w:rPr>
                <w:rFonts w:hint="eastAsia" w:ascii="宋体" w:hAnsi="宋体" w:cs="宋体"/>
                <w:color w:val="auto"/>
                <w:sz w:val="28"/>
                <w:szCs w:val="28"/>
                <w:highlight w:val="none"/>
              </w:rPr>
            </w:pPr>
          </w:p>
        </w:tc>
        <w:tc>
          <w:tcPr>
            <w:tcW w:w="1395" w:type="dxa"/>
            <w:noWrap w:val="0"/>
            <w:vAlign w:val="center"/>
          </w:tcPr>
          <w:p w14:paraId="4CF5FA6A">
            <w:pPr>
              <w:pStyle w:val="364"/>
              <w:spacing w:line="560" w:lineRule="exact"/>
              <w:jc w:val="center"/>
              <w:rPr>
                <w:rFonts w:hint="eastAsia" w:ascii="宋体" w:hAnsi="宋体" w:cs="宋体"/>
                <w:color w:val="auto"/>
                <w:sz w:val="28"/>
                <w:szCs w:val="28"/>
                <w:highlight w:val="none"/>
              </w:rPr>
            </w:pPr>
          </w:p>
        </w:tc>
      </w:tr>
      <w:tr w14:paraId="63F5E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257D768F">
            <w:pPr>
              <w:pStyle w:val="364"/>
              <w:spacing w:line="560" w:lineRule="exact"/>
              <w:jc w:val="center"/>
              <w:rPr>
                <w:rFonts w:hint="eastAsia" w:ascii="宋体" w:hAnsi="宋体" w:cs="宋体"/>
                <w:color w:val="auto"/>
                <w:sz w:val="28"/>
                <w:szCs w:val="28"/>
                <w:highlight w:val="none"/>
              </w:rPr>
            </w:pPr>
          </w:p>
        </w:tc>
        <w:tc>
          <w:tcPr>
            <w:tcW w:w="3827" w:type="dxa"/>
            <w:noWrap w:val="0"/>
            <w:vAlign w:val="center"/>
          </w:tcPr>
          <w:p w14:paraId="474E8EF2">
            <w:pPr>
              <w:pStyle w:val="364"/>
              <w:spacing w:line="560" w:lineRule="exact"/>
              <w:jc w:val="center"/>
              <w:rPr>
                <w:rFonts w:hint="eastAsia" w:ascii="宋体" w:hAnsi="宋体" w:cs="宋体"/>
                <w:color w:val="auto"/>
                <w:sz w:val="28"/>
                <w:szCs w:val="28"/>
                <w:highlight w:val="none"/>
              </w:rPr>
            </w:pPr>
          </w:p>
        </w:tc>
        <w:tc>
          <w:tcPr>
            <w:tcW w:w="2433" w:type="dxa"/>
            <w:noWrap w:val="0"/>
            <w:vAlign w:val="center"/>
          </w:tcPr>
          <w:p w14:paraId="45931198">
            <w:pPr>
              <w:pStyle w:val="364"/>
              <w:spacing w:line="560" w:lineRule="exact"/>
              <w:jc w:val="center"/>
              <w:rPr>
                <w:rFonts w:hint="eastAsia" w:ascii="宋体" w:hAnsi="宋体" w:cs="宋体"/>
                <w:color w:val="auto"/>
                <w:sz w:val="28"/>
                <w:szCs w:val="28"/>
                <w:highlight w:val="none"/>
              </w:rPr>
            </w:pPr>
          </w:p>
        </w:tc>
        <w:tc>
          <w:tcPr>
            <w:tcW w:w="1395" w:type="dxa"/>
            <w:noWrap w:val="0"/>
            <w:vAlign w:val="center"/>
          </w:tcPr>
          <w:p w14:paraId="42DC26F6">
            <w:pPr>
              <w:pStyle w:val="364"/>
              <w:spacing w:line="560" w:lineRule="exact"/>
              <w:jc w:val="center"/>
              <w:rPr>
                <w:rFonts w:hint="eastAsia" w:ascii="宋体" w:hAnsi="宋体" w:cs="宋体"/>
                <w:color w:val="auto"/>
                <w:sz w:val="28"/>
                <w:szCs w:val="28"/>
                <w:highlight w:val="none"/>
              </w:rPr>
            </w:pPr>
          </w:p>
        </w:tc>
      </w:tr>
      <w:tr w14:paraId="0BBAB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18009486">
            <w:pPr>
              <w:pStyle w:val="364"/>
              <w:spacing w:line="560" w:lineRule="exact"/>
              <w:jc w:val="center"/>
              <w:rPr>
                <w:rFonts w:hint="eastAsia" w:ascii="宋体" w:hAnsi="宋体" w:cs="宋体"/>
                <w:color w:val="auto"/>
                <w:sz w:val="28"/>
                <w:szCs w:val="28"/>
                <w:highlight w:val="none"/>
              </w:rPr>
            </w:pPr>
          </w:p>
        </w:tc>
        <w:tc>
          <w:tcPr>
            <w:tcW w:w="3827" w:type="dxa"/>
            <w:noWrap w:val="0"/>
            <w:vAlign w:val="center"/>
          </w:tcPr>
          <w:p w14:paraId="1705EF80">
            <w:pPr>
              <w:pStyle w:val="364"/>
              <w:spacing w:line="560" w:lineRule="exact"/>
              <w:jc w:val="center"/>
              <w:rPr>
                <w:rFonts w:hint="eastAsia" w:ascii="宋体" w:hAnsi="宋体" w:cs="宋体"/>
                <w:color w:val="auto"/>
                <w:sz w:val="28"/>
                <w:szCs w:val="28"/>
                <w:highlight w:val="none"/>
              </w:rPr>
            </w:pPr>
          </w:p>
        </w:tc>
        <w:tc>
          <w:tcPr>
            <w:tcW w:w="2433" w:type="dxa"/>
            <w:noWrap w:val="0"/>
            <w:vAlign w:val="center"/>
          </w:tcPr>
          <w:p w14:paraId="503D4370">
            <w:pPr>
              <w:pStyle w:val="364"/>
              <w:spacing w:line="560" w:lineRule="exact"/>
              <w:jc w:val="center"/>
              <w:rPr>
                <w:rFonts w:hint="eastAsia" w:ascii="宋体" w:hAnsi="宋体" w:cs="宋体"/>
                <w:color w:val="auto"/>
                <w:sz w:val="28"/>
                <w:szCs w:val="28"/>
                <w:highlight w:val="none"/>
              </w:rPr>
            </w:pPr>
          </w:p>
        </w:tc>
        <w:tc>
          <w:tcPr>
            <w:tcW w:w="1395" w:type="dxa"/>
            <w:noWrap w:val="0"/>
            <w:vAlign w:val="center"/>
          </w:tcPr>
          <w:p w14:paraId="2CBB0768">
            <w:pPr>
              <w:pStyle w:val="364"/>
              <w:spacing w:line="560" w:lineRule="exact"/>
              <w:jc w:val="center"/>
              <w:rPr>
                <w:rFonts w:hint="eastAsia" w:ascii="宋体" w:hAnsi="宋体" w:cs="宋体"/>
                <w:color w:val="auto"/>
                <w:sz w:val="28"/>
                <w:szCs w:val="28"/>
                <w:highlight w:val="none"/>
              </w:rPr>
            </w:pPr>
          </w:p>
        </w:tc>
      </w:tr>
      <w:tr w14:paraId="0CAA4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249692D8">
            <w:pPr>
              <w:pStyle w:val="364"/>
              <w:spacing w:line="560" w:lineRule="exact"/>
              <w:jc w:val="center"/>
              <w:rPr>
                <w:rFonts w:hint="eastAsia" w:ascii="宋体" w:hAnsi="宋体" w:cs="宋体"/>
                <w:color w:val="auto"/>
                <w:sz w:val="28"/>
                <w:szCs w:val="28"/>
                <w:highlight w:val="none"/>
              </w:rPr>
            </w:pPr>
          </w:p>
        </w:tc>
        <w:tc>
          <w:tcPr>
            <w:tcW w:w="3827" w:type="dxa"/>
            <w:noWrap w:val="0"/>
            <w:vAlign w:val="center"/>
          </w:tcPr>
          <w:p w14:paraId="5ABDF20D">
            <w:pPr>
              <w:pStyle w:val="364"/>
              <w:spacing w:line="560" w:lineRule="exact"/>
              <w:jc w:val="center"/>
              <w:rPr>
                <w:rFonts w:hint="eastAsia" w:ascii="宋体" w:hAnsi="宋体" w:cs="宋体"/>
                <w:color w:val="auto"/>
                <w:sz w:val="28"/>
                <w:szCs w:val="28"/>
                <w:highlight w:val="none"/>
              </w:rPr>
            </w:pPr>
          </w:p>
        </w:tc>
        <w:tc>
          <w:tcPr>
            <w:tcW w:w="2433" w:type="dxa"/>
            <w:noWrap w:val="0"/>
            <w:vAlign w:val="center"/>
          </w:tcPr>
          <w:p w14:paraId="129E8734">
            <w:pPr>
              <w:pStyle w:val="364"/>
              <w:spacing w:line="560" w:lineRule="exact"/>
              <w:jc w:val="center"/>
              <w:rPr>
                <w:rFonts w:hint="eastAsia" w:ascii="宋体" w:hAnsi="宋体" w:cs="宋体"/>
                <w:color w:val="auto"/>
                <w:sz w:val="28"/>
                <w:szCs w:val="28"/>
                <w:highlight w:val="none"/>
              </w:rPr>
            </w:pPr>
          </w:p>
        </w:tc>
        <w:tc>
          <w:tcPr>
            <w:tcW w:w="1395" w:type="dxa"/>
            <w:noWrap w:val="0"/>
            <w:vAlign w:val="center"/>
          </w:tcPr>
          <w:p w14:paraId="5C3E5A28">
            <w:pPr>
              <w:pStyle w:val="364"/>
              <w:spacing w:line="560" w:lineRule="exact"/>
              <w:jc w:val="center"/>
              <w:rPr>
                <w:rFonts w:hint="eastAsia" w:ascii="宋体" w:hAnsi="宋体" w:cs="宋体"/>
                <w:color w:val="auto"/>
                <w:sz w:val="28"/>
                <w:szCs w:val="28"/>
                <w:highlight w:val="none"/>
              </w:rPr>
            </w:pPr>
          </w:p>
        </w:tc>
      </w:tr>
    </w:tbl>
    <w:p w14:paraId="519571D7">
      <w:pPr>
        <w:pStyle w:val="363"/>
        <w:rPr>
          <w:rFonts w:hint="eastAsia" w:ascii="宋体" w:hAnsi="宋体" w:cs="宋体"/>
          <w:color w:val="auto"/>
          <w:sz w:val="28"/>
          <w:szCs w:val="28"/>
          <w:highlight w:val="none"/>
        </w:rPr>
      </w:pPr>
      <w:r>
        <w:rPr>
          <w:rFonts w:hint="eastAsia" w:ascii="宋体" w:hAnsi="宋体" w:cs="宋体"/>
          <w:b/>
          <w:color w:val="auto"/>
          <w:sz w:val="28"/>
          <w:szCs w:val="28"/>
          <w:highlight w:val="none"/>
        </w:rPr>
        <w:t>注：请填写此表，并按要求上传业绩资料电子件。</w:t>
      </w:r>
    </w:p>
    <w:p w14:paraId="4B6AAD6A">
      <w:pPr>
        <w:pStyle w:val="399"/>
        <w:spacing w:line="360" w:lineRule="auto"/>
        <w:rPr>
          <w:rFonts w:hint="eastAsia" w:ascii="宋体" w:hAnsi="宋体" w:cs="宋体"/>
          <w:color w:val="auto"/>
          <w:highlight w:val="none"/>
        </w:rPr>
      </w:pPr>
      <w:bookmarkStart w:id="354" w:name="_Toc28140"/>
    </w:p>
    <w:p w14:paraId="7F631B24">
      <w:pPr>
        <w:pStyle w:val="365"/>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bookmarkStart w:id="355" w:name="_Toc6276"/>
      <w:bookmarkStart w:id="356" w:name="_Toc6630"/>
      <w:bookmarkStart w:id="357" w:name="_Toc4164"/>
      <w:bookmarkStart w:id="358" w:name="_Toc32046"/>
      <w:r>
        <w:rPr>
          <w:rFonts w:hint="eastAsia" w:ascii="宋体" w:hAnsi="宋体" w:eastAsia="宋体" w:cs="宋体"/>
          <w:color w:val="auto"/>
          <w:sz w:val="28"/>
          <w:szCs w:val="28"/>
          <w:highlight w:val="none"/>
        </w:rPr>
        <w:t>十、投标所需其他材料</w:t>
      </w:r>
      <w:bookmarkEnd w:id="354"/>
      <w:bookmarkEnd w:id="355"/>
      <w:bookmarkEnd w:id="356"/>
      <w:bookmarkEnd w:id="357"/>
      <w:bookmarkEnd w:id="358"/>
    </w:p>
    <w:p w14:paraId="23A04F9E">
      <w:pPr>
        <w:pStyle w:val="369"/>
        <w:spacing w:line="360" w:lineRule="auto"/>
        <w:ind w:firstLine="560"/>
        <w:rPr>
          <w:rFonts w:hint="eastAsia" w:ascii="宋体" w:hAnsi="宋体" w:cs="宋体"/>
          <w:color w:val="auto"/>
          <w:sz w:val="28"/>
          <w:szCs w:val="28"/>
          <w:highlight w:val="none"/>
        </w:rPr>
      </w:pPr>
    </w:p>
    <w:p w14:paraId="1BDE1258">
      <w:pPr>
        <w:pStyle w:val="369"/>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请在此文档中增加投标所需其他相关内容（包括资格要求、评分办法、采购需求中涉及的证件证明及其它投标人认为有必要提供的资料），如没有请将此空文档上传。</w:t>
      </w:r>
    </w:p>
    <w:p w14:paraId="2985FBF9">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0D54369A">
      <w:pPr>
        <w:rPr>
          <w:rFonts w:hint="eastAsia" w:ascii="宋体" w:hAnsi="宋体" w:cs="宋体"/>
          <w:color w:val="auto"/>
          <w:sz w:val="28"/>
          <w:szCs w:val="28"/>
          <w:highlight w:val="none"/>
        </w:rPr>
      </w:pPr>
    </w:p>
    <w:p w14:paraId="6F07A57D">
      <w:pPr>
        <w:rPr>
          <w:rFonts w:hint="eastAsia" w:ascii="宋体" w:hAnsi="宋体" w:cs="宋体"/>
          <w:color w:val="auto"/>
          <w:sz w:val="28"/>
          <w:szCs w:val="28"/>
          <w:highlight w:val="none"/>
        </w:rPr>
      </w:pPr>
    </w:p>
    <w:p w14:paraId="19A9E173">
      <w:pPr>
        <w:rPr>
          <w:rFonts w:hint="eastAsia" w:ascii="宋体" w:hAnsi="宋体" w:cs="宋体"/>
          <w:color w:val="auto"/>
          <w:sz w:val="28"/>
          <w:szCs w:val="28"/>
          <w:highlight w:val="none"/>
        </w:rPr>
      </w:pPr>
    </w:p>
    <w:bookmarkEnd w:id="317"/>
    <w:p w14:paraId="71063FCD">
      <w:pPr>
        <w:rPr>
          <w:rFonts w:hint="eastAsia" w:ascii="宋体" w:hAnsi="宋体" w:cs="宋体"/>
          <w:color w:val="auto"/>
          <w:sz w:val="28"/>
          <w:szCs w:val="28"/>
          <w:highlight w:val="none"/>
        </w:rPr>
      </w:pPr>
    </w:p>
    <w:p w14:paraId="1857BFC1">
      <w:pPr>
        <w:rPr>
          <w:rFonts w:hint="eastAsia" w:ascii="宋体" w:hAnsi="宋体" w:cs="宋体"/>
          <w:color w:val="auto"/>
          <w:sz w:val="28"/>
          <w:szCs w:val="28"/>
          <w:highlight w:val="none"/>
        </w:rPr>
      </w:pPr>
    </w:p>
    <w:p w14:paraId="6E6D109B">
      <w:pPr>
        <w:spacing w:line="480" w:lineRule="auto"/>
        <w:rPr>
          <w:rFonts w:hint="eastAsia" w:ascii="宋体" w:hAnsi="宋体" w:cs="宋体"/>
          <w:color w:val="auto"/>
          <w:sz w:val="28"/>
          <w:szCs w:val="28"/>
          <w:highlight w:val="none"/>
        </w:rPr>
      </w:pPr>
    </w:p>
    <w:p w14:paraId="4F296470">
      <w:pPr>
        <w:spacing w:line="480" w:lineRule="auto"/>
        <w:rPr>
          <w:rFonts w:hint="eastAsia" w:ascii="宋体" w:hAnsi="宋体" w:cs="宋体"/>
          <w:color w:val="auto"/>
          <w:sz w:val="28"/>
          <w:szCs w:val="28"/>
          <w:highlight w:val="none"/>
        </w:rPr>
      </w:pPr>
    </w:p>
    <w:p w14:paraId="2540FA2F">
      <w:pPr>
        <w:pStyle w:val="231"/>
        <w:ind w:firstLine="0"/>
        <w:rPr>
          <w:rFonts w:hint="eastAsia" w:ascii="宋体" w:hAnsi="宋体" w:cs="宋体"/>
          <w:color w:val="auto"/>
          <w:sz w:val="28"/>
          <w:szCs w:val="28"/>
          <w:highlight w:val="none"/>
        </w:rPr>
      </w:pPr>
      <w:bookmarkStart w:id="359" w:name="_Hlt26671374"/>
      <w:bookmarkEnd w:id="359"/>
      <w:bookmarkStart w:id="360" w:name="_Hlt26955066"/>
      <w:bookmarkEnd w:id="360"/>
      <w:bookmarkStart w:id="361" w:name="_Hlt26609389"/>
      <w:bookmarkEnd w:id="361"/>
      <w:bookmarkStart w:id="362" w:name="_Toc462564146"/>
    </w:p>
    <w:p w14:paraId="62D9FD3E">
      <w:pPr>
        <w:rPr>
          <w:rFonts w:hint="eastAsia" w:ascii="宋体" w:hAnsi="宋体" w:cs="宋体"/>
          <w:color w:val="auto"/>
          <w:sz w:val="28"/>
          <w:szCs w:val="28"/>
          <w:highlight w:val="none"/>
        </w:rPr>
      </w:pPr>
    </w:p>
    <w:p w14:paraId="3135EA10">
      <w:pPr>
        <w:pStyle w:val="313"/>
        <w:rPr>
          <w:rFonts w:hint="eastAsia" w:ascii="宋体" w:hAnsi="宋体" w:eastAsia="宋体" w:cs="宋体"/>
          <w:color w:val="auto"/>
          <w:sz w:val="28"/>
          <w:szCs w:val="28"/>
          <w:highlight w:val="none"/>
        </w:rPr>
      </w:pPr>
    </w:p>
    <w:p w14:paraId="2442CB15">
      <w:pPr>
        <w:pStyle w:val="313"/>
        <w:rPr>
          <w:rFonts w:hint="eastAsia" w:ascii="宋体" w:hAnsi="宋体" w:eastAsia="宋体" w:cs="宋体"/>
          <w:color w:val="auto"/>
          <w:sz w:val="28"/>
          <w:szCs w:val="28"/>
          <w:highlight w:val="none"/>
        </w:rPr>
      </w:pPr>
    </w:p>
    <w:p w14:paraId="498DEDA9">
      <w:pPr>
        <w:pStyle w:val="313"/>
        <w:rPr>
          <w:rFonts w:hint="eastAsia" w:ascii="宋体" w:hAnsi="宋体" w:eastAsia="宋体" w:cs="宋体"/>
          <w:color w:val="auto"/>
          <w:sz w:val="28"/>
          <w:szCs w:val="28"/>
          <w:highlight w:val="none"/>
        </w:rPr>
      </w:pPr>
    </w:p>
    <w:bookmarkEnd w:id="235"/>
    <w:bookmarkEnd w:id="236"/>
    <w:bookmarkEnd w:id="362"/>
    <w:p w14:paraId="522455C1">
      <w:pPr>
        <w:pStyle w:val="313"/>
        <w:rPr>
          <w:rFonts w:hint="eastAsia" w:ascii="宋体" w:hAnsi="宋体" w:eastAsia="宋体" w:cs="宋体"/>
          <w:color w:val="auto"/>
          <w:sz w:val="28"/>
          <w:szCs w:val="28"/>
          <w:highlight w:val="none"/>
        </w:rPr>
      </w:pPr>
    </w:p>
    <w:p w14:paraId="1FFE4BBA">
      <w:pPr>
        <w:pStyle w:val="313"/>
        <w:rPr>
          <w:rFonts w:hint="eastAsia" w:ascii="宋体" w:hAnsi="宋体" w:eastAsia="宋体" w:cs="宋体"/>
          <w:color w:val="auto"/>
          <w:sz w:val="28"/>
          <w:szCs w:val="28"/>
          <w:highlight w:val="none"/>
        </w:rPr>
      </w:pPr>
    </w:p>
    <w:p w14:paraId="3635591A">
      <w:pPr>
        <w:jc w:val="center"/>
        <w:rPr>
          <w:rFonts w:hint="eastAsia" w:ascii="宋体" w:hAnsi="宋体" w:cs="宋体"/>
          <w:b/>
          <w:color w:val="auto"/>
          <w:sz w:val="28"/>
          <w:szCs w:val="28"/>
          <w:highlight w:val="none"/>
        </w:rPr>
      </w:pPr>
      <w:bookmarkStart w:id="363" w:name="_格式2__法定代表人授权书"/>
      <w:bookmarkEnd w:id="363"/>
    </w:p>
    <w:p w14:paraId="742FB6BA">
      <w:pPr>
        <w:jc w:val="center"/>
        <w:rPr>
          <w:rFonts w:hint="eastAsia" w:ascii="宋体" w:hAnsi="宋体" w:cs="宋体"/>
          <w:b/>
          <w:color w:val="auto"/>
          <w:sz w:val="28"/>
          <w:szCs w:val="28"/>
          <w:highlight w:val="none"/>
        </w:rPr>
      </w:pPr>
    </w:p>
    <w:p w14:paraId="02451991">
      <w:pPr>
        <w:rPr>
          <w:rFonts w:hint="eastAsia" w:ascii="宋体" w:hAnsi="宋体" w:cs="宋体"/>
          <w:b/>
          <w:color w:val="auto"/>
          <w:sz w:val="28"/>
          <w:szCs w:val="28"/>
          <w:highlight w:val="none"/>
        </w:rPr>
      </w:pPr>
    </w:p>
    <w:p w14:paraId="5FB9041C">
      <w:pPr>
        <w:rPr>
          <w:rFonts w:hint="eastAsia" w:ascii="宋体" w:hAnsi="宋体" w:cs="宋体"/>
          <w:b/>
          <w:color w:val="auto"/>
          <w:sz w:val="28"/>
          <w:szCs w:val="28"/>
          <w:highlight w:val="none"/>
        </w:rPr>
      </w:pPr>
    </w:p>
    <w:p w14:paraId="5C2D2518">
      <w:pPr>
        <w:jc w:val="center"/>
        <w:rPr>
          <w:rFonts w:hint="eastAsia" w:ascii="宋体" w:hAnsi="宋体" w:cs="宋体"/>
          <w:b/>
          <w:bCs/>
          <w:color w:val="auto"/>
          <w:sz w:val="28"/>
          <w:szCs w:val="28"/>
          <w:highlight w:val="none"/>
        </w:rPr>
      </w:pPr>
    </w:p>
    <w:p w14:paraId="43C40AA9">
      <w:pPr>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rPr>
          <w:rFonts w:hint="eastAsia" w:ascii="宋体" w:hAnsi="宋体" w:cs="宋体"/>
          <w:b/>
          <w:bCs/>
          <w:color w:val="auto"/>
          <w:sz w:val="28"/>
          <w:szCs w:val="28"/>
          <w:highlight w:val="none"/>
        </w:rPr>
        <w:t>质疑函范本</w:t>
      </w:r>
    </w:p>
    <w:p w14:paraId="79CDEE73">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质疑函范本</w:t>
      </w:r>
    </w:p>
    <w:p w14:paraId="6FAFA03E">
      <w:pPr>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一、质疑投标人基本信息</w:t>
      </w:r>
    </w:p>
    <w:p w14:paraId="28B95141">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质疑投标人：</w:t>
      </w:r>
      <w:r>
        <w:rPr>
          <w:rFonts w:hint="eastAsia" w:ascii="宋体" w:hAnsi="宋体" w:cs="宋体"/>
          <w:color w:val="auto"/>
          <w:sz w:val="24"/>
          <w:szCs w:val="24"/>
          <w:highlight w:val="none"/>
          <w:u w:val="single"/>
        </w:rPr>
        <w:t xml:space="preserve">                                                              </w:t>
      </w:r>
    </w:p>
    <w:p w14:paraId="12A6ADD9">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25C59981">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696AE7FC">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授权代表：</w:t>
      </w:r>
      <w:r>
        <w:rPr>
          <w:rFonts w:hint="eastAsia" w:ascii="宋体" w:hAnsi="宋体" w:cs="宋体"/>
          <w:color w:val="auto"/>
          <w:sz w:val="24"/>
          <w:szCs w:val="24"/>
          <w:highlight w:val="none"/>
          <w:u w:val="single"/>
        </w:rPr>
        <w:t xml:space="preserve">                                                                 </w:t>
      </w:r>
    </w:p>
    <w:p w14:paraId="0618052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u w:val="single"/>
        </w:rPr>
        <w:t xml:space="preserve">                                                                </w:t>
      </w:r>
    </w:p>
    <w:p w14:paraId="1C0BF2FC">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331C79CC">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二、质疑项目基本情况</w:t>
      </w:r>
    </w:p>
    <w:p w14:paraId="54E16CF4">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质疑项目的名称：</w:t>
      </w:r>
      <w:r>
        <w:rPr>
          <w:rFonts w:hint="eastAsia" w:ascii="宋体" w:hAnsi="宋体" w:cs="宋体"/>
          <w:color w:val="auto"/>
          <w:sz w:val="24"/>
          <w:szCs w:val="24"/>
          <w:highlight w:val="none"/>
          <w:u w:val="single"/>
        </w:rPr>
        <w:t xml:space="preserve">                                                          </w:t>
      </w:r>
    </w:p>
    <w:p w14:paraId="785ACAB6">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包号：</w:t>
      </w:r>
      <w:r>
        <w:rPr>
          <w:rFonts w:hint="eastAsia" w:ascii="宋体" w:hAnsi="宋体" w:cs="宋体"/>
          <w:color w:val="auto"/>
          <w:sz w:val="24"/>
          <w:szCs w:val="24"/>
          <w:highlight w:val="none"/>
          <w:u w:val="single"/>
        </w:rPr>
        <w:t xml:space="preserve">                           </w:t>
      </w:r>
    </w:p>
    <w:p w14:paraId="2D5F1539">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采购人名称：</w:t>
      </w:r>
      <w:r>
        <w:rPr>
          <w:rFonts w:hint="eastAsia" w:ascii="宋体" w:hAnsi="宋体" w:cs="宋体"/>
          <w:color w:val="auto"/>
          <w:sz w:val="24"/>
          <w:szCs w:val="24"/>
          <w:highlight w:val="none"/>
          <w:u w:val="single"/>
        </w:rPr>
        <w:t xml:space="preserve">                                                              </w:t>
      </w:r>
    </w:p>
    <w:p w14:paraId="4141D97B">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采购文件获取日期：</w:t>
      </w:r>
      <w:r>
        <w:rPr>
          <w:rFonts w:hint="eastAsia" w:ascii="宋体" w:hAnsi="宋体" w:cs="宋体"/>
          <w:color w:val="auto"/>
          <w:sz w:val="24"/>
          <w:szCs w:val="24"/>
          <w:highlight w:val="none"/>
          <w:u w:val="single"/>
        </w:rPr>
        <w:t xml:space="preserve">                                                        </w:t>
      </w:r>
    </w:p>
    <w:p w14:paraId="63057517">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三、质疑事项具体内容</w:t>
      </w:r>
    </w:p>
    <w:p w14:paraId="3224B419">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质疑事项1：</w:t>
      </w:r>
      <w:r>
        <w:rPr>
          <w:rFonts w:hint="eastAsia" w:ascii="宋体" w:hAnsi="宋体" w:cs="宋体"/>
          <w:color w:val="auto"/>
          <w:sz w:val="24"/>
          <w:szCs w:val="24"/>
          <w:highlight w:val="none"/>
          <w:u w:val="single"/>
        </w:rPr>
        <w:t xml:space="preserve">                                                              </w:t>
      </w:r>
    </w:p>
    <w:p w14:paraId="4390B043">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事实依据：</w:t>
      </w:r>
      <w:r>
        <w:rPr>
          <w:rFonts w:hint="eastAsia" w:ascii="宋体" w:hAnsi="宋体" w:cs="宋体"/>
          <w:color w:val="auto"/>
          <w:sz w:val="24"/>
          <w:szCs w:val="24"/>
          <w:highlight w:val="none"/>
          <w:u w:val="single"/>
        </w:rPr>
        <w:t xml:space="preserve">                                                                </w:t>
      </w:r>
    </w:p>
    <w:p w14:paraId="24A4FBB5">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p>
    <w:p w14:paraId="1689ADB5">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法律依据：</w:t>
      </w:r>
      <w:r>
        <w:rPr>
          <w:rFonts w:hint="eastAsia" w:ascii="宋体" w:hAnsi="宋体" w:cs="宋体"/>
          <w:color w:val="auto"/>
          <w:sz w:val="24"/>
          <w:szCs w:val="24"/>
          <w:highlight w:val="none"/>
          <w:u w:val="single"/>
        </w:rPr>
        <w:t xml:space="preserve">                                                                 </w:t>
      </w:r>
    </w:p>
    <w:p w14:paraId="0BB7B185">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p>
    <w:p w14:paraId="7AB4921A">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质疑事项2</w:t>
      </w:r>
    </w:p>
    <w:p w14:paraId="10E6968E">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w:t>
      </w:r>
    </w:p>
    <w:p w14:paraId="45FAF136">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四、与质疑事项相关的质疑请求</w:t>
      </w:r>
    </w:p>
    <w:p w14:paraId="09EEDEBE">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请求：</w:t>
      </w:r>
      <w:r>
        <w:rPr>
          <w:rFonts w:hint="eastAsia" w:ascii="宋体" w:hAnsi="宋体" w:cs="宋体"/>
          <w:color w:val="auto"/>
          <w:sz w:val="24"/>
          <w:szCs w:val="24"/>
          <w:highlight w:val="none"/>
          <w:u w:val="single"/>
        </w:rPr>
        <w:t xml:space="preserve">                                                                     </w:t>
      </w:r>
    </w:p>
    <w:p w14:paraId="1A0395D2">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p>
    <w:p w14:paraId="6DDD5EC8">
      <w:pPr>
        <w:rPr>
          <w:rFonts w:hint="eastAsia" w:ascii="宋体" w:hAnsi="宋体" w:cs="宋体"/>
          <w:color w:val="auto"/>
          <w:sz w:val="28"/>
          <w:szCs w:val="28"/>
          <w:highlight w:val="none"/>
        </w:rPr>
      </w:pPr>
      <w:r>
        <w:rPr>
          <w:rFonts w:hint="eastAsia" w:ascii="宋体" w:hAnsi="宋体" w:cs="宋体"/>
          <w:color w:val="auto"/>
          <w:sz w:val="24"/>
          <w:szCs w:val="24"/>
          <w:highlight w:val="none"/>
        </w:rPr>
        <w:t>日期：</w:t>
      </w:r>
      <w:r>
        <w:rPr>
          <w:rFonts w:hint="eastAsia" w:ascii="宋体" w:hAnsi="宋体" w:cs="宋体"/>
          <w:color w:val="auto"/>
          <w:sz w:val="28"/>
          <w:szCs w:val="28"/>
          <w:highlight w:val="none"/>
        </w:rPr>
        <w:t xml:space="preserve">    </w:t>
      </w:r>
    </w:p>
    <w:p w14:paraId="0FD8FB20">
      <w:pPr>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质疑函制作说明：</w:t>
      </w:r>
    </w:p>
    <w:p w14:paraId="6468AD21">
      <w:pPr>
        <w:widowControl/>
        <w:spacing w:line="4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1.投标人提出质疑时，应提交质疑函和必要的证明材料。</w:t>
      </w:r>
    </w:p>
    <w:p w14:paraId="44E7F366">
      <w:pPr>
        <w:widowControl/>
        <w:spacing w:line="4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1324A76E">
      <w:pPr>
        <w:widowControl/>
        <w:spacing w:line="4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3.质疑投标人若对项目的某一分包进行质疑，质疑函中应列明具体分包号。</w:t>
      </w:r>
    </w:p>
    <w:p w14:paraId="43606CA7">
      <w:pPr>
        <w:widowControl/>
        <w:spacing w:line="4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4.质疑函的质疑事项应具体、明确，并有必要的事实依据和法律依据。</w:t>
      </w:r>
    </w:p>
    <w:p w14:paraId="2C384E13">
      <w:pPr>
        <w:widowControl/>
        <w:spacing w:line="4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5.质疑函的质疑请求应与质疑事项相关。</w:t>
      </w:r>
    </w:p>
    <w:p w14:paraId="0B546314">
      <w:pPr>
        <w:widowControl/>
        <w:spacing w:line="40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rPr>
        <w:t>6.质疑投标人为自然人的，质疑函应由本人签字；质疑投标人为法人或者其他组织的，质疑函应由法定代表人、主要负责人，或者其授权代表签字或者盖章，并加盖公章。</w:t>
      </w:r>
    </w:p>
    <w:p w14:paraId="07EDCC38">
      <w:pPr>
        <w:pStyle w:val="231"/>
        <w:rPr>
          <w:rFonts w:hint="eastAsia" w:ascii="宋体" w:hAnsi="宋体" w:cs="宋体"/>
          <w:color w:val="auto"/>
          <w:sz w:val="28"/>
          <w:szCs w:val="28"/>
          <w:highlight w:val="none"/>
        </w:rPr>
      </w:pPr>
    </w:p>
    <w:p w14:paraId="293A6AAE">
      <w:pPr>
        <w:pStyle w:val="231"/>
        <w:rPr>
          <w:rFonts w:hint="eastAsia" w:ascii="宋体" w:hAnsi="宋体" w:cs="宋体"/>
          <w:color w:val="auto"/>
          <w:sz w:val="28"/>
          <w:szCs w:val="28"/>
          <w:highlight w:val="none"/>
        </w:rPr>
      </w:pPr>
    </w:p>
    <w:sectPr>
      <w:footerReference r:id="rId7" w:type="first"/>
      <w:footerReference r:id="rId6" w:type="default"/>
      <w:pgSz w:w="11906" w:h="16838"/>
      <w:pgMar w:top="1418" w:right="1588" w:bottom="1418" w:left="1365" w:header="851" w:footer="1020"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6F9D7">
    <w:pPr>
      <w:pStyle w:val="274"/>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C1EEF">
    <w:pPr>
      <w:pStyle w:val="274"/>
      <w:framePr w:wrap="around" w:vAnchor="text" w:hAnchor="margin" w:xAlign="center" w:y="1"/>
      <w:rPr>
        <w:rStyle w:val="299"/>
      </w:rPr>
    </w:pPr>
    <w:r>
      <w:fldChar w:fldCharType="begin"/>
    </w:r>
    <w:r>
      <w:rPr>
        <w:rStyle w:val="299"/>
      </w:rPr>
      <w:instrText xml:space="preserve">PAGE  </w:instrText>
    </w:r>
    <w:r>
      <w:fldChar w:fldCharType="separate"/>
    </w:r>
    <w:r>
      <w:rPr>
        <w:rStyle w:val="299"/>
      </w:rPr>
      <w:t>1</w:t>
    </w:r>
    <w:r>
      <w:fldChar w:fldCharType="end"/>
    </w:r>
  </w:p>
  <w:p w14:paraId="64B1F441">
    <w:pPr>
      <w:pStyle w:val="27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A30415">
    <w:pPr>
      <w:pStyle w:val="274"/>
      <w:jc w:val="center"/>
      <w:rPr>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AFF3A11">
                          <w:pPr>
                            <w:pStyle w:val="274"/>
                            <w:tabs>
                              <w:tab w:val="clear" w:pos="4153"/>
                              <w:tab w:val="clear" w:pos="8306"/>
                            </w:tabs>
                          </w:pPr>
                          <w:r>
                            <w:fldChar w:fldCharType="begin"/>
                          </w:r>
                          <w:r>
                            <w:instrText xml:space="preserve"> PAGE  \* MERGEFORMAT </w:instrText>
                          </w:r>
                          <w:r>
                            <w:fldChar w:fldCharType="separate"/>
                          </w:r>
                          <w:r>
                            <w:t>1</w:t>
                          </w:r>
                          <w:r>
                            <w:fldChar w:fldCharType="end"/>
                          </w:r>
                        </w:p>
                        <w:p w14:paraId="7C27A40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AFF3A11">
                    <w:pPr>
                      <w:pStyle w:val="274"/>
                      <w:tabs>
                        <w:tab w:val="clear" w:pos="4153"/>
                        <w:tab w:val="clear" w:pos="8306"/>
                      </w:tabs>
                    </w:pPr>
                    <w:r>
                      <w:fldChar w:fldCharType="begin"/>
                    </w:r>
                    <w:r>
                      <w:instrText xml:space="preserve"> PAGE  \* MERGEFORMAT </w:instrText>
                    </w:r>
                    <w:r>
                      <w:fldChar w:fldCharType="separate"/>
                    </w:r>
                    <w:r>
                      <w:t>1</w:t>
                    </w:r>
                    <w:r>
                      <w:fldChar w:fldCharType="end"/>
                    </w:r>
                  </w:p>
                  <w:p w14:paraId="7C27A403"/>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D70A7">
    <w:pPr>
      <w:pStyle w:val="27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CCFD62D">
                          <w:pPr>
                            <w:pStyle w:val="274"/>
                            <w:tabs>
                              <w:tab w:val="clear" w:pos="4153"/>
                              <w:tab w:val="clear" w:pos="8306"/>
                            </w:tabs>
                          </w:pPr>
                          <w:r>
                            <w:fldChar w:fldCharType="begin"/>
                          </w:r>
                          <w:r>
                            <w:instrText xml:space="preserve"> PAGE  \* MERGEFORMAT </w:instrText>
                          </w:r>
                          <w:r>
                            <w:fldChar w:fldCharType="separate"/>
                          </w:r>
                          <w:r>
                            <w:t>0</w:t>
                          </w:r>
                          <w:r>
                            <w:fldChar w:fldCharType="end"/>
                          </w:r>
                        </w:p>
                        <w:p w14:paraId="462FC54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CCFD62D">
                    <w:pPr>
                      <w:pStyle w:val="274"/>
                      <w:tabs>
                        <w:tab w:val="clear" w:pos="4153"/>
                        <w:tab w:val="clear" w:pos="8306"/>
                      </w:tabs>
                    </w:pPr>
                    <w:r>
                      <w:fldChar w:fldCharType="begin"/>
                    </w:r>
                    <w:r>
                      <w:instrText xml:space="preserve"> PAGE  \* MERGEFORMAT </w:instrText>
                    </w:r>
                    <w:r>
                      <w:fldChar w:fldCharType="separate"/>
                    </w:r>
                    <w:r>
                      <w:t>0</w:t>
                    </w:r>
                    <w:r>
                      <w:fldChar w:fldCharType="end"/>
                    </w:r>
                  </w:p>
                  <w:p w14:paraId="462FC548"/>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75C93">
    <w:pPr>
      <w:pStyle w:val="276"/>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32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4"/>
      <w:suff w:val="nothing"/>
      <w:lvlText w:val=""/>
      <w:lvlJc w:val="left"/>
      <w:pPr>
        <w:ind w:left="0" w:firstLine="0"/>
      </w:pPr>
      <w:rPr>
        <w:rFonts w:hint="eastAsia"/>
      </w:rPr>
    </w:lvl>
    <w:lvl w:ilvl="6" w:tentative="0">
      <w:start w:val="1"/>
      <w:numFmt w:val="decimal"/>
      <w:pStyle w:val="235"/>
      <w:suff w:val="nothing"/>
      <w:lvlText w:val=""/>
      <w:lvlJc w:val="left"/>
      <w:pPr>
        <w:ind w:left="0" w:firstLine="0"/>
      </w:pPr>
      <w:rPr>
        <w:rFonts w:hint="eastAsia"/>
      </w:rPr>
    </w:lvl>
    <w:lvl w:ilvl="7" w:tentative="0">
      <w:start w:val="1"/>
      <w:numFmt w:val="decimal"/>
      <w:pStyle w:val="236"/>
      <w:suff w:val="nothing"/>
      <w:lvlText w:val=""/>
      <w:lvlJc w:val="left"/>
      <w:pPr>
        <w:ind w:left="0" w:firstLine="0"/>
      </w:pPr>
      <w:rPr>
        <w:rFonts w:hint="eastAsia"/>
      </w:rPr>
    </w:lvl>
    <w:lvl w:ilvl="8" w:tentative="0">
      <w:start w:val="1"/>
      <w:numFmt w:val="decimal"/>
      <w:pStyle w:val="237"/>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33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0DF6350"/>
    <w:rsid w:val="6E2A0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8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8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88"/>
    <w:unhideWhenUsed/>
    <w:qFormat/>
    <w:uiPriority w:val="9"/>
    <w:pPr>
      <w:keepNext/>
      <w:keepLines/>
      <w:spacing w:before="320" w:after="200"/>
      <w:outlineLvl w:val="8"/>
    </w:pPr>
    <w:rPr>
      <w:rFonts w:ascii="Arial" w:hAnsi="Arial" w:eastAsia="Arial" w:cs="Arial"/>
      <w:i/>
      <w:iCs/>
    </w:rPr>
  </w:style>
  <w:style w:type="character" w:default="1" w:styleId="37">
    <w:name w:val="Default Paragraph Font"/>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414"/>
    <w:unhideWhenUsed/>
    <w:qFormat/>
    <w:uiPriority w:val="99"/>
    <w:pPr>
      <w:jc w:val="left"/>
    </w:pPr>
  </w:style>
  <w:style w:type="paragraph" w:styleId="15">
    <w:name w:val="Body Text"/>
    <w:basedOn w:val="1"/>
    <w:next w:val="1"/>
    <w:qFormat/>
    <w:uiPriority w:val="0"/>
    <w:pPr>
      <w:spacing w:line="60" w:lineRule="auto"/>
    </w:pPr>
    <w:rPr>
      <w:rFonts w:ascii="仿宋_GB2312" w:eastAsia="仿宋_GB2312"/>
      <w:sz w:val="32"/>
    </w:rPr>
  </w:style>
  <w:style w:type="paragraph" w:styleId="16">
    <w:name w:val="Body Text Indent"/>
    <w:basedOn w:val="1"/>
    <w:qFormat/>
    <w:uiPriority w:val="0"/>
    <w:pPr>
      <w:ind w:firstLine="225"/>
    </w:pPr>
    <w:rPr>
      <w:rFonts w:ascii="仿宋_GB2312" w:eastAsia="仿宋_GB2312"/>
      <w:sz w:val="32"/>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link w:val="226"/>
    <w:semiHidden/>
    <w:unhideWhenUsed/>
    <w:qFormat/>
    <w:uiPriority w:val="99"/>
    <w:rPr>
      <w:sz w:val="20"/>
    </w:rPr>
  </w:style>
  <w:style w:type="paragraph" w:styleId="21">
    <w:name w:val="footer"/>
    <w:basedOn w:val="1"/>
    <w:link w:val="99"/>
    <w:unhideWhenUsed/>
    <w:qFormat/>
    <w:uiPriority w:val="99"/>
    <w:pPr>
      <w:tabs>
        <w:tab w:val="center" w:pos="7143"/>
        <w:tab w:val="right" w:pos="14287"/>
      </w:tabs>
    </w:pPr>
  </w:style>
  <w:style w:type="paragraph" w:styleId="22">
    <w:name w:val="header"/>
    <w:basedOn w:val="1"/>
    <w:link w:val="97"/>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92"/>
    <w:qFormat/>
    <w:uiPriority w:val="11"/>
    <w:pPr>
      <w:spacing w:before="200" w:after="200"/>
    </w:pPr>
    <w:rPr>
      <w:sz w:val="24"/>
      <w:szCs w:val="24"/>
    </w:rPr>
  </w:style>
  <w:style w:type="paragraph" w:styleId="26">
    <w:name w:val="footnote text"/>
    <w:basedOn w:val="1"/>
    <w:link w:val="225"/>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semiHidden/>
    <w:unhideWhenUsed/>
    <w:qFormat/>
    <w:uiPriority w:val="99"/>
    <w:pPr>
      <w:spacing w:beforeAutospacing="1" w:afterAutospacing="1"/>
      <w:jc w:val="left"/>
    </w:pPr>
    <w:rPr>
      <w:sz w:val="24"/>
    </w:rPr>
  </w:style>
  <w:style w:type="paragraph" w:styleId="32">
    <w:name w:val="Title"/>
    <w:basedOn w:val="1"/>
    <w:next w:val="1"/>
    <w:link w:val="91"/>
    <w:qFormat/>
    <w:uiPriority w:val="10"/>
    <w:pPr>
      <w:spacing w:before="300" w:after="200"/>
      <w:contextualSpacing/>
    </w:pPr>
    <w:rPr>
      <w:sz w:val="48"/>
      <w:szCs w:val="48"/>
    </w:rPr>
  </w:style>
  <w:style w:type="paragraph" w:styleId="33">
    <w:name w:val="annotation subject"/>
    <w:basedOn w:val="14"/>
    <w:next w:val="14"/>
    <w:link w:val="415"/>
    <w:semiHidden/>
    <w:unhideWhenUsed/>
    <w:qFormat/>
    <w:uiPriority w:val="99"/>
    <w:rPr>
      <w:b/>
      <w:bCs/>
    </w:rPr>
  </w:style>
  <w:style w:type="paragraph" w:styleId="34">
    <w:name w:val="Body Text First Indent 2"/>
    <w:basedOn w:val="16"/>
    <w:qFormat/>
    <w:uiPriority w:val="0"/>
    <w:pPr>
      <w:spacing w:line="360" w:lineRule="auto"/>
      <w:ind w:firstLine="420"/>
    </w:pPr>
    <w:rPr>
      <w:rFonts w:ascii="宋体" w:hAnsi="宋体" w:eastAsia="宋体"/>
      <w:szCs w:val="20"/>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annotation reference"/>
    <w:basedOn w:val="37"/>
    <w:semiHidden/>
    <w:unhideWhenUsed/>
    <w:qFormat/>
    <w:uiPriority w:val="99"/>
    <w:rPr>
      <w:sz w:val="21"/>
      <w:szCs w:val="21"/>
    </w:rPr>
  </w:style>
  <w:style w:type="character" w:styleId="41">
    <w:name w:val="footnote reference"/>
    <w:unhideWhenUsed/>
    <w:qFormat/>
    <w:uiPriority w:val="99"/>
    <w:rPr>
      <w:vertAlign w:val="superscript"/>
    </w:rPr>
  </w:style>
  <w:style w:type="character" w:customStyle="1" w:styleId="42">
    <w:name w:val="Heading 1 Char"/>
    <w:basedOn w:val="37"/>
    <w:uiPriority w:val="9"/>
    <w:rPr>
      <w:rFonts w:ascii="Arial" w:hAnsi="Arial" w:eastAsia="Arial" w:cs="Arial"/>
      <w:sz w:val="40"/>
      <w:szCs w:val="40"/>
    </w:rPr>
  </w:style>
  <w:style w:type="character" w:customStyle="1" w:styleId="43">
    <w:name w:val="Heading 2 Char"/>
    <w:basedOn w:val="37"/>
    <w:uiPriority w:val="9"/>
    <w:rPr>
      <w:rFonts w:ascii="Arial" w:hAnsi="Arial" w:eastAsia="Arial" w:cs="Arial"/>
      <w:sz w:val="34"/>
    </w:rPr>
  </w:style>
  <w:style w:type="character" w:customStyle="1" w:styleId="44">
    <w:name w:val="Heading 3 Char"/>
    <w:basedOn w:val="37"/>
    <w:uiPriority w:val="9"/>
    <w:rPr>
      <w:rFonts w:ascii="Arial" w:hAnsi="Arial" w:eastAsia="Arial" w:cs="Arial"/>
      <w:sz w:val="30"/>
      <w:szCs w:val="30"/>
    </w:rPr>
  </w:style>
  <w:style w:type="character" w:customStyle="1" w:styleId="45">
    <w:name w:val="Heading 4 Char"/>
    <w:basedOn w:val="37"/>
    <w:uiPriority w:val="9"/>
    <w:rPr>
      <w:rFonts w:ascii="Arial" w:hAnsi="Arial" w:eastAsia="Arial" w:cs="Arial"/>
      <w:b/>
      <w:bCs/>
      <w:sz w:val="26"/>
      <w:szCs w:val="26"/>
    </w:rPr>
  </w:style>
  <w:style w:type="character" w:customStyle="1" w:styleId="46">
    <w:name w:val="Heading 5 Char"/>
    <w:basedOn w:val="37"/>
    <w:uiPriority w:val="9"/>
    <w:rPr>
      <w:rFonts w:ascii="Arial" w:hAnsi="Arial" w:eastAsia="Arial" w:cs="Arial"/>
      <w:b/>
      <w:bCs/>
      <w:sz w:val="24"/>
      <w:szCs w:val="24"/>
    </w:rPr>
  </w:style>
  <w:style w:type="character" w:customStyle="1" w:styleId="47">
    <w:name w:val="Heading 6 Char"/>
    <w:basedOn w:val="37"/>
    <w:uiPriority w:val="9"/>
    <w:rPr>
      <w:rFonts w:ascii="Arial" w:hAnsi="Arial" w:eastAsia="Arial" w:cs="Arial"/>
      <w:b/>
      <w:bCs/>
      <w:sz w:val="22"/>
      <w:szCs w:val="22"/>
    </w:rPr>
  </w:style>
  <w:style w:type="character" w:customStyle="1" w:styleId="48">
    <w:name w:val="Heading 7 Char"/>
    <w:basedOn w:val="37"/>
    <w:uiPriority w:val="9"/>
    <w:rPr>
      <w:rFonts w:ascii="Arial" w:hAnsi="Arial" w:eastAsia="Arial" w:cs="Arial"/>
      <w:b/>
      <w:bCs/>
      <w:i/>
      <w:iCs/>
      <w:sz w:val="22"/>
      <w:szCs w:val="22"/>
    </w:rPr>
  </w:style>
  <w:style w:type="character" w:customStyle="1" w:styleId="49">
    <w:name w:val="Heading 8 Char"/>
    <w:basedOn w:val="37"/>
    <w:uiPriority w:val="9"/>
    <w:rPr>
      <w:rFonts w:ascii="Arial" w:hAnsi="Arial" w:eastAsia="Arial" w:cs="Arial"/>
      <w:i/>
      <w:iCs/>
      <w:sz w:val="22"/>
      <w:szCs w:val="22"/>
    </w:rPr>
  </w:style>
  <w:style w:type="character" w:customStyle="1" w:styleId="50">
    <w:name w:val="Heading 9 Char"/>
    <w:basedOn w:val="37"/>
    <w:uiPriority w:val="9"/>
    <w:rPr>
      <w:rFonts w:ascii="Arial" w:hAnsi="Arial" w:eastAsia="Arial" w:cs="Arial"/>
      <w:i/>
      <w:iCs/>
      <w:sz w:val="21"/>
      <w:szCs w:val="21"/>
    </w:rPr>
  </w:style>
  <w:style w:type="character" w:customStyle="1" w:styleId="51">
    <w:name w:val="Title Char"/>
    <w:basedOn w:val="37"/>
    <w:uiPriority w:val="10"/>
    <w:rPr>
      <w:sz w:val="48"/>
      <w:szCs w:val="48"/>
    </w:rPr>
  </w:style>
  <w:style w:type="character" w:customStyle="1" w:styleId="52">
    <w:name w:val="Subtitle Char"/>
    <w:basedOn w:val="37"/>
    <w:uiPriority w:val="11"/>
    <w:rPr>
      <w:sz w:val="24"/>
      <w:szCs w:val="24"/>
    </w:rPr>
  </w:style>
  <w:style w:type="character" w:customStyle="1" w:styleId="53">
    <w:name w:val="Quote Char"/>
    <w:uiPriority w:val="29"/>
    <w:rPr>
      <w:i/>
    </w:rPr>
  </w:style>
  <w:style w:type="character" w:customStyle="1" w:styleId="54">
    <w:name w:val="Intense Quote Char"/>
    <w:qFormat/>
    <w:uiPriority w:val="30"/>
    <w:rPr>
      <w:i/>
    </w:rPr>
  </w:style>
  <w:style w:type="character" w:customStyle="1" w:styleId="55">
    <w:name w:val="Header Char"/>
    <w:basedOn w:val="37"/>
    <w:uiPriority w:val="99"/>
  </w:style>
  <w:style w:type="character" w:customStyle="1" w:styleId="56">
    <w:name w:val="Caption Char"/>
    <w:uiPriority w:val="99"/>
  </w:style>
  <w:style w:type="table" w:customStyle="1" w:styleId="57">
    <w:name w:val="Plain Table 1"/>
    <w:basedOn w:val="3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basedOn w:val="3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basedOn w:val="35"/>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basedOn w:val="35"/>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basedOn w:val="35"/>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basedOn w:val="35"/>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2"/>
    <w:basedOn w:val="3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4">
    <w:name w:val="Grid Table 3"/>
    <w:basedOn w:val="3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4"/>
    <w:basedOn w:val="3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5 Dark"/>
    <w:basedOn w:val="3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7">
    <w:name w:val="Grid Table 6 Colorful"/>
    <w:basedOn w:val="3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8">
    <w:name w:val="Grid Table 7 Colorful"/>
    <w:basedOn w:val="3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List Table 1 Light"/>
    <w:basedOn w:val="35"/>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0">
    <w:name w:val="List Table 2"/>
    <w:basedOn w:val="3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1">
    <w:name w:val="List Table 3"/>
    <w:basedOn w:val="3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2">
    <w:name w:val="List Table 4"/>
    <w:basedOn w:val="3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5 Dark"/>
    <w:basedOn w:val="3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4">
    <w:name w:val="List Table 6 Colorful"/>
    <w:basedOn w:val="35"/>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5">
    <w:name w:val="List Table 7 Colorful"/>
    <w:basedOn w:val="35"/>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6">
    <w:name w:val="Footnote Text Char"/>
    <w:uiPriority w:val="99"/>
    <w:rPr>
      <w:sz w:val="18"/>
    </w:rPr>
  </w:style>
  <w:style w:type="character" w:customStyle="1" w:styleId="77">
    <w:name w:val="Endnote Text Char"/>
    <w:uiPriority w:val="99"/>
    <w:rPr>
      <w:sz w:val="20"/>
    </w:rPr>
  </w:style>
  <w:style w:type="paragraph" w:customStyle="1" w:styleId="78">
    <w:name w:val="TOC Heading"/>
    <w:unhideWhenUsed/>
    <w:uiPriority w:val="39"/>
    <w:rPr>
      <w:rFonts w:hint="default" w:ascii="Times New Roman" w:hAnsi="Times New Roman" w:eastAsia="宋体" w:cs="Times New Roman"/>
    </w:rPr>
  </w:style>
  <w:style w:type="paragraph" w:customStyle="1" w:styleId="79">
    <w:name w:val="Normal_20_1"/>
    <w:qFormat/>
    <w:uiPriority w:val="0"/>
    <w:pPr>
      <w:widowControl w:val="0"/>
      <w:jc w:val="both"/>
    </w:pPr>
    <w:rPr>
      <w:rFonts w:hint="default" w:ascii="Calibri" w:hAnsi="Calibri" w:eastAsia="宋体" w:cs="Times New Roman"/>
      <w:sz w:val="21"/>
      <w:szCs w:val="22"/>
      <w:lang w:val="en-US" w:eastAsia="zh-CN" w:bidi="ar-SA"/>
    </w:rPr>
  </w:style>
  <w:style w:type="character" w:customStyle="1" w:styleId="80">
    <w:name w:val="标题 1 字符"/>
    <w:link w:val="2"/>
    <w:qFormat/>
    <w:uiPriority w:val="9"/>
    <w:rPr>
      <w:rFonts w:ascii="Arial" w:hAnsi="Arial" w:eastAsia="Arial" w:cs="Arial"/>
      <w:sz w:val="40"/>
      <w:szCs w:val="40"/>
    </w:rPr>
  </w:style>
  <w:style w:type="character" w:customStyle="1" w:styleId="81">
    <w:name w:val="标题 2 字符"/>
    <w:link w:val="3"/>
    <w:qFormat/>
    <w:uiPriority w:val="9"/>
    <w:rPr>
      <w:rFonts w:ascii="Arial" w:hAnsi="Arial" w:eastAsia="Arial" w:cs="Arial"/>
      <w:sz w:val="34"/>
    </w:rPr>
  </w:style>
  <w:style w:type="character" w:customStyle="1" w:styleId="82">
    <w:name w:val="标题 3 字符"/>
    <w:link w:val="4"/>
    <w:qFormat/>
    <w:uiPriority w:val="9"/>
    <w:rPr>
      <w:rFonts w:ascii="Arial" w:hAnsi="Arial" w:eastAsia="Arial" w:cs="Arial"/>
      <w:sz w:val="30"/>
      <w:szCs w:val="30"/>
    </w:rPr>
  </w:style>
  <w:style w:type="character" w:customStyle="1" w:styleId="83">
    <w:name w:val="标题 4 字符"/>
    <w:link w:val="5"/>
    <w:qFormat/>
    <w:uiPriority w:val="9"/>
    <w:rPr>
      <w:rFonts w:ascii="Arial" w:hAnsi="Arial" w:eastAsia="Arial" w:cs="Arial"/>
      <w:b/>
      <w:bCs/>
      <w:sz w:val="26"/>
      <w:szCs w:val="26"/>
    </w:rPr>
  </w:style>
  <w:style w:type="character" w:customStyle="1" w:styleId="84">
    <w:name w:val="标题 5 字符"/>
    <w:link w:val="6"/>
    <w:qFormat/>
    <w:uiPriority w:val="9"/>
    <w:rPr>
      <w:rFonts w:ascii="Arial" w:hAnsi="Arial" w:eastAsia="Arial" w:cs="Arial"/>
      <w:b/>
      <w:bCs/>
      <w:sz w:val="24"/>
      <w:szCs w:val="24"/>
    </w:rPr>
  </w:style>
  <w:style w:type="character" w:customStyle="1" w:styleId="85">
    <w:name w:val="标题 6 字符"/>
    <w:link w:val="7"/>
    <w:qFormat/>
    <w:uiPriority w:val="9"/>
    <w:rPr>
      <w:rFonts w:ascii="Arial" w:hAnsi="Arial" w:eastAsia="Arial" w:cs="Arial"/>
      <w:b/>
      <w:bCs/>
      <w:sz w:val="22"/>
      <w:szCs w:val="22"/>
    </w:rPr>
  </w:style>
  <w:style w:type="character" w:customStyle="1" w:styleId="86">
    <w:name w:val="标题 7 字符"/>
    <w:link w:val="8"/>
    <w:qFormat/>
    <w:uiPriority w:val="9"/>
    <w:rPr>
      <w:rFonts w:ascii="Arial" w:hAnsi="Arial" w:eastAsia="Arial" w:cs="Arial"/>
      <w:b/>
      <w:bCs/>
      <w:i/>
      <w:iCs/>
      <w:sz w:val="22"/>
      <w:szCs w:val="22"/>
    </w:rPr>
  </w:style>
  <w:style w:type="character" w:customStyle="1" w:styleId="87">
    <w:name w:val="标题 8 字符"/>
    <w:link w:val="9"/>
    <w:qFormat/>
    <w:uiPriority w:val="9"/>
    <w:rPr>
      <w:rFonts w:ascii="Arial" w:hAnsi="Arial" w:eastAsia="Arial" w:cs="Arial"/>
      <w:i/>
      <w:iCs/>
      <w:sz w:val="22"/>
      <w:szCs w:val="22"/>
    </w:rPr>
  </w:style>
  <w:style w:type="character" w:customStyle="1" w:styleId="88">
    <w:name w:val="标题 9 字符"/>
    <w:link w:val="10"/>
    <w:qFormat/>
    <w:uiPriority w:val="9"/>
    <w:rPr>
      <w:rFonts w:ascii="Arial" w:hAnsi="Arial" w:eastAsia="Arial" w:cs="Arial"/>
      <w:i/>
      <w:iCs/>
      <w:sz w:val="21"/>
      <w:szCs w:val="21"/>
    </w:rPr>
  </w:style>
  <w:style w:type="paragraph" w:styleId="89">
    <w:name w:val="List Paragraph"/>
    <w:basedOn w:val="1"/>
    <w:qFormat/>
    <w:uiPriority w:val="34"/>
    <w:pPr>
      <w:ind w:left="720"/>
      <w:contextualSpacing/>
    </w:pPr>
  </w:style>
  <w:style w:type="paragraph" w:styleId="90">
    <w:name w:val="No Spacing"/>
    <w:qFormat/>
    <w:uiPriority w:val="1"/>
    <w:rPr>
      <w:rFonts w:hint="default" w:ascii="Times New Roman" w:hAnsi="Times New Roman" w:eastAsia="宋体" w:cs="Times New Roman"/>
      <w:lang w:val="en-US" w:eastAsia="zh-CN" w:bidi="ar-SA"/>
    </w:rPr>
  </w:style>
  <w:style w:type="character" w:customStyle="1" w:styleId="91">
    <w:name w:val="标题 字符"/>
    <w:link w:val="32"/>
    <w:qFormat/>
    <w:uiPriority w:val="10"/>
    <w:rPr>
      <w:sz w:val="48"/>
      <w:szCs w:val="48"/>
    </w:rPr>
  </w:style>
  <w:style w:type="character" w:customStyle="1" w:styleId="92">
    <w:name w:val="副标题 字符"/>
    <w:link w:val="25"/>
    <w:qFormat/>
    <w:uiPriority w:val="11"/>
    <w:rPr>
      <w:sz w:val="24"/>
      <w:szCs w:val="24"/>
    </w:rPr>
  </w:style>
  <w:style w:type="paragraph" w:styleId="93">
    <w:name w:val="Quote"/>
    <w:basedOn w:val="1"/>
    <w:next w:val="1"/>
    <w:link w:val="94"/>
    <w:qFormat/>
    <w:uiPriority w:val="29"/>
    <w:pPr>
      <w:ind w:left="720" w:right="720"/>
    </w:pPr>
    <w:rPr>
      <w:i/>
    </w:rPr>
  </w:style>
  <w:style w:type="character" w:customStyle="1" w:styleId="94">
    <w:name w:val="引用 字符"/>
    <w:link w:val="93"/>
    <w:qFormat/>
    <w:uiPriority w:val="29"/>
    <w:rPr>
      <w:i/>
    </w:rPr>
  </w:style>
  <w:style w:type="paragraph" w:styleId="95">
    <w:name w:val="Intense Quote"/>
    <w:basedOn w:val="1"/>
    <w:next w:val="1"/>
    <w:link w:val="9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6">
    <w:name w:val="明显引用 字符"/>
    <w:link w:val="95"/>
    <w:qFormat/>
    <w:uiPriority w:val="30"/>
    <w:rPr>
      <w:i/>
    </w:rPr>
  </w:style>
  <w:style w:type="character" w:customStyle="1" w:styleId="97">
    <w:name w:val="页眉 字符"/>
    <w:link w:val="22"/>
    <w:qFormat/>
    <w:uiPriority w:val="99"/>
  </w:style>
  <w:style w:type="character" w:customStyle="1" w:styleId="98">
    <w:name w:val="Footer Char"/>
    <w:qFormat/>
    <w:uiPriority w:val="99"/>
  </w:style>
  <w:style w:type="character" w:customStyle="1" w:styleId="99">
    <w:name w:val="页脚 字符"/>
    <w:link w:val="21"/>
    <w:qFormat/>
    <w:uiPriority w:val="99"/>
  </w:style>
  <w:style w:type="table" w:customStyle="1" w:styleId="10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1">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2">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3">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3">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0">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1">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8">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5">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2">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9">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6">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3">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0">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5">
    <w:name w:val="脚注文本 字符"/>
    <w:link w:val="26"/>
    <w:qFormat/>
    <w:uiPriority w:val="99"/>
    <w:rPr>
      <w:sz w:val="18"/>
    </w:rPr>
  </w:style>
  <w:style w:type="character" w:customStyle="1" w:styleId="226">
    <w:name w:val="尾注文本 字符"/>
    <w:link w:val="20"/>
    <w:qFormat/>
    <w:uiPriority w:val="99"/>
    <w:rPr>
      <w:sz w:val="20"/>
    </w:rPr>
  </w:style>
  <w:style w:type="paragraph" w:customStyle="1" w:styleId="227">
    <w:name w:val="TOC 标题1"/>
    <w:unhideWhenUsed/>
    <w:qFormat/>
    <w:uiPriority w:val="39"/>
    <w:rPr>
      <w:rFonts w:hint="default" w:ascii="Times New Roman" w:hAnsi="Times New Roman" w:eastAsia="宋体" w:cs="Times New Roman"/>
      <w:lang w:val="en-US" w:eastAsia="zh-CN" w:bidi="ar-SA"/>
    </w:rPr>
  </w:style>
  <w:style w:type="paragraph" w:customStyle="1" w:styleId="228">
    <w:name w:val="标题 11"/>
    <w:basedOn w:val="1"/>
    <w:next w:val="1"/>
    <w:link w:val="240"/>
    <w:qFormat/>
    <w:uiPriority w:val="0"/>
    <w:pPr>
      <w:keepNext/>
      <w:jc w:val="center"/>
      <w:outlineLvl w:val="0"/>
    </w:pPr>
    <w:rPr>
      <w:rFonts w:ascii="楷体_GB2312" w:eastAsia="楷体_GB2312"/>
      <w:sz w:val="28"/>
      <w:szCs w:val="28"/>
    </w:rPr>
  </w:style>
  <w:style w:type="paragraph" w:customStyle="1" w:styleId="229">
    <w:name w:val="标题 21"/>
    <w:basedOn w:val="1"/>
    <w:next w:val="1"/>
    <w:link w:val="24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30">
    <w:name w:val="标题 31"/>
    <w:basedOn w:val="1"/>
    <w:next w:val="231"/>
    <w:link w:val="242"/>
    <w:qFormat/>
    <w:uiPriority w:val="0"/>
    <w:pPr>
      <w:keepNext/>
      <w:keepLines/>
      <w:spacing w:before="260" w:after="260" w:line="416" w:lineRule="auto"/>
      <w:outlineLvl w:val="2"/>
    </w:pPr>
    <w:rPr>
      <w:b/>
      <w:bCs/>
      <w:sz w:val="32"/>
      <w:szCs w:val="32"/>
    </w:rPr>
  </w:style>
  <w:style w:type="paragraph" w:customStyle="1" w:styleId="231">
    <w:name w:val="正文缩进1"/>
    <w:basedOn w:val="1"/>
    <w:next w:val="1"/>
    <w:link w:val="243"/>
    <w:qFormat/>
    <w:uiPriority w:val="0"/>
    <w:pPr>
      <w:ind w:firstLine="420"/>
    </w:pPr>
  </w:style>
  <w:style w:type="paragraph" w:customStyle="1" w:styleId="232">
    <w:name w:val="标题 41"/>
    <w:basedOn w:val="1"/>
    <w:next w:val="231"/>
    <w:link w:val="244"/>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3">
    <w:name w:val="标题 51"/>
    <w:basedOn w:val="1"/>
    <w:next w:val="231"/>
    <w:link w:val="245"/>
    <w:qFormat/>
    <w:uiPriority w:val="0"/>
    <w:pPr>
      <w:keepNext/>
      <w:outlineLvl w:val="4"/>
    </w:pPr>
    <w:rPr>
      <w:rFonts w:ascii="宋体"/>
      <w:color w:val="000000"/>
      <w:sz w:val="28"/>
      <w:szCs w:val="28"/>
    </w:rPr>
  </w:style>
  <w:style w:type="paragraph" w:customStyle="1" w:styleId="234">
    <w:name w:val="标题 61"/>
    <w:basedOn w:val="1"/>
    <w:next w:val="1"/>
    <w:link w:val="24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35">
    <w:name w:val="标题 71"/>
    <w:basedOn w:val="1"/>
    <w:next w:val="1"/>
    <w:link w:val="247"/>
    <w:qFormat/>
    <w:uiPriority w:val="0"/>
    <w:pPr>
      <w:keepNext/>
      <w:keepLines/>
      <w:numPr>
        <w:ilvl w:val="6"/>
        <w:numId w:val="1"/>
      </w:numPr>
      <w:spacing w:before="240" w:after="64" w:line="320" w:lineRule="auto"/>
      <w:outlineLvl w:val="6"/>
    </w:pPr>
    <w:rPr>
      <w:b/>
      <w:bCs/>
      <w:sz w:val="24"/>
      <w:szCs w:val="24"/>
    </w:rPr>
  </w:style>
  <w:style w:type="paragraph" w:customStyle="1" w:styleId="236">
    <w:name w:val="标题 81"/>
    <w:basedOn w:val="1"/>
    <w:next w:val="1"/>
    <w:link w:val="24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37">
    <w:name w:val="标题 91"/>
    <w:basedOn w:val="1"/>
    <w:next w:val="1"/>
    <w:link w:val="249"/>
    <w:qFormat/>
    <w:uiPriority w:val="0"/>
    <w:pPr>
      <w:keepNext/>
      <w:keepLines/>
      <w:numPr>
        <w:ilvl w:val="8"/>
        <w:numId w:val="1"/>
      </w:numPr>
      <w:spacing w:before="240" w:after="64" w:line="320" w:lineRule="auto"/>
      <w:outlineLvl w:val="8"/>
    </w:pPr>
    <w:rPr>
      <w:rFonts w:ascii="Arial" w:hAnsi="Arial" w:eastAsia="黑体"/>
    </w:rPr>
  </w:style>
  <w:style w:type="character" w:customStyle="1" w:styleId="238">
    <w:name w:val="默认段落字体1"/>
    <w:unhideWhenUsed/>
    <w:qFormat/>
    <w:uiPriority w:val="1"/>
  </w:style>
  <w:style w:type="table" w:customStyle="1" w:styleId="239">
    <w:name w:val="普通表格1"/>
    <w:unhideWhenUsed/>
    <w:qFormat/>
    <w:uiPriority w:val="99"/>
    <w:tblPr>
      <w:tblCellMar>
        <w:top w:w="0" w:type="dxa"/>
        <w:left w:w="0" w:type="dxa"/>
        <w:bottom w:w="0" w:type="dxa"/>
        <w:right w:w="0" w:type="dxa"/>
      </w:tblCellMar>
    </w:tblPr>
  </w:style>
  <w:style w:type="character" w:customStyle="1" w:styleId="240">
    <w:name w:val="标题 1 Char"/>
    <w:link w:val="228"/>
    <w:qFormat/>
    <w:uiPriority w:val="0"/>
    <w:rPr>
      <w:rFonts w:ascii="楷体_GB2312" w:hAnsi="Times New Roman" w:eastAsia="楷体_GB2312" w:cs="Times New Roman"/>
      <w:sz w:val="28"/>
      <w:szCs w:val="28"/>
    </w:rPr>
  </w:style>
  <w:style w:type="character" w:customStyle="1" w:styleId="241">
    <w:name w:val="标题 2 Char"/>
    <w:link w:val="229"/>
    <w:qFormat/>
    <w:uiPriority w:val="0"/>
    <w:rPr>
      <w:rFonts w:ascii="Arial" w:hAnsi="Arial" w:eastAsia="幼圆" w:cs="Arial"/>
      <w:b/>
      <w:bCs/>
      <w:sz w:val="44"/>
      <w:szCs w:val="44"/>
    </w:rPr>
  </w:style>
  <w:style w:type="character" w:customStyle="1" w:styleId="242">
    <w:name w:val="标题 3 Char"/>
    <w:link w:val="230"/>
    <w:qFormat/>
    <w:uiPriority w:val="0"/>
    <w:rPr>
      <w:rFonts w:ascii="Times New Roman" w:hAnsi="Times New Roman" w:eastAsia="宋体" w:cs="Times New Roman"/>
      <w:b/>
      <w:bCs/>
      <w:sz w:val="32"/>
      <w:szCs w:val="32"/>
    </w:rPr>
  </w:style>
  <w:style w:type="character" w:customStyle="1" w:styleId="243">
    <w:name w:val="正文缩进 Char"/>
    <w:link w:val="231"/>
    <w:qFormat/>
    <w:uiPriority w:val="0"/>
    <w:rPr>
      <w:rFonts w:ascii="Times New Roman" w:hAnsi="Times New Roman" w:eastAsia="宋体" w:cs="Times New Roman"/>
      <w:szCs w:val="21"/>
    </w:rPr>
  </w:style>
  <w:style w:type="character" w:customStyle="1" w:styleId="244">
    <w:name w:val="标题 4 Char"/>
    <w:link w:val="232"/>
    <w:qFormat/>
    <w:uiPriority w:val="0"/>
    <w:rPr>
      <w:rFonts w:ascii="Arial" w:hAnsi="Arial" w:eastAsia="黑体" w:cs="Arial"/>
      <w:b/>
      <w:bCs/>
      <w:sz w:val="28"/>
      <w:szCs w:val="28"/>
    </w:rPr>
  </w:style>
  <w:style w:type="character" w:customStyle="1" w:styleId="245">
    <w:name w:val="标题 5 Char"/>
    <w:link w:val="233"/>
    <w:qFormat/>
    <w:uiPriority w:val="0"/>
    <w:rPr>
      <w:rFonts w:ascii="宋体" w:hAnsi="Times New Roman" w:eastAsia="宋体" w:cs="Times New Roman"/>
      <w:color w:val="000000"/>
      <w:sz w:val="28"/>
      <w:szCs w:val="28"/>
    </w:rPr>
  </w:style>
  <w:style w:type="character" w:customStyle="1" w:styleId="246">
    <w:name w:val="标题 6 Char"/>
    <w:link w:val="234"/>
    <w:qFormat/>
    <w:uiPriority w:val="0"/>
    <w:rPr>
      <w:rFonts w:ascii="Arial" w:hAnsi="Arial" w:eastAsia="黑体" w:cs="Times New Roman"/>
      <w:b/>
      <w:bCs/>
      <w:sz w:val="24"/>
      <w:szCs w:val="24"/>
    </w:rPr>
  </w:style>
  <w:style w:type="character" w:customStyle="1" w:styleId="247">
    <w:name w:val="标题 7 Char"/>
    <w:link w:val="235"/>
    <w:qFormat/>
    <w:uiPriority w:val="0"/>
    <w:rPr>
      <w:rFonts w:ascii="Times New Roman" w:hAnsi="Times New Roman" w:eastAsia="宋体" w:cs="Times New Roman"/>
      <w:b/>
      <w:bCs/>
      <w:sz w:val="24"/>
      <w:szCs w:val="24"/>
    </w:rPr>
  </w:style>
  <w:style w:type="character" w:customStyle="1" w:styleId="248">
    <w:name w:val="标题 8 Char"/>
    <w:link w:val="236"/>
    <w:qFormat/>
    <w:uiPriority w:val="0"/>
    <w:rPr>
      <w:rFonts w:ascii="Arial" w:hAnsi="Arial" w:eastAsia="黑体" w:cs="Times New Roman"/>
      <w:sz w:val="24"/>
      <w:szCs w:val="24"/>
    </w:rPr>
  </w:style>
  <w:style w:type="character" w:customStyle="1" w:styleId="249">
    <w:name w:val="标题 9 Char"/>
    <w:link w:val="237"/>
    <w:qFormat/>
    <w:uiPriority w:val="0"/>
    <w:rPr>
      <w:rFonts w:ascii="Arial" w:hAnsi="Arial" w:eastAsia="黑体" w:cs="Times New Roman"/>
      <w:szCs w:val="21"/>
    </w:rPr>
  </w:style>
  <w:style w:type="paragraph" w:customStyle="1" w:styleId="250">
    <w:name w:val="列表 31"/>
    <w:basedOn w:val="1"/>
    <w:qFormat/>
    <w:uiPriority w:val="0"/>
    <w:pPr>
      <w:ind w:left="100" w:hanging="200"/>
    </w:pPr>
  </w:style>
  <w:style w:type="paragraph" w:customStyle="1" w:styleId="251">
    <w:name w:val="目录 71"/>
    <w:basedOn w:val="1"/>
    <w:next w:val="1"/>
    <w:semiHidden/>
    <w:qFormat/>
    <w:uiPriority w:val="0"/>
    <w:pPr>
      <w:ind w:left="1260"/>
      <w:jc w:val="left"/>
    </w:pPr>
  </w:style>
  <w:style w:type="paragraph" w:customStyle="1" w:styleId="252">
    <w:name w:val="文档结构图1"/>
    <w:basedOn w:val="1"/>
    <w:link w:val="253"/>
    <w:semiHidden/>
    <w:qFormat/>
    <w:uiPriority w:val="0"/>
    <w:pPr>
      <w:shd w:val="clear" w:color="auto" w:fill="000080"/>
    </w:pPr>
  </w:style>
  <w:style w:type="character" w:customStyle="1" w:styleId="253">
    <w:name w:val="文档结构图 Char"/>
    <w:link w:val="252"/>
    <w:semiHidden/>
    <w:qFormat/>
    <w:uiPriority w:val="0"/>
    <w:rPr>
      <w:rFonts w:ascii="Times New Roman" w:hAnsi="Times New Roman" w:eastAsia="宋体" w:cs="Times New Roman"/>
      <w:szCs w:val="21"/>
      <w:shd w:val="clear" w:color="auto" w:fill="000080"/>
    </w:rPr>
  </w:style>
  <w:style w:type="paragraph" w:customStyle="1" w:styleId="254">
    <w:name w:val="批注文字1"/>
    <w:basedOn w:val="1"/>
    <w:link w:val="255"/>
    <w:semiHidden/>
    <w:qFormat/>
    <w:uiPriority w:val="0"/>
    <w:pPr>
      <w:jc w:val="left"/>
    </w:pPr>
  </w:style>
  <w:style w:type="character" w:customStyle="1" w:styleId="255">
    <w:name w:val="批注文字 Char"/>
    <w:link w:val="254"/>
    <w:semiHidden/>
    <w:qFormat/>
    <w:uiPriority w:val="0"/>
    <w:rPr>
      <w:rFonts w:ascii="Times New Roman" w:hAnsi="Times New Roman" w:eastAsia="宋体" w:cs="Times New Roman"/>
      <w:szCs w:val="21"/>
    </w:rPr>
  </w:style>
  <w:style w:type="paragraph" w:customStyle="1" w:styleId="256">
    <w:name w:val="正文文本 31"/>
    <w:basedOn w:val="1"/>
    <w:link w:val="257"/>
    <w:qFormat/>
    <w:uiPriority w:val="0"/>
    <w:rPr>
      <w:rFonts w:ascii="仿宋_GB2312" w:hAnsi="Arial" w:eastAsia="仿宋_GB2312"/>
      <w:sz w:val="32"/>
      <w:szCs w:val="32"/>
    </w:rPr>
  </w:style>
  <w:style w:type="character" w:customStyle="1" w:styleId="257">
    <w:name w:val="正文文本 3 Char"/>
    <w:link w:val="256"/>
    <w:qFormat/>
    <w:uiPriority w:val="0"/>
    <w:rPr>
      <w:rFonts w:ascii="仿宋_GB2312" w:hAnsi="Arial" w:eastAsia="仿宋_GB2312" w:cs="Times New Roman"/>
      <w:sz w:val="32"/>
      <w:szCs w:val="32"/>
    </w:rPr>
  </w:style>
  <w:style w:type="paragraph" w:customStyle="1" w:styleId="258">
    <w:name w:val="正文文本1"/>
    <w:basedOn w:val="1"/>
    <w:link w:val="259"/>
    <w:qFormat/>
    <w:uiPriority w:val="0"/>
    <w:rPr>
      <w:rFonts w:ascii="楷体_GB2312" w:hAnsi="Arial" w:eastAsia="楷体_GB2312"/>
      <w:sz w:val="28"/>
      <w:szCs w:val="28"/>
    </w:rPr>
  </w:style>
  <w:style w:type="character" w:customStyle="1" w:styleId="259">
    <w:name w:val="正文文本 Char"/>
    <w:link w:val="258"/>
    <w:qFormat/>
    <w:uiPriority w:val="0"/>
    <w:rPr>
      <w:rFonts w:ascii="楷体_GB2312" w:hAnsi="Arial" w:eastAsia="楷体_GB2312" w:cs="Times New Roman"/>
      <w:sz w:val="28"/>
      <w:szCs w:val="28"/>
    </w:rPr>
  </w:style>
  <w:style w:type="paragraph" w:customStyle="1" w:styleId="260">
    <w:name w:val="正文文本缩进1"/>
    <w:basedOn w:val="1"/>
    <w:next w:val="1"/>
    <w:link w:val="261"/>
    <w:qFormat/>
    <w:uiPriority w:val="0"/>
    <w:pPr>
      <w:ind w:firstLine="645"/>
    </w:pPr>
    <w:rPr>
      <w:rFonts w:ascii="楷体_GB2312" w:eastAsia="楷体_GB2312"/>
      <w:sz w:val="32"/>
      <w:szCs w:val="32"/>
    </w:rPr>
  </w:style>
  <w:style w:type="character" w:customStyle="1" w:styleId="261">
    <w:name w:val="正文文本缩进 Char"/>
    <w:link w:val="260"/>
    <w:qFormat/>
    <w:uiPriority w:val="0"/>
    <w:rPr>
      <w:rFonts w:ascii="楷体_GB2312" w:hAnsi="Times New Roman" w:eastAsia="楷体_GB2312" w:cs="Times New Roman"/>
      <w:sz w:val="32"/>
      <w:szCs w:val="32"/>
    </w:rPr>
  </w:style>
  <w:style w:type="paragraph" w:customStyle="1" w:styleId="262">
    <w:name w:val="列表 21"/>
    <w:basedOn w:val="1"/>
    <w:qFormat/>
    <w:uiPriority w:val="0"/>
    <w:pPr>
      <w:ind w:left="100" w:hanging="200"/>
    </w:pPr>
  </w:style>
  <w:style w:type="paragraph" w:customStyle="1" w:styleId="263">
    <w:name w:val="目录 51"/>
    <w:basedOn w:val="1"/>
    <w:next w:val="1"/>
    <w:semiHidden/>
    <w:qFormat/>
    <w:uiPriority w:val="0"/>
    <w:pPr>
      <w:ind w:left="840"/>
      <w:jc w:val="left"/>
    </w:pPr>
  </w:style>
  <w:style w:type="paragraph" w:customStyle="1" w:styleId="264">
    <w:name w:val="目录 31"/>
    <w:basedOn w:val="1"/>
    <w:next w:val="1"/>
    <w:semiHidden/>
    <w:qFormat/>
    <w:uiPriority w:val="0"/>
    <w:pPr>
      <w:ind w:left="420"/>
      <w:jc w:val="left"/>
    </w:pPr>
    <w:rPr>
      <w:i/>
      <w:iCs/>
      <w:szCs w:val="24"/>
    </w:rPr>
  </w:style>
  <w:style w:type="paragraph" w:customStyle="1" w:styleId="265">
    <w:name w:val="纯文本11"/>
    <w:basedOn w:val="1"/>
    <w:link w:val="266"/>
    <w:qFormat/>
    <w:uiPriority w:val="0"/>
    <w:rPr>
      <w:rFonts w:ascii="宋体" w:hAnsi="Courier New" w:cs="Courier New"/>
    </w:rPr>
  </w:style>
  <w:style w:type="character" w:customStyle="1" w:styleId="266">
    <w:name w:val="纯文本 Char"/>
    <w:link w:val="265"/>
    <w:qFormat/>
    <w:uiPriority w:val="0"/>
    <w:rPr>
      <w:rFonts w:ascii="宋体" w:hAnsi="Courier New" w:eastAsia="宋体" w:cs="Courier New"/>
      <w:szCs w:val="21"/>
    </w:rPr>
  </w:style>
  <w:style w:type="paragraph" w:customStyle="1" w:styleId="267">
    <w:name w:val="目录 81"/>
    <w:basedOn w:val="1"/>
    <w:next w:val="1"/>
    <w:semiHidden/>
    <w:qFormat/>
    <w:uiPriority w:val="0"/>
    <w:pPr>
      <w:ind w:left="1470"/>
      <w:jc w:val="left"/>
    </w:pPr>
  </w:style>
  <w:style w:type="paragraph" w:customStyle="1" w:styleId="268">
    <w:name w:val="日期1"/>
    <w:basedOn w:val="1"/>
    <w:next w:val="1"/>
    <w:link w:val="269"/>
    <w:qFormat/>
    <w:uiPriority w:val="0"/>
    <w:rPr>
      <w:sz w:val="24"/>
      <w:szCs w:val="24"/>
    </w:rPr>
  </w:style>
  <w:style w:type="character" w:customStyle="1" w:styleId="269">
    <w:name w:val="日期 Char"/>
    <w:link w:val="268"/>
    <w:qFormat/>
    <w:uiPriority w:val="0"/>
    <w:rPr>
      <w:rFonts w:ascii="Times New Roman" w:hAnsi="Times New Roman" w:eastAsia="宋体" w:cs="Times New Roman"/>
      <w:sz w:val="24"/>
      <w:szCs w:val="24"/>
    </w:rPr>
  </w:style>
  <w:style w:type="paragraph" w:customStyle="1" w:styleId="270">
    <w:name w:val="正文文本缩进 21"/>
    <w:basedOn w:val="1"/>
    <w:link w:val="271"/>
    <w:qFormat/>
    <w:uiPriority w:val="0"/>
    <w:pPr>
      <w:ind w:left="630" w:firstLine="645"/>
    </w:pPr>
    <w:rPr>
      <w:rFonts w:ascii="Arial" w:hAnsi="Arial" w:eastAsia="仿宋_GB2312" w:cs="Arial"/>
      <w:sz w:val="32"/>
      <w:szCs w:val="32"/>
    </w:rPr>
  </w:style>
  <w:style w:type="character" w:customStyle="1" w:styleId="271">
    <w:name w:val="正文文本缩进 2 Char"/>
    <w:link w:val="270"/>
    <w:qFormat/>
    <w:uiPriority w:val="0"/>
    <w:rPr>
      <w:rFonts w:ascii="Arial" w:hAnsi="Arial" w:eastAsia="仿宋_GB2312" w:cs="Arial"/>
      <w:sz w:val="32"/>
      <w:szCs w:val="32"/>
    </w:rPr>
  </w:style>
  <w:style w:type="paragraph" w:customStyle="1" w:styleId="272">
    <w:name w:val="批注框文本1"/>
    <w:basedOn w:val="1"/>
    <w:link w:val="273"/>
    <w:semiHidden/>
    <w:qFormat/>
    <w:uiPriority w:val="0"/>
    <w:rPr>
      <w:sz w:val="18"/>
      <w:szCs w:val="18"/>
    </w:rPr>
  </w:style>
  <w:style w:type="character" w:customStyle="1" w:styleId="273">
    <w:name w:val="批注框文本 Char"/>
    <w:link w:val="272"/>
    <w:semiHidden/>
    <w:qFormat/>
    <w:uiPriority w:val="0"/>
    <w:rPr>
      <w:rFonts w:ascii="Times New Roman" w:hAnsi="Times New Roman" w:eastAsia="宋体" w:cs="Times New Roman"/>
      <w:sz w:val="18"/>
      <w:szCs w:val="18"/>
    </w:rPr>
  </w:style>
  <w:style w:type="paragraph" w:customStyle="1" w:styleId="274">
    <w:name w:val="页脚1"/>
    <w:basedOn w:val="1"/>
    <w:link w:val="275"/>
    <w:qFormat/>
    <w:uiPriority w:val="0"/>
    <w:pPr>
      <w:tabs>
        <w:tab w:val="center" w:pos="4153"/>
        <w:tab w:val="right" w:pos="8306"/>
      </w:tabs>
      <w:jc w:val="left"/>
    </w:pPr>
    <w:rPr>
      <w:sz w:val="18"/>
      <w:szCs w:val="18"/>
    </w:rPr>
  </w:style>
  <w:style w:type="character" w:customStyle="1" w:styleId="275">
    <w:name w:val="页脚 Char"/>
    <w:link w:val="274"/>
    <w:qFormat/>
    <w:uiPriority w:val="0"/>
    <w:rPr>
      <w:rFonts w:ascii="Times New Roman" w:hAnsi="Times New Roman" w:eastAsia="宋体" w:cs="Times New Roman"/>
      <w:sz w:val="18"/>
      <w:szCs w:val="18"/>
    </w:rPr>
  </w:style>
  <w:style w:type="paragraph" w:customStyle="1" w:styleId="276">
    <w:name w:val="页眉1"/>
    <w:basedOn w:val="1"/>
    <w:link w:val="277"/>
    <w:qFormat/>
    <w:uiPriority w:val="0"/>
    <w:pPr>
      <w:pBdr>
        <w:bottom w:val="single" w:color="000000" w:sz="6" w:space="1"/>
      </w:pBdr>
      <w:tabs>
        <w:tab w:val="center" w:pos="4153"/>
        <w:tab w:val="right" w:pos="8306"/>
      </w:tabs>
      <w:jc w:val="center"/>
    </w:pPr>
    <w:rPr>
      <w:sz w:val="18"/>
      <w:szCs w:val="18"/>
    </w:rPr>
  </w:style>
  <w:style w:type="character" w:customStyle="1" w:styleId="277">
    <w:name w:val="页眉 Char"/>
    <w:link w:val="276"/>
    <w:qFormat/>
    <w:uiPriority w:val="0"/>
    <w:rPr>
      <w:rFonts w:ascii="Times New Roman" w:hAnsi="Times New Roman" w:eastAsia="宋体" w:cs="Times New Roman"/>
      <w:sz w:val="18"/>
      <w:szCs w:val="18"/>
    </w:rPr>
  </w:style>
  <w:style w:type="paragraph" w:customStyle="1" w:styleId="278">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79">
    <w:name w:val="目录 41"/>
    <w:basedOn w:val="1"/>
    <w:next w:val="1"/>
    <w:semiHidden/>
    <w:qFormat/>
    <w:uiPriority w:val="0"/>
    <w:pPr>
      <w:ind w:left="630"/>
      <w:jc w:val="left"/>
    </w:pPr>
  </w:style>
  <w:style w:type="paragraph" w:customStyle="1" w:styleId="280">
    <w:name w:val="列表1"/>
    <w:basedOn w:val="1"/>
    <w:qFormat/>
    <w:uiPriority w:val="0"/>
    <w:pPr>
      <w:ind w:left="200" w:hanging="200"/>
    </w:pPr>
  </w:style>
  <w:style w:type="paragraph" w:customStyle="1" w:styleId="281">
    <w:name w:val="目录 61"/>
    <w:basedOn w:val="1"/>
    <w:next w:val="1"/>
    <w:semiHidden/>
    <w:qFormat/>
    <w:uiPriority w:val="0"/>
    <w:pPr>
      <w:ind w:left="1050"/>
      <w:jc w:val="left"/>
    </w:pPr>
  </w:style>
  <w:style w:type="paragraph" w:customStyle="1" w:styleId="282">
    <w:name w:val="正文文本缩进 31"/>
    <w:basedOn w:val="1"/>
    <w:link w:val="283"/>
    <w:qFormat/>
    <w:uiPriority w:val="0"/>
    <w:pPr>
      <w:ind w:left="645" w:firstLine="645"/>
    </w:pPr>
    <w:rPr>
      <w:rFonts w:ascii="Arial" w:hAnsi="Arial" w:eastAsia="仿宋_GB2312" w:cs="Arial"/>
      <w:color w:val="FFFF00"/>
      <w:sz w:val="32"/>
      <w:szCs w:val="32"/>
    </w:rPr>
  </w:style>
  <w:style w:type="character" w:customStyle="1" w:styleId="283">
    <w:name w:val="正文文本缩进 3 Char"/>
    <w:link w:val="282"/>
    <w:qFormat/>
    <w:uiPriority w:val="0"/>
    <w:rPr>
      <w:rFonts w:ascii="Arial" w:hAnsi="Arial" w:eastAsia="仿宋_GB2312" w:cs="Arial"/>
      <w:color w:val="FFFF00"/>
      <w:sz w:val="32"/>
      <w:szCs w:val="32"/>
    </w:rPr>
  </w:style>
  <w:style w:type="paragraph" w:customStyle="1" w:styleId="284">
    <w:name w:val="图表目录1"/>
    <w:basedOn w:val="1"/>
    <w:next w:val="1"/>
    <w:semiHidden/>
    <w:qFormat/>
    <w:uiPriority w:val="0"/>
    <w:pPr>
      <w:ind w:left="840" w:hanging="420"/>
    </w:pPr>
  </w:style>
  <w:style w:type="paragraph" w:customStyle="1" w:styleId="285">
    <w:name w:val="目录 21"/>
    <w:basedOn w:val="1"/>
    <w:next w:val="1"/>
    <w:semiHidden/>
    <w:qFormat/>
    <w:uiPriority w:val="0"/>
    <w:pPr>
      <w:ind w:left="210"/>
      <w:jc w:val="left"/>
    </w:pPr>
    <w:rPr>
      <w:smallCaps/>
      <w:szCs w:val="24"/>
    </w:rPr>
  </w:style>
  <w:style w:type="paragraph" w:customStyle="1" w:styleId="286">
    <w:name w:val="目录 91"/>
    <w:basedOn w:val="1"/>
    <w:next w:val="1"/>
    <w:semiHidden/>
    <w:qFormat/>
    <w:uiPriority w:val="0"/>
    <w:pPr>
      <w:ind w:left="1680"/>
      <w:jc w:val="left"/>
    </w:pPr>
  </w:style>
  <w:style w:type="paragraph" w:customStyle="1" w:styleId="287">
    <w:name w:val="正文文本 21"/>
    <w:basedOn w:val="1"/>
    <w:link w:val="288"/>
    <w:qFormat/>
    <w:uiPriority w:val="0"/>
    <w:pPr>
      <w:widowControl/>
      <w:jc w:val="center"/>
    </w:pPr>
    <w:rPr>
      <w:rFonts w:ascii="楷体_GB2312" w:eastAsia="楷体_GB2312"/>
      <w:sz w:val="28"/>
      <w:szCs w:val="28"/>
    </w:rPr>
  </w:style>
  <w:style w:type="character" w:customStyle="1" w:styleId="288">
    <w:name w:val="正文文本 2 Char"/>
    <w:link w:val="287"/>
    <w:qFormat/>
    <w:uiPriority w:val="0"/>
    <w:rPr>
      <w:rFonts w:ascii="楷体_GB2312" w:hAnsi="Times New Roman" w:eastAsia="楷体_GB2312" w:cs="Times New Roman"/>
      <w:sz w:val="28"/>
      <w:szCs w:val="28"/>
    </w:rPr>
  </w:style>
  <w:style w:type="paragraph" w:customStyle="1" w:styleId="289">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0">
    <w:name w:val="索引 11"/>
    <w:basedOn w:val="1"/>
    <w:next w:val="1"/>
    <w:semiHidden/>
    <w:qFormat/>
    <w:uiPriority w:val="0"/>
    <w:pPr>
      <w:spacing w:line="240" w:lineRule="atLeast"/>
    </w:pPr>
    <w:rPr>
      <w:b/>
      <w:bCs/>
    </w:rPr>
  </w:style>
  <w:style w:type="paragraph" w:customStyle="1" w:styleId="291">
    <w:name w:val="批注主题1"/>
    <w:basedOn w:val="254"/>
    <w:next w:val="254"/>
    <w:link w:val="292"/>
    <w:semiHidden/>
    <w:qFormat/>
    <w:uiPriority w:val="0"/>
    <w:rPr>
      <w:b/>
      <w:bCs/>
    </w:rPr>
  </w:style>
  <w:style w:type="character" w:customStyle="1" w:styleId="292">
    <w:name w:val="批注主题 Char"/>
    <w:link w:val="291"/>
    <w:semiHidden/>
    <w:qFormat/>
    <w:uiPriority w:val="0"/>
    <w:rPr>
      <w:rFonts w:ascii="Times New Roman" w:hAnsi="Times New Roman" w:eastAsia="宋体" w:cs="Times New Roman"/>
      <w:b/>
      <w:bCs/>
      <w:szCs w:val="21"/>
    </w:rPr>
  </w:style>
  <w:style w:type="paragraph" w:customStyle="1" w:styleId="293">
    <w:name w:val="正文首行缩进1"/>
    <w:basedOn w:val="1"/>
    <w:link w:val="294"/>
    <w:qFormat/>
    <w:uiPriority w:val="0"/>
    <w:pPr>
      <w:spacing w:line="360" w:lineRule="auto"/>
      <w:ind w:firstLine="200"/>
    </w:pPr>
    <w:rPr>
      <w:rFonts w:ascii="仿宋_GB2312" w:eastAsia="仿宋_GB2312"/>
      <w:sz w:val="30"/>
      <w:szCs w:val="30"/>
    </w:rPr>
  </w:style>
  <w:style w:type="character" w:customStyle="1" w:styleId="294">
    <w:name w:val="正文首行缩进 Char"/>
    <w:link w:val="293"/>
    <w:qFormat/>
    <w:uiPriority w:val="0"/>
    <w:rPr>
      <w:rFonts w:ascii="仿宋_GB2312" w:hAnsi="Times New Roman" w:eastAsia="仿宋_GB2312" w:cs="Times New Roman"/>
      <w:sz w:val="30"/>
      <w:szCs w:val="30"/>
    </w:rPr>
  </w:style>
  <w:style w:type="paragraph" w:customStyle="1" w:styleId="295">
    <w:name w:val="正文首行缩进 21"/>
    <w:basedOn w:val="260"/>
    <w:link w:val="296"/>
    <w:qFormat/>
    <w:uiPriority w:val="0"/>
    <w:pPr>
      <w:spacing w:line="360" w:lineRule="auto"/>
      <w:ind w:firstLine="420"/>
    </w:pPr>
    <w:rPr>
      <w:rFonts w:ascii="宋体" w:hAnsi="宋体" w:eastAsia="宋体"/>
      <w:sz w:val="21"/>
      <w:szCs w:val="20"/>
    </w:rPr>
  </w:style>
  <w:style w:type="character" w:customStyle="1" w:styleId="296">
    <w:name w:val="正文首行缩进 2 Char"/>
    <w:link w:val="295"/>
    <w:qFormat/>
    <w:uiPriority w:val="0"/>
    <w:rPr>
      <w:rFonts w:ascii="宋体" w:hAnsi="宋体" w:eastAsia="宋体" w:cs="Times New Roman"/>
      <w:sz w:val="32"/>
      <w:szCs w:val="20"/>
    </w:rPr>
  </w:style>
  <w:style w:type="table" w:customStyle="1" w:styleId="297">
    <w:name w:val="网格型1"/>
    <w:basedOn w:val="239"/>
    <w:qFormat/>
    <w:uiPriority w:val="0"/>
    <w:pPr>
      <w:widowControl w:val="0"/>
      <w:jc w:val="both"/>
    </w:pPr>
  </w:style>
  <w:style w:type="character" w:customStyle="1" w:styleId="298">
    <w:name w:val="要点1"/>
    <w:qFormat/>
    <w:uiPriority w:val="0"/>
    <w:rPr>
      <w:b/>
      <w:bCs/>
    </w:rPr>
  </w:style>
  <w:style w:type="character" w:customStyle="1" w:styleId="299">
    <w:name w:val="页码1"/>
    <w:qFormat/>
    <w:uiPriority w:val="0"/>
  </w:style>
  <w:style w:type="character" w:customStyle="1" w:styleId="300">
    <w:name w:val="已访问的超链接1"/>
    <w:basedOn w:val="238"/>
    <w:qFormat/>
    <w:uiPriority w:val="0"/>
    <w:rPr>
      <w:color w:val="800080"/>
      <w:u w:val="none"/>
    </w:rPr>
  </w:style>
  <w:style w:type="character" w:customStyle="1" w:styleId="301">
    <w:name w:val="强调1"/>
    <w:basedOn w:val="238"/>
    <w:qFormat/>
    <w:uiPriority w:val="20"/>
    <w:rPr>
      <w:b/>
      <w:bCs/>
    </w:rPr>
  </w:style>
  <w:style w:type="character" w:customStyle="1" w:styleId="302">
    <w:name w:val="HTML 定义1"/>
    <w:basedOn w:val="238"/>
    <w:unhideWhenUsed/>
    <w:qFormat/>
    <w:uiPriority w:val="99"/>
  </w:style>
  <w:style w:type="character" w:customStyle="1" w:styleId="303">
    <w:name w:val="HTML 打字机1"/>
    <w:basedOn w:val="238"/>
    <w:unhideWhenUsed/>
    <w:qFormat/>
    <w:uiPriority w:val="99"/>
    <w:rPr>
      <w:rFonts w:ascii="monospace" w:hAnsi="monospace" w:eastAsia="monospace" w:cs="monospace"/>
      <w:sz w:val="20"/>
    </w:rPr>
  </w:style>
  <w:style w:type="character" w:customStyle="1" w:styleId="304">
    <w:name w:val="HTML 缩写1"/>
    <w:basedOn w:val="238"/>
    <w:unhideWhenUsed/>
    <w:qFormat/>
    <w:uiPriority w:val="99"/>
  </w:style>
  <w:style w:type="character" w:customStyle="1" w:styleId="305">
    <w:name w:val="HTML 变量1"/>
    <w:basedOn w:val="238"/>
    <w:unhideWhenUsed/>
    <w:qFormat/>
    <w:uiPriority w:val="99"/>
  </w:style>
  <w:style w:type="character" w:customStyle="1" w:styleId="306">
    <w:name w:val="超链接1"/>
    <w:basedOn w:val="238"/>
    <w:qFormat/>
    <w:uiPriority w:val="0"/>
    <w:rPr>
      <w:color w:val="0000FF"/>
      <w:u w:val="none"/>
    </w:rPr>
  </w:style>
  <w:style w:type="character" w:customStyle="1" w:styleId="307">
    <w:name w:val="HTML 代码1"/>
    <w:basedOn w:val="238"/>
    <w:unhideWhenUsed/>
    <w:qFormat/>
    <w:uiPriority w:val="99"/>
    <w:rPr>
      <w:rFonts w:ascii="monospace" w:hAnsi="monospace" w:eastAsia="monospace" w:cs="monospace"/>
      <w:sz w:val="20"/>
    </w:rPr>
  </w:style>
  <w:style w:type="character" w:customStyle="1" w:styleId="308">
    <w:name w:val="批注引用1"/>
    <w:semiHidden/>
    <w:qFormat/>
    <w:uiPriority w:val="0"/>
    <w:rPr>
      <w:sz w:val="21"/>
      <w:szCs w:val="21"/>
    </w:rPr>
  </w:style>
  <w:style w:type="character" w:customStyle="1" w:styleId="309">
    <w:name w:val="HTML 引文1"/>
    <w:basedOn w:val="238"/>
    <w:unhideWhenUsed/>
    <w:qFormat/>
    <w:uiPriority w:val="99"/>
  </w:style>
  <w:style w:type="character" w:customStyle="1" w:styleId="310">
    <w:name w:val="HTML 键盘1"/>
    <w:basedOn w:val="238"/>
    <w:unhideWhenUsed/>
    <w:qFormat/>
    <w:uiPriority w:val="99"/>
    <w:rPr>
      <w:rFonts w:ascii="monospace" w:hAnsi="monospace" w:eastAsia="monospace" w:cs="monospace"/>
      <w:sz w:val="20"/>
    </w:rPr>
  </w:style>
  <w:style w:type="character" w:customStyle="1" w:styleId="311">
    <w:name w:val="HTML 样本1"/>
    <w:basedOn w:val="238"/>
    <w:unhideWhenUsed/>
    <w:qFormat/>
    <w:uiPriority w:val="99"/>
    <w:rPr>
      <w:rFonts w:ascii="monospace" w:hAnsi="monospace" w:eastAsia="monospace" w:cs="monospace"/>
    </w:rPr>
  </w:style>
  <w:style w:type="paragraph" w:customStyle="1" w:styleId="312">
    <w:name w:val="Default"/>
    <w:qFormat/>
    <w:uiPriority w:val="0"/>
    <w:pPr>
      <w:widowControl w:val="0"/>
    </w:pPr>
    <w:rPr>
      <w:rFonts w:hint="default" w:ascii="宋体" w:hAnsi="Times New Roman" w:eastAsia="宋体" w:cs="宋体"/>
      <w:b/>
      <w:color w:val="000000"/>
      <w:sz w:val="24"/>
      <w:szCs w:val="24"/>
      <w:lang w:val="en-US" w:eastAsia="zh-CN" w:bidi="ar-SA"/>
    </w:rPr>
  </w:style>
  <w:style w:type="paragraph" w:customStyle="1" w:styleId="313">
    <w:name w:val="正文空2字"/>
    <w:basedOn w:val="314"/>
    <w:qFormat/>
    <w:uiPriority w:val="99"/>
    <w:pPr>
      <w:widowControl w:val="0"/>
      <w:spacing w:line="560" w:lineRule="exact"/>
      <w:ind w:firstLine="640"/>
    </w:pPr>
    <w:rPr>
      <w:rFonts w:ascii="仿宋_GB2312" w:hAnsi="仿宋_GB2312" w:cs="仿宋_GB2312"/>
      <w:lang w:val="zh-TW"/>
    </w:rPr>
  </w:style>
  <w:style w:type="paragraph" w:customStyle="1" w:styleId="314">
    <w:name w:val="左对齐正文"/>
    <w:qFormat/>
    <w:uiPriority w:val="99"/>
    <w:rPr>
      <w:rFonts w:hint="default" w:ascii="Calibri" w:hAnsi="Calibri" w:eastAsia="仿宋_GB2312" w:cs="Calibri"/>
      <w:sz w:val="32"/>
      <w:szCs w:val="32"/>
      <w:lang w:val="en-US" w:eastAsia="zh-CN" w:bidi="ar-SA"/>
    </w:rPr>
  </w:style>
  <w:style w:type="paragraph" w:customStyle="1" w:styleId="315">
    <w:name w:val="索引 41"/>
    <w:basedOn w:val="1"/>
    <w:next w:val="1"/>
    <w:semiHidden/>
    <w:qFormat/>
    <w:uiPriority w:val="0"/>
    <w:pPr>
      <w:ind w:left="1260"/>
    </w:pPr>
    <w:rPr>
      <w:rFonts w:ascii="Calibri" w:hAnsi="Calibri" w:eastAsia="Calibri" w:cs="宋体"/>
      <w:sz w:val="20"/>
      <w:lang w:val="zh-CN"/>
    </w:rPr>
  </w:style>
  <w:style w:type="character" w:customStyle="1" w:styleId="316">
    <w:name w:val="font5 Char"/>
    <w:qFormat/>
    <w:uiPriority w:val="0"/>
    <w:rPr>
      <w:rFonts w:ascii="宋体" w:hAnsi="宋体" w:eastAsia="宋体"/>
      <w:sz w:val="28"/>
      <w:szCs w:val="28"/>
      <w:lang w:val="en-US" w:eastAsia="zh-CN" w:bidi="ar-SA"/>
    </w:rPr>
  </w:style>
  <w:style w:type="character" w:customStyle="1" w:styleId="317">
    <w:name w:val="二级目录 Char"/>
    <w:link w:val="318"/>
    <w:qFormat/>
    <w:uiPriority w:val="0"/>
    <w:rPr>
      <w:b/>
      <w:sz w:val="30"/>
      <w:szCs w:val="28"/>
    </w:rPr>
  </w:style>
  <w:style w:type="paragraph" w:customStyle="1" w:styleId="318">
    <w:name w:val="二级目录"/>
    <w:next w:val="1"/>
    <w:link w:val="317"/>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319">
    <w:name w:val="列出段落 Char"/>
    <w:link w:val="320"/>
    <w:qFormat/>
    <w:uiPriority w:val="0"/>
    <w:rPr>
      <w:rFonts w:ascii="Calibri" w:hAnsi="Calibri"/>
      <w:sz w:val="24"/>
      <w:szCs w:val="24"/>
      <w:lang w:eastAsia="en-US" w:bidi="en-US"/>
    </w:rPr>
  </w:style>
  <w:style w:type="paragraph" w:customStyle="1" w:styleId="320">
    <w:name w:val="列出段落1"/>
    <w:basedOn w:val="1"/>
    <w:link w:val="319"/>
    <w:qFormat/>
    <w:uiPriority w:val="0"/>
    <w:pPr>
      <w:widowControl/>
      <w:ind w:left="720"/>
      <w:contextualSpacing/>
      <w:jc w:val="left"/>
    </w:pPr>
    <w:rPr>
      <w:rFonts w:ascii="Calibri" w:hAnsi="Calibri"/>
      <w:sz w:val="24"/>
      <w:szCs w:val="24"/>
      <w:lang w:eastAsia="en-US" w:bidi="en-US"/>
    </w:rPr>
  </w:style>
  <w:style w:type="paragraph" w:customStyle="1" w:styleId="321">
    <w:name w:val="Body Text(ch)"/>
    <w:basedOn w:val="1"/>
    <w:next w:val="258"/>
    <w:qFormat/>
    <w:uiPriority w:val="0"/>
    <w:pPr>
      <w:spacing w:after="120"/>
    </w:pPr>
    <w:rPr>
      <w:rFonts w:ascii="宋体" w:hAnsi="Arial"/>
      <w:bCs/>
      <w:iCs/>
      <w:szCs w:val="24"/>
    </w:rPr>
  </w:style>
  <w:style w:type="paragraph" w:customStyle="1" w:styleId="32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24">
    <w:name w:val="Char"/>
    <w:basedOn w:val="1"/>
    <w:qFormat/>
    <w:uiPriority w:val="0"/>
    <w:pPr>
      <w:tabs>
        <w:tab w:val="left" w:pos="360"/>
      </w:tabs>
      <w:ind w:firstLine="200"/>
    </w:pPr>
    <w:rPr>
      <w:sz w:val="28"/>
      <w:szCs w:val="30"/>
    </w:rPr>
  </w:style>
  <w:style w:type="paragraph" w:customStyle="1" w:styleId="325">
    <w:name w:val="Char1"/>
    <w:basedOn w:val="252"/>
    <w:qFormat/>
    <w:uiPriority w:val="0"/>
    <w:rPr>
      <w:rFonts w:ascii="Tahoma" w:hAnsi="Tahoma"/>
      <w:sz w:val="24"/>
      <w:szCs w:val="24"/>
    </w:rPr>
  </w:style>
  <w:style w:type="paragraph" w:customStyle="1" w:styleId="326">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7">
    <w:name w:val="table_lines"/>
    <w:basedOn w:val="1"/>
    <w:qFormat/>
    <w:uiPriority w:val="0"/>
    <w:pPr>
      <w:widowControl/>
      <w:jc w:val="left"/>
    </w:pPr>
    <w:rPr>
      <w:sz w:val="20"/>
      <w:szCs w:val="20"/>
      <w:lang w:val="de-DE" w:eastAsia="de-DE"/>
    </w:rPr>
  </w:style>
  <w:style w:type="paragraph" w:customStyle="1" w:styleId="328">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2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30">
    <w:name w:val="Char Char Char Char"/>
    <w:basedOn w:val="252"/>
    <w:qFormat/>
    <w:uiPriority w:val="0"/>
    <w:pPr>
      <w:spacing w:line="360" w:lineRule="auto"/>
    </w:pPr>
    <w:rPr>
      <w:rFonts w:ascii="Tahoma" w:hAnsi="Tahoma"/>
      <w:sz w:val="24"/>
      <w:szCs w:val="24"/>
    </w:rPr>
  </w:style>
  <w:style w:type="paragraph" w:customStyle="1" w:styleId="331">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332">
    <w:name w:val="4"/>
    <w:basedOn w:val="1"/>
    <w:next w:val="282"/>
    <w:qFormat/>
    <w:uiPriority w:val="0"/>
    <w:pPr>
      <w:spacing w:line="360" w:lineRule="auto"/>
      <w:ind w:firstLine="420"/>
    </w:pPr>
    <w:rPr>
      <w:color w:val="FF0000"/>
      <w:sz w:val="24"/>
      <w:szCs w:val="24"/>
    </w:rPr>
  </w:style>
  <w:style w:type="paragraph" w:customStyle="1" w:styleId="33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34">
    <w:name w:val="Char Char Char Char Char Char Char Char Char Char"/>
    <w:basedOn w:val="1"/>
    <w:qFormat/>
    <w:uiPriority w:val="0"/>
    <w:pPr>
      <w:spacing w:line="360" w:lineRule="auto"/>
    </w:pPr>
    <w:rPr>
      <w:sz w:val="24"/>
      <w:szCs w:val="20"/>
    </w:rPr>
  </w:style>
  <w:style w:type="paragraph" w:customStyle="1" w:styleId="335">
    <w:name w:val="样式1"/>
    <w:basedOn w:val="1"/>
    <w:qFormat/>
    <w:uiPriority w:val="0"/>
    <w:pPr>
      <w:numPr>
        <w:ilvl w:val="0"/>
        <w:numId w:val="3"/>
      </w:numPr>
    </w:pPr>
    <w:rPr>
      <w:rFonts w:ascii="宋体" w:hAnsi="宋体"/>
    </w:rPr>
  </w:style>
  <w:style w:type="paragraph" w:customStyle="1" w:styleId="33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4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4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4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44">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4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46">
    <w:name w:val="Char Char Char Char1"/>
    <w:basedOn w:val="252"/>
    <w:qFormat/>
    <w:uiPriority w:val="0"/>
    <w:pPr>
      <w:spacing w:line="360" w:lineRule="auto"/>
    </w:pPr>
    <w:rPr>
      <w:rFonts w:ascii="Tahoma" w:hAnsi="Tahoma"/>
      <w:sz w:val="24"/>
      <w:szCs w:val="24"/>
    </w:rPr>
  </w:style>
  <w:style w:type="paragraph" w:customStyle="1" w:styleId="347">
    <w:name w:val="table_1stline"/>
    <w:basedOn w:val="1"/>
    <w:qFormat/>
    <w:uiPriority w:val="0"/>
    <w:pPr>
      <w:widowControl/>
      <w:spacing w:before="120"/>
      <w:jc w:val="left"/>
    </w:pPr>
    <w:rPr>
      <w:bCs/>
      <w:sz w:val="20"/>
      <w:szCs w:val="20"/>
      <w:lang w:val="de-DE" w:eastAsia="de-DE"/>
    </w:rPr>
  </w:style>
  <w:style w:type="paragraph" w:customStyle="1" w:styleId="34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4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50">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51">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352">
    <w:name w:val="Table Normal"/>
    <w:qFormat/>
    <w:uiPriority w:val="0"/>
    <w:tblPr>
      <w:tblCellMar>
        <w:top w:w="0" w:type="dxa"/>
        <w:left w:w="0" w:type="dxa"/>
        <w:bottom w:w="0" w:type="dxa"/>
        <w:right w:w="0" w:type="dxa"/>
      </w:tblCellMar>
    </w:tblPr>
  </w:style>
  <w:style w:type="paragraph" w:customStyle="1" w:styleId="353">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Normal_6_0"/>
    <w:qFormat/>
    <w:uiPriority w:val="0"/>
    <w:rPr>
      <w:rFonts w:hint="default" w:ascii="黑体" w:hAnsi="黑体" w:eastAsia="黑体" w:cs="黑体"/>
      <w:b/>
      <w:sz w:val="32"/>
      <w:szCs w:val="24"/>
      <w:lang w:val="en-US" w:eastAsia="zh-CN" w:bidi="ar-SA"/>
    </w:rPr>
  </w:style>
  <w:style w:type="paragraph" w:customStyle="1" w:styleId="355">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56">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7">
    <w:name w:val="正文文本12"/>
    <w:basedOn w:val="1"/>
    <w:qFormat/>
    <w:uiPriority w:val="1"/>
    <w:pPr>
      <w:ind w:left="120"/>
    </w:pPr>
    <w:rPr>
      <w:rFonts w:ascii="宋体" w:hAnsi="宋体" w:cs="宋体"/>
      <w:lang w:val="zh-CN" w:bidi="zh-CN"/>
    </w:rPr>
  </w:style>
  <w:style w:type="paragraph" w:customStyle="1" w:styleId="358">
    <w:name w:val="正文2"/>
    <w:basedOn w:val="1"/>
    <w:qFormat/>
    <w:uiPriority w:val="0"/>
    <w:pPr>
      <w:spacing w:before="156" w:line="360" w:lineRule="auto"/>
      <w:ind w:firstLine="510"/>
    </w:pPr>
    <w:rPr>
      <w:sz w:val="24"/>
      <w:szCs w:val="20"/>
    </w:rPr>
  </w:style>
  <w:style w:type="paragraph" w:customStyle="1" w:styleId="359">
    <w:name w:val="首行缩进"/>
    <w:basedOn w:val="1"/>
    <w:qFormat/>
    <w:uiPriority w:val="0"/>
    <w:pPr>
      <w:ind w:firstLine="480"/>
    </w:pPr>
    <w:rPr>
      <w:lang w:val="zh-CN"/>
    </w:rPr>
  </w:style>
  <w:style w:type="paragraph" w:customStyle="1" w:styleId="360">
    <w:name w:val="Normal_18_0"/>
    <w:qFormat/>
    <w:uiPriority w:val="0"/>
    <w:rPr>
      <w:rFonts w:hint="default" w:ascii="黑体" w:hAnsi="黑体" w:eastAsia="黑体" w:cs="黑体"/>
      <w:b/>
      <w:sz w:val="32"/>
      <w:szCs w:val="24"/>
      <w:lang w:val="en-US" w:eastAsia="zh-CN" w:bidi="ar-SA"/>
    </w:rPr>
  </w:style>
  <w:style w:type="paragraph" w:customStyle="1" w:styleId="361">
    <w:name w:val="正文_12_0_0_0_0"/>
    <w:basedOn w:val="1"/>
    <w:qFormat/>
    <w:uiPriority w:val="0"/>
    <w:rPr>
      <w:szCs w:val="24"/>
    </w:rPr>
  </w:style>
  <w:style w:type="paragraph" w:customStyle="1" w:styleId="362">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3">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4">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5">
    <w:name w:val="Normal_20"/>
    <w:next w:val="366"/>
    <w:qFormat/>
    <w:uiPriority w:val="0"/>
    <w:rPr>
      <w:rFonts w:hint="default" w:ascii="黑体" w:hAnsi="黑体" w:eastAsia="黑体" w:cs="黑体"/>
      <w:b/>
      <w:sz w:val="32"/>
      <w:szCs w:val="24"/>
      <w:lang w:val="en-US" w:eastAsia="zh-CN" w:bidi="ar-SA"/>
    </w:rPr>
  </w:style>
  <w:style w:type="paragraph" w:customStyle="1" w:styleId="366">
    <w:name w:val="Title_0"/>
    <w:basedOn w:val="365"/>
    <w:next w:val="367"/>
    <w:qFormat/>
    <w:uiPriority w:val="0"/>
    <w:pPr>
      <w:spacing w:before="240" w:after="60"/>
      <w:jc w:val="center"/>
      <w:outlineLvl w:val="0"/>
    </w:pPr>
    <w:rPr>
      <w:rFonts w:ascii="Cambria" w:hAnsi="Cambria"/>
      <w:bCs/>
      <w:szCs w:val="32"/>
    </w:rPr>
  </w:style>
  <w:style w:type="paragraph" w:customStyle="1" w:styleId="367">
    <w:name w:val="Body Text Indent_0"/>
    <w:basedOn w:val="365"/>
    <w:next w:val="368"/>
    <w:qFormat/>
    <w:uiPriority w:val="0"/>
    <w:pPr>
      <w:ind w:firstLine="225"/>
    </w:pPr>
    <w:rPr>
      <w:rFonts w:ascii="仿宋_GB2312" w:eastAsia="仿宋_GB2312"/>
    </w:rPr>
  </w:style>
  <w:style w:type="paragraph" w:customStyle="1" w:styleId="368">
    <w:name w:val="Envelope Return_0"/>
    <w:basedOn w:val="365"/>
    <w:qFormat/>
    <w:uiPriority w:val="99"/>
    <w:rPr>
      <w:rFonts w:ascii="Arial" w:hAnsi="Arial" w:cs="Arial"/>
    </w:rPr>
  </w:style>
  <w:style w:type="paragraph" w:customStyle="1" w:styleId="369">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0">
    <w:name w:val="Normal_0"/>
    <w:qFormat/>
    <w:uiPriority w:val="0"/>
    <w:rPr>
      <w:rFonts w:hint="default" w:ascii="黑体" w:hAnsi="黑体" w:eastAsia="黑体" w:cs="Times New Roman"/>
      <w:b/>
      <w:sz w:val="32"/>
      <w:szCs w:val="24"/>
      <w:lang w:val="en-US" w:eastAsia="zh-CN" w:bidi="ar-SA"/>
    </w:rPr>
  </w:style>
  <w:style w:type="paragraph" w:customStyle="1" w:styleId="371">
    <w:name w:val="部分1"/>
    <w:basedOn w:val="1"/>
    <w:qFormat/>
    <w:uiPriority w:val="0"/>
    <w:pPr>
      <w:keepNext/>
      <w:pageBreakBefore/>
      <w:tabs>
        <w:tab w:val="left" w:pos="720"/>
      </w:tabs>
      <w:spacing w:line="360" w:lineRule="auto"/>
      <w:jc w:val="center"/>
      <w:outlineLvl w:val="0"/>
    </w:pPr>
    <w:rPr>
      <w:rFonts w:eastAsia="黑体"/>
      <w:b/>
      <w:sz w:val="36"/>
      <w:szCs w:val="20"/>
    </w:rPr>
  </w:style>
  <w:style w:type="paragraph" w:customStyle="1" w:styleId="372">
    <w:name w:val="WPSOffice手动目录 1"/>
    <w:qFormat/>
    <w:uiPriority w:val="0"/>
    <w:rPr>
      <w:rFonts w:hint="default" w:ascii="Times New Roman" w:hAnsi="Times New Roman" w:eastAsia="宋体" w:cs="Times New Roman"/>
      <w:lang w:val="en-US" w:eastAsia="zh-CN" w:bidi="ar-SA"/>
    </w:rPr>
  </w:style>
  <w:style w:type="paragraph" w:customStyle="1" w:styleId="373">
    <w:name w:val="WPSOffice手动目录 2"/>
    <w:qFormat/>
    <w:uiPriority w:val="0"/>
    <w:rPr>
      <w:rFonts w:hint="default" w:ascii="Times New Roman" w:hAnsi="Times New Roman" w:eastAsia="宋体" w:cs="Times New Roman"/>
      <w:lang w:val="en-US" w:eastAsia="zh-CN" w:bidi="ar-SA"/>
    </w:rPr>
  </w:style>
  <w:style w:type="character" w:customStyle="1" w:styleId="374">
    <w:name w:val="mini-outputtext1"/>
    <w:basedOn w:val="238"/>
    <w:qFormat/>
    <w:uiPriority w:val="0"/>
  </w:style>
  <w:style w:type="paragraph" w:customStyle="1" w:styleId="375">
    <w:name w:val="正文_3_0_0_0_0"/>
    <w:qFormat/>
    <w:uiPriority w:val="0"/>
    <w:pPr>
      <w:widowControl w:val="0"/>
      <w:jc w:val="both"/>
    </w:pPr>
    <w:rPr>
      <w:rFonts w:hint="default" w:ascii="Calibri" w:hAnsi="Calibri" w:eastAsia="宋体" w:cs="Times New Roman"/>
      <w:lang w:val="en-US" w:eastAsia="zh-CN" w:bidi="ar-SA"/>
    </w:rPr>
  </w:style>
  <w:style w:type="paragraph" w:customStyle="1" w:styleId="376">
    <w:name w:val="Normal_19_0"/>
    <w:qFormat/>
    <w:uiPriority w:val="0"/>
    <w:pPr>
      <w:widowControl w:val="0"/>
    </w:pPr>
    <w:rPr>
      <w:rFonts w:hint="default" w:ascii="微软雅黑" w:hAnsi="Times New Roman" w:eastAsia="微软雅黑" w:cs="微软雅黑"/>
      <w:sz w:val="24"/>
      <w:szCs w:val="24"/>
      <w:lang w:val="en-US" w:eastAsia="zh-CN" w:bidi="ar-SA"/>
    </w:rPr>
  </w:style>
  <w:style w:type="paragraph" w:customStyle="1" w:styleId="377">
    <w:name w:val="正文_0_2_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8">
    <w:name w:val="Normal_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9">
    <w:name w:val="正文_0_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0">
    <w:name w:val="正文_3_0"/>
    <w:basedOn w:val="356"/>
    <w:qFormat/>
    <w:uiPriority w:val="0"/>
  </w:style>
  <w:style w:type="paragraph" w:customStyle="1" w:styleId="381">
    <w:name w:val="List Paragraph_1_0"/>
    <w:basedOn w:val="79"/>
    <w:unhideWhenUsed/>
    <w:qFormat/>
    <w:uiPriority w:val="99"/>
    <w:pPr>
      <w:ind w:firstLine="420"/>
    </w:pPr>
    <w:rPr>
      <w:rFonts w:eastAsia="Times New Roman"/>
    </w:rPr>
  </w:style>
  <w:style w:type="paragraph" w:customStyle="1" w:styleId="382">
    <w:name w:val="无间隔1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3">
    <w:name w:val="Normal_2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4">
    <w:name w:val="正文_18_0_0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5">
    <w:name w:val="正文_1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6">
    <w:name w:val="正文_1_4_0"/>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87">
    <w:name w:val="正文_1_1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88">
    <w:name w:val="NormalCharacter1"/>
    <w:qFormat/>
    <w:uiPriority w:val="0"/>
  </w:style>
  <w:style w:type="paragraph" w:customStyle="1" w:styleId="389">
    <w:name w:val="普通(网站)11"/>
    <w:basedOn w:val="390"/>
    <w:qFormat/>
    <w:uiPriority w:val="0"/>
    <w:pPr>
      <w:spacing w:before="100" w:beforeAutospacing="1" w:after="100" w:afterAutospacing="1"/>
    </w:pPr>
    <w:rPr>
      <w:rFonts w:ascii="宋体"/>
      <w:szCs w:val="20"/>
    </w:rPr>
  </w:style>
  <w:style w:type="paragraph" w:customStyle="1" w:styleId="390">
    <w:name w:val="正文11"/>
    <w:qFormat/>
    <w:uiPriority w:val="0"/>
    <w:rPr>
      <w:rFonts w:hint="default" w:ascii="Times New Roman" w:hAnsi="Times New Roman" w:eastAsia="Times New Roman" w:cs="Times New Roman"/>
      <w:sz w:val="24"/>
      <w:szCs w:val="24"/>
      <w:lang w:val="en-US" w:eastAsia="zh-CN" w:bidi="ar-SA"/>
    </w:rPr>
  </w:style>
  <w:style w:type="paragraph" w:customStyle="1" w:styleId="391">
    <w:name w:val="Normal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2">
    <w:name w:val="正文_1_4"/>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93">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94">
    <w:name w:val="正文_0_2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5">
    <w:name w:val="PlainText1"/>
    <w:basedOn w:val="1"/>
    <w:qFormat/>
    <w:uiPriority w:val="99"/>
    <w:rPr>
      <w:rFonts w:ascii="宋体" w:hAnsi="Courier New"/>
    </w:rPr>
  </w:style>
  <w:style w:type="paragraph" w:customStyle="1" w:styleId="396">
    <w:name w:val="纯文本1"/>
    <w:basedOn w:val="1"/>
    <w:qFormat/>
    <w:uiPriority w:val="0"/>
    <w:rPr>
      <w:rFonts w:ascii="宋体" w:hAnsi="Courier New" w:cs="Courier New"/>
    </w:rPr>
  </w:style>
  <w:style w:type="paragraph" w:customStyle="1" w:styleId="397">
    <w:name w:val="Normal_34"/>
    <w:qFormat/>
    <w:uiPriority w:val="0"/>
    <w:rPr>
      <w:rFonts w:hint="default" w:ascii="黑体" w:hAnsi="黑体" w:eastAsia="黑体" w:cs="Times New Roman"/>
      <w:b/>
      <w:sz w:val="32"/>
      <w:szCs w:val="24"/>
      <w:lang w:val="en-US" w:eastAsia="zh-CN" w:bidi="ar-SA"/>
    </w:rPr>
  </w:style>
  <w:style w:type="paragraph" w:customStyle="1" w:styleId="398">
    <w:name w:val="正文_0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9">
    <w:name w:val="正文_15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0">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1">
    <w:name w:val="正文1"/>
    <w:basedOn w:val="1"/>
    <w:qFormat/>
    <w:uiPriority w:val="0"/>
    <w:pPr>
      <w:widowControl/>
      <w:spacing w:line="360" w:lineRule="auto"/>
      <w:ind w:left="357" w:firstLine="420"/>
      <w:jc w:val="left"/>
    </w:pPr>
    <w:rPr>
      <w:rFonts w:cs="Arial"/>
      <w:szCs w:val="20"/>
    </w:rPr>
  </w:style>
  <w:style w:type="paragraph" w:customStyle="1" w:styleId="402">
    <w:name w:val="正文_3"/>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03">
    <w:name w:val="Normal_20_0"/>
    <w:basedOn w:val="383"/>
    <w:qFormat/>
    <w:uiPriority w:val="0"/>
    <w:rPr>
      <w:szCs w:val="20"/>
    </w:rPr>
  </w:style>
  <w:style w:type="paragraph" w:customStyle="1" w:styleId="404">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5">
    <w:name w:val="正文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6">
    <w:name w:val="Normal_19_0_0_1"/>
    <w:basedOn w:val="383"/>
    <w:qFormat/>
    <w:uiPriority w:val="0"/>
    <w:rPr>
      <w:rFonts w:eastAsia="Times New Roman"/>
      <w:szCs w:val="20"/>
    </w:rPr>
  </w:style>
  <w:style w:type="paragraph" w:customStyle="1" w:styleId="407">
    <w:name w:val="Normal_19_0_1"/>
    <w:basedOn w:val="383"/>
    <w:qFormat/>
    <w:uiPriority w:val="0"/>
    <w:rPr>
      <w:rFonts w:ascii="黑体" w:hAnsi="黑体" w:eastAsia="黑体"/>
      <w:b/>
      <w:sz w:val="32"/>
    </w:rPr>
  </w:style>
  <w:style w:type="paragraph" w:customStyle="1" w:styleId="408">
    <w:name w:val="正文_16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9">
    <w:name w:val="无间隔11"/>
    <w:basedOn w:val="383"/>
    <w:qFormat/>
    <w:uiPriority w:val="1"/>
    <w:rPr>
      <w:szCs w:val="20"/>
    </w:rPr>
  </w:style>
  <w:style w:type="paragraph" w:customStyle="1" w:styleId="410">
    <w:name w:val="段"/>
    <w:qFormat/>
    <w:uiPriority w:val="0"/>
    <w:pPr>
      <w:ind w:firstLine="200"/>
      <w:jc w:val="both"/>
    </w:pPr>
    <w:rPr>
      <w:rFonts w:hint="default" w:ascii="宋体" w:hAnsi="Times New Roman" w:eastAsia="宋体" w:cs="Times New Roman"/>
      <w:sz w:val="21"/>
      <w:lang w:val="en-US" w:eastAsia="zh-CN" w:bidi="ar-SA"/>
    </w:rPr>
  </w:style>
  <w:style w:type="character" w:customStyle="1" w:styleId="411">
    <w:name w:val="10"/>
    <w:basedOn w:val="37"/>
    <w:qFormat/>
    <w:uiPriority w:val="0"/>
    <w:rPr>
      <w:rFonts w:hint="default" w:ascii="Times New Roman" w:hAnsi="Times New Roman" w:cs="Times New Roman"/>
    </w:rPr>
  </w:style>
  <w:style w:type="character" w:customStyle="1" w:styleId="412">
    <w:name w:val="NormalCharacter"/>
    <w:qFormat/>
    <w:uiPriority w:val="0"/>
    <w:rPr>
      <w:rFonts w:hint="default" w:ascii="Times New Roman" w:hAnsi="Times New Roman" w:eastAsia="宋体" w:cs="Times New Roman"/>
      <w:sz w:val="21"/>
      <w:szCs w:val="22"/>
      <w:lang w:val="en-US" w:eastAsia="zh-CN" w:bidi="ar-SA"/>
    </w:rPr>
  </w:style>
  <w:style w:type="paragraph" w:customStyle="1" w:styleId="413">
    <w:name w:val="正文3"/>
    <w:qFormat/>
    <w:uiPriority w:val="0"/>
    <w:rPr>
      <w:rFonts w:hint="default" w:ascii="Times New Roman" w:hAnsi="Times New Roman" w:eastAsia="Times New Roman" w:cs="Times New Roman"/>
      <w:sz w:val="24"/>
      <w:szCs w:val="24"/>
      <w:lang w:val="en-US" w:eastAsia="zh-CN" w:bidi="ar-SA"/>
    </w:rPr>
  </w:style>
  <w:style w:type="character" w:customStyle="1" w:styleId="414">
    <w:name w:val="批注文字 字符"/>
    <w:basedOn w:val="37"/>
    <w:link w:val="14"/>
    <w:qFormat/>
    <w:uiPriority w:val="99"/>
    <w:rPr>
      <w:sz w:val="21"/>
      <w:szCs w:val="21"/>
    </w:rPr>
  </w:style>
  <w:style w:type="character" w:customStyle="1" w:styleId="415">
    <w:name w:val="批注主题 字符"/>
    <w:basedOn w:val="414"/>
    <w:link w:val="33"/>
    <w:semiHidden/>
    <w:qFormat/>
    <w:uiPriority w:val="99"/>
    <w:rPr>
      <w:b/>
      <w:bCs/>
      <w:sz w:val="21"/>
      <w:szCs w:val="21"/>
    </w:rPr>
  </w:style>
  <w:style w:type="paragraph" w:customStyle="1" w:styleId="416">
    <w:name w:val="Revision"/>
    <w:hidden/>
    <w:unhideWhenUsed/>
    <w:qFormat/>
    <w:uiPriority w:val="99"/>
    <w:rPr>
      <w:rFonts w:hint="default" w:ascii="Times New Roman" w:hAnsi="Times New Roman" w:eastAsia="宋体" w:cs="Times New Roman"/>
      <w:sz w:val="21"/>
      <w:szCs w:val="21"/>
      <w:lang w:val="en-US" w:eastAsia="zh-CN" w:bidi="ar-SA"/>
    </w:rPr>
  </w:style>
  <w:style w:type="paragraph" w:customStyle="1" w:styleId="417">
    <w:name w:val="正文_0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8">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19">
    <w:name w:val="正文_1_0_0_0"/>
    <w:qFormat/>
    <w:uiPriority w:val="0"/>
    <w:pPr>
      <w:widowControl w:val="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bebaa36e-e21f-454c-83eb-d7811039a1a5</errorID>
      <errorWord>“.</errorWord>
      <group>L1_Punc</group>
      <groupName>标点问题</groupName>
      <ability>L2_Punc_CN</ability>
      <abilityName>标点符号问题</abilityName>
      <candidateList>
        <item>“</item>
      </candidateList>
      <explain/>
      <paraID>2D95D501</paraID>
      <start>132</start>
      <end>134</end>
      <status>unmodified</status>
      <modifiedWord/>
      <trackRevisions>false</trackRevisions>
    </reviewItem>
    <reviewItem>
      <errorID>12c27524-1ebd-4a18-8045-74b08228d0c0</errorID>
      <errorWord>：</errorWord>
      <group>L1_Format</group>
      <groupName>格式问题</groupName>
      <ability>L2_HalfPunc_CN</ability>
      <abilityName>全半角问题</abilityName>
      <candidateList>
        <item>:</item>
      </candidateList>
      <explain>文本全半角错误。</explain>
      <paraID>24DDC5AD</paraID>
      <start>31</start>
      <end>32</end>
      <status>unmodified</status>
      <modifiedWord/>
      <trackRevisions>false</trackRevisions>
    </reviewItem>
    <reviewItem>
      <errorID>8d035676-f56f-4ee8-aff6-a58d474cc1e7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2F9AB293</paraID>
      <start>0</start>
      <end>2</end>
      <status>unmodified</status>
      <modifiedWord/>
      <trackRevisions>false</trackRevisions>
    </reviewItem>
    <reviewItem>
      <errorID>c4c0a0e7-563d-409e-8315-be0614335e2e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5FE9312</paraID>
      <start>0</start>
      <end>2</end>
      <status>unmodified</status>
      <modifiedWord/>
      <trackRevisions>false</trackRevisions>
    </reviewItem>
    <reviewItem>
      <errorID>a4b96707-30b3-4634-9cf2-1df3406946ff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3A934CEF</paraID>
      <start>0</start>
      <end>2</end>
      <status>unmodified</status>
      <modifiedWord/>
      <trackRevisions>false</trackRevisions>
    </reviewItem>
    <reviewItem>
      <errorID>ea628c53-5163-4ac1-a239-d22248cf7dc1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2C95B96C</paraID>
      <start>0</start>
      <end>2</end>
      <status>unmodified</status>
      <modifiedWord/>
      <trackRevisions>false</trackRevisions>
    </reviewItem>
    <reviewItem>
      <errorID>d699a719-cb7c-4d96-9f28-a22946ed1214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143D076B</paraID>
      <start>0</start>
      <end>2</end>
      <status>unmodified</status>
      <modifiedWord/>
      <trackRevisions>false</trackRevisions>
    </reviewItem>
    <reviewItem>
      <errorID>458d9d34-cf22-48cd-aea8-15476e63beb9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911CF64</paraID>
      <start>0</start>
      <end>2</end>
      <status>unmodified</status>
      <modifiedWord/>
      <trackRevisions>false</trackRevisions>
    </reviewItem>
    <reviewItem>
      <errorID>5beee195-3ead-4522-ae1d-b81d35a1bb98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32977BAC</paraID>
      <start>0</start>
      <end>2</end>
      <status>unmodified</status>
      <modifiedWord/>
      <trackRevisions>false</trackRevisions>
    </reviewItem>
    <reviewItem>
      <errorID>d5adbcfe-f770-40a7-839b-582d7ef8f175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1CE787C8</paraID>
      <start>0</start>
      <end>2</end>
      <status>unmodified</status>
      <modifiedWord/>
      <trackRevisions>false</trackRevisions>
    </reviewItem>
    <reviewItem>
      <errorID>8401a9c5-bb58-44a2-af1b-abd989f04d68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6E4DA2E9</paraID>
      <start>0</start>
      <end>2</end>
      <status>unmodified</status>
      <modifiedWord/>
      <trackRevisions>false</trackRevisions>
    </reviewItem>
    <reviewItem>
      <errorID>55f0eca2-2db7-479a-8e87-881b7c84b8f6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532C02</paraID>
      <start>0</start>
      <end>3</end>
      <status>unmodified</status>
      <modifiedWord/>
      <trackRevisions>false</trackRevisions>
    </reviewItem>
    <reviewItem>
      <errorID>95369b87-54f1-4928-950f-870398713177</errorID>
      <errorWord>(</errorWord>
      <group>L1_Format</group>
      <groupName>格式问题</groupName>
      <ability>L2_HalfPunc_CN</ability>
      <abilityName>全半角问题</abilityName>
      <candidateList>
        <item>（</item>
      </candidateList>
      <explain>文本全半角错误。</explain>
      <paraID>7C05C66E</paraID>
      <start>116</start>
      <end>117</end>
      <status>unmodified</status>
      <modifiedWord/>
      <trackRevisions>false</trackRevisions>
    </reviewItem>
    <reviewItem>
      <errorID>ab0341f0-5737-4eeb-9bbc-20831f049201</errorID>
      <errorWord>)</errorWord>
      <group>L1_Format</group>
      <groupName>格式问题</groupName>
      <ability>L2_HalfPunc_CN</ability>
      <abilityName>全半角问题</abilityName>
      <candidateList>
        <item>）</item>
      </candidateList>
      <explain>文本全半角错误。</explain>
      <paraID>7C05C66E</paraID>
      <start>134</start>
      <end>135</end>
      <status>unmodified</status>
      <modifiedWord/>
      <trackRevisions>false</trackRevisions>
    </reviewItem>
    <reviewItem>
      <errorID>d186ff11-fb1d-4ff6-b3ed-b2d4f3c857c2</errorID>
      <errorWord>子</errorWord>
      <group>L1_Word</group>
      <groupName>字词问题</groupName>
      <ability>L2_Typo</ability>
      <abilityName>字词错误</abilityName>
      <candidateList>
        <item>子文</item>
      </candidateList>
      <explain/>
      <paraID>5C89322A</paraID>
      <start>161</start>
      <end>162</end>
      <status>unmodified</status>
      <modifiedWord/>
      <trackRevisions>false</trackRevisions>
    </reviewItem>
    <reviewItem>
      <errorID>58e0ded1-d78a-4a76-b534-d654d4e001f9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706A8CC</paraID>
      <start>0</start>
      <end>3</end>
      <status>unmodified</status>
      <modifiedWord/>
      <trackRevisions>false</trackRevisions>
    </reviewItem>
    <reviewItem>
      <errorID>bdb8e19a-2568-4c67-afc3-e5e0b9a262e0</errorID>
      <errorWord>法律、法规</errorWord>
      <group>L1_Word</group>
      <groupName>字词问题</groupName>
      <ability>L2_Typo</ability>
      <abilityName>字词错误</abilityName>
      <candidateList>
        <item>法律法规</item>
      </candidateList>
      <explain/>
      <paraID>7F75E03D</paraID>
      <start>11</start>
      <end>16</end>
      <status>unmodified</status>
      <modifiedWord/>
      <trackRevisions>false</trackRevisions>
    </reviewItem>
    <reviewItem>
      <errorID>ae7e8762-d941-4120-a01d-9f5fb72fbb6e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6C54CB7E</paraID>
      <start>0</start>
      <end>3</end>
      <status>unmodified</status>
      <modifiedWord/>
      <trackRevisions>false</trackRevisions>
    </reviewItem>
    <reviewItem>
      <errorID>f3371e9c-3e01-4249-8ab4-d16321cbe23e</errorID>
      <errorWord>)</errorWord>
      <group>L1_Format</group>
      <groupName>格式问题</groupName>
      <ability>L2_HalfPunc_CN</ability>
      <abilityName>全半角问题</abilityName>
      <candidateList>
        <item>）</item>
      </candidateList>
      <explain>文本全半角错误。</explain>
      <paraID>1355495F</paraID>
      <start>125</start>
      <end>126</end>
      <status>unmodified</status>
      <modifiedWord/>
      <trackRevisions>false</trackRevisions>
    </reviewItem>
    <reviewItem>
      <errorID>3d135b25-c8b1-4390-85a3-56863b001d1c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4DE5FB78</paraID>
      <start>0</start>
      <end>3</end>
      <status>unmodified</status>
      <modifiedWord/>
      <trackRevisions>false</trackRevisions>
    </reviewItem>
    <reviewItem>
      <errorID>f4277ebe-7953-4165-ad6a-4a16c404418d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3567AB11</paraID>
      <start>0</start>
      <end>3</end>
      <status>unmodified</status>
      <modifiedWord/>
      <trackRevisions>false</trackRevisions>
    </reviewItem>
    <reviewItem>
      <errorID>7854ad53-5f22-4d74-afd5-3a356572afe6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44242491</paraID>
      <start>0</start>
      <end>3</end>
      <status>unmodified</status>
      <modifiedWord/>
      <trackRevisions>false</trackRevisions>
    </reviewItem>
    <reviewItem>
      <errorID>e1c1542c-028b-43af-81a7-e8a1ca41e7a2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244687CA</paraID>
      <start>0</start>
      <end>3</end>
      <status>unmodified</status>
      <modifiedWord/>
      <trackRevisions>false</trackRevisions>
    </reviewItem>
    <reviewItem>
      <errorID>3a35cc4e-2543-46d7-8faf-7b10faa30c80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B274167</paraID>
      <start>0</start>
      <end>3</end>
      <status>unmodified</status>
      <modifiedWord/>
      <trackRevisions>false</trackRevisions>
    </reviewItem>
    <reviewItem>
      <errorID>42390da9-f175-4110-9bfc-eee50c90440b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666F78DA</paraID>
      <start>0</start>
      <end>3</end>
      <status>unmodified</status>
      <modifiedWord/>
      <trackRevisions>false</trackRevisions>
    </reviewItem>
    <reviewItem>
      <errorID>2dfee05d-ab0c-447c-9cf1-d7e8932b6b4a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6673DE9A</paraID>
      <start>0</start>
      <end>3</end>
      <status>unmodified</status>
      <modifiedWord/>
      <trackRevisions>false</trackRevisions>
    </reviewItem>
    <reviewItem>
      <errorID>cf160114-512e-4de2-800e-8e023e66d2e5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3E469310</paraID>
      <start>0</start>
      <end>3</end>
      <status>unmodified</status>
      <modifiedWord/>
      <trackRevisions>false</trackRevisions>
    </reviewItem>
    <reviewItem>
      <errorID>29ceb37f-8450-47bd-ad85-3314343cfb6c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9C6B760</paraID>
      <start>0</start>
      <end>3</end>
      <status>unmodified</status>
      <modifiedWord/>
      <trackRevisions>false</trackRevisions>
    </reviewItem>
    <reviewItem>
      <errorID>791e6ed1-9107-4cda-ab05-5ebbea479d98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67D44DFE</paraID>
      <start>0</start>
      <end>3</end>
      <status>unmodified</status>
      <modifiedWord/>
      <trackRevisions>false</trackRevisions>
    </reviewItem>
    <reviewItem>
      <errorID>2f1f5f2c-5618-420b-abef-9ca551818a24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2497372E</paraID>
      <start>0</start>
      <end>3</end>
      <status>unmodified</status>
      <modifiedWord/>
      <trackRevisions>false</trackRevisions>
    </reviewItem>
    <reviewItem>
      <errorID>b4744af7-52b7-4722-9d4c-ebf737a7e0b2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2F3D9C9C</paraID>
      <start>0</start>
      <end>3</end>
      <status>unmodified</status>
      <modifiedWord/>
      <trackRevisions>false</trackRevisions>
    </reviewItem>
    <reviewItem>
      <errorID>8f8678e2-cc5d-4dd4-ae93-2deba472a699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458E5A9</paraID>
      <start>0</start>
      <end>3</end>
      <status>unmodified</status>
      <modifiedWord/>
      <trackRevisions>false</trackRevisions>
    </reviewItem>
    <reviewItem>
      <errorID>ce26de23-c55a-4606-ae9f-749ec32bf77f</errorID>
      <errorWord>,</errorWord>
      <group>L1_Format</group>
      <groupName>格式问题</groupName>
      <ability>L2_HalfPunc_CN</ability>
      <abilityName>全半角问题</abilityName>
      <candidateList>
        <item>，</item>
      </candidateList>
      <explain>文本全半角错误。</explain>
      <paraID>2E41663F</paraID>
      <start>74</start>
      <end>75</end>
      <status>unmodified</status>
      <modifiedWord/>
      <trackRevisions>false</trackRevisions>
    </reviewItem>
    <reviewItem>
      <errorID>2044ac73-c2d6-4830-b31a-0238a38cb9f4</errorID>
      <errorWord>,</errorWord>
      <group>L1_Format</group>
      <groupName>格式问题</groupName>
      <ability>L2_HalfPunc_CN</ability>
      <abilityName>全半角问题</abilityName>
      <candidateList>
        <item>，</item>
      </candidateList>
      <explain>文本全半角错误。</explain>
      <paraID>4D2EE891</paraID>
      <start>54</start>
      <end>55</end>
      <status>unmodified</status>
      <modifiedWord/>
      <trackRevisions>false</trackRevisions>
    </reviewItem>
    <reviewItem>
      <errorID>f6aa55e6-c243-4527-8077-e5bc0ee90bc2</errorID>
      <errorWord>&lt;</errorWord>
      <group>L1_Format</group>
      <groupName>格式问题</groupName>
      <ability>L2_HalfPunc_CN</ability>
      <abilityName>全半角问题</abilityName>
      <candidateList>
        <item>〈</item>
      </candidateList>
      <explain>文本全半角错误。</explain>
      <paraID>6277E151</paraID>
      <start>38</start>
      <end>39</end>
      <status>unmodified</status>
      <modifiedWord/>
      <trackRevisions>false</trackRevisions>
    </reviewItem>
    <reviewItem>
      <errorID>d1a13128-dce9-46bc-9328-90f5b7cf1a45</errorID>
      <errorWord>&lt;</errorWord>
      <group>L1_Format</group>
      <groupName>格式问题</groupName>
      <ability>L2_HalfPunc_CN</ability>
      <abilityName>全半角问题</abilityName>
      <candidateList>
        <item>〈</item>
      </candidateList>
      <explain>文本全半角错误。</explain>
      <paraID>3342ABD4</paraID>
      <start>38</start>
      <end>39</end>
      <status>unmodified</status>
      <modifiedWord/>
      <trackRevisions>false</trackRevisions>
    </reviewItem>
    <reviewItem>
      <errorID>248076bd-423c-4658-b536-d0297cfff02b</errorID>
      <errorWord>&lt;</errorWord>
      <group>L1_Format</group>
      <groupName>格式问题</groupName>
      <ability>L2_HalfPunc_CN</ability>
      <abilityName>全半角问题</abilityName>
      <candidateList>
        <item>〈</item>
      </candidateList>
      <explain>文本全半角错误。</explain>
      <paraID>3EE5CD64</paraID>
      <start>27</start>
      <end>28</end>
      <status>unmodified</status>
      <modifiedWord/>
      <trackRevisions>false</trackRevisions>
    </reviewItem>
    <reviewItem>
      <errorID>7ca9def5-bfbe-40c6-bdf8-01720713b742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4907CBD4</paraID>
      <start>0</start>
      <end>3</end>
      <status>unmodified</status>
      <modifiedWord/>
      <trackRevisions>false</trackRevisions>
    </reviewItem>
    <reviewItem>
      <errorID>cc3d28d2-816e-425c-8169-211706c5bf38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544EA317</paraID>
      <start>44</start>
      <end>47</end>
      <status>unmodified</status>
      <modifiedWord/>
      <trackRevisions>false</trackRevisions>
    </reviewItem>
    <reviewItem>
      <errorID>4f42c819-e7a3-4af1-8630-8773d270422b</errorID>
      <errorWord>法律、法规</errorWord>
      <group>L1_Word</group>
      <groupName>字词问题</groupName>
      <ability>L2_Typo</ability>
      <abilityName>字词错误</abilityName>
      <candidateList>
        <item>法律法规</item>
      </candidateList>
      <explain/>
      <paraID>59DD47B5</paraID>
      <start>9</start>
      <end>14</end>
      <status>unmodified</status>
      <modifiedWord/>
      <trackRevisions>false</trackRevisions>
    </reviewItem>
    <reviewItem>
      <errorID>24c49f97-5346-4b80-9d16-d3e9e21c76bb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39CB6EBD</paraID>
      <start>0</start>
      <end>3</end>
      <status>unmodified</status>
      <modifiedWord/>
      <trackRevisions>false</trackRevisions>
    </reviewItem>
    <reviewItem>
      <errorID>b2fa632a-3e1a-4d9d-8adc-076d71f74813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2F323763</paraID>
      <start>0</start>
      <end>3</end>
      <status>unmodified</status>
      <modifiedWord/>
      <trackRevisions>false</trackRevisions>
    </reviewItem>
    <reviewItem>
      <errorID>a4d6a206-e1b4-4514-a3a3-2f7d1c458bf8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212A9273</paraID>
      <start>0</start>
      <end>3</end>
      <status>unmodified</status>
      <modifiedWord/>
      <trackRevisions>false</trackRevisions>
    </reviewItem>
    <reviewItem>
      <errorID>47785672-8b14-43f3-86ba-60b9f93ed90e</errorID>
      <errorWord>,</errorWord>
      <group>L1_Format</group>
      <groupName>格式问题</groupName>
      <ability>L2_HalfPunc_CN</ability>
      <abilityName>全半角问题</abilityName>
      <candidateList>
        <item>，</item>
      </candidateList>
      <explain>文本全半角错误。</explain>
      <paraID> A93E0F8</paraID>
      <start>33</start>
      <end>34</end>
      <status>unmodified</status>
      <modifiedWord/>
      <trackRevisions>false</trackRevisions>
    </reviewItem>
    <reviewItem>
      <errorID>66a0b447-4556-45f4-928e-132e1f675922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68E8C35B</paraID>
      <start>0</start>
      <end>3</end>
      <status>unmodified</status>
      <modifiedWord/>
      <trackRevisions>false</trackRevisions>
    </reviewItem>
    <reviewItem>
      <errorID>58e17a2e-555c-4a44-8e54-3022487db6ba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12150ADB</paraID>
      <start>0</start>
      <end>3</end>
      <status>unmodified</status>
      <modifiedWord/>
      <trackRevisions>false</trackRevisions>
    </reviewItem>
    <reviewItem>
      <errorID>cf4a3f9d-fb8e-479c-b287-13fa267c07aa</errorID>
      <errorWord>&lt;</errorWord>
      <group>L1_Format</group>
      <groupName>格式问题</groupName>
      <ability>L2_HalfPunc_CN</ability>
      <abilityName>全半角问题</abilityName>
      <candidateList>
        <item>〈</item>
      </candidateList>
      <explain>文本全半角错误。</explain>
      <paraID>79EE441F</paraID>
      <start>28</start>
      <end>29</end>
      <status>unmodified</status>
      <modifiedWord/>
      <trackRevisions>false</trackRevisions>
    </reviewItem>
    <reviewItem>
      <errorID>e88f95de-5f63-43f5-9e69-8950315d12ce</errorID>
      <errorWord>&gt;的通知》</errorWord>
      <group>L1_Punc</group>
      <groupName>标点问题</groupName>
      <ability>L2_Punc_CN</ability>
      <abilityName>标点符号问题</abilityName>
      <candidateList>
        <item>〉的通知》</item>
      </candidateList>
      <explain/>
      <paraID>79EE441F</paraID>
      <start>52</start>
      <end>57</end>
      <status>unmodified</status>
      <modifiedWord/>
      <trackRevisions>false</trackRevisions>
    </reviewItem>
    <reviewItem>
      <errorID>44aeed9d-ce47-45cf-bc21-63174497320c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529989AE</paraID>
      <start>0</start>
      <end>3</end>
      <status>unmodified</status>
      <modifiedWord/>
      <trackRevisions>false</trackRevisions>
    </reviewItem>
    <reviewItem>
      <errorID>ef632f39-b611-4300-99be-5a5b760cf3a9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1659CEF1</paraID>
      <start>0</start>
      <end>3</end>
      <status>unmodified</status>
      <modifiedWord/>
      <trackRevisions>false</trackRevisions>
    </reviewItem>
    <reviewItem>
      <errorID>d0388eda-9000-4f2f-860b-75d183fa56d2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62E15AC2</paraID>
      <start>13</start>
      <end>16</end>
      <status>unmodified</status>
      <modifiedWord/>
      <trackRevisions>false</trackRevisions>
    </reviewItem>
    <reviewItem>
      <errorID>2fd96cbf-2bcf-4a2e-a7bf-c68553138546</errorID>
      <errorWord>(</errorWord>
      <group>L1_Format</group>
      <groupName>格式问题</groupName>
      <ability>L2_HalfPunc_CN</ability>
      <abilityName>全半角问题</abilityName>
      <candidateList>
        <item>（</item>
      </candidateList>
      <explain>文本全半角错误。</explain>
      <paraID>62E15AC2</paraID>
      <start>68</start>
      <end>69</end>
      <status>unmodified</status>
      <modifiedWord/>
      <trackRevisions>false</trackRevisions>
    </reviewItem>
    <reviewItem>
      <errorID>10f82877-457e-4ae9-8935-1f0b5d01d4ae</errorID>
      <errorWord>)</errorWord>
      <group>L1_Format</group>
      <groupName>格式问题</groupName>
      <ability>L2_HalfPunc_CN</ability>
      <abilityName>全半角问题</abilityName>
      <candidateList>
        <item>）</item>
      </candidateList>
      <explain>文本全半角错误。</explain>
      <paraID>62E15AC2</paraID>
      <start>76</start>
      <end>77</end>
      <status>unmodified</status>
      <modifiedWord/>
      <trackRevisions>false</trackRevisions>
    </reviewItem>
    <reviewItem>
      <errorID>4ca4eed7-57e3-41cb-9646-d7bf4402671d</errorID>
      <errorWord>(</errorWord>
      <group>L1_Format</group>
      <groupName>格式问题</groupName>
      <ability>L2_HalfPunc_CN</ability>
      <abilityName>全半角问题</abilityName>
      <candidateList>
        <item>（</item>
      </candidateList>
      <explain>文本全半角错误。</explain>
      <paraID>62E15AC2</paraID>
      <start>89</start>
      <end>90</end>
      <status>unmodified</status>
      <modifiedWord/>
      <trackRevisions>false</trackRevisions>
    </reviewItem>
    <reviewItem>
      <errorID>339ebc44-19e3-454b-96af-d869b175b92a</errorID>
      <errorWord>)</errorWord>
      <group>L1_Format</group>
      <groupName>格式问题</groupName>
      <ability>L2_HalfPunc_CN</ability>
      <abilityName>全半角问题</abilityName>
      <candidateList>
        <item>）</item>
      </candidateList>
      <explain>文本全半角错误。</explain>
      <paraID>62E15AC2</paraID>
      <start>97</start>
      <end>98</end>
      <status>unmodified</status>
      <modifiedWord/>
      <trackRevisions>false</trackRevisions>
    </reviewItem>
    <reviewItem>
      <errorID>9ede3746-f10b-42e1-a048-500781090121</errorID>
      <errorWord>人名</errorWord>
      <group>L1_Word</group>
      <groupName>字词问题</groupName>
      <ability>L2_Typo</ability>
      <abilityName>字词错误</abilityName>
      <candidateList>
        <item>人</item>
      </candidateList>
      <explain>〈名〉❶能制造工具并使用工具进行劳动的高等动物：男～｜女～｜～们｜～类。❷每人；一般人：～手一册｜～所共知。❸指成年人：长大成～。❹指某种人：工～｜军～｜主～｜介绍～。❺别人：～云亦云｜待～诚恳。❻指人的品质、性格或名誉：丢～｜这个同志～很好｜他～老实。❼指人的身体或意识：这两天～不大舒服｜送到医院～已经昏迷过去了。</explain>
      <paraID>274A01C9</paraID>
      <start>28</start>
      <end>30</end>
      <status>unmodified</status>
      <modifiedWord/>
      <trackRevisions>false</trackRevisions>
    </reviewItem>
    <reviewItem>
      <errorID>1be410d8-4c44-469d-aa5c-17797adf4715</errorID>
      <errorWord>需</errorWord>
      <group>L1_Word</group>
      <groupName>字词问题</groupName>
      <ability>L2_Typo</ability>
      <abilityName>字词错误</abilityName>
      <candidateList>
        <item>须</item>
      </candidateList>
      <explain>存在发音相同字词的误用。</explain>
      <paraID>4EA674E4</paraID>
      <start>13</start>
      <end>14</end>
      <status>unmodified</status>
      <modifiedWord/>
      <trackRevisions>false</trackRevisions>
    </reviewItem>
    <reviewItem>
      <errorID>669ee86d-c03a-48be-a4f9-fa338f7ef869</errorID>
      <errorWord>，</errorWord>
      <group>L1_Word</group>
      <groupName>字词问题</groupName>
      <ability>L2_Typo</ability>
      <abilityName>字词错误</abilityName>
      <candidateList>
        <item>，在</item>
      </candidateList>
      <explain/>
      <paraID>51F543C0</paraID>
      <start>195</start>
      <end>196</end>
      <status>unmodified</status>
      <modifiedWord/>
      <trackRevisions>false</trackRevisions>
    </reviewItem>
    <reviewItem>
      <errorID>35d23b82-bddb-4601-937f-1f192404c55e</errorID>
      <errorWord>"</errorWord>
      <group>L1_Format</group>
      <groupName>格式问题</groupName>
      <ability>L2_HalfPunc_CN</ability>
      <abilityName>全半角问题</abilityName>
      <candidateList>
        <item>“</item>
      </candidateList>
      <explain>文本全半角错误。</explain>
      <paraID>3FD83AF4</paraID>
      <start>265</start>
      <end>266</end>
      <status>unmodified</status>
      <modifiedWord/>
      <trackRevisions>false</trackRevisions>
    </reviewItem>
    <reviewItem>
      <errorID>242c0a5e-100e-4978-a8a9-e3dec4061539</errorID>
      <errorWord>"</errorWord>
      <group>L1_Format</group>
      <groupName>格式问题</groupName>
      <ability>L2_HalfPunc_CN</ability>
      <abilityName>全半角问题</abilityName>
      <candidateList>
        <item>”</item>
      </candidateList>
      <explain>文本全半角错误。</explain>
      <paraID>3FD83AF4</paraID>
      <start>280</start>
      <end>281</end>
      <status>unmodified</status>
      <modifiedWord/>
      <trackRevisions>false</trackRevisions>
    </reviewItem>
    <reviewItem>
      <errorID>00b1659d-9b0f-4f56-899b-6b4e9826a3d2</errorID>
      <errorWord>、</errorWord>
      <group>L1_Word</group>
      <groupName>字词问题</groupName>
      <ability>L2_Typo</ability>
      <abilityName>字词错误</abilityName>
      <candidateList>
        <item>、具</item>
      </candidateList>
      <explain/>
      <paraID>14BAAD86</paraID>
      <start>26</start>
      <end>27</end>
      <status>unmodified</status>
      <modifiedWord/>
      <trackRevisions>false</trackRevisions>
    </reviewItem>
    <reviewItem>
      <errorID>b86b6f9f-bb2f-484c-870b-beaef9b9e12a</errorID>
      <errorWord>需</errorWord>
      <group>L1_Word</group>
      <groupName>字词问题</groupName>
      <ability>L2_Typo</ability>
      <abilityName>字词错误</abilityName>
      <candidateList>
        <item>须</item>
      </candidateList>
      <explain>存在发音相同字词的误用。</explain>
      <paraID> C77651A</paraID>
      <start>10</start>
      <end>11</end>
      <status>unmodified</status>
      <modifiedWord/>
      <trackRevisions>false</trackRevisions>
    </reviewItem>
    <reviewItem>
      <errorID>9fa34f86-ea41-4b94-835b-89463776aa97</errorID>
      <errorWord>)</errorWord>
      <group>L1_Format</group>
      <groupName>格式问题</groupName>
      <ability>L2_HalfPunc_CN</ability>
      <abilityName>全半角问题</abilityName>
      <candidateList>
        <item>）</item>
      </candidateList>
      <explain>文本全半角错误。</explain>
      <paraID> 803816A</paraID>
      <start>94</start>
      <end>95</end>
      <status>unmodified</status>
      <modifiedWord/>
      <trackRevisions>false</trackRevisions>
    </reviewItem>
    <reviewItem>
      <errorID>a1751c28-5c54-4408-b8ef-0d2f3a5388da</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256A914E</paraID>
      <start>28</start>
      <end>29</end>
      <status>ignored</status>
      <modifiedWord/>
      <trackRevisions>false</trackRevisions>
    </reviewItem>
    <reviewItem>
      <errorID>e807c451-7029-4ef7-9bef-cb0d8f294032</errorID>
      <errorWord>(</errorWord>
      <group>L1_Format</group>
      <groupName>格式问题</groupName>
      <ability>L2_HalfPunc_CN</ability>
      <abilityName>全半角问题</abilityName>
      <candidateList>
        <item>（</item>
      </candidateList>
      <explain>文本全半角错误。</explain>
      <paraID> 6190F83</paraID>
      <start>94</start>
      <end>95</end>
      <status>unmodified</status>
      <modifiedWord/>
      <trackRevisions>false</trackRevisions>
    </reviewItem>
    <reviewItem>
      <errorID>0bf078e8-9ed9-41af-a9e9-7a1f20609696</errorID>
      <errorWord>)</errorWord>
      <group>L1_Format</group>
      <groupName>格式问题</groupName>
      <ability>L2_HalfPunc_CN</ability>
      <abilityName>全半角问题</abilityName>
      <candidateList>
        <item>）</item>
      </candidateList>
      <explain>文本全半角错误。</explain>
      <paraID> 6190F83</paraID>
      <start>104</start>
      <end>105</end>
      <status>unmodified</status>
      <modifiedWord/>
      <trackRevisions>false</trackRevisions>
    </reviewItem>
    <reviewItem>
      <errorID>c5772402-218c-48bd-82c8-420194434233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37F6AB65</paraID>
      <start>179</start>
      <end>182</end>
      <status>unmodified</status>
      <modifiedWord/>
      <trackRevisions>false</trackRevisions>
    </reviewItem>
    <reviewItem>
      <errorID>4bcb53f6-b1b1-4f50-9923-3395ebe9864a</errorID>
      <errorWord>法律、法规</errorWord>
      <group>L1_Word</group>
      <groupName>字词问题</groupName>
      <ability>L2_Typo</ability>
      <abilityName>字词错误</abilityName>
      <candidateList>
        <item>法律法规</item>
      </candidateList>
      <explain/>
      <paraID>1F46E617</paraID>
      <start>44</start>
      <end>49</end>
      <status>unmodified</status>
      <modifiedWord/>
      <trackRevisions>false</trackRevisions>
    </reviewItem>
    <reviewItem>
      <errorID>7e01cf42-a14e-40fb-aa90-a7909e645804</errorID>
      <errorWord>)</errorWord>
      <group>L1_Format</group>
      <groupName>格式问题</groupName>
      <ability>L2_HalfPunc_CN</ability>
      <abilityName>全半角问题</abilityName>
      <candidateList>
        <item>）</item>
      </candidateList>
      <explain>文本全半角错误。</explain>
      <paraID>6AF056C4</paraID>
      <start>103</start>
      <end>104</end>
      <status>unmodified</status>
      <modifiedWord/>
      <trackRevisions>false</trackRevisions>
    </reviewItem>
    <reviewItem>
      <errorID>9efbcfa4-613d-49b0-8d29-a80e120b9ad2</errorID>
      <errorWord>(</errorWord>
      <group>L1_Format</group>
      <groupName>格式问题</groupName>
      <ability>L2_HalfPunc_CN</ability>
      <abilityName>全半角问题</abilityName>
      <candidateList>
        <item>（</item>
      </candidateList>
      <explain>文本全半角错误。</explain>
      <paraID>7A1DD513</paraID>
      <start>33</start>
      <end>34</end>
      <status>unmodified</status>
      <modifiedWord/>
      <trackRevisions>false</trackRevisions>
    </reviewItem>
    <reviewItem>
      <errorID>13028f27-2f20-4848-87fc-73b179ef172d</errorID>
      <errorWord>[2020]46号</errorWord>
      <group>L1_Knowledge</group>
      <groupName>知识性问题</groupName>
      <ability>L2_Knowledge</ability>
      <abilityName>其他知识</abilityName>
      <candidateList>
        <item>〔2020〕46号</item>
      </candidateList>
      <explain>发文字号格式错误。</explain>
      <paraID>7A1DD513</paraID>
      <start>36</start>
      <end>45</end>
      <status>unmodified</status>
      <modifiedWord/>
      <trackRevisions>false</trackRevisions>
    </reviewItem>
    <reviewItem>
      <errorID>b3312139-9b05-4a3c-982d-d5f2c182519f</errorID>
      <errorWord>)</errorWord>
      <group>L1_Format</group>
      <groupName>格式问题</groupName>
      <ability>L2_HalfPunc_CN</ability>
      <abilityName>全半角问题</abilityName>
      <candidateList>
        <item>）</item>
      </candidateList>
      <explain>文本全半角错误。</explain>
      <paraID>7A1DD513</paraID>
      <start>45</start>
      <end>46</end>
      <status>unmodified</status>
      <modifiedWord/>
      <trackRevisions>false</trackRevisions>
    </reviewItem>
    <reviewItem>
      <errorID>d45cf8d7-0a8d-4c3d-bd6f-cca42d161f26</errorID>
      <errorWord>(</errorWord>
      <group>L1_Format</group>
      <groupName>格式问题</groupName>
      <ability>L2_HalfPunc_CN</ability>
      <abilityName>全半角问题</abilityName>
      <candidateList>
        <item>（</item>
      </candidateList>
      <explain>文本全半角错误。</explain>
      <paraID>7A1DD513</paraID>
      <start>185</start>
      <end>186</end>
      <status>unmodified</status>
      <modifiedWord/>
      <trackRevisions>false</trackRevisions>
    </reviewItem>
    <reviewItem>
      <errorID>51264b40-e474-41e7-99e2-c94dc40e4454</errorID>
      <errorWord>[2011]300号</errorWord>
      <group>L1_Knowledge</group>
      <groupName>知识性问题</groupName>
      <ability>L2_Knowledge</ability>
      <abilityName>其他知识</abilityName>
      <candidateList>
        <item>〔2011〕300号</item>
      </candidateList>
      <explain>发文字号格式错误。</explain>
      <paraID>7A1DD513</paraID>
      <start>192</start>
      <end>202</end>
      <status>unmodified</status>
      <modifiedWord/>
      <trackRevisions>false</trackRevisions>
    </reviewItem>
    <reviewItem>
      <errorID>d4d8d5cc-bb2d-4dff-a4c0-0bd40492ffef</errorID>
      <errorWord>)</errorWord>
      <group>L1_Format</group>
      <groupName>格式问题</groupName>
      <ability>L2_HalfPunc_CN</ability>
      <abilityName>全半角问题</abilityName>
      <candidateList>
        <item>）</item>
      </candidateList>
      <explain>文本全半角错误。</explain>
      <paraID>7A1DD513</paraID>
      <start>202</start>
      <end>203</end>
      <status>unmodified</status>
      <modifiedWord/>
      <trackRevisions>false</trackRevisions>
    </reviewItem>
    <reviewItem>
      <errorID>ae91caee-d943-49dc-aca0-32c217d2b9b7</errorID>
      <errorWord>〔2017〕 141号</errorWord>
      <group>L1_Knowledge</group>
      <groupName>知识性问题</groupName>
      <ability>L2_Knowledge</ability>
      <abilityName>其他知识</abilityName>
      <candidateList>
        <item>〔2017〕141号</item>
      </candidateList>
      <explain>发文字号格式错误。</explain>
      <paraID>5F2E7D6A</paraID>
      <start>49</start>
      <end>60</end>
      <status>unmodified</status>
      <modifiedWord/>
      <trackRevisions>false</trackRevisions>
    </reviewItem>
    <reviewItem>
      <errorID>798a0af1-6ef0-464f-a311-7d14b479032f</errorID>
      <errorWord>......</errorWord>
      <group>L1_Punc</group>
      <groupName>标点问题</groupName>
      <ability>L2_Punc_CN</ability>
      <abilityName>标点符号问题</abilityName>
      <candidateList>
        <item>……</item>
      </candidateList>
      <explain/>
      <paraID>38E52EAF</paraID>
      <start>0</start>
      <end>6</end>
      <status>unmodified</status>
      <modifiedWord/>
      <trackRevisions>false</trackRevisions>
    </reviewItem>
    <reviewItem>
      <errorID>2f8ac0bf-f1b8-4c42-8f49-6b55aa8a0977</errorID>
      <errorWord>......</errorWord>
      <group>L1_Punc</group>
      <groupName>标点问题</groupName>
      <ability>L2_Punc_CN</ability>
      <abilityName>标点符号问题</abilityName>
      <candidateList>
        <item>……</item>
      </candidateList>
      <explain/>
      <paraID> BA68180</paraID>
      <start>0</start>
      <end>6</end>
      <status>unmodified</status>
      <modifiedWord/>
      <trackRevisions>false</trackRevisions>
    </reviewItem>
    <reviewItem>
      <errorID>bd617cd7-0383-4596-979f-d93b4f715255</errorID>
      <errorWord>(</errorWord>
      <group>L1_Format</group>
      <groupName>格式问题</groupName>
      <ability>L2_HalfPunc_CN</ability>
      <abilityName>全半角问题</abilityName>
      <candidateList>
        <item>（</item>
      </candidateList>
      <explain>文本全半角错误。</explain>
      <paraID>202B9C1D</paraID>
      <start>2</start>
      <end>3</end>
      <status>unmodified</status>
      <modifiedWord/>
      <trackRevisions>false</trackRevisions>
    </reviewItem>
    <reviewItem>
      <errorID>c8d5db56-4cd2-4605-a7f5-4df416f26a58</errorID>
      <errorWord>)</errorWord>
      <group>L1_Format</group>
      <groupName>格式问题</groupName>
      <ability>L2_HalfPunc_CN</ability>
      <abilityName>全半角问题</abilityName>
      <candidateList>
        <item>）</item>
      </candidateList>
      <explain>文本全半角错误。</explain>
      <paraID>202B9C1D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8DDC8C-AD8F-4731-96CD-44D864936395}">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64</Pages>
  <Words>18936</Words>
  <Characters>20322</Characters>
  <TotalTime>1</TotalTime>
  <ScaleCrop>false</ScaleCrop>
  <LinksUpToDate>false</LinksUpToDate>
  <CharactersWithSpaces>21084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Am</cp:lastModifiedBy>
  <dcterms:modified xsi:type="dcterms:W3CDTF">2026-06-30T02:53:06Z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eyJoZGlkIjoiNjI5ZTRiOGIyZTFmMjY0NTQ0YTAxYzM1YmQ4ZDcwODIiLCJ1c2VySWQiOiIyNTMxNjgyNjAifQ==</vt:lpwstr>
  </property>
  <property fmtid="{D5CDD505-2E9C-101B-9397-08002B2CF9AE}" pid="3" name="KSOProductBuildVer">
    <vt:lpwstr>2052-12.1.0.26895</vt:lpwstr>
  </property>
  <property fmtid="{D5CDD505-2E9C-101B-9397-08002B2CF9AE}" pid="4" name="ICV">
    <vt:lpwstr>2DB441C188AA46C0A116C011D06B47C4_13</vt:lpwstr>
  </property>
</Properties>
</file>