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53"/>
        <w:jc w:val="center"/>
        <w:spacing w:before="120" w:after="120" w:line="400" w:lineRule="exact"/>
        <w:rPr>
          <w:rFonts w:hint="eastAsia" w:ascii="方正小标宋_GBK" w:hAnsi="方正小标宋_GBK" w:eastAsia="方正小标宋_GBK" w:cs="方正小标宋_GBK"/>
          <w:b/>
          <w:bCs/>
          <w:color w:val="000000"/>
          <w:sz w:val="40"/>
          <w:szCs w:val="40"/>
          <w:highlight w:val="none"/>
        </w:rPr>
      </w:pPr>
      <w:r>
        <w:rPr>
          <w:rFonts w:hint="eastAsia" w:ascii="方正小标宋_GBK" w:hAnsi="方正小标宋_GBK" w:eastAsia="方正小标宋_GBK" w:cs="方正小标宋_GBK"/>
          <w:b/>
          <w:bCs/>
          <w:color w:val="000000"/>
          <w:sz w:val="40"/>
          <w:szCs w:val="40"/>
          <w:highlight w:val="none"/>
        </w:rPr>
        <w:t xml:space="preserve">招　标　文　件</w:t>
      </w:r>
      <w:r>
        <w:rPr>
          <w:b/>
          <w:bCs/>
          <w:sz w:val="28"/>
          <w:szCs w:val="32"/>
        </w:rPr>
      </w:r>
      <w:r/>
    </w:p>
    <w:p>
      <w:pPr>
        <w:pStyle w:val="953"/>
        <w:ind w:firstLine="560"/>
        <w:jc w:val="left"/>
        <w:spacing w:before="120" w:after="120" w:line="400" w:lineRule="exact"/>
        <w:rPr>
          <w:rFonts w:hint="eastAsia" w:ascii="Arial" w:hAnsi="Arial"/>
          <w:b/>
          <w:bCs/>
          <w:color w:val="000000"/>
          <w:sz w:val="28"/>
          <w:szCs w:val="28"/>
          <w:highlight w:val="none"/>
        </w:rPr>
      </w:pPr>
      <w:r>
        <w:rPr>
          <w:rFonts w:hint="eastAsia" w:ascii="Arial" w:hAnsi="Arial"/>
          <w:b/>
          <w:bCs/>
          <w:color w:val="000000"/>
          <w:sz w:val="28"/>
          <w:szCs w:val="28"/>
          <w:highlight w:val="none"/>
        </w:rPr>
      </w:r>
      <w:r/>
    </w:p>
    <w:p>
      <w:pPr>
        <w:pStyle w:val="95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项目名称：_南京中医药大学高性能GPU服务器购置_</w:t>
      </w:r>
      <w:r>
        <w:rPr>
          <w:rFonts w:hint="eastAsia" w:ascii="方正黑体_GBK" w:hAnsi="方正黑体_GBK" w:eastAsia="方正黑体_GBK" w:cs="方正黑体_GBK"/>
          <w:color w:val="000000"/>
          <w:sz w:val="28"/>
          <w:szCs w:val="28"/>
          <w:highlight w:val="none"/>
        </w:rPr>
      </w:r>
      <w:r/>
    </w:p>
    <w:p>
      <w:pPr>
        <w:pStyle w:val="95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eastAsia="方正黑体_GBK"/>
          <w:color w:val="000000"/>
          <w:sz w:val="28"/>
          <w:szCs w:val="28"/>
          <w:highlight w:val="none"/>
        </w:rPr>
        <w:t xml:space="preserve">JSZC-320000-SCZX-G2026-0311</w:t>
      </w:r>
      <w:r>
        <w:rPr>
          <w:rFonts w:hint="eastAsia" w:ascii="方正黑体_GBK" w:hAnsi="方正黑体_GBK" w:eastAsia="方正黑体_GBK" w:cs="方正黑体_GBK"/>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5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5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_2026_年_7_月</w:t>
      </w:r>
      <w:r>
        <w:rPr>
          <w:rFonts w:hint="eastAsia" w:ascii="方正黑体_GBK" w:hAnsi="方正黑体_GBK" w:eastAsia="方正黑体_GBK" w:cs="方正黑体_GBK"/>
          <w:color w:val="000000"/>
          <w:sz w:val="28"/>
          <w:szCs w:val="28"/>
          <w:highlight w:val="none"/>
        </w:rPr>
      </w:r>
      <w:r/>
    </w:p>
    <w:p>
      <w:pPr>
        <w:pStyle w:val="95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5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3"/>
        <w:jc w:val="center"/>
        <w:spacing w:line="660" w:lineRule="exact"/>
        <w:rPr>
          <w:rFonts w:hint="eastAsia" w:ascii="黑体" w:hAnsi="Arial" w:eastAsia="黑体"/>
          <w:b/>
          <w:color w:val="000000"/>
          <w:sz w:val="28"/>
          <w:szCs w:val="28"/>
          <w:highlight w:val="none"/>
        </w:rPr>
        <w:outlineLvl w:val="0"/>
      </w:pPr>
      <w:r>
        <w:rPr>
          <w:color w:val="000000"/>
          <w:szCs w:val="21"/>
          <w:highlight w:val="none"/>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方正黑体_GBK" w:hAnsi="方正黑体_GBK" w:eastAsia="方正黑体_GBK" w:cs="方正黑体_GBK"/>
          <w:bCs/>
          <w:color w:val="000000"/>
          <w:sz w:val="28"/>
          <w:szCs w:val="28"/>
          <w:highlight w:val="none"/>
        </w:rPr>
        <w:t xml:space="preserve">总  目  录</w:t>
      </w:r>
      <w:r>
        <w:rPr>
          <w:rFonts w:hint="eastAsia" w:ascii="黑体" w:hAnsi="Arial" w:eastAsia="黑体"/>
          <w:b/>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1004"/>
        <w:tabs>
          <w:tab w:val="right" w:pos="8720" w:leader="dot"/>
        </w:tabs>
        <w:rPr>
          <w:rFonts w:hint="eastAsia" w:ascii="等线" w:hAnsi="等线" w:eastAsia="等线"/>
          <w:caps w:val="0"/>
          <w:color w:val="000000"/>
          <w:sz w:val="22"/>
          <w:highlight w:val="none"/>
        </w:rPr>
      </w:pPr>
      <w:r>
        <w:rPr>
          <w:b/>
          <w:bCs/>
          <w:color w:val="000000"/>
          <w:sz w:val="36"/>
          <w:szCs w:val="36"/>
          <w:highlight w:val="none"/>
        </w:rPr>
        <w:fldChar w:fldCharType="begin"/>
      </w:r>
      <w:r>
        <w:rPr>
          <w:b/>
          <w:bCs/>
          <w:color w:val="000000"/>
          <w:sz w:val="36"/>
          <w:szCs w:val="36"/>
          <w:highlight w:val="none"/>
        </w:rPr>
        <w:instrText xml:space="preserve"> TOC \o "1-1" \u </w:instrText>
      </w:r>
      <w:r>
        <w:rPr>
          <w:b/>
          <w:bCs/>
          <w:color w:val="000000"/>
          <w:sz w:val="36"/>
          <w:szCs w:val="36"/>
          <w:highlight w:val="none"/>
        </w:rPr>
        <w:fldChar w:fldCharType="separate"/>
      </w:r>
      <w:r>
        <w:rPr>
          <w:rFonts w:hint="eastAsia" w:ascii="方正黑体_GBK" w:hAnsi="方正黑体_GBK" w:eastAsia="方正黑体_GBK" w:cs="方正黑体_GBK"/>
          <w:color w:val="000000"/>
          <w:highlight w:val="none"/>
        </w:rPr>
        <w:t xml:space="preserve">第一章  投标邀请</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一、项目基本情况</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二、申请人的资格要求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三、获取招标文件</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四、提交投标文件截止时间、开标时间和地点</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_Toc233969281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五、公告期限</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_Toc233969282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六、其他补充事宜</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_Toc233969283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七、本次招标联系方式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_Toc233969284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八、其他</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_Toc233969285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3</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第二章  投标人须知</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_Toc233969286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第三章  合同文本</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lang w:val="en-US" w:eastAsia="zh-CN"/>
        </w:rPr>
        <w:t xml:space="preserve">6</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第四章 采购需求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43</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第五章  评标方法与评标标准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49</w:t>
      </w:r>
      <w:r>
        <w:rPr>
          <w:rFonts w:hint="eastAsia"/>
          <w:color w:val="000000"/>
          <w:highlight w:val="none"/>
        </w:rPr>
        <w:fldChar w:fldCharType="end"/>
      </w:r>
      <w:r>
        <w:rPr>
          <w:rFonts w:hint="eastAsia" w:ascii="等线" w:hAnsi="等线" w:eastAsia="等线"/>
          <w:caps w:val="0"/>
          <w:color w:val="000000"/>
          <w:sz w:val="22"/>
          <w:highlight w:val="none"/>
        </w:rPr>
      </w:r>
      <w:r/>
    </w:p>
    <w:p>
      <w:pPr>
        <w:pStyle w:val="1004"/>
        <w:tabs>
          <w:tab w:val="right" w:pos="8720" w:leader="dot"/>
        </w:tabs>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第六章  投标文件格式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_Toc233969290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53</w:t>
      </w:r>
      <w:r>
        <w:rPr>
          <w:rFonts w:hint="eastAsia"/>
          <w:color w:val="000000"/>
          <w:highlight w:val="none"/>
        </w:rPr>
        <w:fldChar w:fldCharType="end"/>
      </w:r>
      <w:r>
        <w:rPr>
          <w:rFonts w:hint="eastAsia" w:ascii="等线" w:hAnsi="等线" w:eastAsia="等线"/>
          <w:caps w:val="0"/>
          <w:color w:val="000000"/>
          <w:sz w:val="22"/>
          <w:highlight w:val="none"/>
        </w:rPr>
      </w:r>
      <w:r/>
    </w:p>
    <w:p>
      <w:pPr>
        <w:pStyle w:val="953"/>
        <w:rPr>
          <w:rFonts w:hint="eastAsia"/>
          <w:color w:val="000000"/>
          <w:szCs w:val="21"/>
          <w:highlight w:val="none"/>
        </w:rPr>
      </w:pPr>
      <w:r>
        <w:rPr>
          <w:rFonts w:hAnsi="宋体"/>
          <w:bCs/>
          <w:color w:val="000000"/>
          <w:szCs w:val="36"/>
          <w:highlight w:val="none"/>
        </w:rPr>
        <w:fldChar w:fldCharType="end"/>
      </w: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rPr>
          <w:rFonts w:hint="eastAsia"/>
          <w:color w:val="000000"/>
          <w:szCs w:val="21"/>
          <w:highlight w:val="none"/>
        </w:rPr>
      </w:pPr>
      <w:r>
        <w:rPr>
          <w:rFonts w:hint="eastAsia"/>
          <w:color w:val="000000"/>
          <w:szCs w:val="21"/>
          <w:highlight w:val="none"/>
        </w:rPr>
      </w:r>
      <w:r/>
    </w:p>
    <w:p>
      <w:pPr>
        <w:pStyle w:val="953"/>
        <w:jc w:val="center"/>
        <w:keepNext/>
        <w:spacing w:line="400" w:lineRule="exact"/>
        <w:rPr>
          <w:rFonts w:hint="eastAsia" w:ascii="方正黑体_GBK" w:hAnsi="方正黑体_GBK" w:eastAsia="方正黑体_GBK" w:cs="方正黑体_GBK"/>
          <w:color w:val="000000"/>
          <w:sz w:val="28"/>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highlight w:val="none"/>
        </w:rPr>
      </w:r>
      <w:r/>
    </w:p>
    <w:p>
      <w:pPr>
        <w:pStyle w:val="953"/>
        <w:jc w:val="center"/>
        <w:keepNext/>
        <w:spacing w:line="40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受〔南京中医药大学〕的委托，江苏省政府采购中心就〔南京中医药大学高性能GPU服务器购置〕(〔JSZC-320000-SCZX-G2026-0311〕)项目进行公开招标采购，欢迎符合条件的供应商投标。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南京中医药大学高性能GPU服务器购置</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8</w:t>
      </w:r>
      <w:r>
        <w:rPr>
          <w:rFonts w:hint="eastAsia" w:eastAsia="方正仿宋_GBK"/>
          <w:color w:val="000000"/>
          <w:sz w:val="28"/>
          <w:szCs w:val="28"/>
          <w:highlight w:val="none"/>
        </w:rPr>
        <w:t xml:space="preserve">月</w:t>
      </w:r>
      <w:r>
        <w:rPr>
          <w:rFonts w:hint="eastAsia" w:eastAsia="方正仿宋_GBK"/>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rPr>
        <w:t xml:space="preserve">日14</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eastAsia="方正仿宋_GBK"/>
          <w:color w:val="000000"/>
          <w:sz w:val="28"/>
          <w:szCs w:val="28"/>
          <w:highlight w:val="none"/>
        </w:rPr>
        <w:t xml:space="preserve">JSZC-320000-SCZX-G2026-0311</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eastAsia="方正仿宋_GBK"/>
          <w:color w:val="000000"/>
          <w:sz w:val="28"/>
          <w:szCs w:val="28"/>
          <w:highlight w:val="none"/>
        </w:rPr>
        <w:t xml:space="preserve">南京中医药大学高性能GPU服务器购置</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bookmarkEnd w:id="11"/>
      <w:r>
        <w:rPr>
          <w:rFonts w:hint="eastAsia" w:ascii="方正仿宋_GBK" w:hAnsi="方正仿宋_GBK" w:eastAsia="方正仿宋_GBK" w:cs="方正仿宋_GBK"/>
          <w:color w:val="000000"/>
          <w:sz w:val="28"/>
          <w:szCs w:val="28"/>
          <w:highlight w:val="none"/>
        </w:rPr>
        <w:t xml:space="preserve">3.预算金额</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312"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预算金额</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092"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312" w:type="dxa"/>
            <w:vAlign w:val="top"/>
            <w:textDirection w:val="lrTb"/>
            <w:noWrap w:val="false"/>
          </w:tcPr>
          <w:p>
            <w:pPr>
              <w:pStyle w:val="953"/>
              <w:ind w:firstLine="1120"/>
              <w:spacing w:line="400" w:lineRule="exact"/>
              <w:rPr>
                <w:rFonts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167</w:t>
            </w:r>
            <w:r>
              <w:rPr>
                <w:rFonts w:ascii="方正仿宋_GBK" w:hAnsi="方正仿宋_GBK" w:eastAsia="方正仿宋_GBK" w:cs="方正仿宋_GBK"/>
                <w:color w:val="000000"/>
                <w:sz w:val="28"/>
                <w:szCs w:val="28"/>
                <w:highlight w:val="none"/>
              </w:rPr>
            </w:r>
            <w:r/>
          </w:p>
        </w:tc>
      </w:tr>
    </w:tbl>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29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rPr>
                <w:rFonts w:hint="eastAsia" w:ascii="方正仿宋_GBK" w:hAnsi="方正仿宋_GBK" w:eastAsia="方正仿宋_GBK" w:cs="方正仿宋_GBK"/>
                <w:color w:val="000000"/>
                <w:sz w:val="28"/>
                <w:szCs w:val="28"/>
                <w:highlight w:val="none"/>
              </w:rPr>
            </w:r>
            <w:r/>
          </w:p>
        </w:tc>
      </w:tr>
      <w:tr>
        <w:trPr/>
        <w:tc>
          <w:tcPr>
            <w:tcW w:w="108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296" w:type="dxa"/>
            <w:vAlign w:val="top"/>
            <w:textDirection w:val="lrTb"/>
            <w:noWrap w:val="false"/>
          </w:tcPr>
          <w:p>
            <w:pPr>
              <w:pStyle w:val="953"/>
              <w:jc w:val="center"/>
              <w:spacing w:line="400" w:lineRule="exact"/>
              <w:rPr>
                <w:rFonts w:eastAsia="方正仿宋_GBK"/>
                <w:color w:val="000000"/>
                <w:sz w:val="28"/>
                <w:szCs w:val="28"/>
                <w:highlight w:val="none"/>
              </w:rPr>
            </w:pPr>
            <w:r>
              <w:rPr>
                <w:rFonts w:hint="eastAsia" w:eastAsia="方正仿宋_GBK"/>
                <w:color w:val="000000"/>
                <w:sz w:val="28"/>
                <w:szCs w:val="28"/>
                <w:highlight w:val="none"/>
              </w:rPr>
              <w:t xml:space="preserve">167</w:t>
            </w:r>
            <w:r>
              <w:rPr>
                <w:rFonts w:eastAsia="方正仿宋_GBK"/>
                <w:color w:val="000000"/>
                <w:sz w:val="28"/>
                <w:szCs w:val="28"/>
                <w:highlight w:val="none"/>
              </w:rPr>
            </w:r>
            <w:r/>
          </w:p>
        </w:tc>
      </w:tr>
    </w:tbl>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5.采购需求(简介)：</w:t>
      </w:r>
      <w:r>
        <w:rPr>
          <w:rFonts w:hint="eastAsia" w:ascii="方正仿宋_GBK" w:hAnsi="方正仿宋_GBK" w:eastAsia="方正仿宋_GBK" w:cs="方正仿宋_GBK"/>
          <w:color w:val="000000"/>
          <w:sz w:val="28"/>
          <w:szCs w:val="28"/>
          <w:highlight w:val="none"/>
        </w:rPr>
        <w:t xml:space="preserve">（详细内容见本招标文件第四章）</w:t>
      </w:r>
      <w:r>
        <w:rPr>
          <w:rFonts w:hint="eastAsia" w:ascii="方正仿宋_GBK" w:hAnsi="方正仿宋_GBK" w:eastAsia="方正仿宋_GBK" w:cs="方正仿宋_GBK"/>
          <w:color w:val="000000"/>
          <w:sz w:val="28"/>
          <w:szCs w:val="28"/>
          <w:highlight w:val="none"/>
          <w:u w:val="single"/>
        </w:rPr>
      </w:r>
      <w:r/>
    </w:p>
    <w:p>
      <w:pPr>
        <w:pStyle w:val="953"/>
        <w:ind w:firstLine="560"/>
        <w:jc w:val="left"/>
        <w:spacing w:line="378"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方正仿宋_GBK" w:hAnsi="方正仿宋_GBK" w:eastAsia="方正仿宋_GBK" w:cs="方正仿宋_GBK"/>
          <w:color w:val="000000"/>
          <w:sz w:val="28"/>
          <w:szCs w:val="28"/>
          <w:highlight w:val="none"/>
        </w:rPr>
        <w:t xml:space="preserve">：乙方应在本合同签订生效后30个日历日内向甲方交付合同条款１中所列的全部货物（具体时间以甲方通知为准）。</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2" w:name="_Toc28359003"/>
      <w:r/>
      <w:bookmarkStart w:id="13" w:name="_Toc35393622"/>
      <w:r/>
      <w:bookmarkStart w:id="14" w:name="_Toc35393791"/>
      <w:r/>
      <w:bookmarkStart w:id="15" w:name="_Toc38985264"/>
      <w:r/>
      <w:bookmarkStart w:id="16" w:name="_Toc28359080"/>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楷体_GBK" w:hAnsi="方正楷体_GBK" w:eastAsia="方正楷体_GBK" w:cs="方正楷体_GBK"/>
          <w:color w:val="000000"/>
          <w:sz w:val="28"/>
          <w:szCs w:val="28"/>
          <w:highlight w:val="none"/>
        </w:rPr>
      </w:pPr>
      <w:r/>
      <w:bookmarkStart w:id="17" w:name="_Toc35393792"/>
      <w:r/>
      <w:bookmarkStart w:id="18" w:name="_Toc28359004"/>
      <w:r/>
      <w:bookmarkStart w:id="19" w:name="_Toc35393623"/>
      <w:r/>
      <w:bookmarkStart w:id="20" w:name="_Toc38985265"/>
      <w:r/>
      <w:bookmarkStart w:id="21" w:name="_Toc28359081"/>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3.落实政府采购政策需满足的资格要求：无。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4.联合体投标</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296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是否接受联合体投标（是/否）</w:t>
            </w:r>
            <w:r>
              <w:rPr>
                <w:rFonts w:hint="eastAsia" w:ascii="方正仿宋_GBK" w:hAnsi="方正仿宋_GBK" w:eastAsia="方正仿宋_GBK" w:cs="方正仿宋_GBK"/>
                <w:color w:val="000000"/>
                <w:sz w:val="28"/>
                <w:szCs w:val="28"/>
                <w:highlight w:val="none"/>
              </w:rPr>
            </w:r>
            <w:r/>
          </w:p>
        </w:tc>
        <w:tc>
          <w:tcPr>
            <w:tcW w:w="2967"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该采购包中联合体成员数量上限</w:t>
            </w:r>
            <w:r>
              <w:rPr>
                <w:rFonts w:hint="eastAsia" w:ascii="方正仿宋_GBK" w:hAnsi="方正仿宋_GBK" w:eastAsia="方正仿宋_GBK" w:cs="方正仿宋_GBK"/>
                <w:color w:val="000000"/>
                <w:sz w:val="28"/>
                <w:szCs w:val="28"/>
                <w:highlight w:val="none"/>
              </w:rPr>
            </w:r>
            <w:r/>
          </w:p>
        </w:tc>
      </w:tr>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96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tc>
        <w:tc>
          <w:tcPr>
            <w:tcW w:w="2967"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r>
    </w:tbl>
    <w:p>
      <w:pPr>
        <w:pStyle w:val="953"/>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592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特定资格要求</w:t>
            </w:r>
            <w:r>
              <w:rPr>
                <w:rFonts w:hint="eastAsia" w:ascii="方正仿宋_GBK" w:hAnsi="方正仿宋_GBK" w:eastAsia="方正仿宋_GBK" w:cs="方正仿宋_GBK"/>
                <w:color w:val="000000"/>
                <w:sz w:val="28"/>
                <w:szCs w:val="28"/>
                <w:highlight w:val="none"/>
              </w:rPr>
            </w:r>
            <w:r/>
          </w:p>
        </w:tc>
      </w:tr>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592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r>
    </w:tbl>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1.时间：自招标文件公告发布之日起5个工作日。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2.方式：在“江苏政府采购网”自行免费下载招标文件。</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ascii="宋体" w:hAnsi="宋体"/>
          <w:bCs/>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年8</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14</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color w:val="000000"/>
          <w:sz w:val="28"/>
          <w:szCs w:val="28"/>
          <w:highlight w:val="none"/>
        </w:rPr>
        <w:t xml:space="preserve">。</w:t>
      </w:r>
      <w:r>
        <w:rPr>
          <w:rFonts w:ascii="宋体" w:hAnsi="宋体"/>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2.地点：“苏采云”政府采购交易系统。</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7" w:name="_Toc35393625"/>
      <w:r/>
      <w:bookmarkStart w:id="28" w:name="_Toc38985267"/>
      <w:r/>
      <w:bookmarkStart w:id="29" w:name="_Toc28359084"/>
      <w:r/>
      <w:bookmarkStart w:id="30" w:name="_Toc35393794"/>
      <w:r/>
      <w:bookmarkStart w:id="31" w:name="_Toc28359007"/>
      <w:r>
        <w:rPr>
          <w:rFonts w:hint="eastAsia" w:ascii="方正黑体_GBK" w:hAnsi="方正黑体_GBK" w:eastAsia="方正黑体_GBK" w:cs="方正黑体_GBK"/>
          <w:color w:val="000000"/>
          <w:sz w:val="28"/>
          <w:szCs w:val="28"/>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highlight w:val="none"/>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5" w:name="_Toc35393796"/>
      <w:r/>
      <w:bookmarkStart w:id="36" w:name="_Toc38985269"/>
      <w:r/>
      <w:bookmarkStart w:id="37" w:name="_Toc28359008"/>
      <w:r/>
      <w:bookmarkStart w:id="38" w:name="_Toc28359085"/>
      <w:r/>
      <w:bookmarkStart w:id="39" w:name="_Toc35393627"/>
      <w:r>
        <w:rPr>
          <w:rFonts w:hint="eastAsia" w:ascii="方正黑体_GBK" w:hAnsi="方正黑体_GBK" w:eastAsia="方正黑体_GBK" w:cs="方正黑体_GBK"/>
          <w:color w:val="000000"/>
          <w:sz w:val="28"/>
          <w:szCs w:val="28"/>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highlight w:val="none"/>
        </w:rPr>
      </w:r>
      <w:r/>
    </w:p>
    <w:p>
      <w:pPr>
        <w:pStyle w:val="953"/>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南京中医药大学　　　　　</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w:t>
      </w:r>
      <w:r>
        <w:rPr>
          <w:rFonts w:ascii="方正仿宋_GBK" w:hAnsi="方正仿宋_GBK" w:eastAsia="方正仿宋_GBK" w:cs="方正仿宋_GBK"/>
          <w:color w:val="000000"/>
          <w:sz w:val="28"/>
          <w:szCs w:val="28"/>
          <w:highlight w:val="none"/>
          <w:u w:val="single"/>
        </w:rPr>
        <w:t xml:space="preserve">江苏省南京市</w:t>
      </w:r>
      <w:r>
        <w:rPr>
          <w:rFonts w:hint="eastAsia" w:ascii="宋体" w:hAnsi="宋体" w:cs="宋体"/>
          <w:color w:val="000000"/>
          <w:sz w:val="28"/>
          <w:szCs w:val="28"/>
          <w:highlight w:val="none"/>
          <w:u w:val="single"/>
        </w:rPr>
        <w:t xml:space="preserve">栖霞</w:t>
      </w:r>
      <w:r>
        <w:rPr>
          <w:rFonts w:hint="eastAsia" w:ascii="___WRD_EMBED_SUB_47" w:hAnsi="___WRD_EMBED_SUB_47" w:eastAsia="___WRD_EMBED_SUB_47" w:cs="___WRD_EMBED_SUB_47"/>
          <w:color w:val="000000"/>
          <w:sz w:val="28"/>
          <w:szCs w:val="28"/>
          <w:highlight w:val="none"/>
          <w:u w:val="single"/>
        </w:rPr>
        <w:t xml:space="preserve">区</w:t>
      </w:r>
      <w:r>
        <w:rPr>
          <w:rFonts w:hint="eastAsia" w:ascii="宋体" w:hAnsi="宋体" w:cs="宋体"/>
          <w:color w:val="000000"/>
          <w:sz w:val="28"/>
          <w:szCs w:val="28"/>
          <w:highlight w:val="none"/>
          <w:u w:val="single"/>
        </w:rPr>
        <w:t xml:space="preserve">仙</w:t>
      </w:r>
      <w:r>
        <w:rPr>
          <w:rFonts w:hint="eastAsia" w:ascii="___WRD_EMBED_SUB_47" w:hAnsi="___WRD_EMBED_SUB_47" w:eastAsia="___WRD_EMBED_SUB_47" w:cs="___WRD_EMBED_SUB_47"/>
          <w:color w:val="000000"/>
          <w:sz w:val="28"/>
          <w:szCs w:val="28"/>
          <w:highlight w:val="none"/>
          <w:u w:val="single"/>
        </w:rPr>
        <w:t xml:space="preserve">林大道</w:t>
      </w:r>
      <w:r>
        <w:rPr>
          <w:rFonts w:ascii="方正仿宋_GBK" w:hAnsi="方正仿宋_GBK" w:eastAsia="方正仿宋_GBK" w:cs="方正仿宋_GBK"/>
          <w:color w:val="000000"/>
          <w:sz w:val="28"/>
          <w:szCs w:val="28"/>
          <w:highlight w:val="none"/>
          <w:u w:val="single"/>
        </w:rPr>
        <w:t xml:space="preserve">138号 （邮编：210023</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宋体" w:hAnsi="宋体" w:cs="宋体"/>
          <w:color w:val="000000"/>
          <w:sz w:val="28"/>
          <w:szCs w:val="28"/>
          <w:highlight w:val="none"/>
          <w:u w:val="single"/>
        </w:rPr>
        <w:t xml:space="preserve">梁老师，刘老师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025-85811022，15702419863　　　 </w:t>
      </w:r>
      <w:bookmarkStart w:id="40" w:name="_Toc28359086"/>
      <w:r/>
      <w:bookmarkStart w:id="41" w:name="_Toc28359009"/>
      <w:r>
        <w:rPr>
          <w:rFonts w:hint="eastAsia" w:ascii="方正仿宋_GBK" w:hAnsi="方正仿宋_GBK" w:eastAsia="方正仿宋_GBK" w:cs="方正仿宋_GBK"/>
          <w:color w:val="000000"/>
          <w:sz w:val="28"/>
          <w:szCs w:val="28"/>
          <w:highlight w:val="none"/>
          <w:u w:val="singl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厉彬彬、唐文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highlight w:val="none"/>
          <w:u w:val="single"/>
        </w:rPr>
        <w:t xml:space="preserve">　025-83668517/83668519　　　　　　　　　　　</w:t>
      </w:r>
      <w:r>
        <w:rPr>
          <w:rFonts w:hint="eastAsia" w:ascii="方正仿宋_GBK" w:hAnsi="方正仿宋_GBK" w:eastAsia="方正仿宋_GBK" w:cs="方正仿宋_GBK"/>
          <w:color w:val="000000"/>
          <w:sz w:val="28"/>
          <w:szCs w:val="28"/>
          <w:highlight w:val="none"/>
        </w:rPr>
      </w:r>
      <w:r/>
    </w:p>
    <w:p>
      <w:pPr>
        <w:pStyle w:val="953"/>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42"/>
      <w:r/>
      <w:bookmarkEnd w:id="43"/>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highlight w:val="none"/>
        </w:rPr>
        <w:t xml:space="preserve">“苏采云”政府采购交易系统（以下简称苏采云系统）</w:t>
      </w:r>
      <w:r>
        <w:rPr>
          <w:rFonts w:hint="eastAsia" w:ascii="方正仿宋_GBK" w:hAnsi="方正仿宋_GBK" w:eastAsia="方正仿宋_GBK" w:cs="方正仿宋_GBK"/>
          <w:bCs/>
          <w:color w:val="000000"/>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3.本次招标不收取投标保证金。</w:t>
      </w:r>
      <w:r>
        <w:rPr>
          <w:rFonts w:hint="eastAsia" w:ascii="方正仿宋_GBK" w:hAnsi="方正仿宋_GBK" w:eastAsia="方正仿宋_GBK" w:cs="方正仿宋_GBK"/>
          <w:bCs/>
          <w:color w:val="000000"/>
          <w:sz w:val="28"/>
          <w:szCs w:val="28"/>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3"/>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44" w:name="_Toc120614211"/>
      <w:r>
        <w:rPr>
          <w:rFonts w:hint="eastAsia" w:ascii="方正黑体_GBK" w:hAnsi="方正黑体_GBK" w:eastAsia="方正黑体_GBK" w:cs="方正黑体_GBK"/>
          <w:color w:val="000000"/>
          <w:sz w:val="28"/>
          <w:szCs w:val="28"/>
          <w:highlight w:val="none"/>
        </w:rPr>
        <w:t xml:space="preserve">第二章  投标人须知</w:t>
      </w:r>
      <w:r>
        <w:rPr>
          <w:rFonts w:hint="eastAsia" w:ascii="方正黑体_GBK" w:hAnsi="方正黑体_GBK" w:eastAsia="方正黑体_GBK" w:cs="方正黑体_GBK"/>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rPr>
          <w:rFonts w:hint="eastAsia" w:ascii="方正黑体_GBK" w:hAnsi="方正黑体_GBK" w:eastAsia="方正黑体_GBK" w:cs="方正黑体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招标方式</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 本次招标采取公开招标方式，本招标文件仅适用于招标公告中所述项目。</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合格的投标人</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2.1满足招标公告中供应商的资格要求的规定。</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 满足本文件实质性要求的规定。</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rPr>
        <w:t xml:space="preserve">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适用法律</w:t>
      </w:r>
      <w:r>
        <w:rPr>
          <w:rFonts w:hint="eastAsia" w:ascii="方正仿宋_GBK" w:hAnsi="方正仿宋_GBK" w:eastAsia="方正仿宋_GBK" w:cs="方正仿宋_GBK"/>
          <w:bCs/>
          <w:color w:val="000000"/>
          <w:sz w:val="28"/>
          <w:szCs w:val="28"/>
          <w:highlight w:val="none"/>
          <w:lang w:eastAsia="zh-CN"/>
        </w:rPr>
        <w:t xml:space="preserve">和标准</w:t>
      </w:r>
      <w:r>
        <w:rPr>
          <w:rFonts w:hint="eastAsia" w:ascii="方正仿宋_GBK" w:hAnsi="方正仿宋_GBK" w:eastAsia="方正仿宋_GBK" w:cs="方正仿宋_GBK"/>
          <w:bCs/>
          <w:color w:val="000000"/>
          <w:sz w:val="28"/>
          <w:szCs w:val="28"/>
          <w:highlight w:val="none"/>
          <w:lang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 本次招标及由此产生的合同受中华人民共和国有关的法律法规制约和保护。</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color w:val="000000"/>
          <w:sz w:val="28"/>
          <w:szCs w:val="28"/>
          <w:highlight w:val="none"/>
          <w:lang w:val="en-US"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投标费用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4.2本次招标采购中心和采购人不收取标书工本费与中标服务费。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招标文件的约束力</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 投标人一旦参加本项目采购活动，即被认为接受了本招标文件的规定和约束。</w:t>
      </w:r>
      <w:r>
        <w:rPr>
          <w:rFonts w:hint="eastAsia" w:ascii="方正仿宋_GBK" w:hAnsi="方正仿宋_GBK" w:eastAsia="方正仿宋_GBK" w:cs="方正仿宋_GBK"/>
          <w:bCs/>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rPr>
          <w:rFonts w:hint="eastAsia" w:ascii="方正黑体_GBK" w:hAnsi="方正黑体_GBK" w:eastAsia="方正黑体_GBK" w:cs="方正黑体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招标文件构成</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 招标文件由以下部分组成：</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（1）投标邀请</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（2）投标人须知</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（3）合同文本</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（4）采购需求</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（5）评标方法与评标标准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（6）投标文件格式</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请仔细检查招标文件是否齐全，如有缺漏请立即与采购中心联系解决。</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招标文件的修改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 在投标截止时间前，采购中心可以对招标文件进行修改。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 采购中心有权按照法定的要求推迟投标截止日期和开标日期。</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三、投标文件的编制</w:t>
      </w:r>
      <w:r>
        <w:rPr>
          <w:rFonts w:hint="eastAsia" w:ascii="方正黑体_GBK" w:hAnsi="方正黑体_GBK" w:eastAsia="方正黑体_GBK" w:cs="方正黑体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投标文件的语言及度量衡单位</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 除技术性能另有规定外，投标文件所使用的度量衡单位，均须采用国家法定计量单位。</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投标文件构成</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证明投标人及投标标的符合招标文件规定的文件</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 投标人应按照招标文件要求提交证明文件，证明其及投标标的符合招标文件规定。</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投标分项报价表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 投标人按照招标文件规定格式填报投标分项报价表。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技术要求响应及偏离表、商务要求响应及偏离表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color w:val="000000"/>
          <w:sz w:val="28"/>
          <w:szCs w:val="28"/>
          <w:highlight w:val="none"/>
          <w:lang w:val="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color w:val="000000"/>
          <w:sz w:val="28"/>
          <w:szCs w:val="28"/>
          <w:highlight w:val="none"/>
          <w:lang w:val="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服务承诺、培训计划、人员安排及其他</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 投标人需根据招标文件要求提供培训计划。</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 投标人需根据招标文件要求提供</w:t>
      </w:r>
      <w:r>
        <w:rPr>
          <w:rFonts w:hint="eastAsia" w:ascii="方正仿宋_GBK" w:hAnsi="方正仿宋_GBK" w:eastAsia="方正仿宋_GBK" w:cs="方正仿宋_GBK"/>
          <w:bCs/>
          <w:color w:val="000000"/>
          <w:sz w:val="28"/>
          <w:szCs w:val="28"/>
          <w:highlight w:val="none"/>
          <w:lang w:val="zh-CN"/>
        </w:rPr>
        <w:t xml:space="preserve">所投标的的主要组成部分、功能设计、实现思路及关键技术等。</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投标函和开标一览表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 投标人应按照招标文件中提供的格式完整、正确填写投标函、开标一览表。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投标有效期</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投标有效期的延长</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四、投标文件的递交</w:t>
      </w:r>
      <w:r>
        <w:rPr>
          <w:rFonts w:hint="eastAsia" w:ascii="方正黑体_GBK" w:hAnsi="方正黑体_GBK" w:eastAsia="方正黑体_GBK" w:cs="方正黑体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电子投标文件的递交</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17.1投标人应当按照《操作手册》规定，在投标截止时间前制作并上传电子投标文件。</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投标截止日期</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 投标人上传电子投标文件的时间不得迟于招标公告中规定的投标截止时间。</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投标文件的拒收</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19.1 采购中心拒绝接收在其规定的投标截止时间后上传的任何投标文件。</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投标文件的撤回和修改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 投标文件的撤回</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20.1.1 电子投标文件的撤回</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投标人可在投标截止时间前，撤回其电子投标文件，具体操作方法见《操作手册》。</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20.1.2 投标人撤回电子投标文件，则认为其不再参与本项目投标活动。</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 投标文件的修改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20.2.1投标人可在投标截止时间前，对其电子投标文件进行修改，具体操作方法见《操作手册》。</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20.2.2 在投标截止时间之后，投标人不得对其电子投标文件作任何修改。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五、开标与评标</w:t>
      </w:r>
      <w:r>
        <w:rPr>
          <w:rFonts w:hint="eastAsia" w:ascii="方正黑体_GBK" w:hAnsi="方正黑体_GBK" w:eastAsia="方正黑体_GBK" w:cs="方正黑体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开标</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21.3投标人在开标过程中涉及到的投标文件解密、开标结果确认等工作，应按照《操作手册》规定执行。</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评标委员会</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22.1 开标后，采购中心将立即组织评标委员会进行评标。</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22.2 </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由采购人代表和有关技术、经济等方面的专家组成，且人员构成符合政府采购有关规定。</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22.3</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独立工作，负责评审所有投标文件并确定中标侯选人。</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评标过程的保密与公正</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23.2在评标过程中，投标人不得以任何行为影响评标过程，否则其投标文件将被作为无效投标文件。</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投标文件的澄清</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24.1评标期间，</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评标委员会并非对每个投标人都做澄清要求。</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24.2需要供应商进行澄清、说明和补正的，</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24.3 接到</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澄清、说明和补正要求的投标人如未按规定做出澄清、说明和补正，其风险由投标人自行承担。</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对投标文件的初审</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25.1投标文件初审分为资格审查和符合性审查。</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进行反馈。</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）查询投标人的信用记录，以确定投标人是否具备投标资格,查询结果留存并归档。</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25.1.2 符合性审查：依据招标文件的规定，由</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25.2在详细评标之前，</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25.3如果投标文件实质上没有响应招标文件的要求，</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将予以拒绝，投标人不得通过修改或撤销不</w:t>
      </w:r>
      <w:r>
        <w:rPr>
          <w:rFonts w:hint="eastAsia" w:ascii="方正仿宋_GBK" w:hAnsi="方正仿宋_GBK" w:eastAsia="方正仿宋_GBK" w:cs="方正仿宋_GBK"/>
          <w:bCs/>
          <w:color w:val="000000"/>
          <w:sz w:val="28"/>
          <w:szCs w:val="28"/>
          <w:highlight w:val="none"/>
          <w:lang w:eastAsia="zh-CN"/>
        </w:rPr>
        <w:t xml:space="preserve">符合</w:t>
      </w:r>
      <w:r>
        <w:rPr>
          <w:rFonts w:hint="eastAsia" w:ascii="方正仿宋_GBK" w:hAnsi="方正仿宋_GBK" w:eastAsia="方正仿宋_GBK" w:cs="方正仿宋_GBK"/>
          <w:bCs/>
          <w:color w:val="000000"/>
          <w:sz w:val="28"/>
          <w:szCs w:val="28"/>
          <w:highlight w:val="none"/>
        </w:rPr>
        <w:t xml:space="preserve">要求的偏离或保留而使其投标成为实质性响应的投标。</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25.4</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（1）投标文件中开标一览表内容与投标文件中相应内容不一致的，以开标一览表为准。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（2）大写金额和小写金额不一致的，以大写金额为准。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（3）单价金额小数点或者百分比有明显错位的，以开标一览表的总价为准，并修改单价。</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（4）总价金额与按单价汇总金额不一致的，以单价金额计算结果为准。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同时出现两种以上错误的，按照前款规定的顺序修正。</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25.5</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color w:val="000000"/>
          <w:sz w:val="28"/>
          <w:szCs w:val="28"/>
          <w:highlight w:val="none"/>
          <w:lang w:eastAsia="zh-CN"/>
        </w:rPr>
        <w:t xml:space="preserve">采取</w:t>
      </w:r>
      <w:r>
        <w:rPr>
          <w:rFonts w:hint="eastAsia" w:ascii="方正仿宋_GBK" w:hAnsi="方正仿宋_GBK" w:eastAsia="方正仿宋_GBK" w:cs="方正仿宋_GBK"/>
          <w:bCs/>
          <w:color w:val="000000"/>
          <w:sz w:val="28"/>
          <w:szCs w:val="28"/>
          <w:highlight w:val="none"/>
        </w:rPr>
        <w:t xml:space="preserve">随机抽取的方式）确定一个参加评标的投标人，其他投标无效。</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25.8 异常低价投标审查</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25.8.1 评标过程中出现下列情形之一的，评标委员会应当启动异常低价投标审查程序：</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lang w:eastAsia="zh-CN"/>
        </w:rPr>
        <w:t xml:space="preserve">）投标报价低于采购项目最高限价45%的，即投标报价&lt;采购项目最高限价×45%；</w:t>
      </w:r>
      <w:r>
        <w:rPr>
          <w:rFonts w:hint="eastAsia" w:ascii="方正仿宋_GBK" w:hAnsi="方正仿宋_GBK" w:eastAsia="方正仿宋_GBK" w:cs="方正仿宋_GBK"/>
          <w:bCs/>
          <w:color w:val="000000"/>
          <w:sz w:val="28"/>
          <w:szCs w:val="28"/>
          <w:highlight w:val="none"/>
          <w:lang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eastAsia="zh-CN"/>
        </w:rPr>
        <w:t xml:space="preserve">评标</w:t>
      </w:r>
      <w:r>
        <w:rPr>
          <w:rFonts w:hint="eastAsia" w:ascii="方正仿宋_GBK" w:hAnsi="方正仿宋_GBK" w:eastAsia="方正仿宋_GBK" w:cs="方正仿宋_GBK"/>
          <w:bCs/>
          <w:color w:val="000000"/>
          <w:sz w:val="28"/>
          <w:szCs w:val="28"/>
          <w:highlight w:val="none"/>
        </w:rPr>
        <w:t xml:space="preserve">委员会基于专业判断，认为供应商报价过低，有可能影响产品质量或者不能诚信履约的其他情形。</w:t>
      </w:r>
      <w:r>
        <w:rPr>
          <w:rFonts w:hint="eastAsia" w:ascii="方正仿宋_GBK" w:hAnsi="方正仿宋_GBK" w:eastAsia="方正仿宋_GBK" w:cs="方正仿宋_GBK"/>
          <w:color w:val="000000"/>
          <w:sz w:val="28"/>
          <w:szCs w:val="28"/>
          <w:highlight w:val="none"/>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25.8.2 </w:t>
      </w:r>
      <w:r>
        <w:rPr>
          <w:rFonts w:hint="eastAsia" w:ascii="方正仿宋_GBK" w:hAnsi="方正仿宋_GBK" w:eastAsia="方正仿宋_GBK" w:cs="方正仿宋_GBK"/>
          <w:bCs/>
          <w:color w:val="000000"/>
          <w:sz w:val="28"/>
          <w:szCs w:val="28"/>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color w:val="000000"/>
          <w:sz w:val="28"/>
          <w:szCs w:val="28"/>
          <w:highlight w:val="none"/>
          <w:lang w:val="en-US" w:eastAsia="zh-CN"/>
        </w:rPr>
      </w:r>
      <w:r/>
    </w:p>
    <w:p>
      <w:pPr>
        <w:pStyle w:val="95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color w:val="000000"/>
          <w:sz w:val="28"/>
          <w:szCs w:val="28"/>
          <w:highlight w:val="none"/>
          <w:lang w:val="en-US" w:eastAsia="zh-CN"/>
        </w:rPr>
      </w:r>
      <w:r/>
    </w:p>
    <w:p>
      <w:pPr>
        <w:pStyle w:val="953"/>
        <w:ind w:firstLine="560"/>
        <w:keepLines/>
        <w:keepNext/>
        <w:pageBreakBefore w:val="0"/>
        <w:spacing w:line="400" w:lineRule="exact"/>
        <w:widowControl w:val="off"/>
        <w:rPr>
          <w:rFonts w:hint="eastAsia" w:ascii="方正仿宋_GBK" w:hAnsi="方正仿宋_GBK" w:eastAsia="方正仿宋_GBK" w:cs="方正仿宋_GBK"/>
          <w:color w:val="000000"/>
          <w:sz w:val="28"/>
          <w:szCs w:val="28"/>
          <w:highlight w:val="none"/>
        </w:rPr>
        <w:outlineLvl w:val="3"/>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无效投标条款和废标条款</w:t>
      </w:r>
      <w:r>
        <w:rPr>
          <w:rFonts w:hint="eastAsia" w:ascii="方正仿宋_GBK" w:hAnsi="方正仿宋_GBK" w:eastAsia="方正仿宋_GBK" w:cs="方正仿宋_GBK"/>
          <w:color w:val="000000"/>
          <w:sz w:val="28"/>
          <w:szCs w:val="28"/>
          <w:highlight w:val="none"/>
        </w:rPr>
      </w:r>
      <w:r/>
    </w:p>
    <w:p>
      <w:pPr>
        <w:pStyle w:val="953"/>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26.1无效投标条款</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 投标人在</w:t>
      </w:r>
      <w:r>
        <w:rPr>
          <w:rFonts w:hint="eastAsia" w:ascii="方正仿宋_GBK" w:hAnsi="方正仿宋_GBK" w:eastAsia="方正仿宋_GBK" w:cs="方正仿宋_GBK"/>
          <w:color w:val="000000"/>
          <w:sz w:val="28"/>
          <w:szCs w:val="28"/>
          <w:highlight w:val="none"/>
        </w:rPr>
        <w:t xml:space="preserve">苏采云系统</w:t>
      </w:r>
      <w:r>
        <w:rPr>
          <w:rFonts w:hint="eastAsia" w:ascii="方正仿宋_GBK" w:hAnsi="方正仿宋_GBK" w:eastAsia="方正仿宋_GBK" w:cs="方正仿宋_GBK"/>
          <w:bCs/>
          <w:color w:val="000000"/>
          <w:sz w:val="28"/>
          <w:szCs w:val="28"/>
          <w:highlight w:val="none"/>
        </w:rPr>
        <w:t xml:space="preserve">规定的时间内未成功解密电子投标文件的。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26.1.2 投标人未按照招标文件要求上传电子投标文件的。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26.1.3 投标人同一采购包提交两个（含两个）以上不同的投标报价的。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26.1.4投标人不具备招标文件中规定资格要求的。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26.1.5投标人的报价超过了采购预算或最高限价的。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26.1.6未通过符合性审查的。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26.1.7不符合招标文件中规定的实质性要求的</w:t>
      </w:r>
      <w:r>
        <w:rPr>
          <w:rFonts w:hint="eastAsia" w:ascii="方正仿宋_GBK" w:hAnsi="方正仿宋_GBK" w:eastAsia="方正仿宋_GBK" w:cs="方正仿宋_GBK"/>
          <w:b/>
          <w:bCs/>
          <w:color w:val="000000"/>
          <w:sz w:val="28"/>
          <w:szCs w:val="28"/>
          <w:highlight w:val="none"/>
        </w:rPr>
        <w:t xml:space="preserve">（本招标文件中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号条款为实质性要求）</w:t>
      </w:r>
      <w:r>
        <w:rPr>
          <w:rFonts w:hint="eastAsia" w:ascii="方正仿宋_GBK" w:hAnsi="方正仿宋_GBK" w:eastAsia="方正仿宋_GBK" w:cs="方正仿宋_GBK"/>
          <w:bCs/>
          <w:i/>
          <w:color w:val="000000"/>
          <w:sz w:val="28"/>
          <w:szCs w:val="28"/>
          <w:highlight w:val="none"/>
          <w:u w:val="singl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26.1.8 投标人被 “信用中国”网站（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26.1.9 投标文件含有采购人不能接受的附加条件的。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26.1.12 投标文件未按照招标文件要求加盖CA电子公章的。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26.1.13 投标人所投标产品不符合招标文件中所列国家强制性标准的。</w:t>
      </w:r>
      <w:r>
        <w:rPr>
          <w:rFonts w:hint="eastAsia" w:ascii="方正仿宋_GBK" w:hAnsi="方正仿宋_GBK" w:eastAsia="方正仿宋_GBK" w:cs="方正仿宋_GBK"/>
          <w:color w:val="000000"/>
          <w:sz w:val="28"/>
          <w:szCs w:val="28"/>
          <w:highlight w:val="none"/>
          <w:lang w:val="en-US" w:eastAsia="zh-CN"/>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其他法律、法规及本招标文件规定的属无效投标的情形。</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26.2废标条款</w:t>
      </w:r>
      <w:r>
        <w:rPr>
          <w:rFonts w:hint="eastAsia" w:ascii="方正仿宋_GBK" w:hAnsi="方正仿宋_GBK" w:eastAsia="方正仿宋_GBK" w:cs="方正仿宋_GBK"/>
          <w:bCs/>
          <w:color w:val="000000"/>
          <w:sz w:val="28"/>
          <w:szCs w:val="28"/>
          <w:highlight w:val="none"/>
          <w:lang w:val="en-US" w:eastAsia="zh-CN"/>
        </w:rPr>
        <w:t xml:space="preserve"> </w:t>
      </w:r>
      <w:r>
        <w:rPr>
          <w:rFonts w:hint="eastAsia" w:ascii="方正仿宋_GBK" w:hAnsi="方正仿宋_GBK" w:eastAsia="方正仿宋_GBK" w:cs="方正仿宋_GBK"/>
          <w:bCs/>
          <w:color w:val="000000"/>
          <w:sz w:val="28"/>
          <w:szCs w:val="28"/>
          <w:highlight w:val="none"/>
          <w:lang w:val="en-US" w:eastAsia="zh-CN"/>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26.2.1符合专业条件的供应商或者对招标文件作实质响应的供应商不足三家的。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26.2.2出现影响采购公正的违法、违规行为的。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26.2.3因重大变故，采购任务取消的。</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26.2.5 因</w:t>
      </w:r>
      <w:r>
        <w:rPr>
          <w:rFonts w:hint="eastAsia" w:ascii="方正仿宋_GBK" w:hAnsi="方正仿宋_GBK" w:eastAsia="方正仿宋_GBK" w:cs="方正仿宋_GBK"/>
          <w:color w:val="000000"/>
          <w:sz w:val="28"/>
          <w:szCs w:val="28"/>
          <w:highlight w:val="none"/>
        </w:rPr>
        <w:t xml:space="preserve">苏采云</w:t>
      </w:r>
      <w:r>
        <w:rPr>
          <w:rFonts w:hint="eastAsia" w:ascii="方正仿宋_GBK" w:hAnsi="方正仿宋_GBK" w:eastAsia="方正仿宋_GBK" w:cs="方正仿宋_GBK"/>
          <w:bCs/>
          <w:color w:val="000000"/>
          <w:sz w:val="28"/>
          <w:szCs w:val="28"/>
          <w:highlight w:val="none"/>
        </w:rPr>
        <w:t xml:space="preserve">系统故障原因造成开标不成功的。</w:t>
      </w:r>
      <w:r>
        <w:rPr>
          <w:rFonts w:hint="eastAsia" w:ascii="方正仿宋_GBK" w:hAnsi="方正仿宋_GBK" w:eastAsia="方正仿宋_GBK" w:cs="方正仿宋_GBK"/>
          <w:bCs/>
          <w:color w:val="000000"/>
          <w:sz w:val="28"/>
          <w:szCs w:val="28"/>
          <w:highlight w:val="none"/>
          <w:lang w:val="en-US" w:eastAsia="zh-CN"/>
        </w:rPr>
        <w:t xml:space="preserve">  </w:t>
      </w:r>
      <w:r>
        <w:rPr>
          <w:rFonts w:hint="eastAsia" w:ascii="方正仿宋_GBK" w:hAnsi="方正仿宋_GBK" w:eastAsia="方正仿宋_GBK" w:cs="方正仿宋_GBK"/>
          <w:bCs/>
          <w:color w:val="000000"/>
          <w:sz w:val="28"/>
          <w:szCs w:val="28"/>
          <w:highlight w:val="none"/>
          <w:lang w:val="en-US" w:eastAsia="zh-CN"/>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 投标截止时间结束后参加投标的供应商不足三家的处理：</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六、定标</w:t>
      </w:r>
      <w:r>
        <w:rPr>
          <w:rFonts w:hint="eastAsia" w:ascii="方正黑体_GBK" w:hAnsi="方正黑体_GBK" w:eastAsia="方正黑体_GBK" w:cs="方正黑体_GBK"/>
          <w:color w:val="000000"/>
          <w:sz w:val="28"/>
          <w:szCs w:val="28"/>
          <w:highlight w:val="none"/>
        </w:rPr>
      </w:r>
      <w:r/>
    </w:p>
    <w:p>
      <w:pPr>
        <w:pStyle w:val="953"/>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27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确定中标单位</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27.1中标候选人的选取原则和数量见招标文件第五章规定。 </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27.2 采购人应根据</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推荐的中标候选人确定中标供应商。</w:t>
      </w:r>
      <w:r>
        <w:rPr>
          <w:rFonts w:hint="eastAsia" w:ascii="方正仿宋_GBK" w:hAnsi="方正仿宋_GBK" w:eastAsia="方正仿宋_GBK" w:cs="方正仿宋_GBK"/>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27.3 </w:t>
      </w:r>
      <w:r>
        <w:rPr>
          <w:rFonts w:hint="eastAsia" w:ascii="方正仿宋_GBK" w:hAnsi="方正仿宋_GBK" w:eastAsia="方正仿宋_GBK" w:cs="方正仿宋_GBK"/>
          <w:color w:val="000000"/>
          <w:sz w:val="28"/>
          <w:szCs w:val="28"/>
          <w:highlight w:val="none"/>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27.4.1提供虚假材料谋取中标的。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27.4.2向采购人、采购中心行贿或者提供其他不正当利益的。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27.4.3属于本文件规定的无效条件，但在评标过程中又未被</w:t>
      </w:r>
      <w:r>
        <w:rPr>
          <w:rFonts w:hint="eastAsia" w:ascii="方正仿宋_GBK" w:hAnsi="方正仿宋_GBK" w:eastAsia="方正仿宋_GBK" w:cs="方正仿宋_GBK"/>
          <w:color w:val="000000"/>
          <w:sz w:val="28"/>
          <w:szCs w:val="28"/>
          <w:highlight w:val="none"/>
          <w:lang w:eastAsia="zh-CN"/>
        </w:rPr>
        <w:t xml:space="preserve">评标委员会</w:t>
      </w:r>
      <w:r>
        <w:rPr>
          <w:rFonts w:hint="eastAsia" w:ascii="方正仿宋_GBK" w:hAnsi="方正仿宋_GBK" w:eastAsia="方正仿宋_GBK" w:cs="方正仿宋_GBK"/>
          <w:color w:val="000000"/>
          <w:sz w:val="28"/>
          <w:szCs w:val="28"/>
          <w:highlight w:val="none"/>
        </w:rPr>
        <w:t xml:space="preserve">发现的。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27.4.4与采购人或者其他供应商恶意串通的。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27.4.5采取不正当手段诋毁、排挤其他供应商的。</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 </w:t>
      </w:r>
      <w:r>
        <w:rPr>
          <w:rFonts w:hint="eastAsia" w:ascii="方正仿宋_GBK" w:hAnsi="方正仿宋_GBK" w:eastAsia="方正仿宋_GBK" w:cs="方正仿宋_GBK"/>
          <w:color w:val="000000"/>
          <w:sz w:val="28"/>
          <w:szCs w:val="28"/>
          <w:highlight w:val="none"/>
        </w:rPr>
        <w:t xml:space="preserve">有下列情形之一的，视为投标人串通投标，投标无效：</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27.5.1不同投标人的投标文件由同一单位或者个人编制。</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27.5.2不同投标人委托同一单位或者个人办理投标事宜。</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27.5.4不同投标人的投标文件异常一致或者投标报价呈规律性差异。</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质疑处理</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28.2.2对采购过程提出质疑的，为各采购程序环节结束之日；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rPr>
          <w:rFonts w:hint="eastAsia" w:ascii="方正仿宋_GBK" w:hAnsi="方正仿宋_GBK" w:eastAsia="方正仿宋_GBK" w:cs="方正仿宋_GBK"/>
          <w:b w:val="0"/>
          <w:bCs/>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 以下情形的质疑不予受理</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28.5.1 内容不符合《政府采购质疑和投诉办法》第十二条规定的质疑。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28.5.2 超出政府采购法定期限的质疑。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28.5.3 以传真、电子邮件等方式递交的非原件形式的质疑。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中标通知书</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highlight w:val="none"/>
        </w:rPr>
      </w:r>
      <w:r/>
    </w:p>
    <w:p>
      <w:pPr>
        <w:pStyle w:val="95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七、授予合同</w:t>
      </w:r>
      <w:r>
        <w:rPr>
          <w:rFonts w:hint="eastAsia" w:ascii="方正黑体_GBK" w:hAnsi="方正黑体_GBK" w:eastAsia="方正黑体_GBK" w:cs="方正黑体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签订合同</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货物（包含与货物相关的服务）的追加</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政府采购履约资金扶持政策</w:t>
      </w:r>
      <w:r>
        <w:rPr>
          <w:rFonts w:hint="eastAsia" w:ascii="方正仿宋_GBK" w:hAnsi="方正仿宋_GBK" w:eastAsia="方正仿宋_GBK" w:cs="方正仿宋_GBK"/>
          <w:color w:val="000000"/>
          <w:sz w:val="28"/>
          <w:szCs w:val="28"/>
          <w:highlight w:val="none"/>
        </w:rPr>
      </w:r>
      <w:r/>
    </w:p>
    <w:p>
      <w:pPr>
        <w:pStyle w:val="953"/>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highlight w:val="none"/>
        </w:rPr>
      </w:r>
      <w:r/>
    </w:p>
    <w:p>
      <w:pPr>
        <w:pStyle w:val="953"/>
        <w:ind w:firstLine="420"/>
        <w:spacing w:line="400" w:lineRule="exact"/>
        <w:rPr>
          <w:rFonts w:hint="eastAsia"/>
          <w:color w:val="000000"/>
          <w:szCs w:val="21"/>
          <w:highlight w:val="none"/>
        </w:rPr>
      </w:pPr>
      <w:r/>
      <w:bookmarkEnd w:id="1"/>
      <w:r/>
      <w:bookmarkEnd w:id="2"/>
      <w:r/>
      <w:bookmarkEnd w:id="3"/>
      <w:r/>
      <w:bookmarkEnd w:id="4"/>
      <w:r/>
      <w:bookmarkEnd w:id="5"/>
      <w:r/>
      <w:bookmarkEnd w:id="44"/>
      <w:r/>
      <w:bookmarkStart w:id="45" w:name="_Toc479757207"/>
      <w:r/>
      <w:bookmarkStart w:id="46" w:name="_Toc20823314"/>
      <w:r/>
      <w:bookmarkStart w:id="47" w:name="_Toc120614221"/>
      <w:r/>
      <w:bookmarkStart w:id="48" w:name="_Toc16938558"/>
      <w:r/>
      <w:bookmarkStart w:id="49" w:name="_Toc513029242"/>
      <w:r>
        <w:rPr>
          <w:rFonts w:hint="eastAsia"/>
          <w:color w:val="000000"/>
          <w:szCs w:val="21"/>
          <w:highlight w:val="none"/>
        </w:rPr>
      </w:r>
      <w:r/>
    </w:p>
    <w:p>
      <w:pPr>
        <w:pStyle w:val="953"/>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53"/>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53"/>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53"/>
        <w:keepNext/>
        <w:spacing w:line="66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第三章  合同</w:t>
      </w:r>
      <w:bookmarkEnd w:id="45"/>
      <w:r/>
      <w:bookmarkEnd w:id="46"/>
      <w:r/>
      <w:bookmarkEnd w:id="47"/>
      <w:r/>
      <w:bookmarkEnd w:id="48"/>
      <w:r/>
      <w:bookmarkEnd w:id="49"/>
      <w:r>
        <w:rPr>
          <w:rFonts w:hint="eastAsia" w:ascii="方正黑体_GBK" w:hAnsi="方正黑体_GBK" w:eastAsia="方正黑体_GBK" w:cs="方正黑体_GBK"/>
          <w:bCs/>
          <w:color w:val="000000"/>
          <w:sz w:val="28"/>
          <w:szCs w:val="28"/>
          <w:highlight w:val="none"/>
        </w:rPr>
        <w:t xml:space="preserve">文本</w:t>
      </w:r>
      <w:r>
        <w:rPr>
          <w:rFonts w:hint="eastAsia" w:ascii="方正黑体_GBK" w:hAnsi="方正黑体_GBK" w:eastAsia="方正黑体_GBK" w:cs="方正黑体_GBK"/>
          <w:bCs/>
          <w:color w:val="000000"/>
          <w:sz w:val="28"/>
          <w:szCs w:val="28"/>
          <w:highlight w:val="none"/>
        </w:rPr>
      </w:r>
      <w:r/>
    </w:p>
    <w:p>
      <w:pPr>
        <w:pStyle w:val="953"/>
        <w:spacing w:line="400" w:lineRule="exact"/>
        <w:rPr>
          <w:rFonts w:ascii="宋体" w:hAnsi="宋体"/>
          <w:bCs/>
          <w:color w:val="000000"/>
          <w:sz w:val="28"/>
          <w:szCs w:val="28"/>
          <w:highlight w:val="none"/>
        </w:rPr>
      </w:pPr>
      <w:r/>
      <w:bookmarkStart w:id="50" w:name="_Toc513029243"/>
      <w:r/>
      <w:bookmarkStart w:id="51" w:name="_Toc20823315"/>
      <w:r/>
      <w:bookmarkStart w:id="52" w:name="_Toc3995"/>
      <w:r/>
      <w:bookmarkStart w:id="53" w:name="_Toc16938559"/>
      <w:r/>
      <w:bookmarkStart w:id="54" w:name="_Hlt16619350"/>
      <w:r/>
      <w:bookmarkStart w:id="55" w:name="_Toc20823346"/>
      <w:r/>
      <w:bookmarkStart w:id="56" w:name="_Toc120614244"/>
      <w:r/>
      <w:bookmarkStart w:id="57" w:name="_Toc16938590"/>
      <w:r/>
      <w:bookmarkStart w:id="58" w:name="_Toc462564139"/>
      <w:r/>
      <w:bookmarkStart w:id="59" w:name="_Toc479757211"/>
      <w:r>
        <w:rPr>
          <w:rFonts w:ascii="宋体" w:hAnsi="宋体"/>
          <w:bCs/>
          <w:color w:val="000000"/>
          <w:sz w:val="28"/>
          <w:szCs w:val="28"/>
          <w:highlight w:val="none"/>
        </w:rPr>
      </w:r>
      <w:r/>
    </w:p>
    <w:p>
      <w:pPr>
        <w:pStyle w:val="953"/>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84"/>
        <w:jc w:val="center"/>
        <w:rPr>
          <w:rFonts w:ascii="宋体" w:hAnsi="宋体" w:eastAsia="宋体" w:cs="宋体"/>
          <w:b/>
          <w:bCs/>
          <w:color w:val="000000"/>
          <w:spacing w:val="-20"/>
          <w:highlight w:val="none"/>
        </w:rPr>
      </w:pPr>
      <w:r/>
      <w:bookmarkEnd w:id="50"/>
      <w:r/>
      <w:bookmarkEnd w:id="51"/>
      <w:r/>
      <w:bookmarkEnd w:id="52"/>
      <w:r/>
      <w:bookmarkEnd w:id="53"/>
      <w:r>
        <w:rPr>
          <w:rFonts w:ascii="宋体" w:hAnsi="宋体" w:eastAsia="宋体" w:cs="宋体"/>
          <w:b/>
          <w:bCs/>
          <w:color w:val="000000"/>
          <w:spacing w:val="-20"/>
          <w:highlight w:val="none"/>
        </w:rPr>
      </w:r>
      <w:r/>
    </w:p>
    <w:p>
      <w:pPr>
        <w:pStyle w:val="984"/>
        <w:jc w:val="center"/>
        <w:rPr>
          <w:rFonts w:ascii="宋体" w:hAnsi="宋体" w:eastAsia="宋体" w:cs="宋体"/>
          <w:color w:val="000000"/>
          <w:spacing w:val="-20"/>
          <w:highlight w:val="none"/>
        </w:rPr>
      </w:pPr>
      <w:r>
        <w:rPr>
          <w:rFonts w:ascii="宋体" w:hAnsi="宋体" w:eastAsia="宋体" w:cs="宋体"/>
          <w:color w:val="000000"/>
          <w:spacing w:val="-20"/>
          <w:highlight w:val="none"/>
        </w:rPr>
      </w:r>
      <w:r/>
    </w:p>
    <w:p>
      <w:pPr>
        <w:pStyle w:val="984"/>
        <w:jc w:val="center"/>
        <w:spacing w:line="66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财政部 政府采购货物买卖合同（试行）</w:t>
      </w:r>
      <w:r>
        <w:rPr>
          <w:rFonts w:hint="eastAsia" w:ascii="方正黑体_GBK" w:hAnsi="方正黑体_GBK" w:eastAsia="方正黑体_GBK" w:cs="方正黑体_GBK"/>
          <w:color w:val="000000"/>
          <w:spacing w:val="-20"/>
          <w:highlight w:val="none"/>
        </w:rPr>
      </w:r>
      <w:r/>
    </w:p>
    <w:p>
      <w:pPr>
        <w:pStyle w:val="984"/>
        <w:jc w:val="center"/>
        <w:spacing w:line="66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范    本</w:t>
      </w:r>
      <w:r>
        <w:rPr>
          <w:rFonts w:hint="eastAsia" w:ascii="方正黑体_GBK" w:hAnsi="方正黑体_GBK" w:eastAsia="方正黑体_GBK" w:cs="方正黑体_GBK"/>
          <w:color w:val="000000"/>
          <w:spacing w:val="-20"/>
          <w:highlight w:val="none"/>
        </w:rPr>
      </w:r>
      <w:r/>
    </w:p>
    <w:p>
      <w:pPr>
        <w:pStyle w:val="953"/>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pStyle w:val="953"/>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pStyle w:val="953"/>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pStyle w:val="953"/>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w:t>
      </w:r>
      <w:r>
        <w:rPr>
          <w:rFonts w:hint="eastAsia" w:ascii="方正黑体_GBK" w:hAnsi="方正黑体_GBK" w:eastAsia="方正黑体_GBK" w:cs="方正黑体_GBK"/>
          <w:color w:val="000000"/>
          <w:sz w:val="28"/>
          <w:szCs w:val="28"/>
          <w:highlight w:val="none"/>
          <w:u w:val="single"/>
        </w:rPr>
        <w:t xml:space="preserve">                             </w:t>
      </w:r>
      <w:r>
        <w:rPr>
          <w:rFonts w:hint="eastAsia" w:ascii="方正黑体_GBK" w:hAnsi="方正黑体_GBK" w:eastAsia="方正黑体_GBK" w:cs="方正黑体_GBK"/>
          <w:color w:val="000000"/>
          <w:sz w:val="28"/>
          <w:szCs w:val="28"/>
          <w:highlight w:val="none"/>
        </w:rPr>
      </w:r>
      <w:r/>
    </w:p>
    <w:p>
      <w:pPr>
        <w:pStyle w:val="953"/>
        <w:ind w:left="420"/>
        <w:spacing w:line="660" w:lineRule="exact"/>
        <w:rPr>
          <w:rFonts w:hint="eastAsia" w:ascii="方正黑体_GBK" w:hAnsi="方正黑体_GBK" w:eastAsia="方正黑体_GBK" w:cs="方正黑体_GBK"/>
          <w:color w:val="000000"/>
          <w:sz w:val="28"/>
          <w:szCs w:val="28"/>
          <w:highlight w:val="none"/>
          <w:u w:val="single"/>
        </w:rPr>
      </w:pPr>
      <w:r>
        <w:rPr>
          <w:rFonts w:hint="eastAsia" w:ascii="方正黑体_GBK" w:hAnsi="方正黑体_GBK" w:eastAsia="方正黑体_GBK" w:cs="方正黑体_GBK"/>
          <w:color w:val="000000"/>
          <w:sz w:val="28"/>
          <w:szCs w:val="28"/>
          <w:highlight w:val="none"/>
        </w:rPr>
        <w:t xml:space="preserve">合同编号：</w:t>
      </w:r>
      <w:r>
        <w:rPr>
          <w:rFonts w:hint="eastAsia" w:ascii="方正黑体_GBK" w:hAnsi="方正黑体_GBK" w:eastAsia="方正黑体_GBK" w:cs="方正黑体_GBK"/>
          <w:color w:val="000000"/>
          <w:sz w:val="28"/>
          <w:szCs w:val="28"/>
          <w:highlight w:val="none"/>
          <w:u w:val="single"/>
        </w:rPr>
        <w:t xml:space="preserve">                             </w:t>
      </w:r>
      <w:r>
        <w:rPr>
          <w:rFonts w:hint="eastAsia" w:ascii="方正黑体_GBK" w:hAnsi="方正黑体_GBK" w:eastAsia="方正黑体_GBK" w:cs="方正黑体_GBK"/>
          <w:color w:val="000000"/>
          <w:sz w:val="28"/>
          <w:szCs w:val="28"/>
          <w:highlight w:val="none"/>
          <w:u w:val="single"/>
        </w:rPr>
      </w:r>
      <w:r/>
    </w:p>
    <w:p>
      <w:pPr>
        <w:pStyle w:val="953"/>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甲    方：</w:t>
      </w:r>
      <w:r>
        <w:rPr>
          <w:rFonts w:hint="eastAsia" w:ascii="方正黑体_GBK" w:hAnsi="方正黑体_GBK" w:eastAsia="方正黑体_GBK" w:cs="方正黑体_GBK"/>
          <w:color w:val="000000"/>
          <w:sz w:val="28"/>
          <w:szCs w:val="28"/>
          <w:highlight w:val="none"/>
          <w:u w:val="single"/>
        </w:rPr>
        <w:t xml:space="preserve">                             </w:t>
      </w:r>
      <w:r>
        <w:rPr>
          <w:rFonts w:hint="eastAsia" w:ascii="方正黑体_GBK" w:hAnsi="方正黑体_GBK" w:eastAsia="方正黑体_GBK" w:cs="方正黑体_GBK"/>
          <w:color w:val="000000"/>
          <w:sz w:val="28"/>
          <w:szCs w:val="28"/>
          <w:highlight w:val="none"/>
        </w:rPr>
      </w:r>
      <w:r/>
    </w:p>
    <w:p>
      <w:pPr>
        <w:pStyle w:val="953"/>
        <w:ind w:left="420"/>
        <w:spacing w:line="660" w:lineRule="exact"/>
        <w:rPr>
          <w:rFonts w:hint="eastAsia" w:ascii="方正黑体_GBK" w:hAnsi="方正黑体_GBK" w:eastAsia="方正黑体_GBK" w:cs="方正黑体_GBK"/>
          <w:color w:val="000000"/>
          <w:sz w:val="28"/>
          <w:szCs w:val="28"/>
          <w:highlight w:val="none"/>
          <w:u w:val="single"/>
        </w:rPr>
      </w:pPr>
      <w:r>
        <w:rPr>
          <w:rFonts w:hint="eastAsia" w:ascii="方正黑体_GBK" w:hAnsi="方正黑体_GBK" w:eastAsia="方正黑体_GBK" w:cs="方正黑体_GBK"/>
          <w:color w:val="000000"/>
          <w:sz w:val="28"/>
          <w:szCs w:val="28"/>
          <w:highlight w:val="none"/>
        </w:rPr>
        <w:t xml:space="preserve">乙    方：</w:t>
      </w:r>
      <w:r>
        <w:rPr>
          <w:rFonts w:hint="eastAsia" w:ascii="方正黑体_GBK" w:hAnsi="方正黑体_GBK" w:eastAsia="方正黑体_GBK" w:cs="方正黑体_GBK"/>
          <w:color w:val="000000"/>
          <w:sz w:val="28"/>
          <w:szCs w:val="28"/>
          <w:highlight w:val="none"/>
          <w:u w:val="single"/>
        </w:rPr>
        <w:t xml:space="preserve">                             </w:t>
      </w:r>
      <w:r>
        <w:rPr>
          <w:rFonts w:hint="eastAsia" w:ascii="方正黑体_GBK" w:hAnsi="方正黑体_GBK" w:eastAsia="方正黑体_GBK" w:cs="方正黑体_GBK"/>
          <w:color w:val="000000"/>
          <w:sz w:val="28"/>
          <w:szCs w:val="28"/>
          <w:highlight w:val="none"/>
          <w:u w:val="single"/>
        </w:rPr>
      </w:r>
      <w:r/>
    </w:p>
    <w:p>
      <w:pPr>
        <w:pStyle w:val="953"/>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签订时间：</w:t>
      </w:r>
      <w:r>
        <w:rPr>
          <w:rFonts w:hint="eastAsia" w:ascii="方正黑体_GBK" w:hAnsi="方正黑体_GBK" w:eastAsia="方正黑体_GBK" w:cs="方正黑体_GBK"/>
          <w:color w:val="000000"/>
          <w:sz w:val="28"/>
          <w:szCs w:val="28"/>
          <w:highlight w:val="none"/>
          <w:u w:val="single"/>
        </w:rPr>
        <w:t xml:space="preserve">                             </w:t>
      </w:r>
      <w:r>
        <w:rPr>
          <w:rFonts w:hint="eastAsia" w:ascii="方正黑体_GBK" w:hAnsi="方正黑体_GBK" w:eastAsia="方正黑体_GBK" w:cs="方正黑体_GBK"/>
          <w:color w:val="000000"/>
          <w:sz w:val="28"/>
          <w:szCs w:val="28"/>
          <w:highlight w:val="none"/>
        </w:rPr>
      </w:r>
      <w:r/>
    </w:p>
    <w:p>
      <w:pPr>
        <w:pStyle w:val="953"/>
        <w:rPr>
          <w:color w:val="000000"/>
          <w:sz w:val="28"/>
          <w:szCs w:val="28"/>
          <w:highlight w:val="none"/>
        </w:rPr>
      </w:pPr>
      <w:r>
        <w:rPr>
          <w:color w:val="000000"/>
          <w:sz w:val="28"/>
          <w:szCs w:val="28"/>
          <w:highlight w:val="none"/>
        </w:rPr>
      </w:r>
      <w:r/>
    </w:p>
    <w:p>
      <w:pPr>
        <w:pStyle w:val="953"/>
        <w:rPr>
          <w:rFonts w:eastAsia="黑体"/>
          <w:color w:val="000000"/>
          <w:sz w:val="28"/>
          <w:szCs w:val="28"/>
          <w:highlight w:val="none"/>
        </w:rPr>
      </w:pPr>
      <w:r>
        <w:rPr>
          <w:rFonts w:eastAsia="黑体"/>
          <w:color w:val="000000"/>
          <w:sz w:val="28"/>
          <w:szCs w:val="28"/>
          <w:highlight w:val="none"/>
        </w:rPr>
      </w:r>
      <w:r/>
    </w:p>
    <w:p>
      <w:pPr>
        <w:pStyle w:val="953"/>
        <w:rPr>
          <w:rFonts w:eastAsia="黑体"/>
          <w:color w:val="000000"/>
          <w:sz w:val="28"/>
          <w:szCs w:val="28"/>
          <w:highlight w:val="none"/>
        </w:rPr>
      </w:pPr>
      <w:r>
        <w:rPr>
          <w:rFonts w:eastAsia="黑体"/>
          <w:color w:val="000000"/>
          <w:sz w:val="28"/>
          <w:szCs w:val="28"/>
          <w:highlight w:val="none"/>
        </w:rPr>
      </w:r>
      <w:r/>
    </w:p>
    <w:p>
      <w:pPr>
        <w:pStyle w:val="953"/>
        <w:rPr>
          <w:rFonts w:eastAsia="黑体"/>
          <w:color w:val="000000"/>
          <w:sz w:val="28"/>
          <w:szCs w:val="28"/>
          <w:highlight w:val="none"/>
        </w:rPr>
      </w:pPr>
      <w:r>
        <w:rPr>
          <w:rFonts w:eastAsia="黑体"/>
          <w:color w:val="000000"/>
          <w:sz w:val="28"/>
          <w:szCs w:val="28"/>
          <w:highlight w:val="none"/>
        </w:rPr>
      </w:r>
      <w:r/>
    </w:p>
    <w:p>
      <w:pPr>
        <w:pStyle w:val="953"/>
        <w:rPr>
          <w:rFonts w:eastAsia="黑体"/>
          <w:color w:val="000000"/>
          <w:sz w:val="28"/>
          <w:szCs w:val="28"/>
          <w:highlight w:val="none"/>
        </w:rPr>
      </w:pPr>
      <w:r>
        <w:rPr>
          <w:rFonts w:eastAsia="黑体"/>
          <w:color w:val="000000"/>
          <w:sz w:val="28"/>
          <w:szCs w:val="28"/>
          <w:highlight w:val="none"/>
        </w:rPr>
      </w:r>
      <w:r/>
    </w:p>
    <w:p>
      <w:pPr>
        <w:pStyle w:val="953"/>
        <w:rPr>
          <w:rFonts w:eastAsia="黑体"/>
          <w:color w:val="000000"/>
          <w:sz w:val="28"/>
          <w:szCs w:val="28"/>
          <w:highlight w:val="none"/>
        </w:rPr>
      </w:pPr>
      <w:r>
        <w:rPr>
          <w:rFonts w:eastAsia="黑体"/>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使 用 说 明</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ascii="仿宋_GB2312" w:hAnsi="仿宋_GB2312" w:eastAsia="仿宋_GB2312" w:cs="仿宋_GB2312"/>
          <w:color w:val="000000"/>
          <w:sz w:val="28"/>
          <w:szCs w:val="28"/>
          <w:highlight w:val="none"/>
        </w:rPr>
      </w:pPr>
      <w:r>
        <w:rPr>
          <w:rFonts w:ascii="仿宋_GB2312" w:hAnsi="仿宋_GB2312" w:eastAsia="仿宋_GB2312" w:cs="仿宋_GB2312"/>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highlight w:val="none"/>
        </w:rPr>
      </w:r>
      <w:r/>
    </w:p>
    <w:p>
      <w:pPr>
        <w:pStyle w:val="953"/>
        <w:ind w:firstLine="560"/>
        <w:rPr>
          <w:rFonts w:eastAsia="黑体"/>
          <w:color w:val="000000"/>
          <w:sz w:val="28"/>
          <w:szCs w:val="28"/>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28"/>
          <w:szCs w:val="28"/>
          <w:highlight w:val="none"/>
        </w:rPr>
      </w:r>
      <w:r/>
    </w:p>
    <w:p>
      <w:pPr>
        <w:pStyle w:val="955"/>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rPr>
          <w:rFonts w:ascii="黑体" w:hAnsi="华文中宋" w:eastAsia="黑体"/>
          <w:b w:val="0"/>
          <w:bCs w:val="0"/>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（采购人、受采购人委托签订合同的单位或采购文件约定的合同甲方）</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乙方1（全称）: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（供应商）</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乙方2（全称）: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（联合体成员供应商或其他合同主体）（如有）</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乙方3（全称）: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（联合体成员供应商或其他合同主体）（如有）</w:t>
      </w:r>
      <w:r>
        <w:rPr>
          <w:rFonts w:hint="eastAsia" w:ascii="方正仿宋_GBK" w:hAnsi="方正仿宋_GBK" w:eastAsia="方正仿宋_GBK" w:cs="方正仿宋_GBK"/>
          <w:color w:val="000000"/>
          <w:sz w:val="28"/>
          <w:szCs w:val="28"/>
          <w:highlight w:val="none"/>
        </w:rPr>
      </w:r>
      <w:r/>
    </w:p>
    <w:p>
      <w:pPr>
        <w:pStyle w:val="986"/>
        <w:ind w:left="0" w:firstLine="560"/>
        <w:spacing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1.项目信息</w:t>
      </w:r>
      <w:r>
        <w:rPr>
          <w:rFonts w:hint="eastAsia" w:ascii="方正仿宋_GBK" w:hAnsi="方正仿宋_GBK" w:eastAsia="方正仿宋_GBK" w:cs="方正仿宋_GBK"/>
          <w:b/>
          <w:color w:val="000000"/>
          <w:sz w:val="28"/>
          <w:szCs w:val="28"/>
          <w:highlight w:val="none"/>
        </w:rPr>
      </w:r>
      <w:r/>
    </w:p>
    <w:p>
      <w:pPr>
        <w:pStyle w:val="986"/>
        <w:numPr>
          <w:ilvl w:val="0"/>
          <w:numId w:val="4"/>
        </w:numPr>
        <w:ind w:left="0" w:firstLine="560"/>
        <w:spacing w:after="0"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采购项目名称：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86"/>
        <w:ind w:left="0" w:firstLine="560"/>
        <w:spacing w:after="0" w:line="400" w:lineRule="exact"/>
        <w:tabs>
          <w:tab w:val="left" w:pos="999"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采购项目编号：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86"/>
        <w:ind w:left="0" w:firstLine="560"/>
        <w:spacing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（2）采购计划编号：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（3）项目内容：</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采购标的及数量（台/套</w:t>
      </w:r>
      <w:r>
        <w:rPr>
          <w:rFonts w:hint="eastAsia" w:ascii="方正仿宋_GBK" w:hAnsi="方正仿宋_GBK" w:eastAsia="方正仿宋_GBK" w:cs="方正仿宋_GBK"/>
          <w:color w:val="000000"/>
          <w:sz w:val="28"/>
          <w:szCs w:val="28"/>
          <w:highlight w:val="none"/>
          <w:lang w:val="en"/>
        </w:rPr>
        <w:t xml:space="preserve">/个/架/组等</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lang w:val="en"/>
        </w:rPr>
        <w:t xml:space="preserve"> </w:t>
      </w:r>
      <w:r>
        <w:rPr>
          <w:rFonts w:hint="eastAsia" w:ascii="方正仿宋_GBK" w:hAnsi="方正仿宋_GBK" w:eastAsia="方正仿宋_GBK" w:cs="方正仿宋_GBK"/>
          <w:color w:val="000000"/>
          <w:sz w:val="28"/>
          <w:szCs w:val="28"/>
          <w:highlight w:val="none"/>
        </w:rPr>
        <w:t xml:space="preserve">规格型号：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采购标的的技术要求、商务要求具体见附件。</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①涉及信息类产品，请填写该产品关键部件的品牌、型号：</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②涉及车辆采购，请填写是否属于新能源汽车：</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是，《政府采购品目分类目录》底级品目名称：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数量：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金额：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4</w:t>
      </w:r>
      <w:r>
        <w:rPr>
          <w:rFonts w:hint="eastAsia" w:ascii="方正仿宋_GBK" w:hAnsi="方正仿宋_GBK" w:eastAsia="方正仿宋_GBK" w:cs="方正仿宋_GBK"/>
          <w:color w:val="000000"/>
          <w:sz w:val="28"/>
          <w:szCs w:val="28"/>
          <w:highlight w:val="none"/>
        </w:rPr>
        <w:t xml:space="preserve">）政府采购组织形式：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政府集中采购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部门集中采购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分散采购</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5</w:t>
      </w:r>
      <w:r>
        <w:rPr>
          <w:rFonts w:hint="eastAsia" w:ascii="方正仿宋_GBK" w:hAnsi="方正仿宋_GBK" w:eastAsia="方正仿宋_GBK" w:cs="方正仿宋_GBK"/>
          <w:color w:val="000000"/>
          <w:sz w:val="28"/>
          <w:szCs w:val="28"/>
          <w:highlight w:val="none"/>
        </w:rPr>
        <w:t xml:space="preserve">）政府采购方式：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公开招标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邀请招标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竞争性谈判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竞争性磋商</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询价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单一来源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框架协议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其他：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（注：在框架协议采购的第二阶段，可选择使用该合同文本）</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6</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中标（成交）采购标的制造商是否为中小企业：</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本合同是否为专门面向中小企业的采购合同（中小企业预留合同）：</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若本项目不专门面向中小企业采购，是否给予小微企业评审优惠：</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中标（成交）采购标的制造商是否为残疾人福利性单位：</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中标（成交）采购标的制造商是否为监狱企业：</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7</w:t>
      </w:r>
      <w:r>
        <w:rPr>
          <w:rFonts w:hint="eastAsia" w:ascii="方正仿宋_GBK" w:hAnsi="方正仿宋_GBK" w:eastAsia="方正仿宋_GBK" w:cs="方正仿宋_GBK"/>
          <w:color w:val="000000"/>
          <w:sz w:val="28"/>
          <w:szCs w:val="28"/>
          <w:highlight w:val="none"/>
        </w:rPr>
        <w:t xml:space="preserve">）合同是否分包：</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分包主要内容：</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分包供应商/制造商名称（如供应商和制造商不同，请分别填写）：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分包供应商/制造商类型（如果供应商和制造商不同，只填写制造商类型）：</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大型企业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中型企业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小微型企业  </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残疾人福利性单位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监狱企业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其他</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8</w:t>
      </w:r>
      <w:r>
        <w:rPr>
          <w:rFonts w:hint="eastAsia" w:ascii="方正仿宋_GBK" w:hAnsi="方正仿宋_GBK" w:eastAsia="方正仿宋_GBK" w:cs="方正仿宋_GBK"/>
          <w:color w:val="000000"/>
          <w:sz w:val="28"/>
          <w:szCs w:val="28"/>
          <w:highlight w:val="none"/>
        </w:rPr>
        <w:t xml:space="preserve">）中标（成交）供应商是否为外商投资企业：</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rPr>
          <w:rFonts w:hint="eastAsia" w:ascii="方正仿宋_GBK" w:hAnsi="方正仿宋_GBK" w:eastAsia="方正仿宋_GBK" w:cs="方正仿宋_GBK"/>
          <w:iCs/>
          <w:color w:val="000000"/>
          <w:sz w:val="28"/>
          <w:szCs w:val="28"/>
          <w:highlight w:val="none"/>
        </w:rPr>
      </w:r>
      <w:r/>
    </w:p>
    <w:p>
      <w:pPr>
        <w:pStyle w:val="1066"/>
        <w:ind w:firstLine="560"/>
        <w:tabs>
          <w:tab w:val="left" w:pos="134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外商投资企业类型：</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全部由外国投资者投资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部分由外国投资者投资</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9</w:t>
      </w:r>
      <w:r>
        <w:rPr>
          <w:rFonts w:hint="eastAsia" w:ascii="方正仿宋_GBK" w:hAnsi="方正仿宋_GBK" w:eastAsia="方正仿宋_GBK" w:cs="方正仿宋_GBK"/>
          <w:color w:val="000000"/>
          <w:sz w:val="28"/>
          <w:szCs w:val="28"/>
          <w:highlight w:val="none"/>
        </w:rPr>
        <w:t xml:space="preserve">）是否涉及进口产品：</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是，《政府采购品目分类目录》底级品目名称：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金额：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国别：</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规格型号：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（1</w:t>
      </w:r>
      <w:r>
        <w:rPr>
          <w:rFonts w:hint="eastAsia" w:ascii="方正仿宋_GBK" w:hAnsi="方正仿宋_GBK" w:eastAsia="方正仿宋_GBK" w:cs="方正仿宋_GBK"/>
          <w:color w:val="000000"/>
          <w:sz w:val="28"/>
          <w:szCs w:val="28"/>
          <w:highlight w:val="none"/>
          <w:lang w:val="en"/>
        </w:rPr>
        <w:t xml:space="preserve">0</w:t>
      </w:r>
      <w:r>
        <w:rPr>
          <w:rFonts w:hint="eastAsia" w:ascii="方正仿宋_GBK" w:hAnsi="方正仿宋_GBK" w:eastAsia="方正仿宋_GBK" w:cs="方正仿宋_GBK"/>
          <w:color w:val="000000"/>
          <w:sz w:val="28"/>
          <w:szCs w:val="28"/>
          <w:highlight w:val="none"/>
        </w:rPr>
        <w:t xml:space="preserve">）是否涉及节能产品：</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是，《节能产品政府采购品目清单》的底级品目名称：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iCs/>
          <w:color w:val="000000"/>
          <w:sz w:val="28"/>
          <w:szCs w:val="28"/>
          <w:highlight w:val="none"/>
        </w:rPr>
        <w:t xml:space="preserve">     </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是否涉及环境标志产品：</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是，《环境标志产品政府采购品目清单》的底级品目名称：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iCs/>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rPr>
          <w:rFonts w:hint="eastAsia" w:ascii="方正仿宋_GBK" w:hAnsi="方正仿宋_GBK" w:eastAsia="方正仿宋_GBK" w:cs="方正仿宋_GBK"/>
          <w:iCs/>
          <w:color w:val="000000"/>
          <w:sz w:val="28"/>
          <w:szCs w:val="28"/>
          <w:highlight w:val="none"/>
        </w:rPr>
      </w:r>
      <w:r/>
    </w:p>
    <w:p>
      <w:pPr>
        <w:pStyle w:val="953"/>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是否涉及绿色产品：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是，绿色产品政府采购相关政策确定的底级品目名称：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1066"/>
        <w:ind w:firstLine="560"/>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rPr>
          <w:rFonts w:hint="eastAsia" w:ascii="方正仿宋_GBK" w:hAnsi="方正仿宋_GBK" w:eastAsia="方正仿宋_GBK" w:cs="方正仿宋_GBK"/>
          <w:iCs/>
          <w:color w:val="000000"/>
          <w:sz w:val="28"/>
          <w:szCs w:val="28"/>
          <w:highlight w:val="none"/>
        </w:rPr>
      </w:r>
      <w:r/>
    </w:p>
    <w:p>
      <w:pPr>
        <w:pStyle w:val="1066"/>
        <w:ind w:firstLine="840"/>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（1</w:t>
      </w:r>
      <w:r>
        <w:rPr>
          <w:rFonts w:hint="eastAsia" w:ascii="方正仿宋_GBK" w:hAnsi="方正仿宋_GBK" w:eastAsia="方正仿宋_GBK" w:cs="方正仿宋_GBK"/>
          <w:color w:val="000000"/>
          <w:sz w:val="28"/>
          <w:szCs w:val="28"/>
          <w:highlight w:val="none"/>
          <w:lang w:val="en"/>
        </w:rPr>
        <w:t xml:space="preserve">1</w:t>
      </w:r>
      <w:r>
        <w:rPr>
          <w:rFonts w:hint="eastAsia" w:ascii="方正仿宋_GBK" w:hAnsi="方正仿宋_GBK" w:eastAsia="方正仿宋_GBK" w:cs="方正仿宋_GBK"/>
          <w:color w:val="000000"/>
          <w:sz w:val="28"/>
          <w:szCs w:val="28"/>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color w:val="000000"/>
          <w:sz w:val="28"/>
          <w:szCs w:val="28"/>
          <w:highlight w:val="none"/>
        </w:rPr>
      </w:r>
      <w:r/>
    </w:p>
    <w:p>
      <w:pPr>
        <w:pStyle w:val="953"/>
        <w:ind w:firstLine="84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不涉及</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2.合同金额</w:t>
      </w:r>
      <w:r>
        <w:rPr>
          <w:rFonts w:hint="eastAsia" w:ascii="方正仿宋_GBK" w:hAnsi="方正仿宋_GBK" w:eastAsia="方正仿宋_GBK" w:cs="方正仿宋_GBK"/>
          <w:b/>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（1）合同金额小写：</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大写：</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分包金额（如有）小写：</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大写：</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（注：固定单价合同应填写单价和最高限价）</w:t>
      </w:r>
      <w:r>
        <w:rPr>
          <w:rFonts w:hint="eastAsia" w:ascii="方正仿宋_GBK" w:hAnsi="方正仿宋_GBK" w:eastAsia="方正仿宋_GBK" w:cs="方正仿宋_GBK"/>
          <w:color w:val="000000"/>
          <w:sz w:val="28"/>
          <w:szCs w:val="28"/>
          <w:highlight w:val="none"/>
        </w:rPr>
      </w:r>
      <w:r/>
    </w:p>
    <w:p>
      <w:pPr>
        <w:pStyle w:val="953"/>
        <w:ind w:left="42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合同定价方式（采用组合定价方式的，可以勾选多项）：</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固定总价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固定单价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固定费率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成本补偿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绩效激励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其他     </w:t>
      </w:r>
      <w:r>
        <w:rPr>
          <w:rFonts w:hint="eastAsia"/>
          <w:color w:val="000000"/>
          <w:sz w:val="28"/>
          <w:szCs w:val="28"/>
          <w:highlight w:val="none"/>
        </w:rPr>
        <w:t xml:space="preserve">  </w:t>
      </w:r>
      <w:r>
        <w:rPr>
          <w:rFonts w:hint="eastAsia"/>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（3）付款方式（按项目实际勾选填写）：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rPr>
        <w:t xml:space="preserve">þ</w:t>
      </w:r>
      <w:r>
        <w:rPr>
          <w:rFonts w:hint="eastAsia" w:ascii="方正仿宋_GBK" w:hAnsi="方正仿宋_GBK" w:eastAsia="方正仿宋_GBK" w:cs="方正仿宋_GBK"/>
          <w:color w:val="000000"/>
          <w:sz w:val="28"/>
          <w:szCs w:val="28"/>
          <w:highlight w:val="none"/>
        </w:rPr>
        <w:t xml:space="preserve">全额付款：</w:t>
      </w:r>
      <w:r>
        <w:rPr>
          <w:rFonts w:hint="eastAsia" w:ascii="方正仿宋_GBK" w:hAnsi="方正仿宋_GBK" w:eastAsia="方正仿宋_GBK" w:cs="方正仿宋_GBK"/>
          <w:color w:val="000000"/>
          <w:sz w:val="28"/>
          <w:szCs w:val="28"/>
          <w:highlight w:val="none"/>
          <w:u w:val="single"/>
        </w:rPr>
        <w:t xml:space="preserve">  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分期付款：</w:t>
      </w:r>
      <w:r>
        <w:rPr>
          <w:rFonts w:hint="eastAsia" w:ascii="方正仿宋_GBK" w:hAnsi="方正仿宋_GBK" w:eastAsia="方正仿宋_GBK" w:cs="方正仿宋_GBK"/>
          <w:color w:val="000000"/>
          <w:sz w:val="28"/>
          <w:szCs w:val="28"/>
          <w:highlight w:val="none"/>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color w:val="000000"/>
          <w:sz w:val="28"/>
          <w:szCs w:val="28"/>
          <w:highlight w:val="none"/>
        </w:rPr>
        <w:t xml:space="preserve">，其中涉及预付款的：</w:t>
      </w:r>
      <w:r>
        <w:rPr>
          <w:rFonts w:hint="eastAsia" w:ascii="方正仿宋_GBK" w:hAnsi="方正仿宋_GBK" w:eastAsia="方正仿宋_GBK" w:cs="方正仿宋_GBK"/>
          <w:color w:val="000000"/>
          <w:sz w:val="28"/>
          <w:szCs w:val="28"/>
          <w:highlight w:val="none"/>
          <w:u w:val="single"/>
        </w:rPr>
        <w:t xml:space="preserve"> （应明确预付款的支付比例和支付条件）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u w:val="single"/>
        </w:rPr>
        <w:t xml:space="preserve">成本补偿： （应明确按照成本补偿方式的支付方式和支付条件）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u w:val="single"/>
        </w:rPr>
        <w:t xml:space="preserve">绩效激励： （应明确按照绩效激励方式的支付方式和支付条件）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
          <w:color w:val="000000"/>
          <w:sz w:val="28"/>
          <w:szCs w:val="28"/>
          <w:highlight w:val="none"/>
          <w:u w:val="single"/>
        </w:rPr>
      </w:pPr>
      <w:r>
        <w:rPr>
          <w:rFonts w:hint="eastAsia" w:ascii="方正仿宋_GBK" w:hAnsi="方正仿宋_GBK" w:eastAsia="方正仿宋_GBK" w:cs="方正仿宋_GBK"/>
          <w:b/>
          <w:color w:val="000000"/>
          <w:sz w:val="28"/>
          <w:szCs w:val="28"/>
          <w:highlight w:val="none"/>
        </w:rPr>
        <w:t xml:space="preserve">3.合同履行</w:t>
      </w:r>
      <w:r>
        <w:rPr>
          <w:rFonts w:hint="eastAsia" w:ascii="方正仿宋_GBK" w:hAnsi="方正仿宋_GBK" w:eastAsia="方正仿宋_GBK" w:cs="方正仿宋_GBK"/>
          <w:b/>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（1）起始日期：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日，完成日期：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（2）履约地点</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（3）履约担保：</w:t>
      </w:r>
      <w:r>
        <w:rPr>
          <w:rFonts w:hint="eastAsia" w:ascii="方正仿宋_GBK" w:hAnsi="方正仿宋_GBK" w:eastAsia="方正仿宋_GBK" w:cs="方正仿宋_GBK"/>
          <w:color w:val="000000"/>
          <w:sz w:val="28"/>
          <w:szCs w:val="28"/>
          <w:highlight w:val="none"/>
        </w:rPr>
        <w:t xml:space="preserve">是否收取履约保证金：</w:t>
      </w:r>
      <w:r>
        <w:rPr>
          <w:rFonts w:ascii="Wingdings" w:hAnsi="Wingdings" w:eastAsia="Wingdings" w:cs="Wingdings"/>
          <w:color w:val="000000"/>
          <w:sz w:val="28"/>
          <w:szCs w:val="28"/>
          <w:highlight w:val="none"/>
        </w:rPr>
        <w:t xml:space="preserve">þ</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收取履约保证金形式：</w:t>
      </w:r>
      <w:r>
        <w:rPr>
          <w:rFonts w:hint="eastAsia" w:ascii="方正仿宋_GBK" w:hAnsi="方正仿宋_GBK" w:eastAsia="方正仿宋_GBK" w:cs="方正仿宋_GBK"/>
          <w:bCs/>
          <w:color w:val="000000"/>
          <w:sz w:val="28"/>
          <w:szCs w:val="28"/>
          <w:highlight w:val="none"/>
          <w:u w:val="single"/>
        </w:rPr>
        <w:t xml:space="preserve">银行汇款、现金形式，乙方需将合同总金额的10％作为履约保证金通过银行转账提交至南京中医药大学指定账户，账户名称：南京中医药大学，账号：4301010109001027264，开户行：工商银行汉中门支行，备注：项目名称+履约保证金。</w:t>
      </w:r>
      <w:r>
        <w:rPr>
          <w:rFonts w:ascii="方正仿宋_GBK" w:hAnsi="方正仿宋_GBK" w:eastAsia="方正仿宋_GBK" w:cs="方正仿宋_GBK"/>
          <w:bCs/>
          <w:color w:val="000000"/>
          <w:sz w:val="28"/>
          <w:szCs w:val="28"/>
          <w:highlight w:val="none"/>
          <w:u w:val="single"/>
        </w:rPr>
        <w:t xml:space="preserve">支持和鼓励中标供应商自愿使用履约保函（保险）代替缴纳履约保证金</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收取履约保证金金额：</w:t>
      </w:r>
      <w:r>
        <w:rPr>
          <w:rFonts w:hint="eastAsia" w:ascii="方正仿宋_GBK" w:hAnsi="方正仿宋_GBK" w:eastAsia="方正仿宋_GBK" w:cs="方正仿宋_GBK"/>
          <w:bCs/>
          <w:color w:val="000000"/>
          <w:sz w:val="28"/>
          <w:szCs w:val="28"/>
          <w:highlight w:val="none"/>
          <w:u w:val="single"/>
        </w:rPr>
        <w:t xml:space="preserve">  合同金额的10%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履约担保期限：</w:t>
      </w:r>
      <w:r>
        <w:rPr>
          <w:rFonts w:hint="eastAsia" w:ascii="方正仿宋_GBK" w:hAnsi="方正仿宋_GBK" w:eastAsia="方正仿宋_GBK" w:cs="方正仿宋_GBK"/>
          <w:bCs/>
          <w:color w:val="000000"/>
          <w:sz w:val="28"/>
          <w:szCs w:val="28"/>
          <w:highlight w:val="none"/>
          <w:u w:val="single"/>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（4）分期履行要求：</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ascii="宋体" w:hAnsi="宋体" w:cs="宋体"/>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（5）风险处置措施和替代方案：</w:t>
      </w:r>
      <w:r>
        <w:rPr>
          <w:rFonts w:hint="eastAsia" w:ascii="方正仿宋_GBK" w:hAnsi="方正仿宋_GBK" w:eastAsia="方正仿宋_GBK" w:cs="方正仿宋_GBK"/>
          <w:color w:val="000000"/>
          <w:sz w:val="28"/>
          <w:szCs w:val="28"/>
          <w:highlight w:val="none"/>
          <w:u w:val="single"/>
        </w:rPr>
        <w:t xml:space="preserve">                                               </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4.合同验收</w:t>
      </w:r>
      <w:r>
        <w:rPr>
          <w:rFonts w:hint="eastAsia" w:ascii="方正仿宋_GBK" w:hAnsi="方正仿宋_GBK" w:eastAsia="方正仿宋_GBK" w:cs="方正仿宋_GBK"/>
          <w:b/>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（1）验收组织方式：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自行组织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委托第三方组织</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验收主体：</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是否邀请本项目的其他供应商参加验收：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是否邀请专家参加验收：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是否邀请服务对象参加验收：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是否邀请第三方检测机构参加验收：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是否进行抽查检测：</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是，抽查比例：</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是否存在破坏性检测：</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w:t>
      </w:r>
      <w:r>
        <w:rPr>
          <w:rFonts w:hint="eastAsia" w:ascii="方正仿宋_GBK" w:hAnsi="方正仿宋_GBK" w:eastAsia="方正仿宋_GBK" w:cs="方正仿宋_GBK"/>
          <w:bCs/>
          <w:color w:val="000000"/>
          <w:sz w:val="28"/>
          <w:szCs w:val="28"/>
          <w:highlight w:val="none"/>
          <w:u w:val="single"/>
        </w:rPr>
        <w:t xml:space="preserve">（应明确对被破坏的检测产品的处理方式）</w:t>
      </w:r>
      <w:r>
        <w:rPr>
          <w:rFonts w:hint="eastAsia" w:ascii="方正仿宋_GBK" w:hAnsi="方正仿宋_GBK" w:eastAsia="方正仿宋_GBK" w:cs="方正仿宋_GBK"/>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验收组织的其他事项：</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（2）履约验收时间：</w:t>
      </w:r>
      <w:r>
        <w:rPr>
          <w:rFonts w:hint="eastAsia" w:ascii="方正仿宋_GBK" w:hAnsi="方正仿宋_GBK" w:eastAsia="方正仿宋_GBK" w:cs="方正仿宋_GBK"/>
          <w:bCs/>
          <w:color w:val="000000"/>
          <w:sz w:val="28"/>
          <w:szCs w:val="28"/>
          <w:highlight w:val="none"/>
          <w:u w:val="single"/>
        </w:rPr>
        <w:t xml:space="preserve">（计划于何时验收/供应商提出验收申请之日起   日内组织验收） </w:t>
      </w:r>
      <w:r>
        <w:rPr>
          <w:rFonts w:hint="eastAsia" w:ascii="方正仿宋_GBK" w:hAnsi="方正仿宋_GBK" w:eastAsia="方正仿宋_GBK" w:cs="方正仿宋_GBK"/>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（3）履约验收方式：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一次性验收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分期/分项验收：</w:t>
      </w:r>
      <w:r>
        <w:rPr>
          <w:rFonts w:hint="eastAsia" w:ascii="方正仿宋_GBK" w:hAnsi="方正仿宋_GBK" w:eastAsia="方正仿宋_GBK" w:cs="方正仿宋_GBK"/>
          <w:bCs/>
          <w:color w:val="000000"/>
          <w:sz w:val="28"/>
          <w:szCs w:val="28"/>
          <w:highlight w:val="none"/>
          <w:u w:val="single"/>
        </w:rPr>
        <w:t xml:space="preserve"> （应明确分期</w:t>
      </w:r>
      <w:r>
        <w:rPr>
          <w:rFonts w:hint="eastAsia" w:ascii="方正仿宋_GBK" w:hAnsi="方正仿宋_GBK" w:eastAsia="方正仿宋_GBK" w:cs="方正仿宋_GBK"/>
          <w:bCs/>
          <w:color w:val="000000"/>
          <w:sz w:val="28"/>
          <w:szCs w:val="28"/>
          <w:highlight w:val="none"/>
          <w:u w:val="single"/>
          <w:lang w:val="en"/>
        </w:rPr>
        <w:t xml:space="preserve">/分项验收的工作安排</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（4）履约验收程序：</w:t>
      </w:r>
      <w:r>
        <w:rPr>
          <w:rFonts w:hint="eastAsia" w:ascii="方正仿宋_GBK" w:hAnsi="方正仿宋_GBK" w:eastAsia="方正仿宋_GBK" w:cs="方正仿宋_GBK"/>
          <w:bCs/>
          <w:color w:val="000000"/>
          <w:sz w:val="28"/>
          <w:szCs w:val="28"/>
          <w:highlight w:val="none"/>
          <w:u w:val="single"/>
        </w:rPr>
        <w:t xml:space="preserve"> 详见招标文件第四章项目需求内容进行验收 </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（5）履约验收的内容：</w:t>
      </w:r>
      <w:r>
        <w:rPr>
          <w:rFonts w:hint="eastAsia" w:ascii="方正仿宋_GBK" w:hAnsi="方正仿宋_GBK" w:eastAsia="方正仿宋_GBK" w:cs="方正仿宋_GBK"/>
          <w:bCs/>
          <w:color w:val="000000"/>
          <w:sz w:val="28"/>
          <w:szCs w:val="28"/>
          <w:highlight w:val="none"/>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（6）履约验收标准：</w:t>
      </w:r>
      <w:r>
        <w:rPr>
          <w:rFonts w:hint="eastAsia" w:ascii="方正仿宋_GBK" w:hAnsi="方正仿宋_GBK" w:eastAsia="方正仿宋_GBK" w:cs="方正仿宋_GBK"/>
          <w:bCs/>
          <w:color w:val="000000"/>
          <w:sz w:val="28"/>
          <w:szCs w:val="28"/>
          <w:highlight w:val="none"/>
          <w:u w:val="single"/>
        </w:rPr>
        <w:t xml:space="preserve"> （招投标文件技术标准）                </w:t>
      </w:r>
      <w:r>
        <w:rPr>
          <w:rFonts w:hint="eastAsia" w:ascii="方正仿宋_GBK" w:hAnsi="方正仿宋_GBK" w:eastAsia="方正仿宋_GBK" w:cs="方正仿宋_GBK"/>
          <w:bCs/>
          <w:color w:val="000000"/>
          <w:sz w:val="28"/>
          <w:szCs w:val="28"/>
          <w:highlight w:val="none"/>
          <w:u w:val="singl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（7）是否以采购活动中供应商提供的样品作为参考：</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（8）履约验收其他事项：</w:t>
      </w:r>
      <w:r>
        <w:rPr>
          <w:rFonts w:hint="eastAsia" w:ascii="方正仿宋_GBK" w:hAnsi="方正仿宋_GBK" w:eastAsia="方正仿宋_GBK" w:cs="方正仿宋_GBK"/>
          <w:bCs/>
          <w:color w:val="000000"/>
          <w:sz w:val="28"/>
          <w:szCs w:val="28"/>
          <w:highlight w:val="none"/>
          <w:u w:val="single"/>
        </w:rPr>
        <w:t xml:space="preserve">      （产权过户登记等）          </w:t>
      </w:r>
      <w:r>
        <w:rPr>
          <w:rFonts w:hint="eastAsia" w:ascii="方正仿宋_GBK" w:hAnsi="方正仿宋_GBK" w:eastAsia="方正仿宋_GBK" w:cs="方正仿宋_GBK"/>
          <w:bCs/>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5.组成合同的文件</w:t>
      </w:r>
      <w:r>
        <w:rPr>
          <w:rFonts w:hint="eastAsia" w:ascii="方正仿宋_GBK" w:hAnsi="方正仿宋_GBK" w:eastAsia="方正仿宋_GBK" w:cs="方正仿宋_GBK"/>
          <w:b/>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（1）政府采购合同协议书及其变更、补充协议</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（2）政府采购合同专用条款</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（3）政府采购合同通用条款</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（4）中标（成交）通知书</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（5）投标（响应）文件</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（6）采购文件</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（7）有关技术文件，图纸</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6.合同生效</w:t>
      </w:r>
      <w:r>
        <w:rPr>
          <w:rFonts w:hint="eastAsia" w:ascii="方正仿宋_GBK" w:hAnsi="方正仿宋_GBK" w:eastAsia="方正仿宋_GBK" w:cs="方正仿宋_GBK"/>
          <w:b/>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本合同自</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生效。</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7.合同份数</w:t>
      </w:r>
      <w:r>
        <w:rPr>
          <w:rFonts w:hint="eastAsia" w:ascii="方正仿宋_GBK" w:hAnsi="方正仿宋_GBK" w:eastAsia="方正仿宋_GBK" w:cs="方正仿宋_GBK"/>
          <w:b/>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本合同一式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份，甲方执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份，乙方执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份，均具有同等法律效力。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合同订立时间：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合同订立地点：</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附件：具体标的及其技术要求和商务要求、联合协议、分包意向协议等</w:t>
      </w:r>
      <w:r>
        <w:rPr>
          <w:rFonts w:hint="eastAsia" w:ascii="方正仿宋_GBK" w:hAnsi="方正仿宋_GBK" w:eastAsia="方正仿宋_GBK" w:cs="方正仿宋_GBK"/>
          <w:color w:val="000000"/>
          <w:sz w:val="28"/>
          <w:szCs w:val="28"/>
          <w:highlight w:val="none"/>
          <w:lang w:val="en"/>
        </w:rPr>
        <w:t xml:space="preserve">   </w:t>
      </w:r>
      <w:r>
        <w:rPr>
          <w:color w:val="000000"/>
          <w:sz w:val="28"/>
          <w:szCs w:val="28"/>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甲方（采购人、受采购人委托签订合同的单位或采购文件约定的合同甲方）</w:t>
            </w:r>
            <w:r>
              <w:rPr>
                <w:rFonts w:hint="eastAsia" w:ascii="方正仿宋_GBK" w:hAnsi="方正仿宋_GBK" w:eastAsia="方正仿宋_GBK" w:cs="方正仿宋_GBK"/>
                <w:color w:val="000000"/>
                <w:sz w:val="28"/>
                <w:szCs w:val="28"/>
                <w:highlight w:val="none"/>
              </w:rPr>
            </w:r>
            <w:r/>
          </w:p>
        </w:tc>
        <w:tc>
          <w:tcPr>
            <w:gridSpan w:val="2"/>
            <w:tcW w:w="394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乙方（供应商）</w:t>
            </w:r>
            <w:r>
              <w:rPr>
                <w:rFonts w:hint="eastAsia" w:ascii="方正仿宋_GBK" w:hAnsi="方正仿宋_GBK" w:eastAsia="方正仿宋_GBK" w:cs="方正仿宋_GBK"/>
                <w:color w:val="000000"/>
                <w:sz w:val="28"/>
                <w:szCs w:val="28"/>
                <w:highlight w:val="none"/>
              </w:rPr>
            </w:r>
            <w:r/>
          </w:p>
        </w:tc>
      </w:tr>
      <w:tr>
        <w:trPr>
          <w:trHeight w:val="917"/>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单位名称（公章或合同章）</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单位名称（公章或合同章）</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1171"/>
        </w:trPr>
        <w:tc>
          <w:tcPr>
            <w:tcW w:w="1125" w:type="dxa"/>
            <w:vAlign w:val="center"/>
            <w:vMerge w:val="restart"/>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w:t>
            </w:r>
            <w:r>
              <w:rPr>
                <w:rFonts w:hint="eastAsia" w:ascii="方正仿宋_GBK" w:hAnsi="方正仿宋_GBK" w:eastAsia="方正仿宋_GBK" w:cs="方正仿宋_GBK"/>
                <w:color w:val="000000"/>
                <w:sz w:val="28"/>
                <w:szCs w:val="28"/>
                <w:highlight w:val="none"/>
              </w:rPr>
            </w:r>
            <w:r/>
          </w:p>
          <w:p>
            <w:pPr>
              <w:pStyle w:val="953"/>
              <w:ind w:firstLine="134"/>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或其委托代理人（签章）</w:t>
            </w:r>
            <w:r>
              <w:rPr>
                <w:rFonts w:hint="eastAsia" w:ascii="方正仿宋_GBK" w:hAnsi="方正仿宋_GBK" w:eastAsia="方正仿宋_GBK" w:cs="方正仿宋_GBK"/>
                <w:color w:val="000000"/>
                <w:sz w:val="28"/>
                <w:szCs w:val="28"/>
                <w:highlight w:val="none"/>
              </w:rPr>
            </w:r>
            <w:r/>
          </w:p>
        </w:tc>
        <w:tc>
          <w:tcPr>
            <w:tcW w:w="1666" w:type="dxa"/>
            <w:vAlign w:val="center"/>
            <w:vMerge w:val="restart"/>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或其委托代理人（签章）</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483"/>
        </w:trPr>
        <w:tc>
          <w:tcPr>
            <w:tcW w:w="1125" w:type="dxa"/>
            <w:vAlign w:val="center"/>
            <w:vMerge w:val="continue"/>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vMerge w:val="continue"/>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拥有者性别</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  所</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  所</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 系 人</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 系 人</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通信地址</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通信地址</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邮政编码</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邮政编码</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电子邮箱</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电子邮箱</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开户名称</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开户银行</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银行账号</w:t>
            </w:r>
            <w:r>
              <w:rPr>
                <w:rFonts w:hint="eastAsia" w:ascii="方正仿宋_GBK" w:hAnsi="方正仿宋_GBK" w:eastAsia="方正仿宋_GBK" w:cs="方正仿宋_GBK"/>
                <w:color w:val="000000"/>
                <w:sz w:val="28"/>
                <w:szCs w:val="28"/>
                <w:highlight w:val="none"/>
              </w:rPr>
            </w:r>
            <w:r/>
          </w:p>
        </w:tc>
        <w:tc>
          <w:tcPr>
            <w:tcW w:w="126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586"/>
        </w:trPr>
        <w:tc>
          <w:tcPr>
            <w:gridSpan w:val="4"/>
            <w:tcW w:w="8928" w:type="dxa"/>
            <w:vAlign w:val="center"/>
            <w:textDirection w:val="lrTb"/>
            <w:noWrap w:val="false"/>
          </w:tcPr>
          <w:p>
            <w:pPr>
              <w:pStyle w:val="986"/>
              <w:ind w:left="0"/>
              <w:jc w:val="left"/>
              <w:spacing w:before="156" w:after="0"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z w:val="28"/>
                <w:szCs w:val="28"/>
                <w:highlight w:val="none"/>
              </w:rPr>
              <w:t xml:space="preserve">注：涉及联合体或其他合同主体的信息应按上表格式加列。</w:t>
            </w:r>
            <w:r>
              <w:rPr>
                <w:rFonts w:hint="eastAsia" w:ascii="方正仿宋_GBK" w:hAnsi="方正仿宋_GBK" w:eastAsia="方正仿宋_GBK" w:cs="方正仿宋_GBK"/>
                <w:color w:val="000000"/>
                <w:spacing w:val="20"/>
                <w:sz w:val="28"/>
                <w:szCs w:val="28"/>
                <w:highlight w:val="none"/>
              </w:rPr>
            </w:r>
            <w:r/>
          </w:p>
        </w:tc>
      </w:tr>
    </w:tbl>
    <w:p>
      <w:pPr>
        <w:pStyle w:val="955"/>
        <w:spacing w:line="400" w:lineRule="exact"/>
        <w:rPr>
          <w:rFonts w:ascii="黑体" w:hAnsi="黑体" w:eastAsia="黑体"/>
          <w:color w:val="000000"/>
          <w:sz w:val="28"/>
          <w:szCs w:val="28"/>
          <w:highlight w:val="none"/>
        </w:rPr>
      </w:pPr>
      <w:r>
        <w:rPr>
          <w:rFonts w:ascii="宋体" w:hAnsi="宋体"/>
          <w:color w:val="000000"/>
          <w:sz w:val="28"/>
          <w:szCs w:val="28"/>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rPr>
          <w:rFonts w:ascii="黑体" w:hAnsi="黑体" w:eastAsia="黑体"/>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定义</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1.1合同当事人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1.2本合同下列术语应解释为：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（2）“合同价款”系指根据本合同规定乙方在全面履行合同义务后甲方应支付给乙方的价款。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技术资料和材料等。</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（4）“相关服务”系指根据合同规定，乙方应提供的与货物有关的技术、管理和</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（7）其他术语解释，见【政府采购合同专用条款】。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合同标的及金额</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任何费用。</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履行合同的时间、地点和方式</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 乙方应当在约定的时间、地点，按照约定方式履行合同。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甲方的权利和义务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 甲方有权要求乙方对缺陷部分予以修复，并按合同约定享有货物保修及其他合同约定的权利。</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4.6 国家法律法规规定及【政府采购合同专用条款】约定应由甲方承担的其他义务和责任。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 乙方的权利和义务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5.1 签署合同后，乙方应确定项目负责人（或项目联系人），负责与本合同有关的事务。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5.3乙方有权根据合同约定向甲方收取合同价款。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5.4国家法律法规规定及【政府采购合同专用条款】约定应由乙方承担的其他义务和责任。</w:t>
      </w:r>
      <w:r>
        <w:rPr>
          <w:rFonts w:hint="eastAsia" w:ascii="方正仿宋_GBK" w:hAnsi="方正仿宋_GBK" w:eastAsia="方正仿宋_GBK" w:cs="方正仿宋_GBK"/>
          <w:color w:val="000000"/>
          <w:sz w:val="28"/>
          <w:szCs w:val="28"/>
          <w:highlight w:val="none"/>
        </w:rPr>
      </w:r>
      <w:r/>
    </w:p>
    <w:p>
      <w:pPr>
        <w:pStyle w:val="1066"/>
        <w:numPr>
          <w:ilvl w:val="0"/>
          <w:numId w:val="5"/>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合同履行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 货物包装、运输、保险和交付要求</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货物保险要求按【政府采购合同专用条款】规定执行。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 质量标准和保证</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 质量标准</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（2）采用中华人民共和国法定计量单位。</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（3）乙方所提供的货物应符合国家有关安全、环保、卫生的规定。</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8.2 保证</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（2）在质量保证期内所发现的缺陷，甲方应尽快以书面形式通知乙方。</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 权利瑕疵担保</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9.1 乙方保证对其出售的货物享有合法的权利。</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9.2 乙方保证在交付的货物上不存在抵押权等担保物权。</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9.3 如甲方使用上述货物构成对第三人侵权的，则由乙方承担全部责任。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 知识产权保护</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保密义务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 合同价款支付</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12.1 合同价款支付按照国库集中支付制度及财政管理相关规定执行。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 履约保证金</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13.1 乙方应当以支票、汇票、本票或者金融机构、担保机构出具的保函等非现金形式提交。</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 售后服务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14.1 除项目不涉及或采购活动中明确约定无须承担外，乙方还应提供下列服务：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（1）货物的现场移动、安装、调试、启动监督及技术支持；</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（2）提供货物组装和维修所需的专用工具和辅助材料；</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（4）在制造商所在地或指定现场就货物的安装、启动、运营、维护、废弃处置等对甲方操作人员进行培训；</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（6）【政府采购合同专用条款】规定由乙方提供的其他服务。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14.2 乙方提供的售后服务的费用已包含在合同价款中，甲方不再另行支付。</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 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15.1质量瑕疵的违约责任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15.2 迟延交货的违约责任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15.3 迟延支付的违约责任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甲方存在迟延支付乙方合同款项的，应当承担【政府采购合同专用条款】规定的逾期付款利息。</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15.4其他违约责任根据项目实际需要按【政府采购合同专用条款】规定执行。</w:t>
      </w:r>
      <w:r>
        <w:rPr>
          <w:rFonts w:hint="eastAsia" w:ascii="方正仿宋_GBK" w:hAnsi="方正仿宋_GBK" w:eastAsia="方正仿宋_GBK" w:cs="方正仿宋_GBK"/>
          <w:color w:val="000000"/>
          <w:sz w:val="28"/>
          <w:szCs w:val="28"/>
          <w:highlight w:val="none"/>
        </w:rPr>
      </w:r>
      <w:r/>
    </w:p>
    <w:p>
      <w:pPr>
        <w:pStyle w:val="1066"/>
        <w:numPr>
          <w:ilvl w:val="0"/>
          <w:numId w:val="6"/>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合同变更、中止与终止</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16.1合同的变更</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16.2合同的中止</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（4）甲方不得以行政区划调整、政府换届、机构或者职能调整以及相关责任人更替为由中止合同。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16.3合同的终止</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（1）合同因有效期限届满而终止；</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（2）乙方未按合同约定履行，构成根本性违约的，甲方有权终止合同，并追究乙方的违约责任。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16.4 涉及国家利益、社会公共利益的情形</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color w:val="000000"/>
          <w:sz w:val="28"/>
          <w:szCs w:val="28"/>
          <w:highlight w:val="none"/>
        </w:rPr>
      </w:r>
      <w:r/>
    </w:p>
    <w:p>
      <w:pPr>
        <w:pStyle w:val="1066"/>
        <w:numPr>
          <w:ilvl w:val="0"/>
          <w:numId w:val="7"/>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合同分包</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 不可抗力</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18.1 不可抗力是指合同双方不能预见、不能避免且不能克服的客观情况。</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 解决争议的方法</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 政府采购政策</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20.1 </w:t>
      </w:r>
      <w:r>
        <w:rPr>
          <w:rFonts w:hint="eastAsia" w:ascii="方正仿宋_GBK" w:hAnsi="方正仿宋_GBK" w:eastAsia="方正仿宋_GBK" w:cs="方正仿宋_GBK"/>
          <w:color w:val="000000"/>
          <w:sz w:val="28"/>
          <w:szCs w:val="28"/>
          <w:highlight w:val="none"/>
          <w:lang w:val="en-GB"/>
        </w:rPr>
        <w:t xml:space="preserve">本合同应当按照规定执行政府采购政策。</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color w:val="000000"/>
          <w:sz w:val="28"/>
          <w:szCs w:val="28"/>
          <w:highlight w:val="none"/>
          <w:lang w:val="en-GB"/>
        </w:rPr>
        <w:t xml:space="preserve">未按规定要求执行政府采购政策造成损失的</w:t>
      </w:r>
      <w:r>
        <w:rPr>
          <w:rFonts w:hint="eastAsia" w:ascii="方正仿宋_GBK" w:hAnsi="方正仿宋_GBK" w:eastAsia="方正仿宋_GBK" w:cs="方正仿宋_GBK"/>
          <w:color w:val="000000"/>
          <w:sz w:val="28"/>
          <w:szCs w:val="28"/>
          <w:highlight w:val="none"/>
        </w:rPr>
        <w:t xml:space="preserve">，有过错的一方应当承担赔偿责任，双方都有过错的，各自承担相应的责任。</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法律适用</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21.1 本合同的订立、生效、解释、履行及与本合同有关的争议解决，均适用法律、行政法规。</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 通知</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22.4通知以送达之日或通知书中规定的生效之日起生效，两者中以较迟之日为准。</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 合同未尽事项</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23.1合同未尽事项见【政府采购合同专用条款】。</w:t>
      </w:r>
      <w:r>
        <w:rPr>
          <w:rFonts w:hint="eastAsia" w:ascii="方正仿宋_GBK" w:hAnsi="方正仿宋_GBK" w:eastAsia="方正仿宋_GBK" w:cs="方正仿宋_GBK"/>
          <w:color w:val="000000"/>
          <w:sz w:val="28"/>
          <w:szCs w:val="28"/>
          <w:highlight w:val="none"/>
        </w:rPr>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23.2合同附件与合同正文具有同等的法律效力。</w:t>
      </w:r>
      <w:r>
        <w:rPr>
          <w:rFonts w:hint="eastAsia" w:ascii="方正仿宋_GBK" w:hAnsi="方正仿宋_GBK" w:eastAsia="方正仿宋_GBK" w:cs="方正仿宋_GBK"/>
          <w:color w:val="000000"/>
          <w:sz w:val="28"/>
          <w:szCs w:val="28"/>
          <w:highlight w:val="none"/>
        </w:rPr>
      </w:r>
      <w:r/>
    </w:p>
    <w:p>
      <w:pPr>
        <w:pStyle w:val="955"/>
        <w:spacing w:line="400" w:lineRule="exact"/>
        <w:rPr>
          <w:rFonts w:ascii="黑体" w:hAnsi="华文中宋" w:eastAsia="黑体"/>
          <w:b w:val="0"/>
          <w:bCs w:val="0"/>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黑体" w:eastAsia="黑体"/>
          <w:b w:val="0"/>
          <w:bCs w:val="0"/>
          <w:color w:val="000000"/>
          <w:sz w:val="28"/>
          <w:szCs w:val="28"/>
          <w:highlight w:val="none"/>
        </w:rPr>
        <w:t xml:space="preserve">第三节 政府采购合同专用条款</w:t>
      </w:r>
      <w:r>
        <w:rPr>
          <w:rFonts w:ascii="黑体" w:hAnsi="华文中宋" w:eastAsia="黑体"/>
          <w:b w:val="0"/>
          <w:bCs w:val="0"/>
          <w:color w:val="000000"/>
          <w:sz w:val="28"/>
          <w:szCs w:val="28"/>
          <w:highlight w:val="none"/>
        </w:rPr>
      </w:r>
      <w:r/>
    </w:p>
    <w:tbl>
      <w:tblPr>
        <w:tblW w:w="8627"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23"/>
        <w:gridCol w:w="2686"/>
        <w:gridCol w:w="4318"/>
      </w:tblGrid>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第1.2（6）项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联合体具体要求</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color w:val="000000"/>
                <w:szCs w:val="21"/>
                <w:highlight w:val="none"/>
              </w:rPr>
            </w:r>
            <w:r/>
          </w:p>
        </w:tc>
      </w:tr>
      <w:tr>
        <w:trPr>
          <w:trHeight w:val="604"/>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第1.2（7）项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其他术语解释</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第4.4款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履约验收中甲方提出异议或作出说明的期限</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自乙方交付之日起30天</w:t>
            </w: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第4.6款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约定甲方承担的其他义务和责任</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为乙方履行合同提供必要且合理的配合和协助</w:t>
            </w: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rFonts w:ascii="Calibri" w:hAnsi="Calibri"/>
                <w:color w:val="000000"/>
                <w:szCs w:val="21"/>
                <w:highlight w:val="none"/>
              </w:rPr>
            </w:pPr>
            <w:r>
              <w:rPr>
                <w:rFonts w:hint="eastAsia"/>
                <w:color w:val="000000"/>
                <w:szCs w:val="21"/>
                <w:highlight w:val="none"/>
              </w:rPr>
              <w:t xml:space="preserve">第5.4款</w:t>
            </w:r>
            <w:r>
              <w:rPr>
                <w:rFonts w:ascii="Calibri" w:hAnsi="Calibri"/>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约定乙方承担的其他义务和责任</w:t>
            </w:r>
            <w:r>
              <w:rPr>
                <w:color w:val="000000"/>
                <w:szCs w:val="21"/>
                <w:highlight w:val="none"/>
              </w:rPr>
            </w:r>
            <w:r/>
          </w:p>
        </w:tc>
        <w:tc>
          <w:tcPr>
            <w:tcW w:w="4318" w:type="dxa"/>
            <w:vAlign w:val="center"/>
            <w:textDirection w:val="lrTb"/>
            <w:noWrap w:val="false"/>
          </w:tcPr>
          <w:p>
            <w:pPr>
              <w:pStyle w:val="953"/>
              <w:numPr>
                <w:ilvl w:val="0"/>
                <w:numId w:val="8"/>
              </w:numPr>
              <w:spacing w:line="360" w:lineRule="auto"/>
              <w:tabs>
                <w:tab w:val="left" w:pos="31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w:t>
            </w:r>
            <w:r>
              <w:rPr>
                <w:rFonts w:hint="eastAsia" w:ascii="宋体" w:hAnsi="宋体" w:cs="宋体"/>
                <w:color w:val="000000"/>
                <w:szCs w:val="21"/>
                <w:highlight w:val="none"/>
              </w:rPr>
              <w:t xml:space="preserve">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ascii="宋体" w:hAnsi="宋体" w:cs="宋体"/>
                <w:color w:val="000000"/>
                <w:szCs w:val="21"/>
                <w:highlight w:val="none"/>
              </w:rPr>
            </w:r>
            <w:r/>
          </w:p>
          <w:p>
            <w:pPr>
              <w:pStyle w:val="953"/>
              <w:numPr>
                <w:ilvl w:val="0"/>
                <w:numId w:val="8"/>
              </w:numPr>
              <w:spacing w:line="360" w:lineRule="auto"/>
              <w:tabs>
                <w:tab w:val="left" w:pos="31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应根据甲方的要求（包括招标文件和本合同约定的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cs="宋体"/>
                <w:color w:val="000000"/>
                <w:szCs w:val="21"/>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rPr>
                <w:rFonts w:hint="eastAsia" w:ascii="宋体" w:hAnsi="宋体" w:cs="宋体"/>
                <w:color w:val="000000"/>
                <w:szCs w:val="21"/>
                <w:highlight w:val="none"/>
              </w:rPr>
            </w:r>
            <w:r/>
          </w:p>
          <w:p>
            <w:pPr>
              <w:pStyle w:val="95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违约金。</w:t>
            </w:r>
            <w:r>
              <w:rPr>
                <w:rFonts w:hint="eastAsia" w:ascii="宋体" w:hAnsi="宋体" w:cs="宋体"/>
                <w:color w:val="000000"/>
                <w:szCs w:val="21"/>
                <w:highlight w:val="none"/>
              </w:rPr>
            </w:r>
            <w:r/>
          </w:p>
          <w:p>
            <w:pPr>
              <w:pStyle w:val="95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hint="eastAsia" w:ascii="宋体" w:hAnsi="宋体" w:cs="宋体"/>
                <w:color w:val="000000"/>
                <w:szCs w:val="21"/>
                <w:highlight w:val="none"/>
              </w:rPr>
            </w:r>
            <w:r/>
          </w:p>
          <w:p>
            <w:pPr>
              <w:pStyle w:val="95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的违约金。若乙方支付的违约金不足以弥补甲方损失的，乙方还须继续承担损失赔偿责任。  </w:t>
            </w:r>
            <w:r>
              <w:rPr>
                <w:rFonts w:hint="eastAsia" w:ascii="宋体" w:hAnsi="宋体" w:cs="宋体"/>
                <w:color w:val="000000"/>
                <w:szCs w:val="21"/>
                <w:highlight w:val="none"/>
              </w:rPr>
            </w:r>
            <w:r/>
          </w:p>
          <w:p>
            <w:pPr>
              <w:pStyle w:val="953"/>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以上条款中乙方的责任承担期限不受甲方已收货且出具验收确认书的限制。</w:t>
            </w:r>
            <w:r>
              <w:rPr>
                <w:rFonts w:hint="eastAsia" w:ascii="宋体" w:hAnsi="宋体" w:cs="宋体"/>
                <w:b/>
                <w:bCs/>
                <w:color w:val="000000"/>
                <w:szCs w:val="21"/>
                <w:highlight w:val="none"/>
              </w:rPr>
            </w:r>
            <w:r/>
          </w:p>
          <w:p>
            <w:pPr>
              <w:pStyle w:val="95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rPr>
                <w:rFonts w:hint="eastAsia" w:ascii="宋体" w:hAnsi="宋体" w:cs="宋体"/>
                <w:color w:val="000000"/>
                <w:szCs w:val="21"/>
                <w:highlight w:val="none"/>
              </w:rPr>
            </w:r>
            <w:r/>
          </w:p>
          <w:p>
            <w:pPr>
              <w:pStyle w:val="953"/>
              <w:jc w:val="left"/>
              <w:widowControl/>
              <w:rPr>
                <w:color w:val="000000"/>
                <w:szCs w:val="21"/>
                <w:highlight w:val="none"/>
              </w:rPr>
            </w:pP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第6.1款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履行合同义务的顺序</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乙方履行合同义务在先，甲方履行合同义务在后。</w:t>
            </w:r>
            <w:r>
              <w:rPr>
                <w:color w:val="000000"/>
                <w:szCs w:val="21"/>
                <w:highlight w:val="none"/>
              </w:rPr>
            </w:r>
            <w:r/>
          </w:p>
        </w:tc>
      </w:tr>
      <w:tr>
        <w:trPr>
          <w:cantSplit/>
          <w:trHeight w:val="667"/>
        </w:trPr>
        <w:tc>
          <w:tcPr>
            <w:tcW w:w="1623" w:type="dxa"/>
            <w:vAlign w:val="center"/>
            <w:vMerge w:val="restart"/>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第7.1款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包装特殊要求</w:t>
            </w:r>
            <w:r>
              <w:rPr>
                <w:color w:val="000000"/>
                <w:szCs w:val="21"/>
                <w:highlight w:val="none"/>
              </w:rPr>
            </w:r>
            <w:r/>
          </w:p>
        </w:tc>
        <w:tc>
          <w:tcPr>
            <w:tcW w:w="4318" w:type="dxa"/>
            <w:vAlign w:val="center"/>
            <w:textDirection w:val="lrTb"/>
            <w:noWrap w:val="false"/>
          </w:tcPr>
          <w:p>
            <w:pPr>
              <w:pStyle w:val="953"/>
              <w:jc w:val="left"/>
              <w:widowControl/>
              <w:rPr>
                <w:rFonts w:ascii="Calibri" w:hAnsi="Calibri"/>
                <w:color w:val="000000"/>
                <w:szCs w:val="21"/>
                <w:highlight w:val="none"/>
              </w:rPr>
            </w:pPr>
            <w:r>
              <w:rPr>
                <w:rFonts w:ascii="Calibri" w:hAnsi="Calibri"/>
                <w:color w:val="000000"/>
                <w:szCs w:val="21"/>
                <w:highlight w:val="none"/>
              </w:rPr>
            </w:r>
            <w:r/>
          </w:p>
        </w:tc>
      </w:tr>
      <w:tr>
        <w:trPr>
          <w:cantSplit/>
          <w:trHeight w:val="667"/>
        </w:trPr>
        <w:tc>
          <w:tcPr>
            <w:tcW w:w="1623" w:type="dxa"/>
            <w:vAlign w:val="center"/>
            <w:vMerge w:val="continue"/>
            <w:textDirection w:val="lrTb"/>
            <w:noWrap w:val="false"/>
          </w:tcPr>
          <w:p>
            <w:pPr>
              <w:pStyle w:val="953"/>
              <w:jc w:val="center"/>
              <w:widowControl/>
              <w:rPr>
                <w:color w:val="000000"/>
                <w:szCs w:val="21"/>
                <w:highlight w:val="none"/>
              </w:rPr>
            </w:pP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指定现场</w:t>
            </w:r>
            <w:r>
              <w:rPr>
                <w:color w:val="000000"/>
                <w:szCs w:val="21"/>
                <w:highlight w:val="none"/>
              </w:rPr>
            </w:r>
            <w:r/>
          </w:p>
        </w:tc>
        <w:tc>
          <w:tcPr>
            <w:tcW w:w="4318" w:type="dxa"/>
            <w:vAlign w:val="center"/>
            <w:textDirection w:val="lrTb"/>
            <w:noWrap w:val="false"/>
          </w:tcPr>
          <w:p>
            <w:pPr>
              <w:pStyle w:val="953"/>
              <w:jc w:val="left"/>
              <w:widowControl/>
              <w:rPr>
                <w:rFonts w:ascii="Calibri" w:hAnsi="Calibri"/>
                <w:color w:val="000000"/>
                <w:szCs w:val="21"/>
                <w:highlight w:val="none"/>
              </w:rPr>
            </w:pPr>
            <w:r>
              <w:rPr>
                <w:rFonts w:hint="eastAsia" w:ascii="Calibri" w:hAnsi="Calibri"/>
                <w:color w:val="000000"/>
                <w:szCs w:val="21"/>
                <w:highlight w:val="none"/>
              </w:rPr>
              <w:t xml:space="preserve">以甲方书面指定地点为准</w:t>
            </w:r>
            <w:r>
              <w:rPr>
                <w:rFonts w:ascii="Calibri" w:hAnsi="Calibri"/>
                <w:color w:val="000000"/>
                <w:szCs w:val="21"/>
                <w:highlight w:val="none"/>
              </w:rPr>
            </w:r>
            <w:r/>
          </w:p>
        </w:tc>
      </w:tr>
      <w:tr>
        <w:trPr>
          <w:trHeight w:val="772"/>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第7.2款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运输特殊要求</w:t>
            </w:r>
            <w:r>
              <w:rPr>
                <w:color w:val="000000"/>
                <w:szCs w:val="21"/>
                <w:highlight w:val="none"/>
              </w:rPr>
            </w:r>
            <w:r/>
          </w:p>
        </w:tc>
        <w:tc>
          <w:tcPr>
            <w:tcW w:w="4318" w:type="dxa"/>
            <w:vAlign w:val="center"/>
            <w:textDirection w:val="lrTb"/>
            <w:noWrap w:val="false"/>
          </w:tcPr>
          <w:p>
            <w:pPr>
              <w:pStyle w:val="953"/>
              <w:jc w:val="left"/>
              <w:widowControl/>
              <w:rPr>
                <w:rFonts w:ascii="Calibri" w:hAnsi="Calibri"/>
                <w:color w:val="000000"/>
                <w:szCs w:val="21"/>
                <w:highlight w:val="none"/>
              </w:rPr>
            </w:pPr>
            <w:r>
              <w:rPr>
                <w:rFonts w:ascii="Calibri" w:hAnsi="Calibri"/>
                <w:color w:val="000000"/>
                <w:szCs w:val="21"/>
                <w:highlight w:val="none"/>
              </w:rPr>
            </w:r>
            <w:r/>
          </w:p>
        </w:tc>
      </w:tr>
      <w:tr>
        <w:trPr>
          <w:trHeight w:val="667"/>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第7.3款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保险要求</w:t>
            </w:r>
            <w:r>
              <w:rPr>
                <w:color w:val="000000"/>
                <w:szCs w:val="21"/>
                <w:highlight w:val="none"/>
              </w:rPr>
            </w:r>
            <w:r/>
          </w:p>
        </w:tc>
        <w:tc>
          <w:tcPr>
            <w:tcW w:w="4318" w:type="dxa"/>
            <w:vAlign w:val="center"/>
            <w:textDirection w:val="lrTb"/>
            <w:noWrap w:val="false"/>
          </w:tcPr>
          <w:p>
            <w:pPr>
              <w:pStyle w:val="953"/>
              <w:jc w:val="left"/>
              <w:widowControl/>
              <w:rPr>
                <w:rFonts w:ascii="Calibri" w:hAnsi="Calibri"/>
                <w:color w:val="000000"/>
                <w:szCs w:val="21"/>
                <w:highlight w:val="none"/>
              </w:rPr>
            </w:pPr>
            <w:r>
              <w:rPr>
                <w:rFonts w:hint="eastAsia"/>
                <w:color w:val="000000"/>
                <w:szCs w:val="21"/>
                <w:highlight w:val="none"/>
              </w:rPr>
              <w:t xml:space="preserve">由乙方自行承担，已包含在合同价款中，甲方不再另行支付。</w:t>
            </w:r>
            <w:r>
              <w:rPr>
                <w:rFonts w:ascii="Calibri" w:hAnsi="Calibri"/>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第8.2（1）项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质量保证期</w:t>
            </w:r>
            <w:r>
              <w:rPr>
                <w:color w:val="000000"/>
                <w:szCs w:val="21"/>
                <w:highlight w:val="none"/>
              </w:rPr>
            </w:r>
            <w:r/>
          </w:p>
        </w:tc>
        <w:tc>
          <w:tcPr>
            <w:tcW w:w="4318" w:type="dxa"/>
            <w:vAlign w:val="center"/>
            <w:textDirection w:val="lrTb"/>
            <w:noWrap w:val="false"/>
          </w:tcPr>
          <w:p>
            <w:pPr>
              <w:pStyle w:val="953"/>
              <w:jc w:val="left"/>
              <w:widowControl/>
              <w:rPr>
                <w:rFonts w:hint="eastAsia"/>
                <w:color w:val="000000"/>
                <w:szCs w:val="21"/>
                <w:highlight w:val="none"/>
              </w:rPr>
            </w:pPr>
            <w:r>
              <w:rPr>
                <w:rFonts w:ascii="宋体" w:hAnsi="宋体" w:cs="宋体"/>
                <w:color w:val="000000"/>
                <w:szCs w:val="21"/>
                <w:highlight w:val="none"/>
              </w:rPr>
              <w:t xml:space="preserve">自项目验收合格之日起，</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个月</w:t>
            </w:r>
            <w:r>
              <w:rPr>
                <w:rFonts w:hint="eastAsia" w:ascii="宋体" w:hAnsi="宋体" w:cs="宋体"/>
                <w:color w:val="000000"/>
                <w:szCs w:val="21"/>
                <w:highlight w:val="none"/>
              </w:rPr>
              <w:t xml:space="preserve">（招标要求不少于36个月）</w:t>
            </w:r>
            <w:r>
              <w:rPr>
                <w:rFonts w:hint="eastAsia"/>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第8.2（3）项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货物质量缺陷</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响应时间</w:t>
            </w:r>
            <w:r>
              <w:rPr>
                <w:color w:val="000000"/>
                <w:szCs w:val="21"/>
                <w:highlight w:val="none"/>
              </w:rPr>
            </w:r>
            <w:r/>
          </w:p>
        </w:tc>
        <w:tc>
          <w:tcPr>
            <w:tcW w:w="4318" w:type="dxa"/>
            <w:vAlign w:val="center"/>
            <w:textDirection w:val="lrTb"/>
            <w:noWrap w:val="false"/>
          </w:tcPr>
          <w:p>
            <w:pPr>
              <w:pStyle w:val="953"/>
              <w:jc w:val="left"/>
              <w:widowControl/>
              <w:rPr>
                <w:rFonts w:hint="eastAsia"/>
                <w:color w:val="000000"/>
                <w:szCs w:val="21"/>
                <w:highlight w:val="none"/>
              </w:rPr>
            </w:pPr>
            <w:r>
              <w:rPr>
                <w:rFonts w:hint="eastAsia" w:ascii="宋体" w:hAnsi="宋体" w:cs="宋体"/>
                <w:color w:val="000000"/>
                <w:szCs w:val="21"/>
                <w:highlight w:val="none"/>
              </w:rPr>
              <w:t xml:space="preserve">质保期内，如在使用过程中发生问题等，则乙方在接到甲方提出的维修维保要求通知后，应于2小时电话响应，对甲方的服务要求提出解决方案，经确认如有需要，技术人员须在24小时内到达甲方现场，并于【2】日内完成维修维保工作；重大问题或其他无法迅速解决的问题应在一周内解决或提出明确解决方案，否则乙方应赔偿甲方相应损失。</w:t>
            </w:r>
            <w:r>
              <w:rPr>
                <w:rFonts w:hint="eastAsia"/>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spacing w:line="400" w:lineRule="exact"/>
              <w:widowControl/>
              <w:rPr>
                <w:rFonts w:ascii="华文楷体" w:hAnsi="华文楷体" w:eastAsia="华文楷体" w:cs="华文楷体"/>
                <w:color w:val="000000"/>
                <w:sz w:val="22"/>
                <w:szCs w:val="21"/>
                <w:highlight w:val="none"/>
              </w:rPr>
            </w:pPr>
            <w:r>
              <w:rPr>
                <w:rFonts w:hint="eastAsia"/>
                <w:color w:val="000000"/>
                <w:sz w:val="22"/>
                <w:szCs w:val="21"/>
                <w:highlight w:val="none"/>
              </w:rPr>
              <w:t xml:space="preserve">第11.1款</w:t>
            </w:r>
            <w:r>
              <w:rPr>
                <w:rFonts w:ascii="华文楷体" w:hAnsi="华文楷体" w:eastAsia="华文楷体" w:cs="华文楷体"/>
                <w:color w:val="000000"/>
                <w:sz w:val="22"/>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其他应当保密的信息</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color w:val="000000"/>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szCs w:val="21"/>
                <w:highlight w:val="none"/>
              </w:rPr>
            </w:r>
            <w:r/>
          </w:p>
        </w:tc>
      </w:tr>
      <w:tr>
        <w:trPr>
          <w:trHeight w:val="697"/>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第12.2款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合同价款支付时间</w:t>
            </w:r>
            <w:r>
              <w:rPr>
                <w:color w:val="000000"/>
                <w:szCs w:val="21"/>
                <w:highlight w:val="none"/>
              </w:rPr>
            </w:r>
            <w:r/>
          </w:p>
        </w:tc>
        <w:tc>
          <w:tcPr>
            <w:tcW w:w="4318" w:type="dxa"/>
            <w:vAlign w:val="center"/>
            <w:textDirection w:val="lrTb"/>
            <w:noWrap w:val="false"/>
          </w:tcPr>
          <w:p>
            <w:pPr>
              <w:pStyle w:val="953"/>
              <w:jc w:val="left"/>
              <w:spacing w:line="378" w:lineRule="exact"/>
              <w:widowControl/>
              <w:rPr>
                <w:rFonts w:hint="eastAsia" w:ascii="宋体" w:hAnsi="宋体" w:cs="宋体"/>
                <w:color w:val="000000"/>
                <w:szCs w:val="21"/>
                <w:highlight w:val="none"/>
              </w:rPr>
            </w:pPr>
            <w:r>
              <w:rPr>
                <w:rFonts w:ascii="宋体" w:hAnsi="宋体" w:cs="宋体"/>
                <w:color w:val="000000"/>
                <w:szCs w:val="21"/>
                <w:highlight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个工作日内向乙方付清应付款项。</w:t>
            </w:r>
            <w:r>
              <w:rPr>
                <w:rFonts w:hint="eastAsia" w:ascii="宋体" w:hAnsi="宋体" w:cs="宋体"/>
                <w:color w:val="000000"/>
                <w:szCs w:val="21"/>
                <w:highlight w:val="none"/>
              </w:rPr>
            </w:r>
            <w:r/>
          </w:p>
          <w:p>
            <w:pPr>
              <w:pStyle w:val="953"/>
              <w:jc w:val="left"/>
              <w:widowControl/>
              <w:rPr>
                <w:color w:val="000000"/>
                <w:szCs w:val="21"/>
                <w:highlight w:val="none"/>
              </w:rPr>
            </w:pPr>
            <w:r>
              <w:rPr>
                <w:color w:val="000000"/>
                <w:szCs w:val="21"/>
                <w:highlight w:val="none"/>
              </w:rPr>
            </w:r>
            <w:r/>
          </w:p>
        </w:tc>
      </w:tr>
      <w:tr>
        <w:trPr>
          <w:trHeight w:val="697"/>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第13.2款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履约保证金不予退还的情形</w:t>
            </w:r>
            <w:r>
              <w:rPr>
                <w:color w:val="000000"/>
                <w:szCs w:val="21"/>
                <w:highlight w:val="none"/>
              </w:rPr>
            </w:r>
            <w:r/>
          </w:p>
        </w:tc>
        <w:tc>
          <w:tcPr>
            <w:tcW w:w="4318" w:type="dxa"/>
            <w:vAlign w:val="center"/>
            <w:textDirection w:val="lrTb"/>
            <w:noWrap w:val="false"/>
          </w:tcPr>
          <w:p>
            <w:pPr>
              <w:pStyle w:val="953"/>
              <w:jc w:val="left"/>
              <w:widowControl/>
              <w:rPr>
                <w:rFonts w:hint="eastAsia"/>
                <w:color w:val="000000"/>
                <w:szCs w:val="21"/>
                <w:highlight w:val="none"/>
              </w:rPr>
            </w:pPr>
            <w:r>
              <w:rPr>
                <w:rFonts w:hint="eastAsia"/>
                <w:color w:val="000000"/>
                <w:szCs w:val="21"/>
                <w:highlight w:val="none"/>
              </w:rPr>
              <w:t xml:space="preserve">1.未经甲方书面认可，逾期交货；</w:t>
            </w:r>
            <w:r>
              <w:rPr>
                <w:rFonts w:hint="eastAsia"/>
                <w:color w:val="000000"/>
                <w:szCs w:val="21"/>
                <w:highlight w:val="none"/>
              </w:rPr>
            </w:r>
            <w:r/>
          </w:p>
          <w:p>
            <w:pPr>
              <w:pStyle w:val="953"/>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rPr>
                <w:rFonts w:ascii="宋体" w:hAnsi="宋体" w:cs="宋体"/>
                <w:color w:val="000000"/>
                <w:szCs w:val="21"/>
                <w:highlight w:val="none"/>
                <w:u w:val="single"/>
              </w:rPr>
            </w:r>
            <w:r/>
          </w:p>
          <w:p>
            <w:pPr>
              <w:pStyle w:val="953"/>
              <w:jc w:val="left"/>
              <w:widowControl/>
              <w:rPr>
                <w:color w:val="000000"/>
                <w:szCs w:val="21"/>
                <w:highlight w:val="none"/>
              </w:rPr>
            </w:pPr>
            <w:r>
              <w:rPr>
                <w:rFonts w:hint="eastAsia"/>
                <w:color w:val="000000"/>
                <w:szCs w:val="21"/>
                <w:highlight w:val="none"/>
              </w:rPr>
              <w:t xml:space="preserve">3.乙方不参与验收、故意拖延验收，货物验收不合格。</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4.乙方未及时按招标文件、投标文件和合同约定提供货物质保服务。</w:t>
            </w: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第13.3款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履约保证金退还时间及逾期退还的违约金</w:t>
            </w:r>
            <w:r>
              <w:rPr>
                <w:color w:val="000000"/>
                <w:szCs w:val="21"/>
                <w:highlight w:val="none"/>
              </w:rPr>
            </w:r>
            <w:r/>
          </w:p>
        </w:tc>
        <w:tc>
          <w:tcPr>
            <w:tcW w:w="4318" w:type="dxa"/>
            <w:vAlign w:val="center"/>
            <w:textDirection w:val="lrTb"/>
            <w:noWrap w:val="false"/>
          </w:tcPr>
          <w:p>
            <w:pPr>
              <w:pStyle w:val="953"/>
              <w:jc w:val="left"/>
              <w:widowControl/>
              <w:rPr>
                <w:rFonts w:hint="eastAsia"/>
                <w:color w:val="000000"/>
                <w:szCs w:val="21"/>
                <w:highlight w:val="none"/>
              </w:rPr>
            </w:pPr>
            <w:r>
              <w:rPr>
                <w:rFonts w:hint="eastAsia"/>
                <w:color w:val="000000"/>
                <w:szCs w:val="21"/>
                <w:highlight w:val="none"/>
              </w:rPr>
              <w:t xml:space="preserve">1.</w:t>
            </w:r>
            <w:r>
              <w:rPr>
                <w:color w:val="000000"/>
                <w:szCs w:val="21"/>
                <w:highlight w:val="none"/>
              </w:rPr>
              <w:t xml:space="preserve">自甲方最终书面确认验收合格之日起算【12】个月后，甲方确认无质量问题且乙方无违约情形后将履约保证金无息退还给乙方。</w:t>
            </w:r>
            <w:r>
              <w:rPr>
                <w:rFonts w:hint="eastAsia"/>
                <w:color w:val="000000"/>
                <w:szCs w:val="21"/>
                <w:highlight w:val="none"/>
              </w:rPr>
              <w:t xml:space="preserve">具体退还时间以甲方内部审批流程通过后实际退还的时间为准。</w:t>
            </w:r>
            <w:r>
              <w:rPr>
                <w:rFonts w:hint="eastAsia"/>
                <w:color w:val="000000"/>
                <w:szCs w:val="21"/>
                <w:highlight w:val="none"/>
              </w:rPr>
            </w:r>
            <w:r/>
          </w:p>
          <w:p>
            <w:pPr>
              <w:pStyle w:val="953"/>
              <w:rPr>
                <w:color w:val="000000"/>
                <w:szCs w:val="21"/>
                <w:highlight w:val="none"/>
              </w:rPr>
            </w:pPr>
            <w:r>
              <w:rPr>
                <w:rFonts w:hint="eastAsia"/>
                <w:color w:val="000000"/>
                <w:szCs w:val="21"/>
                <w:highlight w:val="none"/>
              </w:rPr>
              <w:t xml:space="preserve">2.无逾期退还履约保证金的违约金。</w:t>
            </w:r>
            <w:r>
              <w:rPr>
                <w:color w:val="000000"/>
                <w:szCs w:val="21"/>
                <w:highlight w:val="none"/>
              </w:rPr>
            </w:r>
            <w:r/>
          </w:p>
        </w:tc>
      </w:tr>
      <w:tr>
        <w:trPr>
          <w:trHeight w:val="784"/>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第14.1（3）项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运行监督、维修期限</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按招标文件的要求和乙方投标响应执行，具体如下：</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     】</w:t>
            </w:r>
            <w:r>
              <w:rPr>
                <w:color w:val="000000"/>
                <w:szCs w:val="21"/>
                <w:highlight w:val="none"/>
              </w:rPr>
            </w:r>
            <w:r/>
          </w:p>
        </w:tc>
      </w:tr>
      <w:tr>
        <w:trPr>
          <w:trHeight w:val="784"/>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第14.1（5）项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货物回收的约定</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按相关法律法规执行。</w:t>
            </w: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第14.1（6）项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乙方提供的其他服务</w:t>
            </w:r>
            <w:r>
              <w:rPr>
                <w:color w:val="000000"/>
                <w:szCs w:val="21"/>
                <w:highlight w:val="none"/>
              </w:rPr>
            </w:r>
            <w:r/>
          </w:p>
        </w:tc>
        <w:tc>
          <w:tcPr>
            <w:tcW w:w="4318" w:type="dxa"/>
            <w:vAlign w:val="center"/>
            <w:textDirection w:val="lrTb"/>
            <w:noWrap w:val="false"/>
          </w:tcPr>
          <w:p>
            <w:pPr>
              <w:pStyle w:val="95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rPr>
                <w:rFonts w:hint="eastAsia" w:ascii="宋体" w:hAnsi="宋体" w:cs="宋体"/>
                <w:color w:val="000000"/>
                <w:szCs w:val="21"/>
                <w:highlight w:val="none"/>
              </w:rPr>
            </w:r>
            <w:r/>
          </w:p>
          <w:p>
            <w:pPr>
              <w:pStyle w:val="95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2.质保和售后服务：乙方保证按本合同约定以及投标响应文件的服务承诺履行质保和售后服务义务，其中免费质保期为【  5 】年，自甲方最终书面确认验收合</w:t>
            </w:r>
            <w:r>
              <w:rPr>
                <w:rFonts w:hint="eastAsia" w:ascii="宋体" w:hAnsi="宋体" w:cs="宋体"/>
                <w:color w:val="000000"/>
                <w:szCs w:val="21"/>
                <w:highlight w:val="none"/>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rPr>
                <w:rFonts w:hint="eastAsia" w:ascii="宋体" w:hAnsi="宋体" w:cs="宋体"/>
                <w:color w:val="000000"/>
                <w:szCs w:val="21"/>
                <w:highlight w:val="none"/>
              </w:rPr>
            </w:r>
            <w:r/>
          </w:p>
          <w:p>
            <w:pPr>
              <w:pStyle w:val="95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售后服务响应时间：乙方应在国内有专门负责的维修工程师或技术支持工程师。质保期内，如在使用过程中发生问题等，则乙方在接到甲方提出的维修维保要求通知后，应于2小时电话响应，对甲方的服务要求提出解决方案，经确认如有需要，技术人员须在24小时内到达甲方现场，并于【  】日内完成维修维保工作；重大问题或其他无法迅速</w:t>
            </w:r>
            <w:r>
              <w:rPr>
                <w:rFonts w:hint="eastAsia" w:ascii="宋体" w:hAnsi="宋体" w:cs="宋体"/>
                <w:color w:val="000000"/>
                <w:szCs w:val="21"/>
                <w:highlight w:val="none"/>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rPr>
                <w:rFonts w:hint="eastAsia" w:ascii="宋体" w:hAnsi="宋体" w:cs="宋体"/>
                <w:color w:val="000000"/>
                <w:szCs w:val="21"/>
                <w:highlight w:val="none"/>
              </w:rPr>
            </w:r>
            <w:r/>
          </w:p>
          <w:p>
            <w:pPr>
              <w:pStyle w:val="953"/>
              <w:jc w:val="left"/>
              <w:spacing w:line="360" w:lineRule="auto"/>
              <w:rPr>
                <w:rFonts w:hint="eastAsia" w:ascii="宋体" w:hAnsi="宋体" w:cs="宋体"/>
                <w:color w:val="000000"/>
                <w:szCs w:val="21"/>
                <w:highlight w:val="none"/>
              </w:rPr>
            </w:pPr>
            <w:r>
              <w:rPr>
                <w:rFonts w:hint="eastAsia"/>
                <w:b/>
                <w:bCs/>
                <w:color w:val="000000"/>
                <w:szCs w:val="21"/>
                <w:highlight w:val="none"/>
              </w:rPr>
              <w:t xml:space="preserve">4.乙方应按投标响应文件的售后服务响应和承诺提供售后服务、维修保养服务等。</w:t>
            </w:r>
            <w:r>
              <w:rPr>
                <w:rFonts w:hint="eastAsia" w:ascii="宋体" w:hAnsi="宋体" w:cs="宋体"/>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第15.1款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修理、重作、更换相关具体规定</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color w:val="000000"/>
                <w:szCs w:val="21"/>
                <w:highlight w:val="none"/>
              </w:rPr>
              <w:t xml:space="preserve">乙方提供的货物在质量期内因货物本身的质量问题发生故障，乙方应负责免费更换。对达不到技术要求者，根据实际情况，经双方协商，可按以下办法处理：</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更换：由乙方承担所发生的全部费用。</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（2）</w:t>
            </w:r>
            <w:r>
              <w:rPr>
                <w:color w:val="000000"/>
                <w:szCs w:val="21"/>
                <w:highlight w:val="none"/>
              </w:rPr>
              <w:t xml:space="preserve">贬值处理：由甲乙双方合议定价。</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（3）</w:t>
            </w:r>
            <w:r>
              <w:rPr>
                <w:color w:val="000000"/>
                <w:szCs w:val="21"/>
                <w:highlight w:val="none"/>
              </w:rPr>
              <w:t xml:space="preserve">退货处理：乙方应退还甲方支付的合同款，同时应承担该货物的直接费用（运输、保险、检验、货款利息及银行手续费等）。</w:t>
            </w:r>
            <w:r>
              <w:rPr>
                <w:color w:val="000000"/>
                <w:szCs w:val="21"/>
                <w:highlight w:val="non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第15.2（2）项</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迟延交货赔偿费</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 </w:t>
            </w:r>
            <w:r>
              <w:rPr>
                <w:color w:val="000000"/>
                <w:szCs w:val="21"/>
                <w:highlight w:val="none"/>
              </w:rPr>
            </w:r>
            <w:r/>
          </w:p>
          <w:p>
            <w:pPr>
              <w:pStyle w:val="953"/>
              <w:jc w:val="left"/>
              <w:widowControl/>
              <w:rPr>
                <w:color w:val="000000"/>
                <w:szCs w:val="21"/>
                <w:highlight w:val="none"/>
                <w:u w:val="single"/>
              </w:rPr>
            </w:pPr>
            <w:r>
              <w:rPr>
                <w:rFonts w:hint="eastAsia"/>
                <w:color w:val="000000"/>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szCs w:val="21"/>
                <w:highlight w:val="none"/>
                <w:u w:val="single"/>
              </w:rPr>
            </w:r>
            <w:r/>
          </w:p>
        </w:tc>
      </w:tr>
      <w:tr>
        <w:trPr>
          <w:trHeight w:val="73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第15.3款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逾期付款利息</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u w:val="single"/>
              </w:rPr>
            </w:pPr>
            <w:r>
              <w:rPr>
                <w:rFonts w:hint="eastAsia"/>
                <w:color w:val="000000"/>
                <w:szCs w:val="21"/>
                <w:highlight w:val="none"/>
              </w:rPr>
              <w:t xml:space="preserve">乙方</w:t>
            </w:r>
            <w:r>
              <w:rPr>
                <w:color w:val="000000"/>
                <w:szCs w:val="21"/>
                <w:highlight w:val="none"/>
              </w:rPr>
              <w:t xml:space="preserve">理解</w:t>
            </w:r>
            <w:r>
              <w:rPr>
                <w:rFonts w:hint="eastAsia"/>
                <w:color w:val="000000"/>
                <w:szCs w:val="21"/>
                <w:highlight w:val="none"/>
              </w:rPr>
              <w:t xml:space="preserve">甲方</w:t>
            </w:r>
            <w:r>
              <w:rPr>
                <w:color w:val="000000"/>
                <w:szCs w:val="21"/>
                <w:highlight w:val="none"/>
              </w:rPr>
              <w:t xml:space="preserve">高校</w:t>
            </w:r>
            <w:r>
              <w:rPr>
                <w:rFonts w:hint="eastAsia"/>
                <w:color w:val="000000"/>
                <w:szCs w:val="21"/>
                <w:highlight w:val="none"/>
              </w:rPr>
              <w:t xml:space="preserve">财务制度</w:t>
            </w:r>
            <w:r>
              <w:rPr>
                <w:color w:val="000000"/>
                <w:szCs w:val="21"/>
                <w:highlight w:val="none"/>
              </w:rPr>
              <w:t xml:space="preserve">的特殊性，自愿放弃</w:t>
            </w:r>
            <w:r>
              <w:rPr>
                <w:rFonts w:hint="eastAsia"/>
                <w:color w:val="000000"/>
                <w:szCs w:val="21"/>
                <w:highlight w:val="none"/>
              </w:rPr>
              <w:t xml:space="preserve">向甲方主张逾期付款利息</w:t>
            </w:r>
            <w:r>
              <w:rPr>
                <w:color w:val="000000"/>
                <w:szCs w:val="21"/>
                <w:highlight w:val="none"/>
              </w:rPr>
              <w:t xml:space="preserve">。</w:t>
            </w:r>
            <w:r>
              <w:rPr>
                <w:color w:val="000000"/>
                <w:szCs w:val="21"/>
                <w:highlight w:val="none"/>
                <w:u w:val="single"/>
              </w:rPr>
            </w:r>
            <w:r/>
          </w:p>
        </w:tc>
      </w:tr>
      <w:tr>
        <w:trPr>
          <w:trHeight w:val="876"/>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第15.4款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其他违约责任</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乙方如有转包或未经甲方同意的分包行为</w:t>
            </w:r>
            <w:r>
              <w:rPr>
                <w:rFonts w:hint="eastAsia"/>
                <w:color w:val="000000"/>
                <w:szCs w:val="21"/>
                <w:highlight w:val="none"/>
              </w:rPr>
              <w:t xml:space="preserve">，则构成乙方违约，甲方有权单方解除合同，并没收乙方履约保证金。</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甲方有权从履约保证金中扣除前述违约金，履约保证金不足扣除或已退还乙方的，甲方有权要求乙方继续支付。</w:t>
            </w:r>
            <w:r>
              <w:rPr>
                <w:color w:val="000000"/>
                <w:szCs w:val="21"/>
                <w:highlight w:val="none"/>
              </w:rPr>
            </w:r>
            <w:r/>
          </w:p>
          <w:p>
            <w:pPr>
              <w:pStyle w:val="953"/>
              <w:jc w:val="left"/>
              <w:widowControl/>
              <w:rPr>
                <w:color w:val="000000"/>
                <w:szCs w:val="21"/>
                <w:highlight w:val="none"/>
              </w:rPr>
            </w:pPr>
            <w:r>
              <w:rPr>
                <w:rFonts w:hint="eastAsia"/>
                <w:color w:val="000000"/>
                <w:szCs w:val="21"/>
                <w:highlight w:val="none"/>
              </w:rPr>
              <w:t xml:space="preserve">（4）如因产品质量问题，致使设备不能有效使用运转时长超过48小时，则构成乙方违约，乙方自自设备不能有效使用运转之日起，乙方应按每日2000.00元向甲方支付违约金，直至设备恢复正常使用之日。</w:t>
            </w:r>
            <w:r>
              <w:rPr>
                <w:color w:val="000000"/>
                <w:szCs w:val="21"/>
                <w:highlight w:val="none"/>
              </w:rPr>
            </w:r>
            <w:r/>
          </w:p>
          <w:p>
            <w:pPr>
              <w:pStyle w:val="953"/>
              <w:jc w:val="left"/>
              <w:widowControl/>
              <w:rPr>
                <w:color w:val="000000"/>
                <w:szCs w:val="21"/>
                <w:highlight w:val="none"/>
                <w:u w:val="single"/>
              </w:rPr>
            </w:pPr>
            <w:r>
              <w:rPr>
                <w:rFonts w:hint="eastAsia"/>
                <w:color w:val="000000"/>
                <w:szCs w:val="21"/>
                <w:highlight w:val="none"/>
              </w:rPr>
              <w:t xml:space="preserve">（5）乙方未能按照本合同要求提供相应质保服务的，甲方有权将乙方列入采购黑名单，以后将不予合作。</w:t>
            </w:r>
            <w:r>
              <w:rPr>
                <w:color w:val="000000"/>
                <w:szCs w:val="21"/>
                <w:highlight w:val="none"/>
                <w:u w:val="single"/>
              </w:rPr>
            </w:r>
            <w:r/>
          </w:p>
        </w:tc>
      </w:tr>
      <w:tr>
        <w:trPr>
          <w:trHeight w:val="90"/>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第19.2款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解决争议的方法</w:t>
            </w:r>
            <w:r>
              <w:rPr>
                <w:color w:val="000000"/>
                <w:szCs w:val="21"/>
                <w:highlight w:val="none"/>
              </w:rPr>
            </w:r>
            <w:r/>
          </w:p>
        </w:tc>
        <w:tc>
          <w:tcPr>
            <w:tcW w:w="4318" w:type="dxa"/>
            <w:vAlign w:val="center"/>
            <w:textDirection w:val="lrTb"/>
            <w:noWrap w:val="false"/>
          </w:tcPr>
          <w:p>
            <w:pPr>
              <w:pStyle w:val="953"/>
              <w:jc w:val="left"/>
              <w:spacing w:line="400" w:lineRule="exact"/>
              <w:widowControl/>
              <w:rPr>
                <w:iCs/>
                <w:color w:val="000000"/>
                <w:szCs w:val="21"/>
                <w:highlight w:val="none"/>
              </w:rPr>
            </w:pPr>
            <w:r>
              <w:rPr>
                <w:rFonts w:hint="eastAsia"/>
                <w:iCs/>
                <w:color w:val="000000"/>
                <w:szCs w:val="21"/>
                <w:highlight w:val="none"/>
              </w:rPr>
              <w:t xml:space="preserve">因本合同及合同有关事项发生的争议，按下列第</w:t>
            </w:r>
            <w:r>
              <w:rPr>
                <w:rFonts w:hint="eastAsia"/>
                <w:iCs/>
                <w:color w:val="000000"/>
                <w:szCs w:val="21"/>
                <w:highlight w:val="none"/>
                <w:u w:val="single"/>
              </w:rPr>
              <w:t xml:space="preserve"> （2） </w:t>
            </w:r>
            <w:r>
              <w:rPr>
                <w:rFonts w:hint="eastAsia"/>
                <w:iCs/>
                <w:color w:val="000000"/>
                <w:szCs w:val="21"/>
                <w:highlight w:val="none"/>
              </w:rPr>
              <w:t xml:space="preserve">种方式解决：</w:t>
            </w:r>
            <w:r>
              <w:rPr>
                <w:iCs/>
                <w:color w:val="000000"/>
                <w:szCs w:val="21"/>
                <w:highlight w:val="none"/>
              </w:rPr>
            </w:r>
            <w:r/>
          </w:p>
          <w:p>
            <w:pPr>
              <w:pStyle w:val="953"/>
              <w:jc w:val="left"/>
              <w:spacing w:line="400" w:lineRule="exact"/>
              <w:widowControl/>
              <w:rPr>
                <w:iCs/>
                <w:color w:val="000000"/>
                <w:szCs w:val="21"/>
                <w:highlight w:val="none"/>
              </w:rPr>
            </w:pPr>
            <w:r>
              <w:rPr>
                <w:rFonts w:hint="eastAsia"/>
                <w:iCs/>
                <w:color w:val="000000"/>
                <w:szCs w:val="21"/>
                <w:highlight w:val="none"/>
              </w:rPr>
              <w:t xml:space="preserve">（1）向仲裁委员会申请仲裁，仲裁地点为</w:t>
            </w:r>
            <w:r>
              <w:rPr>
                <w:rFonts w:hint="eastAsia"/>
                <w:iCs/>
                <w:color w:val="000000"/>
                <w:szCs w:val="21"/>
                <w:highlight w:val="none"/>
                <w:u w:val="single"/>
              </w:rPr>
              <w:t xml:space="preserve"> </w:t>
            </w:r>
            <w:r>
              <w:rPr>
                <w:rFonts w:hint="eastAsia"/>
                <w:iCs/>
                <w:color w:val="000000"/>
                <w:szCs w:val="21"/>
                <w:highlight w:val="none"/>
              </w:rPr>
              <w:t xml:space="preserve">；</w:t>
            </w:r>
            <w:r>
              <w:rPr>
                <w:iCs/>
                <w:color w:val="000000"/>
                <w:szCs w:val="21"/>
                <w:highlight w:val="none"/>
              </w:rPr>
            </w:r>
            <w:r/>
          </w:p>
          <w:p>
            <w:pPr>
              <w:pStyle w:val="953"/>
              <w:jc w:val="left"/>
              <w:widowControl/>
              <w:rPr>
                <w:color w:val="000000"/>
                <w:szCs w:val="21"/>
                <w:highlight w:val="none"/>
                <w:u w:val="single"/>
              </w:rPr>
            </w:pPr>
            <w:r>
              <w:rPr>
                <w:rFonts w:hint="eastAsia"/>
                <w:iCs/>
                <w:color w:val="000000"/>
                <w:szCs w:val="21"/>
                <w:highlight w:val="none"/>
              </w:rPr>
              <w:t xml:space="preserve">（2）向</w:t>
            </w:r>
            <w:r>
              <w:rPr>
                <w:rFonts w:hint="eastAsia"/>
                <w:iCs/>
                <w:color w:val="000000"/>
                <w:szCs w:val="21"/>
                <w:highlight w:val="none"/>
                <w:u w:val="single"/>
              </w:rPr>
              <w:t xml:space="preserve">甲方所在地</w:t>
            </w:r>
            <w:r>
              <w:rPr>
                <w:rFonts w:hint="eastAsia"/>
                <w:iCs/>
                <w:color w:val="000000"/>
                <w:szCs w:val="21"/>
                <w:highlight w:val="none"/>
              </w:rPr>
              <w:t xml:space="preserve">人民法院起诉。</w:t>
            </w:r>
            <w:r>
              <w:rPr>
                <w:color w:val="000000"/>
                <w:szCs w:val="21"/>
                <w:highlight w:val="none"/>
                <w:u w:val="single"/>
              </w:rPr>
            </w:r>
            <w:r/>
          </w:p>
        </w:tc>
      </w:tr>
      <w:tr>
        <w:trPr>
          <w:trHeight w:val="770"/>
        </w:trPr>
        <w:tc>
          <w:tcPr>
            <w:tcW w:w="1623" w:type="dxa"/>
            <w:vAlign w:val="center"/>
            <w:textDirection w:val="lrTb"/>
            <w:noWrap w:val="false"/>
          </w:tcPr>
          <w:p>
            <w:pPr>
              <w:pStyle w:val="953"/>
              <w:jc w:val="center"/>
              <w:widowControl/>
              <w:rPr>
                <w:color w:val="000000"/>
                <w:szCs w:val="21"/>
                <w:highlight w:val="none"/>
              </w:rPr>
            </w:pPr>
            <w:r>
              <w:rPr>
                <w:rFonts w:hint="eastAsia"/>
                <w:color w:val="000000"/>
                <w:szCs w:val="21"/>
                <w:highlight w:val="none"/>
              </w:rPr>
              <w:t xml:space="preserve">第二节</w:t>
            </w:r>
            <w:r>
              <w:rPr>
                <w:color w:val="000000"/>
                <w:szCs w:val="21"/>
                <w:highlight w:val="none"/>
              </w:rPr>
            </w:r>
            <w:r/>
          </w:p>
          <w:p>
            <w:pPr>
              <w:pStyle w:val="953"/>
              <w:jc w:val="center"/>
              <w:widowControl/>
              <w:rPr>
                <w:color w:val="000000"/>
                <w:szCs w:val="21"/>
                <w:highlight w:val="none"/>
              </w:rPr>
            </w:pPr>
            <w:r>
              <w:rPr>
                <w:rFonts w:hint="eastAsia"/>
                <w:color w:val="000000"/>
                <w:szCs w:val="21"/>
                <w:highlight w:val="none"/>
              </w:rPr>
              <w:t xml:space="preserve">第23.1款</w:t>
            </w:r>
            <w:r>
              <w:rPr>
                <w:color w:val="000000"/>
                <w:szCs w:val="21"/>
                <w:highlight w:val="none"/>
              </w:rPr>
            </w:r>
            <w:r/>
          </w:p>
        </w:tc>
        <w:tc>
          <w:tcPr>
            <w:tcW w:w="2686" w:type="dxa"/>
            <w:vAlign w:val="center"/>
            <w:textDirection w:val="lrTb"/>
            <w:noWrap w:val="false"/>
          </w:tcPr>
          <w:p>
            <w:pPr>
              <w:pStyle w:val="953"/>
              <w:jc w:val="left"/>
              <w:widowControl/>
              <w:rPr>
                <w:color w:val="000000"/>
                <w:szCs w:val="21"/>
                <w:highlight w:val="none"/>
              </w:rPr>
            </w:pPr>
            <w:r>
              <w:rPr>
                <w:rFonts w:hint="eastAsia"/>
                <w:bCs/>
                <w:color w:val="000000"/>
                <w:szCs w:val="21"/>
                <w:highlight w:val="none"/>
              </w:rPr>
              <w:t xml:space="preserve">其他专用条款</w:t>
            </w:r>
            <w:r>
              <w:rPr>
                <w:color w:val="000000"/>
                <w:szCs w:val="21"/>
                <w:highlight w:val="none"/>
              </w:rPr>
            </w:r>
            <w:r/>
          </w:p>
        </w:tc>
        <w:tc>
          <w:tcPr>
            <w:tcW w:w="4318" w:type="dxa"/>
            <w:vAlign w:val="center"/>
            <w:textDirection w:val="lrTb"/>
            <w:noWrap w:val="false"/>
          </w:tcPr>
          <w:p>
            <w:pPr>
              <w:pStyle w:val="953"/>
              <w:jc w:val="left"/>
              <w:widowControl/>
              <w:rPr>
                <w:color w:val="000000"/>
                <w:szCs w:val="21"/>
                <w:highlight w:val="none"/>
              </w:rPr>
            </w:pPr>
            <w:r>
              <w:rPr>
                <w:rFonts w:hint="eastAsia"/>
                <w:color w:val="000000"/>
                <w:szCs w:val="21"/>
                <w:highlight w:val="none"/>
              </w:rPr>
              <w:t xml:space="preserve">1</w:t>
            </w:r>
            <w:r>
              <w:rPr>
                <w:rFonts w:hint="eastAsia"/>
                <w:b/>
                <w:bCs/>
                <w:color w:val="000000"/>
                <w:szCs w:val="21"/>
                <w:highlight w:val="none"/>
              </w:rPr>
              <w:t xml:space="preserve">.</w:t>
            </w:r>
            <w:r>
              <w:rPr>
                <w:rFonts w:hint="eastAsia"/>
                <w:color w:val="000000"/>
                <w:szCs w:val="21"/>
                <w:highlight w:val="none"/>
              </w:rPr>
              <w:t xml:space="preserve">乙方应于签订合同之日起【  】个日历天内完成供货、安装、调试、交付甲方。</w:t>
            </w:r>
            <w:r>
              <w:rPr>
                <w:color w:val="000000"/>
                <w:szCs w:val="21"/>
                <w:highlight w:val="none"/>
              </w:rPr>
            </w:r>
            <w:r/>
          </w:p>
          <w:p>
            <w:pPr>
              <w:pStyle w:val="953"/>
              <w:jc w:val="left"/>
              <w:spacing w:line="378" w:lineRule="exact"/>
              <w:widowControl/>
              <w:rPr>
                <w:color w:val="000000"/>
                <w:szCs w:val="21"/>
                <w:highlight w:val="none"/>
              </w:rPr>
            </w:pPr>
            <w:r>
              <w:rPr>
                <w:rFonts w:hint="eastAsia" w:ascii="宋体" w:hAnsi="宋体" w:cs="宋体"/>
                <w:color w:val="000000"/>
                <w:szCs w:val="21"/>
                <w:highlight w:val="none"/>
              </w:rPr>
              <w:t xml:space="preserve">2.【         】</w:t>
            </w:r>
            <w:r>
              <w:rPr>
                <w:rFonts w:ascii="宋体" w:hAnsi="宋体" w:cs="宋体"/>
                <w:color w:val="000000"/>
                <w:szCs w:val="21"/>
                <w:highlight w:val="none"/>
              </w:rPr>
              <w:t xml:space="preserve">。</w:t>
            </w:r>
            <w:r>
              <w:rPr>
                <w:color w:val="000000"/>
                <w:szCs w:val="21"/>
                <w:highlight w:val="none"/>
              </w:rPr>
            </w:r>
            <w:r/>
          </w:p>
          <w:p>
            <w:pPr>
              <w:pStyle w:val="953"/>
              <w:jc w:val="left"/>
              <w:widowControl/>
              <w:rPr>
                <w:color w:val="000000"/>
                <w:szCs w:val="21"/>
                <w:highlight w:val="none"/>
              </w:rPr>
            </w:pPr>
            <w:r>
              <w:rPr>
                <w:color w:val="000000"/>
                <w:szCs w:val="21"/>
                <w:highlight w:val="none"/>
              </w:rPr>
            </w:r>
            <w:r/>
          </w:p>
        </w:tc>
      </w:tr>
    </w:tbl>
    <w:p>
      <w:pPr>
        <w:pStyle w:val="955"/>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w:t>
      </w:r>
      <w:bookmarkEnd w:id="54"/>
      <w:r>
        <w:rPr>
          <w:rFonts w:hint="eastAsia" w:ascii="黑体" w:hAnsi="黑体" w:eastAsia="黑体"/>
          <w:b w:val="0"/>
          <w:bCs w:val="0"/>
          <w:color w:val="000000"/>
          <w:sz w:val="28"/>
          <w:szCs w:val="28"/>
          <w:highlight w:val="none"/>
        </w:rPr>
        <w:t xml:space="preserve">四章 采购需求</w:t>
      </w:r>
      <w:bookmarkEnd w:id="55"/>
      <w:r/>
      <w:bookmarkEnd w:id="56"/>
      <w:r/>
      <w:bookmarkEnd w:id="57"/>
      <w:r>
        <w:rPr>
          <w:rFonts w:hint="eastAsia" w:ascii="黑体" w:hAnsi="黑体" w:eastAsia="黑体"/>
          <w:b w:val="0"/>
          <w:bCs w:val="0"/>
          <w:color w:val="000000"/>
          <w:sz w:val="28"/>
          <w:szCs w:val="28"/>
          <w:highlight w:val="none"/>
        </w:rPr>
      </w:r>
      <w:r/>
    </w:p>
    <w:p>
      <w:pPr>
        <w:pStyle w:val="955"/>
        <w:jc w:val="left"/>
        <w:spacing w:line="400" w:lineRule="exact"/>
        <w:rPr>
          <w:rFonts w:hint="eastAsia" w:ascii="黑体" w:hAnsi="黑体" w:eastAsia="黑体"/>
          <w:b w:val="0"/>
          <w:bCs w:val="0"/>
          <w:color w:val="000000"/>
          <w:sz w:val="28"/>
          <w:szCs w:val="28"/>
          <w:highlight w:val="none"/>
        </w:rPr>
      </w:pPr>
      <w:r/>
      <w:bookmarkStart w:id="60" w:name="_Toc49090575"/>
      <w:r/>
      <w:bookmarkStart w:id="61" w:name="_Toc26554093"/>
      <w:r>
        <w:rPr>
          <w:rFonts w:hint="eastAsia" w:ascii="黑体" w:hAnsi="黑体" w:eastAsia="黑体"/>
          <w:b w:val="0"/>
          <w:bCs w:val="0"/>
          <w:color w:val="000000"/>
          <w:sz w:val="28"/>
          <w:szCs w:val="28"/>
          <w:highlight w:val="none"/>
        </w:rPr>
        <w:t xml:space="preserve">一、采购标的清单</w:t>
      </w:r>
      <w:r>
        <w:rPr>
          <w:rFonts w:hint="eastAsia" w:ascii="黑体" w:hAnsi="黑体" w:eastAsia="黑体"/>
          <w:b w:val="0"/>
          <w:bCs w:val="0"/>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trHeight w:val="701"/>
        </w:trPr>
        <w:tc>
          <w:tcPr>
            <w:tcW w:w="790"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1321"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292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rPr>
                <w:rFonts w:hint="eastAsia" w:ascii="方正仿宋_GBK" w:hAnsi="方正仿宋_GBK" w:eastAsia="方正仿宋_GBK" w:cs="方正仿宋_GBK"/>
                <w:color w:val="000000"/>
                <w:sz w:val="28"/>
                <w:szCs w:val="28"/>
                <w:highlight w:val="none"/>
              </w:rPr>
            </w:r>
            <w:r/>
          </w:p>
        </w:tc>
        <w:tc>
          <w:tcPr>
            <w:tcW w:w="2677"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rPr>
                <w:rFonts w:hint="eastAsia" w:ascii="方正仿宋_GBK" w:hAnsi="方正仿宋_GBK" w:eastAsia="方正仿宋_GBK" w:cs="方正仿宋_GBK"/>
                <w:color w:val="000000"/>
                <w:sz w:val="28"/>
                <w:szCs w:val="28"/>
                <w:highlight w:val="none"/>
              </w:rPr>
            </w:r>
            <w:r/>
          </w:p>
        </w:tc>
      </w:tr>
      <w:tr>
        <w:trPr>
          <w:cantSplit/>
          <w:trHeight w:val="291"/>
        </w:trPr>
        <w:tc>
          <w:tcPr>
            <w:tcW w:w="790"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r>
            <w:r/>
          </w:p>
        </w:tc>
        <w:tc>
          <w:tcPr>
            <w:tcW w:w="132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92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高性能GPU服务器</w:t>
            </w:r>
            <w:r>
              <w:rPr>
                <w:rFonts w:hint="eastAsia" w:ascii="方正仿宋_GBK" w:hAnsi="方正仿宋_GBK" w:eastAsia="方正仿宋_GBK" w:cs="方正仿宋_GBK"/>
                <w:color w:val="000000"/>
                <w:sz w:val="28"/>
                <w:szCs w:val="28"/>
                <w:highlight w:val="none"/>
              </w:rPr>
            </w:r>
            <w:r/>
          </w:p>
        </w:tc>
        <w:tc>
          <w:tcPr>
            <w:tcW w:w="2677" w:type="dxa"/>
            <w:vAlign w:val="top"/>
            <w:textDirection w:val="lrTb"/>
            <w:noWrap w:val="false"/>
          </w:tcPr>
          <w:p>
            <w:pPr>
              <w:pStyle w:val="953"/>
              <w:jc w:val="center"/>
              <w:spacing w:line="4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工业</w:t>
            </w:r>
            <w:r>
              <w:rPr>
                <w:rFonts w:hint="eastAsia" w:eastAsia="方正仿宋_GBK"/>
                <w:color w:val="000000"/>
                <w:sz w:val="28"/>
                <w:szCs w:val="28"/>
                <w:highlight w:val="none"/>
              </w:rPr>
            </w:r>
            <w:r/>
          </w:p>
        </w:tc>
      </w:tr>
    </w:tbl>
    <w:p>
      <w:pPr>
        <w:pStyle w:val="955"/>
        <w:jc w:val="left"/>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二、政府采购中实施本国产品标准及相关政策</w:t>
      </w:r>
      <w:r>
        <w:rPr>
          <w:rFonts w:hint="eastAsia" w:ascii="黑体" w:hAnsi="黑体" w:eastAsia="黑体"/>
          <w:b w:val="0"/>
          <w:bCs w:val="0"/>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highlight w:val="none"/>
        </w:rPr>
      </w:r>
      <w:r/>
    </w:p>
    <w:p>
      <w:pPr>
        <w:pStyle w:val="955"/>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三、技术要求</w:t>
      </w:r>
      <w:r>
        <w:rPr>
          <w:rFonts w:hint="eastAsia" w:ascii="黑体" w:hAnsi="黑体" w:eastAsia="黑体"/>
          <w:b w:val="0"/>
          <w:bCs w:val="0"/>
          <w:color w:val="000000"/>
          <w:sz w:val="28"/>
          <w:szCs w:val="28"/>
          <w:highlight w:val="none"/>
        </w:rPr>
      </w:r>
      <w:r/>
    </w:p>
    <w:p>
      <w:pPr>
        <w:pStyle w:val="953"/>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为实质性要求。</w:t>
      </w:r>
      <w:r>
        <w:rPr>
          <w:rFonts w:hint="eastAsia" w:ascii="方正仿宋_GBK" w:hAnsi="方正仿宋_GBK" w:eastAsia="方正仿宋_GBK" w:cs="方正仿宋_GBK"/>
          <w:b/>
          <w:bCs/>
          <w:color w:val="000000"/>
          <w:sz w:val="28"/>
          <w:szCs w:val="28"/>
          <w:highlight w:val="none"/>
        </w:rPr>
      </w:r>
      <w:r/>
    </w:p>
    <w:p>
      <w:pPr>
        <w:pStyle w:val="953"/>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包括但不限于：主要用途、技术方案（配置）、工艺要求、技术指标、技术规格以及相关图纸等。</w:t>
      </w:r>
      <w:r>
        <w:rPr>
          <w:rFonts w:hint="eastAsia" w:ascii="方正仿宋_GBK" w:hAnsi="方正仿宋_GBK" w:eastAsia="方正仿宋_GBK" w:cs="方正仿宋_GBK"/>
          <w:color w:val="000000"/>
          <w:sz w:val="28"/>
          <w:szCs w:val="28"/>
          <w:highlight w:val="none"/>
        </w:rPr>
      </w:r>
      <w:r/>
    </w:p>
    <w:p>
      <w:pPr>
        <w:pStyle w:val="953"/>
        <w:ind w:firstLine="280"/>
        <w:jc w:val="left"/>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（一）硬件配置</w:t>
      </w:r>
      <w:r>
        <w:rPr>
          <w:rFonts w:hint="eastAsia" w:ascii="方正仿宋_GBK" w:hAnsi="方正仿宋_GBK" w:eastAsia="方正仿宋_GBK" w:cs="方正仿宋_GBK"/>
          <w:b/>
          <w:bCs/>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1、机架式/工作站式服务器，支持两颗第四代Intel可扩展系列处理器，支持32根内存插槽 ，支持DDR5 LRDIMM;RDIMM，支持至少8块2.5英寸硬盘位，至少8个U.2 NVme SSD硬盘；可选外插SAS或RAID卡，支持多种RAID模式，独立IPMI管理接口，支持10个PCIe 5.0 x16插槽,支持OCP插槽；包含冗余铂金电源，无光驱，含导轨；</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b/>
          <w:bCs/>
          <w:i/>
          <w:iCs/>
          <w:color w:val="000000"/>
          <w:sz w:val="28"/>
          <w:szCs w:val="28"/>
          <w:highlight w:val="none"/>
          <w:u w:val="single"/>
        </w:rPr>
      </w:pPr>
      <w:r>
        <w:rPr>
          <w:rFonts w:hint="eastAsia" w:ascii="方正仿宋_GBK" w:hAnsi="方正仿宋_GBK" w:eastAsia="方正仿宋_GBK" w:cs="方正仿宋_GBK"/>
          <w:b/>
          <w:bCs/>
          <w:i/>
          <w:iCs/>
          <w:color w:val="000000"/>
          <w:sz w:val="28"/>
          <w:szCs w:val="28"/>
          <w:highlight w:val="none"/>
          <w:u w:val="single"/>
        </w:rPr>
        <w:t xml:space="preserve">2、GPU模组①：高性能GPU服务器采购，用于多agent体系training与inference，GPU单卡峰值算力 FP16/BF16不低于0.9 PFLOPS，FP8不低于1.8 PFLOPS、FP4不低于3.2 PFLOPS、FP32不低于 110 TFLOPS；核心/计算单元不低于24,000个，单卡显存不低于96GB GDDR7，显存带宽不低于1500 GB/s 带宽；</w:t>
      </w:r>
      <w:r>
        <w:rPr>
          <w:rFonts w:hint="eastAsia" w:ascii="方正仿宋_GBK" w:hAnsi="方正仿宋_GBK" w:eastAsia="方正仿宋_GBK" w:cs="方正仿宋_GBK"/>
          <w:b/>
          <w:bCs/>
          <w:i/>
          <w:iCs/>
          <w:color w:val="000000"/>
          <w:sz w:val="28"/>
          <w:szCs w:val="28"/>
          <w:highlight w:val="none"/>
          <w:u w:val="single"/>
        </w:rPr>
      </w:r>
      <w:r/>
    </w:p>
    <w:p>
      <w:pPr>
        <w:pStyle w:val="953"/>
        <w:ind w:firstLine="560"/>
        <w:jc w:val="left"/>
        <w:spacing w:line="460" w:lineRule="exact"/>
        <w:rPr>
          <w:rFonts w:hint="eastAsia" w:ascii="方正仿宋_GBK" w:hAnsi="方正仿宋_GBK" w:eastAsia="方正仿宋_GBK" w:cs="方正仿宋_GBK"/>
          <w:b/>
          <w:bCs/>
          <w:i/>
          <w:iCs/>
          <w:color w:val="000000"/>
          <w:sz w:val="28"/>
          <w:szCs w:val="28"/>
          <w:highlight w:val="none"/>
          <w:u w:val="single"/>
        </w:rPr>
      </w:pPr>
      <w:r>
        <w:rPr>
          <w:rFonts w:hint="eastAsia" w:ascii="方正仿宋_GBK" w:hAnsi="方正仿宋_GBK" w:eastAsia="方正仿宋_GBK" w:cs="方正仿宋_GBK"/>
          <w:b/>
          <w:bCs/>
          <w:i/>
          <w:iCs/>
          <w:color w:val="000000"/>
          <w:sz w:val="28"/>
          <w:szCs w:val="28"/>
          <w:highlight w:val="none"/>
          <w:u w:val="single"/>
        </w:rPr>
        <w:t xml:space="preserve">3、CPU：配置≥2颗，单颗核心数≥48核，主频≥2.1Ghz X86系列处理器；</w:t>
      </w:r>
      <w:r>
        <w:rPr>
          <w:rFonts w:hint="eastAsia" w:ascii="方正仿宋_GBK" w:hAnsi="方正仿宋_GBK" w:eastAsia="方正仿宋_GBK" w:cs="方正仿宋_GBK"/>
          <w:b/>
          <w:bCs/>
          <w:i/>
          <w:iCs/>
          <w:color w:val="000000"/>
          <w:sz w:val="28"/>
          <w:szCs w:val="28"/>
          <w:highlight w:val="none"/>
          <w:u w:val="single"/>
        </w:rPr>
      </w:r>
      <w:r/>
    </w:p>
    <w:p>
      <w:pPr>
        <w:pStyle w:val="953"/>
        <w:ind w:firstLine="560"/>
        <w:jc w:val="left"/>
        <w:spacing w:line="460" w:lineRule="exact"/>
        <w:rPr>
          <w:rFonts w:hint="eastAsia" w:ascii="方正仿宋_GBK" w:hAnsi="方正仿宋_GBK" w:eastAsia="方正仿宋_GBK" w:cs="方正仿宋_GBK"/>
          <w:b/>
          <w:bCs/>
          <w:i/>
          <w:iCs/>
          <w:color w:val="000000"/>
          <w:sz w:val="28"/>
          <w:szCs w:val="28"/>
          <w:highlight w:val="none"/>
          <w:u w:val="single"/>
        </w:rPr>
      </w:pPr>
      <w:r>
        <w:rPr>
          <w:rFonts w:hint="eastAsia" w:ascii="方正仿宋_GBK" w:hAnsi="方正仿宋_GBK" w:eastAsia="方正仿宋_GBK" w:cs="方正仿宋_GBK"/>
          <w:b/>
          <w:bCs/>
          <w:i/>
          <w:iCs/>
          <w:color w:val="000000"/>
          <w:sz w:val="28"/>
          <w:szCs w:val="28"/>
          <w:highlight w:val="none"/>
          <w:u w:val="single"/>
        </w:rPr>
        <w:t xml:space="preserve">4、内存：配置≥32块64GB DDR5-5600 ECC REG RDIMM</w:t>
      </w:r>
      <w:r>
        <w:rPr>
          <w:rFonts w:hint="eastAsia" w:ascii="方正仿宋_GBK" w:hAnsi="方正仿宋_GBK" w:eastAsia="方正仿宋_GBK" w:cs="方正仿宋_GBK"/>
          <w:b/>
          <w:bCs/>
          <w:i/>
          <w:iCs/>
          <w:color w:val="000000"/>
          <w:sz w:val="28"/>
          <w:szCs w:val="28"/>
          <w:highlight w:val="none"/>
          <w:u w:val="singl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5、NVMe SSD硬盘</w:t>
      </w:r>
      <w:r>
        <w:rPr>
          <w:rFonts w:hint="eastAsia" w:ascii="方正仿宋_GBK" w:hAnsi="方正仿宋_GBK" w:eastAsia="方正仿宋_GBK" w:cs="方正仿宋_GBK"/>
          <w:color w:val="000000"/>
          <w:sz w:val="28"/>
          <w:szCs w:val="28"/>
          <w:highlight w:val="none"/>
        </w:rPr>
        <w:tab/>
      </w:r>
      <w:r>
        <w:rPr>
          <w:rFonts w:hint="eastAsia" w:ascii="方正仿宋_GBK" w:hAnsi="方正仿宋_GBK" w:eastAsia="方正仿宋_GBK" w:cs="方正仿宋_GBK"/>
          <w:color w:val="000000"/>
          <w:sz w:val="28"/>
          <w:szCs w:val="28"/>
          <w:highlight w:val="none"/>
        </w:rPr>
        <w:t xml:space="preserve">配置≥2块7.68T GEN4 读取密集 U.2 NVMe</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6、2.5寸 SSD硬盘：配置≥2块2.5" 960G  SATA 读取密集 SSD</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7、网卡：配置≥1块10G 四光口 XL710 半高网卡 含模块；配置≥1块mellanox MCX512A-ACUT ConnectX-5双口25G网卡(含模块)；RAID卡</w:t>
      </w:r>
      <w:r>
        <w:rPr>
          <w:rFonts w:hint="eastAsia" w:ascii="方正仿宋_GBK" w:hAnsi="方正仿宋_GBK" w:eastAsia="方正仿宋_GBK" w:cs="方正仿宋_GBK"/>
          <w:color w:val="000000"/>
          <w:sz w:val="28"/>
          <w:szCs w:val="28"/>
          <w:highlight w:val="none"/>
        </w:rPr>
        <w:tab/>
      </w:r>
      <w:r>
        <w:rPr>
          <w:rFonts w:hint="eastAsia" w:ascii="方正仿宋_GBK" w:hAnsi="方正仿宋_GBK" w:eastAsia="方正仿宋_GBK" w:cs="方正仿宋_GBK"/>
          <w:color w:val="000000"/>
          <w:sz w:val="28"/>
          <w:szCs w:val="28"/>
          <w:highlight w:val="none"/>
        </w:rPr>
        <w:t xml:space="preserve">配置≥1块Raid卡，缓存≥4GB，支持Raid0 1 5 6 10 50 60等多种模式</w:t>
      </w:r>
      <w:r>
        <w:rPr>
          <w:rFonts w:hint="eastAsia" w:ascii="方正仿宋_GBK" w:hAnsi="方正仿宋_GBK" w:eastAsia="方正仿宋_GBK" w:cs="方正仿宋_GBK"/>
          <w:color w:val="000000"/>
          <w:sz w:val="28"/>
          <w:szCs w:val="28"/>
          <w:highlight w:val="none"/>
        </w:rPr>
      </w:r>
      <w:r/>
    </w:p>
    <w:p>
      <w:pPr>
        <w:pStyle w:val="953"/>
        <w:ind w:firstLine="280"/>
        <w:jc w:val="left"/>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（二）软件配置</w:t>
      </w:r>
      <w:r>
        <w:rPr>
          <w:rFonts w:hint="eastAsia" w:ascii="方正仿宋_GBK" w:hAnsi="方正仿宋_GBK" w:eastAsia="方正仿宋_GBK" w:cs="方正仿宋_GBK"/>
          <w:b/>
          <w:bCs/>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1、操作系统：ubuntu</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2、推理引擎：vLLm</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3、开源模型：DeepSeek系列模型： V3 671B、R1 671B 、R1-70B、R1-32B、R1-14B、R1-8B、R1-7B；Qwen：70B；llama 405B</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4、数据集管理：平台支持从文件管理选取文件作为数据集进行统一管理，支持用户在基础数据集或者其他数据集版本的基础上创建自定义的数据集版本，支持从数据集导入数据到数据标注工具。</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5、数据标注：平台支持多种数据格式的在线标注，包</w:t>
      </w:r>
      <w:r>
        <w:rPr>
          <w:rFonts w:hint="eastAsia" w:ascii="方正仿宋_GBK" w:hAnsi="方正仿宋_GBK" w:eastAsia="方正仿宋_GBK" w:cs="方正仿宋_GBK"/>
          <w:color w:val="000000"/>
          <w:sz w:val="28"/>
          <w:szCs w:val="28"/>
          <w:highlight w:val="none"/>
        </w:rPr>
        <w:t xml:space="preserve">括图像、文本、视频、音频和时序数据。图像标注功能全面，涵盖图像分类（支持单图单标签与多标签）、目标检测（支持矩形框与自定义多边形）、图像分割（实例级与语义级）、OCR 标注（结构化与非结构化文本识别）。文本标注支持丰富的任务类型，如文本分类（适用于短文本、长文本、多语种等场景）、情感分析（文本级、目标级）、实体识别与实体关系抽取等。在标注任务完成后，用户可选择目标项目，并设置导出格式（支持 COCO、YOLO、CSV、JSON 等），数据可作为现有数据集的更新版本发布，也可作为一个全新数据集进行管理和使用。</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6、开发环境：平台支持快速构建交互式 AI 开发环境，支持使用 Jupyter Notebook、WebShell 等在线交互式开发工具，并可对接 VSCode、PyCharm 等第三方开发工具进行远程开发。支持在 0 卡（仅使用 CPU）、单卡、多卡，以及单机/多机等多种算力资源配置下灵活创建开发环境。可使用虚拟GPU进行开发环境资源的配置，平台同时支持开发环境的端口开放配置，方便模型调试、服务启动与可视化访问。</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7、分布式任务：支持AI模型的多机分布式训练，可提交Tensorflow、Caffe、pytorch、PaddlePaddle框架的分布式训练作业，并支持MPI、PS/Worker、Master/Worker等分布式类型；</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算法及工作流：构建平台支持算法开发者自定义模型算法，并提供算法创建、版本管理与发布功能。已发布的算法可被其他用户直接复用，用于快速构建完整的模型训练工作流，包括数据输入、预处理、训练任务发起、模型结果输出与导入等环节，实现 AI 算法能力的标准化复用与高效推广。同时，平台支持将数据处理、模型训练、前后处理等关键环节模块化，并通过业务编排实现自动化流程管理。用户可一键启动模型开发的全流程任务，并支持按周期调度或手动触发，提升开发效率与任务管理灵活性。</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镜像管理：支持用户在线导入开源镜像、通过Dockerfile构建镜像、通过tar文件导入镜像，并实时查看导入过程的日志信息。同时，支持本地镜像文件的上传，导入后的镜像可在组内共享使用，也可选择设置为全局公开，供所有用户访问。支持镜像导出功能。</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模型管理：模型管理模块对训练完成的模型按类别与版本进行有序存储与统一管理，便于用户快速查找与复用。同时，平台模型仓库还支持导入符合技术规范的外部训练模型，实现内部与外部模型的集中化管理与使用。</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服务部署：提供一整套高效灵活的服务部署与管理功能，支持统一的AI算法封装标准，支持多框架模型的统一纳管。支持选择模型，选择资源(物理卡或vGPU)，设置量化精度、上下文长度等推理参数，进行单机或分布式的快速部署。并提供模型服务的停止、启动及删除，可查看服务详情及日志。</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12、服务监控：支持实时监控推理服务的运行状态与资源使用情况。包括运行状态的调用量、调用次数、输出性能及调用延时等指标，资源监控的GPU、CPU、内存、网络四类指标数据。</w:t>
      </w:r>
      <w:r>
        <w:rPr>
          <w:rFonts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13、支持异构加速卡统一资源管理。支持资源池调度策略设置。支持资源池显卡使用情况和任务运行情况查看。</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14、GPU细粒度调度：支持基于WEB页面的GPU细粒度调度设置，包括：1）显存切分：按GPU显存进行任意大小的切分，最小支持1M显存；2）算力切分：按算力进行任意大小的切分，算力最小切分1％。</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主机性能监控：支持服务器运行数据监控，包括CPU使用率、CPU负载、TOP10进程CPU使用率、内存使用率、TOP10进程内存使用率、磁盘空间使用率、磁盘读写带宽、磁盘IOPS、网络带宽、网络包速率、GPU温度、GPU功率、GPU使用率、GPU风扇速率、GPU显存使用率等相关监控数据。</w:t>
      </w:r>
      <w:r>
        <w:rPr>
          <w:rFonts w:hint="eastAsia" w:ascii="方正仿宋_GBK" w:hAnsi="方正仿宋_GBK" w:eastAsia="方正仿宋_GBK" w:cs="方正仿宋_GBK"/>
          <w:color w:val="000000"/>
          <w:sz w:val="28"/>
          <w:szCs w:val="28"/>
          <w:highlight w:val="none"/>
        </w:rPr>
      </w:r>
      <w:r/>
    </w:p>
    <w:p>
      <w:pPr>
        <w:pStyle w:val="953"/>
        <w:ind w:firstLine="560"/>
        <w:jc w:val="left"/>
        <w:spacing w:line="460" w:lineRule="exact"/>
        <w:rPr>
          <w:color w:val="000000"/>
          <w:highlight w:val="none"/>
        </w:rPr>
      </w:pPr>
      <w:r>
        <w:rPr>
          <w:rFonts w:hint="eastAsia" w:ascii="方正仿宋_GBK" w:hAnsi="方正仿宋_GBK" w:eastAsia="方正仿宋_GBK" w:cs="方正仿宋_GBK"/>
          <w:color w:val="000000"/>
          <w:sz w:val="28"/>
          <w:szCs w:val="28"/>
          <w:highlight w:val="none"/>
        </w:rPr>
        <w:t xml:space="preserve">16、传感器监控：支持服务器传感器（温度传感器、风扇传感器和电源传感器）监控。传感器数据包括但不限于传感器名称、传感器状态、传感器值、过低严重告警阀值、过低轻微告警阀值、过低故障阀值、过高严重告警阀值、过高轻微告警阀值、过高故障阀值、采集时间等相关监控数据。</w:t>
      </w:r>
      <w:r>
        <w:rPr>
          <w:color w:val="000000"/>
          <w:highlight w:val="none"/>
        </w:rPr>
      </w:r>
      <w:r/>
    </w:p>
    <w:p>
      <w:pPr>
        <w:pStyle w:val="955"/>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四、商务要求</w:t>
      </w:r>
      <w:r>
        <w:rPr>
          <w:rFonts w:hint="eastAsia" w:ascii="黑体" w:hAnsi="黑体" w:eastAsia="黑体"/>
          <w:b w:val="0"/>
          <w:bCs w:val="0"/>
          <w:color w:val="000000"/>
          <w:sz w:val="28"/>
          <w:szCs w:val="28"/>
          <w:highlight w:val="none"/>
        </w:rPr>
      </w:r>
      <w:r/>
    </w:p>
    <w:p>
      <w:pPr>
        <w:pStyle w:val="953"/>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rPr>
          <w:rFonts w:hint="eastAsia" w:ascii="方正仿宋_GBK" w:hAnsi="方正仿宋_GBK" w:eastAsia="方正仿宋_GBK" w:cs="方正仿宋_GBK"/>
          <w:b/>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为保障项目采购的 GPU 算力设备顺利部署并投入实际使用，供应商应提供与设备配套的咨询、安装、调试、培训和维保等服务。</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（一）实施要求</w:t>
      </w:r>
      <w:r>
        <w:rPr>
          <w:rFonts w:hint="eastAsia" w:ascii="方正仿宋_GBK" w:hAnsi="方正仿宋_GBK" w:eastAsia="方正仿宋_GBK" w:cs="方正仿宋_GBK"/>
          <w:b/>
          <w:color w:val="000000"/>
          <w:sz w:val="28"/>
          <w:szCs w:val="28"/>
          <w:highlight w:val="none"/>
        </w:rPr>
      </w:r>
      <w:r/>
    </w:p>
    <w:p>
      <w:pPr>
        <w:pStyle w:val="953"/>
        <w:ind w:firstLine="560"/>
        <w:spacing w:line="460" w:lineRule="exact"/>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1、项目实施方案</w:t>
      </w:r>
      <w:r>
        <w:rPr>
          <w:rFonts w:ascii="方正仿宋_GBK" w:hAnsi="方正仿宋_GBK" w:eastAsia="方正仿宋_GBK" w:cs="方正仿宋_GBK"/>
          <w:b/>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现场勘察与计划：合同生效后7个工作日内，乙方应完成机房承重、电力、制冷、网络、存储、机柜空间和信息安全条件核查，向甲方提交实施进度表、设备上架及布线方案、网络与管理地址规划、停机影响控制方案和联系人清单，经甲方确认后实施。</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项目团队：乙方应配置不少于1名项目经理和2名技术工程师，负责设备到货、上架、连线、加电、操作系统与驱动部署、GPU运行环境配置、AI训练与推理框架安装、模型及数据工具部署和多卡联调。项目经理和技术工程师名单、职责及联系方式应在进场前书面报甲方。</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（3）进度与交付：乙方应在合同生效后30个日历日内完成全部设备到货、安装和基础环境部署；试运行及最终验收按照本章相关要求执行。</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质量与安全：乙方应制定到货核验、安装质量检查、配置复核、数据与账号安全、现场施工安全、故障回退和应急处置措施。实施不得影响甲方正常教学、科研和办公秩序；如需中断网络或停机，应事先取得甲方书面同意。</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（5）实施交付物：至少包括实施方案、设备及序列号清单、网络拓扑图、软硬件配置清单、账号权限交接表、安装部署文档、测试方案与测试记录、问题闭环清单、培训材料和售后服务信息。</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用于评分的可量化优于项：①合同生效后5个工作日内完成现场勘察并提交实施方案；②合同生效后25个日历日内完成全部设备到货、安装和基础环境部署；③现场实施团队不少于1名项目经理和3名技术工程师。</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2、售后服务方案</w:t>
      </w:r>
      <w:r>
        <w:rPr>
          <w:rFonts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（1）服务范围：乙方应提供不少于60个月的原厂质保服务，并承担质保期内硬件故障诊断、维修、更换、系统恢复、驱动及配套软件适配和技术支持所需的全部费用；人为不当操作或不可抗力造成的损坏除外。</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最低响应要求：乙方接到故障通知后12小时内作出有效响应；需要现场处理的，技术人员应在24小时内到达现场；一般故障应在2日内完成修复；重大故障应在7日内解决或提交经甲方认可的明确解决方案。设备连续48小时无法恢复正常运行的，乙方应免费提供性能不低于原设备的备用部件或临时替代设备。</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（3）服务保障：乙方应明确项目售后负责人、技术支持渠道、故障分级和升级机制，提供备品备件保障；质保期内每年至少开展1次设备健康检查，提交检查记录和整改建议。</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（4）用于评分的可量化优于项：①故障通知后6小时内有效响应；②需要现场处理的，12小时内到达现场；③一般故障24小时内完成修复或提供性能不低于原设备的替代设备。</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3、培训方案</w:t>
      </w:r>
      <w:r>
        <w:rPr>
          <w:rFonts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培训对象与内容：分别面向平台管理人员和科研使用人员开展培训，内容应覆盖服务器与BMC管理、GPU与驱动环境、开发与推理平台使用、资源调度、模型部署、日常巡检、日志分析、数据与账号安全以及常见故障处理。</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（2）最低培训要求：培训总时长不少于1个工作日、现场培训不少于2场次；乙方应提供中文培训课件、操作手册和常见问题清单，组织实机操作并进行培训效果确认。培训时间和参加人员由甲方确定。</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（3）用于评分的可量化优于项：①培训总时长不少于2个工作日；②现场培训不少于4场次；③项目验收后6个月内再提供不少于2次远程或现场专项培训。</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（二）试运行要求</w:t>
      </w:r>
      <w:r>
        <w:rPr>
          <w:rFonts w:hint="eastAsia" w:ascii="方正仿宋_GBK" w:hAnsi="方正仿宋_GBK" w:eastAsia="方正仿宋_GBK" w:cs="方正仿宋_GBK"/>
          <w:b/>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ascii="方正仿宋_GBK" w:hAnsi="方正仿宋_GBK" w:eastAsia="方正仿宋_GBK"/>
          <w:color w:val="000000"/>
          <w:sz w:val="28"/>
          <w:highlight w:val="none"/>
        </w:rPr>
        <w:t xml:space="preserve">合同签订后、批量设备发货前，乙方应提供配置2张与投标设备同品牌同型号GPU的样机供甲方进行不少于7×24小时的性能与稳定性验证，其他硬件配置应满足测试需要。样机验证通过后，乙方完成整机全配置交付，并配合甲方开展硬件一致性核验、系统功能测试、GPU单卡和多卡性能测试、指定模型或任务运行验证以及不少于14×24小时的整机满载稳定性测试。发现问题时，乙方应完成整改并重新测试，直至连续测试达到要求。乙方应提交测试方案、测试脚本及参数、原始日志、测试报告和问题闭环记录</w:t>
      </w:r>
      <w:r>
        <w:rPr>
          <w:rFonts w:hint="eastAsia" w:ascii="方正仿宋_GBK" w:hAnsi="方正仿宋_GBK" w:eastAsia="方正仿宋_GBK"/>
          <w:color w:val="000000"/>
          <w:sz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（三）培训要求：</w:t>
      </w:r>
      <w:r>
        <w:rPr>
          <w:rFonts w:ascii="方正仿宋_GBK" w:hAnsi="方正仿宋_GBK" w:eastAsia="方正仿宋_GBK"/>
          <w:color w:val="000000"/>
          <w:sz w:val="28"/>
          <w:highlight w:val="none"/>
        </w:rPr>
        <w:t xml:space="preserve">培训应符合本章“（一）实施要求”第3项约定。培训完成后，乙方应提交签到记录、培训材料、实机操作记录和培训效果确认材料，作为履约验收内容。</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（四）质保要求：</w:t>
      </w:r>
      <w:r>
        <w:rPr>
          <w:rFonts w:hint="eastAsia" w:ascii="方正仿宋_GBK" w:hAnsi="方正仿宋_GBK" w:eastAsia="方正仿宋_GBK" w:cs="方正仿宋_GBK"/>
          <w:bCs/>
          <w:color w:val="000000"/>
          <w:sz w:val="28"/>
          <w:szCs w:val="28"/>
          <w:highlight w:val="none"/>
        </w:rPr>
        <w:t xml:space="preserve">供应商须提供不少于5年原厂质保服务，保障设备故障处理、维修更换和技术支持。项目交付应以设备能够支撑采购方指定训练、推理或科研任务正常运行作为标准，不得仅以设备到货或开机作为交付完成依据。</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（五）验收标准</w:t>
      </w:r>
      <w:r>
        <w:rPr>
          <w:rFonts w:hint="eastAsia" w:ascii="方正仿宋_GBK" w:hAnsi="方正仿宋_GBK" w:eastAsia="方正仿宋_GBK" w:cs="方正仿宋_GBK"/>
          <w:b/>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 硬件一致性验收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交付的GPU服务器品牌、型号、CPU、内存、硬盘、GPU型号、GPU数量、显存容量、网卡、电源、导轨及配件应与合同、技术规格书及投标响应文件完全一致。若存在型号不一致、配置缩水、翻新件或二手件，采购方有权拒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 基础功能验收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服务器应能够正常开机、进入操作系统，所有CPU、内存、硬盘、网卡、GPU均能被系统正确识别。BMC远程管理功能、系统日志、硬件监控、风扇、电源冗余、温度传感器应运行正常。</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 GPU性能验收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每张GPU应通过单卡计算测试、显存测试、显存带宽测试、多卡通信测试及压力测试。GPU理论算力、显存容量、互联能力应不低于合同约定。实测性能应达到双方确认基准值的合理比例，一般建议不低于参考基准的95％。</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 稳定性验收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整机应在所有GPU满载状态下连续稳定运行不少于14x24小时，运行期间不得出现宕机、重启、GPU掉卡、程序因GPU卡自身问题崩溃、驱动崩溃、不可纠正ECC错误、严重温度告警或电源异常。</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 AI框架验收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供货方应完成指定AI框架和运行环境部署，包括但不限于PyTorch、TensorFlow、CUDA/cuDNN/TensorRT或国产卡对应的CANN、MACA、NeuWare、MUSA等。应至少完成一个指定大模型或深度学习模型的推理、训练样例运行。</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 文档与服务验收</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供货方应提交完整的设备清单、安装部署文档、测试报告、网络拓扑图、账号密码交接文件、保修承诺及售后服务联系人。未提交完整文档的，视为交付不完整。</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上述验收必须全部通过才能视为验收完成。</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（六）质保期及履约保证金</w:t>
      </w:r>
      <w:r>
        <w:rPr>
          <w:rFonts w:hint="eastAsia" w:ascii="方正仿宋_GBK" w:hAnsi="方正仿宋_GBK" w:eastAsia="方正仿宋_GBK" w:cs="方正仿宋_GBK"/>
          <w:b/>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1、免费质保期</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自项目验收合格之日起，不少于60个月。(无质保要求的“/”表示)</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2、履约保证金</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乙方于本合同签订前向甲方交纳人民币</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元（合同价的10%）作为本合同的履约保证金。</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 </w:t>
      </w:r>
      <w:r>
        <w:rPr>
          <w:rFonts w:hint="eastAsia" w:ascii="方正仿宋_GBK" w:hAnsi="方正仿宋_GBK" w:eastAsia="方正仿宋_GBK" w:cs="方正仿宋_GBK"/>
          <w:bCs/>
          <w:color w:val="000000"/>
          <w:sz w:val="28"/>
          <w:szCs w:val="28"/>
          <w:highlight w:val="none"/>
        </w:rPr>
      </w:r>
      <w:r/>
    </w:p>
    <w:p>
      <w:pPr>
        <w:pStyle w:val="953"/>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（七）付款方式</w:t>
      </w:r>
      <w:r>
        <w:rPr>
          <w:rFonts w:hint="eastAsia" w:ascii="方正仿宋_GBK" w:hAnsi="方正仿宋_GBK" w:eastAsia="方正仿宋_GBK" w:cs="方正仿宋_GBK"/>
          <w:b/>
          <w:color w:val="000000"/>
          <w:sz w:val="28"/>
          <w:szCs w:val="28"/>
          <w:highlight w:val="none"/>
        </w:rPr>
      </w:r>
      <w:r/>
    </w:p>
    <w:p>
      <w:pPr>
        <w:pStyle w:val="953"/>
        <w:ind w:firstLine="560"/>
        <w:spacing w:line="460" w:lineRule="exact"/>
        <w:rPr>
          <w:rFonts w:hint="eastAsia" w:ascii="方正仿宋_GBK" w:hAnsi="方正仿宋_GBK" w:eastAsia="方正仿宋_GBK" w:cs="方正仿宋_GBK"/>
          <w:bCs/>
          <w:color w:val="000000"/>
          <w:sz w:val="28"/>
          <w:szCs w:val="28"/>
          <w:highlight w:val="none"/>
          <w:u w:val="none"/>
        </w:rPr>
      </w:pPr>
      <w:r>
        <w:rPr>
          <w:rFonts w:hint="eastAsia" w:ascii="方正仿宋_GBK" w:hAnsi="方正仿宋_GBK" w:eastAsia="方正仿宋_GBK" w:cs="方正仿宋_GBK"/>
          <w:bCs/>
          <w:color w:val="000000"/>
          <w:sz w:val="28"/>
          <w:szCs w:val="28"/>
          <w:highlight w:val="none"/>
          <w:u w:val="none"/>
        </w:rPr>
      </w:r>
      <w:r>
        <w:rPr>
          <w:rFonts w:hint="eastAsia" w:ascii="方正仿宋_GBK" w:hAnsi="方正仿宋_GBK" w:eastAsia="方正仿宋_GBK" w:cs="方正仿宋_GBK"/>
          <w:color w:val="000000"/>
          <w:sz w:val="28"/>
          <w:szCs w:val="28"/>
          <w:highlight w:val="none"/>
          <w:u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w:t>
      </w:r>
      <w:r>
        <w:rPr>
          <w:rFonts w:hint="eastAsia" w:ascii="方正仿宋_GBK" w:hAnsi="方正仿宋_GBK" w:eastAsia="方正仿宋_GBK" w:cs="方正仿宋_GBK"/>
          <w:bCs/>
          <w:color w:val="000000"/>
          <w:sz w:val="28"/>
          <w:szCs w:val="28"/>
          <w:highlight w:val="none"/>
          <w:u w:val="none"/>
        </w:rPr>
      </w:r>
      <w:r>
        <w:rPr>
          <w:u w:val="none"/>
        </w:rPr>
      </w:r>
    </w:p>
    <w:p>
      <w:pPr>
        <w:pStyle w:val="953"/>
        <w:ind w:firstLine="560"/>
        <w:spacing w:line="460" w:lineRule="exact"/>
        <w:rPr>
          <w:rFonts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eastAsia="zh-CN"/>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八</w:t>
      </w:r>
      <w:r>
        <w:rPr>
          <w:rFonts w:hint="eastAsia" w:ascii="方正仿宋_GBK" w:hAnsi="方正仿宋_GBK" w:eastAsia="方正仿宋_GBK" w:cs="方正仿宋_GBK"/>
          <w:b/>
          <w:bCs w:val="0"/>
          <w:color w:val="000000"/>
          <w:sz w:val="28"/>
          <w:szCs w:val="28"/>
          <w:highlight w:val="none"/>
          <w:lang w:eastAsia="zh-CN"/>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业绩</w:t>
      </w:r>
      <w:r>
        <w:rPr>
          <w:rFonts w:ascii="方正仿宋_GBK" w:hAnsi="方正仿宋_GBK" w:eastAsia="方正仿宋_GBK" w:cs="方正仿宋_GBK"/>
          <w:b/>
          <w:bCs w:val="0"/>
          <w:color w:val="000000"/>
          <w:sz w:val="28"/>
          <w:szCs w:val="28"/>
          <w:highlight w:val="none"/>
          <w:lang w:val="en-US" w:eastAsia="zh-CN"/>
        </w:rPr>
      </w:r>
      <w:r/>
    </w:p>
    <w:p>
      <w:pPr>
        <w:pStyle w:val="953"/>
        <w:ind w:firstLine="560"/>
        <w:spacing w:line="460" w:lineRule="exact"/>
        <w:rPr>
          <w:rFonts w:hint="eastAsia" w:ascii="方正仿宋_GBK" w:hAnsi="方正仿宋_GBK" w:eastAsia="方正仿宋_GBK" w:cs="方正仿宋_GBK"/>
          <w:bCs/>
          <w:color w:val="000000"/>
          <w:sz w:val="28"/>
          <w:szCs w:val="28"/>
          <w:highlight w:val="none"/>
          <w:lang w:eastAsia="zh-CN"/>
        </w:rPr>
      </w:pPr>
      <w:r>
        <w:rPr>
          <w:rFonts w:ascii="方正仿宋_GBK" w:hAnsi="方正仿宋_GBK" w:eastAsia="方正仿宋_GBK"/>
          <w:color w:val="000000"/>
          <w:sz w:val="28"/>
          <w:highlight w:val="none"/>
        </w:rPr>
        <w:t xml:space="preserve">投标人</w:t>
      </w:r>
      <w:r>
        <w:rPr>
          <w:rFonts w:hint="eastAsia" w:ascii="方正仿宋_GBK" w:hAnsi="方正仿宋_GBK" w:eastAsia="方正仿宋_GBK"/>
          <w:color w:val="000000"/>
          <w:sz w:val="28"/>
          <w:highlight w:val="none"/>
          <w:lang w:val="en-US" w:eastAsia="zh-CN"/>
        </w:rPr>
        <w:t xml:space="preserve">承担过</w:t>
      </w:r>
      <w:r>
        <w:rPr>
          <w:rFonts w:ascii="方正仿宋_GBK" w:hAnsi="方正仿宋_GBK" w:eastAsia="方正仿宋_GBK"/>
          <w:color w:val="000000"/>
          <w:sz w:val="28"/>
          <w:highlight w:val="none"/>
        </w:rPr>
        <w:t xml:space="preserve">自2023年1月1日以来（以合同签订时间为准）承担过</w:t>
      </w:r>
      <w:r>
        <w:rPr>
          <w:rFonts w:hint="eastAsia" w:ascii="方正仿宋_GBK" w:hAnsi="方正仿宋_GBK" w:eastAsia="方正仿宋_GBK"/>
          <w:color w:val="000000"/>
          <w:sz w:val="28"/>
          <w:highlight w:val="none"/>
          <w:lang w:val="en-US" w:eastAsia="zh-CN"/>
        </w:rPr>
        <w:t xml:space="preserve">与本项目类似的业绩</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s="方正仿宋_GBK"/>
          <w:bCs/>
          <w:color w:val="000000"/>
          <w:sz w:val="28"/>
          <w:szCs w:val="28"/>
          <w:highlight w:val="none"/>
          <w:lang w:eastAsia="zh-CN"/>
        </w:rPr>
      </w:r>
      <w:r/>
    </w:p>
    <w:p>
      <w:pPr>
        <w:pStyle w:val="955"/>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五、其他要求</w:t>
      </w:r>
      <w:r>
        <w:rPr>
          <w:rFonts w:hint="eastAsia" w:ascii="黑体" w:hAnsi="黑体" w:eastAsia="黑体"/>
          <w:b w:val="0"/>
          <w:bCs w:val="0"/>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1.项目属性:货物类项目。</w:t>
      </w:r>
      <w:r>
        <w:rPr>
          <w:rFonts w:hint="eastAsia" w:ascii="方正仿宋_GBK" w:hAnsi="方正仿宋_GBK" w:eastAsia="方正仿宋_GBK" w:cs="方正仿宋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2.核心产品</w:t>
      </w:r>
      <w:r>
        <w:rPr>
          <w:rFonts w:hint="eastAsia" w:ascii="方正仿宋_GBK" w:hAnsi="方正仿宋_GBK" w:eastAsia="方正仿宋_GBK" w:cs="方正仿宋_GBK"/>
          <w:bCs/>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336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核心产品</w:t>
            </w:r>
            <w:r>
              <w:rPr>
                <w:rFonts w:hint="eastAsia" w:ascii="方正仿宋_GBK" w:hAnsi="方正仿宋_GBK" w:eastAsia="方正仿宋_GBK" w:cs="方正仿宋_GBK"/>
                <w:color w:val="000000"/>
                <w:sz w:val="28"/>
                <w:szCs w:val="28"/>
                <w:highlight w:val="none"/>
              </w:rPr>
            </w:r>
            <w:r/>
          </w:p>
        </w:tc>
      </w:tr>
      <w:tr>
        <w:trPr/>
        <w:tc>
          <w:tcPr>
            <w:tcW w:w="168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369" w:type="dxa"/>
            <w:vAlign w:val="top"/>
            <w:textDirection w:val="lrTb"/>
            <w:noWrap w:val="false"/>
          </w:tcPr>
          <w:p>
            <w:pPr>
              <w:pStyle w:val="953"/>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服务器</w:t>
            </w:r>
            <w:r>
              <w:rPr>
                <w:rFonts w:ascii="方正仿宋_GBK" w:hAnsi="方正仿宋_GBK" w:eastAsia="方正仿宋_GBK" w:cs="方正仿宋_GBK"/>
                <w:color w:val="000000"/>
                <w:sz w:val="28"/>
                <w:szCs w:val="28"/>
                <w:highlight w:val="none"/>
              </w:rPr>
            </w:r>
            <w:r/>
          </w:p>
        </w:tc>
      </w:tr>
    </w:tbl>
    <w:p>
      <w:pPr>
        <w:pStyle w:val="95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3.进口产品投标</w:t>
      </w:r>
      <w:r>
        <w:rPr>
          <w:rFonts w:hint="eastAsia" w:ascii="方正仿宋_GBK" w:hAnsi="方正仿宋_GBK" w:eastAsia="方正仿宋_GBK" w:cs="方正仿宋_GBK"/>
          <w:bCs/>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rPr>
            </w:r>
            <w:r/>
          </w:p>
        </w:tc>
        <w:tc>
          <w:tcPr>
            <w:tcW w:w="3762"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是否接受进口产品投标</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w:t>
            </w:r>
            <w:r>
              <w:rPr>
                <w:rFonts w:hint="eastAsia" w:ascii="方正仿宋_GBK" w:hAnsi="方正仿宋_GBK" w:eastAsia="方正仿宋_GBK" w:cs="方正仿宋_GBK"/>
                <w:color w:val="000000"/>
                <w:sz w:val="28"/>
                <w:szCs w:val="28"/>
                <w:highlight w:val="none"/>
              </w:rPr>
            </w:r>
            <w:r/>
          </w:p>
        </w:tc>
      </w:tr>
      <w:tr>
        <w:trPr/>
        <w:tc>
          <w:tcPr>
            <w:tcW w:w="1300"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762"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w:t>
            </w:r>
            <w:r>
              <w:rPr>
                <w:rFonts w:hint="eastAsia" w:ascii="方正仿宋_GBK" w:hAnsi="方正仿宋_GBK" w:eastAsia="方正仿宋_GBK" w:cs="方正仿宋_GBK"/>
                <w:color w:val="000000"/>
                <w:sz w:val="28"/>
                <w:szCs w:val="28"/>
                <w:highlight w:val="none"/>
              </w:rPr>
            </w:r>
            <w:r/>
          </w:p>
        </w:tc>
      </w:tr>
    </w:tbl>
    <w:p>
      <w:pPr>
        <w:pStyle w:val="953"/>
        <w:spacing w:line="400" w:lineRule="exact"/>
        <w:rPr>
          <w:rFonts w:hint="eastAsia" w:ascii="宋体" w:hAnsi="宋体"/>
          <w:color w:val="000000"/>
          <w:sz w:val="24"/>
          <w:szCs w:val="24"/>
          <w:highlight w:val="none"/>
        </w:rPr>
      </w:pPr>
      <w:r/>
      <w:bookmarkStart w:id="62" w:name="_Toc120614281"/>
      <w:r>
        <w:rPr>
          <w:rFonts w:hint="eastAsia" w:ascii="宋体" w:hAnsi="宋体"/>
          <w:color w:val="000000"/>
          <w:sz w:val="24"/>
          <w:szCs w:val="24"/>
          <w:highlight w:val="none"/>
        </w:rPr>
      </w:r>
      <w:r/>
    </w:p>
    <w:p>
      <w:pPr>
        <w:pStyle w:val="953"/>
        <w:spacing w:line="400" w:lineRule="exact"/>
        <w:rPr>
          <w:color w:val="000000"/>
          <w:highlight w:val="none"/>
        </w:rPr>
      </w:pPr>
      <w:r>
        <w:rPr>
          <w:color w:val="000000"/>
          <w:highlight w:val="none"/>
        </w:rPr>
      </w:r>
      <w:r/>
    </w:p>
    <w:p>
      <w:pPr>
        <w:pStyle w:val="953"/>
        <w:spacing w:line="400" w:lineRule="exact"/>
        <w:rPr>
          <w:color w:val="000000"/>
          <w:highlight w:val="none"/>
        </w:rPr>
      </w:pPr>
      <w:r>
        <w:rPr>
          <w:color w:val="000000"/>
          <w:highlight w:val="none"/>
        </w:rPr>
      </w:r>
      <w:r/>
    </w:p>
    <w:p>
      <w:pPr>
        <w:pStyle w:val="955"/>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第五章  评标方法与评标标准</w:t>
      </w:r>
      <w:r>
        <w:rPr>
          <w:rFonts w:hint="eastAsia" w:ascii="黑体" w:hAnsi="黑体" w:eastAsia="黑体"/>
          <w:b w:val="0"/>
          <w:bCs w:val="0"/>
          <w:color w:val="000000"/>
          <w:sz w:val="28"/>
          <w:szCs w:val="28"/>
          <w:highlight w:val="none"/>
        </w:rPr>
      </w:r>
      <w:r/>
    </w:p>
    <w:p>
      <w:pPr>
        <w:pStyle w:val="953"/>
        <w:ind w:firstLine="560"/>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highlight w:val="none"/>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ascii="方正仿宋_GBK" w:hAnsi="方正仿宋_GBK" w:eastAsia="方正仿宋_GBK" w:cs="方正仿宋_GBK"/>
                <w:color w:val="000000"/>
                <w:sz w:val="28"/>
                <w:szCs w:val="28"/>
                <w:highlight w:val="none"/>
              </w:rPr>
            </w:r>
            <w:r/>
          </w:p>
        </w:tc>
        <w:tc>
          <w:tcPr>
            <w:tcW w:w="218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选取中标候选人数量</w:t>
            </w:r>
            <w:r>
              <w:rPr>
                <w:rFonts w:hint="eastAsia" w:ascii="方正仿宋_GBK" w:hAnsi="方正仿宋_GBK" w:eastAsia="方正仿宋_GBK" w:cs="方正仿宋_GBK"/>
                <w:color w:val="000000"/>
                <w:sz w:val="28"/>
                <w:szCs w:val="28"/>
                <w:highlight w:val="none"/>
              </w:rPr>
            </w:r>
            <w:r/>
          </w:p>
        </w:tc>
        <w:tc>
          <w:tcPr>
            <w:tcW w:w="506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选取中标候选人的原则</w:t>
            </w:r>
            <w:r>
              <w:rPr>
                <w:rFonts w:hint="eastAsia" w:ascii="方正仿宋_GBK" w:hAnsi="方正仿宋_GBK" w:eastAsia="方正仿宋_GBK" w:cs="方正仿宋_GBK"/>
                <w:color w:val="000000"/>
                <w:sz w:val="28"/>
                <w:szCs w:val="28"/>
                <w:highlight w:val="none"/>
              </w:rPr>
            </w:r>
            <w:r/>
          </w:p>
        </w:tc>
      </w:tr>
      <w:tr>
        <w:trPr/>
        <w:tc>
          <w:tcPr>
            <w:tcW w:w="167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218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5063" w:type="dxa"/>
            <w:vAlign w:val="top"/>
            <w:textDirection w:val="lrTb"/>
            <w:noWrap w:val="false"/>
          </w:tcPr>
          <w:p>
            <w:pPr>
              <w:pStyle w:val="953"/>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color w:val="000000"/>
                <w:sz w:val="28"/>
                <w:szCs w:val="28"/>
                <w:highlight w:val="none"/>
              </w:rPr>
            </w:r>
            <w:r/>
          </w:p>
        </w:tc>
      </w:tr>
    </w:tbl>
    <w:p>
      <w:pPr>
        <w:pStyle w:val="953"/>
        <w:ind w:firstLine="560"/>
        <w:jc w:val="left"/>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政府采购政策功能落实</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rFonts w:hint="eastAsia" w:ascii="方正仿宋_GBK" w:hAnsi="方正仿宋_GBK" w:eastAsia="方正仿宋_GBK" w:cs="方正仿宋_GBK"/>
          <w:color w:val="000000"/>
          <w:sz w:val="28"/>
          <w:szCs w:val="28"/>
          <w:highlight w:val="none"/>
        </w:rPr>
      </w:r>
      <w:r/>
    </w:p>
    <w:p>
      <w:pPr>
        <w:pStyle w:val="953"/>
        <w:ind w:firstLine="42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（1）本项目对小型和微型企业产品给予10%的扣除价格，用扣除后的价格参与评审。</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华文新魏" w:hAnsi="宋体" w:eastAsia="华文新魏"/>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highlight w:val="none"/>
        </w:rPr>
      </w:r>
      <w:r/>
    </w:p>
    <w:p>
      <w:pPr>
        <w:pStyle w:val="953"/>
        <w:ind w:firstLine="56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953"/>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pStyle w:val="953"/>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tbl>
      <w:tblPr>
        <w:tblW w:w="9408"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979"/>
        <w:gridCol w:w="1334"/>
        <w:gridCol w:w="886"/>
        <w:gridCol w:w="6209"/>
      </w:tblGrid>
      <w:tr>
        <w:trPr>
          <w:trHeight w:val="60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b/>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序号</w:t>
            </w:r>
            <w:r>
              <w:rPr>
                <w:rFonts w:hint="eastAsia" w:ascii="方正仿宋_GBK" w:hAnsi="方正仿宋_GBK" w:eastAsia="方正仿宋_GBK" w:cs="方正仿宋_GBK"/>
                <w:b/>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评分因素</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分值</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评分标准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1</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投标报价</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60</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投标最低报价为评标基准价</w:t>
            </w:r>
            <w:r>
              <w:rPr>
                <w:rFonts w:hint="eastAsia" w:ascii="方正仿宋_GBK" w:hAnsi="方正仿宋_GBK" w:eastAsia="方正仿宋_GBK" w:cs="方正仿宋_GBK"/>
                <w:color w:val="000000"/>
                <w:sz w:val="28"/>
                <w:szCs w:val="32"/>
                <w:highlight w:val="none"/>
              </w:rPr>
              <w:t xml:space="preserve">：满足招标文件要求且投标价格最低的投标报价为评标基准价，其价格分为满分。其他投标人的价格分统一按照下列公式计算：投标报价得分=(评标基准价/投标报价)×60。</w:t>
            </w:r>
            <w:r>
              <w:rPr>
                <w:rFonts w:hint="eastAsia" w:ascii="方正仿宋_GBK" w:hAnsi="方正仿宋_GBK" w:eastAsia="方正仿宋_GBK" w:cs="方正仿宋_GBK"/>
                <w:color w:val="000000"/>
                <w:sz w:val="28"/>
                <w:szCs w:val="32"/>
                <w:highlight w:val="none"/>
              </w:rPr>
            </w:r>
            <w:r/>
          </w:p>
        </w:tc>
      </w:tr>
      <w:tr>
        <w:trPr>
          <w:trHeight w:val="378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2</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技术响应</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20</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rPr>
              <w:t xml:space="preserve">2.1</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val="en-US" w:eastAsia="zh-CN"/>
              </w:rPr>
              <w:t xml:space="preserve">20分</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val="en-US" w:eastAsia="zh-CN"/>
              </w:rPr>
              <w:t xml:space="preserve">根据“第四章 采购需求 三、技术要求”中未加斜体下划线部分的技术参数要求进行打分</w:t>
            </w:r>
            <w:r>
              <w:rPr>
                <w:rFonts w:hint="eastAsia" w:ascii="方正仿宋_GBK" w:hAnsi="方正仿宋_GBK" w:eastAsia="方正仿宋_GBK" w:cs="方正仿宋_GBK"/>
                <w:color w:val="000000"/>
                <w:sz w:val="28"/>
                <w:szCs w:val="32"/>
                <w:highlight w:val="none"/>
              </w:rPr>
              <w:t xml:space="preserve">，</w:t>
            </w:r>
            <w:r>
              <w:rPr>
                <w:rFonts w:hint="eastAsia" w:ascii="方正仿宋_GBK" w:hAnsi="方正仿宋_GBK" w:eastAsia="方正仿宋_GBK" w:cs="方正仿宋_GBK"/>
                <w:color w:val="000000"/>
                <w:sz w:val="28"/>
                <w:szCs w:val="32"/>
                <w:highlight w:val="none"/>
                <w:u w:val="single"/>
              </w:rPr>
              <w:t xml:space="preserve">共20项</w:t>
            </w:r>
            <w:r>
              <w:rPr>
                <w:rFonts w:hint="eastAsia" w:ascii="方正仿宋_GBK" w:hAnsi="方正仿宋_GBK" w:eastAsia="方正仿宋_GBK" w:cs="方正仿宋_GBK"/>
                <w:color w:val="000000"/>
                <w:sz w:val="28"/>
                <w:szCs w:val="32"/>
                <w:highlight w:val="none"/>
                <w:lang w:eastAsia="zh-CN"/>
              </w:rPr>
              <w:t xml:space="preserve">（</w:t>
            </w:r>
            <w:r>
              <w:rPr>
                <w:rFonts w:ascii="方正仿宋_GBK" w:hAnsi="方正仿宋_GBK" w:eastAsia="方正仿宋_GBK"/>
                <w:color w:val="000000"/>
                <w:sz w:val="28"/>
                <w:highlight w:val="none"/>
              </w:rPr>
              <w:t xml:space="preserve">硬件配置第1、5、6、7项，软件配置第1至1</w:t>
            </w:r>
            <w:r>
              <w:rPr>
                <w:rFonts w:hint="eastAsia" w:ascii="方正仿宋_GBK" w:hAnsi="方正仿宋_GBK" w:eastAsia="方正仿宋_GBK"/>
                <w:color w:val="000000"/>
                <w:sz w:val="28"/>
                <w:highlight w:val="none"/>
              </w:rPr>
              <w:t xml:space="preserve">6</w:t>
            </w:r>
            <w:r>
              <w:rPr>
                <w:rFonts w:ascii="方正仿宋_GBK" w:hAnsi="方正仿宋_GBK" w:eastAsia="方正仿宋_GBK"/>
                <w:color w:val="000000"/>
                <w:sz w:val="28"/>
                <w:highlight w:val="none"/>
              </w:rPr>
              <w:t xml:space="preserve">项</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rPr>
              <w:t xml:space="preserve">每一条不满足或负偏离的扣1分，满分20分，扣完为止</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eastAsia="zh-CN"/>
              </w:rPr>
            </w:r>
            <w:r/>
          </w:p>
          <w:p>
            <w:pPr>
              <w:pStyle w:val="953"/>
              <w:jc w:val="left"/>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lang w:val="en-US" w:eastAsia="zh-CN"/>
              </w:rPr>
              <w:t xml:space="preserve">注：</w:t>
            </w:r>
            <w:r>
              <w:rPr>
                <w:rFonts w:hint="eastAsia" w:ascii="方正仿宋_GBK" w:hAnsi="方正仿宋_GBK" w:eastAsia="方正仿宋_GBK" w:cs="方正仿宋_GBK"/>
                <w:color w:val="000000"/>
                <w:sz w:val="28"/>
                <w:szCs w:val="32"/>
                <w:highlight w:val="none"/>
              </w:rPr>
              <w:t xml:space="preserve">投标人应在《技术参数响应表》中逐一响应，若投标人未按照要求提供所投设备的技术支持资料，评标委员会有权不予认可，并在评分中扣除相应的分值。（佐证材料以产品制造商出具的技术说明书或产品制造商公开发布的产品彩页或彩页复印件、产品官方网站、产品标准、技术白皮书、使用说明书、有资质的第三方出具的检验报告等材料为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3</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项目实施方案</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4</w:t>
            </w:r>
            <w:r>
              <w:rPr>
                <w:rFonts w:hint="eastAsia" w:ascii="方正仿宋_GBK" w:hAnsi="方正仿宋_GBK" w:eastAsia="方正仿宋_GBK" w:cs="方正仿宋_GBK"/>
                <w:color w:val="000000"/>
                <w:sz w:val="28"/>
                <w:szCs w:val="32"/>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3.1项目实施方案（4分） </w:t>
            </w:r>
            <w:r>
              <w:rPr>
                <w:rFonts w:hint="eastAsia" w:ascii="方正仿宋_GBK" w:hAnsi="方正仿宋_GBK" w:eastAsia="方正仿宋_GBK" w:cs="方正仿宋_GBK"/>
                <w:color w:val="000000"/>
                <w:sz w:val="28"/>
                <w:szCs w:val="32"/>
                <w:highlight w:val="none"/>
              </w:rPr>
            </w:r>
            <w:r/>
          </w:p>
          <w:p>
            <w:pPr>
              <w:pStyle w:val="953"/>
              <w:jc w:val="left"/>
              <w:keepLines w:val="0"/>
              <w:keepNext w:val="0"/>
              <w:pageBreakBefore w:val="0"/>
              <w:spacing w:line="360" w:lineRule="exact"/>
              <w:widowControl w:val="off"/>
              <w:rPr>
                <w:color w:val="000000"/>
                <w:highlight w:val="none"/>
              </w:rPr>
            </w:pPr>
            <w:r>
              <w:rPr>
                <w:rFonts w:hint="eastAsia" w:ascii="方正仿宋_GBK" w:hAnsi="方正仿宋_GBK" w:eastAsia="方正仿宋_GBK" w:cs="方正仿宋_GBK"/>
                <w:color w:val="000000"/>
                <w:sz w:val="28"/>
                <w:szCs w:val="32"/>
                <w:highlight w:val="none"/>
              </w:rPr>
              <w:t xml:space="preserve">投标人应根据招标文件的采购内容及后续</w:t>
            </w:r>
            <w:r>
              <w:rPr>
                <w:rFonts w:hint="eastAsia" w:ascii="方正仿宋_GBK" w:hAnsi="方正仿宋_GBK" w:eastAsia="方正仿宋_GBK" w:cs="方正仿宋_GBK"/>
                <w:color w:val="000000"/>
                <w:sz w:val="28"/>
                <w:szCs w:val="32"/>
                <w:highlight w:val="none"/>
                <w:lang w:val="en-US" w:eastAsia="zh-CN"/>
              </w:rPr>
              <w:t xml:space="preserve">国产化</w:t>
            </w:r>
            <w:r>
              <w:rPr>
                <w:rFonts w:hint="eastAsia" w:ascii="方正仿宋_GBK" w:hAnsi="方正仿宋_GBK" w:eastAsia="方正仿宋_GBK" w:cs="方正仿宋_GBK"/>
                <w:color w:val="000000"/>
                <w:sz w:val="28"/>
                <w:szCs w:val="32"/>
                <w:highlight w:val="none"/>
              </w:rPr>
              <w:t xml:space="preserve">应用迁移要求，提供具体、可行的项目实施方案。</w:t>
            </w:r>
            <w:r>
              <w:rPr>
                <w:rFonts w:ascii="方正仿宋_GBK" w:hAnsi="方正仿宋_GBK" w:eastAsia="方正仿宋_GBK"/>
                <w:color w:val="000000"/>
                <w:sz w:val="28"/>
                <w:highlight w:val="none"/>
              </w:rPr>
              <w:t xml:space="preserve">评委根据投标文件对第四章“采购需求”中“项目实施方案”的响应情况进行评审。</w:t>
            </w:r>
            <w:r>
              <w:rPr>
                <w:color w:val="000000"/>
                <w:highlight w:val="none"/>
              </w:rPr>
            </w:r>
            <w:r/>
          </w:p>
          <w:p>
            <w:pPr>
              <w:pStyle w:val="953"/>
              <w:jc w:val="left"/>
              <w:keepLines w:val="0"/>
              <w:keepNext w:val="0"/>
              <w:pageBreakBefore w:val="0"/>
              <w:spacing w:line="360" w:lineRule="exact"/>
              <w:widowControl w:val="off"/>
              <w:rPr>
                <w:rFonts w:ascii="方正仿宋_GBK" w:hAnsi="方正仿宋_GBK" w:eastAsia="方正仿宋_GBK" w:cs="Times New Roman"/>
                <w:color w:val="000000"/>
                <w:sz w:val="28"/>
                <w:highlight w:val="none"/>
              </w:rPr>
            </w:pPr>
            <w:r>
              <w:rPr>
                <w:rFonts w:ascii="方正仿宋_GBK" w:hAnsi="方正仿宋_GBK" w:eastAsia="方正仿宋_GBK"/>
                <w:color w:val="000000"/>
                <w:sz w:val="28"/>
                <w:highlight w:val="none"/>
              </w:rPr>
              <w:t xml:space="preserve">（1）经评委认定，投标文件对“项目实施方案”中以下三项响应全部优于招标文件要求，且其他要求全部符合的，得</w:t>
            </w:r>
            <w:r>
              <w:rPr>
                <w:rFonts w:hint="eastAsia" w:ascii="方正仿宋_GBK" w:hAnsi="方正仿宋_GBK" w:eastAsia="方正仿宋_GBK"/>
                <w:color w:val="000000"/>
                <w:sz w:val="28"/>
                <w:highlight w:val="none"/>
                <w:lang w:val="en-US" w:eastAsia="zh-CN"/>
              </w:rPr>
              <w:t xml:space="preserve">4</w:t>
            </w:r>
            <w:r>
              <w:rPr>
                <w:rFonts w:ascii="方正仿宋_GBK" w:hAnsi="方正仿宋_GBK" w:eastAsia="方正仿宋_GBK" w:cs="Times New Roman"/>
                <w:color w:val="000000"/>
                <w:sz w:val="28"/>
                <w:highlight w:val="none"/>
              </w:rPr>
              <w:t xml:space="preserve">分：①合同生效后2个工作日内完成现场勘察</w:t>
            </w:r>
            <w:r>
              <w:rPr>
                <w:rFonts w:hint="eastAsia" w:ascii="方正仿宋_GBK" w:hAnsi="方正仿宋_GBK" w:eastAsia="方正仿宋_GBK" w:cs="Times New Roman"/>
                <w:color w:val="000000"/>
                <w:sz w:val="28"/>
                <w:highlight w:val="none"/>
              </w:rPr>
              <w:t xml:space="preserve">；</w:t>
            </w:r>
            <w:r>
              <w:rPr>
                <w:rFonts w:ascii="方正仿宋_GBK" w:hAnsi="方正仿宋_GBK" w:eastAsia="方正仿宋_GBK" w:cs="Times New Roman"/>
                <w:color w:val="000000"/>
                <w:sz w:val="28"/>
                <w:highlight w:val="none"/>
              </w:rPr>
              <w:t xml:space="preserve">②合同生效后25个日历日内完成全部设备到货、安装和基础环境部署；③现场实施团队1名项目经理和3名技术工程师。</w:t>
            </w:r>
            <w:r>
              <w:rPr>
                <w:rFonts w:ascii="方正仿宋_GBK" w:hAnsi="方正仿宋_GBK" w:eastAsia="方正仿宋_GBK" w:cs="Times New Roman"/>
                <w:color w:val="000000"/>
                <w:sz w:val="28"/>
                <w:highlight w:val="none"/>
              </w:rPr>
            </w:r>
            <w:r/>
          </w:p>
          <w:p>
            <w:pPr>
              <w:pStyle w:val="953"/>
              <w:jc w:val="left"/>
              <w:keepLines w:val="0"/>
              <w:keepNext w:val="0"/>
              <w:pageBreakBefore w:val="0"/>
              <w:spacing w:line="360" w:lineRule="exact"/>
              <w:widowControl w:val="off"/>
              <w:rPr>
                <w:rFonts w:ascii="方正仿宋_GBK" w:hAnsi="方正仿宋_GBK" w:eastAsia="方正仿宋_GBK" w:cs="Times New Roman"/>
                <w:color w:val="000000"/>
                <w:sz w:val="28"/>
                <w:highlight w:val="none"/>
              </w:rPr>
            </w:pPr>
            <w:r>
              <w:rPr>
                <w:rFonts w:ascii="方正仿宋_GBK" w:hAnsi="方正仿宋_GBK" w:eastAsia="方正仿宋_GBK"/>
                <w:color w:val="000000"/>
                <w:sz w:val="28"/>
                <w:highlight w:val="none"/>
              </w:rPr>
              <w:t xml:space="preserve">（2）投标文件符合“项目实施方案”全部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s="Times New Roman"/>
                <w:color w:val="000000"/>
                <w:sz w:val="28"/>
                <w:highlight w:val="none"/>
              </w:rPr>
              <w:t xml:space="preserve">要求的，</w:t>
            </w:r>
            <w:r>
              <w:rPr>
                <w:rFonts w:hint="eastAsia" w:ascii="方正仿宋_GBK" w:hAnsi="方正仿宋_GBK" w:eastAsia="方正仿宋_GBK" w:cs="Times New Roman"/>
                <w:color w:val="000000"/>
                <w:sz w:val="28"/>
                <w:highlight w:val="none"/>
              </w:rPr>
              <w:t xml:space="preserve">，视为符合招标文件，本项得3分。</w:t>
            </w:r>
            <w:r>
              <w:rPr>
                <w:rFonts w:ascii="方正仿宋_GBK" w:hAnsi="方正仿宋_GBK" w:eastAsia="方正仿宋_GBK" w:cs="Times New Roman"/>
                <w:color w:val="000000"/>
                <w:sz w:val="28"/>
                <w:highlight w:val="none"/>
              </w:rPr>
            </w:r>
            <w:r/>
          </w:p>
          <w:p>
            <w:pPr>
              <w:pStyle w:val="953"/>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（3）投标文件未符合“项目实施方案”全部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color w:val="000000"/>
                <w:highlight w:val="none"/>
              </w:rPr>
              <w:t xml:space="preserve">，</w:t>
            </w:r>
            <w:r>
              <w:rPr>
                <w:rFonts w:hint="eastAsia" w:ascii="方正仿宋_GBK" w:hAnsi="方正仿宋_GBK" w:eastAsia="方正仿宋_GBK" w:cs="Times New Roman"/>
                <w:color w:val="000000"/>
                <w:sz w:val="28"/>
                <w:highlight w:val="none"/>
              </w:rPr>
              <w:t xml:space="preserve">视为不符合招标文件，本项得0分。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4</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售后服务及培训方案</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6</w:t>
            </w:r>
            <w:r>
              <w:rPr>
                <w:rFonts w:hint="eastAsia" w:ascii="方正仿宋_GBK" w:hAnsi="方正仿宋_GBK" w:eastAsia="方正仿宋_GBK" w:cs="方正仿宋_GBK"/>
                <w:color w:val="000000"/>
                <w:sz w:val="28"/>
                <w:szCs w:val="32"/>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keepLines w:val="0"/>
              <w:keepNext w:val="0"/>
              <w:pageBreakBefore w:val="0"/>
              <w:spacing w:line="360" w:lineRule="exact"/>
              <w:widowControl w:val="off"/>
              <w:rPr>
                <w:rFonts w:hint="eastAsia" w:ascii="方正仿宋_GBK" w:hAnsi="方正仿宋_GBK" w:eastAsia="方正仿宋_GBK" w:cs="方正仿宋_GBK"/>
                <w:b/>
                <w:bCs/>
                <w:color w:val="000000"/>
                <w:sz w:val="28"/>
                <w:szCs w:val="32"/>
                <w:highlight w:val="none"/>
              </w:rPr>
            </w:pPr>
            <w:r>
              <w:rPr>
                <w:rFonts w:hint="eastAsia" w:ascii="方正仿宋_GBK" w:hAnsi="方正仿宋_GBK" w:eastAsia="方正仿宋_GBK" w:cs="方正仿宋_GBK"/>
                <w:b/>
                <w:bCs/>
                <w:color w:val="000000"/>
                <w:sz w:val="28"/>
                <w:szCs w:val="32"/>
                <w:highlight w:val="none"/>
              </w:rPr>
              <w:t xml:space="preserve">4.1售后服务方案（3分） </w:t>
            </w:r>
            <w:r>
              <w:rPr>
                <w:rFonts w:hint="eastAsia" w:ascii="方正仿宋_GBK" w:hAnsi="方正仿宋_GBK" w:eastAsia="方正仿宋_GBK" w:cs="方正仿宋_GBK"/>
                <w:b/>
                <w:bCs/>
                <w:color w:val="000000"/>
                <w:sz w:val="28"/>
                <w:szCs w:val="32"/>
                <w:highlight w:val="none"/>
              </w:rPr>
            </w:r>
            <w:r/>
          </w:p>
          <w:p>
            <w:pPr>
              <w:pStyle w:val="953"/>
              <w:jc w:val="left"/>
              <w:keepLines w:val="0"/>
              <w:keepNext w:val="0"/>
              <w:pageBreakBefore w:val="0"/>
              <w:spacing w:line="360" w:lineRule="exact"/>
              <w:widowControl w:val="off"/>
              <w:rPr>
                <w:color w:val="000000"/>
                <w:highlight w:val="none"/>
              </w:rPr>
            </w:pPr>
            <w:r>
              <w:rPr>
                <w:rFonts w:hint="eastAsia" w:ascii="方正仿宋_GBK" w:hAnsi="方正仿宋_GBK" w:eastAsia="方正仿宋_GBK" w:cs="方正仿宋_GBK"/>
                <w:color w:val="000000"/>
                <w:sz w:val="28"/>
                <w:szCs w:val="32"/>
                <w:highlight w:val="none"/>
              </w:rPr>
              <w:t xml:space="preserve">投标人应根据本项目特点，提供完整、可操作的售后服务及培训方案。</w:t>
            </w:r>
            <w:r>
              <w:rPr>
                <w:rFonts w:ascii="方正仿宋_GBK" w:hAnsi="方正仿宋_GBK" w:eastAsia="方正仿宋_GBK"/>
                <w:color w:val="000000"/>
                <w:sz w:val="28"/>
                <w:highlight w:val="none"/>
              </w:rPr>
              <w:t xml:space="preserve">评委根据投标文件对第四章“采购需求”中“售后服务方案”的响应情况进行评审。</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优于招标文件要求，且售后服务方案其他要求全部符合的，得3分：①故障通知后30分钟内有效响应；②需要现场处理的，8小时内到达现场；③一般故障24小时内完成修复或提供性能不低于原设备的替代设备。</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（2）投标文件符合“售后服务方案”全部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w:t>
            </w:r>
            <w:r>
              <w:rPr>
                <w:rFonts w:ascii="方正仿宋_GBK" w:hAnsi="方正仿宋_GBK" w:eastAsia="方正仿宋_GBK"/>
                <w:color w:val="000000"/>
                <w:sz w:val="28"/>
                <w:highlight w:val="none"/>
              </w:rPr>
              <w:t xml:space="preserve">得2分。</w:t>
            </w:r>
            <w:r>
              <w:rPr>
                <w:color w:val="000000"/>
                <w:highlight w:val="none"/>
              </w:rPr>
            </w:r>
            <w:r/>
          </w:p>
          <w:p>
            <w:pPr>
              <w:pStyle w:val="953"/>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（3）投标文件未符合“售后服务方案”全部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rPr>
                <w:rFonts w:hint="eastAsia" w:ascii="方正仿宋_GBK" w:hAnsi="方正仿宋_GBK" w:eastAsia="方正仿宋_GBK" w:cs="方正仿宋_GBK"/>
                <w:color w:val="000000"/>
                <w:sz w:val="28"/>
                <w:szCs w:val="32"/>
                <w:highlight w:val="none"/>
              </w:rPr>
            </w:r>
            <w:r/>
          </w:p>
          <w:p>
            <w:pPr>
              <w:pStyle w:val="953"/>
              <w:jc w:val="left"/>
              <w:keepLines w:val="0"/>
              <w:keepNext w:val="0"/>
              <w:pageBreakBefore w:val="0"/>
              <w:spacing w:line="360" w:lineRule="exact"/>
              <w:widowControl w:val="off"/>
              <w:rPr>
                <w:rFonts w:ascii="方正仿宋_GBK" w:hAnsi="方正仿宋_GBK" w:eastAsia="方正仿宋_GBK" w:cs="方正仿宋_GBK"/>
                <w:b/>
                <w:bCs/>
                <w:color w:val="000000"/>
                <w:sz w:val="28"/>
                <w:szCs w:val="32"/>
                <w:highlight w:val="none"/>
              </w:rPr>
            </w:pPr>
            <w:r>
              <w:rPr>
                <w:rFonts w:hint="eastAsia" w:ascii="方正仿宋_GBK" w:hAnsi="方正仿宋_GBK" w:eastAsia="方正仿宋_GBK" w:cs="方正仿宋_GBK"/>
                <w:b/>
                <w:bCs/>
                <w:color w:val="000000"/>
                <w:sz w:val="28"/>
                <w:szCs w:val="32"/>
                <w:highlight w:val="none"/>
              </w:rPr>
              <w:t xml:space="preserve">4.2培训方案（3分）</w:t>
            </w:r>
            <w:r>
              <w:rPr>
                <w:rFonts w:ascii="方正仿宋_GBK" w:hAnsi="方正仿宋_GBK" w:eastAsia="方正仿宋_GBK" w:cs="方正仿宋_GBK"/>
                <w:b/>
                <w:bCs/>
                <w:color w:val="000000"/>
                <w:sz w:val="28"/>
                <w:szCs w:val="32"/>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评委根据投标文件对第四章“采购需求”中“培训方案”的响应情况进行评审。</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优于招标文件要求，且培训方案其他要求全部符合的，得3分：①培训总时长不少于2个工作日；②现场培训不少于4场次；③项目验收后6个月内再提供不少于2次远程或现场专项培训。</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w:t>
            </w:r>
            <w:r>
              <w:rPr>
                <w:rFonts w:ascii="方正仿宋_GBK" w:hAnsi="方正仿宋_GBK" w:eastAsia="方正仿宋_GBK"/>
                <w:color w:val="000000"/>
                <w:sz w:val="28"/>
                <w:highlight w:val="none"/>
              </w:rPr>
              <w:t xml:space="preserve">得2分。</w:t>
            </w:r>
            <w:r>
              <w:rPr>
                <w:color w:val="000000"/>
                <w:highlight w:val="none"/>
              </w:rPr>
            </w:r>
            <w:r/>
          </w:p>
          <w:p>
            <w:pPr>
              <w:pStyle w:val="953"/>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5</w:t>
            </w:r>
            <w:r>
              <w:rPr>
                <w:rFonts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试运行及验收保障方案</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4</w:t>
            </w:r>
            <w:r>
              <w:rPr>
                <w:rFonts w:hint="eastAsia" w:ascii="方正仿宋_GBK" w:hAnsi="方正仿宋_GBK" w:eastAsia="方正仿宋_GBK" w:cs="方正仿宋_GBK"/>
                <w:color w:val="000000"/>
                <w:sz w:val="28"/>
                <w:szCs w:val="32"/>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keepLines w:val="0"/>
              <w:keepNext w:val="0"/>
              <w:pageBreakBefore w:val="0"/>
              <w:spacing w:line="360" w:lineRule="exact"/>
              <w:widowControl w:val="off"/>
              <w:rPr>
                <w:rFonts w:hint="eastAsia" w:ascii="方正仿宋_GBK" w:hAnsi="方正仿宋_GBK" w:eastAsia="方正仿宋_GBK"/>
                <w:color w:val="000000"/>
                <w:sz w:val="28"/>
                <w:highlight w:val="none"/>
                <w:lang w:eastAsia="zh-CN"/>
              </w:rPr>
            </w:pPr>
            <w:r>
              <w:rPr>
                <w:rFonts w:hint="eastAsia" w:ascii="方正仿宋_GBK" w:hAnsi="方正仿宋_GBK" w:eastAsia="方正仿宋_GBK"/>
                <w:color w:val="000000"/>
                <w:sz w:val="28"/>
                <w:highlight w:val="none"/>
                <w:lang w:val="en-US" w:eastAsia="zh-CN"/>
              </w:rPr>
              <w:t xml:space="preserve">5.1</w:t>
            </w:r>
            <w:r>
              <w:rPr>
                <w:rFonts w:ascii="方正仿宋_GBK" w:hAnsi="方正仿宋_GBK" w:eastAsia="方正仿宋_GBK"/>
                <w:color w:val="000000"/>
                <w:sz w:val="28"/>
                <w:highlight w:val="none"/>
              </w:rPr>
              <w:t xml:space="preserve">试运行及验收保障方案</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4分</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eastAsia="zh-CN"/>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评委根据投标文件对第四章“采购需求”中“培训方案”的响应情况进行评审。</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（1）经评委认定，投标文件对以下三项响应全部优于招标文件要求，且培训方案其他要求全部符合的，得</w:t>
            </w:r>
            <w:r>
              <w:rPr>
                <w:rFonts w:hint="eastAsia" w:ascii="方正仿宋_GBK" w:hAnsi="方正仿宋_GBK" w:eastAsia="方正仿宋_GBK"/>
                <w:color w:val="000000"/>
                <w:sz w:val="28"/>
                <w:highlight w:val="none"/>
                <w:lang w:val="en-US" w:eastAsia="zh-CN"/>
              </w:rPr>
              <w:t xml:space="preserve">4</w:t>
            </w:r>
            <w:r>
              <w:rPr>
                <w:rFonts w:ascii="方正仿宋_GBK" w:hAnsi="方正仿宋_GBK" w:eastAsia="方正仿宋_GBK"/>
                <w:color w:val="000000"/>
                <w:sz w:val="28"/>
                <w:highlight w:val="none"/>
              </w:rPr>
              <w:t xml:space="preserve">分：①培训总时长不少于2个工作日；②现场培训不少于4场次；③项目验收后6个月内再提供不少于2次远程或现场专项培训。</w:t>
            </w:r>
            <w:r>
              <w:rPr>
                <w:color w:val="000000"/>
                <w:highlight w:val="none"/>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视为符合招标文件要求的，</w:t>
            </w:r>
            <w:r>
              <w:rPr>
                <w:rFonts w:ascii="方正仿宋_GBK" w:hAnsi="方正仿宋_GBK" w:eastAsia="方正仿宋_GBK"/>
                <w:color w:val="000000"/>
                <w:sz w:val="28"/>
                <w:highlight w:val="none"/>
              </w:rPr>
              <w:t xml:space="preserve">得2分。</w:t>
            </w:r>
            <w:r>
              <w:rPr>
                <w:color w:val="000000"/>
                <w:highlight w:val="none"/>
              </w:rPr>
            </w:r>
            <w:r/>
          </w:p>
          <w:p>
            <w:pPr>
              <w:pStyle w:val="953"/>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6</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类似项目</w:t>
            </w:r>
            <w:r>
              <w:rPr>
                <w:rFonts w:hint="eastAsia" w:ascii="方正仿宋_GBK" w:hAnsi="方正仿宋_GBK" w:eastAsia="方正仿宋_GBK" w:cs="方正仿宋_GBK"/>
                <w:color w:val="000000"/>
                <w:sz w:val="28"/>
                <w:szCs w:val="32"/>
                <w:highlight w:val="none"/>
              </w:rPr>
              <w:t xml:space="preserve">业绩</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4</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keepLines w:val="0"/>
              <w:keepNext w:val="0"/>
              <w:pageBreakBefore w:val="0"/>
              <w:spacing w:line="360" w:lineRule="exact"/>
              <w:widowControl w:val="off"/>
              <w:rPr>
                <w:rFonts w:hint="eastAsia" w:ascii="方正仿宋_GBK" w:hAnsi="方正仿宋_GBK" w:eastAsia="方正仿宋_GBK"/>
                <w:color w:val="000000"/>
                <w:sz w:val="28"/>
                <w:highlight w:val="none"/>
                <w:lang w:val="en-US" w:eastAsia="zh-CN"/>
              </w:rPr>
            </w:pPr>
            <w:r>
              <w:rPr>
                <w:rFonts w:hint="eastAsia" w:ascii="方正仿宋_GBK" w:hAnsi="方正仿宋_GBK" w:eastAsia="方正仿宋_GBK"/>
                <w:color w:val="000000"/>
                <w:sz w:val="28"/>
                <w:highlight w:val="none"/>
                <w:lang w:val="en-US" w:eastAsia="zh-CN"/>
              </w:rPr>
              <w:t xml:space="preserve">6.1业绩（4分）</w:t>
            </w:r>
            <w:r>
              <w:rPr>
                <w:rFonts w:hint="eastAsia" w:ascii="方正仿宋_GBK" w:hAnsi="方正仿宋_GBK" w:eastAsia="方正仿宋_GBK"/>
                <w:color w:val="000000"/>
                <w:sz w:val="28"/>
                <w:highlight w:val="none"/>
                <w:lang w:val="en-US" w:eastAsia="zh-CN"/>
              </w:rPr>
            </w:r>
            <w:r/>
          </w:p>
          <w:p>
            <w:pPr>
              <w:pStyle w:val="953"/>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投标人自2023年1月1日以来（以合同签订时间为准）承担过</w:t>
            </w:r>
            <w:r>
              <w:rPr>
                <w:rFonts w:hint="eastAsia" w:ascii="方正仿宋_GBK" w:hAnsi="方正仿宋_GBK" w:eastAsia="方正仿宋_GBK"/>
                <w:color w:val="000000"/>
                <w:sz w:val="28"/>
                <w:highlight w:val="none"/>
                <w:lang w:val="en-US" w:eastAsia="zh-CN"/>
              </w:rPr>
              <w:t xml:space="preserve">与本项目类似的业绩</w:t>
            </w:r>
            <w:r>
              <w:rPr>
                <w:rFonts w:ascii="方正仿宋_GBK" w:hAnsi="方正仿宋_GBK" w:eastAsia="方正仿宋_GBK"/>
                <w:color w:val="000000"/>
                <w:sz w:val="28"/>
                <w:highlight w:val="none"/>
              </w:rPr>
              <w:t xml:space="preserve">，每提供1份有效业绩得</w:t>
            </w:r>
            <w:r>
              <w:rPr>
                <w:rFonts w:hint="eastAsia" w:ascii="方正仿宋_GBK" w:hAnsi="方正仿宋_GBK" w:eastAsia="方正仿宋_GBK"/>
                <w:color w:val="000000"/>
                <w:sz w:val="28"/>
                <w:highlight w:val="none"/>
              </w:rPr>
              <w:t xml:space="preserve">1</w:t>
            </w:r>
            <w:r>
              <w:rPr>
                <w:rFonts w:ascii="方正仿宋_GBK" w:hAnsi="方正仿宋_GBK" w:eastAsia="方正仿宋_GBK"/>
                <w:color w:val="000000"/>
                <w:sz w:val="28"/>
                <w:highlight w:val="none"/>
              </w:rPr>
              <w:t xml:space="preserve">分，最高得4分。</w:t>
            </w:r>
            <w:r>
              <w:rPr>
                <w:color w:val="000000"/>
                <w:highlight w:val="none"/>
              </w:rPr>
            </w:r>
            <w:r/>
          </w:p>
          <w:p>
            <w:pPr>
              <w:pStyle w:val="953"/>
              <w:jc w:val="left"/>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证明材料：提供合同关键页复印件或扫描件并加盖投标人公章，至少应能反映合同双方、项目名称或标的内容、合同金额、签订日期及签章页；材料无法反映评审要素的不得分。</w:t>
            </w:r>
            <w:r>
              <w:rPr>
                <w:rFonts w:hint="eastAsia" w:ascii="方正仿宋_GBK" w:hAnsi="方正仿宋_GBK" w:eastAsia="方正仿宋_GBK" w:cs="方正仿宋_GBK"/>
                <w:color w:val="000000"/>
                <w:sz w:val="28"/>
                <w:szCs w:val="32"/>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pStyle w:val="953"/>
              <w:jc w:val="center"/>
              <w:spacing w:line="360" w:lineRule="exact"/>
              <w:rPr>
                <w:rFonts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7</w:t>
            </w:r>
            <w:r>
              <w:rPr>
                <w:rFonts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28"/>
                <w:highlight w:val="none"/>
              </w:rPr>
              <w:t xml:space="preserve">节能环保</w:t>
            </w:r>
            <w:r>
              <w:rPr>
                <w:rFonts w:hint="eastAsia" w:ascii="方正仿宋_GBK" w:hAnsi="方正仿宋_GBK" w:eastAsia="方正仿宋_GBK" w:cs="方正仿宋_GBK"/>
                <w:color w:val="000000"/>
                <w:sz w:val="28"/>
                <w:szCs w:val="32"/>
                <w:highlight w:val="none"/>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pStyle w:val="953"/>
              <w:jc w:val="center"/>
              <w:spacing w:line="360" w:lineRule="exact"/>
              <w:rPr>
                <w:rFonts w:hint="eastAsia" w:ascii="方正仿宋_GBK" w:hAnsi="方正仿宋_GBK" w:eastAsia="方正仿宋_GBK" w:cs="方正仿宋_GBK"/>
                <w:color w:val="000000"/>
                <w:sz w:val="28"/>
                <w:szCs w:val="32"/>
                <w:highlight w:val="none"/>
                <w:lang w:val="en-US" w:eastAsia="zh-CN"/>
              </w:rPr>
            </w:pPr>
            <w:r>
              <w:rPr>
                <w:rFonts w:hint="eastAsia" w:ascii="方正仿宋_GBK" w:hAnsi="方正仿宋_GBK" w:eastAsia="方正仿宋_GBK" w:cs="方正仿宋_GBK"/>
                <w:color w:val="000000"/>
                <w:sz w:val="28"/>
                <w:szCs w:val="32"/>
                <w:highlight w:val="none"/>
                <w:lang w:val="en-US" w:eastAsia="zh-CN"/>
              </w:rPr>
              <w:t xml:space="preserve">2</w:t>
            </w:r>
            <w:r>
              <w:rPr>
                <w:rFonts w:hint="eastAsia" w:ascii="方正仿宋_GBK" w:hAnsi="方正仿宋_GBK" w:eastAsia="方正仿宋_GBK" w:cs="方正仿宋_GBK"/>
                <w:color w:val="000000"/>
                <w:sz w:val="28"/>
                <w:szCs w:val="32"/>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pStyle w:val="953"/>
              <w:jc w:val="left"/>
              <w:keepLines w:val="0"/>
              <w:keepNext w:val="0"/>
              <w:pageBreakBefore w:val="0"/>
              <w:spacing w:line="360" w:lineRule="exact"/>
              <w:widowControl w:val="off"/>
              <w:rPr>
                <w:rFonts w:hint="eastAsia" w:eastAsia="方正仿宋_GBK"/>
                <w:color w:val="000000"/>
                <w:highlight w:val="none"/>
                <w:lang w:eastAsia="zh-CN"/>
              </w:rPr>
            </w:pPr>
            <w:r>
              <w:rPr>
                <w:rFonts w:hint="eastAsia" w:ascii="方正仿宋_GBK" w:hAnsi="方正仿宋_GBK" w:eastAsia="方正仿宋_GBK"/>
                <w:color w:val="000000"/>
                <w:sz w:val="28"/>
                <w:highlight w:val="none"/>
              </w:rPr>
              <w:t xml:space="preserve">7.1</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1分</w:t>
            </w:r>
            <w:r>
              <w:rPr>
                <w:rFonts w:hint="eastAsia" w:ascii="方正仿宋_GBK" w:hAnsi="方正仿宋_GBK" w:eastAsia="方正仿宋_GBK"/>
                <w:color w:val="000000"/>
                <w:sz w:val="28"/>
                <w:highlight w:val="none"/>
                <w:lang w:eastAsia="zh-CN"/>
              </w:rPr>
              <w:t xml:space="preserve">）</w:t>
            </w:r>
            <w:r>
              <w:rPr>
                <w:rFonts w:ascii="方正仿宋_GBK" w:hAnsi="方正仿宋_GBK" w:eastAsia="方正仿宋_GBK"/>
                <w:color w:val="000000"/>
                <w:sz w:val="28"/>
                <w:highlight w:val="none"/>
              </w:rPr>
              <w:t xml:space="preserve">投标产品属于财政部、国家发展改革委公布的《节能产品政府采购品目清单》范围，且投标人提供国家确定的认证机构出具的有效节能产品认证证书的，每提供1项得0.5分，最高得1分</w:t>
            </w:r>
            <w:r>
              <w:rPr>
                <w:rFonts w:hint="eastAsia" w:ascii="方正仿宋_GBK" w:hAnsi="方正仿宋_GBK" w:eastAsia="方正仿宋_GBK"/>
                <w:color w:val="000000"/>
                <w:sz w:val="28"/>
                <w:highlight w:val="none"/>
                <w:lang w:eastAsia="zh-CN"/>
              </w:rPr>
              <w:t xml:space="preserve">。</w:t>
            </w:r>
            <w:r>
              <w:rPr>
                <w:rFonts w:hint="eastAsia" w:eastAsia="方正仿宋_GBK"/>
                <w:color w:val="000000"/>
                <w:highlight w:val="none"/>
                <w:lang w:eastAsia="zh-CN"/>
              </w:rPr>
            </w:r>
            <w:r/>
          </w:p>
          <w:p>
            <w:pPr>
              <w:pStyle w:val="953"/>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olor w:val="000000"/>
                <w:sz w:val="28"/>
                <w:highlight w:val="none"/>
              </w:rPr>
              <w:t xml:space="preserve">7.2</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1分</w:t>
            </w:r>
            <w:r>
              <w:rPr>
                <w:rFonts w:hint="eastAsia" w:ascii="方正仿宋_GBK" w:hAnsi="方正仿宋_GBK" w:eastAsia="方正仿宋_GBK"/>
                <w:color w:val="000000"/>
                <w:sz w:val="28"/>
                <w:highlight w:val="none"/>
                <w:lang w:eastAsia="zh-CN"/>
              </w:rPr>
              <w:t xml:space="preserve">）</w:t>
            </w:r>
            <w:r>
              <w:rPr>
                <w:rFonts w:ascii="方正仿宋_GBK" w:hAnsi="方正仿宋_GBK" w:eastAsia="方正仿宋_GBK"/>
                <w:color w:val="000000"/>
                <w:sz w:val="28"/>
                <w:highlight w:val="none"/>
              </w:rPr>
              <w:t xml:space="preserve">投标产品属于财政部、生态环境部公布的《环境标志产品政府采购品目清单》范围，且投标人提供国家确定的认证机构出具的有效环境标志产品认证证书的，每提供1项得0.5分，最高得1分。</w:t>
            </w:r>
            <w:r>
              <w:rPr>
                <w:rFonts w:hint="eastAsia" w:ascii="方正仿宋_GBK" w:hAnsi="方正仿宋_GBK" w:eastAsia="方正仿宋_GBK" w:cs="方正仿宋_GBK"/>
                <w:color w:val="000000"/>
                <w:sz w:val="28"/>
                <w:szCs w:val="32"/>
                <w:highlight w:val="none"/>
              </w:rPr>
            </w:r>
            <w:r/>
          </w:p>
        </w:tc>
      </w:tr>
    </w:tbl>
    <w:p>
      <w:pPr>
        <w:pStyle w:val="955"/>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第六章  投标</w:t>
      </w:r>
      <w:bookmarkEnd w:id="60"/>
      <w:r/>
      <w:bookmarkEnd w:id="61"/>
      <w:r/>
      <w:bookmarkEnd w:id="62"/>
      <w:r>
        <w:rPr>
          <w:rFonts w:hint="eastAsia" w:ascii="黑体" w:hAnsi="黑体" w:eastAsia="黑体"/>
          <w:b w:val="0"/>
          <w:bCs w:val="0"/>
          <w:color w:val="000000"/>
          <w:sz w:val="28"/>
          <w:szCs w:val="28"/>
          <w:highlight w:val="none"/>
        </w:rPr>
        <w:t xml:space="preserve">文件格式</w:t>
      </w:r>
      <w:r>
        <w:rPr>
          <w:rFonts w:hint="eastAsia" w:ascii="黑体" w:hAnsi="黑体" w:eastAsia="黑体"/>
          <w:b w:val="0"/>
          <w:bCs w:val="0"/>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bookmarkStart w:id="63" w:name="_Hlt26955039"/>
      <w:r/>
      <w:bookmarkEnd w:id="63"/>
      <w:r/>
      <w:bookmarkStart w:id="64" w:name="_Hlt26671244"/>
      <w:r/>
      <w:bookmarkEnd w:id="64"/>
      <w:r/>
      <w:bookmarkStart w:id="65" w:name="_Toc120614282"/>
      <w:r/>
      <w:bookmarkStart w:id="66" w:name="_Toc26554094"/>
      <w:r/>
      <w:bookmarkStart w:id="67" w:name="_Toc49090576"/>
      <w:r>
        <w:rPr>
          <w:rFonts w:hint="eastAsia" w:ascii="宋体" w:hAnsi="宋体"/>
          <w:b/>
          <w:color w:val="000000"/>
          <w:sz w:val="28"/>
          <w:szCs w:val="28"/>
          <w:highlight w:val="none"/>
        </w:rPr>
      </w:r>
      <w:r/>
    </w:p>
    <w:p>
      <w:pPr>
        <w:pStyle w:val="953"/>
        <w:jc w:val="center"/>
        <w:spacing w:line="400" w:lineRule="exact"/>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rPr>
          <w:rFonts w:hint="eastAsia" w:ascii="方正小标宋_GBK" w:hAnsi="方正小标宋_GBK" w:eastAsia="方正小标宋_GBK" w:cs="方正小标宋_GBK"/>
          <w:bCs/>
          <w:color w:val="000000"/>
          <w:sz w:val="32"/>
          <w:szCs w:val="32"/>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      项 目 名 称：</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采 购 编 号：</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5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rPr>
          <w:rFonts w:hint="eastAsia" w:ascii="方正黑体_GBK" w:hAnsi="方正黑体_GBK" w:eastAsia="方正黑体_GBK" w:cs="方正黑体_GBK"/>
          <w:bCs/>
          <w:color w:val="000000"/>
          <w:sz w:val="28"/>
          <w:szCs w:val="28"/>
          <w:highlight w:val="none"/>
          <w:u w:val="single"/>
        </w:rPr>
      </w:r>
      <w:r/>
    </w:p>
    <w:p>
      <w:pPr>
        <w:pStyle w:val="95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3"/>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投标文件的组成</w:t>
      </w:r>
      <w:r>
        <w:rPr>
          <w:rFonts w:hint="eastAsia" w:ascii="方正黑体_GBK" w:hAnsi="方正黑体_GBK" w:eastAsia="方正黑体_GBK" w:cs="方正黑体_GBK"/>
          <w:color w:val="000000"/>
          <w:sz w:val="28"/>
          <w:szCs w:val="28"/>
          <w:highlight w:val="none"/>
        </w:rPr>
      </w:r>
      <w:r/>
    </w:p>
    <w:p>
      <w:pPr>
        <w:pStyle w:val="953"/>
        <w:jc w:val="cente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53"/>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一、基本目录</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color w:val="000000"/>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二、资格审查内容</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总备注：上述“资格审查内容”中1-6条、8、9条投标人必须在投标文件中提供相关材料，否则作无效投标处理；6、10、11、12条如招标文件要求必须提供相关材料而未提供的，作无效投标处理。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highlight w:val="none"/>
        </w:rPr>
      </w:r>
      <w:r/>
    </w:p>
    <w:p>
      <w:pPr>
        <w:pStyle w:val="953"/>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三、符合性审查内容</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的实质性要求逐条做出响应，并按照招标文件要求提供证明材料，否则作无效投标处理。（格式见附件11）</w:t>
      </w:r>
      <w:r>
        <w:rPr>
          <w:rFonts w:hint="eastAsia" w:ascii="方正仿宋_GBK" w:hAnsi="方正仿宋_GBK" w:eastAsia="方正仿宋_GBK" w:cs="方正仿宋_GBK"/>
          <w:color w:val="000000"/>
          <w:sz w:val="28"/>
          <w:szCs w:val="28"/>
          <w:highlight w:val="none"/>
        </w:rPr>
      </w:r>
      <w:r/>
    </w:p>
    <w:p>
      <w:pPr>
        <w:pStyle w:val="953"/>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四、价格扣除证明文件</w:t>
      </w:r>
      <w:r>
        <w:rPr>
          <w:rFonts w:hint="eastAsia" w:ascii="方正黑体_GBK" w:hAnsi="方正黑体_GBK" w:eastAsia="方正黑体_GBK" w:cs="方正黑体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3.关于符合本国产品标准的声明函（格式见附件12）</w:t>
      </w:r>
      <w:r>
        <w:rPr>
          <w:rFonts w:hint="eastAsia" w:ascii="方正仿宋_GBK" w:hAnsi="方正仿宋_GBK" w:eastAsia="方正仿宋_GBK" w:cs="方正仿宋_GBK"/>
          <w:color w:val="000000"/>
          <w:sz w:val="28"/>
          <w:szCs w:val="28"/>
          <w:highlight w:val="none"/>
        </w:rPr>
      </w:r>
      <w:r/>
    </w:p>
    <w:p>
      <w:pPr>
        <w:pStyle w:val="953"/>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 开标一览表</w:t>
      </w:r>
      <w:r>
        <w:rPr>
          <w:rFonts w:hint="eastAsia" w:ascii="方正黑体_GBK" w:hAnsi="方正黑体_GBK" w:eastAsia="方正黑体_GBK" w:cs="方正黑体_GBK"/>
          <w:bCs/>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投标人全称（加盖CA电子签章）：</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hint="eastAsia" w:eastAsia="方正仿宋_GBK"/>
          <w:color w:val="000000"/>
          <w:sz w:val="28"/>
          <w:szCs w:val="28"/>
          <w:highlight w:val="none"/>
        </w:rPr>
        <w:t xml:space="preserve">XXXX</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投标总报价</w:t>
            </w:r>
            <w:r>
              <w:rPr>
                <w:rFonts w:hint="eastAsia" w:ascii="方正仿宋_GBK" w:hAnsi="方正仿宋_GBK" w:eastAsia="方正仿宋_GBK" w:cs="方正仿宋_GBK"/>
                <w:color w:val="000000"/>
                <w:sz w:val="28"/>
                <w:szCs w:val="28"/>
                <w:highlight w:val="none"/>
              </w:rPr>
            </w:r>
            <w:r/>
          </w:p>
        </w:tc>
      </w:tr>
      <w:tr>
        <w:trPr>
          <w:cantSplit/>
          <w:trHeight w:val="612"/>
        </w:trPr>
        <w:tc>
          <w:tcPr>
            <w:gridSpan w:val="2"/>
            <w:tcW w:w="8886" w:type="dxa"/>
            <w:vAlign w:val="center"/>
            <w:textDirection w:val="lrTb"/>
            <w:noWrap w:val="false"/>
          </w:tcPr>
          <w:p>
            <w:pPr>
              <w:pStyle w:val="953"/>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小写：                             （人民币：元）</w:t>
            </w:r>
            <w:r>
              <w:rPr>
                <w:rFonts w:hint="eastAsia" w:ascii="方正仿宋_GBK" w:hAnsi="方正仿宋_GBK" w:eastAsia="方正仿宋_GBK" w:cs="方正仿宋_GBK"/>
                <w:color w:val="000000"/>
                <w:sz w:val="28"/>
                <w:szCs w:val="28"/>
                <w:highlight w:val="none"/>
              </w:rPr>
            </w:r>
            <w:r/>
          </w:p>
        </w:tc>
      </w:tr>
      <w:tr>
        <w:trPr>
          <w:cantSplit/>
          <w:trHeight w:val="505"/>
        </w:trPr>
        <w:tc>
          <w:tcPr>
            <w:tcW w:w="2481"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核心产品品牌</w:t>
            </w:r>
            <w:r>
              <w:rPr>
                <w:rFonts w:hint="eastAsia" w:ascii="方正仿宋_GBK" w:hAnsi="方正仿宋_GBK" w:eastAsia="方正仿宋_GBK" w:cs="方正仿宋_GBK"/>
                <w:color w:val="000000"/>
                <w:sz w:val="28"/>
                <w:szCs w:val="28"/>
                <w:highlight w:val="none"/>
              </w:rPr>
            </w:r>
            <w:r/>
          </w:p>
        </w:tc>
        <w:tc>
          <w:tcPr>
            <w:tcW w:w="6405" w:type="dxa"/>
            <w:vAlign w:val="center"/>
            <w:textDirection w:val="lrTb"/>
            <w:noWrap w:val="false"/>
          </w:tcPr>
          <w:p>
            <w:pPr>
              <w:pStyle w:val="953"/>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53"/>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附件2 投标分项报价表（采购包号：XX）</w:t>
      </w:r>
      <w:r>
        <w:rPr>
          <w:rFonts w:hint="eastAsia" w:ascii="方正黑体_GBK" w:hAnsi="方正黑体_GBK" w:eastAsia="方正黑体_GBK" w:cs="方正黑体_GBK"/>
          <w:bCs/>
          <w:color w:val="000000"/>
          <w:sz w:val="28"/>
          <w:szCs w:val="28"/>
          <w:highlight w:val="none"/>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r>
            <w:r/>
          </w:p>
        </w:tc>
      </w:tr>
      <w:tr>
        <w:trPr>
          <w:cantSplit/>
          <w:trHeight w:val="294"/>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产品</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名称</w:t>
            </w: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rPr>
                <w:rFonts w:hint="eastAsia" w:ascii="方正仿宋_GBK" w:hAnsi="方正仿宋_GBK" w:eastAsia="方正仿宋_GBK" w:cs="方正仿宋_GBK"/>
                <w:color w:val="000000"/>
                <w:sz w:val="28"/>
                <w:szCs w:val="28"/>
                <w:highlight w:val="none"/>
              </w:rPr>
            </w:r>
            <w:r/>
          </w:p>
        </w:tc>
        <w:tc>
          <w:tcPr>
            <w:tcW w:w="110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交付期</w:t>
            </w: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rPr>
                <w:rFonts w:hint="eastAsia" w:ascii="方正仿宋_GBK" w:hAnsi="方正仿宋_GBK" w:eastAsia="方正仿宋_GBK" w:cs="方正仿宋_GBK"/>
                <w:color w:val="000000"/>
                <w:sz w:val="28"/>
                <w:szCs w:val="28"/>
                <w:highlight w:val="none"/>
              </w:rPr>
            </w:r>
            <w:r/>
          </w:p>
        </w:tc>
      </w:tr>
      <w:tr>
        <w:trPr>
          <w:cantSplit/>
          <w:trHeight w:val="696"/>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u w:val="singl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57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90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514" w:type="dxa"/>
            <w:vAlign w:val="top"/>
            <w:textDirection w:val="lrTb"/>
            <w:noWrap w:val="false"/>
          </w:tcPr>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tc>
      </w:tr>
      <w:tr>
        <w:trPr>
          <w:cantSplit/>
          <w:trHeight w:val="767"/>
        </w:trPr>
        <w:tc>
          <w:tcPr>
            <w:gridSpan w:val="10"/>
            <w:tcW w:w="9514" w:type="dxa"/>
            <w:vAlign w:val="top"/>
            <w:textDirection w:val="lrTb"/>
            <w:noWrap w:val="false"/>
          </w:tcPr>
          <w:p>
            <w:pPr>
              <w:pStyle w:val="1015"/>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r>
    </w:tbl>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4.投标人需认真填写本报价表，尤其注意规格型号的准确填写。</w:t>
      </w:r>
      <w:r>
        <w:rPr>
          <w:rFonts w:hint="eastAsia" w:ascii="方正仿宋_GBK" w:hAnsi="方正仿宋_GBK" w:eastAsia="方正仿宋_GBK" w:cs="方正仿宋_GBK"/>
          <w:color w:val="000000"/>
          <w:sz w:val="28"/>
          <w:szCs w:val="28"/>
          <w:highlight w:val="none"/>
        </w:rPr>
      </w:r>
      <w:r/>
    </w:p>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5.项目经办人可以根据项目实际需要对表格结构进行调整。</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附件3 技术要求响应及偏离表（采购包号：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063"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技术要求</w:t>
            </w:r>
            <w:r>
              <w:rPr>
                <w:rFonts w:hint="eastAsia" w:ascii="方正仿宋_GBK" w:hAnsi="方正仿宋_GBK" w:eastAsia="方正仿宋_GBK" w:cs="方正仿宋_GBK"/>
                <w:color w:val="000000"/>
                <w:sz w:val="28"/>
                <w:szCs w:val="28"/>
                <w:highlight w:val="none"/>
              </w:rPr>
            </w:r>
            <w:r/>
          </w:p>
        </w:tc>
        <w:tc>
          <w:tcPr>
            <w:tcW w:w="3191"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21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53"/>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附件3-1  证明材料1，证明材料2，……</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附件4 商务要求响应及偏离表（采购包号：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063"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商务要求</w:t>
            </w:r>
            <w:r>
              <w:rPr>
                <w:rFonts w:hint="eastAsia" w:ascii="方正仿宋_GBK" w:hAnsi="方正仿宋_GBK" w:eastAsia="方正仿宋_GBK" w:cs="方正仿宋_GBK"/>
                <w:color w:val="000000"/>
                <w:sz w:val="28"/>
                <w:szCs w:val="28"/>
                <w:highlight w:val="none"/>
              </w:rPr>
            </w:r>
            <w:r/>
          </w:p>
        </w:tc>
        <w:tc>
          <w:tcPr>
            <w:tcW w:w="3191"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2128"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53"/>
        <w:ind w:firstLine="482"/>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附件4-1  证明材料1，证明材料2，……</w:t>
      </w:r>
      <w:r>
        <w:rPr>
          <w:rFonts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主要设备有：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主要专业技术能力有：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rFonts w:hint="eastAsia" w:ascii="宋体" w:hAnsi="宋体"/>
          <w:bCs/>
          <w:color w:val="000000"/>
          <w:sz w:val="28"/>
          <w:szCs w:val="28"/>
          <w:highlight w:val="none"/>
        </w:rPr>
      </w:r>
      <w:r/>
    </w:p>
    <w:p>
      <w:pPr>
        <w:pStyle w:val="95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附件6 参加政府采购活动前 3 年内在经营活动中没有重大违法记录的书面声明</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65"/>
      <w:r/>
      <w:bookmarkEnd w:id="66"/>
      <w:r/>
      <w:bookmarkEnd w:id="67"/>
      <w:r/>
      <w:bookmarkStart w:id="68" w:name="_Toc120614284"/>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53"/>
        <w:ind w:firstLine="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附件7                   法人授权书</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被授权人电子邮箱：</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5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bookmarkStart w:id="69" w:name="_Hlt26671380"/>
      <w:r/>
      <w:bookmarkEnd w:id="69"/>
      <w:r/>
      <w:bookmarkStart w:id="70" w:name="_格式3__银行出具的资信证明"/>
      <w:r/>
      <w:bookmarkEnd w:id="70"/>
      <w:r/>
      <w:bookmarkStart w:id="71" w:name="_Hlt26955070"/>
      <w:r/>
      <w:bookmarkEnd w:id="71"/>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3"/>
        <w:ind w:firstLine="420"/>
        <w:spacing w:line="400" w:lineRule="exact"/>
        <w:rPr>
          <w:color w:val="000000"/>
          <w:sz w:val="28"/>
          <w:szCs w:val="28"/>
          <w:highlight w:val="none"/>
        </w:rPr>
      </w:pPr>
      <w:r>
        <w:rPr>
          <w:color w:val="000000"/>
          <w:sz w:val="28"/>
          <w:szCs w:val="28"/>
          <w:highlight w:val="none"/>
        </w:rPr>
      </w:r>
      <w:r/>
    </w:p>
    <w:p>
      <w:pPr>
        <w:pStyle w:val="953"/>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附件8                    投标函</w:t>
      </w:r>
      <w:r>
        <w:rPr>
          <w:rFonts w:ascii="黑体" w:hAnsi="黑体" w:eastAsia="黑体"/>
          <w:b/>
          <w:i/>
          <w:color w:val="000000"/>
          <w:sz w:val="28"/>
          <w:szCs w:val="28"/>
          <w:highlight w:val="none"/>
          <w:u w:val="singl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项目（项目名称）的招标文件，正式授权下述签字人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rFonts w:hint="eastAsia" w:ascii="方正仿宋_GBK" w:hAnsi="方正仿宋_GBK" w:eastAsia="方正仿宋_GBK" w:cs="方正仿宋_GBK"/>
          <w:color w:val="000000"/>
          <w:sz w:val="28"/>
          <w:szCs w:val="28"/>
          <w:highlight w:val="none"/>
        </w:rPr>
      </w:r>
      <w:r/>
    </w:p>
    <w:p>
      <w:pPr>
        <w:pStyle w:val="953"/>
        <w:ind w:left="420" w:firstLine="560"/>
        <w:jc w:val="left"/>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ind w:left="383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53"/>
        <w:ind w:left="3830"/>
        <w:jc w:val="left"/>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宋体" w:hAnsi="宋体"/>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53"/>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附件9  中小微企业声明函（货物类项目）（采购包号：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本公司（联合体）郑重声明，根据《政府采购促进中小企业发展管理办法》(财库〔2020〕46号)的规定，本公司（联合体）参加江苏省政府采购中心组织的</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（采购单位名称）采购编号为</w:t>
      </w:r>
      <w:r>
        <w:rPr>
          <w:rFonts w:eastAsia="方正仿宋_GBK"/>
          <w:color w:val="000000"/>
          <w:sz w:val="28"/>
          <w:szCs w:val="28"/>
          <w:highlight w:val="none"/>
        </w:rPr>
        <w:t xml:space="preserve">JSZC-320000-SCZX-G20XX-XXXX，</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（供应商填写招标文件中明确的所属行业）行业；产品制造商为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rFonts w:hint="eastAsia" w:ascii="方正仿宋_GBK" w:hAnsi="方正仿宋_GBK" w:eastAsia="方正仿宋_GBK" w:cs="方正仿宋_GBK"/>
          <w:i/>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（供应商填写招标文件中明确的所属行业）行业；产品制造商为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rPr>
          <w:rFonts w:hint="eastAsia" w:ascii="方正仿宋_GBK" w:hAnsi="方正仿宋_GBK" w:eastAsia="方正仿宋_GBK" w:cs="方正仿宋_GBK"/>
          <w:i/>
          <w:color w:val="000000"/>
          <w:sz w:val="28"/>
          <w:szCs w:val="28"/>
          <w:highlight w:val="none"/>
          <w:u w:val="singl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color w:val="000000"/>
          <w:sz w:val="28"/>
          <w:szCs w:val="28"/>
          <w:highlight w:val="none"/>
        </w:rPr>
      </w:r>
      <w:r/>
    </w:p>
    <w:p>
      <w:pPr>
        <w:pStyle w:val="953"/>
        <w:ind w:right="180"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企业名称（加盖CA电子公章）：</w:t>
      </w:r>
      <w:r>
        <w:rPr>
          <w:rFonts w:hint="eastAsia" w:ascii="方正仿宋_GBK" w:hAnsi="方正仿宋_GBK" w:eastAsia="方正仿宋_GBK" w:cs="方正仿宋_GBK"/>
          <w:color w:val="000000"/>
          <w:sz w:val="28"/>
          <w:szCs w:val="28"/>
          <w:highlight w:val="none"/>
        </w:rPr>
      </w:r>
      <w:r/>
    </w:p>
    <w:p>
      <w:pPr>
        <w:pStyle w:val="953"/>
        <w:ind w:right="480" w:firstLine="364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000000"/>
          <w:sz w:val="28"/>
          <w:szCs w:val="28"/>
          <w:highlight w:val="none"/>
        </w:rPr>
        <w:t xml:space="preserve">        </w:t>
      </w:r>
      <w:r>
        <w:rPr>
          <w:rFonts w:ascii="宋体" w:hAnsi="宋体"/>
          <w:color w:val="000000"/>
          <w:sz w:val="28"/>
          <w:szCs w:val="28"/>
          <w:highlight w:val="none"/>
        </w:rPr>
      </w:r>
      <w:r/>
    </w:p>
    <w:p>
      <w:pPr>
        <w:pStyle w:val="953"/>
        <w:ind w:firstLine="560"/>
        <w:jc w:val="left"/>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53"/>
        <w:ind w:firstLine="560"/>
        <w:jc w:val="left"/>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53"/>
        <w:jc w:val="left"/>
        <w:spacing w:line="400" w:lineRule="exact"/>
        <w:rPr>
          <w:rFonts w:hint="eastAsia" w:ascii="宋体" w:hAnsi="宋体"/>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附件10残疾人福利性单位声明函（货物类项目）（采购包号：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u w:val="single"/>
        </w:rPr>
        <w:t xml:space="preserve">      </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本单位对上述声明的真实性负责。如有虚假，将依法承担相应责任。</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非专门面向中小微型企业采购的项目，供应商如不提供此声明函，价格将不做相应扣除。</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color w:val="000000"/>
          <w:sz w:val="28"/>
          <w:szCs w:val="28"/>
          <w:highlight w:val="none"/>
        </w:rPr>
      </w:r>
      <w:r/>
    </w:p>
    <w:p>
      <w:pPr>
        <w:pStyle w:val="953"/>
        <w:ind w:firstLine="584"/>
        <w:spacing w:line="400"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pStyle w:val="953"/>
        <w:ind w:right="180" w:firstLine="584"/>
        <w:jc w:val="right"/>
        <w:spacing w:line="400" w:lineRule="exact"/>
        <w:rPr>
          <w:rFonts w:hint="eastAsia" w:ascii="方正仿宋_GBK" w:hAnsi="方正仿宋_GBK" w:eastAsia="方正仿宋_GBK" w:cs="方正仿宋_GBK"/>
          <w:color w:val="000000"/>
          <w:sz w:val="28"/>
          <w:szCs w:val="28"/>
          <w:highlight w:val="none"/>
        </w:rPr>
      </w:pPr>
      <w:r>
        <w:rPr>
          <w:rFonts w:hint="eastAsia" w:ascii="仿宋_GB2312" w:eastAsia="仿宋_GB2312"/>
          <w:color w:val="000000"/>
          <w:spacing w:val="6"/>
          <w:sz w:val="28"/>
          <w:szCs w:val="28"/>
          <w:highlight w:val="none"/>
        </w:rPr>
        <w:t xml:space="preserve">             </w:t>
      </w:r>
      <w:r>
        <w:rPr>
          <w:rFonts w:hint="eastAsia" w:ascii="宋体" w:hAnsi="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53"/>
        <w:ind w:right="180"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日  期：___年____月____日 </w:t>
      </w:r>
      <w:r>
        <w:rPr>
          <w:rFonts w:hint="eastAsia" w:ascii="方正仿宋_GBK" w:hAnsi="方正仿宋_GBK" w:eastAsia="方正仿宋_GBK" w:cs="方正仿宋_GBK"/>
          <w:color w:val="000000"/>
          <w:sz w:val="28"/>
          <w:szCs w:val="28"/>
          <w:highlight w:val="none"/>
        </w:rPr>
      </w:r>
      <w:r/>
    </w:p>
    <w:p>
      <w:pPr>
        <w:pStyle w:val="953"/>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pStyle w:val="953"/>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400" w:lineRule="exact"/>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附件11实质性要求响应及偏离表（采购包号：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3609"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r>
            <w:r/>
          </w:p>
        </w:tc>
        <w:tc>
          <w:tcPr>
            <w:tcW w:w="3317"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rPr>
                <w:rFonts w:hint="eastAsia" w:ascii="方正仿宋_GBK" w:hAnsi="方正仿宋_GBK" w:eastAsia="方正仿宋_GBK" w:cs="方正仿宋_GBK"/>
                <w:color w:val="000000"/>
                <w:sz w:val="28"/>
                <w:szCs w:val="28"/>
                <w:highlight w:val="none"/>
              </w:rPr>
            </w:r>
            <w:r/>
          </w:p>
        </w:tc>
        <w:tc>
          <w:tcPr>
            <w:tcW w:w="1526" w:type="dxa"/>
            <w:vAlign w:val="center"/>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附件12-1 证明材料1，证明材料2，……</w:t>
      </w:r>
      <w:r>
        <w:rPr>
          <w:rFonts w:hint="eastAsia" w:ascii="方正仿宋_GBK" w:hAnsi="方正仿宋_GBK" w:eastAsia="方正仿宋_GBK" w:cs="方正仿宋_GBK"/>
          <w:color w:val="000000"/>
          <w:sz w:val="28"/>
          <w:szCs w:val="28"/>
          <w:highlight w:val="none"/>
        </w:rPr>
      </w:r>
      <w:r/>
    </w:p>
    <w:p>
      <w:pPr>
        <w:pStyle w:val="953"/>
        <w:spacing w:line="400" w:lineRule="exact"/>
        <w:rPr>
          <w:rFonts w:ascii="宋体" w:hAnsi="宋体"/>
          <w:color w:val="000000"/>
          <w:sz w:val="28"/>
          <w:szCs w:val="28"/>
          <w:highlight w:val="none"/>
        </w:rPr>
      </w:pPr>
      <w:r>
        <w:rPr>
          <w:rFonts w:ascii="宋体" w:hAnsi="宋体"/>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逐条做出明确响应。</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3"/>
        <w:jc w:val="left"/>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附件12  关于符合本国产品标准的声明函（采购包号：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rPr>
          <w:rFonts w:hint="eastAsia" w:ascii="方正黑体_GBK" w:hAnsi="方正黑体_GBK" w:eastAsia="方正黑体_GBK" w:cs="方正黑体_GBK"/>
          <w:bCs/>
          <w:color w:val="000000"/>
          <w:sz w:val="28"/>
          <w:szCs w:val="28"/>
          <w:highlight w:val="none"/>
        </w:rPr>
      </w:r>
      <w:r/>
    </w:p>
    <w:p>
      <w:pPr>
        <w:pStyle w:val="1015"/>
        <w:ind w:firstLine="560"/>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color w:val="000000"/>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（产品名称1）</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1</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2</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3</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4</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5</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rPr>
          <w:rFonts w:hint="eastAsia" w:ascii="方正仿宋_GBK" w:hAnsi="方正仿宋_GBK" w:eastAsia="方正仿宋_GBK" w:cs="方正仿宋_GBK"/>
          <w:color w:val="000000"/>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（产品名称2）</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rPr>
          <w:rFonts w:hint="eastAsia" w:ascii="方正仿宋_GBK" w:hAnsi="方正仿宋_GBK" w:eastAsia="方正仿宋_GBK" w:cs="方正仿宋_GBK"/>
          <w:color w:val="000000"/>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rPr>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color w:val="000000"/>
          <w:sz w:val="28"/>
          <w:szCs w:val="28"/>
          <w:highlight w:val="none"/>
        </w:rPr>
      </w:r>
      <w:r/>
    </w:p>
    <w:p>
      <w:pPr>
        <w:pStyle w:val="1015"/>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rPr>
      </w:r>
      <w:r/>
    </w:p>
    <w:p>
      <w:pPr>
        <w:pStyle w:val="1015"/>
        <w:ind w:firstLine="560"/>
        <w:jc w:val="right"/>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                   公司（单位）名称（加盖CA电子公章）：　  日期：___年____月____日   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1015"/>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color w:val="000000"/>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color w:val="000000"/>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color w:val="000000"/>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color w:val="000000"/>
          <w:sz w:val="28"/>
          <w:szCs w:val="28"/>
          <w:highlight w:val="none"/>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color w:val="000000"/>
          <w:sz w:val="28"/>
          <w:szCs w:val="28"/>
          <w:highlight w:val="none"/>
          <w:shd w:val="clear" w:color="auto" w:fill="ffffff"/>
        </w:rPr>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6.《声明函》中标注“</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”的地方无需填写。</w:t>
      </w:r>
      <w:r>
        <w:rPr>
          <w:rFonts w:hint="eastAsia" w:ascii="方正仿宋_GBK" w:hAnsi="方正仿宋_GBK" w:eastAsia="方正仿宋_GBK" w:cs="方正仿宋_GBK"/>
          <w:color w:val="000000"/>
          <w:sz w:val="28"/>
          <w:szCs w:val="28"/>
          <w:highlight w:val="none"/>
          <w:shd w:val="clear" w:color="auto" w:fill="ffffff"/>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53"/>
        <w:jc w:val="center"/>
        <w:spacing w:line="400" w:lineRule="exact"/>
        <w:rPr>
          <w:rFonts w:hint="eastAsia" w:ascii="方正黑体_GBK" w:hAnsi="方正黑体_GBK" w:eastAsia="方正黑体_GBK" w:cs="方正黑体_GBK"/>
          <w:bCs/>
          <w:color w:val="000000"/>
          <w:sz w:val="28"/>
          <w:szCs w:val="28"/>
          <w:highlight w:val="none"/>
        </w:rPr>
      </w:pPr>
      <w:r/>
      <w:bookmarkEnd w:id="58"/>
      <w:r/>
      <w:bookmarkEnd w:id="59"/>
      <w:r/>
      <w:bookmarkEnd w:id="68"/>
      <w:r>
        <w:rPr>
          <w:rFonts w:hint="eastAsia" w:ascii="方正黑体_GBK" w:hAnsi="方正黑体_GBK" w:eastAsia="方正黑体_GBK" w:cs="方正黑体_GBK"/>
          <w:bCs/>
          <w:color w:val="000000"/>
          <w:sz w:val="28"/>
          <w:szCs w:val="28"/>
          <w:highlight w:val="none"/>
        </w:rPr>
        <w:t xml:space="preserve">质疑函范本</w:t>
      </w:r>
      <w:r>
        <w:rPr>
          <w:rFonts w:hint="eastAsia" w:ascii="方正黑体_GBK" w:hAnsi="方正黑体_GBK" w:eastAsia="方正黑体_GBK" w:cs="方正黑体_GBK"/>
          <w:bCs/>
          <w:color w:val="000000"/>
          <w:sz w:val="28"/>
          <w:szCs w:val="28"/>
          <w:highlight w:val="none"/>
        </w:rPr>
      </w:r>
      <w:r/>
    </w:p>
    <w:p>
      <w:pPr>
        <w:pStyle w:val="953"/>
        <w:spacing w:before="312"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rFonts w:hint="eastAsia" w:ascii="方正仿宋_GBK" w:hAnsi="方正仿宋_GBK" w:eastAsia="方正仿宋_GBK" w:cs="方正仿宋_GBK"/>
          <w:bCs/>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rFonts w:hint="eastAsia" w:ascii="方正仿宋_GBK" w:hAnsi="方正仿宋_GBK" w:eastAsia="方正仿宋_GBK" w:cs="方正仿宋_GBK"/>
          <w:color w:val="000000"/>
          <w:sz w:val="28"/>
          <w:szCs w:val="28"/>
          <w:highlight w:val="none"/>
        </w:rPr>
      </w:r>
      <w:r/>
    </w:p>
    <w:p>
      <w:pPr>
        <w:pStyle w:val="95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rFonts w:hint="eastAsia" w:ascii="方正仿宋_GBK" w:hAnsi="方正仿宋_GBK" w:eastAsia="方正仿宋_GBK" w:cs="方正仿宋_GBK"/>
          <w:color w:val="000000"/>
          <w:sz w:val="28"/>
          <w:szCs w:val="28"/>
          <w:highlight w:val="none"/>
        </w:rPr>
      </w:r>
      <w:r/>
    </w:p>
    <w:p>
      <w:pPr>
        <w:pStyle w:val="95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rFonts w:hint="eastAsia" w:ascii="方正仿宋_GBK" w:hAnsi="方正仿宋_GBK" w:eastAsia="方正仿宋_GBK" w:cs="方正仿宋_GBK"/>
          <w:b/>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highlight w:val="none"/>
        </w:rPr>
      </w:r>
      <w:r/>
    </w:p>
    <w:p>
      <w:pPr>
        <w:pStyle w:val="953"/>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5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___WRD_EMBED_SUB_47">
    <w:panose1 w:val="020B0503020202020204"/>
  </w:font>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w:r/>
  </w:p>
  <w:p>
    <w:pPr>
      <w:pStyle w:val="100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3"/>
                    </w:pPr>
                    <w:r/>
                    <w:r/>
                  </w:p>
                </w:txbxContent>
              </v:textbox>
            </v:shape>
          </w:pict>
        </mc:Fallback>
      </mc:AlternateContent>
    </w:r>
    <w:r/>
  </w:p>
  <w:p>
    <w:pPr>
      <w:pStyle w:val="10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2351413</wp:posOffset>
              </wp:positionH>
              <wp:positionV relativeFrom="paragraph">
                <wp:posOffset>-187190</wp:posOffset>
              </wp:positionV>
              <wp:extent cx="733357" cy="379265"/>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733356" cy="379264"/>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953"/>
                          </w:pPr>
                          <w:r/>
                          <w:r/>
                        </w:p>
                      </w:txbxContent>
                    </wps:txbx>
                    <wps:bodyPr wrap="square" lIns="0" tIns="0" rIns="0" bIns="0" upright="1">
                      <a:noAutofit/>
                    </wps:bodyPr>
                  </wps:wsp>
                </a:graphicData>
              </a:graphic>
            </wp:anchor>
          </w:drawing>
        </mc:Choice>
        <mc:Fallback>
          <w:pict>
            <v:shape id="shape 1" o:spid="_x0000_s1" o:spt="202" type="#_x0000_t202" style="position:absolute;z-index:251658241;o:allowoverlap:true;o:allowincell:true;mso-position-horizontal-relative:margin;margin-left:185.2pt;mso-position-horizontal:absolute;mso-position-vertical-relative:text;margin-top:-14.7pt;mso-position-vertical:absolute;width:57.7pt;height:29.9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953"/>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rPr>
        <w:rStyle w:val="1025"/>
      </w:rPr>
    </w:r>
    <w:r/>
  </w:p>
  <w:p>
    <w:pPr>
      <w:pStyle w:val="10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32"/>
      <w:isLgl w:val="false"/>
      <w:suff w:val="tab"/>
      <w:lvlText w:val="附录%1."/>
      <w:lvlJc w:val="left"/>
      <w:pPr>
        <w:pStyle w:val="9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9"/>
      <w:isLgl w:val="false"/>
      <w:suff w:val="tab"/>
      <w:lvlText w:val="%1."/>
      <w:lvlJc w:val="left"/>
      <w:pPr>
        <w:pStyle w:val="953"/>
        <w:ind w:left="709" w:hanging="709"/>
        <w:tabs>
          <w:tab w:val="num" w:pos="709" w:leader="none"/>
        </w:tabs>
      </w:pPr>
      <w:rPr>
        <w:rFonts w:hint="eastAsia"/>
      </w:rPr>
    </w:lvl>
    <w:lvl w:ilvl="1">
      <w:start w:val="1"/>
      <w:numFmt w:val="decimal"/>
      <w:isLgl w:val="false"/>
      <w:suff w:val="tab"/>
      <w:lvlText w:val="%1.%2"/>
      <w:lvlJc w:val="left"/>
      <w:pPr>
        <w:pStyle w:val="953"/>
        <w:ind w:left="709" w:hanging="709"/>
        <w:tabs>
          <w:tab w:val="num" w:pos="709" w:leader="none"/>
        </w:tabs>
      </w:pPr>
      <w:rPr>
        <w:rFonts w:hint="eastAsia"/>
      </w:rPr>
    </w:lvl>
    <w:lvl w:ilvl="2">
      <w:start w:val="1"/>
      <w:numFmt w:val="decimal"/>
      <w:isLgl w:val="false"/>
      <w:suff w:val="tab"/>
      <w:lvlText w:val="%1.%2.%3."/>
      <w:lvlJc w:val="left"/>
      <w:pPr>
        <w:pStyle w:val="953"/>
        <w:ind w:left="425" w:hanging="425"/>
        <w:tabs>
          <w:tab w:val="num" w:pos="425" w:leader="none"/>
        </w:tabs>
      </w:pPr>
      <w:rPr>
        <w:rFonts w:hint="eastAsia"/>
      </w:rPr>
    </w:lvl>
    <w:lvl w:ilvl="3">
      <w:start w:val="1"/>
      <w:numFmt w:val="decimal"/>
      <w:isLgl w:val="false"/>
      <w:suff w:val="tab"/>
      <w:lvlText w:val="%1.%2.%3.%4."/>
      <w:lvlJc w:val="left"/>
      <w:pPr>
        <w:pStyle w:val="953"/>
        <w:ind w:left="851" w:hanging="851"/>
        <w:tabs>
          <w:tab w:val="num" w:pos="851" w:leader="none"/>
        </w:tabs>
      </w:pPr>
      <w:rPr>
        <w:rFonts w:hint="eastAsia"/>
      </w:rPr>
    </w:lvl>
    <w:lvl w:ilvl="4">
      <w:start w:val="1"/>
      <w:numFmt w:val="decimal"/>
      <w:isLgl w:val="false"/>
      <w:suff w:val="tab"/>
      <w:lvlText w:val="%1.%2.%3.%4.%5."/>
      <w:lvlJc w:val="left"/>
      <w:pPr>
        <w:pStyle w:val="953"/>
        <w:ind w:left="992" w:hanging="992"/>
        <w:tabs>
          <w:tab w:val="num" w:pos="992" w:leader="none"/>
        </w:tabs>
      </w:pPr>
      <w:rPr>
        <w:rFonts w:hint="eastAsia"/>
      </w:rPr>
    </w:lvl>
    <w:lvl w:ilvl="5">
      <w:start w:val="1"/>
      <w:numFmt w:val="decimal"/>
      <w:isLgl w:val="false"/>
      <w:suff w:val="tab"/>
      <w:lvlText w:val="%1.%2.%3.%4.%5.%6."/>
      <w:lvlJc w:val="left"/>
      <w:pPr>
        <w:pStyle w:val="953"/>
        <w:ind w:left="1134" w:hanging="1134"/>
        <w:tabs>
          <w:tab w:val="num" w:pos="1134" w:leader="none"/>
        </w:tabs>
      </w:pPr>
      <w:rPr>
        <w:rFonts w:hint="eastAsia"/>
      </w:rPr>
    </w:lvl>
    <w:lvl w:ilvl="6">
      <w:start w:val="1"/>
      <w:numFmt w:val="decimal"/>
      <w:isLgl w:val="false"/>
      <w:suff w:val="tab"/>
      <w:lvlText w:val="%1.%2.%3.%4.%5.%6.%7."/>
      <w:lvlJc w:val="left"/>
      <w:pPr>
        <w:pStyle w:val="953"/>
        <w:ind w:left="1276" w:hanging="1276"/>
        <w:tabs>
          <w:tab w:val="num" w:pos="1276" w:leader="none"/>
        </w:tabs>
      </w:pPr>
      <w:rPr>
        <w:rFonts w:hint="eastAsia"/>
      </w:rPr>
    </w:lvl>
    <w:lvl w:ilvl="7">
      <w:start w:val="1"/>
      <w:numFmt w:val="decimal"/>
      <w:isLgl w:val="false"/>
      <w:suff w:val="tab"/>
      <w:lvlText w:val="%1.%2.%3.%4.%5.%6.%7.%8."/>
      <w:lvlJc w:val="left"/>
      <w:pPr>
        <w:pStyle w:val="953"/>
        <w:ind w:left="1418" w:hanging="1418"/>
        <w:tabs>
          <w:tab w:val="num" w:pos="1418" w:leader="none"/>
        </w:tabs>
      </w:pPr>
      <w:rPr>
        <w:rFonts w:hint="eastAsia"/>
      </w:rPr>
    </w:lvl>
    <w:lvl w:ilvl="8">
      <w:start w:val="1"/>
      <w:numFmt w:val="decimal"/>
      <w:isLgl w:val="false"/>
      <w:suff w:val="tab"/>
      <w:lvlText w:val="%1.%2.%3.%4.%5.%6.%7.%8.%9."/>
      <w:lvlJc w:val="left"/>
      <w:pPr>
        <w:pStyle w:val="953"/>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53"/>
        <w:ind w:left="0" w:firstLine="0"/>
      </w:pPr>
      <w:rPr>
        <w:rFonts w:hint="eastAsia"/>
      </w:rPr>
    </w:lvl>
    <w:lvl w:ilvl="1">
      <w:start w:val="1"/>
      <w:numFmt w:val="decimal"/>
      <w:isLgl w:val="false"/>
      <w:suff w:val="nothing"/>
      <w:lvlText w:val="%2、"/>
      <w:lvlJc w:val="left"/>
      <w:pPr>
        <w:pStyle w:val="953"/>
        <w:ind w:left="0" w:firstLine="0"/>
      </w:pPr>
      <w:rPr>
        <w:rFonts w:hint="eastAsia"/>
      </w:rPr>
    </w:lvl>
    <w:lvl w:ilvl="2">
      <w:start w:val="1"/>
      <w:numFmt w:val="decimal"/>
      <w:isLgl w:val="false"/>
      <w:suff w:val="nothing"/>
      <w:lvlText w:val="%2.%3 "/>
      <w:lvlJc w:val="left"/>
      <w:pPr>
        <w:pStyle w:val="953"/>
        <w:ind w:left="0" w:firstLine="0"/>
      </w:pPr>
      <w:rPr>
        <w:rFonts w:hint="eastAsia"/>
      </w:rPr>
    </w:lvl>
    <w:lvl w:ilvl="3">
      <w:start w:val="1"/>
      <w:numFmt w:val="decimal"/>
      <w:isLgl w:val="false"/>
      <w:suff w:val="nothing"/>
      <w:lvlText w:val="%2.%3.%4 "/>
      <w:lvlJc w:val="left"/>
      <w:pPr>
        <w:pStyle w:val="953"/>
        <w:ind w:left="0" w:firstLine="0"/>
      </w:pPr>
      <w:rPr>
        <w:rFonts w:hint="eastAsia"/>
      </w:rPr>
    </w:lvl>
    <w:lvl w:ilvl="4">
      <w:start w:val="1"/>
      <w:numFmt w:val="decimal"/>
      <w:isLgl w:val="false"/>
      <w:suff w:val="nothing"/>
      <w:lvlText w:val="%2.%3.%4.%5 "/>
      <w:lvlJc w:val="left"/>
      <w:pPr>
        <w:pStyle w:val="953"/>
        <w:ind w:left="0" w:firstLine="0"/>
      </w:pPr>
      <w:rPr>
        <w:rFonts w:hint="eastAsia"/>
      </w:rPr>
    </w:lvl>
    <w:lvl w:ilvl="5">
      <w:start w:val="1"/>
      <w:numFmt w:val="decimal"/>
      <w:pStyle w:val="959"/>
      <w:isLgl w:val="false"/>
      <w:suff w:val="nothing"/>
      <w:lvlText w:val=""/>
      <w:lvlJc w:val="left"/>
      <w:pPr>
        <w:pStyle w:val="953"/>
        <w:ind w:left="0" w:firstLine="0"/>
      </w:pPr>
      <w:rPr>
        <w:rFonts w:hint="eastAsia"/>
      </w:rPr>
    </w:lvl>
    <w:lvl w:ilvl="6">
      <w:start w:val="1"/>
      <w:numFmt w:val="decimal"/>
      <w:pStyle w:val="960"/>
      <w:isLgl w:val="false"/>
      <w:suff w:val="nothing"/>
      <w:lvlText w:val=""/>
      <w:lvlJc w:val="left"/>
      <w:pPr>
        <w:pStyle w:val="953"/>
        <w:ind w:left="0" w:firstLine="0"/>
      </w:pPr>
      <w:rPr>
        <w:rFonts w:hint="eastAsia"/>
      </w:rPr>
    </w:lvl>
    <w:lvl w:ilvl="7">
      <w:start w:val="1"/>
      <w:numFmt w:val="decimal"/>
      <w:pStyle w:val="961"/>
      <w:isLgl w:val="false"/>
      <w:suff w:val="nothing"/>
      <w:lvlText w:val=""/>
      <w:lvlJc w:val="left"/>
      <w:pPr>
        <w:pStyle w:val="953"/>
        <w:ind w:left="0" w:firstLine="0"/>
      </w:pPr>
      <w:rPr>
        <w:rFonts w:hint="eastAsia"/>
      </w:rPr>
    </w:lvl>
    <w:lvl w:ilvl="8">
      <w:start w:val="1"/>
      <w:numFmt w:val="decimal"/>
      <w:pStyle w:val="962"/>
      <w:isLgl w:val="false"/>
      <w:suff w:val="nothing"/>
      <w:lvlText w:val=""/>
      <w:lvlJc w:val="left"/>
      <w:pPr>
        <w:pStyle w:val="953"/>
        <w:ind w:left="0" w:firstLine="0"/>
      </w:pPr>
      <w:rPr>
        <w:rFonts w:hint="eastAsia"/>
      </w:rPr>
    </w:lvl>
  </w:abstractNum>
  <w:num w:numId="1">
    <w:abstractNumId w:val="7"/>
  </w:num>
  <w:num w:numId="2">
    <w:abstractNumId w:val="5"/>
  </w:num>
  <w:num w:numId="3">
    <w:abstractNumId w:val="6"/>
  </w:num>
  <w:num w:numId="4">
    <w:abstractNumId w:val="1"/>
  </w:num>
  <w:num w:numId="5">
    <w:abstractNumId w:val="2"/>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53"/>
    <w:next w:val="953"/>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53"/>
    <w:next w:val="953"/>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53"/>
    <w:next w:val="953"/>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53"/>
    <w:next w:val="953"/>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53"/>
    <w:next w:val="953"/>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3"/>
    <w:next w:val="953"/>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3"/>
    <w:next w:val="953"/>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3"/>
    <w:next w:val="953"/>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3"/>
    <w:next w:val="953"/>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List Paragraph"/>
    <w:basedOn w:val="953"/>
    <w:uiPriority w:val="34"/>
    <w:qFormat/>
    <w:pPr>
      <w:contextualSpacing/>
      <w:ind w:left="720"/>
    </w:pPr>
  </w:style>
  <w:style w:type="paragraph" w:styleId="794">
    <w:name w:val="No Spacing"/>
    <w:uiPriority w:val="1"/>
    <w:qFormat/>
    <w:pPr>
      <w:spacing w:before="0" w:after="0" w:line="240" w:lineRule="auto"/>
    </w:p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3"/>
    <w:link w:val="953"/>
    <w:qFormat/>
    <w:pPr>
      <w:jc w:val="both"/>
      <w:widowControl w:val="off"/>
    </w:pPr>
    <w:rPr>
      <w:sz w:val="21"/>
      <w:szCs w:val="22"/>
      <w:lang w:val="en-US" w:eastAsia="zh-CN" w:bidi="ar-SA"/>
    </w:rPr>
  </w:style>
  <w:style w:type="paragraph" w:styleId="954">
    <w:name w:val="标题 1"/>
    <w:basedOn w:val="953"/>
    <w:next w:val="953"/>
    <w:link w:val="965"/>
    <w:qFormat/>
    <w:pPr>
      <w:jc w:val="center"/>
      <w:keepNext/>
      <w:outlineLvl w:val="0"/>
    </w:pPr>
    <w:rPr>
      <w:rFonts w:ascii="楷体_GB2312" w:hAnsi="Times New Roman" w:eastAsia="楷体_GB2312" w:cs="Times New Roman"/>
      <w:sz w:val="28"/>
      <w:szCs w:val="28"/>
    </w:rPr>
  </w:style>
  <w:style w:type="paragraph" w:styleId="955">
    <w:name w:val="标题 2"/>
    <w:basedOn w:val="953"/>
    <w:next w:val="967"/>
    <w:link w:val="966"/>
    <w:qFormat/>
    <w:pPr>
      <w:jc w:val="center"/>
      <w:keepLines/>
      <w:keepNext/>
      <w:spacing w:before="260" w:after="260" w:line="416" w:lineRule="auto"/>
      <w:outlineLvl w:val="1"/>
    </w:pPr>
    <w:rPr>
      <w:rFonts w:ascii="Arial" w:hAnsi="Arial" w:eastAsia="幼圆" w:cs="Arial"/>
      <w:b/>
      <w:bCs/>
      <w:sz w:val="44"/>
      <w:szCs w:val="44"/>
    </w:rPr>
  </w:style>
  <w:style w:type="paragraph" w:styleId="956">
    <w:name w:val="标题 3"/>
    <w:basedOn w:val="953"/>
    <w:next w:val="967"/>
    <w:link w:val="96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7">
    <w:name w:val="标题 4"/>
    <w:basedOn w:val="953"/>
    <w:next w:val="967"/>
    <w:link w:val="970"/>
    <w:qFormat/>
    <w:pPr>
      <w:keepLines/>
      <w:keepNext/>
      <w:spacing w:before="280" w:after="290" w:line="376" w:lineRule="auto"/>
      <w:outlineLvl w:val="3"/>
    </w:pPr>
    <w:rPr>
      <w:rFonts w:ascii="Arial" w:hAnsi="Arial" w:eastAsia="黑体" w:cs="Arial"/>
      <w:b/>
      <w:bCs/>
      <w:sz w:val="28"/>
      <w:szCs w:val="28"/>
    </w:rPr>
  </w:style>
  <w:style w:type="paragraph" w:styleId="958">
    <w:name w:val="标题 5"/>
    <w:basedOn w:val="953"/>
    <w:next w:val="967"/>
    <w:link w:val="971"/>
    <w:qFormat/>
    <w:pPr>
      <w:keepNext/>
      <w:outlineLvl w:val="4"/>
    </w:pPr>
    <w:rPr>
      <w:rFonts w:ascii="宋体" w:hAnsi="Times New Roman" w:eastAsia="宋体" w:cs="Times New Roman"/>
      <w:color w:val="000000"/>
      <w:sz w:val="28"/>
      <w:szCs w:val="28"/>
    </w:rPr>
  </w:style>
  <w:style w:type="paragraph" w:styleId="959">
    <w:name w:val="标题 6"/>
    <w:basedOn w:val="953"/>
    <w:next w:val="953"/>
    <w:link w:val="97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0">
    <w:name w:val="标题 7"/>
    <w:basedOn w:val="953"/>
    <w:next w:val="953"/>
    <w:link w:val="97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1">
    <w:name w:val="标题 8"/>
    <w:basedOn w:val="953"/>
    <w:next w:val="953"/>
    <w:link w:val="97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2">
    <w:name w:val="标题 9"/>
    <w:basedOn w:val="953"/>
    <w:next w:val="953"/>
    <w:link w:val="975"/>
    <w:qFormat/>
    <w:pPr>
      <w:numPr>
        <w:ilvl w:val="8"/>
        <w:numId w:val="1"/>
      </w:numPr>
      <w:keepLines/>
      <w:keepNext/>
      <w:spacing w:before="240" w:after="64" w:line="320" w:lineRule="auto"/>
      <w:outlineLvl w:val="8"/>
    </w:pPr>
    <w:rPr>
      <w:rFonts w:ascii="Arial" w:hAnsi="Arial" w:eastAsia="黑体" w:cs="Times New Roman"/>
      <w:szCs w:val="21"/>
    </w:rPr>
  </w:style>
  <w:style w:type="character" w:styleId="963">
    <w:name w:val="默认段落字体"/>
    <w:next w:val="963"/>
    <w:link w:val="953"/>
    <w:uiPriority w:val="1"/>
    <w:unhideWhenUsed/>
  </w:style>
  <w:style w:type="table" w:styleId="964">
    <w:name w:val="普通表格"/>
    <w:next w:val="964"/>
    <w:link w:val="953"/>
    <w:uiPriority w:val="99"/>
    <w:unhideWhenUsed/>
    <w:tblPr/>
  </w:style>
  <w:style w:type="character" w:styleId="965">
    <w:name w:val="标题 1 字符"/>
    <w:next w:val="965"/>
    <w:link w:val="954"/>
    <w:rPr>
      <w:rFonts w:ascii="楷体_GB2312" w:hAnsi="Times New Roman" w:eastAsia="楷体_GB2312" w:cs="Times New Roman"/>
      <w:sz w:val="28"/>
      <w:szCs w:val="28"/>
    </w:rPr>
  </w:style>
  <w:style w:type="character" w:styleId="966">
    <w:name w:val="标题 2 字符"/>
    <w:next w:val="966"/>
    <w:link w:val="955"/>
    <w:rPr>
      <w:rFonts w:ascii="Arial" w:hAnsi="Arial" w:eastAsia="幼圆" w:cs="Arial"/>
      <w:b/>
      <w:bCs/>
      <w:sz w:val="44"/>
      <w:szCs w:val="44"/>
    </w:rPr>
  </w:style>
  <w:style w:type="paragraph" w:styleId="967">
    <w:name w:val="正文缩进"/>
    <w:basedOn w:val="953"/>
    <w:next w:val="967"/>
    <w:link w:val="968"/>
    <w:pPr>
      <w:ind w:firstLine="420"/>
    </w:pPr>
    <w:rPr>
      <w:szCs w:val="21"/>
    </w:rPr>
  </w:style>
  <w:style w:type="character" w:styleId="968">
    <w:name w:val="正文缩进 字符"/>
    <w:next w:val="968"/>
    <w:link w:val="967"/>
    <w:rPr>
      <w:szCs w:val="21"/>
    </w:rPr>
  </w:style>
  <w:style w:type="character" w:styleId="969">
    <w:name w:val="标题 3 字符"/>
    <w:next w:val="969"/>
    <w:link w:val="956"/>
    <w:rPr>
      <w:rFonts w:ascii="Times New Roman" w:hAnsi="Times New Roman" w:eastAsia="宋体" w:cs="Times New Roman"/>
      <w:b/>
      <w:bCs/>
      <w:sz w:val="32"/>
      <w:szCs w:val="32"/>
    </w:rPr>
  </w:style>
  <w:style w:type="character" w:styleId="970">
    <w:name w:val="标题 4 字符"/>
    <w:next w:val="970"/>
    <w:link w:val="957"/>
    <w:rPr>
      <w:rFonts w:ascii="Arial" w:hAnsi="Arial" w:eastAsia="黑体" w:cs="Arial"/>
      <w:b/>
      <w:bCs/>
      <w:sz w:val="28"/>
      <w:szCs w:val="28"/>
    </w:rPr>
  </w:style>
  <w:style w:type="character" w:styleId="971">
    <w:name w:val="标题 5 字符"/>
    <w:next w:val="971"/>
    <w:link w:val="958"/>
    <w:rPr>
      <w:rFonts w:ascii="宋体" w:hAnsi="Times New Roman" w:eastAsia="宋体" w:cs="Times New Roman"/>
      <w:color w:val="000000"/>
      <w:sz w:val="28"/>
      <w:szCs w:val="28"/>
    </w:rPr>
  </w:style>
  <w:style w:type="character" w:styleId="972">
    <w:name w:val="标题 6 字符"/>
    <w:next w:val="972"/>
    <w:link w:val="959"/>
    <w:rPr>
      <w:rFonts w:ascii="Arial" w:hAnsi="Arial" w:eastAsia="黑体" w:cs="Times New Roman"/>
      <w:b/>
      <w:bCs/>
      <w:sz w:val="24"/>
      <w:szCs w:val="24"/>
    </w:rPr>
  </w:style>
  <w:style w:type="character" w:styleId="973">
    <w:name w:val="标题 7 字符"/>
    <w:next w:val="973"/>
    <w:link w:val="960"/>
    <w:rPr>
      <w:rFonts w:ascii="Times New Roman" w:hAnsi="Times New Roman" w:eastAsia="宋体" w:cs="Times New Roman"/>
      <w:b/>
      <w:bCs/>
      <w:sz w:val="24"/>
      <w:szCs w:val="24"/>
    </w:rPr>
  </w:style>
  <w:style w:type="character" w:styleId="974">
    <w:name w:val="标题 8 字符"/>
    <w:next w:val="974"/>
    <w:link w:val="961"/>
    <w:rPr>
      <w:rFonts w:ascii="Arial" w:hAnsi="Arial" w:eastAsia="黑体" w:cs="Times New Roman"/>
      <w:sz w:val="24"/>
      <w:szCs w:val="24"/>
    </w:rPr>
  </w:style>
  <w:style w:type="character" w:styleId="975">
    <w:name w:val="标题 9 字符"/>
    <w:next w:val="975"/>
    <w:link w:val="962"/>
    <w:rPr>
      <w:rFonts w:ascii="Arial" w:hAnsi="Arial" w:eastAsia="黑体" w:cs="Times New Roman"/>
      <w:szCs w:val="21"/>
    </w:rPr>
  </w:style>
  <w:style w:type="paragraph" w:styleId="976">
    <w:name w:val="列表 3"/>
    <w:basedOn w:val="953"/>
    <w:next w:val="976"/>
    <w:link w:val="953"/>
    <w:pPr>
      <w:ind w:left="100" w:hanging="200"/>
    </w:pPr>
    <w:rPr>
      <w:rFonts w:ascii="Times New Roman" w:hAnsi="Times New Roman" w:eastAsia="宋体" w:cs="Times New Roman"/>
      <w:szCs w:val="21"/>
    </w:rPr>
  </w:style>
  <w:style w:type="paragraph" w:styleId="977">
    <w:name w:val="目录 7"/>
    <w:basedOn w:val="953"/>
    <w:next w:val="953"/>
    <w:link w:val="953"/>
    <w:semiHidden/>
    <w:pPr>
      <w:ind w:left="1260"/>
      <w:jc w:val="left"/>
    </w:pPr>
    <w:rPr>
      <w:rFonts w:ascii="Times New Roman" w:hAnsi="Times New Roman" w:eastAsia="宋体" w:cs="Times New Roman"/>
      <w:szCs w:val="21"/>
    </w:rPr>
  </w:style>
  <w:style w:type="paragraph" w:styleId="978">
    <w:name w:val="文档结构图"/>
    <w:basedOn w:val="953"/>
    <w:next w:val="978"/>
    <w:link w:val="979"/>
    <w:semiHidden/>
    <w:pPr>
      <w:shd w:val="clear" w:color="auto" w:fill="000080"/>
    </w:pPr>
    <w:rPr>
      <w:rFonts w:ascii="Times New Roman" w:hAnsi="Times New Roman" w:eastAsia="宋体" w:cs="Times New Roman"/>
      <w:szCs w:val="21"/>
    </w:rPr>
  </w:style>
  <w:style w:type="character" w:styleId="979">
    <w:name w:val="文档结构图 字符"/>
    <w:next w:val="979"/>
    <w:link w:val="978"/>
    <w:semiHidden/>
    <w:rPr>
      <w:rFonts w:ascii="Times New Roman" w:hAnsi="Times New Roman" w:eastAsia="宋体" w:cs="Times New Roman"/>
      <w:szCs w:val="21"/>
      <w:shd w:val="clear" w:color="auto" w:fill="000080"/>
    </w:rPr>
  </w:style>
  <w:style w:type="paragraph" w:styleId="980">
    <w:name w:val="批注文字"/>
    <w:basedOn w:val="953"/>
    <w:next w:val="980"/>
    <w:link w:val="981"/>
    <w:unhideWhenUsed/>
    <w:pPr>
      <w:jc w:val="left"/>
    </w:pPr>
  </w:style>
  <w:style w:type="character" w:styleId="981">
    <w:name w:val="批注文字 字符"/>
    <w:next w:val="981"/>
    <w:link w:val="980"/>
    <w:uiPriority w:val="99"/>
    <w:semiHidden/>
  </w:style>
  <w:style w:type="paragraph" w:styleId="982">
    <w:name w:val="正文文本 3"/>
    <w:basedOn w:val="953"/>
    <w:next w:val="982"/>
    <w:link w:val="983"/>
    <w:rPr>
      <w:rFonts w:ascii="仿宋_GB2312" w:hAnsi="Arial" w:eastAsia="仿宋_GB2312" w:cs="Times New Roman"/>
      <w:sz w:val="32"/>
      <w:szCs w:val="32"/>
    </w:rPr>
  </w:style>
  <w:style w:type="character" w:styleId="983">
    <w:name w:val="正文文本 3 字符"/>
    <w:next w:val="983"/>
    <w:link w:val="982"/>
    <w:rPr>
      <w:rFonts w:ascii="仿宋_GB2312" w:hAnsi="Arial" w:eastAsia="仿宋_GB2312" w:cs="Times New Roman"/>
      <w:sz w:val="32"/>
      <w:szCs w:val="32"/>
    </w:rPr>
  </w:style>
  <w:style w:type="paragraph" w:styleId="984">
    <w:name w:val="正文文本"/>
    <w:basedOn w:val="953"/>
    <w:next w:val="984"/>
    <w:link w:val="985"/>
    <w:rPr>
      <w:rFonts w:ascii="楷体_GB2312" w:hAnsi="Arial" w:eastAsia="楷体_GB2312" w:cs="Times New Roman"/>
      <w:sz w:val="28"/>
      <w:szCs w:val="28"/>
    </w:rPr>
  </w:style>
  <w:style w:type="character" w:styleId="985">
    <w:name w:val="正文文本 字符"/>
    <w:next w:val="985"/>
    <w:link w:val="984"/>
    <w:rPr>
      <w:rFonts w:ascii="楷体_GB2312" w:hAnsi="Arial" w:eastAsia="楷体_GB2312" w:cs="Times New Roman"/>
      <w:sz w:val="28"/>
      <w:szCs w:val="28"/>
    </w:rPr>
  </w:style>
  <w:style w:type="paragraph" w:styleId="986">
    <w:name w:val="正文文本缩进"/>
    <w:basedOn w:val="953"/>
    <w:next w:val="986"/>
    <w:link w:val="987"/>
    <w:unhideWhenUsed/>
    <w:pPr>
      <w:ind w:left="420"/>
      <w:spacing w:after="120"/>
    </w:pPr>
  </w:style>
  <w:style w:type="character" w:styleId="987">
    <w:name w:val="正文文本缩进 字符"/>
    <w:next w:val="987"/>
    <w:link w:val="986"/>
    <w:uiPriority w:val="99"/>
    <w:semiHidden/>
  </w:style>
  <w:style w:type="paragraph" w:styleId="988">
    <w:name w:val="列表 2"/>
    <w:basedOn w:val="953"/>
    <w:next w:val="988"/>
    <w:link w:val="953"/>
    <w:pPr>
      <w:ind w:left="100" w:hanging="200"/>
    </w:pPr>
    <w:rPr>
      <w:rFonts w:ascii="Times New Roman" w:hAnsi="Times New Roman" w:eastAsia="宋体" w:cs="Times New Roman"/>
      <w:szCs w:val="21"/>
    </w:rPr>
  </w:style>
  <w:style w:type="paragraph" w:styleId="989">
    <w:name w:val="目录 5"/>
    <w:basedOn w:val="953"/>
    <w:next w:val="953"/>
    <w:link w:val="953"/>
    <w:semiHidden/>
    <w:pPr>
      <w:ind w:left="840"/>
      <w:jc w:val="left"/>
    </w:pPr>
    <w:rPr>
      <w:rFonts w:ascii="Times New Roman" w:hAnsi="Times New Roman" w:eastAsia="宋体" w:cs="Times New Roman"/>
      <w:szCs w:val="21"/>
    </w:rPr>
  </w:style>
  <w:style w:type="paragraph" w:styleId="990">
    <w:name w:val="目录 3"/>
    <w:basedOn w:val="953"/>
    <w:next w:val="953"/>
    <w:link w:val="953"/>
    <w:semiHidden/>
    <w:pPr>
      <w:ind w:left="420"/>
      <w:jc w:val="left"/>
    </w:pPr>
    <w:rPr>
      <w:rFonts w:ascii="Times New Roman" w:hAnsi="Times New Roman" w:eastAsia="宋体" w:cs="Times New Roman"/>
      <w:i/>
      <w:iCs/>
      <w:szCs w:val="24"/>
    </w:rPr>
  </w:style>
  <w:style w:type="paragraph" w:styleId="991">
    <w:name w:val="纯文本"/>
    <w:basedOn w:val="953"/>
    <w:next w:val="991"/>
    <w:link w:val="992"/>
    <w:qFormat/>
    <w:rPr>
      <w:rFonts w:ascii="宋体" w:hAnsi="Courier New" w:eastAsia="宋体" w:cs="Courier New"/>
      <w:szCs w:val="21"/>
    </w:rPr>
  </w:style>
  <w:style w:type="character" w:styleId="992">
    <w:name w:val="纯文本 字符"/>
    <w:next w:val="992"/>
    <w:link w:val="991"/>
    <w:rPr>
      <w:rFonts w:ascii="宋体" w:hAnsi="Courier New" w:eastAsia="宋体" w:cs="Courier New"/>
      <w:szCs w:val="21"/>
    </w:rPr>
  </w:style>
  <w:style w:type="paragraph" w:styleId="993">
    <w:name w:val="目录 8"/>
    <w:basedOn w:val="953"/>
    <w:next w:val="953"/>
    <w:link w:val="953"/>
    <w:semiHidden/>
    <w:pPr>
      <w:ind w:left="1470"/>
      <w:jc w:val="left"/>
    </w:pPr>
    <w:rPr>
      <w:rFonts w:ascii="Times New Roman" w:hAnsi="Times New Roman" w:eastAsia="宋体" w:cs="Times New Roman"/>
      <w:szCs w:val="21"/>
    </w:rPr>
  </w:style>
  <w:style w:type="paragraph" w:styleId="994">
    <w:name w:val="日期"/>
    <w:basedOn w:val="953"/>
    <w:next w:val="953"/>
    <w:link w:val="995"/>
    <w:rPr>
      <w:rFonts w:ascii="Times New Roman" w:hAnsi="Times New Roman" w:eastAsia="宋体" w:cs="Times New Roman"/>
      <w:sz w:val="24"/>
      <w:szCs w:val="24"/>
    </w:rPr>
  </w:style>
  <w:style w:type="character" w:styleId="995">
    <w:name w:val="日期 字符"/>
    <w:next w:val="995"/>
    <w:link w:val="994"/>
    <w:rPr>
      <w:rFonts w:ascii="Times New Roman" w:hAnsi="Times New Roman" w:eastAsia="宋体" w:cs="Times New Roman"/>
      <w:sz w:val="24"/>
      <w:szCs w:val="24"/>
    </w:rPr>
  </w:style>
  <w:style w:type="paragraph" w:styleId="996">
    <w:name w:val="正文文本缩进 2"/>
    <w:basedOn w:val="953"/>
    <w:next w:val="996"/>
    <w:link w:val="997"/>
    <w:pPr>
      <w:ind w:left="630" w:firstLine="645"/>
    </w:pPr>
    <w:rPr>
      <w:rFonts w:ascii="Arial" w:hAnsi="Arial" w:eastAsia="仿宋_GB2312" w:cs="Arial"/>
      <w:sz w:val="32"/>
      <w:szCs w:val="32"/>
    </w:rPr>
  </w:style>
  <w:style w:type="character" w:styleId="997">
    <w:name w:val="正文文本缩进 2 字符"/>
    <w:next w:val="997"/>
    <w:link w:val="996"/>
    <w:rPr>
      <w:rFonts w:ascii="Arial" w:hAnsi="Arial" w:eastAsia="仿宋_GB2312" w:cs="Arial"/>
      <w:sz w:val="32"/>
      <w:szCs w:val="32"/>
    </w:rPr>
  </w:style>
  <w:style w:type="paragraph" w:styleId="998">
    <w:name w:val="批注框文本"/>
    <w:basedOn w:val="953"/>
    <w:next w:val="998"/>
    <w:link w:val="999"/>
    <w:semiHidden/>
    <w:rPr>
      <w:rFonts w:ascii="Times New Roman" w:hAnsi="Times New Roman" w:eastAsia="宋体" w:cs="Times New Roman"/>
      <w:sz w:val="18"/>
      <w:szCs w:val="18"/>
    </w:rPr>
  </w:style>
  <w:style w:type="character" w:styleId="999">
    <w:name w:val="批注框文本 字符"/>
    <w:next w:val="999"/>
    <w:link w:val="998"/>
    <w:semiHidden/>
    <w:rPr>
      <w:rFonts w:ascii="Times New Roman" w:hAnsi="Times New Roman" w:eastAsia="宋体" w:cs="Times New Roman"/>
      <w:sz w:val="18"/>
      <w:szCs w:val="18"/>
    </w:rPr>
  </w:style>
  <w:style w:type="paragraph" w:styleId="1000">
    <w:name w:val="页脚"/>
    <w:basedOn w:val="953"/>
    <w:next w:val="1000"/>
    <w:link w:val="100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01">
    <w:name w:val="页脚 字符"/>
    <w:next w:val="1001"/>
    <w:link w:val="1000"/>
    <w:uiPriority w:val="99"/>
    <w:rPr>
      <w:rFonts w:ascii="Times New Roman" w:hAnsi="Times New Roman" w:eastAsia="宋体" w:cs="Times New Roman"/>
      <w:sz w:val="18"/>
      <w:szCs w:val="18"/>
    </w:rPr>
  </w:style>
  <w:style w:type="paragraph" w:styleId="1002">
    <w:name w:val="页眉"/>
    <w:basedOn w:val="953"/>
    <w:next w:val="1002"/>
    <w:link w:val="100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3">
    <w:name w:val="页眉 字符"/>
    <w:next w:val="1003"/>
    <w:link w:val="1002"/>
    <w:rPr>
      <w:rFonts w:ascii="Times New Roman" w:hAnsi="Times New Roman" w:eastAsia="宋体" w:cs="Times New Roman"/>
      <w:sz w:val="18"/>
      <w:szCs w:val="18"/>
    </w:rPr>
  </w:style>
  <w:style w:type="paragraph" w:styleId="1004">
    <w:name w:val="目录 1"/>
    <w:basedOn w:val="953"/>
    <w:next w:val="953"/>
    <w:link w:val="95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5">
    <w:name w:val="目录 4"/>
    <w:basedOn w:val="953"/>
    <w:next w:val="953"/>
    <w:link w:val="953"/>
    <w:semiHidden/>
    <w:pPr>
      <w:ind w:left="630"/>
      <w:jc w:val="left"/>
    </w:pPr>
    <w:rPr>
      <w:rFonts w:ascii="Times New Roman" w:hAnsi="Times New Roman" w:eastAsia="宋体" w:cs="Times New Roman"/>
      <w:szCs w:val="21"/>
    </w:rPr>
  </w:style>
  <w:style w:type="paragraph" w:styleId="1006">
    <w:name w:val="列表"/>
    <w:basedOn w:val="953"/>
    <w:next w:val="1006"/>
    <w:link w:val="953"/>
    <w:pPr>
      <w:ind w:left="200" w:hanging="200"/>
    </w:pPr>
    <w:rPr>
      <w:rFonts w:ascii="Times New Roman" w:hAnsi="Times New Roman" w:eastAsia="宋体" w:cs="Times New Roman"/>
      <w:szCs w:val="21"/>
    </w:rPr>
  </w:style>
  <w:style w:type="paragraph" w:styleId="1007">
    <w:name w:val="目录 6"/>
    <w:basedOn w:val="953"/>
    <w:next w:val="953"/>
    <w:link w:val="953"/>
    <w:semiHidden/>
    <w:pPr>
      <w:ind w:left="1050"/>
      <w:jc w:val="left"/>
    </w:pPr>
    <w:rPr>
      <w:rFonts w:ascii="Times New Roman" w:hAnsi="Times New Roman" w:eastAsia="宋体" w:cs="Times New Roman"/>
      <w:szCs w:val="21"/>
    </w:rPr>
  </w:style>
  <w:style w:type="paragraph" w:styleId="1008">
    <w:name w:val="正文文本缩进 3"/>
    <w:basedOn w:val="953"/>
    <w:next w:val="1008"/>
    <w:link w:val="1009"/>
    <w:pPr>
      <w:ind w:left="645" w:firstLine="645"/>
    </w:pPr>
    <w:rPr>
      <w:rFonts w:ascii="Arial" w:hAnsi="Arial" w:eastAsia="仿宋_GB2312" w:cs="Arial"/>
      <w:color w:val="ffff00"/>
      <w:sz w:val="32"/>
      <w:szCs w:val="32"/>
    </w:rPr>
  </w:style>
  <w:style w:type="character" w:styleId="1009">
    <w:name w:val="正文文本缩进 3 字符"/>
    <w:next w:val="1009"/>
    <w:link w:val="1008"/>
    <w:rPr>
      <w:rFonts w:ascii="Arial" w:hAnsi="Arial" w:eastAsia="仿宋_GB2312" w:cs="Arial"/>
      <w:color w:val="ffff00"/>
      <w:sz w:val="32"/>
      <w:szCs w:val="32"/>
    </w:rPr>
  </w:style>
  <w:style w:type="paragraph" w:styleId="1010">
    <w:name w:val="图表目录"/>
    <w:basedOn w:val="953"/>
    <w:next w:val="953"/>
    <w:link w:val="953"/>
    <w:semiHidden/>
    <w:pPr>
      <w:ind w:left="840" w:hanging="420"/>
    </w:pPr>
    <w:rPr>
      <w:rFonts w:ascii="Times New Roman" w:hAnsi="Times New Roman" w:eastAsia="宋体" w:cs="Times New Roman"/>
      <w:szCs w:val="21"/>
    </w:rPr>
  </w:style>
  <w:style w:type="paragraph" w:styleId="1011">
    <w:name w:val="目录 2"/>
    <w:basedOn w:val="953"/>
    <w:next w:val="953"/>
    <w:link w:val="953"/>
    <w:semiHidden/>
    <w:pPr>
      <w:ind w:left="210"/>
      <w:jc w:val="left"/>
    </w:pPr>
    <w:rPr>
      <w:rFonts w:ascii="Times New Roman" w:hAnsi="Times New Roman" w:eastAsia="宋体" w:cs="Times New Roman"/>
      <w:smallCaps/>
      <w:szCs w:val="24"/>
    </w:rPr>
  </w:style>
  <w:style w:type="paragraph" w:styleId="1012">
    <w:name w:val="目录 9"/>
    <w:basedOn w:val="953"/>
    <w:next w:val="953"/>
    <w:link w:val="953"/>
    <w:semiHidden/>
    <w:pPr>
      <w:ind w:left="1680"/>
      <w:jc w:val="left"/>
    </w:pPr>
    <w:rPr>
      <w:rFonts w:ascii="Times New Roman" w:hAnsi="Times New Roman" w:eastAsia="宋体" w:cs="Times New Roman"/>
      <w:szCs w:val="21"/>
    </w:rPr>
  </w:style>
  <w:style w:type="paragraph" w:styleId="1013">
    <w:name w:val="正文文本 2"/>
    <w:basedOn w:val="953"/>
    <w:next w:val="1013"/>
    <w:link w:val="1014"/>
    <w:pPr>
      <w:jc w:val="center"/>
      <w:widowControl/>
    </w:pPr>
    <w:rPr>
      <w:rFonts w:ascii="楷体_GB2312" w:hAnsi="Times New Roman" w:eastAsia="楷体_GB2312" w:cs="Times New Roman"/>
      <w:sz w:val="28"/>
      <w:szCs w:val="28"/>
    </w:rPr>
  </w:style>
  <w:style w:type="character" w:styleId="1014">
    <w:name w:val="正文文本 2 字符"/>
    <w:next w:val="1014"/>
    <w:link w:val="1013"/>
    <w:rPr>
      <w:rFonts w:ascii="楷体_GB2312" w:hAnsi="Times New Roman" w:eastAsia="楷体_GB2312" w:cs="Times New Roman"/>
      <w:sz w:val="28"/>
      <w:szCs w:val="28"/>
    </w:rPr>
  </w:style>
  <w:style w:type="paragraph" w:styleId="1015">
    <w:name w:val="普通(网站)"/>
    <w:basedOn w:val="953"/>
    <w:next w:val="1015"/>
    <w:link w:val="953"/>
    <w:uiPriority w:val="99"/>
    <w:pPr>
      <w:jc w:val="left"/>
      <w:spacing w:before="100" w:beforeAutospacing="1" w:after="100" w:afterAutospacing="1"/>
      <w:widowControl/>
    </w:pPr>
    <w:rPr>
      <w:rFonts w:ascii="宋体" w:hAnsi="宋体" w:eastAsia="宋体" w:cs="宋体"/>
      <w:sz w:val="24"/>
      <w:szCs w:val="24"/>
    </w:rPr>
  </w:style>
  <w:style w:type="paragraph" w:styleId="1016">
    <w:name w:val="索引 1"/>
    <w:basedOn w:val="953"/>
    <w:next w:val="953"/>
    <w:link w:val="953"/>
    <w:semiHidden/>
    <w:pPr>
      <w:spacing w:line="240" w:lineRule="atLeast"/>
    </w:pPr>
    <w:rPr>
      <w:rFonts w:ascii="Times New Roman" w:hAnsi="Times New Roman" w:eastAsia="宋体" w:cs="Times New Roman"/>
      <w:b/>
      <w:bCs/>
      <w:szCs w:val="21"/>
    </w:rPr>
  </w:style>
  <w:style w:type="paragraph" w:styleId="1017">
    <w:name w:val="批注主题"/>
    <w:basedOn w:val="980"/>
    <w:next w:val="980"/>
    <w:link w:val="1018"/>
    <w:semiHidden/>
    <w:rPr>
      <w:rFonts w:ascii="Times New Roman" w:hAnsi="Times New Roman" w:eastAsia="宋体" w:cs="Times New Roman"/>
      <w:b/>
      <w:bCs/>
      <w:szCs w:val="21"/>
    </w:rPr>
  </w:style>
  <w:style w:type="character" w:styleId="1018">
    <w:name w:val="批注主题 字符"/>
    <w:next w:val="1018"/>
    <w:link w:val="1017"/>
    <w:semiHidden/>
    <w:rPr>
      <w:rFonts w:ascii="Times New Roman" w:hAnsi="Times New Roman" w:eastAsia="宋体" w:cs="Times New Roman"/>
      <w:b/>
      <w:bCs/>
      <w:szCs w:val="21"/>
    </w:rPr>
  </w:style>
  <w:style w:type="paragraph" w:styleId="1019">
    <w:name w:val="正文首行缩进"/>
    <w:basedOn w:val="953"/>
    <w:next w:val="1019"/>
    <w:link w:val="1020"/>
    <w:pPr>
      <w:ind w:firstLine="200"/>
      <w:spacing w:line="360" w:lineRule="auto"/>
    </w:pPr>
    <w:rPr>
      <w:rFonts w:ascii="仿宋_GB2312" w:hAnsi="Times New Roman" w:eastAsia="仿宋_GB2312" w:cs="Times New Roman"/>
      <w:sz w:val="30"/>
      <w:szCs w:val="30"/>
    </w:rPr>
  </w:style>
  <w:style w:type="character" w:styleId="1020">
    <w:name w:val="正文文本首行缩进 字符"/>
    <w:next w:val="1020"/>
    <w:link w:val="1019"/>
    <w:rPr>
      <w:rFonts w:ascii="仿宋_GB2312" w:hAnsi="Times New Roman" w:eastAsia="仿宋_GB2312" w:cs="Times New Roman"/>
      <w:sz w:val="30"/>
      <w:szCs w:val="30"/>
    </w:rPr>
  </w:style>
  <w:style w:type="paragraph" w:styleId="1021">
    <w:name w:val="正文首行缩进 2"/>
    <w:basedOn w:val="986"/>
    <w:next w:val="1021"/>
    <w:link w:val="1022"/>
    <w:pPr>
      <w:ind w:left="0" w:firstLine="420"/>
      <w:spacing w:after="0" w:line="360" w:lineRule="auto"/>
    </w:pPr>
    <w:rPr>
      <w:rFonts w:ascii="宋体" w:hAnsi="宋体" w:eastAsia="宋体" w:cs="Times New Roman"/>
      <w:szCs w:val="20"/>
    </w:rPr>
  </w:style>
  <w:style w:type="character" w:styleId="1022">
    <w:name w:val="正文文本首行缩进 2 字符"/>
    <w:next w:val="1022"/>
    <w:link w:val="1021"/>
    <w:rPr>
      <w:rFonts w:ascii="宋体" w:hAnsi="宋体" w:eastAsia="宋体" w:cs="Times New Roman"/>
      <w:szCs w:val="20"/>
    </w:rPr>
  </w:style>
  <w:style w:type="table" w:styleId="1023">
    <w:name w:val="网格型"/>
    <w:basedOn w:val="964"/>
    <w:next w:val="1023"/>
    <w:link w:val="953"/>
    <w:pPr>
      <w:jc w:val="both"/>
      <w:widowControl w:val="off"/>
    </w:pPr>
    <w:rPr>
      <w:rFonts w:ascii="Times New Roman" w:hAnsi="Times New Roman" w:eastAsia="宋体" w:cs="Times New Roman"/>
      <w:sz w:val="20"/>
      <w:szCs w:val="20"/>
    </w:rPr>
    <w:tblPr/>
  </w:style>
  <w:style w:type="character" w:styleId="1024">
    <w:name w:val="要点"/>
    <w:next w:val="1024"/>
    <w:link w:val="953"/>
    <w:qFormat/>
    <w:rPr>
      <w:b/>
      <w:bCs/>
    </w:rPr>
  </w:style>
  <w:style w:type="character" w:styleId="1025">
    <w:name w:val="页码"/>
    <w:next w:val="1025"/>
    <w:link w:val="953"/>
  </w:style>
  <w:style w:type="character" w:styleId="1026">
    <w:name w:val="已访问的超链接"/>
    <w:next w:val="1026"/>
    <w:link w:val="953"/>
    <w:rPr>
      <w:color w:val="800080"/>
      <w:u w:val="single"/>
    </w:rPr>
  </w:style>
  <w:style w:type="character" w:styleId="1027">
    <w:name w:val="强调"/>
    <w:next w:val="1027"/>
    <w:link w:val="953"/>
    <w:qFormat/>
    <w:rPr>
      <w:i/>
    </w:rPr>
  </w:style>
  <w:style w:type="character" w:styleId="1028">
    <w:name w:val="超链接"/>
    <w:next w:val="1028"/>
    <w:link w:val="953"/>
    <w:rPr>
      <w:color w:val="0000ff"/>
      <w:u w:val="single"/>
    </w:rPr>
  </w:style>
  <w:style w:type="character" w:styleId="1029">
    <w:name w:val="批注引用"/>
    <w:next w:val="1029"/>
    <w:link w:val="953"/>
    <w:semiHidden/>
    <w:rPr>
      <w:sz w:val="21"/>
      <w:szCs w:val="21"/>
    </w:rPr>
  </w:style>
  <w:style w:type="character" w:styleId="1030">
    <w:name w:val="font5 Char"/>
    <w:next w:val="1030"/>
    <w:link w:val="953"/>
    <w:rPr>
      <w:rFonts w:ascii="宋体" w:hAnsi="宋体" w:eastAsia="宋体"/>
      <w:sz w:val="28"/>
      <w:szCs w:val="28"/>
      <w:lang w:val="en-US" w:eastAsia="zh-CN" w:bidi="ar-SA"/>
    </w:rPr>
  </w:style>
  <w:style w:type="character" w:styleId="1031">
    <w:name w:val="二级目录 Char"/>
    <w:next w:val="1031"/>
    <w:link w:val="1032"/>
    <w:rPr>
      <w:b/>
      <w:sz w:val="30"/>
      <w:szCs w:val="28"/>
    </w:rPr>
  </w:style>
  <w:style w:type="paragraph" w:styleId="1032">
    <w:name w:val="二级目录"/>
    <w:next w:val="953"/>
    <w:link w:val="1031"/>
    <w:pPr>
      <w:numPr>
        <w:ilvl w:val="0"/>
        <w:numId w:val="2"/>
      </w:numPr>
      <w:tabs>
        <w:tab w:val="left" w:pos="907" w:leader="none"/>
        <w:tab w:val="left" w:pos="1145" w:leader="none"/>
      </w:tabs>
      <w:outlineLvl w:val="1"/>
    </w:pPr>
    <w:rPr>
      <w:b/>
      <w:sz w:val="30"/>
      <w:szCs w:val="28"/>
      <w:lang w:val="en-US" w:eastAsia="zh-CN" w:bidi="ar-SA"/>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53"/>
    <w:next w:val="1034"/>
    <w:link w:val="1033"/>
    <w:qFormat/>
    <w:pPr>
      <w:contextualSpacing/>
      <w:ind w:left="720"/>
      <w:jc w:val="left"/>
      <w:widowControl/>
    </w:pPr>
    <w:rPr>
      <w:rFonts w:ascii="Calibri" w:hAnsi="Calibri"/>
      <w:sz w:val="24"/>
      <w:szCs w:val="24"/>
      <w:lang w:eastAsia="en-US" w:bidi="en-US"/>
    </w:rPr>
  </w:style>
  <w:style w:type="paragraph" w:styleId="1035">
    <w:name w:val="Body Text(ch)"/>
    <w:basedOn w:val="953"/>
    <w:next w:val="984"/>
    <w:link w:val="953"/>
    <w:pPr>
      <w:spacing w:after="120"/>
    </w:pPr>
    <w:rPr>
      <w:rFonts w:ascii="宋体" w:hAnsi="Arial" w:eastAsia="宋体" w:cs="Times New Roman"/>
      <w:bCs/>
      <w:iCs/>
      <w:szCs w:val="24"/>
    </w:rPr>
  </w:style>
  <w:style w:type="paragraph" w:styleId="1036">
    <w:name w:val="xl27"/>
    <w:basedOn w:val="953"/>
    <w:next w:val="1036"/>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name w:val="xl26"/>
    <w:basedOn w:val="953"/>
    <w:next w:val="1037"/>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Char"/>
    <w:basedOn w:val="953"/>
    <w:next w:val="1038"/>
    <w:link w:val="953"/>
    <w:pPr>
      <w:ind w:firstLine="200"/>
      <w:tabs>
        <w:tab w:val="left" w:pos="360" w:leader="none"/>
      </w:tabs>
    </w:pPr>
    <w:rPr>
      <w:rFonts w:ascii="Times New Roman" w:hAnsi="Times New Roman" w:eastAsia="宋体" w:cs="Times New Roman"/>
      <w:sz w:val="28"/>
      <w:szCs w:val="30"/>
    </w:rPr>
  </w:style>
  <w:style w:type="paragraph" w:styleId="1039">
    <w:name w:val=" Char"/>
    <w:basedOn w:val="978"/>
    <w:next w:val="1039"/>
    <w:link w:val="953"/>
    <w:rPr>
      <w:rFonts w:ascii="Tahoma" w:hAnsi="Tahoma"/>
      <w:sz w:val="24"/>
      <w:szCs w:val="24"/>
    </w:rPr>
  </w:style>
  <w:style w:type="paragraph" w:styleId="1040">
    <w:name w:val="普通正文"/>
    <w:basedOn w:val="953"/>
    <w:next w:val="1040"/>
    <w:link w:val="953"/>
    <w:pPr>
      <w:ind w:firstLine="480"/>
      <w:jc w:val="left"/>
      <w:spacing w:before="120" w:after="120" w:line="360" w:lineRule="auto"/>
    </w:pPr>
    <w:rPr>
      <w:rFonts w:ascii="Arial" w:hAnsi="Arial" w:eastAsia="宋体" w:cs="Times New Roman"/>
      <w:sz w:val="24"/>
      <w:szCs w:val="24"/>
    </w:rPr>
  </w:style>
  <w:style w:type="paragraph" w:styleId="1041">
    <w:name w:val="table_lines"/>
    <w:basedOn w:val="953"/>
    <w:next w:val="1041"/>
    <w:link w:val="953"/>
    <w:pPr>
      <w:jc w:val="left"/>
      <w:widowControl/>
    </w:pPr>
    <w:rPr>
      <w:rFonts w:ascii="Times New Roman" w:hAnsi="Times New Roman" w:eastAsia="宋体" w:cs="Times New Roman"/>
      <w:sz w:val="20"/>
      <w:szCs w:val="20"/>
      <w:lang w:val="de-DE" w:eastAsia="de-DE"/>
    </w:rPr>
  </w:style>
  <w:style w:type="paragraph" w:styleId="1042">
    <w:name w:val="附录1"/>
    <w:next w:val="1042"/>
    <w:link w:val="953"/>
    <w:pPr>
      <w:numPr>
        <w:ilvl w:val="0"/>
        <w:numId w:val="2"/>
      </w:numPr>
      <w:spacing w:before="240" w:line="600" w:lineRule="atLeast"/>
      <w:tabs>
        <w:tab w:val="left" w:pos="907" w:leader="none"/>
      </w:tabs>
    </w:pPr>
    <w:rPr>
      <w:b/>
      <w:i/>
      <w:sz w:val="28"/>
      <w:lang w:val="en-US" w:eastAsia="zh-CN" w:bidi="ar-SA"/>
    </w:rPr>
  </w:style>
  <w:style w:type="paragraph" w:styleId="1043">
    <w:name w:val="font7"/>
    <w:basedOn w:val="953"/>
    <w:next w:val="1043"/>
    <w:link w:val="953"/>
    <w:pPr>
      <w:jc w:val="left"/>
      <w:spacing w:before="100" w:beforeAutospacing="1" w:after="100" w:afterAutospacing="1"/>
      <w:widowControl/>
    </w:pPr>
    <w:rPr>
      <w:rFonts w:hint="eastAsia" w:ascii="宋体" w:hAnsi="宋体" w:eastAsia="宋体" w:cs="Times New Roman"/>
      <w:sz w:val="18"/>
      <w:szCs w:val="18"/>
    </w:rPr>
  </w:style>
  <w:style w:type="paragraph" w:styleId="1044">
    <w:name w:val=" Char Char Char Char"/>
    <w:basedOn w:val="978"/>
    <w:next w:val="1044"/>
    <w:link w:val="953"/>
    <w:pPr>
      <w:spacing w:line="360" w:lineRule="auto"/>
    </w:pPr>
    <w:rPr>
      <w:rFonts w:ascii="Tahoma" w:hAnsi="Tahoma"/>
      <w:sz w:val="24"/>
      <w:szCs w:val="24"/>
    </w:rPr>
  </w:style>
  <w:style w:type="paragraph" w:styleId="1045">
    <w:name w:val="列表段落"/>
    <w:basedOn w:val="953"/>
    <w:next w:val="1045"/>
    <w:link w:val="953"/>
    <w:qFormat/>
    <w:pPr>
      <w:contextualSpacing/>
      <w:ind w:left="720"/>
      <w:jc w:val="left"/>
      <w:widowControl/>
    </w:pPr>
    <w:rPr>
      <w:rFonts w:ascii="Calibri" w:hAnsi="Calibri" w:eastAsia="宋体" w:cs="Times New Roman"/>
      <w:sz w:val="24"/>
      <w:szCs w:val="24"/>
      <w:lang w:eastAsia="en-US" w:bidi="en-US"/>
    </w:rPr>
  </w:style>
  <w:style w:type="paragraph" w:styleId="1046">
    <w:name w:val="4"/>
    <w:basedOn w:val="953"/>
    <w:next w:val="1008"/>
    <w:link w:val="953"/>
    <w:pPr>
      <w:ind w:firstLine="420"/>
      <w:spacing w:line="360" w:lineRule="auto"/>
    </w:pPr>
    <w:rPr>
      <w:rFonts w:ascii="Times New Roman" w:hAnsi="Times New Roman" w:eastAsia="宋体" w:cs="Times New Roman"/>
      <w:color w:val="ff0000"/>
      <w:sz w:val="24"/>
      <w:szCs w:val="24"/>
    </w:rPr>
  </w:style>
  <w:style w:type="paragraph" w:styleId="1047">
    <w:name w:val="普通 (Web)"/>
    <w:basedOn w:val="953"/>
    <w:next w:val="1047"/>
    <w:link w:val="953"/>
    <w:pPr>
      <w:jc w:val="left"/>
      <w:spacing w:before="100" w:beforeAutospacing="1" w:after="100" w:afterAutospacing="1"/>
      <w:widowControl/>
    </w:pPr>
    <w:rPr>
      <w:rFonts w:ascii="宋体" w:hAnsi="宋体" w:eastAsia="宋体" w:cs="Times New Roman"/>
      <w:sz w:val="24"/>
      <w:szCs w:val="24"/>
    </w:rPr>
  </w:style>
  <w:style w:type="paragraph" w:styleId="1048">
    <w:name w:val=" Char Char Char Char Char Char Char Char Char Char"/>
    <w:basedOn w:val="953"/>
    <w:next w:val="1048"/>
    <w:link w:val="953"/>
    <w:pPr>
      <w:spacing w:line="360" w:lineRule="auto"/>
    </w:pPr>
    <w:rPr>
      <w:rFonts w:ascii="Times New Roman" w:hAnsi="Times New Roman" w:eastAsia="宋体" w:cs="Times New Roman"/>
      <w:sz w:val="24"/>
      <w:szCs w:val="20"/>
    </w:rPr>
  </w:style>
  <w:style w:type="paragraph" w:styleId="1049">
    <w:name w:val="样式1"/>
    <w:basedOn w:val="953"/>
    <w:next w:val="1049"/>
    <w:link w:val="953"/>
    <w:pPr>
      <w:numPr>
        <w:ilvl w:val="0"/>
        <w:numId w:val="3"/>
      </w:numPr>
      <w:tabs>
        <w:tab w:val="left" w:pos="709" w:leader="none"/>
      </w:tabs>
    </w:pPr>
    <w:rPr>
      <w:rFonts w:ascii="宋体" w:hAnsi="宋体" w:eastAsia="宋体" w:cs="Times New Roman"/>
      <w:szCs w:val="21"/>
    </w:rPr>
  </w:style>
  <w:style w:type="paragraph" w:styleId="1050">
    <w:name w:val="font6"/>
    <w:basedOn w:val="953"/>
    <w:next w:val="1050"/>
    <w:link w:val="953"/>
    <w:pPr>
      <w:jc w:val="left"/>
      <w:spacing w:before="100" w:beforeAutospacing="1" w:after="100" w:afterAutospacing="1"/>
      <w:widowControl/>
    </w:pPr>
    <w:rPr>
      <w:rFonts w:hint="eastAsia" w:ascii="宋体" w:hAnsi="宋体" w:eastAsia="宋体" w:cs="Times New Roman"/>
      <w:sz w:val="28"/>
      <w:szCs w:val="28"/>
      <w:u w:val="single"/>
    </w:rPr>
  </w:style>
  <w:style w:type="paragraph" w:styleId="1051">
    <w:name w:val="xl25"/>
    <w:basedOn w:val="953"/>
    <w:next w:val="1051"/>
    <w:link w:val="9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name w:val="图标"/>
    <w:basedOn w:val="953"/>
    <w:next w:val="953"/>
    <w:link w:val="95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3">
    <w:name w:val="标题3"/>
    <w:basedOn w:val="953"/>
    <w:next w:val="953"/>
    <w:link w:val="953"/>
    <w:pPr>
      <w:ind w:firstLine="624"/>
      <w:spacing w:line="590" w:lineRule="atLeast"/>
    </w:pPr>
    <w:rPr>
      <w:rFonts w:ascii="方正黑体_GBK" w:hAnsi="Times New Roman" w:eastAsia="方正黑体_GBK" w:cs="Times New Roman"/>
      <w:sz w:val="32"/>
      <w:szCs w:val="32"/>
    </w:rPr>
  </w:style>
  <w:style w:type="paragraph" w:styleId="1054">
    <w:name w:val="xl24"/>
    <w:basedOn w:val="953"/>
    <w:next w:val="1054"/>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5">
    <w:name w:val="xl29"/>
    <w:basedOn w:val="953"/>
    <w:next w:val="1055"/>
    <w:link w:val="95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6">
    <w:name w:val="Char Char Char Char Char Char Char Char"/>
    <w:basedOn w:val="953"/>
    <w:next w:val="1056"/>
    <w:link w:val="953"/>
    <w:pPr>
      <w:jc w:val="left"/>
      <w:spacing w:after="160" w:line="240" w:lineRule="exact"/>
      <w:widowControl/>
    </w:pPr>
    <w:rPr>
      <w:rFonts w:ascii="Verdana" w:hAnsi="Verdana" w:eastAsia="宋体" w:cs="Times New Roman"/>
      <w:sz w:val="20"/>
      <w:szCs w:val="20"/>
      <w:lang w:eastAsia="en-US"/>
    </w:rPr>
  </w:style>
  <w:style w:type="paragraph" w:styleId="1057">
    <w:name w:val="xl28"/>
    <w:basedOn w:val="953"/>
    <w:next w:val="1057"/>
    <w:link w:val="9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8">
    <w:name w:val=" Char Char Char Char Char Char Char Char"/>
    <w:basedOn w:val="953"/>
    <w:next w:val="1058"/>
    <w:link w:val="953"/>
    <w:pPr>
      <w:jc w:val="left"/>
      <w:spacing w:after="160" w:line="240" w:lineRule="exact"/>
      <w:widowControl/>
    </w:pPr>
    <w:rPr>
      <w:rFonts w:ascii="Verdana" w:hAnsi="Verdana" w:eastAsia="宋体" w:cs="Times New Roman"/>
      <w:sz w:val="20"/>
      <w:szCs w:val="20"/>
      <w:lang w:eastAsia="en-US"/>
    </w:rPr>
  </w:style>
  <w:style w:type="paragraph" w:styleId="1059">
    <w:name w:val="xl30"/>
    <w:basedOn w:val="953"/>
    <w:next w:val="1059"/>
    <w:link w:val="953"/>
    <w:pPr>
      <w:jc w:val="center"/>
      <w:spacing w:before="100" w:beforeAutospacing="1" w:after="100" w:afterAutospacing="1"/>
      <w:widowControl/>
    </w:pPr>
    <w:rPr>
      <w:rFonts w:ascii="宋体" w:hAnsi="宋体" w:eastAsia="宋体" w:cs="Times New Roman"/>
      <w:b/>
      <w:bCs/>
      <w:sz w:val="36"/>
      <w:szCs w:val="36"/>
    </w:rPr>
  </w:style>
  <w:style w:type="paragraph" w:styleId="1060">
    <w:name w:val="Char Char Char Char"/>
    <w:basedOn w:val="978"/>
    <w:next w:val="1060"/>
    <w:link w:val="953"/>
    <w:pPr>
      <w:spacing w:line="360" w:lineRule="auto"/>
    </w:pPr>
    <w:rPr>
      <w:rFonts w:ascii="Tahoma" w:hAnsi="Tahoma"/>
      <w:sz w:val="24"/>
      <w:szCs w:val="24"/>
    </w:rPr>
  </w:style>
  <w:style w:type="paragraph" w:styleId="1061">
    <w:name w:val="table_1stline"/>
    <w:basedOn w:val="953"/>
    <w:next w:val="1061"/>
    <w:link w:val="953"/>
    <w:pPr>
      <w:jc w:val="left"/>
      <w:spacing w:before="120"/>
      <w:widowControl/>
    </w:pPr>
    <w:rPr>
      <w:rFonts w:ascii="Times New Roman" w:hAnsi="Times New Roman" w:eastAsia="宋体" w:cs="Times New Roman"/>
      <w:bCs/>
      <w:sz w:val="20"/>
      <w:szCs w:val="20"/>
      <w:lang w:val="de-DE" w:eastAsia="de-DE"/>
    </w:rPr>
  </w:style>
  <w:style w:type="paragraph" w:styleId="1062">
    <w:name w:val="font5"/>
    <w:basedOn w:val="953"/>
    <w:next w:val="1062"/>
    <w:link w:val="953"/>
    <w:pPr>
      <w:jc w:val="left"/>
      <w:spacing w:before="100" w:beforeAutospacing="1" w:after="100" w:afterAutospacing="1"/>
      <w:widowControl/>
    </w:pPr>
    <w:rPr>
      <w:rFonts w:hint="eastAsia" w:ascii="宋体" w:hAnsi="宋体" w:eastAsia="宋体" w:cs="Times New Roman"/>
      <w:sz w:val="28"/>
      <w:szCs w:val="28"/>
    </w:rPr>
  </w:style>
  <w:style w:type="paragraph" w:styleId="1063">
    <w:name w:val="标题1"/>
    <w:basedOn w:val="953"/>
    <w:next w:val="953"/>
    <w:link w:val="95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4">
    <w:name w:val="修订"/>
    <w:next w:val="1064"/>
    <w:link w:val="953"/>
    <w:uiPriority w:val="99"/>
    <w:semiHidden/>
    <w:rPr>
      <w:sz w:val="21"/>
      <w:szCs w:val="21"/>
      <w:lang w:val="en-US" w:eastAsia="zh-CN" w:bidi="ar-SA"/>
    </w:rPr>
  </w:style>
  <w:style w:type="paragraph" w:styleId="1065">
    <w:name w:val="无间隔"/>
    <w:next w:val="1065"/>
    <w:link w:val="953"/>
    <w:uiPriority w:val="99"/>
    <w:qFormat/>
    <w:pPr>
      <w:jc w:val="both"/>
      <w:widowControl w:val="off"/>
    </w:pPr>
    <w:rPr>
      <w:sz w:val="21"/>
      <w:szCs w:val="21"/>
      <w:lang w:val="en-US" w:eastAsia="zh-CN" w:bidi="ar-SA"/>
    </w:rPr>
  </w:style>
  <w:style w:type="paragraph" w:styleId="1066">
    <w:name w:val="AONormal"/>
    <w:next w:val="1066"/>
    <w:link w:val="953"/>
    <w:qFormat/>
    <w:pPr>
      <w:ind w:firstLine="440"/>
      <w:spacing w:line="400" w:lineRule="exact"/>
    </w:pPr>
    <w:rPr>
      <w:rFonts w:ascii="华文楷体" w:hAnsi="华文楷体" w:eastAsia="华文楷体" w:cs="华文楷体"/>
      <w:sz w:val="22"/>
      <w:szCs w:val="21"/>
      <w:lang w:val="en-US" w:eastAsia="zh-CN" w:bidi="ar-SA"/>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4</cp:revision>
  <dcterms:created xsi:type="dcterms:W3CDTF">2023-03-16T02:13:00Z</dcterms:created>
  <dcterms:modified xsi:type="dcterms:W3CDTF">2026-07-30T02:23:33Z</dcterms:modified>
</cp:coreProperties>
</file>